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6DF4CBBB"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11</w:t>
            </w:r>
            <w:r w:rsidR="00591CB7">
              <w:rPr>
                <w:b/>
                <w:bCs/>
                <w:lang w:val="es-ES"/>
              </w:rPr>
              <w:t>9</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5DF28B6E" w:rsidR="00FE57F6" w:rsidRPr="00A04080" w:rsidRDefault="00C06762" w:rsidP="000147ED">
            <w:pPr>
              <w:spacing w:before="0"/>
              <w:jc w:val="right"/>
              <w:rPr>
                <w:b/>
                <w:bCs/>
                <w:lang w:val="es-ES"/>
              </w:rPr>
            </w:pPr>
            <w:r>
              <w:rPr>
                <w:b/>
                <w:bCs/>
                <w:lang w:val="es-ES"/>
              </w:rPr>
              <w:t>3 de agosto</w:t>
            </w:r>
            <w:r w:rsidR="00591CB7" w:rsidRPr="00591CB7">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DB5ACE" w14:paraId="2F83711C" w14:textId="77777777" w:rsidTr="00C4421B">
        <w:trPr>
          <w:cantSplit/>
        </w:trPr>
        <w:tc>
          <w:tcPr>
            <w:tcW w:w="9214" w:type="dxa"/>
            <w:gridSpan w:val="2"/>
            <w:tcMar>
              <w:left w:w="0" w:type="dxa"/>
            </w:tcMar>
          </w:tcPr>
          <w:p w14:paraId="4E6C659F" w14:textId="2C9AE00E"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591CB7">
              <w:rPr>
                <w:sz w:val="34"/>
                <w:szCs w:val="34"/>
                <w:lang w:val="es-ES"/>
              </w:rPr>
              <w:t>SEGUNDA</w:t>
            </w:r>
            <w:r w:rsidRPr="00A04080">
              <w:rPr>
                <w:sz w:val="34"/>
                <w:szCs w:val="34"/>
                <w:lang w:val="es-ES"/>
              </w:rPr>
              <w:t xml:space="preserve"> SESIÓN PLENARIA</w:t>
            </w:r>
          </w:p>
        </w:tc>
      </w:tr>
      <w:tr w:rsidR="00FE57F6" w:rsidRPr="00DB5ACE" w14:paraId="1DA7B0C9" w14:textId="77777777" w:rsidTr="00C4421B">
        <w:trPr>
          <w:cantSplit/>
        </w:trPr>
        <w:tc>
          <w:tcPr>
            <w:tcW w:w="9214" w:type="dxa"/>
            <w:gridSpan w:val="2"/>
            <w:tcMar>
              <w:left w:w="0" w:type="dxa"/>
            </w:tcMar>
          </w:tcPr>
          <w:p w14:paraId="4645DA98" w14:textId="6D26304E" w:rsidR="000147ED" w:rsidRPr="00A04080" w:rsidRDefault="00591CB7" w:rsidP="003C3B9A">
            <w:pPr>
              <w:jc w:val="center"/>
              <w:rPr>
                <w:lang w:val="es-ES"/>
              </w:rPr>
            </w:pPr>
            <w:r w:rsidRPr="00591CB7">
              <w:rPr>
                <w:lang w:val="es-ES"/>
              </w:rPr>
              <w:t xml:space="preserve">Miércoles 29 de abril de </w:t>
            </w:r>
            <w:r w:rsidR="00C06762">
              <w:rPr>
                <w:lang w:val="es-ES"/>
              </w:rPr>
              <w:t>2026</w:t>
            </w:r>
            <w:r w:rsidRPr="00591CB7">
              <w:rPr>
                <w:lang w:val="es-ES"/>
              </w:rPr>
              <w:t>, de las 14.45 a las 17.45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591CB7" w14:paraId="31CE6E87" w14:textId="77777777" w:rsidTr="0070080F">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390B0D1A" w:rsidR="000147ED" w:rsidRPr="00591CB7" w:rsidRDefault="00591CB7" w:rsidP="00591CB7">
            <w:pPr>
              <w:rPr>
                <w:lang w:val="es-ES"/>
              </w:rPr>
            </w:pPr>
            <w:r w:rsidRPr="00591CB7">
              <w:rPr>
                <w:lang w:val="es-ES"/>
              </w:rPr>
              <w:t>Fortalecimiento de la presencia regional de la</w:t>
            </w:r>
            <w:r w:rsidR="00FA29C1">
              <w:rPr>
                <w:lang w:val="es-ES"/>
              </w:rPr>
              <w:t> </w:t>
            </w:r>
            <w:r w:rsidRPr="00591CB7">
              <w:rPr>
                <w:lang w:val="es-ES"/>
              </w:rPr>
              <w:t>UIT</w:t>
            </w:r>
          </w:p>
        </w:tc>
        <w:tc>
          <w:tcPr>
            <w:tcW w:w="2171" w:type="dxa"/>
          </w:tcPr>
          <w:p w14:paraId="0493B68A" w14:textId="559DACB2" w:rsidR="000147ED" w:rsidRPr="00591CB7" w:rsidRDefault="00591CB7" w:rsidP="0070080F">
            <w:pPr>
              <w:jc w:val="center"/>
              <w:rPr>
                <w:lang w:val="es-ES"/>
              </w:rPr>
            </w:pPr>
            <w:hyperlink r:id="rId7" w:history="1">
              <w:r w:rsidRPr="00591CB7">
                <w:rPr>
                  <w:rStyle w:val="Hyperlink"/>
                  <w:rFonts w:eastAsia="Times New Roman" w:cs="Times New Roman"/>
                  <w:szCs w:val="20"/>
                </w:rPr>
                <w:t>C26/25</w:t>
              </w:r>
            </w:hyperlink>
          </w:p>
        </w:tc>
      </w:tr>
      <w:tr w:rsidR="000147ED" w:rsidRPr="00591CB7" w14:paraId="598270ED" w14:textId="77777777" w:rsidTr="0070080F">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1099C808" w:rsidR="000147ED" w:rsidRPr="0070080F" w:rsidRDefault="00591CB7" w:rsidP="00591CB7">
            <w:pPr>
              <w:rPr>
                <w:lang w:val="es-ES"/>
              </w:rPr>
            </w:pPr>
            <w:r w:rsidRPr="0070080F">
              <w:rPr>
                <w:lang w:val="es-ES"/>
              </w:rPr>
              <w:t>Propuesta para la creación de una Oficina Zonal de la</w:t>
            </w:r>
            <w:r w:rsidR="00FA29C1" w:rsidRPr="0070080F">
              <w:rPr>
                <w:lang w:val="es-ES"/>
              </w:rPr>
              <w:t> </w:t>
            </w:r>
            <w:r w:rsidRPr="0070080F">
              <w:rPr>
                <w:lang w:val="es-ES"/>
              </w:rPr>
              <w:t>UIT en el Pacífico</w:t>
            </w:r>
          </w:p>
        </w:tc>
        <w:tc>
          <w:tcPr>
            <w:tcW w:w="2171" w:type="dxa"/>
          </w:tcPr>
          <w:p w14:paraId="30842B6B" w14:textId="16D825C6" w:rsidR="000147ED" w:rsidRPr="00591CB7" w:rsidRDefault="00591CB7" w:rsidP="0070080F">
            <w:pPr>
              <w:jc w:val="center"/>
              <w:rPr>
                <w:lang w:val="es-ES"/>
              </w:rPr>
            </w:pPr>
            <w:hyperlink r:id="rId8" w:history="1">
              <w:r w:rsidRPr="00591CB7">
                <w:rPr>
                  <w:rStyle w:val="Hyperlink"/>
                  <w:rFonts w:eastAsia="Times New Roman" w:cs="Times New Roman"/>
                  <w:szCs w:val="20"/>
                </w:rPr>
                <w:t>C26/85</w:t>
              </w:r>
            </w:hyperlink>
          </w:p>
        </w:tc>
      </w:tr>
      <w:tr w:rsidR="000147ED" w:rsidRPr="00591CB7" w14:paraId="0B16DB81" w14:textId="77777777" w:rsidTr="0070080F">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4B7AF733" w:rsidR="000147ED" w:rsidRPr="00591CB7" w:rsidRDefault="00591CB7" w:rsidP="00591CB7">
            <w:pPr>
              <w:rPr>
                <w:lang w:val="es-ES"/>
              </w:rPr>
            </w:pPr>
            <w:r w:rsidRPr="00591CB7">
              <w:rPr>
                <w:lang w:val="es-ES"/>
              </w:rPr>
              <w:t>Examen de la presencia regional de la</w:t>
            </w:r>
            <w:r w:rsidR="00FA29C1">
              <w:rPr>
                <w:lang w:val="es-ES"/>
              </w:rPr>
              <w:t> </w:t>
            </w:r>
            <w:r w:rsidRPr="00591CB7">
              <w:rPr>
                <w:lang w:val="es-ES"/>
              </w:rPr>
              <w:t>UIT</w:t>
            </w:r>
          </w:p>
        </w:tc>
        <w:tc>
          <w:tcPr>
            <w:tcW w:w="2171" w:type="dxa"/>
          </w:tcPr>
          <w:p w14:paraId="194BC6D0" w14:textId="322C0599" w:rsidR="000147ED" w:rsidRPr="00591CB7" w:rsidRDefault="00591CB7" w:rsidP="0070080F">
            <w:pPr>
              <w:jc w:val="center"/>
              <w:rPr>
                <w:lang w:val="es-ES"/>
              </w:rPr>
            </w:pPr>
            <w:hyperlink r:id="rId9" w:history="1">
              <w:proofErr w:type="spellStart"/>
              <w:r w:rsidRPr="00591CB7">
                <w:rPr>
                  <w:rStyle w:val="Hyperlink"/>
                  <w:rFonts w:eastAsia="Times New Roman" w:cs="Times New Roman"/>
                  <w:szCs w:val="20"/>
                </w:rPr>
                <w:t>C26</w:t>
              </w:r>
              <w:proofErr w:type="spellEnd"/>
              <w:r w:rsidRPr="00591CB7">
                <w:rPr>
                  <w:rStyle w:val="Hyperlink"/>
                  <w:rFonts w:eastAsia="Times New Roman" w:cs="Times New Roman"/>
                  <w:szCs w:val="20"/>
                </w:rPr>
                <w:t>/24</w:t>
              </w:r>
            </w:hyperlink>
            <w:r w:rsidR="00B14ACD">
              <w:t>,</w:t>
            </w:r>
            <w:r w:rsidRPr="00591CB7">
              <w:t xml:space="preserve"> </w:t>
            </w:r>
            <w:hyperlink r:id="rId10" w:history="1">
              <w:proofErr w:type="spellStart"/>
              <w:r w:rsidRPr="00591CB7">
                <w:rPr>
                  <w:rStyle w:val="Hyperlink"/>
                  <w:rFonts w:eastAsia="Times New Roman" w:cs="Times New Roman"/>
                  <w:szCs w:val="20"/>
                </w:rPr>
                <w:t>C26</w:t>
              </w:r>
              <w:proofErr w:type="spellEnd"/>
              <w:r w:rsidRPr="00591CB7">
                <w:rPr>
                  <w:rStyle w:val="Hyperlink"/>
                  <w:rFonts w:eastAsia="Times New Roman" w:cs="Times New Roman"/>
                  <w:szCs w:val="20"/>
                </w:rPr>
                <w:t>/108</w:t>
              </w:r>
            </w:hyperlink>
          </w:p>
        </w:tc>
      </w:tr>
      <w:tr w:rsidR="000147ED" w:rsidRPr="00591CB7" w14:paraId="6FF31813" w14:textId="77777777" w:rsidTr="0070080F">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6E99C2F9" w:rsidR="000147ED" w:rsidRPr="00591CB7" w:rsidRDefault="00591CB7" w:rsidP="00591CB7">
            <w:pPr>
              <w:rPr>
                <w:lang w:val="es-ES"/>
              </w:rPr>
            </w:pPr>
            <w:r w:rsidRPr="00591CB7">
              <w:rPr>
                <w:lang w:val="es-ES"/>
              </w:rPr>
              <w:t>Informe sobre la Conferencia Mundial de Desarrollo de las Telecomunicaciones (Bakú, 2025)</w:t>
            </w:r>
          </w:p>
        </w:tc>
        <w:tc>
          <w:tcPr>
            <w:tcW w:w="2171" w:type="dxa"/>
          </w:tcPr>
          <w:p w14:paraId="519583EE" w14:textId="4C90DF2E" w:rsidR="000147ED" w:rsidRPr="00591CB7" w:rsidRDefault="00591CB7" w:rsidP="0070080F">
            <w:pPr>
              <w:jc w:val="center"/>
              <w:rPr>
                <w:lang w:val="es-ES"/>
              </w:rPr>
            </w:pPr>
            <w:hyperlink r:id="rId11" w:history="1">
              <w:r w:rsidRPr="00591CB7">
                <w:rPr>
                  <w:rStyle w:val="Hyperlink"/>
                  <w:rFonts w:eastAsia="Times New Roman" w:cs="Times New Roman"/>
                  <w:szCs w:val="20"/>
                </w:rPr>
                <w:t>C26/30</w:t>
              </w:r>
            </w:hyperlink>
          </w:p>
        </w:tc>
      </w:tr>
      <w:tr w:rsidR="000147ED" w:rsidRPr="00A04080" w14:paraId="6F2BD095" w14:textId="77777777" w:rsidTr="0070080F">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6577CED3" w:rsidR="000147ED" w:rsidRPr="00591CB7" w:rsidRDefault="00591CB7" w:rsidP="00591CB7">
            <w:pPr>
              <w:rPr>
                <w:lang w:val="es-ES"/>
              </w:rPr>
            </w:pPr>
            <w:r w:rsidRPr="00591CB7">
              <w:rPr>
                <w:lang w:val="es-ES"/>
              </w:rPr>
              <w:t>Declaraciones de consejeros y observadores</w:t>
            </w:r>
          </w:p>
        </w:tc>
        <w:tc>
          <w:tcPr>
            <w:tcW w:w="2171" w:type="dxa"/>
          </w:tcPr>
          <w:p w14:paraId="01E95343" w14:textId="77777777" w:rsidR="000147ED" w:rsidRPr="00591CB7" w:rsidRDefault="000147ED" w:rsidP="0070080F">
            <w:pPr>
              <w:jc w:val="center"/>
              <w:rPr>
                <w:lang w:val="es-ES"/>
              </w:rPr>
            </w:pPr>
            <w:r w:rsidRPr="00591CB7">
              <w:rPr>
                <w:rFonts w:cs="Calibri"/>
                <w:lang w:val="es-ES"/>
              </w:rPr>
              <w:t>–</w:t>
            </w:r>
          </w:p>
        </w:tc>
      </w:tr>
      <w:bookmarkEnd w:id="1"/>
    </w:tbl>
    <w:p w14:paraId="1EEF6FFD" w14:textId="77777777" w:rsidR="001559F5" w:rsidRPr="00BB6FD8" w:rsidRDefault="001559F5" w:rsidP="000147ED">
      <w:r w:rsidRPr="00BB6FD8">
        <w:br w:type="page"/>
      </w:r>
    </w:p>
    <w:p w14:paraId="0B8C8946" w14:textId="532D058A" w:rsidR="00591CB7" w:rsidRPr="00591CB7" w:rsidRDefault="00591CB7" w:rsidP="00591CB7">
      <w:pPr>
        <w:pStyle w:val="Heading1"/>
        <w:rPr>
          <w:lang w:val="es-ES"/>
        </w:rPr>
      </w:pPr>
      <w:r w:rsidRPr="00591CB7">
        <w:rPr>
          <w:lang w:val="es-ES"/>
        </w:rPr>
        <w:lastRenderedPageBreak/>
        <w:t>1</w:t>
      </w:r>
      <w:r w:rsidRPr="00591CB7">
        <w:rPr>
          <w:lang w:val="es-ES"/>
        </w:rPr>
        <w:tab/>
        <w:t>Fortalecimiento de la presencia regional de la</w:t>
      </w:r>
      <w:r w:rsidR="00FA29C1">
        <w:rPr>
          <w:lang w:val="es-ES"/>
        </w:rPr>
        <w:t> </w:t>
      </w:r>
      <w:r w:rsidRPr="00591CB7">
        <w:rPr>
          <w:lang w:val="es-ES"/>
        </w:rPr>
        <w:t>UIT (Documento</w:t>
      </w:r>
      <w:r>
        <w:rPr>
          <w:lang w:val="es-ES"/>
        </w:rPr>
        <w:t> </w:t>
      </w:r>
      <w:proofErr w:type="spellStart"/>
      <w:r>
        <w:fldChar w:fldCharType="begin"/>
      </w:r>
      <w:r>
        <w:instrText>HYPERLINK "https://www.itu.int/md/S26-CL-C-0025/es"</w:instrText>
      </w:r>
      <w:r>
        <w:fldChar w:fldCharType="separate"/>
      </w:r>
      <w:r w:rsidRPr="00591CB7">
        <w:rPr>
          <w:rStyle w:val="Hyperlink"/>
          <w:rFonts w:eastAsia="Times New Roman" w:cs="Times New Roman"/>
          <w:szCs w:val="20"/>
          <w:lang w:val="es-ES"/>
        </w:rPr>
        <w:t>C26</w:t>
      </w:r>
      <w:proofErr w:type="spellEnd"/>
      <w:r w:rsidRPr="00591CB7">
        <w:rPr>
          <w:rStyle w:val="Hyperlink"/>
          <w:rFonts w:eastAsia="Times New Roman" w:cs="Times New Roman"/>
          <w:szCs w:val="20"/>
          <w:lang w:val="es-ES"/>
        </w:rPr>
        <w:t>/25</w:t>
      </w:r>
      <w:r>
        <w:fldChar w:fldCharType="end"/>
      </w:r>
      <w:r w:rsidRPr="00591CB7">
        <w:rPr>
          <w:lang w:val="es-ES"/>
        </w:rPr>
        <w:t>)</w:t>
      </w:r>
      <w:hyperlink r:id="rId12" w:history="1"/>
    </w:p>
    <w:p w14:paraId="297AEC64" w14:textId="7D4EF3A5" w:rsidR="00591CB7" w:rsidRPr="00591CB7" w:rsidRDefault="00591CB7" w:rsidP="00B14ACD">
      <w:pPr>
        <w:jc w:val="both"/>
        <w:rPr>
          <w:lang w:val="es-ES"/>
        </w:rPr>
      </w:pPr>
      <w:r w:rsidRPr="00591CB7">
        <w:rPr>
          <w:lang w:val="es-ES"/>
        </w:rPr>
        <w:t>1.1</w:t>
      </w:r>
      <w:r w:rsidRPr="00591CB7">
        <w:rPr>
          <w:lang w:val="es-ES"/>
        </w:rPr>
        <w:tab/>
        <w:t>La Directora Adjunta de la Oficina de Desarrollo de las Telecomunicaciones (BDT) presenta el Documento</w:t>
      </w:r>
      <w:r>
        <w:rPr>
          <w:lang w:val="es-ES"/>
        </w:rPr>
        <w:t> </w:t>
      </w:r>
      <w:r w:rsidRPr="00591CB7">
        <w:rPr>
          <w:lang w:val="es-ES"/>
        </w:rPr>
        <w:t>C26/25, en el que se informa de la contribución de la presencia regional de la</w:t>
      </w:r>
      <w:r w:rsidR="00FA29C1">
        <w:rPr>
          <w:lang w:val="es-ES"/>
        </w:rPr>
        <w:t> </w:t>
      </w:r>
      <w:r w:rsidRPr="00591CB7">
        <w:rPr>
          <w:lang w:val="es-ES"/>
        </w:rPr>
        <w:t>UIT al cumplimiento del mandato de la Unión y de la labor regional encaminada a la aplicación del Plan Estratégico de la Unión, el Plan de Acción de Kigali (PAK), el Plan de Acción de Bakú (PAB) y las iniciativas regionales. Se destacan las actividades de las Oficinas Regionales y Zonales en apoyo de los tres Sectores. Afirma que, en 2026 están previstos seis Foros Regionales de Desarrollo para apoyar la creación de asociaciones y la aplicación del</w:t>
      </w:r>
      <w:r w:rsidR="002434C7">
        <w:rPr>
          <w:lang w:val="es-ES"/>
        </w:rPr>
        <w:t> PAB</w:t>
      </w:r>
      <w:r w:rsidRPr="00591CB7">
        <w:rPr>
          <w:lang w:val="es-ES"/>
        </w:rPr>
        <w:t>. Las Oficinas Regionales y Zonales desempeñan un papel fundamental en la ejecución del Plan Operacional del</w:t>
      </w:r>
      <w:r w:rsidR="00FA29C1">
        <w:rPr>
          <w:lang w:val="es-ES"/>
        </w:rPr>
        <w:t> </w:t>
      </w:r>
      <w:r w:rsidR="000D7CD6">
        <w:rPr>
          <w:lang w:val="es-ES"/>
        </w:rPr>
        <w:t xml:space="preserve">Sector de Desarrollo </w:t>
      </w:r>
      <w:r w:rsidR="000D7CD6" w:rsidRPr="000D7CD6">
        <w:rPr>
          <w:lang w:val="es-ES"/>
        </w:rPr>
        <w:t xml:space="preserve">de las Telecomunicaciones </w:t>
      </w:r>
      <w:r w:rsidR="000D7CD6">
        <w:rPr>
          <w:lang w:val="es-ES"/>
        </w:rPr>
        <w:t>de la</w:t>
      </w:r>
      <w:r w:rsidR="002434C7">
        <w:rPr>
          <w:lang w:val="es-ES"/>
        </w:rPr>
        <w:t> </w:t>
      </w:r>
      <w:r w:rsidR="000D7CD6">
        <w:rPr>
          <w:lang w:val="es-ES"/>
        </w:rPr>
        <w:t>UIT (</w:t>
      </w:r>
      <w:r w:rsidRPr="00591CB7">
        <w:rPr>
          <w:lang w:val="es-ES"/>
        </w:rPr>
        <w:t>UIT</w:t>
      </w:r>
      <w:r w:rsidR="00FA29C1">
        <w:rPr>
          <w:lang w:val="es-ES"/>
        </w:rPr>
        <w:noBreakHyphen/>
      </w:r>
      <w:r w:rsidRPr="00591CB7">
        <w:rPr>
          <w:lang w:val="es-ES"/>
        </w:rPr>
        <w:t>D</w:t>
      </w:r>
      <w:r w:rsidR="000D7CD6">
        <w:rPr>
          <w:lang w:val="es-ES"/>
        </w:rPr>
        <w:t>)</w:t>
      </w:r>
      <w:r w:rsidRPr="00591CB7">
        <w:rPr>
          <w:lang w:val="es-ES"/>
        </w:rPr>
        <w:t>, contribuyendo a las 130</w:t>
      </w:r>
      <w:r w:rsidR="00FA29C1">
        <w:rPr>
          <w:lang w:val="es-ES"/>
        </w:rPr>
        <w:t> </w:t>
      </w:r>
      <w:r w:rsidRPr="00591CB7">
        <w:rPr>
          <w:lang w:val="es-ES"/>
        </w:rPr>
        <w:t>acciones en curso y colaborando con la Sede en la planificación, presupuestación, supervisión y evaluación. Tras la CMDT-22, la</w:t>
      </w:r>
      <w:r w:rsidR="00FA29C1">
        <w:rPr>
          <w:lang w:val="es-ES"/>
        </w:rPr>
        <w:t> </w:t>
      </w:r>
      <w:r w:rsidRPr="00591CB7">
        <w:rPr>
          <w:lang w:val="es-ES"/>
        </w:rPr>
        <w:t>BDT movilizó recursos extrapresupuestarios, elaboró y ejecutó 91</w:t>
      </w:r>
      <w:r w:rsidR="000D7CD6">
        <w:rPr>
          <w:lang w:val="es-ES"/>
        </w:rPr>
        <w:t> </w:t>
      </w:r>
      <w:r w:rsidRPr="00591CB7">
        <w:rPr>
          <w:lang w:val="es-ES"/>
        </w:rPr>
        <w:t>proyectos por un valor de 51</w:t>
      </w:r>
      <w:r w:rsidR="00FA29C1">
        <w:rPr>
          <w:lang w:val="es-ES"/>
        </w:rPr>
        <w:t> </w:t>
      </w:r>
      <w:r w:rsidRPr="00591CB7">
        <w:rPr>
          <w:lang w:val="es-ES"/>
        </w:rPr>
        <w:t>millones</w:t>
      </w:r>
      <w:r w:rsidR="00FA29C1">
        <w:rPr>
          <w:lang w:val="es-ES"/>
        </w:rPr>
        <w:t> </w:t>
      </w:r>
      <w:r w:rsidRPr="00591CB7">
        <w:rPr>
          <w:lang w:val="es-ES"/>
        </w:rPr>
        <w:t>CHF durante el periodo trienal del</w:t>
      </w:r>
      <w:r w:rsidR="000D7CD6">
        <w:rPr>
          <w:lang w:val="es-ES"/>
        </w:rPr>
        <w:t> </w:t>
      </w:r>
      <w:r w:rsidRPr="00591CB7">
        <w:rPr>
          <w:lang w:val="es-ES"/>
        </w:rPr>
        <w:t>PAK, que contribuyeron a la implementación de prioridades e iniciativas regionales para atender las necesidades específicas de las regiones. La estrecha colaboración ha tenido repercusiones en todos los Sectores, en particular en la gestión del espectro, la respuesta en caso de catástrofe, la inteligencia artificial (IA), la ciberseguridad, las ciudades y comunidades inteligentes y los sistemas de alerta temprana. De conformidad con las recomendaciones de la reunión de</w:t>
      </w:r>
      <w:r w:rsidR="00FA29C1">
        <w:rPr>
          <w:lang w:val="es-ES"/>
        </w:rPr>
        <w:t> </w:t>
      </w:r>
      <w:r w:rsidRPr="00591CB7">
        <w:rPr>
          <w:lang w:val="es-ES"/>
        </w:rPr>
        <w:t>2025 del Consejo (Consejo-25), en el Documento</w:t>
      </w:r>
      <w:r w:rsidR="00FA29C1">
        <w:rPr>
          <w:lang w:val="es-ES"/>
        </w:rPr>
        <w:t> </w:t>
      </w:r>
      <w:r w:rsidRPr="00591CB7">
        <w:rPr>
          <w:lang w:val="es-ES"/>
        </w:rPr>
        <w:t>C26/24 se presenta un examen exhaustivo de la presencia regional realizado por la Secretaría.</w:t>
      </w:r>
    </w:p>
    <w:p w14:paraId="6BCB8760" w14:textId="20513C3F" w:rsidR="00591CB7" w:rsidRPr="00591CB7" w:rsidRDefault="00591CB7" w:rsidP="00B14ACD">
      <w:pPr>
        <w:jc w:val="both"/>
        <w:rPr>
          <w:lang w:val="es-ES"/>
        </w:rPr>
      </w:pPr>
      <w:r w:rsidRPr="00591CB7">
        <w:rPr>
          <w:lang w:val="es-ES"/>
        </w:rPr>
        <w:t>1.2</w:t>
      </w:r>
      <w:r w:rsidRPr="00591CB7">
        <w:rPr>
          <w:lang w:val="es-ES"/>
        </w:rPr>
        <w:tab/>
        <w:t>Los consejeros y observadores expresan su agradecimiento por el Documento</w:t>
      </w:r>
      <w:r w:rsidR="00FA29C1">
        <w:rPr>
          <w:lang w:val="es-ES"/>
        </w:rPr>
        <w:t> </w:t>
      </w:r>
      <w:r w:rsidRPr="00591CB7">
        <w:rPr>
          <w:lang w:val="es-ES"/>
        </w:rPr>
        <w:t>C26/25, señalando que se centra en la presentación de informes con base empírica y en la información proporcionada sobre asistencia técnica, capacitación, ejecución de proyectos y colaboración entre Sectores. Destacan la importante labor realizada por las Oficinas Regionales y Zonales en apoyo de las iniciativas regionales y los proyectos nacionales, así como de las conferencias y asambleas de la</w:t>
      </w:r>
      <w:r w:rsidR="00FA29C1">
        <w:rPr>
          <w:lang w:val="es-ES"/>
        </w:rPr>
        <w:t> </w:t>
      </w:r>
      <w:r w:rsidRPr="00591CB7">
        <w:rPr>
          <w:lang w:val="es-ES"/>
        </w:rPr>
        <w:t>UIT. Es fundamental garantizar que la</w:t>
      </w:r>
      <w:r w:rsidR="00FA29C1">
        <w:rPr>
          <w:lang w:val="es-ES"/>
        </w:rPr>
        <w:t> </w:t>
      </w:r>
      <w:r w:rsidRPr="00591CB7">
        <w:rPr>
          <w:lang w:val="es-ES"/>
        </w:rPr>
        <w:t>UIT siga respondiendo a la evolución del panorama digital y a las necesidades de los Estados Miembros, en particular de los países en desarrollo. Una consejera manifiesta que las pruebas aportadas demuestran que una arquitectura regional sólida no s</w:t>
      </w:r>
      <w:r w:rsidR="000D7CD6">
        <w:rPr>
          <w:lang w:val="es-ES"/>
        </w:rPr>
        <w:t>o</w:t>
      </w:r>
      <w:r w:rsidRPr="00591CB7">
        <w:rPr>
          <w:lang w:val="es-ES"/>
        </w:rPr>
        <w:t>lo es operativamente pertinente, sino también estratégicamente indispensable. Varios consejeros declararon que las prioridades deberían incluir el fortalecimiento de las plataformas de cooperación regional, la mejora de la capacitación en tecnologías emergentes, la profundización de la colaboración con organizaciones regionales, la asistencia técnica, la ejecución de proyectos y el fortalecimiento de los mecanismos de coordinación que faciliten las asociaciones y la movilización de recursos entre los gobiernos, los asociados para el desarrollo de la industria y otras partes interesadas, en particular en apoyo de los países en desarrollo.</w:t>
      </w:r>
    </w:p>
    <w:p w14:paraId="7A155FEA" w14:textId="6FBD8319" w:rsidR="00591CB7" w:rsidRPr="00591CB7" w:rsidRDefault="00591CB7" w:rsidP="00B14ACD">
      <w:pPr>
        <w:jc w:val="both"/>
        <w:rPr>
          <w:lang w:val="es-ES"/>
        </w:rPr>
      </w:pPr>
      <w:r w:rsidRPr="00591CB7">
        <w:rPr>
          <w:lang w:val="es-ES"/>
        </w:rPr>
        <w:t>1.3</w:t>
      </w:r>
      <w:r w:rsidRPr="00591CB7">
        <w:rPr>
          <w:lang w:val="es-ES"/>
        </w:rPr>
        <w:tab/>
        <w:t>Varios consejeros consideran que el informe podría haber incluido una reflexión más detallada sobre los factores estructurales propicios para fortalecer la presencia regional. Un consejero explica que esto incluiría la adecuación del personal, la combinación de habilidades y el nivel de empoderamiento operativo de las Oficinas Regionales y Zonales. El Consejo se beneficiaría de una imagen más clara de los resultados concretos y las repercusiones de la presencia regional en los Estados Miembros, en particular en lo que respecta a la capacidad de respuesta, la prestación de servicios y el apoyo a la implementación. En el examen de la presencia regional se debería evaluar la medida en que se atendió bien a las necesidades técnicas de los reguladores en los tres Sectores. Un consejero destaca la ausencia de objetivos predefinidos para la presencia regional, sin los cuales sería difícil seguir los progresos</w:t>
      </w:r>
      <w:r w:rsidR="009053EA">
        <w:rPr>
          <w:lang w:val="es-ES"/>
        </w:rPr>
        <w:t>;</w:t>
      </w:r>
      <w:r w:rsidRPr="00591CB7">
        <w:rPr>
          <w:lang w:val="es-ES"/>
        </w:rPr>
        <w:t xml:space="preserve"> </w:t>
      </w:r>
      <w:r w:rsidR="009053EA">
        <w:rPr>
          <w:lang w:val="es-ES"/>
        </w:rPr>
        <w:t>s</w:t>
      </w:r>
      <w:r w:rsidRPr="00591CB7">
        <w:rPr>
          <w:lang w:val="es-ES"/>
        </w:rPr>
        <w:t xml:space="preserve">ugiriere </w:t>
      </w:r>
      <w:r w:rsidRPr="00591CB7">
        <w:rPr>
          <w:lang w:val="es-ES"/>
        </w:rPr>
        <w:lastRenderedPageBreak/>
        <w:t xml:space="preserve">que, en el futuro, se pasará de la información basada en los resultados con objetivos predefinidos, en lugar de la información basada en actividades sobre el tema. Además, explica que es lamentable que, en las sesiones previas a la Conferencia de Plenipotenciarios, el Consejo no pueda examinar un informe del Auditor </w:t>
      </w:r>
      <w:r w:rsidR="009053EA" w:rsidRPr="00591CB7">
        <w:rPr>
          <w:lang w:val="es-ES"/>
        </w:rPr>
        <w:t xml:space="preserve">Externo </w:t>
      </w:r>
      <w:r w:rsidRPr="00591CB7">
        <w:rPr>
          <w:lang w:val="es-ES"/>
        </w:rPr>
        <w:t xml:space="preserve">para conocer ciertos temas, incluida la presencia regional. Desde la Conferencia de Plenipotenciarios de 2022 (PP-22), se han llevado a cabo auditorías internas en varias Oficinas Regionales, que han detectado algunas deficiencias específicas relacionadas con los controles, la gestión de riesgos y la gestión de proyectos que el Consejo debería tener en cuenta. Los auditores externos, en su informe de 2024 al Consejo, concluyeron que existen problemas sistémicos más amplios en lo que respecta a la presencia regional; </w:t>
      </w:r>
      <w:r w:rsidR="009053EA">
        <w:rPr>
          <w:lang w:val="es-ES"/>
        </w:rPr>
        <w:t>p</w:t>
      </w:r>
      <w:r w:rsidRPr="00591CB7">
        <w:rPr>
          <w:lang w:val="es-ES"/>
        </w:rPr>
        <w:t>or consiguiente, debe abordarse de manera sistémica.</w:t>
      </w:r>
    </w:p>
    <w:p w14:paraId="210D7F88" w14:textId="30F7B84B" w:rsidR="00591CB7" w:rsidRPr="00591CB7" w:rsidRDefault="00591CB7" w:rsidP="00B14ACD">
      <w:pPr>
        <w:jc w:val="both"/>
        <w:rPr>
          <w:lang w:val="es-ES"/>
        </w:rPr>
      </w:pPr>
      <w:r w:rsidRPr="00591CB7">
        <w:rPr>
          <w:lang w:val="es-ES"/>
        </w:rPr>
        <w:t>1.4</w:t>
      </w:r>
      <w:r w:rsidRPr="00591CB7">
        <w:rPr>
          <w:lang w:val="es-ES"/>
        </w:rPr>
        <w:tab/>
        <w:t>Varios consejeros piden a la Secretaría y a los Sectores que exploren modelos para seguir mejorando la presencia regional. Un modelo o marco de dotación de personal que aprovechara los conocimientos regionales y locales, incluida la participación de las instituciones académicas, podría proporcionar un contexto más amplio para las actividades y aumentar la capacidad de respuesta, la continuidad y la repercusión. Un consejero aboga por una mayor coordinación con las organizaciones regionales de telecomunicaciones para garantizar sinergias y apoyar un mayor fortalecimiento de la presencia regional. Una gestión más sólida basada en los resultados en las Oficinas Regionales permitiría al Consejo comprender mejor lo que se está haciendo, dónde se necesita apoyo y cómo contribuye la presencia regional al mandato de la</w:t>
      </w:r>
      <w:r w:rsidR="00FA29C1">
        <w:rPr>
          <w:lang w:val="es-ES"/>
        </w:rPr>
        <w:t> </w:t>
      </w:r>
      <w:r w:rsidRPr="00591CB7">
        <w:rPr>
          <w:lang w:val="es-ES"/>
        </w:rPr>
        <w:t>UIT.</w:t>
      </w:r>
    </w:p>
    <w:p w14:paraId="1DE2510F" w14:textId="247E0247" w:rsidR="00591CB7" w:rsidRPr="00591CB7" w:rsidRDefault="00591CB7" w:rsidP="00B14ACD">
      <w:pPr>
        <w:jc w:val="both"/>
        <w:rPr>
          <w:lang w:val="es-ES"/>
        </w:rPr>
      </w:pPr>
      <w:r w:rsidRPr="00591CB7">
        <w:rPr>
          <w:lang w:val="es-ES"/>
        </w:rPr>
        <w:t>1.5</w:t>
      </w:r>
      <w:r w:rsidRPr="00591CB7">
        <w:rPr>
          <w:lang w:val="es-ES"/>
        </w:rPr>
        <w:tab/>
        <w:t>Varios consejeros cuestionan la aparente distribución geográfica desigual de las actividades del Sector. Varios consejeros piden una mayor participación del Sector de Radiocomunicaciones de la</w:t>
      </w:r>
      <w:r w:rsidR="00FA29C1">
        <w:rPr>
          <w:lang w:val="es-ES"/>
        </w:rPr>
        <w:t> </w:t>
      </w:r>
      <w:r w:rsidRPr="00591CB7">
        <w:rPr>
          <w:lang w:val="es-ES"/>
        </w:rPr>
        <w:t xml:space="preserve">UIT (UIT-R) y del </w:t>
      </w:r>
      <w:bookmarkStart w:id="2" w:name="_Hlk233368897"/>
      <w:r w:rsidRPr="00591CB7">
        <w:rPr>
          <w:lang w:val="es-ES"/>
        </w:rPr>
        <w:t>Sector de Normalización de las Telecomunicaciones de la</w:t>
      </w:r>
      <w:r w:rsidR="00FA29C1">
        <w:rPr>
          <w:lang w:val="es-ES"/>
        </w:rPr>
        <w:t> </w:t>
      </w:r>
      <w:r w:rsidRPr="00591CB7">
        <w:rPr>
          <w:lang w:val="es-ES"/>
        </w:rPr>
        <w:t xml:space="preserve">UIT </w:t>
      </w:r>
      <w:bookmarkEnd w:id="2"/>
      <w:r w:rsidRPr="00591CB7">
        <w:rPr>
          <w:lang w:val="es-ES"/>
        </w:rPr>
        <w:t>(UIT-T) a nivel regional, y una consejera señala que esos Sectores están realizando menos actividades en la Región de África. Varios consejeros señalan la importancia de que las Oficinas Regionales cuenten con personal de los tres Sectores; un consejero pregunta cuándo contará la Oficina Regional de África con los conocimientos del</w:t>
      </w:r>
      <w:r w:rsidR="00FA29C1">
        <w:rPr>
          <w:lang w:val="es-ES"/>
        </w:rPr>
        <w:t> </w:t>
      </w:r>
      <w:r w:rsidRPr="00591CB7">
        <w:rPr>
          <w:lang w:val="es-ES"/>
        </w:rPr>
        <w:t>UIT</w:t>
      </w:r>
      <w:r w:rsidR="00FA29C1">
        <w:rPr>
          <w:lang w:val="es-ES"/>
        </w:rPr>
        <w:noBreakHyphen/>
      </w:r>
      <w:r w:rsidRPr="00591CB7">
        <w:rPr>
          <w:lang w:val="es-ES"/>
        </w:rPr>
        <w:t>R en materia de gestión del espectro, coordinación de satélites y preparativos para la Conferencia Mundial de Radiocomunicaciones de</w:t>
      </w:r>
      <w:r w:rsidR="00FA29C1">
        <w:rPr>
          <w:lang w:val="es-ES"/>
        </w:rPr>
        <w:t> </w:t>
      </w:r>
      <w:r w:rsidRPr="00591CB7">
        <w:rPr>
          <w:lang w:val="es-ES"/>
        </w:rPr>
        <w:t>2027 (CMR-27).</w:t>
      </w:r>
    </w:p>
    <w:p w14:paraId="0E4C7F53" w14:textId="545B5AC7" w:rsidR="00591CB7" w:rsidRPr="00591CB7" w:rsidRDefault="00591CB7" w:rsidP="00B14ACD">
      <w:pPr>
        <w:jc w:val="both"/>
        <w:rPr>
          <w:lang w:val="es-ES"/>
        </w:rPr>
      </w:pPr>
      <w:r w:rsidRPr="00591CB7">
        <w:rPr>
          <w:lang w:val="es-ES"/>
        </w:rPr>
        <w:t>1.6</w:t>
      </w:r>
      <w:r w:rsidRPr="00591CB7">
        <w:rPr>
          <w:lang w:val="es-ES"/>
        </w:rPr>
        <w:tab/>
        <w:t>Varios consejeros subrayan la necesidad de velar por que se disponga de recursos financieros adecuados y sostenibles a nivel regional, y uno de ellos pide información sobre el número y la tasa de aceptación de las solicitudes de financiación de países y regiones.</w:t>
      </w:r>
    </w:p>
    <w:p w14:paraId="27BD4295" w14:textId="6A819DBD" w:rsidR="00591CB7" w:rsidRPr="00591CB7" w:rsidRDefault="00591CB7" w:rsidP="00B14ACD">
      <w:pPr>
        <w:jc w:val="both"/>
        <w:rPr>
          <w:lang w:val="es-ES"/>
        </w:rPr>
      </w:pPr>
      <w:r w:rsidRPr="00591CB7">
        <w:rPr>
          <w:lang w:val="es-ES"/>
        </w:rPr>
        <w:t>1.7</w:t>
      </w:r>
      <w:r w:rsidRPr="00591CB7">
        <w:rPr>
          <w:lang w:val="es-ES"/>
        </w:rPr>
        <w:tab/>
        <w:t xml:space="preserve">El consejero de Polonia dice que, en 2025, en el marco de su presidencia del Consejo </w:t>
      </w:r>
      <w:r w:rsidR="00F82A1C">
        <w:rPr>
          <w:lang w:val="es-ES"/>
        </w:rPr>
        <w:t>de la</w:t>
      </w:r>
      <w:r w:rsidR="00FA28E5">
        <w:rPr>
          <w:lang w:val="es-ES"/>
        </w:rPr>
        <w:t> </w:t>
      </w:r>
      <w:r w:rsidR="00F82A1C">
        <w:rPr>
          <w:lang w:val="es-ES"/>
        </w:rPr>
        <w:t>UE</w:t>
      </w:r>
      <w:r w:rsidRPr="00591CB7">
        <w:rPr>
          <w:lang w:val="es-ES"/>
        </w:rPr>
        <w:t xml:space="preserve">, su país organizó un taller sobre el fortalecimiento de la Unión Europea en </w:t>
      </w:r>
      <w:r w:rsidR="001E3544">
        <w:rPr>
          <w:lang w:val="es-ES"/>
        </w:rPr>
        <w:t>colaboración con</w:t>
      </w:r>
      <w:r w:rsidRPr="00591CB7">
        <w:rPr>
          <w:lang w:val="es-ES"/>
        </w:rPr>
        <w:t xml:space="preserve"> la</w:t>
      </w:r>
      <w:r w:rsidR="00FA29C1">
        <w:rPr>
          <w:lang w:val="es-ES"/>
        </w:rPr>
        <w:t> </w:t>
      </w:r>
      <w:r w:rsidRPr="00591CB7">
        <w:rPr>
          <w:lang w:val="es-ES"/>
        </w:rPr>
        <w:t>UIT.</w:t>
      </w:r>
    </w:p>
    <w:p w14:paraId="22B02725" w14:textId="7FA128EE" w:rsidR="00591CB7" w:rsidRPr="00591CB7" w:rsidRDefault="00591CB7" w:rsidP="00B14ACD">
      <w:pPr>
        <w:jc w:val="both"/>
        <w:rPr>
          <w:lang w:val="es-ES"/>
        </w:rPr>
      </w:pPr>
      <w:r w:rsidRPr="00591CB7">
        <w:rPr>
          <w:lang w:val="es-ES"/>
        </w:rPr>
        <w:t>1.8</w:t>
      </w:r>
      <w:r w:rsidRPr="00591CB7">
        <w:rPr>
          <w:lang w:val="es-ES"/>
        </w:rPr>
        <w:tab/>
        <w:t>El consejero de República Checa señala que su país ha acogido el Foro Regional de Desarrollo para Europa en marzo. La consejera de Tailandia subraya que su país será uno de los anfitriones del Foro Regional de Desarrollo para Asia</w:t>
      </w:r>
      <w:r w:rsidR="00FA29C1">
        <w:rPr>
          <w:lang w:val="es-ES"/>
        </w:rPr>
        <w:noBreakHyphen/>
      </w:r>
      <w:r w:rsidRPr="00591CB7">
        <w:rPr>
          <w:lang w:val="es-ES"/>
        </w:rPr>
        <w:t>Pacífico en julio.</w:t>
      </w:r>
    </w:p>
    <w:p w14:paraId="5ADA8830" w14:textId="153BE9A4" w:rsidR="00591CB7" w:rsidRPr="00591CB7" w:rsidRDefault="00591CB7" w:rsidP="00B14ACD">
      <w:pPr>
        <w:jc w:val="both"/>
        <w:rPr>
          <w:lang w:val="es-ES"/>
        </w:rPr>
      </w:pPr>
      <w:r w:rsidRPr="00591CB7">
        <w:rPr>
          <w:lang w:val="es-ES"/>
        </w:rPr>
        <w:t>1.9</w:t>
      </w:r>
      <w:r w:rsidRPr="00591CB7">
        <w:rPr>
          <w:lang w:val="es-ES"/>
        </w:rPr>
        <w:tab/>
        <w:t>El observador de Kazajstán dice que la</w:t>
      </w:r>
      <w:r w:rsidR="00FA29C1">
        <w:rPr>
          <w:lang w:val="es-ES"/>
        </w:rPr>
        <w:t> </w:t>
      </w:r>
      <w:r w:rsidRPr="00591CB7">
        <w:rPr>
          <w:lang w:val="es-ES"/>
        </w:rPr>
        <w:t xml:space="preserve">BDT, en colaboración con Intersputnik y la participación de expertos de la Oficina de Radiocomunicaciones (BR), organizó un taller titulado </w:t>
      </w:r>
      <w:r w:rsidR="009053EA">
        <w:rPr>
          <w:lang w:val="es-ES"/>
        </w:rPr>
        <w:t>"</w:t>
      </w:r>
      <w:r w:rsidRPr="00591CB7">
        <w:rPr>
          <w:lang w:val="es-ES"/>
        </w:rPr>
        <w:t>Actividades espaciales en las realidades modernas</w:t>
      </w:r>
      <w:r w:rsidR="009053EA">
        <w:rPr>
          <w:lang w:val="es-ES"/>
        </w:rPr>
        <w:t>"</w:t>
      </w:r>
      <w:r w:rsidRPr="00591CB7">
        <w:rPr>
          <w:lang w:val="es-ES"/>
        </w:rPr>
        <w:t xml:space="preserve"> en Almaty en 2025.</w:t>
      </w:r>
    </w:p>
    <w:p w14:paraId="0CA779CC" w14:textId="098D5246" w:rsidR="00591CB7" w:rsidRPr="00591CB7" w:rsidRDefault="00591CB7" w:rsidP="00B14ACD">
      <w:pPr>
        <w:jc w:val="both"/>
        <w:rPr>
          <w:lang w:val="es-ES"/>
        </w:rPr>
      </w:pPr>
      <w:r w:rsidRPr="00591CB7">
        <w:rPr>
          <w:lang w:val="es-ES"/>
        </w:rPr>
        <w:t>1.10</w:t>
      </w:r>
      <w:r w:rsidRPr="00591CB7">
        <w:rPr>
          <w:lang w:val="es-ES"/>
        </w:rPr>
        <w:tab/>
        <w:t xml:space="preserve">El Consejo </w:t>
      </w:r>
      <w:r w:rsidRPr="00591CB7">
        <w:rPr>
          <w:b/>
          <w:bCs/>
          <w:lang w:val="es-ES"/>
        </w:rPr>
        <w:t>aprueba</w:t>
      </w:r>
      <w:r w:rsidRPr="00591CB7">
        <w:rPr>
          <w:lang w:val="es-ES"/>
        </w:rPr>
        <w:t xml:space="preserve"> el informe y </w:t>
      </w:r>
      <w:r w:rsidRPr="00591CB7">
        <w:rPr>
          <w:b/>
          <w:bCs/>
          <w:lang w:val="es-ES"/>
        </w:rPr>
        <w:t>acuerda</w:t>
      </w:r>
      <w:r w:rsidRPr="00591CB7">
        <w:rPr>
          <w:lang w:val="es-ES"/>
        </w:rPr>
        <w:t xml:space="preserve"> transmitirlo, con los comentarios de la reunión a la Conferencia de Plenipotenciarios (Doha, 2026) (PP-26).</w:t>
      </w:r>
    </w:p>
    <w:p w14:paraId="0FF85137" w14:textId="3EBE62E2" w:rsidR="00591CB7" w:rsidRPr="00591CB7" w:rsidRDefault="00591CB7" w:rsidP="00591CB7">
      <w:pPr>
        <w:pStyle w:val="Heading1"/>
        <w:rPr>
          <w:lang w:val="es-ES"/>
        </w:rPr>
      </w:pPr>
      <w:r w:rsidRPr="00591CB7">
        <w:rPr>
          <w:lang w:val="es-ES"/>
        </w:rPr>
        <w:lastRenderedPageBreak/>
        <w:t>2</w:t>
      </w:r>
      <w:r w:rsidRPr="00591CB7">
        <w:rPr>
          <w:lang w:val="es-ES"/>
        </w:rPr>
        <w:tab/>
        <w:t>Propuesta para la creación de una Oficina Zonal de la</w:t>
      </w:r>
      <w:r w:rsidR="00FA29C1">
        <w:rPr>
          <w:lang w:val="es-ES"/>
        </w:rPr>
        <w:t> </w:t>
      </w:r>
      <w:r w:rsidRPr="00591CB7">
        <w:rPr>
          <w:lang w:val="es-ES"/>
        </w:rPr>
        <w:t>UIT en el Pacífico (Documento</w:t>
      </w:r>
      <w:r>
        <w:rPr>
          <w:lang w:val="es-ES"/>
        </w:rPr>
        <w:t> </w:t>
      </w:r>
      <w:proofErr w:type="spellStart"/>
      <w:r>
        <w:fldChar w:fldCharType="begin"/>
      </w:r>
      <w:r>
        <w:instrText>HYPERLINK "https://www.itu.int/md/S26-CL-C-0085/es"</w:instrText>
      </w:r>
      <w:r>
        <w:fldChar w:fldCharType="separate"/>
      </w:r>
      <w:r w:rsidRPr="00591CB7">
        <w:rPr>
          <w:rStyle w:val="Hyperlink"/>
          <w:rFonts w:eastAsia="Times New Roman" w:cs="Times New Roman"/>
          <w:szCs w:val="20"/>
          <w:lang w:val="es-ES"/>
        </w:rPr>
        <w:t>C26</w:t>
      </w:r>
      <w:proofErr w:type="spellEnd"/>
      <w:r w:rsidRPr="00591CB7">
        <w:rPr>
          <w:rStyle w:val="Hyperlink"/>
          <w:rFonts w:eastAsia="Times New Roman" w:cs="Times New Roman"/>
          <w:szCs w:val="20"/>
          <w:lang w:val="es-ES"/>
        </w:rPr>
        <w:t>/85</w:t>
      </w:r>
      <w:r>
        <w:fldChar w:fldCharType="end"/>
      </w:r>
      <w:r w:rsidRPr="00591CB7">
        <w:rPr>
          <w:lang w:val="es-ES"/>
        </w:rPr>
        <w:t>)</w:t>
      </w:r>
      <w:hyperlink r:id="rId13" w:history="1"/>
    </w:p>
    <w:p w14:paraId="4450771C" w14:textId="63802920" w:rsidR="00591CB7" w:rsidRPr="00591CB7" w:rsidRDefault="00591CB7" w:rsidP="00B14ACD">
      <w:pPr>
        <w:jc w:val="both"/>
        <w:rPr>
          <w:lang w:val="es-ES"/>
        </w:rPr>
      </w:pPr>
      <w:r w:rsidRPr="00591CB7">
        <w:rPr>
          <w:lang w:val="es-ES"/>
        </w:rPr>
        <w:t>2.1</w:t>
      </w:r>
      <w:r w:rsidRPr="00591CB7">
        <w:rPr>
          <w:lang w:val="es-ES"/>
        </w:rPr>
        <w:tab/>
        <w:t>El observador de Papua Nueva Guinea presenta la contribución multipartita contenida en el Documento</w:t>
      </w:r>
      <w:r w:rsidR="00FA29C1">
        <w:rPr>
          <w:lang w:val="es-ES"/>
        </w:rPr>
        <w:t> </w:t>
      </w:r>
      <w:r w:rsidRPr="00591CB7">
        <w:rPr>
          <w:lang w:val="es-ES"/>
        </w:rPr>
        <w:t>C26/85 en nombre de</w:t>
      </w:r>
      <w:r w:rsidR="00FA29C1">
        <w:rPr>
          <w:lang w:val="es-ES"/>
        </w:rPr>
        <w:t> </w:t>
      </w:r>
      <w:r w:rsidRPr="00591CB7">
        <w:rPr>
          <w:lang w:val="es-ES"/>
        </w:rPr>
        <w:t xml:space="preserve">14 países. Pide al Consejo que apoye el establecimiento de una </w:t>
      </w:r>
      <w:r w:rsidR="009053EA" w:rsidRPr="00591CB7">
        <w:rPr>
          <w:lang w:val="es-ES"/>
        </w:rPr>
        <w:t xml:space="preserve">Oficina Zonal </w:t>
      </w:r>
      <w:r w:rsidRPr="00591CB7">
        <w:rPr>
          <w:lang w:val="es-ES"/>
        </w:rPr>
        <w:t>de la</w:t>
      </w:r>
      <w:r w:rsidR="00FA29C1">
        <w:rPr>
          <w:lang w:val="es-ES"/>
        </w:rPr>
        <w:t> </w:t>
      </w:r>
      <w:r w:rsidRPr="00591CB7">
        <w:rPr>
          <w:lang w:val="es-ES"/>
        </w:rPr>
        <w:t>UIT en el Pacífico, la asignación de los recursos necesarios y el avance de la propuesta a la</w:t>
      </w:r>
      <w:r w:rsidR="00FA29C1">
        <w:rPr>
          <w:lang w:val="es-ES"/>
        </w:rPr>
        <w:t> </w:t>
      </w:r>
      <w:r w:rsidRPr="00591CB7">
        <w:rPr>
          <w:lang w:val="es-ES"/>
        </w:rPr>
        <w:t>PP-26. Los países de la región del Pacífico se enfrentan a problemas concretos, como el aislamiento geográfico, la limitada infraestructura de conectividad, los elevados costos del acceso y de los servicios, la fragmentación de la reglamentación, los riesgos climáticos y las limitaciones de capacidad, que afectan directamente a su capacidad para participar de manera significativa en la economía mundial. Una oficina representaría una inversión estratégica a largo plazo y garantizaría que la región del Pacífico no se quedara atrás en la transformación digital mundial.</w:t>
      </w:r>
    </w:p>
    <w:p w14:paraId="5DF635A0" w14:textId="1ADD792F" w:rsidR="00591CB7" w:rsidRPr="00591CB7" w:rsidRDefault="00591CB7" w:rsidP="00B14ACD">
      <w:pPr>
        <w:jc w:val="both"/>
        <w:rPr>
          <w:lang w:val="es-ES"/>
        </w:rPr>
      </w:pPr>
      <w:r w:rsidRPr="00591CB7">
        <w:rPr>
          <w:lang w:val="es-ES"/>
        </w:rPr>
        <w:t>2.2</w:t>
      </w:r>
      <w:r w:rsidRPr="00591CB7">
        <w:rPr>
          <w:lang w:val="es-ES"/>
        </w:rPr>
        <w:tab/>
        <w:t>La consejera de Australia dice que se están recopilando pruebas, analizando las necesidades y evaluando varias modalidades, con el apoyo de la</w:t>
      </w:r>
      <w:r w:rsidR="00FA29C1">
        <w:rPr>
          <w:lang w:val="es-ES"/>
        </w:rPr>
        <w:t> </w:t>
      </w:r>
      <w:r w:rsidRPr="00591CB7">
        <w:rPr>
          <w:lang w:val="es-ES"/>
        </w:rPr>
        <w:t>BDT. Si el Consejo apoya la elaboración de un plan de personal para una nueva Oficina Zonal, el plan se someterá a la consideración de los Estados Miembros antes de la</w:t>
      </w:r>
      <w:r w:rsidR="00FA29C1">
        <w:rPr>
          <w:lang w:val="es-ES"/>
        </w:rPr>
        <w:t> </w:t>
      </w:r>
      <w:r w:rsidRPr="00591CB7">
        <w:rPr>
          <w:lang w:val="es-ES"/>
        </w:rPr>
        <w:t>PP-26.</w:t>
      </w:r>
    </w:p>
    <w:p w14:paraId="49742DC4" w14:textId="77777777" w:rsidR="00591CB7" w:rsidRPr="00591CB7" w:rsidRDefault="00591CB7" w:rsidP="00B14ACD">
      <w:pPr>
        <w:jc w:val="both"/>
        <w:rPr>
          <w:lang w:val="es-ES"/>
        </w:rPr>
      </w:pPr>
      <w:r w:rsidRPr="00591CB7">
        <w:rPr>
          <w:lang w:val="es-ES"/>
        </w:rPr>
        <w:t>2.3</w:t>
      </w:r>
      <w:r w:rsidRPr="00591CB7">
        <w:rPr>
          <w:lang w:val="es-ES"/>
        </w:rPr>
        <w:tab/>
        <w:t>Los consejeros y observadores expresan su firme apoyo a la propuesta y señalan la importancia de acelerar el proceso de transformación digital, que es esencial para la resiliencia, la inclusión y el desarrollo sostenible en toda la región del Pacífico. Varios consejeros subrayan que la experiencia en todo el sistema de las Naciones Unidas ha demostrado que la proximidad de las oficinas mejora considerablemente la ejecución de los programas, la coordinación y la capacidad de respuesta en las regiones geográficamente dispersas y vulnerables.</w:t>
      </w:r>
    </w:p>
    <w:p w14:paraId="090C8E99" w14:textId="0D9A0F84" w:rsidR="00591CB7" w:rsidRPr="00591CB7" w:rsidRDefault="00591CB7" w:rsidP="00B14ACD">
      <w:pPr>
        <w:jc w:val="both"/>
        <w:rPr>
          <w:lang w:val="es-ES"/>
        </w:rPr>
      </w:pPr>
      <w:r w:rsidRPr="00591CB7">
        <w:rPr>
          <w:lang w:val="es-ES"/>
        </w:rPr>
        <w:t>2.4</w:t>
      </w:r>
      <w:r w:rsidRPr="00591CB7">
        <w:rPr>
          <w:lang w:val="es-ES"/>
        </w:rPr>
        <w:tab/>
        <w:t xml:space="preserve">Los consejeros </w:t>
      </w:r>
      <w:r w:rsidR="002B139C">
        <w:rPr>
          <w:lang w:val="es-ES"/>
        </w:rPr>
        <w:t xml:space="preserve">y observadores, incluidos los </w:t>
      </w:r>
      <w:r w:rsidRPr="00591CB7">
        <w:rPr>
          <w:lang w:val="es-ES"/>
        </w:rPr>
        <w:t xml:space="preserve">que representan a los pequeños Estados insulares en desarrollo (PEID) y a los países de la región </w:t>
      </w:r>
      <w:r w:rsidR="000F7CDE">
        <w:rPr>
          <w:lang w:val="es-ES"/>
        </w:rPr>
        <w:t>Asia-</w:t>
      </w:r>
      <w:r w:rsidRPr="00591CB7">
        <w:rPr>
          <w:lang w:val="es-ES"/>
        </w:rPr>
        <w:t>Pacífico expresan su solidaridad con los desafíos que afronta la región del Pacífico. En ese contexto, el consejero de Malasia señala que la creación de una Oficina Zonal estaría en consonancia con su compromiso de la Coalición Digital Partner2Connect de apoyar el desarrollo de las zonas vulnerables, los</w:t>
      </w:r>
      <w:r w:rsidR="009053EA">
        <w:rPr>
          <w:lang w:val="es-ES"/>
        </w:rPr>
        <w:t> </w:t>
      </w:r>
      <w:r w:rsidRPr="00591CB7">
        <w:rPr>
          <w:lang w:val="es-ES"/>
        </w:rPr>
        <w:t>PEID y los países menos adelantados.</w:t>
      </w:r>
    </w:p>
    <w:p w14:paraId="41C7479E" w14:textId="0DFC8F65" w:rsidR="00591CB7" w:rsidRPr="00591CB7" w:rsidRDefault="00591CB7" w:rsidP="00B14ACD">
      <w:pPr>
        <w:jc w:val="both"/>
        <w:rPr>
          <w:lang w:val="es-ES"/>
        </w:rPr>
      </w:pPr>
      <w:r w:rsidRPr="00591CB7">
        <w:rPr>
          <w:lang w:val="es-ES"/>
        </w:rPr>
        <w:t>2.5</w:t>
      </w:r>
      <w:r w:rsidRPr="00591CB7">
        <w:rPr>
          <w:lang w:val="es-ES"/>
        </w:rPr>
        <w:tab/>
        <w:t>Sin embargo, varios consejeros señalan a la atención de los presentes la necesidad de garantizar una financiación adecuada y previsible, incluida la dotación de personal, para apoyar la creación de una nueva oficina, y agradecerían recibir información adicional al respecto. Es responsabilidad del Consejo examinar la buena gobernanza y la sostenibilidad financiera de la</w:t>
      </w:r>
      <w:r w:rsidR="00FA29C1">
        <w:rPr>
          <w:lang w:val="es-ES"/>
        </w:rPr>
        <w:t> </w:t>
      </w:r>
      <w:r w:rsidRPr="00591CB7">
        <w:rPr>
          <w:lang w:val="es-ES"/>
        </w:rPr>
        <w:t>UIT. Se apoya que el</w:t>
      </w:r>
      <w:r w:rsidR="00FA29C1">
        <w:rPr>
          <w:lang w:val="es-ES"/>
        </w:rPr>
        <w:t> </w:t>
      </w:r>
      <w:r w:rsidRPr="00591CB7">
        <w:rPr>
          <w:lang w:val="es-ES"/>
        </w:rPr>
        <w:t>UIT</w:t>
      </w:r>
      <w:r w:rsidR="00FA29C1">
        <w:rPr>
          <w:lang w:val="es-ES"/>
        </w:rPr>
        <w:noBreakHyphen/>
      </w:r>
      <w:r w:rsidRPr="00591CB7">
        <w:rPr>
          <w:lang w:val="es-ES"/>
        </w:rPr>
        <w:t>D pueda elaborar un informe detallado sobre cómo garantizar un apoyo estable y a largo plazo a la región del Pacífico a tiempo para la reunión de</w:t>
      </w:r>
      <w:r w:rsidR="00687685">
        <w:rPr>
          <w:lang w:val="es-ES"/>
        </w:rPr>
        <w:t> </w:t>
      </w:r>
      <w:r w:rsidRPr="00591CB7">
        <w:rPr>
          <w:lang w:val="es-ES"/>
        </w:rPr>
        <w:t>2027 del Consejo. Cabe esperar que se tengan en cuenta las experiencias operativas de otras oficinas zonales, en particular la que se inauguró en la India en 2023.</w:t>
      </w:r>
    </w:p>
    <w:p w14:paraId="15134F8B" w14:textId="781682E7" w:rsidR="00591CB7" w:rsidRPr="00591CB7" w:rsidRDefault="00591CB7" w:rsidP="00B14ACD">
      <w:pPr>
        <w:jc w:val="both"/>
        <w:rPr>
          <w:lang w:val="es-ES"/>
        </w:rPr>
      </w:pPr>
      <w:r w:rsidRPr="00591CB7">
        <w:rPr>
          <w:lang w:val="es-ES"/>
        </w:rPr>
        <w:t>2.6</w:t>
      </w:r>
      <w:r w:rsidRPr="00591CB7">
        <w:rPr>
          <w:lang w:val="es-ES"/>
        </w:rPr>
        <w:tab/>
        <w:t xml:space="preserve">El Consejo se muestra en principio </w:t>
      </w:r>
      <w:r w:rsidRPr="00591CB7">
        <w:rPr>
          <w:b/>
          <w:bCs/>
          <w:lang w:val="es-ES"/>
        </w:rPr>
        <w:t>de acuerdo</w:t>
      </w:r>
      <w:r w:rsidRPr="00591CB7">
        <w:rPr>
          <w:lang w:val="es-ES"/>
        </w:rPr>
        <w:t xml:space="preserve"> con el establecimiento de una presencia en el Pacífico y</w:t>
      </w:r>
      <w:r w:rsidRPr="00591CB7">
        <w:rPr>
          <w:b/>
          <w:bCs/>
          <w:lang w:val="es-ES"/>
        </w:rPr>
        <w:t xml:space="preserve"> solicita</w:t>
      </w:r>
      <w:r w:rsidRPr="00591CB7">
        <w:rPr>
          <w:lang w:val="es-ES"/>
        </w:rPr>
        <w:t xml:space="preserve"> que la Secretaría elabore opciones concretas y un proyecto de plan de establecimiento para una Oficina Zonal en el Pacífico, incluido un análisis financiero detallado de los recursos, la dotación de personal y las opciones de acogida y financiación, y lo presente a la consideración de la</w:t>
      </w:r>
      <w:r w:rsidR="00687685">
        <w:rPr>
          <w:lang w:val="es-ES"/>
        </w:rPr>
        <w:t> </w:t>
      </w:r>
      <w:r w:rsidRPr="00591CB7">
        <w:rPr>
          <w:lang w:val="es-ES"/>
        </w:rPr>
        <w:t>PP-26.</w:t>
      </w:r>
    </w:p>
    <w:p w14:paraId="20DF447D" w14:textId="5D644A8C" w:rsidR="00591CB7" w:rsidRPr="00591CB7" w:rsidRDefault="00591CB7" w:rsidP="00591CB7">
      <w:pPr>
        <w:pStyle w:val="Heading1"/>
        <w:rPr>
          <w:lang w:val="es-ES"/>
        </w:rPr>
      </w:pPr>
      <w:r w:rsidRPr="00591CB7">
        <w:rPr>
          <w:lang w:val="es-ES"/>
        </w:rPr>
        <w:lastRenderedPageBreak/>
        <w:t>3</w:t>
      </w:r>
      <w:r w:rsidRPr="00591CB7">
        <w:rPr>
          <w:lang w:val="es-ES"/>
        </w:rPr>
        <w:tab/>
        <w:t>Examen de la presencia regional de la</w:t>
      </w:r>
      <w:r w:rsidR="00FA29C1">
        <w:rPr>
          <w:lang w:val="es-ES"/>
        </w:rPr>
        <w:t> </w:t>
      </w:r>
      <w:r w:rsidRPr="00591CB7">
        <w:rPr>
          <w:lang w:val="es-ES"/>
        </w:rPr>
        <w:t xml:space="preserve">UIT </w:t>
      </w:r>
      <w:r w:rsidR="00B14ACD">
        <w:rPr>
          <w:lang w:val="es-ES"/>
        </w:rPr>
        <w:br/>
      </w:r>
      <w:r w:rsidRPr="00591CB7">
        <w:rPr>
          <w:lang w:val="es-ES"/>
        </w:rPr>
        <w:t>(Documentos</w:t>
      </w:r>
      <w:r>
        <w:rPr>
          <w:lang w:val="es-ES"/>
        </w:rPr>
        <w:t> </w:t>
      </w:r>
      <w:hyperlink r:id="rId14" w:history="1">
        <w:proofErr w:type="spellStart"/>
        <w:r w:rsidRPr="00591CB7">
          <w:rPr>
            <w:rStyle w:val="Hyperlink"/>
            <w:rFonts w:eastAsia="Times New Roman" w:cs="Times New Roman"/>
            <w:szCs w:val="20"/>
            <w:lang w:val="es-ES"/>
          </w:rPr>
          <w:t>C26</w:t>
        </w:r>
        <w:proofErr w:type="spellEnd"/>
        <w:r w:rsidRPr="00591CB7">
          <w:rPr>
            <w:rStyle w:val="Hyperlink"/>
            <w:rFonts w:eastAsia="Times New Roman" w:cs="Times New Roman"/>
            <w:szCs w:val="20"/>
            <w:lang w:val="es-ES"/>
          </w:rPr>
          <w:t>/24</w:t>
        </w:r>
      </w:hyperlink>
      <w:r w:rsidRPr="00591CB7">
        <w:rPr>
          <w:lang w:val="es-ES"/>
        </w:rPr>
        <w:t xml:space="preserve"> y </w:t>
      </w:r>
      <w:hyperlink r:id="rId15" w:history="1">
        <w:proofErr w:type="spellStart"/>
        <w:r w:rsidRPr="00591CB7">
          <w:rPr>
            <w:rStyle w:val="Hyperlink"/>
            <w:rFonts w:eastAsia="Times New Roman" w:cs="Times New Roman"/>
            <w:szCs w:val="20"/>
            <w:lang w:val="es-ES"/>
          </w:rPr>
          <w:t>C26</w:t>
        </w:r>
        <w:proofErr w:type="spellEnd"/>
        <w:r w:rsidRPr="00591CB7">
          <w:rPr>
            <w:rStyle w:val="Hyperlink"/>
            <w:rFonts w:eastAsia="Times New Roman" w:cs="Times New Roman"/>
            <w:szCs w:val="20"/>
            <w:lang w:val="es-ES"/>
          </w:rPr>
          <w:t>/108</w:t>
        </w:r>
      </w:hyperlink>
      <w:r w:rsidRPr="00591CB7">
        <w:rPr>
          <w:lang w:val="es-ES"/>
        </w:rPr>
        <w:t>)</w:t>
      </w:r>
      <w:hyperlink r:id="rId16" w:history="1"/>
      <w:hyperlink r:id="rId17" w:history="1"/>
    </w:p>
    <w:p w14:paraId="305343B5" w14:textId="78D25AB0" w:rsidR="00591CB7" w:rsidRPr="00591CB7" w:rsidRDefault="00591CB7" w:rsidP="00B14ACD">
      <w:pPr>
        <w:jc w:val="both"/>
        <w:rPr>
          <w:lang w:val="es-ES"/>
        </w:rPr>
      </w:pPr>
      <w:r w:rsidRPr="00591CB7">
        <w:rPr>
          <w:lang w:val="es-ES"/>
        </w:rPr>
        <w:t>3.1</w:t>
      </w:r>
      <w:r w:rsidRPr="00591CB7">
        <w:rPr>
          <w:lang w:val="es-ES"/>
        </w:rPr>
        <w:tab/>
        <w:t>La Directora Adjunta de la</w:t>
      </w:r>
      <w:r w:rsidR="00FA29C1">
        <w:rPr>
          <w:lang w:val="es-ES"/>
        </w:rPr>
        <w:t> </w:t>
      </w:r>
      <w:r w:rsidRPr="00591CB7">
        <w:rPr>
          <w:lang w:val="es-ES"/>
        </w:rPr>
        <w:t>BDT presenta el Documento</w:t>
      </w:r>
      <w:r w:rsidR="00FA29C1">
        <w:rPr>
          <w:lang w:val="es-ES"/>
        </w:rPr>
        <w:t> </w:t>
      </w:r>
      <w:r w:rsidRPr="00591CB7">
        <w:rPr>
          <w:lang w:val="es-ES"/>
        </w:rPr>
        <w:t>C26/24, en el que se informa sobre el examen de la presencia regional de la</w:t>
      </w:r>
      <w:r w:rsidR="00FA29C1">
        <w:rPr>
          <w:lang w:val="es-ES"/>
        </w:rPr>
        <w:t> </w:t>
      </w:r>
      <w:r w:rsidRPr="00591CB7">
        <w:rPr>
          <w:lang w:val="es-ES"/>
        </w:rPr>
        <w:t>UIT realizado de conformidad con las recomendaciones del Consejo de 2025 y el mandato acordado. Contiene, entre otras cosas, una visión general de la estructura, el calendario y los productos del examen, y un resumen de las principales conclusiones, incluidos los puntos fuertes y las posibilidades de mejora. En el Documento</w:t>
      </w:r>
      <w:r w:rsidR="00FA29C1">
        <w:rPr>
          <w:lang w:val="es-ES"/>
        </w:rPr>
        <w:t> </w:t>
      </w:r>
      <w:proofErr w:type="spellStart"/>
      <w:r>
        <w:fldChar w:fldCharType="begin"/>
      </w:r>
      <w:r>
        <w:instrText>HYPERLINK "https://www.itu.int/md/S26-CL-INF-0010/es"</w:instrText>
      </w:r>
      <w:r>
        <w:fldChar w:fldCharType="separate"/>
      </w:r>
      <w:r w:rsidRPr="00591CB7">
        <w:rPr>
          <w:rStyle w:val="Hyperlink"/>
          <w:rFonts w:eastAsia="Times New Roman" w:cs="Times New Roman"/>
          <w:szCs w:val="20"/>
          <w:lang w:val="es-ES"/>
        </w:rPr>
        <w:t>C26</w:t>
      </w:r>
      <w:proofErr w:type="spellEnd"/>
      <w:r w:rsidRPr="00591CB7">
        <w:rPr>
          <w:rStyle w:val="Hyperlink"/>
          <w:rFonts w:eastAsia="Times New Roman" w:cs="Times New Roman"/>
          <w:szCs w:val="20"/>
          <w:lang w:val="es-ES"/>
        </w:rPr>
        <w:t>/INF/10</w:t>
      </w:r>
      <w:r>
        <w:fldChar w:fldCharType="end"/>
      </w:r>
      <w:r w:rsidRPr="00591CB7">
        <w:rPr>
          <w:lang w:val="es-ES"/>
        </w:rPr>
        <w:t xml:space="preserve"> se ofrece más información sobre la metodología y las conclusiones detalladas.</w:t>
      </w:r>
      <w:hyperlink r:id="rId18"/>
    </w:p>
    <w:p w14:paraId="0559377F" w14:textId="214D1FAA" w:rsidR="00591CB7" w:rsidRPr="00591CB7" w:rsidRDefault="00591CB7" w:rsidP="00B14ACD">
      <w:pPr>
        <w:jc w:val="both"/>
        <w:rPr>
          <w:lang w:val="es-ES"/>
        </w:rPr>
      </w:pPr>
      <w:r w:rsidRPr="00591CB7">
        <w:rPr>
          <w:lang w:val="es-ES"/>
        </w:rPr>
        <w:t>3.2</w:t>
      </w:r>
      <w:r w:rsidRPr="00591CB7">
        <w:rPr>
          <w:lang w:val="es-ES"/>
        </w:rPr>
        <w:tab/>
        <w:t>La Presidenta del Grupo Asesor de Desarrollo de las Telecomunicaciones (GADT) presenta la declaración de coordinación del</w:t>
      </w:r>
      <w:r w:rsidR="00FA29C1">
        <w:rPr>
          <w:lang w:val="es-ES"/>
        </w:rPr>
        <w:t> </w:t>
      </w:r>
      <w:r w:rsidRPr="00591CB7">
        <w:rPr>
          <w:lang w:val="es-ES"/>
        </w:rPr>
        <w:t>GADT al Consejo sobre el informe sobre el examen de la presencia regional de la</w:t>
      </w:r>
      <w:r w:rsidR="00FA29C1">
        <w:rPr>
          <w:lang w:val="es-ES"/>
        </w:rPr>
        <w:t> </w:t>
      </w:r>
      <w:r w:rsidRPr="00591CB7">
        <w:rPr>
          <w:lang w:val="es-ES"/>
        </w:rPr>
        <w:t>UIT, que figura en el Documento</w:t>
      </w:r>
      <w:r w:rsidR="00FA29C1">
        <w:rPr>
          <w:lang w:val="es-ES"/>
        </w:rPr>
        <w:t> </w:t>
      </w:r>
      <w:r w:rsidRPr="00591CB7">
        <w:rPr>
          <w:lang w:val="es-ES"/>
        </w:rPr>
        <w:t>C26/108. El</w:t>
      </w:r>
      <w:r w:rsidR="00FA29C1">
        <w:rPr>
          <w:lang w:val="es-ES"/>
        </w:rPr>
        <w:t> </w:t>
      </w:r>
      <w:r w:rsidRPr="00591CB7">
        <w:rPr>
          <w:lang w:val="es-ES"/>
        </w:rPr>
        <w:t>GADT acoge con beneplácito el examen, refrenda la función primordial de las Oficinas Regionales y Zonales y reconoce los altos niveles de satisfacción comunicados. Se toma nota de las oportunidades de mejora identificadas y aguarda con interés un debate más detallado de las conclusiones.</w:t>
      </w:r>
    </w:p>
    <w:p w14:paraId="4AB2B437" w14:textId="303CE118" w:rsidR="00591CB7" w:rsidRPr="00591CB7" w:rsidRDefault="00591CB7" w:rsidP="00B14ACD">
      <w:pPr>
        <w:jc w:val="both"/>
        <w:rPr>
          <w:lang w:val="es-ES"/>
        </w:rPr>
      </w:pPr>
      <w:r w:rsidRPr="00591CB7">
        <w:rPr>
          <w:lang w:val="es-ES"/>
        </w:rPr>
        <w:t>3.3</w:t>
      </w:r>
      <w:r w:rsidRPr="00591CB7">
        <w:rPr>
          <w:lang w:val="es-ES"/>
        </w:rPr>
        <w:tab/>
        <w:t>Los consejeros acogen con beneplácito el examen exhaustivo realizado dentro de los recursos existentes y con la participación de los Estados Miembros y aprecian las conclusiones positivas en el sentido de que la presencia regional está funcionando adecuadamente y de que las Oficinas Regionales son fundamentales para la prestación de apoyo de la</w:t>
      </w:r>
      <w:r w:rsidR="00FA29C1">
        <w:rPr>
          <w:lang w:val="es-ES"/>
        </w:rPr>
        <w:t> </w:t>
      </w:r>
      <w:r w:rsidRPr="00591CB7">
        <w:rPr>
          <w:lang w:val="es-ES"/>
        </w:rPr>
        <w:t>UIT a los Estados Miembros, especialmente a los países en desarrollo. Insistieron en que la presencia regional debe fortalecerse aún más para responder a las expectativas crecientes y a las necesidades específicas de cada región. Un consejero pide que las iniciativas regionales se ajusten mejor a los retos prioritarios identificados por los gobiernos, y que las actividades regionales estén más estratégicamente arraigadas, sean más coherentes con los marcos de desarrollo y estén mejor posicionadas para atraer un apoyo sostenido a la implementación.</w:t>
      </w:r>
    </w:p>
    <w:p w14:paraId="44B87AD8" w14:textId="601253FB" w:rsidR="00591CB7" w:rsidRPr="00591CB7" w:rsidRDefault="00591CB7" w:rsidP="00B14ACD">
      <w:pPr>
        <w:jc w:val="both"/>
        <w:rPr>
          <w:lang w:val="es-ES"/>
        </w:rPr>
      </w:pPr>
      <w:r w:rsidRPr="00591CB7">
        <w:rPr>
          <w:lang w:val="es-ES"/>
        </w:rPr>
        <w:t>3.4</w:t>
      </w:r>
      <w:r w:rsidRPr="00591CB7">
        <w:rPr>
          <w:lang w:val="es-ES"/>
        </w:rPr>
        <w:tab/>
        <w:t>Numerosos consejeros consideran que las Oficinas Regionales y Zonales son activos estratégicos para cumplir el mandato de la</w:t>
      </w:r>
      <w:r w:rsidR="00FA29C1">
        <w:rPr>
          <w:lang w:val="es-ES"/>
        </w:rPr>
        <w:t> </w:t>
      </w:r>
      <w:r w:rsidRPr="00591CB7">
        <w:rPr>
          <w:lang w:val="es-ES"/>
        </w:rPr>
        <w:t>UIT. Para muchos países sirven de interfaz principal con la Unión y deben dotarse de recursos suficientes para responder a las crecientes expectativas. Muchos consejeros reiteran su apoyo a las conclusiones del examen y subrayan la necesidad de abordar las carencias de personal y los retrasos en la contratación.</w:t>
      </w:r>
    </w:p>
    <w:p w14:paraId="744D9AA4" w14:textId="3AA172CE" w:rsidR="00591CB7" w:rsidRPr="00591CB7" w:rsidRDefault="00591CB7" w:rsidP="00B14ACD">
      <w:pPr>
        <w:jc w:val="both"/>
        <w:rPr>
          <w:lang w:val="es-ES"/>
        </w:rPr>
      </w:pPr>
      <w:r w:rsidRPr="00591CB7">
        <w:rPr>
          <w:lang w:val="es-ES"/>
        </w:rPr>
        <w:t>3.5</w:t>
      </w:r>
      <w:r w:rsidRPr="00591CB7">
        <w:rPr>
          <w:lang w:val="es-ES"/>
        </w:rPr>
        <w:tab/>
        <w:t>Algunos consejeros proponen que las Oficinas Regionales cuenten con personal especializado en los tres Sectores de la Unión, no s</w:t>
      </w:r>
      <w:r w:rsidR="000D7CD6">
        <w:rPr>
          <w:lang w:val="es-ES"/>
        </w:rPr>
        <w:t>o</w:t>
      </w:r>
      <w:r w:rsidRPr="00591CB7">
        <w:rPr>
          <w:lang w:val="es-ES"/>
        </w:rPr>
        <w:t>lo en el UIT-D, y que las actividades regionales se lleven a cabo de manera equilibrada en los tres Sectores. Una consejera pide que las tres Oficinas estén físicamente presentes en su región y sugiere que algunas funciones de adopción de decisiones operativas y programáticas podrían delegarse en las Oficinas Regionales, reduciendo así los retrasos en los procedimientos y asegurando una respuesta más rápida. Otro consejero pide una coordinación eficaz entre el plano regional y la Sede, con una supervisión adecuada, y una mayor colaboración con otras organizaciones internacionales para mancomunar competencias y recursos, y subraya la necesidad de tener en cuenta las iniciativas de las Naciones Unidas-80. Otro consejero, si bien apoya la coordinación con los organismos de las Naciones Unidas para apoyar eficazmente el trabajo regional, expresa dudas sobre la viabilidad de la descentralización de los trabajos del Sector de Radiocomunicaciones y Normalización, destaca la importancia de evitar la duplicación de esfuerzos entre las Oficinas Regionales y la Sede, y sugiere que se evalúen las repercusiones financieras de esas decisiones.</w:t>
      </w:r>
    </w:p>
    <w:p w14:paraId="60326E2D" w14:textId="568E9369" w:rsidR="00591CB7" w:rsidRPr="00591CB7" w:rsidRDefault="00591CB7" w:rsidP="00B14ACD">
      <w:pPr>
        <w:jc w:val="both"/>
        <w:rPr>
          <w:lang w:val="es-ES"/>
        </w:rPr>
      </w:pPr>
      <w:r w:rsidRPr="00591CB7">
        <w:rPr>
          <w:lang w:val="es-ES"/>
        </w:rPr>
        <w:lastRenderedPageBreak/>
        <w:t>3.6</w:t>
      </w:r>
      <w:r w:rsidRPr="00591CB7">
        <w:rPr>
          <w:lang w:val="es-ES"/>
        </w:rPr>
        <w:tab/>
        <w:t>Un consejero dice que, si bien el examen ha identificado importantes ámbitos de mejora, debería haber explicado las razones subyacentes de los problemas que persisten. Pide una mayor claridad sobre las causas fundamentales, las estrategias propuestas necesarias, las responsabilidades respectivas para la aplicación y los plazos previstos. Otro consejero pide recursos adecuados y previsibles para las Oficinas Regionales, especialmente en las regiones en desarrollo, y una mejora de la dotación de personal, la contratación y la ejecución de proyectos. También se necesitan indicadores fundamentales de rendimiento más claros para mejorar la eficacia. Un consejero pregunta si el informe se ha compartido con el</w:t>
      </w:r>
      <w:r w:rsidR="00C323EC">
        <w:rPr>
          <w:lang w:val="es-ES"/>
        </w:rPr>
        <w:t xml:space="preserve"> </w:t>
      </w:r>
      <w:r w:rsidR="00C323EC" w:rsidRPr="00C323EC">
        <w:rPr>
          <w:lang w:val="es-ES"/>
        </w:rPr>
        <w:t xml:space="preserve">Comité Asesor Independiente sobre la Gestión </w:t>
      </w:r>
      <w:r w:rsidR="00C323EC">
        <w:rPr>
          <w:lang w:val="es-ES"/>
        </w:rPr>
        <w:t>(</w:t>
      </w:r>
      <w:r w:rsidRPr="00591CB7">
        <w:rPr>
          <w:lang w:val="es-ES"/>
        </w:rPr>
        <w:t>CAIG</w:t>
      </w:r>
      <w:r w:rsidR="00C323EC">
        <w:rPr>
          <w:lang w:val="es-ES"/>
        </w:rPr>
        <w:t>)</w:t>
      </w:r>
      <w:r w:rsidRPr="00591CB7">
        <w:rPr>
          <w:lang w:val="es-ES"/>
        </w:rPr>
        <w:t xml:space="preserve"> y los auditores externos.</w:t>
      </w:r>
    </w:p>
    <w:p w14:paraId="09B9A412" w14:textId="17732980" w:rsidR="00591CB7" w:rsidRPr="00591CB7" w:rsidRDefault="00591CB7" w:rsidP="00B14ACD">
      <w:pPr>
        <w:jc w:val="both"/>
        <w:rPr>
          <w:lang w:val="es-ES"/>
        </w:rPr>
      </w:pPr>
      <w:r w:rsidRPr="00591CB7">
        <w:rPr>
          <w:lang w:val="es-ES"/>
        </w:rPr>
        <w:t>3.7</w:t>
      </w:r>
      <w:r w:rsidRPr="00591CB7">
        <w:rPr>
          <w:lang w:val="es-ES"/>
        </w:rPr>
        <w:tab/>
        <w:t>Un consejero dice que el examen actual debe basarse en evaluaciones anteriores, como el examen de la presencia regional de la</w:t>
      </w:r>
      <w:r w:rsidR="00FA29C1">
        <w:rPr>
          <w:lang w:val="es-ES"/>
        </w:rPr>
        <w:t> </w:t>
      </w:r>
      <w:r w:rsidRPr="00591CB7">
        <w:rPr>
          <w:lang w:val="es-ES"/>
        </w:rPr>
        <w:t>UIT realizado por PwC en 2019. Otro consejero observa que muchas de las conclusiones son coherentes con las del examen de</w:t>
      </w:r>
      <w:r w:rsidR="00C323EC">
        <w:rPr>
          <w:lang w:val="es-ES"/>
        </w:rPr>
        <w:t> </w:t>
      </w:r>
      <w:r w:rsidRPr="00591CB7">
        <w:rPr>
          <w:lang w:val="es-ES"/>
        </w:rPr>
        <w:t>PwC y que se necesitan medidas tangibles. Señala a la atención de los presentes los comentarios de los auditores externos sobre el elevado costo de las operaciones en Ginebra y pide que se descentralice como parte de un examen de todo el modelo de funcionamiento de la</w:t>
      </w:r>
      <w:r w:rsidR="00FA29C1">
        <w:rPr>
          <w:lang w:val="es-ES"/>
        </w:rPr>
        <w:t> </w:t>
      </w:r>
      <w:r w:rsidRPr="00591CB7">
        <w:rPr>
          <w:lang w:val="es-ES"/>
        </w:rPr>
        <w:t>UIT.</w:t>
      </w:r>
    </w:p>
    <w:p w14:paraId="31D7F359" w14:textId="341AC1FC" w:rsidR="00591CB7" w:rsidRPr="00591CB7" w:rsidRDefault="00591CB7" w:rsidP="00B14ACD">
      <w:pPr>
        <w:jc w:val="both"/>
        <w:rPr>
          <w:lang w:val="es-ES"/>
        </w:rPr>
      </w:pPr>
      <w:r w:rsidRPr="00591CB7">
        <w:rPr>
          <w:lang w:val="es-ES"/>
        </w:rPr>
        <w:t>3.8</w:t>
      </w:r>
      <w:r w:rsidRPr="00591CB7">
        <w:rPr>
          <w:lang w:val="es-ES"/>
        </w:rPr>
        <w:tab/>
        <w:t>Se agradecería que se informara con mayor claridad sobre los progresos realizados, las cuestiones pendientes y las medidas necesarias antes de la</w:t>
      </w:r>
      <w:r w:rsidR="00C323EC">
        <w:rPr>
          <w:lang w:val="es-ES"/>
        </w:rPr>
        <w:t> </w:t>
      </w:r>
      <w:r w:rsidRPr="00591CB7">
        <w:rPr>
          <w:lang w:val="es-ES"/>
        </w:rPr>
        <w:t>PP-26, así como información sobre los próximos pasos. Un consejero se muestra partidario de continuar el examen para garantizar que la presencia regional se mantiene en consonancia con las necesidades de los miembros. Otra consejera, observando que persisten las condiciones que impulsaron la contribución de su país sobre la presencia regional a la reunión de</w:t>
      </w:r>
      <w:r w:rsidR="00C323EC">
        <w:rPr>
          <w:lang w:val="es-ES"/>
        </w:rPr>
        <w:t> </w:t>
      </w:r>
      <w:r w:rsidRPr="00591CB7">
        <w:rPr>
          <w:lang w:val="es-ES"/>
        </w:rPr>
        <w:t>2024 del Consejo, pide que se tomen medidas tangibles para fortalecer los tres Sectores de la Unión a través de las Oficinas Regionales.</w:t>
      </w:r>
    </w:p>
    <w:p w14:paraId="449F68A3" w14:textId="730B8049" w:rsidR="00591CB7" w:rsidRPr="00591CB7" w:rsidRDefault="00591CB7" w:rsidP="00901B93">
      <w:pPr>
        <w:jc w:val="both"/>
        <w:rPr>
          <w:lang w:val="es-ES"/>
        </w:rPr>
      </w:pPr>
      <w:r w:rsidRPr="00591CB7">
        <w:rPr>
          <w:lang w:val="es-ES"/>
        </w:rPr>
        <w:t>3.9</w:t>
      </w:r>
      <w:r w:rsidRPr="00591CB7">
        <w:rPr>
          <w:lang w:val="es-ES"/>
        </w:rPr>
        <w:tab/>
        <w:t>La Directora Adjunta de la</w:t>
      </w:r>
      <w:r w:rsidR="00FA29C1">
        <w:rPr>
          <w:lang w:val="es-ES"/>
        </w:rPr>
        <w:t> </w:t>
      </w:r>
      <w:r w:rsidRPr="00591CB7">
        <w:rPr>
          <w:lang w:val="es-ES"/>
        </w:rPr>
        <w:t>BDT agradece a los consejeros su apoyo y sus constructivas observaciones. En respuesta a los comentarios, dice que el examen se había basado en una serie de contribuciones para garantizar que el análisis fuera exhaustivo y reflejara las diversas opiniones de los miembros. Si bien entiende que los consejeros están deseosos de conocer los próximos pasos, la intención en la etapa actual no es adelantar recomendaciones preceptivas, sino presentar la base empírica de manera clara y coherente para que los miembros puedan considerar las conclusiones y determinar la dirección a seguir. En el Documento</w:t>
      </w:r>
      <w:r w:rsidR="00FA29C1">
        <w:rPr>
          <w:lang w:val="es-ES"/>
        </w:rPr>
        <w:t> </w:t>
      </w:r>
      <w:r w:rsidRPr="00591CB7">
        <w:rPr>
          <w:lang w:val="es-ES"/>
        </w:rPr>
        <w:t>C26/24 se sintetizan los datos de todas las fuentes y se presentan las principales conclusiones del examen. Las conclusiones detalladas se presentaron al</w:t>
      </w:r>
      <w:r w:rsidR="00C323EC">
        <w:rPr>
          <w:lang w:val="es-ES"/>
        </w:rPr>
        <w:t> </w:t>
      </w:r>
      <w:r w:rsidRPr="00591CB7">
        <w:rPr>
          <w:lang w:val="es-ES"/>
        </w:rPr>
        <w:t>CAIG, que las acoge con agrado. A lo largo del proceso de examen, los informes se han compartido con los Auditores Externo e Interno, la Oficina de Ética, diversos Grupos de Trabajo del Consejo y órganos asesores, y se han tenido en cuenta las observaciones recibidas.</w:t>
      </w:r>
    </w:p>
    <w:p w14:paraId="327DFDBF" w14:textId="52587713" w:rsidR="00591CB7" w:rsidRPr="00DA307A" w:rsidRDefault="00591CB7" w:rsidP="00901B93">
      <w:pPr>
        <w:jc w:val="both"/>
        <w:rPr>
          <w:spacing w:val="-2"/>
          <w:lang w:val="es-ES"/>
        </w:rPr>
      </w:pPr>
      <w:r w:rsidRPr="00DA307A">
        <w:rPr>
          <w:spacing w:val="-2"/>
          <w:lang w:val="es-ES"/>
        </w:rPr>
        <w:t>3.10</w:t>
      </w:r>
      <w:r w:rsidRPr="00DA307A">
        <w:rPr>
          <w:spacing w:val="-2"/>
          <w:lang w:val="es-ES"/>
        </w:rPr>
        <w:tab/>
        <w:t>El Director de la</w:t>
      </w:r>
      <w:r w:rsidR="00FA29C1" w:rsidRPr="00DA307A">
        <w:rPr>
          <w:spacing w:val="-2"/>
          <w:lang w:val="es-ES"/>
        </w:rPr>
        <w:t> </w:t>
      </w:r>
      <w:r w:rsidRPr="00DA307A">
        <w:rPr>
          <w:spacing w:val="-2"/>
          <w:lang w:val="es-ES"/>
        </w:rPr>
        <w:t>BDT explica que la</w:t>
      </w:r>
      <w:r w:rsidR="00FA29C1" w:rsidRPr="00DA307A">
        <w:rPr>
          <w:spacing w:val="-2"/>
          <w:lang w:val="es-ES"/>
        </w:rPr>
        <w:t> </w:t>
      </w:r>
      <w:r w:rsidRPr="00DA307A">
        <w:rPr>
          <w:spacing w:val="-2"/>
          <w:lang w:val="es-ES"/>
        </w:rPr>
        <w:t>BDT trabaja ininterrumpidamente con sus Oficinas Regionales a través de un Comité Ejecutivo integrado por los Jefes de Departamento de la Sede y los Directores Regionales. La planificación operacional, la formulación, supervisión y evaluación de proyectos, la clausura de proyectos, las evaluaciones de impacto y las actividades de la Junta de Proyectos se realizan conjuntamente, independientemente de la ubicación del personal. La tecnología permite a la Oficina funcionar como un equipo integrado. En cuanto al número de proyectos en las regiones, la distribución de proyectos no depende exclusivamente de la</w:t>
      </w:r>
      <w:r w:rsidR="00FA29C1" w:rsidRPr="00DA307A">
        <w:rPr>
          <w:spacing w:val="-2"/>
          <w:lang w:val="es-ES"/>
        </w:rPr>
        <w:t> </w:t>
      </w:r>
      <w:r w:rsidRPr="00DA307A">
        <w:rPr>
          <w:spacing w:val="-2"/>
          <w:lang w:val="es-ES"/>
        </w:rPr>
        <w:t xml:space="preserve">BDT. Una parte importante de las actividades depende de la movilización de recursos y de las preferencias de los donantes. Cuando los socios destinan financiación a regiones específicas, como el África </w:t>
      </w:r>
      <w:r w:rsidR="00C323EC" w:rsidRPr="00DA307A">
        <w:rPr>
          <w:spacing w:val="-2"/>
          <w:lang w:val="es-ES"/>
        </w:rPr>
        <w:t>s</w:t>
      </w:r>
      <w:r w:rsidRPr="00DA307A">
        <w:rPr>
          <w:spacing w:val="-2"/>
          <w:lang w:val="es-ES"/>
        </w:rPr>
        <w:t>ubsahariana, el Pacífico o el Caribe, la</w:t>
      </w:r>
      <w:r w:rsidR="00FA29C1" w:rsidRPr="00DA307A">
        <w:rPr>
          <w:spacing w:val="-2"/>
          <w:lang w:val="es-ES"/>
        </w:rPr>
        <w:t> </w:t>
      </w:r>
      <w:r w:rsidRPr="00DA307A">
        <w:rPr>
          <w:spacing w:val="-2"/>
          <w:lang w:val="es-ES"/>
        </w:rPr>
        <w:t>BDT alinea sus esfuerzos en consecuencia. La planificación operacional sigue un proceso de 12</w:t>
      </w:r>
      <w:r w:rsidR="00FA29C1" w:rsidRPr="00DA307A">
        <w:rPr>
          <w:spacing w:val="-2"/>
          <w:lang w:val="es-ES"/>
        </w:rPr>
        <w:t> </w:t>
      </w:r>
      <w:r w:rsidRPr="00DA307A">
        <w:rPr>
          <w:spacing w:val="-2"/>
          <w:lang w:val="es-ES"/>
        </w:rPr>
        <w:t xml:space="preserve">meses regido por las NICSP durante el cual </w:t>
      </w:r>
      <w:r w:rsidRPr="00DA307A">
        <w:rPr>
          <w:spacing w:val="-2"/>
          <w:lang w:val="es-ES"/>
        </w:rPr>
        <w:lastRenderedPageBreak/>
        <w:t>los Estados Miembros identifican sus necesidades. A continuación, las actividades se formulan utilizando un enfoque de gestión basada en los resultados. Las asignaciones presupuestarias se realizan utilizando una metodología normalizada, lo que significa que no debe haber disparidades inherentes entre las regiones. Por lo general, las diferencias surgen de los recursos movilizados desde el exterior y de los acuerdos de cofinanciación. La</w:t>
      </w:r>
      <w:r w:rsidR="00FA29C1" w:rsidRPr="00DA307A">
        <w:rPr>
          <w:spacing w:val="-2"/>
          <w:lang w:val="es-ES"/>
        </w:rPr>
        <w:t> </w:t>
      </w:r>
      <w:r w:rsidRPr="00DA307A">
        <w:rPr>
          <w:spacing w:val="-2"/>
          <w:lang w:val="es-ES"/>
        </w:rPr>
        <w:t>BDT mantiene su compromiso con la inclusión, la equidad, la transparencia y la responsabilidad, y cuenta con pruebas que demuestran estos principios en la práctica.</w:t>
      </w:r>
    </w:p>
    <w:p w14:paraId="267C5BA2" w14:textId="680308AE" w:rsidR="00591CB7" w:rsidRPr="00591CB7" w:rsidRDefault="00591CB7" w:rsidP="00901B93">
      <w:pPr>
        <w:jc w:val="both"/>
        <w:rPr>
          <w:lang w:val="es-ES"/>
        </w:rPr>
      </w:pPr>
      <w:r w:rsidRPr="00591CB7">
        <w:rPr>
          <w:lang w:val="es-ES"/>
        </w:rPr>
        <w:t>3.11</w:t>
      </w:r>
      <w:r w:rsidRPr="00591CB7">
        <w:rPr>
          <w:lang w:val="es-ES"/>
        </w:rPr>
        <w:tab/>
        <w:t>En cuanto a la evaluación de la presencia regional, la</w:t>
      </w:r>
      <w:r w:rsidR="00FA29C1">
        <w:rPr>
          <w:lang w:val="es-ES"/>
        </w:rPr>
        <w:t> </w:t>
      </w:r>
      <w:r w:rsidRPr="00591CB7">
        <w:rPr>
          <w:lang w:val="es-ES"/>
        </w:rPr>
        <w:t>BDT agradece el apoyo de Australia a través de un acuerdo para realizar un estudio de viabilidad y señala que las consultas se están llevando a cabo de conformidad con la Declaración de Lagatoi adoptada por los Ministros de Papua Nueva Guinea. El Director señala que el proceso ha sido amplio y maduro, similar al enfoque seguido anteriormente en el Caribe. En cuanto al examen, en las primeras etapas, la Secretaría recopila los datos solicitados por los Estados Miembros y colabora estrechamente con el</w:t>
      </w:r>
      <w:r w:rsidR="00FA29C1">
        <w:rPr>
          <w:lang w:val="es-ES"/>
        </w:rPr>
        <w:t> </w:t>
      </w:r>
      <w:r w:rsidRPr="00591CB7">
        <w:rPr>
          <w:lang w:val="es-ES"/>
        </w:rPr>
        <w:t>CAIG, que expresa su satisfacción tanto con el proceso de examen como con las conclusiones. La</w:t>
      </w:r>
      <w:r w:rsidR="00FA29C1">
        <w:rPr>
          <w:lang w:val="es-ES"/>
        </w:rPr>
        <w:t> </w:t>
      </w:r>
      <w:r w:rsidRPr="00591CB7">
        <w:rPr>
          <w:lang w:val="es-ES"/>
        </w:rPr>
        <w:t>BDT también informaba periódicamente al Grupo de Trabajo del Consejo y consultaba a una amplia gama de interesados, incluidos el personal, los Estados Miembros, el sector privado, los Miembros de Sector y las instituciones académicas. También se solicita la opinión de los auditores internos y externos. Se celebraron múltiples sesiones informativas para garantizar la transparencia. Los datos brutos en que se basa la evaluación están disponibles para su examen sin alteraciones. El Director de la</w:t>
      </w:r>
      <w:r w:rsidR="00FA29C1">
        <w:rPr>
          <w:lang w:val="es-ES"/>
        </w:rPr>
        <w:t> </w:t>
      </w:r>
      <w:r w:rsidRPr="00591CB7">
        <w:rPr>
          <w:lang w:val="es-ES"/>
        </w:rPr>
        <w:t>BDT insiste en que su mandato consistía en presentar conclusiones, no recomendaciones, y que el informe reflejaba las pruebas reunidas. El equipo estadístico de la Oficina realiza un análisis exhaustivo y garantiza la coherencia con los indicadores utilizados para el Plan Estratégico de la</w:t>
      </w:r>
      <w:r w:rsidR="00FA29C1">
        <w:rPr>
          <w:lang w:val="es-ES"/>
        </w:rPr>
        <w:t> </w:t>
      </w:r>
      <w:r w:rsidRPr="00591CB7">
        <w:rPr>
          <w:lang w:val="es-ES"/>
        </w:rPr>
        <w:t>UIT.</w:t>
      </w:r>
    </w:p>
    <w:p w14:paraId="0BD42820" w14:textId="77777777" w:rsidR="00591CB7" w:rsidRPr="00591CB7" w:rsidRDefault="00591CB7" w:rsidP="00901B93">
      <w:pPr>
        <w:jc w:val="both"/>
        <w:rPr>
          <w:lang w:val="es-ES"/>
        </w:rPr>
      </w:pPr>
      <w:r w:rsidRPr="00591CB7">
        <w:rPr>
          <w:lang w:val="es-ES"/>
        </w:rPr>
        <w:t>3.12</w:t>
      </w:r>
      <w:r w:rsidRPr="00591CB7">
        <w:rPr>
          <w:lang w:val="es-ES"/>
        </w:rPr>
        <w:tab/>
        <w:t>El Director concluye señalando el gran apoyo de los miembros, reflejado en una tasa de respuesta excepcional de aproximadamente el 77-80 %, y agradece a los Estados Miembros su activa participación en el ejercicio.</w:t>
      </w:r>
    </w:p>
    <w:p w14:paraId="65141808" w14:textId="77777777" w:rsidR="00591CB7" w:rsidRPr="00591CB7" w:rsidRDefault="00591CB7" w:rsidP="00901B93">
      <w:pPr>
        <w:jc w:val="both"/>
        <w:rPr>
          <w:lang w:val="es-ES"/>
        </w:rPr>
      </w:pPr>
      <w:r w:rsidRPr="00591CB7">
        <w:rPr>
          <w:lang w:val="es-ES"/>
        </w:rPr>
        <w:t>3.13</w:t>
      </w:r>
      <w:r w:rsidRPr="00591CB7">
        <w:rPr>
          <w:lang w:val="es-ES"/>
        </w:rPr>
        <w:tab/>
        <w:t>La Jefa del Departamento de Gestión de Recursos Humanos (HRMD), en respuesta a los comentarios, dice que se están revisando la política de contratación y el sistema de gestión de la contratación. Se espera que para finales de 2026 se ponga en marcha un nuevo sistema más eficiente, con responsabilidades y plazos claros. Se está reforzando la planificación de los efectivos y se está estudiando la posibilidad de asignar puestos vacantes para atender mejor a las necesidades de los Estados Miembros y los beneficiarios. El HRMD se ha comprometido a garantizar un acceso inclusivo a la formación y a abordar las necesidades de formación en todos los lugares.</w:t>
      </w:r>
    </w:p>
    <w:p w14:paraId="4EEAE4E4" w14:textId="48D6876E" w:rsidR="00591CB7" w:rsidRPr="00591CB7" w:rsidRDefault="00591CB7" w:rsidP="00901B93">
      <w:pPr>
        <w:jc w:val="both"/>
        <w:rPr>
          <w:lang w:val="es-ES"/>
        </w:rPr>
      </w:pPr>
      <w:r w:rsidRPr="00591CB7">
        <w:rPr>
          <w:lang w:val="es-ES"/>
        </w:rPr>
        <w:t>3.14</w:t>
      </w:r>
      <w:r w:rsidRPr="00591CB7">
        <w:rPr>
          <w:lang w:val="es-ES"/>
        </w:rPr>
        <w:tab/>
        <w:t xml:space="preserve">El Consejo </w:t>
      </w:r>
      <w:r w:rsidRPr="00591CB7">
        <w:rPr>
          <w:b/>
          <w:bCs/>
          <w:lang w:val="es-ES"/>
        </w:rPr>
        <w:t>toma nota</w:t>
      </w:r>
      <w:r w:rsidRPr="00591CB7">
        <w:rPr>
          <w:lang w:val="es-ES"/>
        </w:rPr>
        <w:t xml:space="preserve"> del informe contenido en el Documento</w:t>
      </w:r>
      <w:r w:rsidR="00FA29C1">
        <w:rPr>
          <w:lang w:val="es-ES"/>
        </w:rPr>
        <w:t> </w:t>
      </w:r>
      <w:r w:rsidRPr="00591CB7">
        <w:rPr>
          <w:lang w:val="es-ES"/>
        </w:rPr>
        <w:t xml:space="preserve">C26/24 y </w:t>
      </w:r>
      <w:r w:rsidRPr="00591CB7">
        <w:rPr>
          <w:b/>
          <w:bCs/>
          <w:lang w:val="es-ES"/>
        </w:rPr>
        <w:t>encarga</w:t>
      </w:r>
      <w:r w:rsidRPr="00591CB7">
        <w:rPr>
          <w:lang w:val="es-ES"/>
        </w:rPr>
        <w:t xml:space="preserve"> a la Secretaria General que presente a la</w:t>
      </w:r>
      <w:r w:rsidR="002434C7">
        <w:rPr>
          <w:lang w:val="es-ES"/>
        </w:rPr>
        <w:t> </w:t>
      </w:r>
      <w:r w:rsidRPr="00591CB7">
        <w:rPr>
          <w:lang w:val="es-ES"/>
        </w:rPr>
        <w:t>PP-26 un informe actualizado, teniendo en cuenta los comentarios de los consejeros.</w:t>
      </w:r>
    </w:p>
    <w:p w14:paraId="245BCD94" w14:textId="06E9A173" w:rsidR="00591CB7" w:rsidRPr="00591CB7" w:rsidRDefault="00591CB7" w:rsidP="00591CB7">
      <w:pPr>
        <w:pStyle w:val="Heading1"/>
        <w:rPr>
          <w:lang w:val="es-ES"/>
        </w:rPr>
      </w:pPr>
      <w:r w:rsidRPr="00591CB7">
        <w:rPr>
          <w:lang w:val="es-ES"/>
        </w:rPr>
        <w:t>4</w:t>
      </w:r>
      <w:r w:rsidRPr="00591CB7">
        <w:rPr>
          <w:lang w:val="es-ES"/>
        </w:rPr>
        <w:tab/>
        <w:t>Informe sobre la Conferencia Mundial de Desarrollo de las Telecomunicaciones</w:t>
      </w:r>
      <w:r w:rsidR="002434C7">
        <w:rPr>
          <w:lang w:val="es-ES"/>
        </w:rPr>
        <w:t xml:space="preserve"> de 2025</w:t>
      </w:r>
      <w:r w:rsidRPr="00591CB7">
        <w:rPr>
          <w:lang w:val="es-ES"/>
        </w:rPr>
        <w:t xml:space="preserve"> (Bakú, 2025) (Documento</w:t>
      </w:r>
      <w:r w:rsidR="00FA29C1">
        <w:rPr>
          <w:lang w:val="es-ES"/>
        </w:rPr>
        <w:t> </w:t>
      </w:r>
      <w:proofErr w:type="spellStart"/>
      <w:r>
        <w:fldChar w:fldCharType="begin"/>
      </w:r>
      <w:r>
        <w:instrText>HYPERLINK "https://www.itu.int/md/S26-CL-C-0030/es"</w:instrText>
      </w:r>
      <w:r>
        <w:fldChar w:fldCharType="separate"/>
      </w:r>
      <w:r w:rsidRPr="00591CB7">
        <w:rPr>
          <w:rStyle w:val="Hyperlink"/>
          <w:rFonts w:eastAsia="Times New Roman" w:cs="Times New Roman"/>
          <w:szCs w:val="20"/>
          <w:lang w:val="es-ES"/>
        </w:rPr>
        <w:t>C26</w:t>
      </w:r>
      <w:proofErr w:type="spellEnd"/>
      <w:r w:rsidRPr="00591CB7">
        <w:rPr>
          <w:rStyle w:val="Hyperlink"/>
          <w:rFonts w:eastAsia="Times New Roman" w:cs="Times New Roman"/>
          <w:szCs w:val="20"/>
          <w:lang w:val="es-ES"/>
        </w:rPr>
        <w:t>/30</w:t>
      </w:r>
      <w:r>
        <w:fldChar w:fldCharType="end"/>
      </w:r>
      <w:r w:rsidRPr="00591CB7">
        <w:rPr>
          <w:lang w:val="es-ES"/>
        </w:rPr>
        <w:t>)</w:t>
      </w:r>
      <w:hyperlink r:id="rId19" w:history="1"/>
    </w:p>
    <w:p w14:paraId="70EA7CEE" w14:textId="16988DFC" w:rsidR="00591CB7" w:rsidRPr="00591CB7" w:rsidRDefault="00591CB7" w:rsidP="00901B93">
      <w:pPr>
        <w:jc w:val="both"/>
        <w:rPr>
          <w:lang w:val="es-ES"/>
        </w:rPr>
      </w:pPr>
      <w:r w:rsidRPr="00591CB7">
        <w:rPr>
          <w:lang w:val="es-ES"/>
        </w:rPr>
        <w:t>4.1</w:t>
      </w:r>
      <w:r w:rsidRPr="00591CB7">
        <w:rPr>
          <w:lang w:val="es-ES"/>
        </w:rPr>
        <w:tab/>
        <w:t>La Directora Adjunta de la</w:t>
      </w:r>
      <w:r w:rsidR="00FA29C1">
        <w:rPr>
          <w:lang w:val="es-ES"/>
        </w:rPr>
        <w:t> </w:t>
      </w:r>
      <w:r w:rsidRPr="00591CB7">
        <w:rPr>
          <w:lang w:val="es-ES"/>
        </w:rPr>
        <w:t>BDT presenta el Documento</w:t>
      </w:r>
      <w:r w:rsidR="00FA29C1">
        <w:rPr>
          <w:lang w:val="es-ES"/>
        </w:rPr>
        <w:t> </w:t>
      </w:r>
      <w:r w:rsidRPr="00591CB7">
        <w:rPr>
          <w:lang w:val="es-ES"/>
        </w:rPr>
        <w:t>C26/30, en el que se exponen los principales resultados de la Conferencia Mundial de Desarrollo de las Telecomunicaciones</w:t>
      </w:r>
      <w:r w:rsidR="002434C7">
        <w:rPr>
          <w:lang w:val="es-ES"/>
        </w:rPr>
        <w:t xml:space="preserve"> de 2025</w:t>
      </w:r>
      <w:r w:rsidRPr="00591CB7">
        <w:rPr>
          <w:lang w:val="es-ES"/>
        </w:rPr>
        <w:t xml:space="preserve"> (Bakú, 2025) (CMDT-25). Casi 2 000 participantes asistieron a la Conferencia. La Declaración de Bakú establece una visión compartida para lograr una conectividad universal, efectiva y asequible, y el Plan de Acción de Bakú traduce esa visión política en un marco </w:t>
      </w:r>
      <w:r w:rsidRPr="00591CB7">
        <w:rPr>
          <w:lang w:val="es-ES"/>
        </w:rPr>
        <w:lastRenderedPageBreak/>
        <w:t>tangible basado en resultados para la labor del</w:t>
      </w:r>
      <w:r w:rsidR="00FA29C1">
        <w:rPr>
          <w:lang w:val="es-ES"/>
        </w:rPr>
        <w:t> </w:t>
      </w:r>
      <w:r w:rsidRPr="00591CB7">
        <w:rPr>
          <w:lang w:val="es-ES"/>
        </w:rPr>
        <w:t>UIT</w:t>
      </w:r>
      <w:r w:rsidR="00FA29C1">
        <w:rPr>
          <w:lang w:val="es-ES"/>
        </w:rPr>
        <w:noBreakHyphen/>
      </w:r>
      <w:r w:rsidRPr="00591CB7">
        <w:rPr>
          <w:lang w:val="es-ES"/>
        </w:rPr>
        <w:t>D para el periodo 2026-2029. La Conferencia ha refrendado 30</w:t>
      </w:r>
      <w:r w:rsidR="00FA29C1">
        <w:rPr>
          <w:lang w:val="es-ES"/>
        </w:rPr>
        <w:t> </w:t>
      </w:r>
      <w:r w:rsidRPr="00591CB7">
        <w:rPr>
          <w:lang w:val="es-ES"/>
        </w:rPr>
        <w:t>iniciativas regionales en las seis regiones de la</w:t>
      </w:r>
      <w:r w:rsidR="00FA29C1">
        <w:rPr>
          <w:lang w:val="es-ES"/>
        </w:rPr>
        <w:t> </w:t>
      </w:r>
      <w:r w:rsidRPr="00591CB7">
        <w:rPr>
          <w:lang w:val="es-ES"/>
        </w:rPr>
        <w:t>UIT y ha revisado las Cuestiones de estudio del</w:t>
      </w:r>
      <w:r w:rsidR="00FA29C1">
        <w:rPr>
          <w:lang w:val="es-ES"/>
        </w:rPr>
        <w:t> </w:t>
      </w:r>
      <w:r w:rsidRPr="00591CB7">
        <w:rPr>
          <w:lang w:val="es-ES"/>
        </w:rPr>
        <w:t>UIT</w:t>
      </w:r>
      <w:r w:rsidR="00FA29C1">
        <w:rPr>
          <w:lang w:val="es-ES"/>
        </w:rPr>
        <w:noBreakHyphen/>
      </w:r>
      <w:r w:rsidRPr="00591CB7">
        <w:rPr>
          <w:lang w:val="es-ES"/>
        </w:rPr>
        <w:t>D para el periodo 2026-2029. También ha revisado 43</w:t>
      </w:r>
      <w:r w:rsidR="00FA29C1">
        <w:rPr>
          <w:lang w:val="es-ES"/>
        </w:rPr>
        <w:t> </w:t>
      </w:r>
      <w:r w:rsidRPr="00591CB7">
        <w:rPr>
          <w:lang w:val="es-ES"/>
        </w:rPr>
        <w:t>Resoluciones existentes y adoptado cuatro nuevas Resoluciones.</w:t>
      </w:r>
    </w:p>
    <w:p w14:paraId="6EC7B251" w14:textId="77777777" w:rsidR="00591CB7" w:rsidRPr="00591CB7" w:rsidRDefault="00591CB7" w:rsidP="00901B93">
      <w:pPr>
        <w:jc w:val="both"/>
        <w:rPr>
          <w:lang w:val="es-ES"/>
        </w:rPr>
      </w:pPr>
      <w:r w:rsidRPr="00591CB7">
        <w:rPr>
          <w:lang w:val="es-ES"/>
        </w:rPr>
        <w:t>4.2</w:t>
      </w:r>
      <w:r w:rsidRPr="00591CB7">
        <w:rPr>
          <w:lang w:val="es-ES"/>
        </w:rPr>
        <w:tab/>
        <w:t>Numerosos consejeros y una observadora expresan su agradecimiento a Azerbaiyán por su excelente organización de la CMDT-25 y su cálida hospitalidad. Acogen con beneplácito la Declaración de Bakú y el Plan de Acción de Bakú, así como los demás resultados destinados a promover una transformación digital inclusiva. Una consejera pide que se aclare cómo se ajustarán los resultados a los nuevos Planes Estratégico y Operacional de la Unión.</w:t>
      </w:r>
    </w:p>
    <w:p w14:paraId="7E10B101" w14:textId="73151D0F" w:rsidR="00591CB7" w:rsidRPr="00591CB7" w:rsidRDefault="00591CB7" w:rsidP="00901B93">
      <w:pPr>
        <w:jc w:val="both"/>
        <w:rPr>
          <w:lang w:val="es-ES"/>
        </w:rPr>
      </w:pPr>
      <w:r w:rsidRPr="00591CB7">
        <w:rPr>
          <w:lang w:val="es-ES"/>
        </w:rPr>
        <w:t>4.3</w:t>
      </w:r>
      <w:r w:rsidRPr="00591CB7">
        <w:rPr>
          <w:lang w:val="es-ES"/>
        </w:rPr>
        <w:tab/>
        <w:t>Numerosos consejeros subrayan la importancia de una entrega realista basada en resultados y de recursos adecuados y predecibles para la aplicación eficaz de los productos. La pronta coordinación con las regiones, incluso a través de las Oficinas Regionales, es esencial para obtener resultados medibles. Habría que supervisar periódicamente los progresos realizados, teniendo en cuenta las necesidades de los países más vulnerables. Un consejero pide una colaboración reforzada entre las partes interesadas pertinentes, una financiación innovadora y asociaciones público</w:t>
      </w:r>
      <w:r w:rsidR="002434C7">
        <w:rPr>
          <w:lang w:val="es-ES"/>
        </w:rPr>
        <w:noBreakHyphen/>
      </w:r>
      <w:r w:rsidRPr="00591CB7">
        <w:rPr>
          <w:lang w:val="es-ES"/>
        </w:rPr>
        <w:t>privadas para apoyar la ejecución de iniciativas regionales en consonancia con las prioridades regionales y las necesidades de desarrollo. Se señala la importancia de los mecanismos de financiación inicial para atraer a organismos donantes y asociados para el desarrollo. Un consejero acoge con satisfacción la propuesta de utilizar los fondos de los ahorros de 2025 para apoyar la ejecución de las iniciativas regionales de la</w:t>
      </w:r>
      <w:r w:rsidR="00FA29C1">
        <w:rPr>
          <w:lang w:val="es-ES"/>
        </w:rPr>
        <w:t> </w:t>
      </w:r>
      <w:r w:rsidRPr="00591CB7">
        <w:rPr>
          <w:lang w:val="es-ES"/>
        </w:rPr>
        <w:t>CMDT-25. Se acoge con beneplácito la Celebración Mundial de la Juventud de la</w:t>
      </w:r>
      <w:r w:rsidR="00FA29C1">
        <w:rPr>
          <w:lang w:val="es-ES"/>
        </w:rPr>
        <w:t> </w:t>
      </w:r>
      <w:r w:rsidRPr="00591CB7">
        <w:rPr>
          <w:lang w:val="es-ES"/>
        </w:rPr>
        <w:t>UIT celebrada durante la</w:t>
      </w:r>
      <w:r w:rsidR="00FA29C1">
        <w:rPr>
          <w:lang w:val="es-ES"/>
        </w:rPr>
        <w:t> </w:t>
      </w:r>
      <w:r w:rsidRPr="00591CB7">
        <w:rPr>
          <w:lang w:val="es-ES"/>
        </w:rPr>
        <w:t>CMDT-25 y una observadora destaca la importancia de promover la participación de mujeres jóvenes con talento en el desarrollo digital.</w:t>
      </w:r>
    </w:p>
    <w:p w14:paraId="61635CA3" w14:textId="7E012270" w:rsidR="00591CB7" w:rsidRPr="00591CB7" w:rsidRDefault="00591CB7" w:rsidP="00901B93">
      <w:pPr>
        <w:jc w:val="both"/>
        <w:rPr>
          <w:lang w:val="es-ES"/>
        </w:rPr>
      </w:pPr>
      <w:r w:rsidRPr="00591CB7">
        <w:rPr>
          <w:lang w:val="es-ES"/>
        </w:rPr>
        <w:t>4.4</w:t>
      </w:r>
      <w:r w:rsidRPr="00591CB7">
        <w:rPr>
          <w:lang w:val="es-ES"/>
        </w:rPr>
        <w:tab/>
        <w:t>Un consejero manifiesta el compromiso de su país con la aplicación de los resultados de la</w:t>
      </w:r>
      <w:r w:rsidR="002434C7">
        <w:rPr>
          <w:lang w:val="es-ES"/>
        </w:rPr>
        <w:t> </w:t>
      </w:r>
      <w:r w:rsidRPr="00591CB7">
        <w:rPr>
          <w:lang w:val="es-ES"/>
        </w:rPr>
        <w:t>CMDT</w:t>
      </w:r>
      <w:r w:rsidR="002434C7">
        <w:rPr>
          <w:lang w:val="es-ES"/>
        </w:rPr>
        <w:noBreakHyphen/>
      </w:r>
      <w:r w:rsidRPr="00591CB7">
        <w:rPr>
          <w:lang w:val="es-ES"/>
        </w:rPr>
        <w:t>25, incluso en lo que respecta a los entornos reglamentarios propicios, las redes no terrenales y la sostenibilidad espacial.</w:t>
      </w:r>
    </w:p>
    <w:p w14:paraId="3BE5BAFF" w14:textId="77777777" w:rsidR="00591CB7" w:rsidRPr="00591CB7" w:rsidRDefault="00591CB7" w:rsidP="00901B93">
      <w:pPr>
        <w:jc w:val="both"/>
        <w:rPr>
          <w:lang w:val="es-ES"/>
        </w:rPr>
      </w:pPr>
      <w:r w:rsidRPr="00591CB7">
        <w:rPr>
          <w:lang w:val="es-ES"/>
        </w:rPr>
        <w:t>4.5</w:t>
      </w:r>
      <w:r w:rsidRPr="00591CB7">
        <w:rPr>
          <w:lang w:val="es-ES"/>
        </w:rPr>
        <w:tab/>
        <w:t>El consejero de Türkiye invita a los miembros al Simposio Mundial para Organismos Reguladores (GSR-26) que se celebrará en Ankara en mayo.</w:t>
      </w:r>
    </w:p>
    <w:p w14:paraId="7743A40C" w14:textId="64311636" w:rsidR="00591CB7" w:rsidRPr="00591CB7" w:rsidRDefault="00591CB7" w:rsidP="00901B93">
      <w:pPr>
        <w:jc w:val="both"/>
        <w:rPr>
          <w:lang w:val="es-ES"/>
        </w:rPr>
      </w:pPr>
      <w:r w:rsidRPr="00591CB7">
        <w:rPr>
          <w:lang w:val="es-ES"/>
        </w:rPr>
        <w:t>4.6</w:t>
      </w:r>
      <w:r w:rsidRPr="00591CB7">
        <w:rPr>
          <w:lang w:val="es-ES"/>
        </w:rPr>
        <w:tab/>
        <w:t>El consejero de Azerbaiyán da las gracias a todos los participantes por su participación activa en la</w:t>
      </w:r>
      <w:r w:rsidR="002434C7">
        <w:rPr>
          <w:lang w:val="es-ES"/>
        </w:rPr>
        <w:t> </w:t>
      </w:r>
      <w:r w:rsidRPr="00591CB7">
        <w:rPr>
          <w:lang w:val="es-ES"/>
        </w:rPr>
        <w:t>CMDT-25 y sus contribuciones a la misma.</w:t>
      </w:r>
    </w:p>
    <w:p w14:paraId="78F95146" w14:textId="51869995" w:rsidR="00591CB7" w:rsidRPr="00591CB7" w:rsidRDefault="00591CB7" w:rsidP="00901B93">
      <w:pPr>
        <w:jc w:val="both"/>
        <w:rPr>
          <w:lang w:val="es-ES"/>
        </w:rPr>
      </w:pPr>
      <w:r w:rsidRPr="00591CB7">
        <w:rPr>
          <w:lang w:val="es-ES"/>
        </w:rPr>
        <w:t>4.7</w:t>
      </w:r>
      <w:r w:rsidRPr="00591CB7">
        <w:rPr>
          <w:lang w:val="es-ES"/>
        </w:rPr>
        <w:tab/>
        <w:t xml:space="preserve">El Consejo </w:t>
      </w:r>
      <w:r w:rsidRPr="00591CB7">
        <w:rPr>
          <w:b/>
          <w:bCs/>
          <w:lang w:val="es-ES"/>
        </w:rPr>
        <w:t>toma nota</w:t>
      </w:r>
      <w:r w:rsidRPr="00591CB7">
        <w:rPr>
          <w:lang w:val="es-ES"/>
        </w:rPr>
        <w:t xml:space="preserve"> del Informe presentado en el Documento</w:t>
      </w:r>
      <w:r w:rsidR="00FA29C1">
        <w:rPr>
          <w:lang w:val="es-ES"/>
        </w:rPr>
        <w:t> </w:t>
      </w:r>
      <w:r w:rsidRPr="00591CB7">
        <w:rPr>
          <w:lang w:val="es-ES"/>
        </w:rPr>
        <w:t>C26/30.</w:t>
      </w:r>
    </w:p>
    <w:p w14:paraId="0FAFE072" w14:textId="77777777" w:rsidR="00591CB7" w:rsidRPr="00591CB7" w:rsidRDefault="00591CB7" w:rsidP="00591CB7">
      <w:pPr>
        <w:pStyle w:val="Heading1"/>
        <w:rPr>
          <w:lang w:val="es-ES"/>
        </w:rPr>
      </w:pPr>
      <w:r w:rsidRPr="00591CB7">
        <w:rPr>
          <w:lang w:val="es-ES"/>
        </w:rPr>
        <w:t>5</w:t>
      </w:r>
      <w:r w:rsidRPr="00591CB7">
        <w:rPr>
          <w:lang w:val="es-ES"/>
        </w:rPr>
        <w:tab/>
        <w:t>Declaraciones de consejeros y observadores</w:t>
      </w:r>
    </w:p>
    <w:p w14:paraId="69422C2F" w14:textId="77777777" w:rsidR="00591CB7" w:rsidRPr="00591CB7" w:rsidRDefault="00591CB7" w:rsidP="00591CB7">
      <w:pPr>
        <w:rPr>
          <w:lang w:val="es-ES"/>
        </w:rPr>
      </w:pPr>
      <w:r w:rsidRPr="00591CB7">
        <w:rPr>
          <w:lang w:val="es-ES"/>
        </w:rPr>
        <w:t>5.1</w:t>
      </w:r>
      <w:r w:rsidRPr="00591CB7">
        <w:rPr>
          <w:lang w:val="es-ES"/>
        </w:rPr>
        <w:tab/>
        <w:t>El consejero de Polonia anuncia la candidatura de su país a la reelección al Consejo.</w:t>
      </w:r>
    </w:p>
    <w:p w14:paraId="2AA5FED0" w14:textId="05D158B7" w:rsidR="00591CB7" w:rsidRPr="00591CB7" w:rsidRDefault="00591CB7" w:rsidP="00901B93">
      <w:pPr>
        <w:jc w:val="both"/>
        <w:rPr>
          <w:lang w:val="es-ES"/>
        </w:rPr>
      </w:pPr>
      <w:r w:rsidRPr="00591CB7">
        <w:rPr>
          <w:lang w:val="es-ES"/>
        </w:rPr>
        <w:t>5.2</w:t>
      </w:r>
      <w:r w:rsidRPr="00591CB7">
        <w:rPr>
          <w:lang w:val="es-ES"/>
        </w:rPr>
        <w:tab/>
        <w:t>El consejero de Azerbaiyán anuncia que su país se presentará a la reelección al Consejo en la</w:t>
      </w:r>
      <w:r w:rsidR="002434C7">
        <w:rPr>
          <w:lang w:val="es-ES"/>
        </w:rPr>
        <w:t> </w:t>
      </w:r>
      <w:r w:rsidRPr="00591CB7">
        <w:rPr>
          <w:lang w:val="es-ES"/>
        </w:rPr>
        <w:t>PP-26 y que presentará también la candidatura de la Sra.</w:t>
      </w:r>
      <w:r w:rsidR="002434C7">
        <w:rPr>
          <w:lang w:val="es-ES"/>
        </w:rPr>
        <w:t> </w:t>
      </w:r>
      <w:r w:rsidRPr="00591CB7">
        <w:rPr>
          <w:lang w:val="es-ES"/>
        </w:rPr>
        <w:t>Sitara Mediyeva como miembro de la Junta del Reglamento de Radiocomunicaciones.</w:t>
      </w:r>
    </w:p>
    <w:p w14:paraId="3D2D2F14" w14:textId="77777777" w:rsidR="00591CB7" w:rsidRPr="00591CB7" w:rsidRDefault="00591CB7" w:rsidP="00901B93">
      <w:pPr>
        <w:jc w:val="both"/>
        <w:rPr>
          <w:lang w:val="es-ES"/>
        </w:rPr>
      </w:pPr>
      <w:r w:rsidRPr="00591CB7">
        <w:rPr>
          <w:lang w:val="es-ES"/>
        </w:rPr>
        <w:t>5.3</w:t>
      </w:r>
      <w:r w:rsidRPr="00591CB7">
        <w:rPr>
          <w:lang w:val="es-ES"/>
        </w:rPr>
        <w:tab/>
        <w:t>El observador de Kazajstán dice que su país se presentará a las elecciones al Consejo.</w:t>
      </w:r>
    </w:p>
    <w:p w14:paraId="64C9E3E3" w14:textId="10C346CD" w:rsidR="000147ED" w:rsidRPr="00DB5ACE" w:rsidRDefault="000147ED" w:rsidP="00901B93">
      <w:pPr>
        <w:tabs>
          <w:tab w:val="clear" w:pos="2268"/>
          <w:tab w:val="clear" w:pos="2835"/>
          <w:tab w:val="left" w:pos="6237"/>
        </w:tabs>
        <w:spacing w:before="720"/>
        <w:rPr>
          <w:lang w:val="es-ES"/>
        </w:rPr>
      </w:pPr>
      <w:r w:rsidRPr="000147ED">
        <w:rPr>
          <w:lang w:val="es-ES"/>
        </w:rPr>
        <w:t>La Secretaria General:</w:t>
      </w:r>
      <w:r w:rsidRPr="000147ED">
        <w:rPr>
          <w:lang w:val="es-ES"/>
        </w:rPr>
        <w:tab/>
        <w:t>El Presidente:</w:t>
      </w:r>
      <w:r w:rsidR="00832703">
        <w:rPr>
          <w:lang w:val="es-ES"/>
        </w:rPr>
        <w:br/>
      </w:r>
      <w:r w:rsidRPr="00DB5ACE">
        <w:rPr>
          <w:lang w:val="es-ES"/>
        </w:rPr>
        <w:t>D. BOGDAN-MARTIN</w:t>
      </w:r>
      <w:r w:rsidRPr="00DB5ACE">
        <w:rPr>
          <w:lang w:val="es-ES"/>
        </w:rPr>
        <w:tab/>
        <w:t>B. TIJANI</w:t>
      </w:r>
    </w:p>
    <w:sectPr w:rsidR="000147ED" w:rsidRPr="00DB5ACE" w:rsidSect="00C538FC">
      <w:footerReference w:type="default" r:id="rId20"/>
      <w:headerReference w:type="first" r:id="rId21"/>
      <w:footerReference w:type="first" r:id="rId2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0ED75" w14:textId="77777777" w:rsidR="00C56154" w:rsidRDefault="00C56154">
      <w:r>
        <w:separator/>
      </w:r>
    </w:p>
  </w:endnote>
  <w:endnote w:type="continuationSeparator" w:id="0">
    <w:p w14:paraId="21DB09CA" w14:textId="77777777" w:rsidR="00C56154" w:rsidRDefault="00C5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33EF406E" w:rsidR="003273A4" w:rsidRDefault="00832703" w:rsidP="003273A4">
          <w:pPr>
            <w:pStyle w:val="Header"/>
            <w:jc w:val="left"/>
            <w:rPr>
              <w:noProof/>
            </w:rPr>
          </w:pPr>
          <w:r>
            <w:rPr>
              <w:noProof/>
            </w:rPr>
            <w:t>260133</w:t>
          </w:r>
          <w:r w:rsidR="00591CB7">
            <w:rPr>
              <w:noProof/>
            </w:rPr>
            <w:t>9</w:t>
          </w:r>
        </w:p>
      </w:tc>
      <w:tc>
        <w:tcPr>
          <w:tcW w:w="8261" w:type="dxa"/>
        </w:tcPr>
        <w:p w14:paraId="12ECC52F" w14:textId="56542479"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11</w:t>
          </w:r>
          <w:r w:rsidR="0026093C">
            <w:rPr>
              <w:bCs/>
            </w:rPr>
            <w:t>9</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24177F7A"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10E78462"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673AD0">
            <w:rPr>
              <w:bCs/>
            </w:rPr>
            <w:t>11</w:t>
          </w:r>
          <w:r w:rsidR="00591CB7">
            <w:rPr>
              <w:bCs/>
            </w:rPr>
            <w:t>9</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4FE0" w14:textId="77777777" w:rsidR="00C56154" w:rsidRDefault="00C56154">
      <w:r>
        <w:t>____________________</w:t>
      </w:r>
    </w:p>
  </w:footnote>
  <w:footnote w:type="continuationSeparator" w:id="0">
    <w:p w14:paraId="1BE7F27F" w14:textId="77777777" w:rsidR="00C56154" w:rsidRDefault="00C5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6007D"/>
    <w:rsid w:val="00093EEB"/>
    <w:rsid w:val="000B0D00"/>
    <w:rsid w:val="000B7C15"/>
    <w:rsid w:val="000D1D0F"/>
    <w:rsid w:val="000D7CD6"/>
    <w:rsid w:val="000E3F07"/>
    <w:rsid w:val="000F5290"/>
    <w:rsid w:val="000F5A95"/>
    <w:rsid w:val="000F7CDE"/>
    <w:rsid w:val="0010165C"/>
    <w:rsid w:val="00116618"/>
    <w:rsid w:val="00137BDC"/>
    <w:rsid w:val="00146BFB"/>
    <w:rsid w:val="00155333"/>
    <w:rsid w:val="001559F5"/>
    <w:rsid w:val="00157AC4"/>
    <w:rsid w:val="0016169C"/>
    <w:rsid w:val="001958F5"/>
    <w:rsid w:val="001B6E2B"/>
    <w:rsid w:val="001E3544"/>
    <w:rsid w:val="001F14A2"/>
    <w:rsid w:val="001F4406"/>
    <w:rsid w:val="0020641D"/>
    <w:rsid w:val="002434C7"/>
    <w:rsid w:val="002558B2"/>
    <w:rsid w:val="0026093C"/>
    <w:rsid w:val="00277DEA"/>
    <w:rsid w:val="002801AA"/>
    <w:rsid w:val="002946E2"/>
    <w:rsid w:val="002B139C"/>
    <w:rsid w:val="002C3F32"/>
    <w:rsid w:val="002C4676"/>
    <w:rsid w:val="002C70B0"/>
    <w:rsid w:val="002F3CC4"/>
    <w:rsid w:val="003032E2"/>
    <w:rsid w:val="0031300A"/>
    <w:rsid w:val="003273A4"/>
    <w:rsid w:val="00341DC0"/>
    <w:rsid w:val="0034796E"/>
    <w:rsid w:val="003C3B9A"/>
    <w:rsid w:val="004571B0"/>
    <w:rsid w:val="00465C35"/>
    <w:rsid w:val="00473962"/>
    <w:rsid w:val="004B5D49"/>
    <w:rsid w:val="004D3A3C"/>
    <w:rsid w:val="00513630"/>
    <w:rsid w:val="00560125"/>
    <w:rsid w:val="00585553"/>
    <w:rsid w:val="00591CB7"/>
    <w:rsid w:val="005B34D9"/>
    <w:rsid w:val="005D0CCF"/>
    <w:rsid w:val="005E3F36"/>
    <w:rsid w:val="005F0915"/>
    <w:rsid w:val="005F3BCB"/>
    <w:rsid w:val="005F410F"/>
    <w:rsid w:val="0060149A"/>
    <w:rsid w:val="00601924"/>
    <w:rsid w:val="006211C4"/>
    <w:rsid w:val="006447EA"/>
    <w:rsid w:val="0064481D"/>
    <w:rsid w:val="0064731F"/>
    <w:rsid w:val="00664572"/>
    <w:rsid w:val="00666D09"/>
    <w:rsid w:val="00670579"/>
    <w:rsid w:val="006710F6"/>
    <w:rsid w:val="00673AD0"/>
    <w:rsid w:val="00677A97"/>
    <w:rsid w:val="00687685"/>
    <w:rsid w:val="006C1B56"/>
    <w:rsid w:val="006D4761"/>
    <w:rsid w:val="0070080F"/>
    <w:rsid w:val="00726872"/>
    <w:rsid w:val="00760F1C"/>
    <w:rsid w:val="007657F0"/>
    <w:rsid w:val="00770770"/>
    <w:rsid w:val="0077110E"/>
    <w:rsid w:val="0077252D"/>
    <w:rsid w:val="007955DA"/>
    <w:rsid w:val="007E5DD3"/>
    <w:rsid w:val="007F350B"/>
    <w:rsid w:val="00820BE4"/>
    <w:rsid w:val="00825E63"/>
    <w:rsid w:val="00832703"/>
    <w:rsid w:val="008451E8"/>
    <w:rsid w:val="0084546D"/>
    <w:rsid w:val="008B5CFB"/>
    <w:rsid w:val="008F6ABC"/>
    <w:rsid w:val="00901B93"/>
    <w:rsid w:val="009053EA"/>
    <w:rsid w:val="00913B9C"/>
    <w:rsid w:val="00927F93"/>
    <w:rsid w:val="00956E77"/>
    <w:rsid w:val="009A338E"/>
    <w:rsid w:val="009A76A8"/>
    <w:rsid w:val="009F4811"/>
    <w:rsid w:val="00A01F4F"/>
    <w:rsid w:val="00A04080"/>
    <w:rsid w:val="00A109AF"/>
    <w:rsid w:val="00A94438"/>
    <w:rsid w:val="00AA390C"/>
    <w:rsid w:val="00AD5A4D"/>
    <w:rsid w:val="00AF0EAC"/>
    <w:rsid w:val="00AF663E"/>
    <w:rsid w:val="00B0200A"/>
    <w:rsid w:val="00B060DF"/>
    <w:rsid w:val="00B14ACD"/>
    <w:rsid w:val="00B1560D"/>
    <w:rsid w:val="00B574DB"/>
    <w:rsid w:val="00B826C2"/>
    <w:rsid w:val="00B8298E"/>
    <w:rsid w:val="00BB6FD8"/>
    <w:rsid w:val="00BC7BD6"/>
    <w:rsid w:val="00BD0723"/>
    <w:rsid w:val="00BD2518"/>
    <w:rsid w:val="00BE70A4"/>
    <w:rsid w:val="00BF1D1C"/>
    <w:rsid w:val="00C06762"/>
    <w:rsid w:val="00C20C59"/>
    <w:rsid w:val="00C2727F"/>
    <w:rsid w:val="00C323EC"/>
    <w:rsid w:val="00C4421B"/>
    <w:rsid w:val="00C538FC"/>
    <w:rsid w:val="00C55B1F"/>
    <w:rsid w:val="00C56154"/>
    <w:rsid w:val="00C74BEC"/>
    <w:rsid w:val="00C91DB7"/>
    <w:rsid w:val="00CC1FAF"/>
    <w:rsid w:val="00CF1A67"/>
    <w:rsid w:val="00D2750E"/>
    <w:rsid w:val="00D375E0"/>
    <w:rsid w:val="00D50A36"/>
    <w:rsid w:val="00D62446"/>
    <w:rsid w:val="00D950F3"/>
    <w:rsid w:val="00DA307A"/>
    <w:rsid w:val="00DA4EA2"/>
    <w:rsid w:val="00DB5ACE"/>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7105E"/>
    <w:rsid w:val="00F75F57"/>
    <w:rsid w:val="00F82A1C"/>
    <w:rsid w:val="00F82FEE"/>
    <w:rsid w:val="00F85E5C"/>
    <w:rsid w:val="00F92BED"/>
    <w:rsid w:val="00FA28E5"/>
    <w:rsid w:val="00FA29C1"/>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B14ACD"/>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5/es" TargetMode="External"/><Relationship Id="rId13" Type="http://schemas.openxmlformats.org/officeDocument/2006/relationships/hyperlink" Target="https://www.itu.int/md/S26-CL-C-0085/en" TargetMode="External"/><Relationship Id="rId18" Type="http://schemas.openxmlformats.org/officeDocument/2006/relationships/hyperlink" Target="https://www.itu.int/md/S26-CL-INF-0010/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itu.int/md/S26-CL-C-0025/es" TargetMode="External"/><Relationship Id="rId12" Type="http://schemas.openxmlformats.org/officeDocument/2006/relationships/hyperlink" Target="https://www.itu.int/md/S26-CL-C-0025/en" TargetMode="External"/><Relationship Id="rId17" Type="http://schemas.openxmlformats.org/officeDocument/2006/relationships/hyperlink" Target="https://www.itu.int/md/S26-CL-C-0108/en" TargetMode="External"/><Relationship Id="rId2" Type="http://schemas.openxmlformats.org/officeDocument/2006/relationships/styles" Target="styles.xml"/><Relationship Id="rId16" Type="http://schemas.openxmlformats.org/officeDocument/2006/relationships/hyperlink" Target="https://www.itu.int/md/S26-CL-C-0024/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md/S26-CL-C-0030/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md/S26-CL-C-0108/es" TargetMode="External"/><Relationship Id="rId23" Type="http://schemas.openxmlformats.org/officeDocument/2006/relationships/fontTable" Target="fontTable.xml"/><Relationship Id="rId10" Type="http://schemas.openxmlformats.org/officeDocument/2006/relationships/hyperlink" Target="https://www.itu.int/md/S26-CL-C-0108/es" TargetMode="External"/><Relationship Id="rId19" Type="http://schemas.openxmlformats.org/officeDocument/2006/relationships/hyperlink" Target="https://www.itu.int/md/S26-CL-C-0030/en" TargetMode="External"/><Relationship Id="rId4" Type="http://schemas.openxmlformats.org/officeDocument/2006/relationships/webSettings" Target="webSettings.xml"/><Relationship Id="rId9" Type="http://schemas.openxmlformats.org/officeDocument/2006/relationships/hyperlink" Target="https://www.itu.int/md/S26-CL-C-0024/es" TargetMode="External"/><Relationship Id="rId14" Type="http://schemas.openxmlformats.org/officeDocument/2006/relationships/hyperlink" Target="https://www.itu.int/md/S26-CL-C-0024/e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13</TotalTime>
  <Pages>8</Pages>
  <Words>4051</Words>
  <Characters>23418</Characters>
  <Application>Microsoft Office Word</Application>
  <DocSecurity>0</DocSecurity>
  <Lines>3903</Lines>
  <Paragraphs>1445</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Resumen de los debates de la segunda Sesión Plenaria</vt:lpstr>
    </vt:vector>
  </TitlesOfParts>
  <Manager>Secretaría General - Pool</Manager>
  <Company>International Telecommunication Union</Company>
  <LinksUpToDate>false</LinksUpToDate>
  <CharactersWithSpaces>26024</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segunda Sesión Plenaria</dc:title>
  <dc:subject>Consejo 2026 de la UIT</dc:subject>
  <cp:keywords>C26; C2026; Council 2026; PP26</cp:keywords>
  <dc:description/>
  <cp:lastPrinted>2006-03-24T09:51:00Z</cp:lastPrinted>
  <dcterms:created xsi:type="dcterms:W3CDTF">2026-08-05T11:17:00Z</dcterms:created>
  <dcterms:modified xsi:type="dcterms:W3CDTF">2026-08-05T11:30:00Z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