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709"/>
        <w:gridCol w:w="3260"/>
        <w:gridCol w:w="3119"/>
        <w:gridCol w:w="2126"/>
      </w:tblGrid>
      <w:tr w:rsidR="007A5C2B" w:rsidRPr="00813E5E" w14:paraId="22B03798" w14:textId="77777777" w:rsidTr="00F92DE8">
        <w:trPr>
          <w:cantSplit/>
          <w:trHeight w:val="23"/>
        </w:trPr>
        <w:tc>
          <w:tcPr>
            <w:tcW w:w="3969" w:type="dxa"/>
            <w:gridSpan w:val="2"/>
            <w:vMerge w:val="restart"/>
            <w:tcMar>
              <w:left w:w="0" w:type="dxa"/>
            </w:tcMar>
          </w:tcPr>
          <w:p w14:paraId="18D81853" w14:textId="77777777" w:rsidR="007A5C2B" w:rsidRPr="00E85629" w:rsidRDefault="007A5C2B" w:rsidP="007A5C2B">
            <w:pPr>
              <w:tabs>
                <w:tab w:val="left" w:pos="851"/>
              </w:tabs>
              <w:spacing w:before="0" w:line="240" w:lineRule="atLeast"/>
              <w:rPr>
                <w:b/>
              </w:rPr>
            </w:pPr>
          </w:p>
        </w:tc>
        <w:tc>
          <w:tcPr>
            <w:tcW w:w="5245" w:type="dxa"/>
            <w:gridSpan w:val="2"/>
          </w:tcPr>
          <w:p w14:paraId="3529E12C" w14:textId="3C89588C" w:rsidR="007A5C2B" w:rsidRPr="00E85629" w:rsidRDefault="007A5C2B" w:rsidP="007A5C2B">
            <w:pPr>
              <w:tabs>
                <w:tab w:val="left" w:pos="851"/>
              </w:tabs>
              <w:spacing w:before="0" w:line="240" w:lineRule="atLeast"/>
              <w:jc w:val="right"/>
              <w:rPr>
                <w:b/>
              </w:rPr>
            </w:pPr>
            <w:r>
              <w:rPr>
                <w:b/>
              </w:rPr>
              <w:t>Document C26/119-F</w:t>
            </w:r>
          </w:p>
        </w:tc>
      </w:tr>
      <w:tr w:rsidR="007A5C2B" w:rsidRPr="00C049D7" w14:paraId="25FCA572" w14:textId="77777777" w:rsidTr="00F92DE8">
        <w:trPr>
          <w:cantSplit/>
        </w:trPr>
        <w:tc>
          <w:tcPr>
            <w:tcW w:w="3969" w:type="dxa"/>
            <w:gridSpan w:val="2"/>
            <w:vMerge/>
          </w:tcPr>
          <w:p w14:paraId="5D517731" w14:textId="77777777" w:rsidR="007A5C2B" w:rsidRPr="00813E5E" w:rsidRDefault="007A5C2B" w:rsidP="007A5C2B">
            <w:pPr>
              <w:tabs>
                <w:tab w:val="left" w:pos="851"/>
              </w:tabs>
              <w:spacing w:line="240" w:lineRule="atLeast"/>
              <w:rPr>
                <w:b/>
              </w:rPr>
            </w:pPr>
          </w:p>
        </w:tc>
        <w:tc>
          <w:tcPr>
            <w:tcW w:w="5245" w:type="dxa"/>
            <w:gridSpan w:val="2"/>
          </w:tcPr>
          <w:p w14:paraId="19567CC1" w14:textId="6A66F0FA" w:rsidR="007A5C2B" w:rsidRPr="00FC6D7D" w:rsidRDefault="00B466C5" w:rsidP="007A5C2B">
            <w:pPr>
              <w:tabs>
                <w:tab w:val="left" w:pos="851"/>
              </w:tabs>
              <w:spacing w:before="0"/>
              <w:jc w:val="right"/>
              <w:rPr>
                <w:b/>
                <w:lang w:val="en-GB"/>
              </w:rPr>
            </w:pPr>
            <w:r>
              <w:rPr>
                <w:b/>
              </w:rPr>
              <w:t>3 août</w:t>
            </w:r>
            <w:r w:rsidR="007A5C2B">
              <w:rPr>
                <w:b/>
              </w:rPr>
              <w:t xml:space="preserve"> 2026</w:t>
            </w:r>
          </w:p>
        </w:tc>
      </w:tr>
      <w:tr w:rsidR="007A5C2B" w:rsidRPr="00813E5E" w14:paraId="6D2DDCEC" w14:textId="77777777" w:rsidTr="00F92DE8">
        <w:trPr>
          <w:cantSplit/>
          <w:trHeight w:val="23"/>
        </w:trPr>
        <w:tc>
          <w:tcPr>
            <w:tcW w:w="3969" w:type="dxa"/>
            <w:gridSpan w:val="2"/>
            <w:vMerge/>
          </w:tcPr>
          <w:p w14:paraId="6863DC21" w14:textId="77777777" w:rsidR="007A5C2B" w:rsidRPr="00FC6D7D" w:rsidRDefault="007A5C2B" w:rsidP="007A5C2B">
            <w:pPr>
              <w:tabs>
                <w:tab w:val="left" w:pos="851"/>
              </w:tabs>
              <w:spacing w:line="240" w:lineRule="atLeast"/>
              <w:rPr>
                <w:b/>
                <w:lang w:val="en-GB"/>
              </w:rPr>
            </w:pPr>
          </w:p>
        </w:tc>
        <w:tc>
          <w:tcPr>
            <w:tcW w:w="5245" w:type="dxa"/>
            <w:gridSpan w:val="2"/>
          </w:tcPr>
          <w:p w14:paraId="5A00D666" w14:textId="77777777" w:rsidR="007A5C2B" w:rsidRPr="00E85629" w:rsidRDefault="007A5C2B" w:rsidP="007A5C2B">
            <w:pPr>
              <w:tabs>
                <w:tab w:val="left" w:pos="851"/>
              </w:tabs>
              <w:spacing w:before="0" w:line="240" w:lineRule="atLeast"/>
              <w:jc w:val="right"/>
              <w:rPr>
                <w:b/>
              </w:rPr>
            </w:pPr>
            <w:r w:rsidRPr="00122CE1">
              <w:rPr>
                <w:b/>
                <w:lang w:val="fr-CH"/>
              </w:rPr>
              <w:t>Original: anglais</w:t>
            </w:r>
          </w:p>
        </w:tc>
      </w:tr>
      <w:tr w:rsidR="007A5C2B" w:rsidRPr="00813E5E" w14:paraId="39BACD33" w14:textId="77777777" w:rsidTr="00F92DE8">
        <w:trPr>
          <w:cantSplit/>
          <w:trHeight w:val="23"/>
        </w:trPr>
        <w:tc>
          <w:tcPr>
            <w:tcW w:w="3969" w:type="dxa"/>
            <w:gridSpan w:val="2"/>
          </w:tcPr>
          <w:p w14:paraId="138129B8" w14:textId="77777777" w:rsidR="007A5C2B" w:rsidRPr="00813E5E" w:rsidRDefault="007A5C2B" w:rsidP="007A5C2B">
            <w:pPr>
              <w:tabs>
                <w:tab w:val="left" w:pos="851"/>
              </w:tabs>
              <w:spacing w:line="240" w:lineRule="atLeast"/>
              <w:rPr>
                <w:b/>
              </w:rPr>
            </w:pPr>
          </w:p>
        </w:tc>
        <w:tc>
          <w:tcPr>
            <w:tcW w:w="5245" w:type="dxa"/>
            <w:gridSpan w:val="2"/>
          </w:tcPr>
          <w:p w14:paraId="5D2A458B" w14:textId="77777777" w:rsidR="007A5C2B" w:rsidRDefault="007A5C2B" w:rsidP="007A5C2B">
            <w:pPr>
              <w:tabs>
                <w:tab w:val="left" w:pos="851"/>
              </w:tabs>
              <w:spacing w:before="0" w:line="240" w:lineRule="atLeast"/>
              <w:jc w:val="right"/>
              <w:rPr>
                <w:b/>
              </w:rPr>
            </w:pPr>
          </w:p>
        </w:tc>
      </w:tr>
      <w:tr w:rsidR="007A5C2B" w:rsidRPr="00122CE1" w14:paraId="28C3CB2C" w14:textId="77777777" w:rsidTr="00F92DE8">
        <w:trPr>
          <w:cantSplit/>
        </w:trPr>
        <w:tc>
          <w:tcPr>
            <w:tcW w:w="9214" w:type="dxa"/>
            <w:gridSpan w:val="4"/>
            <w:tcMar>
              <w:left w:w="0" w:type="dxa"/>
            </w:tcMar>
          </w:tcPr>
          <w:p w14:paraId="4E5EDFFD" w14:textId="23B2364E" w:rsidR="007A5C2B" w:rsidRPr="00341437" w:rsidRDefault="007A5C2B" w:rsidP="007A5C2B">
            <w:pPr>
              <w:pStyle w:val="Summary-Record"/>
              <w:framePr w:hSpace="0" w:wrap="auto" w:vAnchor="margin" w:hAnchor="text" w:xAlign="left" w:yAlign="inline"/>
              <w:rPr>
                <w:bCs/>
                <w:color w:val="000000"/>
                <w:lang w:val="fr-FR"/>
              </w:rPr>
            </w:pPr>
            <w:r>
              <w:rPr>
                <w:bCs/>
                <w:color w:val="000000"/>
                <w:lang w:val="fr-FR"/>
              </w:rPr>
              <w:t xml:space="preserve">COMPTE RENDU </w:t>
            </w:r>
            <w:r>
              <w:rPr>
                <w:bCs/>
                <w:color w:val="000000"/>
                <w:lang w:val="fr-FR"/>
              </w:rPr>
              <w:br/>
            </w:r>
            <w:r>
              <w:rPr>
                <w:bCs/>
                <w:color w:val="000000"/>
                <w:lang w:val="fr-FR"/>
              </w:rPr>
              <w:br/>
              <w:t xml:space="preserve">DE LA </w:t>
            </w:r>
            <w:r>
              <w:rPr>
                <w:bCs/>
                <w:color w:val="000000"/>
                <w:lang w:val="fr-FR"/>
              </w:rPr>
              <w:br/>
            </w:r>
            <w:r>
              <w:rPr>
                <w:bCs/>
                <w:color w:val="000000"/>
                <w:lang w:val="fr-FR"/>
              </w:rPr>
              <w:br/>
            </w:r>
            <w:r w:rsidR="00B466C5" w:rsidRPr="00CD2E34">
              <w:rPr>
                <w:rFonts w:cstheme="minorHAnsi"/>
                <w:color w:val="000000"/>
                <w:lang w:val="fr-FR"/>
              </w:rPr>
              <w:t xml:space="preserve">DEUXIÈME </w:t>
            </w:r>
            <w:r>
              <w:rPr>
                <w:bCs/>
                <w:color w:val="000000"/>
                <w:lang w:val="fr-FR"/>
              </w:rPr>
              <w:t>SÉANCE PLÉNIÈRE</w:t>
            </w:r>
          </w:p>
        </w:tc>
      </w:tr>
      <w:tr w:rsidR="007A5C2B" w:rsidRPr="00813E5E" w14:paraId="281C9951" w14:textId="77777777" w:rsidTr="00F92DE8">
        <w:trPr>
          <w:cantSplit/>
        </w:trPr>
        <w:tc>
          <w:tcPr>
            <w:tcW w:w="9214" w:type="dxa"/>
            <w:gridSpan w:val="4"/>
            <w:tcMar>
              <w:left w:w="0" w:type="dxa"/>
            </w:tcMar>
          </w:tcPr>
          <w:p w14:paraId="7A561DCA" w14:textId="612B019F" w:rsidR="007A5C2B" w:rsidRPr="00341437" w:rsidRDefault="007A5C2B" w:rsidP="007A5C2B">
            <w:pPr>
              <w:spacing w:after="240"/>
              <w:jc w:val="center"/>
            </w:pPr>
            <w:r w:rsidRPr="00DD7213">
              <w:t>Mercredi 29 avril 2026, de 14</w:t>
            </w:r>
            <w:r w:rsidR="00CD2E34">
              <w:t xml:space="preserve"> </w:t>
            </w:r>
            <w:r w:rsidRPr="00DD7213">
              <w:t>h</w:t>
            </w:r>
            <w:r w:rsidR="00CD2E34">
              <w:t xml:space="preserve"> </w:t>
            </w:r>
            <w:r w:rsidRPr="00DD7213">
              <w:t>45 à 17</w:t>
            </w:r>
            <w:r w:rsidR="00CD2E34">
              <w:t xml:space="preserve"> </w:t>
            </w:r>
            <w:r w:rsidRPr="00DD7213">
              <w:t>h</w:t>
            </w:r>
            <w:r w:rsidR="00CD2E34">
              <w:t xml:space="preserve"> </w:t>
            </w:r>
            <w:r w:rsidRPr="00DD7213">
              <w:t>45</w:t>
            </w:r>
          </w:p>
          <w:p w14:paraId="54C1C12C" w14:textId="77777777" w:rsidR="007A5C2B" w:rsidRPr="00C049D7" w:rsidRDefault="007A5C2B" w:rsidP="007A5C2B">
            <w:pPr>
              <w:spacing w:after="240"/>
              <w:jc w:val="center"/>
              <w:rPr>
                <w:sz w:val="32"/>
                <w:szCs w:val="32"/>
              </w:rPr>
            </w:pPr>
            <w:r w:rsidRPr="00341437">
              <w:rPr>
                <w:b/>
                <w:bCs/>
              </w:rPr>
              <w:t>Président</w:t>
            </w:r>
            <w:r w:rsidRPr="00341437">
              <w:t>: M. B. Tijani (Nigéria)</w:t>
            </w:r>
          </w:p>
        </w:tc>
      </w:tr>
      <w:tr w:rsidR="007A5C2B" w:rsidRPr="00341437" w14:paraId="08F4757E" w14:textId="77777777" w:rsidTr="00F92DE8">
        <w:trPr>
          <w:cantSplit/>
          <w:trHeight w:val="502"/>
        </w:trPr>
        <w:tc>
          <w:tcPr>
            <w:tcW w:w="709" w:type="dxa"/>
            <w:tcMar>
              <w:left w:w="0" w:type="dxa"/>
            </w:tcMar>
          </w:tcPr>
          <w:p w14:paraId="6C327437" w14:textId="77777777" w:rsidR="007A5C2B" w:rsidRPr="00341437" w:rsidRDefault="007A5C2B" w:rsidP="00472CF1">
            <w:pPr>
              <w:spacing w:before="480" w:after="120"/>
              <w:jc w:val="center"/>
              <w:rPr>
                <w:b/>
                <w:bCs/>
              </w:rPr>
            </w:pPr>
          </w:p>
        </w:tc>
        <w:tc>
          <w:tcPr>
            <w:tcW w:w="6379" w:type="dxa"/>
            <w:gridSpan w:val="2"/>
          </w:tcPr>
          <w:p w14:paraId="66A1603C" w14:textId="77777777" w:rsidR="007A5C2B" w:rsidRPr="00341437" w:rsidRDefault="007A5C2B" w:rsidP="00472CF1">
            <w:pPr>
              <w:spacing w:before="480" w:after="120"/>
              <w:rPr>
                <w:b/>
                <w:bCs/>
              </w:rPr>
            </w:pPr>
            <w:r w:rsidRPr="00341437">
              <w:rPr>
                <w:b/>
                <w:bCs/>
              </w:rPr>
              <w:t>Sujets traités</w:t>
            </w:r>
          </w:p>
        </w:tc>
        <w:tc>
          <w:tcPr>
            <w:tcW w:w="2126" w:type="dxa"/>
          </w:tcPr>
          <w:p w14:paraId="57F5BA2F" w14:textId="77777777" w:rsidR="007A5C2B" w:rsidRPr="00341437" w:rsidRDefault="007A5C2B" w:rsidP="00472CF1">
            <w:pPr>
              <w:spacing w:before="480" w:after="120"/>
              <w:jc w:val="center"/>
              <w:rPr>
                <w:b/>
                <w:bCs/>
              </w:rPr>
            </w:pPr>
            <w:r w:rsidRPr="00341437">
              <w:rPr>
                <w:b/>
                <w:bCs/>
              </w:rPr>
              <w:t>Documents</w:t>
            </w:r>
          </w:p>
        </w:tc>
      </w:tr>
      <w:tr w:rsidR="007C1B28" w:rsidRPr="00813E5E" w14:paraId="10118DCE" w14:textId="77777777" w:rsidTr="00F92DE8">
        <w:trPr>
          <w:cantSplit/>
          <w:trHeight w:val="501"/>
        </w:trPr>
        <w:tc>
          <w:tcPr>
            <w:tcW w:w="709" w:type="dxa"/>
            <w:tcMar>
              <w:left w:w="0" w:type="dxa"/>
            </w:tcMar>
          </w:tcPr>
          <w:p w14:paraId="254C2324" w14:textId="77777777" w:rsidR="007C1B28" w:rsidRPr="00341437" w:rsidRDefault="007C1B28" w:rsidP="007C1B28">
            <w:pPr>
              <w:spacing w:after="120"/>
              <w:jc w:val="center"/>
            </w:pPr>
            <w:r>
              <w:t>1</w:t>
            </w:r>
          </w:p>
        </w:tc>
        <w:tc>
          <w:tcPr>
            <w:tcW w:w="6379" w:type="dxa"/>
            <w:gridSpan w:val="2"/>
          </w:tcPr>
          <w:p w14:paraId="74ECD0AD" w14:textId="63A22D6D" w:rsidR="007C1B28" w:rsidRPr="00341437" w:rsidRDefault="007C1B28" w:rsidP="00F204AC">
            <w:r>
              <w:rPr>
                <w:lang w:eastAsia="en-GB"/>
              </w:rPr>
              <w:t>Renforcer la présence régionale de l</w:t>
            </w:r>
            <w:r w:rsidR="00B70AD5">
              <w:rPr>
                <w:lang w:eastAsia="en-GB"/>
              </w:rPr>
              <w:t>'</w:t>
            </w:r>
            <w:r>
              <w:rPr>
                <w:lang w:eastAsia="en-GB"/>
              </w:rPr>
              <w:t>UIT</w:t>
            </w:r>
          </w:p>
        </w:tc>
        <w:tc>
          <w:tcPr>
            <w:tcW w:w="2126" w:type="dxa"/>
          </w:tcPr>
          <w:p w14:paraId="3C0E6A52" w14:textId="5D2F2137" w:rsidR="007C1B28" w:rsidRPr="00341437" w:rsidRDefault="007C1B28" w:rsidP="007C1B28">
            <w:pPr>
              <w:spacing w:after="120"/>
              <w:jc w:val="center"/>
            </w:pPr>
            <w:hyperlink r:id="rId7" w:history="1">
              <w:r w:rsidRPr="00DD7213">
                <w:rPr>
                  <w:rStyle w:val="Hyperlink"/>
                  <w:rFonts w:eastAsia="Times New Roman" w:cs="Times New Roman"/>
                  <w:szCs w:val="24"/>
                </w:rPr>
                <w:t>C26/25</w:t>
              </w:r>
            </w:hyperlink>
          </w:p>
        </w:tc>
      </w:tr>
      <w:tr w:rsidR="007C1B28" w:rsidRPr="00813E5E" w14:paraId="3934C6CD" w14:textId="77777777" w:rsidTr="00F204AC">
        <w:trPr>
          <w:cantSplit/>
          <w:trHeight w:val="792"/>
        </w:trPr>
        <w:tc>
          <w:tcPr>
            <w:tcW w:w="709" w:type="dxa"/>
            <w:tcMar>
              <w:left w:w="0" w:type="dxa"/>
            </w:tcMar>
          </w:tcPr>
          <w:p w14:paraId="0C79CC4A" w14:textId="77777777" w:rsidR="007C1B28" w:rsidRPr="00341437" w:rsidRDefault="007C1B28" w:rsidP="007C1B28">
            <w:pPr>
              <w:spacing w:after="120"/>
              <w:jc w:val="center"/>
            </w:pPr>
            <w:r>
              <w:t>2</w:t>
            </w:r>
          </w:p>
        </w:tc>
        <w:tc>
          <w:tcPr>
            <w:tcW w:w="6379" w:type="dxa"/>
            <w:gridSpan w:val="2"/>
          </w:tcPr>
          <w:p w14:paraId="379EEC0E" w14:textId="6B31D191" w:rsidR="007C1B28" w:rsidRPr="00341437" w:rsidRDefault="007C1B28" w:rsidP="00F204AC">
            <w:pPr>
              <w:rPr>
                <w:lang w:eastAsia="en-GB"/>
              </w:rPr>
            </w:pPr>
            <w:r w:rsidRPr="00F204AC">
              <w:rPr>
                <w:lang w:eastAsia="en-GB"/>
              </w:rPr>
              <w:t>Proposition de création d</w:t>
            </w:r>
            <w:r w:rsidR="00B70AD5">
              <w:rPr>
                <w:lang w:eastAsia="en-GB"/>
              </w:rPr>
              <w:t>'</w:t>
            </w:r>
            <w:r w:rsidRPr="00F204AC">
              <w:rPr>
                <w:lang w:eastAsia="en-GB"/>
              </w:rPr>
              <w:t>un bureau de zone de l</w:t>
            </w:r>
            <w:r w:rsidR="00B70AD5">
              <w:rPr>
                <w:lang w:eastAsia="en-GB"/>
              </w:rPr>
              <w:t>'</w:t>
            </w:r>
            <w:r w:rsidRPr="00F204AC">
              <w:rPr>
                <w:lang w:eastAsia="en-GB"/>
              </w:rPr>
              <w:t>UIT dans le</w:t>
            </w:r>
            <w:r w:rsidR="000A4D36">
              <w:rPr>
                <w:lang w:eastAsia="en-GB"/>
              </w:rPr>
              <w:t> </w:t>
            </w:r>
            <w:r w:rsidRPr="00F204AC">
              <w:rPr>
                <w:lang w:eastAsia="en-GB"/>
              </w:rPr>
              <w:t>Pacifique</w:t>
            </w:r>
          </w:p>
        </w:tc>
        <w:tc>
          <w:tcPr>
            <w:tcW w:w="2126" w:type="dxa"/>
          </w:tcPr>
          <w:p w14:paraId="66D29F43" w14:textId="36664A21" w:rsidR="007C1B28" w:rsidRPr="00341437" w:rsidRDefault="007C1B28" w:rsidP="007C1B28">
            <w:pPr>
              <w:spacing w:after="120"/>
              <w:jc w:val="center"/>
            </w:pPr>
            <w:hyperlink r:id="rId8" w:history="1">
              <w:r w:rsidRPr="00DD7213">
                <w:rPr>
                  <w:rStyle w:val="Hyperlink"/>
                  <w:rFonts w:eastAsia="Times New Roman" w:cs="Times New Roman"/>
                  <w:szCs w:val="24"/>
                </w:rPr>
                <w:t>C26/85</w:t>
              </w:r>
            </w:hyperlink>
          </w:p>
        </w:tc>
      </w:tr>
      <w:tr w:rsidR="007C1B28" w:rsidRPr="00813E5E" w14:paraId="3D7752F8" w14:textId="77777777" w:rsidTr="00F92DE8">
        <w:trPr>
          <w:cantSplit/>
          <w:trHeight w:val="501"/>
        </w:trPr>
        <w:tc>
          <w:tcPr>
            <w:tcW w:w="709" w:type="dxa"/>
            <w:tcMar>
              <w:left w:w="0" w:type="dxa"/>
            </w:tcMar>
          </w:tcPr>
          <w:p w14:paraId="38BB6ACF" w14:textId="77777777" w:rsidR="007C1B28" w:rsidRPr="00341437" w:rsidRDefault="007C1B28" w:rsidP="007C1B28">
            <w:pPr>
              <w:spacing w:after="120"/>
              <w:jc w:val="center"/>
            </w:pPr>
            <w:r>
              <w:t>3</w:t>
            </w:r>
          </w:p>
        </w:tc>
        <w:tc>
          <w:tcPr>
            <w:tcW w:w="6379" w:type="dxa"/>
            <w:gridSpan w:val="2"/>
          </w:tcPr>
          <w:p w14:paraId="08FD53DB" w14:textId="20BEE7A1" w:rsidR="007C1B28" w:rsidRPr="00341437" w:rsidRDefault="007C1B28" w:rsidP="00F204AC">
            <w:r w:rsidRPr="00F204AC">
              <w:rPr>
                <w:lang w:eastAsia="en-GB"/>
              </w:rPr>
              <w:t>Examen de la présence régionale de l</w:t>
            </w:r>
            <w:r w:rsidR="00B70AD5">
              <w:rPr>
                <w:lang w:eastAsia="en-GB"/>
              </w:rPr>
              <w:t>'</w:t>
            </w:r>
            <w:r w:rsidRPr="00F204AC">
              <w:rPr>
                <w:lang w:eastAsia="en-GB"/>
              </w:rPr>
              <w:t>UIT</w:t>
            </w:r>
          </w:p>
        </w:tc>
        <w:tc>
          <w:tcPr>
            <w:tcW w:w="2126" w:type="dxa"/>
          </w:tcPr>
          <w:p w14:paraId="7986A510" w14:textId="2FBBA448" w:rsidR="007C1B28" w:rsidRPr="00341437" w:rsidRDefault="007C1B28" w:rsidP="007C1B28">
            <w:pPr>
              <w:spacing w:after="120"/>
              <w:jc w:val="center"/>
            </w:pPr>
            <w:hyperlink r:id="rId9" w:history="1">
              <w:r w:rsidRPr="00DD7213">
                <w:rPr>
                  <w:rStyle w:val="Hyperlink"/>
                  <w:rFonts w:eastAsia="Times New Roman" w:cs="Times New Roman"/>
                  <w:szCs w:val="24"/>
                </w:rPr>
                <w:t>C26/24</w:t>
              </w:r>
            </w:hyperlink>
            <w:r w:rsidR="00472CF1">
              <w:rPr>
                <w:szCs w:val="24"/>
              </w:rPr>
              <w:t>;</w:t>
            </w:r>
            <w:r w:rsidRPr="00DD7213">
              <w:rPr>
                <w:szCs w:val="24"/>
              </w:rPr>
              <w:t xml:space="preserve"> </w:t>
            </w:r>
            <w:hyperlink r:id="rId10" w:history="1">
              <w:r w:rsidRPr="00DD7213">
                <w:rPr>
                  <w:rStyle w:val="Hyperlink"/>
                  <w:rFonts w:eastAsia="Times New Roman" w:cs="Times New Roman"/>
                  <w:szCs w:val="24"/>
                </w:rPr>
                <w:t>C26/108</w:t>
              </w:r>
            </w:hyperlink>
          </w:p>
        </w:tc>
      </w:tr>
      <w:tr w:rsidR="007C1B28" w:rsidRPr="00813E5E" w14:paraId="32A3D751" w14:textId="77777777" w:rsidTr="00F204AC">
        <w:trPr>
          <w:cantSplit/>
          <w:trHeight w:val="819"/>
        </w:trPr>
        <w:tc>
          <w:tcPr>
            <w:tcW w:w="709" w:type="dxa"/>
            <w:tcMar>
              <w:left w:w="0" w:type="dxa"/>
            </w:tcMar>
          </w:tcPr>
          <w:p w14:paraId="25B6CD2F" w14:textId="77777777" w:rsidR="007C1B28" w:rsidRPr="00341437" w:rsidRDefault="007C1B28" w:rsidP="007C1B28">
            <w:pPr>
              <w:spacing w:after="120"/>
              <w:jc w:val="center"/>
            </w:pPr>
            <w:r>
              <w:t>4</w:t>
            </w:r>
          </w:p>
        </w:tc>
        <w:tc>
          <w:tcPr>
            <w:tcW w:w="6379" w:type="dxa"/>
            <w:gridSpan w:val="2"/>
          </w:tcPr>
          <w:p w14:paraId="70EA5CC9" w14:textId="6FB187AE" w:rsidR="007C1B28" w:rsidRPr="00341437" w:rsidRDefault="007C1B28" w:rsidP="00F204AC">
            <w:r w:rsidRPr="00F204AC">
              <w:rPr>
                <w:lang w:eastAsia="en-GB"/>
              </w:rPr>
              <w:t>Rapport sur la Conférence mondiale de développement des télécommunications (Bakou, 2025)</w:t>
            </w:r>
          </w:p>
        </w:tc>
        <w:tc>
          <w:tcPr>
            <w:tcW w:w="2126" w:type="dxa"/>
          </w:tcPr>
          <w:p w14:paraId="69F68D9E" w14:textId="0489C859" w:rsidR="007C1B28" w:rsidRPr="00341437" w:rsidRDefault="007C1B28" w:rsidP="007C1B28">
            <w:pPr>
              <w:spacing w:after="120"/>
              <w:jc w:val="center"/>
            </w:pPr>
            <w:hyperlink r:id="rId11" w:history="1">
              <w:r w:rsidRPr="00DD7213">
                <w:rPr>
                  <w:rStyle w:val="Hyperlink"/>
                  <w:rFonts w:eastAsia="Times New Roman" w:cs="Times New Roman"/>
                  <w:szCs w:val="24"/>
                </w:rPr>
                <w:t>C26/30</w:t>
              </w:r>
            </w:hyperlink>
          </w:p>
        </w:tc>
      </w:tr>
      <w:tr w:rsidR="007C1B28" w:rsidRPr="00813E5E" w14:paraId="31FFE927" w14:textId="77777777" w:rsidTr="00F92DE8">
        <w:trPr>
          <w:cantSplit/>
          <w:trHeight w:val="501"/>
        </w:trPr>
        <w:tc>
          <w:tcPr>
            <w:tcW w:w="709" w:type="dxa"/>
            <w:tcMar>
              <w:left w:w="0" w:type="dxa"/>
            </w:tcMar>
          </w:tcPr>
          <w:p w14:paraId="52880E00" w14:textId="77777777" w:rsidR="007C1B28" w:rsidRPr="00341437" w:rsidRDefault="007C1B28" w:rsidP="007C1B28">
            <w:pPr>
              <w:spacing w:after="120"/>
              <w:jc w:val="center"/>
            </w:pPr>
            <w:r>
              <w:t>5</w:t>
            </w:r>
          </w:p>
        </w:tc>
        <w:tc>
          <w:tcPr>
            <w:tcW w:w="6379" w:type="dxa"/>
            <w:gridSpan w:val="2"/>
          </w:tcPr>
          <w:p w14:paraId="488DEC18" w14:textId="10B00EA2" w:rsidR="007C1B28" w:rsidRPr="00341437" w:rsidRDefault="007C1B28" w:rsidP="00F204AC">
            <w:r w:rsidRPr="00F204AC">
              <w:rPr>
                <w:lang w:eastAsia="en-GB"/>
              </w:rPr>
              <w:t>Déclarations des conseillers et des observateurs</w:t>
            </w:r>
          </w:p>
        </w:tc>
        <w:tc>
          <w:tcPr>
            <w:tcW w:w="2126" w:type="dxa"/>
          </w:tcPr>
          <w:p w14:paraId="07A7233F" w14:textId="79ED86ED" w:rsidR="007C1B28" w:rsidRPr="00341437" w:rsidRDefault="007C1B28" w:rsidP="007C1B28">
            <w:pPr>
              <w:spacing w:after="120"/>
              <w:jc w:val="center"/>
            </w:pPr>
            <w:r w:rsidRPr="00DD7213">
              <w:rPr>
                <w:rFonts w:cs="Calibri"/>
                <w:szCs w:val="24"/>
              </w:rPr>
              <w:t>–</w:t>
            </w:r>
          </w:p>
        </w:tc>
      </w:tr>
    </w:tbl>
    <w:p w14:paraId="2F6E6B0F" w14:textId="77777777" w:rsidR="00A51849" w:rsidRPr="0019129B" w:rsidRDefault="00A51849" w:rsidP="00CF0534"/>
    <w:p w14:paraId="3A0DF73D" w14:textId="77777777" w:rsidR="00A51849" w:rsidRDefault="00A51849">
      <w:pPr>
        <w:tabs>
          <w:tab w:val="clear" w:pos="567"/>
          <w:tab w:val="clear" w:pos="1134"/>
          <w:tab w:val="clear" w:pos="1701"/>
          <w:tab w:val="clear" w:pos="2268"/>
          <w:tab w:val="clear" w:pos="2835"/>
        </w:tabs>
        <w:overflowPunct/>
        <w:autoSpaceDE/>
        <w:autoSpaceDN/>
        <w:adjustRightInd/>
        <w:spacing w:before="0"/>
        <w:textAlignment w:val="auto"/>
      </w:pPr>
      <w:r>
        <w:br w:type="page"/>
      </w:r>
    </w:p>
    <w:p w14:paraId="5A335988" w14:textId="3A385B02" w:rsidR="007C1B28" w:rsidRPr="00DD7213" w:rsidRDefault="007C1B28" w:rsidP="007C1B28">
      <w:pPr>
        <w:pStyle w:val="Heading1"/>
        <w:rPr>
          <w:szCs w:val="28"/>
        </w:rPr>
      </w:pPr>
      <w:r w:rsidRPr="00DD7213">
        <w:lastRenderedPageBreak/>
        <w:t>1</w:t>
      </w:r>
      <w:r w:rsidRPr="00DD7213">
        <w:tab/>
      </w:r>
      <w:r w:rsidRPr="006B0DD6">
        <w:t>Renforcer la présence régionale de l</w:t>
      </w:r>
      <w:r w:rsidR="00B70AD5">
        <w:t>'</w:t>
      </w:r>
      <w:r w:rsidRPr="006B0DD6">
        <w:t xml:space="preserve">UIT </w:t>
      </w:r>
      <w:r w:rsidR="00222777">
        <w:t>(</w:t>
      </w:r>
      <w:r w:rsidR="00222777" w:rsidRPr="00222777">
        <w:t xml:space="preserve">Document </w:t>
      </w:r>
      <w:hyperlink r:id="rId12" w:history="1">
        <w:proofErr w:type="spellStart"/>
        <w:r w:rsidRPr="00F204AC">
          <w:rPr>
            <w:rStyle w:val="Hyperlink"/>
            <w:rFonts w:eastAsia="Times New Roman" w:cs="Times New Roman"/>
            <w:szCs w:val="28"/>
          </w:rPr>
          <w:t>C26</w:t>
        </w:r>
        <w:proofErr w:type="spellEnd"/>
        <w:r w:rsidRPr="00F204AC">
          <w:rPr>
            <w:rStyle w:val="Hyperlink"/>
            <w:rFonts w:eastAsia="Times New Roman" w:cs="Times New Roman"/>
            <w:szCs w:val="28"/>
          </w:rPr>
          <w:t>/25</w:t>
        </w:r>
      </w:hyperlink>
      <w:r w:rsidRPr="00DD7213">
        <w:rPr>
          <w:szCs w:val="28"/>
        </w:rPr>
        <w:t>)</w:t>
      </w:r>
    </w:p>
    <w:p w14:paraId="7EFEAA9E" w14:textId="52ED289C" w:rsidR="007C1B28" w:rsidRDefault="007C1B28" w:rsidP="00222777">
      <w:pPr>
        <w:jc w:val="both"/>
      </w:pPr>
      <w:r w:rsidRPr="00DD7213">
        <w:t>1.1</w:t>
      </w:r>
      <w:r w:rsidRPr="00DD7213">
        <w:tab/>
      </w:r>
      <w:r w:rsidRPr="00684675">
        <w:t>L</w:t>
      </w:r>
      <w:r w:rsidR="00B70AD5">
        <w:t>'</w:t>
      </w:r>
      <w:r w:rsidRPr="00684675">
        <w:t>Adjointe au Directeur du Bureau de développement des télécommunications (BDT) présente le Document C2</w:t>
      </w:r>
      <w:r>
        <w:t>6</w:t>
      </w:r>
      <w:r w:rsidRPr="00684675">
        <w:t>/25, qui rend compte de la contribution de la présence régionale de l</w:t>
      </w:r>
      <w:r w:rsidR="00B70AD5">
        <w:t>'</w:t>
      </w:r>
      <w:r w:rsidRPr="00684675">
        <w:t>UIT à l</w:t>
      </w:r>
      <w:r w:rsidR="00B70AD5">
        <w:t>'</w:t>
      </w:r>
      <w:r w:rsidRPr="00684675">
        <w:t>accomplissement du mandat de l</w:t>
      </w:r>
      <w:r w:rsidR="00B70AD5">
        <w:t>'</w:t>
      </w:r>
      <w:r w:rsidRPr="00684675">
        <w:t>Union et des travaux régionaux en vue de la mise en œuvre du Plan stratégique de l</w:t>
      </w:r>
      <w:r w:rsidR="00B70AD5">
        <w:t>'</w:t>
      </w:r>
      <w:r w:rsidRPr="00684675">
        <w:t>U</w:t>
      </w:r>
      <w:r>
        <w:t>nion</w:t>
      </w:r>
      <w:r w:rsidRPr="00684675">
        <w:t>, du Plan d</w:t>
      </w:r>
      <w:r w:rsidR="00B70AD5">
        <w:t>'</w:t>
      </w:r>
      <w:r w:rsidRPr="00684675">
        <w:t>action de Kigali</w:t>
      </w:r>
      <w:r>
        <w:t>, du Plan d</w:t>
      </w:r>
      <w:r w:rsidR="00B70AD5">
        <w:t>'</w:t>
      </w:r>
      <w:r>
        <w:t>action de Bakou</w:t>
      </w:r>
      <w:r w:rsidRPr="00684675">
        <w:t xml:space="preserve"> et des initiatives régionales.</w:t>
      </w:r>
      <w:r>
        <w:t xml:space="preserve"> Ce document met en avant les activités menées par les bureaux régionaux et les bureaux de zone à l</w:t>
      </w:r>
      <w:r w:rsidR="00B70AD5">
        <w:t>'</w:t>
      </w:r>
      <w:r>
        <w:t>appui des trois Secteurs. L</w:t>
      </w:r>
      <w:r w:rsidR="00B70AD5">
        <w:t>'</w:t>
      </w:r>
      <w:r>
        <w:t>oratrice indique que six</w:t>
      </w:r>
      <w:r w:rsidR="00472CF1">
        <w:t> </w:t>
      </w:r>
      <w:r>
        <w:t>forums régionaux sur le développement sont prévus en 2026, afin d</w:t>
      </w:r>
      <w:r w:rsidR="00B70AD5">
        <w:t>'</w:t>
      </w:r>
      <w:r>
        <w:t>appuyer la conclusion de partenariats et la mise en œuvre du Plan d</w:t>
      </w:r>
      <w:r w:rsidR="00B70AD5">
        <w:t>'</w:t>
      </w:r>
      <w:r>
        <w:t>action de Bakou. Les bureaux régionaux et les bureaux de zone jouent un rôle central dans la mise en œuvre du Plan opérationnel de l</w:t>
      </w:r>
      <w:r w:rsidR="00B70AD5">
        <w:t>'</w:t>
      </w:r>
      <w:r>
        <w:t>UIT-D, en ce qu</w:t>
      </w:r>
      <w:r w:rsidR="00B70AD5">
        <w:t>'</w:t>
      </w:r>
      <w:r>
        <w:t>ils contribuent à 130 mesures en cours et travaillent conjointement avec le siège dans les domaines de la planification, de la budgétisation, du suivi et de l</w:t>
      </w:r>
      <w:r w:rsidR="00B70AD5">
        <w:t>'</w:t>
      </w:r>
      <w:r>
        <w:t xml:space="preserve">évaluation. </w:t>
      </w:r>
      <w:r w:rsidRPr="00684675">
        <w:t>À la suite de la CMDT-22, le BDT a mobilisé des ressources extrabudgétaires et a mis au point et exécuté 91 projets, qui ont généré 51 millions CHF sur la période triennale couverte par le Plan d</w:t>
      </w:r>
      <w:r w:rsidR="00B70AD5">
        <w:t>'</w:t>
      </w:r>
      <w:r w:rsidRPr="00684675">
        <w:t>action de Kigali, contribuant ainsi à la mise en œuvre des priorités et des initiatives régionales pour répondre aux besoins particuliers des régions</w:t>
      </w:r>
      <w:r>
        <w:t>. Une collaboration étroite a permis de produire des effets dans les différents Secteurs, notamment concernant la gestion du spectre, les interventions en cas de catastrophe, l</w:t>
      </w:r>
      <w:r w:rsidR="00B70AD5">
        <w:t>'</w:t>
      </w:r>
      <w:r>
        <w:t>intelligence artificielle (IA), la cybersécurité, les villes et communautés intelligentes et les systèmes d</w:t>
      </w:r>
      <w:r w:rsidR="00B70AD5">
        <w:t>'</w:t>
      </w:r>
      <w:r>
        <w:t>alerte précoce. Conformément aux recommandations formulées par le Conseil à sa session de 2025, un examen détaillé de la présence régionale effectué par le Secrétariat est présenté dans le Document C26/24.</w:t>
      </w:r>
    </w:p>
    <w:p w14:paraId="0AE4650A" w14:textId="3D0EDA71" w:rsidR="007C1B28" w:rsidRPr="00DD7213" w:rsidRDefault="007C1B28" w:rsidP="00222777">
      <w:pPr>
        <w:jc w:val="both"/>
      </w:pPr>
      <w:r w:rsidRPr="00DD7213">
        <w:t>1.2</w:t>
      </w:r>
      <w:r w:rsidRPr="00DD7213">
        <w:tab/>
      </w:r>
      <w:r>
        <w:t>Les conseillers et observateurs accueillent positivement le Document C26/25, remarquent l</w:t>
      </w:r>
      <w:r w:rsidR="00B70AD5">
        <w:t>'</w:t>
      </w:r>
      <w:r>
        <w:t>accent qui y est mis sur la présentation d</w:t>
      </w:r>
      <w:r w:rsidR="00B70AD5">
        <w:t>'</w:t>
      </w:r>
      <w:r>
        <w:t>informations reposant sur des éléments factuels et prennent note des renseignements fournis sur l</w:t>
      </w:r>
      <w:r w:rsidR="00B70AD5">
        <w:t>'</w:t>
      </w:r>
      <w:r>
        <w:t>assistance technique, le renforcement des capacités, la mise en œuvre de projets et la collaboration entre les trois</w:t>
      </w:r>
      <w:r w:rsidR="00CA6408">
        <w:t> </w:t>
      </w:r>
      <w:r>
        <w:t>Secteurs. Ils soulignent le travail important mené par les bureaux régionaux et les bureaux de zone pour appuyer les initiatives régionales et des projets nationaux, ainsi que les conférences et assemblées de l</w:t>
      </w:r>
      <w:r w:rsidR="00B70AD5">
        <w:t>'</w:t>
      </w:r>
      <w:r>
        <w:t>UIT. Il est essentiel de faire en sorte que l</w:t>
      </w:r>
      <w:r w:rsidR="00B70AD5">
        <w:t>'</w:t>
      </w:r>
      <w:r>
        <w:t>UIT reste réactive face à l</w:t>
      </w:r>
      <w:r w:rsidR="00B70AD5">
        <w:t>'</w:t>
      </w:r>
      <w:r>
        <w:t>évolution de l</w:t>
      </w:r>
      <w:r w:rsidR="00B70AD5">
        <w:t>'</w:t>
      </w:r>
      <w:r>
        <w:t>environnement numérique et aux besoins des États</w:t>
      </w:r>
      <w:r w:rsidR="00951A05">
        <w:t> </w:t>
      </w:r>
      <w:r>
        <w:t>Membres, en particulier des pays en développement. Un conseiller fait observer que les éléments factuels communiqués démontrent qu</w:t>
      </w:r>
      <w:r w:rsidR="00B70AD5">
        <w:t>'</w:t>
      </w:r>
      <w:r>
        <w:t>une architecture régionale solide est non seulement pertinente sur le plan opérationnel, mais aussi indispensable sur le plan stratégique. Plusieurs conseillers estiment que les priorités devraient inclure le renforcement des plates</w:t>
      </w:r>
      <w:r w:rsidR="00F204AC">
        <w:noBreakHyphen/>
      </w:r>
      <w:r>
        <w:t>formes de coopération régionales, le développement des capacités relatives aux technologies émergentes, l</w:t>
      </w:r>
      <w:r w:rsidR="00B70AD5">
        <w:t>'</w:t>
      </w:r>
      <w:r>
        <w:t>intensification de la collaboration avec les organisations régionales, l</w:t>
      </w:r>
      <w:r w:rsidR="00B70AD5">
        <w:t>'</w:t>
      </w:r>
      <w:r>
        <w:t>assistance technique, la mise en œuvre de projets et le renforcement des mécanismes de coordination qui facilitent les partenariats et la mobilisation de ressources auprès des gouvernements, des acteurs du secteur privé, des partenaires de développement et d</w:t>
      </w:r>
      <w:r w:rsidR="00B70AD5">
        <w:t>'</w:t>
      </w:r>
      <w:r>
        <w:t>autres parties prenantes, en particulier pour appuyer les pays en développement.</w:t>
      </w:r>
    </w:p>
    <w:p w14:paraId="7704EB00" w14:textId="03FFD18B" w:rsidR="007C1B28" w:rsidRDefault="007C1B28" w:rsidP="00222777">
      <w:pPr>
        <w:jc w:val="both"/>
      </w:pPr>
      <w:r w:rsidRPr="00DD7213">
        <w:t>1.3</w:t>
      </w:r>
      <w:r w:rsidRPr="00DD7213">
        <w:tab/>
      </w:r>
      <w:r>
        <w:t>Plusieurs conseillers estiment que le rapport pourrait contenir davantage d</w:t>
      </w:r>
      <w:r w:rsidR="00B70AD5">
        <w:t>'</w:t>
      </w:r>
      <w:r>
        <w:t>éléments sur les catalyseurs structurels du renforcement de la présence régionale. Un conseiller précise que ces éléments seraient le niveau de la dotation en personnel, la répartition des compétences et le niveau d</w:t>
      </w:r>
      <w:r w:rsidR="00B70AD5">
        <w:t>'</w:t>
      </w:r>
      <w:r>
        <w:t>autonomie opérationnelle des bureaux régionaux et des bureaux de zone. Il serait utile que le Conseil dispose d</w:t>
      </w:r>
      <w:r w:rsidR="00B70AD5">
        <w:t>'</w:t>
      </w:r>
      <w:r>
        <w:t>une image plus claire des résultats et effets concrets de la présence régionale dans les États Membres, notamment sur le plan de la réactivité, de la fourniture des services et de l</w:t>
      </w:r>
      <w:r w:rsidR="00B70AD5">
        <w:t>'</w:t>
      </w:r>
      <w:r>
        <w:t>appui à la mise en œuvre. L</w:t>
      </w:r>
      <w:r w:rsidR="00B70AD5">
        <w:t>'</w:t>
      </w:r>
      <w:r>
        <w:t xml:space="preserve">examen de la </w:t>
      </w:r>
      <w:r>
        <w:lastRenderedPageBreak/>
        <w:t>présence régionale devrait évaluer l</w:t>
      </w:r>
      <w:r w:rsidR="00B70AD5">
        <w:t>'</w:t>
      </w:r>
      <w:r>
        <w:t>efficacité avec laquelle il est répondu aux besoins techniques de régulateurs dans les trois Secteurs. Un conseiller met en exergue l</w:t>
      </w:r>
      <w:r w:rsidR="00B70AD5">
        <w:t>'</w:t>
      </w:r>
      <w:r>
        <w:t>absence d</w:t>
      </w:r>
      <w:r w:rsidR="00B70AD5">
        <w:t>'</w:t>
      </w:r>
      <w:r>
        <w:t>objectifs prédéfinis pour la présence régionale, sans lesquels il est difficile le suivi des progrès accomplis; il propose d</w:t>
      </w:r>
      <w:r w:rsidR="00B70AD5">
        <w:t>'</w:t>
      </w:r>
      <w:r>
        <w:t>adopter en la matière une présentation des informations fondée sur les résultats, et non plus sur les activités, avec des cibles définies en amont. Il ajoute qu</w:t>
      </w:r>
      <w:r w:rsidR="00B70AD5">
        <w:t>'</w:t>
      </w:r>
      <w:r>
        <w:t>il est regrettable que, lors des sessions tenues avant une Conférence de plénipotentiaires, le Conseil ne puisse pas examiner un rapport du Vérificateur extérieur des comptes afin d</w:t>
      </w:r>
      <w:r w:rsidR="00B70AD5">
        <w:t>'</w:t>
      </w:r>
      <w:r>
        <w:t>avoir des informations sur certains sujets, dont la présence régionale. Depuis la Conférence de plénipotentiaires de 2022 (PP-22), des activités d</w:t>
      </w:r>
      <w:r w:rsidR="00B70AD5">
        <w:t>'</w:t>
      </w:r>
      <w:r>
        <w:t>audit interne ont été menées dans un certain nombre de bureaux régionaux, mettant en évidence des défaillances précises en lien avec les contrôles, la gestion des risques et la gestion des projets, dont le Conseil devrait tenir compte. Dans le rapport qu</w:t>
      </w:r>
      <w:r w:rsidR="00B70AD5">
        <w:t>'</w:t>
      </w:r>
      <w:r>
        <w:t>il a soumis au Conseil en</w:t>
      </w:r>
      <w:r w:rsidR="00CB39A6">
        <w:t> </w:t>
      </w:r>
      <w:r>
        <w:t>2024, le Vérificateur extérieur des comptes conclut que s</w:t>
      </w:r>
      <w:r w:rsidR="00B70AD5">
        <w:t>'</w:t>
      </w:r>
      <w:r>
        <w:t>agissant de la présence régionale, il existe des problèmes systémiques plus larges; la question de la présence régionale devrait donc être traitée selon une approche systémique.</w:t>
      </w:r>
    </w:p>
    <w:p w14:paraId="12B84BF3" w14:textId="582D1396" w:rsidR="007C1B28" w:rsidRDefault="007C1B28" w:rsidP="00222777">
      <w:pPr>
        <w:jc w:val="both"/>
      </w:pPr>
      <w:r w:rsidRPr="00DD7213">
        <w:t>1.4</w:t>
      </w:r>
      <w:r w:rsidRPr="00DD7213">
        <w:tab/>
      </w:r>
      <w:r>
        <w:t>Plusieurs conseillers invitent le Secrétariat et les Secteurs à étudier des modèles pour continuer d</w:t>
      </w:r>
      <w:r w:rsidR="00B70AD5">
        <w:t>'</w:t>
      </w:r>
      <w:r>
        <w:t>améliorer la présence régionale. Un modèle ou un cadre pour la dotation en personnel mettant à profit les compétences spécialisées régionales et locales, y compris la participation des établissement universitaires, pourrait amener davantage de contexte pour les activités et améliorer la réactivité, la continuité et les effets produits. Un conseiller est favorable à une coordination plus étroite avec les organisations régionales de télécommunication afin de garantir des synergies et d</w:t>
      </w:r>
      <w:r w:rsidR="00B70AD5">
        <w:t>'</w:t>
      </w:r>
      <w:r>
        <w:t>appuyer la poursuite du renforcement de la présence régionale. Une meilleure application de la gestion axée sur les résultats au niveau des bureaux régionaux permettrait au Conseil de mieux comprendre les résultats produits, les domaines dans lesquels un appui est nécessaire et la contribution de la présence régionale à l</w:t>
      </w:r>
      <w:r w:rsidR="00B70AD5">
        <w:t>'</w:t>
      </w:r>
      <w:r>
        <w:t>exécution du mandat de l</w:t>
      </w:r>
      <w:r w:rsidR="00B70AD5">
        <w:t>'</w:t>
      </w:r>
      <w:r>
        <w:t>UIT.</w:t>
      </w:r>
    </w:p>
    <w:p w14:paraId="434660F3" w14:textId="740338B8" w:rsidR="007C1B28" w:rsidRDefault="007C1B28" w:rsidP="00222777">
      <w:pPr>
        <w:jc w:val="both"/>
      </w:pPr>
      <w:r w:rsidRPr="00DD7213">
        <w:t>1.5</w:t>
      </w:r>
      <w:r w:rsidRPr="00DD7213">
        <w:tab/>
      </w:r>
      <w:r>
        <w:t>Un certain nombre de conseillers s</w:t>
      </w:r>
      <w:r w:rsidR="00B70AD5">
        <w:t>'</w:t>
      </w:r>
      <w:r w:rsidRPr="00DD652B">
        <w:t>interrogent sur ce qui semble être une répartition géographique inégale des activités des Secteurs</w:t>
      </w:r>
      <w:r>
        <w:t>. Plusieurs conseillers demandent un engagement renforcé du Secteur des radiocommunications de l</w:t>
      </w:r>
      <w:r w:rsidR="00B70AD5">
        <w:t>'</w:t>
      </w:r>
      <w:r>
        <w:t>UIT (UIT-R) et du Secteur de la normalisation des télécommunications de l</w:t>
      </w:r>
      <w:r w:rsidR="00B70AD5">
        <w:t>'</w:t>
      </w:r>
      <w:r>
        <w:t>UIT (UIT-T) au niveau régional, l</w:t>
      </w:r>
      <w:r w:rsidR="00B70AD5">
        <w:t>'</w:t>
      </w:r>
      <w:r>
        <w:t>un d</w:t>
      </w:r>
      <w:r w:rsidR="00B70AD5">
        <w:t>'</w:t>
      </w:r>
      <w:r>
        <w:t>entre eux faisant observer que ces Secteurs mènent moins d</w:t>
      </w:r>
      <w:r w:rsidR="00B70AD5">
        <w:t>'</w:t>
      </w:r>
      <w:r>
        <w:t>activités dans la région Afrique. Plusieurs conseillers font remarquer qu</w:t>
      </w:r>
      <w:r w:rsidR="00B70AD5">
        <w:t>'</w:t>
      </w:r>
      <w:r>
        <w:t>il est important que les bureaux régionaux comptent des fonctionnaires des trois Secteurs; un conseiller demande quand le Bureau régional pour l</w:t>
      </w:r>
      <w:r w:rsidR="00B70AD5">
        <w:t>'</w:t>
      </w:r>
      <w:r>
        <w:t>Afrique disposera de compétences spécialisées de l</w:t>
      </w:r>
      <w:r w:rsidR="00B70AD5">
        <w:t>'</w:t>
      </w:r>
      <w:r>
        <w:t>UIT-R concernant la gestion du spectre, la coordination des satellites et la préparation de la Conférence mondiale des radiocommunications de 2027 (CMR-27).</w:t>
      </w:r>
    </w:p>
    <w:p w14:paraId="7E02228A" w14:textId="3A484A2C" w:rsidR="007C1B28" w:rsidRDefault="007C1B28" w:rsidP="00222777">
      <w:pPr>
        <w:jc w:val="both"/>
      </w:pPr>
      <w:r w:rsidRPr="00DD7213">
        <w:t>1.6</w:t>
      </w:r>
      <w:r w:rsidRPr="00DD7213">
        <w:tab/>
      </w:r>
      <w:r>
        <w:t>Plusieurs conseillers soulignent la nécessité de faire en sorte que des ressources financières adéquates et durables soient disponibles au niveau régional, une conseillère demandant des informations sur le nombre et le taux d</w:t>
      </w:r>
      <w:r w:rsidR="00B70AD5">
        <w:t>'</w:t>
      </w:r>
      <w:r>
        <w:t>acceptation des demandes de financement provenant des pays et des régions.</w:t>
      </w:r>
    </w:p>
    <w:p w14:paraId="32F4074A" w14:textId="7ED6969F" w:rsidR="007C1B28" w:rsidRPr="007C1B28" w:rsidRDefault="007C1B28" w:rsidP="00222777">
      <w:pPr>
        <w:jc w:val="both"/>
      </w:pPr>
      <w:r w:rsidRPr="007C1B28">
        <w:t>1.7</w:t>
      </w:r>
      <w:r w:rsidRPr="007C1B28">
        <w:tab/>
        <w:t xml:space="preserve">Le </w:t>
      </w:r>
      <w:r w:rsidR="00951A05">
        <w:t>c</w:t>
      </w:r>
      <w:r w:rsidRPr="007C1B28">
        <w:t>onseiller de la Pologne explique qu</w:t>
      </w:r>
      <w:r w:rsidR="00B70AD5">
        <w:t>'</w:t>
      </w:r>
      <w:r w:rsidRPr="007C1B28">
        <w:t>en 2025, alors qu</w:t>
      </w:r>
      <w:r w:rsidR="00B70AD5">
        <w:t>'</w:t>
      </w:r>
      <w:r w:rsidRPr="007C1B28">
        <w:t>il assurait la présidence du Conseil de l</w:t>
      </w:r>
      <w:r w:rsidR="00B70AD5">
        <w:t>'</w:t>
      </w:r>
      <w:r w:rsidRPr="007C1B28">
        <w:t xml:space="preserve">Union européenne, son pays a organisé un atelier sur le renforcement de la </w:t>
      </w:r>
      <w:r w:rsidR="00D45FDA">
        <w:t>collaboration</w:t>
      </w:r>
      <w:r w:rsidR="00D45FDA" w:rsidRPr="007C1B28">
        <w:t xml:space="preserve"> </w:t>
      </w:r>
      <w:r w:rsidRPr="007C1B28">
        <w:t>de l</w:t>
      </w:r>
      <w:r w:rsidR="00B70AD5">
        <w:t>'</w:t>
      </w:r>
      <w:r w:rsidRPr="007C1B28">
        <w:t xml:space="preserve">Union européenne </w:t>
      </w:r>
      <w:r w:rsidR="00D45FDA">
        <w:t>avec</w:t>
      </w:r>
      <w:r w:rsidRPr="007C1B28">
        <w:t xml:space="preserve"> l</w:t>
      </w:r>
      <w:r w:rsidR="00B70AD5">
        <w:t>'</w:t>
      </w:r>
      <w:r w:rsidRPr="007C1B28">
        <w:t>UIT.</w:t>
      </w:r>
    </w:p>
    <w:p w14:paraId="56C85ECC" w14:textId="44860638" w:rsidR="007C1B28" w:rsidRDefault="007C1B28" w:rsidP="00222777">
      <w:pPr>
        <w:jc w:val="both"/>
      </w:pPr>
      <w:r w:rsidRPr="00DD7213">
        <w:lastRenderedPageBreak/>
        <w:t>1.8</w:t>
      </w:r>
      <w:r w:rsidRPr="00DD7213">
        <w:tab/>
      </w:r>
      <w:r>
        <w:t xml:space="preserve">Le </w:t>
      </w:r>
      <w:r w:rsidR="00951A05">
        <w:t>c</w:t>
      </w:r>
      <w:r>
        <w:t>onseiller de la République tchèque indique que son pays a accueilli le Forum</w:t>
      </w:r>
      <w:r w:rsidR="00F204AC">
        <w:t> </w:t>
      </w:r>
      <w:r>
        <w:t xml:space="preserve">régional sur le développement en mars. La </w:t>
      </w:r>
      <w:r w:rsidR="00951A05">
        <w:t>c</w:t>
      </w:r>
      <w:r>
        <w:t>onseillère de la Thaïlande souligne que son pays accueillera conjointement le Forum régional sur le développement pour l</w:t>
      </w:r>
      <w:r w:rsidR="00B70AD5">
        <w:t>'</w:t>
      </w:r>
      <w:r>
        <w:t>Asie</w:t>
      </w:r>
      <w:r w:rsidR="00F204AC">
        <w:noBreakHyphen/>
      </w:r>
      <w:r>
        <w:t>Pacifique en juillet.</w:t>
      </w:r>
    </w:p>
    <w:p w14:paraId="5FE9ABCC" w14:textId="4F9582B2" w:rsidR="007C1B28" w:rsidRDefault="007C1B28" w:rsidP="00222777">
      <w:pPr>
        <w:jc w:val="both"/>
      </w:pPr>
      <w:r w:rsidRPr="00DD7213">
        <w:t>1.9</w:t>
      </w:r>
      <w:r w:rsidRPr="00DD7213">
        <w:tab/>
      </w:r>
      <w:r>
        <w:t>L</w:t>
      </w:r>
      <w:r w:rsidR="00B70AD5">
        <w:t>'</w:t>
      </w:r>
      <w:r>
        <w:t xml:space="preserve">observateur du Kazakhstan explique que le BDT, </w:t>
      </w:r>
      <w:r w:rsidRPr="002D0842">
        <w:t>conjointement avec Intersputnik et avec la participation d</w:t>
      </w:r>
      <w:r w:rsidR="00B70AD5">
        <w:t>'</w:t>
      </w:r>
      <w:r w:rsidRPr="002D0842">
        <w:t xml:space="preserve">experts du </w:t>
      </w:r>
      <w:r>
        <w:t>Bureau des radiocommunications (</w:t>
      </w:r>
      <w:r w:rsidRPr="002D0842">
        <w:t>BR</w:t>
      </w:r>
      <w:r>
        <w:t>)</w:t>
      </w:r>
      <w:r w:rsidRPr="002D0842">
        <w:t xml:space="preserve">, a organisé un atelier </w:t>
      </w:r>
      <w:r>
        <w:t>sur les thème</w:t>
      </w:r>
      <w:r w:rsidRPr="002D0842">
        <w:t xml:space="preserve"> "Les activités spatiales dans les réalités modernes" à Almaty</w:t>
      </w:r>
      <w:r>
        <w:t xml:space="preserve"> en 2025.</w:t>
      </w:r>
    </w:p>
    <w:p w14:paraId="22709C55" w14:textId="77777777" w:rsidR="007C1B28" w:rsidRDefault="007C1B28" w:rsidP="00222777">
      <w:pPr>
        <w:jc w:val="both"/>
      </w:pPr>
      <w:r w:rsidRPr="00DD7213">
        <w:t>1.10</w:t>
      </w:r>
      <w:r w:rsidRPr="00DD7213">
        <w:tab/>
      </w:r>
      <w:r>
        <w:t>Le Conseil</w:t>
      </w:r>
      <w:r w:rsidRPr="00DD7213">
        <w:t xml:space="preserve"> </w:t>
      </w:r>
      <w:r w:rsidRPr="00DD7213">
        <w:rPr>
          <w:b/>
          <w:bCs/>
        </w:rPr>
        <w:t>appro</w:t>
      </w:r>
      <w:r>
        <w:rPr>
          <w:b/>
          <w:bCs/>
        </w:rPr>
        <w:t>u</w:t>
      </w:r>
      <w:r w:rsidRPr="00DD7213">
        <w:rPr>
          <w:b/>
          <w:bCs/>
        </w:rPr>
        <w:t>ve</w:t>
      </w:r>
      <w:r w:rsidRPr="00DD7213">
        <w:t xml:space="preserve"> </w:t>
      </w:r>
      <w:r>
        <w:t>l</w:t>
      </w:r>
      <w:r w:rsidRPr="00DD7213">
        <w:t>e r</w:t>
      </w:r>
      <w:r>
        <w:t>ap</w:t>
      </w:r>
      <w:r w:rsidRPr="00DD7213">
        <w:t xml:space="preserve">port </w:t>
      </w:r>
      <w:r>
        <w:t>et</w:t>
      </w:r>
      <w:r w:rsidRPr="00DD7213">
        <w:t xml:space="preserve"> </w:t>
      </w:r>
      <w:r>
        <w:rPr>
          <w:b/>
          <w:bCs/>
        </w:rPr>
        <w:t>décide</w:t>
      </w:r>
      <w:r w:rsidRPr="00DD7213">
        <w:t xml:space="preserve"> </w:t>
      </w:r>
      <w:r>
        <w:t>de le transmettre</w:t>
      </w:r>
      <w:r w:rsidRPr="00DD7213">
        <w:t xml:space="preserve">, </w:t>
      </w:r>
      <w:r>
        <w:t>avec les observations formulées pendant la séance, à la Conférence de plénipotentiaires (Doha, 2026) (PP-26).</w:t>
      </w:r>
    </w:p>
    <w:p w14:paraId="552A3FF2" w14:textId="2353097E" w:rsidR="007C1B28" w:rsidRPr="00DD7213" w:rsidRDefault="007C1B28" w:rsidP="007C1B28">
      <w:pPr>
        <w:pStyle w:val="Heading1"/>
        <w:rPr>
          <w:szCs w:val="28"/>
        </w:rPr>
      </w:pPr>
      <w:r w:rsidRPr="00DD7213">
        <w:t>2</w:t>
      </w:r>
      <w:r w:rsidRPr="00DD7213">
        <w:tab/>
      </w:r>
      <w:r w:rsidRPr="006B0DD6">
        <w:t>Proposition de création d</w:t>
      </w:r>
      <w:r w:rsidR="00B70AD5">
        <w:t>'</w:t>
      </w:r>
      <w:r w:rsidRPr="006B0DD6">
        <w:t>un bureau de zone de l</w:t>
      </w:r>
      <w:r w:rsidR="00B70AD5">
        <w:t>'</w:t>
      </w:r>
      <w:r w:rsidRPr="006B0DD6">
        <w:t xml:space="preserve">UIT dans le Pacifique </w:t>
      </w:r>
      <w:r w:rsidRPr="00DD7213">
        <w:t>(</w:t>
      </w:r>
      <w:r w:rsidR="004C51D3" w:rsidRPr="00222777">
        <w:t xml:space="preserve">Document </w:t>
      </w:r>
      <w:hyperlink r:id="rId13" w:history="1">
        <w:proofErr w:type="spellStart"/>
        <w:r w:rsidRPr="00F204AC">
          <w:rPr>
            <w:rStyle w:val="Hyperlink"/>
            <w:rFonts w:eastAsia="Times New Roman" w:cs="Times New Roman"/>
            <w:szCs w:val="28"/>
          </w:rPr>
          <w:t>C26</w:t>
        </w:r>
        <w:proofErr w:type="spellEnd"/>
        <w:r w:rsidRPr="00F204AC">
          <w:rPr>
            <w:rStyle w:val="Hyperlink"/>
            <w:rFonts w:eastAsia="Times New Roman" w:cs="Times New Roman"/>
            <w:szCs w:val="28"/>
          </w:rPr>
          <w:t>/85</w:t>
        </w:r>
      </w:hyperlink>
      <w:r w:rsidRPr="00DD7213">
        <w:rPr>
          <w:szCs w:val="28"/>
        </w:rPr>
        <w:t>)</w:t>
      </w:r>
    </w:p>
    <w:p w14:paraId="50E4034D" w14:textId="2ACB469E" w:rsidR="007C1B28" w:rsidRDefault="007C1B28" w:rsidP="004C51D3">
      <w:pPr>
        <w:jc w:val="both"/>
      </w:pPr>
      <w:r w:rsidRPr="00DD7213">
        <w:t>2.1</w:t>
      </w:r>
      <w:r w:rsidRPr="00DD7213">
        <w:tab/>
      </w:r>
      <w:r>
        <w:t>L</w:t>
      </w:r>
      <w:r w:rsidR="00B70AD5">
        <w:t>'</w:t>
      </w:r>
      <w:r>
        <w:t>observatrice de la Papouasie-Nouvelle-Guinée présente la contribution soumise par plusieurs pays figurant dans le Document C26/85 au nom de 14 pays. Dans ce document, le Conseil est invité à appuyer la création d</w:t>
      </w:r>
      <w:r w:rsidR="00B70AD5">
        <w:t>'</w:t>
      </w:r>
      <w:r>
        <w:t>un bureau de zone de l</w:t>
      </w:r>
      <w:r w:rsidR="00B70AD5">
        <w:t>'</w:t>
      </w:r>
      <w:r>
        <w:t>UIT dans le Pacifique, l</w:t>
      </w:r>
      <w:r w:rsidR="00B70AD5">
        <w:t>'</w:t>
      </w:r>
      <w:r>
        <w:t>affectation des ressources nécessaires et la transmission de la proposition à la PP-26. Les pays du Pacifique rencontrent des problèmes concrets, tels que l</w:t>
      </w:r>
      <w:r w:rsidR="00B70AD5">
        <w:t>'</w:t>
      </w:r>
      <w:r>
        <w:t>isolement géographique, une infrastructure de connectivité limitée, des coûts élevés pour l</w:t>
      </w:r>
      <w:r w:rsidR="00B70AD5">
        <w:t>'</w:t>
      </w:r>
      <w:r>
        <w:t>accès et les services, la fragmentation de la réglementation, les risques climatiques et des contraintes en termes de capacités, qui affectent directement leur capacité à prendre part véritablement à l</w:t>
      </w:r>
      <w:r w:rsidR="00B70AD5">
        <w:t>'</w:t>
      </w:r>
      <w:r>
        <w:t>économie mondiale. Un bureau constituerait un investissement stratégique à long terme et permettrait de faire en sorte que le Pacifique ne soit pas laissé de côté dans la transformation numérique mondiale.</w:t>
      </w:r>
    </w:p>
    <w:p w14:paraId="565F7963" w14:textId="66D87317" w:rsidR="007C1B28" w:rsidRDefault="007C1B28" w:rsidP="004C51D3">
      <w:pPr>
        <w:jc w:val="both"/>
      </w:pPr>
      <w:r w:rsidRPr="00DD7213">
        <w:t>2.2</w:t>
      </w:r>
      <w:r w:rsidRPr="00DD7213">
        <w:tab/>
      </w:r>
      <w:r>
        <w:t>La Conseillère de l</w:t>
      </w:r>
      <w:r w:rsidR="00B70AD5">
        <w:t>'</w:t>
      </w:r>
      <w:r>
        <w:t>Australie indique que la collecte des éléments nécessaires, l</w:t>
      </w:r>
      <w:r w:rsidR="00B70AD5">
        <w:t>'</w:t>
      </w:r>
      <w:r>
        <w:t>analyse des besoins et l</w:t>
      </w:r>
      <w:r w:rsidR="00B70AD5">
        <w:t>'</w:t>
      </w:r>
      <w:r>
        <w:t>évaluation de plusieurs modalités sont en cours, avec l</w:t>
      </w:r>
      <w:r w:rsidR="00B70AD5">
        <w:t>'</w:t>
      </w:r>
      <w:r>
        <w:t>appui du BDT. Si le Conseil est favorable à l</w:t>
      </w:r>
      <w:r w:rsidR="00B70AD5">
        <w:t>'</w:t>
      </w:r>
      <w:r>
        <w:t>élaboration d</w:t>
      </w:r>
      <w:r w:rsidR="00B70AD5">
        <w:t>'</w:t>
      </w:r>
      <w:r>
        <w:t>un plan pour la création d</w:t>
      </w:r>
      <w:r w:rsidR="00B70AD5">
        <w:t>'</w:t>
      </w:r>
      <w:r>
        <w:t>un nouveau bureau de zone, ce plan sera présenté aux États Membres pour qu</w:t>
      </w:r>
      <w:r w:rsidR="00B70AD5">
        <w:t>'</w:t>
      </w:r>
      <w:r>
        <w:t>ils l</w:t>
      </w:r>
      <w:r w:rsidR="00B70AD5">
        <w:t>'</w:t>
      </w:r>
      <w:r>
        <w:t>examinent avant la PP-26.</w:t>
      </w:r>
    </w:p>
    <w:p w14:paraId="27C0B1B1" w14:textId="010CB1F0" w:rsidR="007C1B28" w:rsidRDefault="007C1B28" w:rsidP="004C51D3">
      <w:pPr>
        <w:jc w:val="both"/>
      </w:pPr>
      <w:r w:rsidRPr="00DD7213">
        <w:t>2.3</w:t>
      </w:r>
      <w:r w:rsidRPr="00DD7213">
        <w:tab/>
      </w:r>
      <w:r>
        <w:t>Les conseillers et les observateurs appuient fermement la proposition et notent qu</w:t>
      </w:r>
      <w:r w:rsidR="00B70AD5">
        <w:t>'</w:t>
      </w:r>
      <w:r>
        <w:t>il est important d</w:t>
      </w:r>
      <w:r w:rsidR="00B70AD5">
        <w:t>'</w:t>
      </w:r>
      <w:r>
        <w:t>accélérer le processus de transformation numérique, lequel est essentiel pour permettre la résilience, l</w:t>
      </w:r>
      <w:r w:rsidR="00B70AD5">
        <w:t>'</w:t>
      </w:r>
      <w:r>
        <w:t>inclusion et un développement durable dans l</w:t>
      </w:r>
      <w:r w:rsidR="00B70AD5">
        <w:t>'</w:t>
      </w:r>
      <w:r>
        <w:t>ensemble du Pacifique. Plusieurs conseillers mettent en avant le fait que l</w:t>
      </w:r>
      <w:r w:rsidR="00B70AD5">
        <w:t>'</w:t>
      </w:r>
      <w:r>
        <w:t>expérience dans le contexte du système des Nations Unies a montré que la proximité des bureaux entraîne une amélioration considérable de l</w:t>
      </w:r>
      <w:r w:rsidR="00B70AD5">
        <w:t>'</w:t>
      </w:r>
      <w:r>
        <w:t>exécution, de la coordination et de l</w:t>
      </w:r>
      <w:r w:rsidR="00B70AD5">
        <w:t>'</w:t>
      </w:r>
      <w:r>
        <w:t>adéquation des programmes dans les régions vulnérables et étendues sur le plan géographique.</w:t>
      </w:r>
    </w:p>
    <w:p w14:paraId="266DAE44" w14:textId="12CF9D56" w:rsidR="007C1B28" w:rsidRDefault="007C1B28" w:rsidP="004C51D3">
      <w:pPr>
        <w:jc w:val="both"/>
      </w:pPr>
      <w:r w:rsidRPr="00DD7213">
        <w:t>2.4</w:t>
      </w:r>
      <w:r w:rsidRPr="00DD7213">
        <w:tab/>
      </w:r>
      <w:r>
        <w:t xml:space="preserve">Les conseillers </w:t>
      </w:r>
      <w:r w:rsidR="0064625A">
        <w:t xml:space="preserve">et observateurs, y compris ceux qui </w:t>
      </w:r>
      <w:r>
        <w:t>représent</w:t>
      </w:r>
      <w:r w:rsidR="0064625A">
        <w:t>e</w:t>
      </w:r>
      <w:r>
        <w:t xml:space="preserve">nt les petits États insulaires en développement (PEID) et les pays </w:t>
      </w:r>
      <w:r w:rsidR="0064625A">
        <w:t>de la région Asie-</w:t>
      </w:r>
      <w:r>
        <w:t>Pacifique</w:t>
      </w:r>
      <w:r w:rsidR="0064625A">
        <w:t>,</w:t>
      </w:r>
      <w:r>
        <w:t xml:space="preserve"> expriment leur solidarité concernant les difficultés rencontrées dans le Pacifique. Dans ce contexte, le </w:t>
      </w:r>
      <w:r w:rsidR="00951A05">
        <w:t>c</w:t>
      </w:r>
      <w:r>
        <w:t>onseiller de la Malaisie fait remarquer que la création d</w:t>
      </w:r>
      <w:r w:rsidR="00B70AD5">
        <w:t>'</w:t>
      </w:r>
      <w:r>
        <w:t>un bureau de zone s</w:t>
      </w:r>
      <w:r w:rsidR="00B70AD5">
        <w:t>'</w:t>
      </w:r>
      <w:r>
        <w:t>inscrira dans la droite ligne de l</w:t>
      </w:r>
      <w:r w:rsidR="00B70AD5">
        <w:t>'</w:t>
      </w:r>
      <w:r>
        <w:t xml:space="preserve">engagement pris par son pays dans le cadre de la Coalition pour le numérique </w:t>
      </w:r>
      <w:r w:rsidR="00DD4FEE">
        <w:t>"</w:t>
      </w:r>
      <w:r>
        <w:t>Partner2Connect</w:t>
      </w:r>
      <w:r w:rsidR="00DD4FEE">
        <w:t>"</w:t>
      </w:r>
      <w:r>
        <w:t xml:space="preserve"> en vue d</w:t>
      </w:r>
      <w:r w:rsidR="00B70AD5">
        <w:t>'</w:t>
      </w:r>
      <w:r>
        <w:t>appuyer le développement des zones vulnérables, des PEID et des pays les moins avancés.</w:t>
      </w:r>
    </w:p>
    <w:p w14:paraId="58C32DCF" w14:textId="3E90F0B1" w:rsidR="007C1B28" w:rsidRDefault="007C1B28" w:rsidP="004C51D3">
      <w:pPr>
        <w:jc w:val="both"/>
      </w:pPr>
      <w:r w:rsidRPr="00DD7213">
        <w:t>2.5</w:t>
      </w:r>
      <w:r w:rsidRPr="00DD7213">
        <w:tab/>
      </w:r>
      <w:r>
        <w:t>Toutefois, plusieurs conseillers attirent l</w:t>
      </w:r>
      <w:r w:rsidR="00B70AD5">
        <w:t>'</w:t>
      </w:r>
      <w:r>
        <w:t>attention sur la nécessité de veiller à ce qu</w:t>
      </w:r>
      <w:r w:rsidR="00B70AD5">
        <w:t>'</w:t>
      </w:r>
      <w:r>
        <w:t>il existe un financement adéquat et prévisible, y compris s</w:t>
      </w:r>
      <w:r w:rsidR="00B70AD5">
        <w:t>'</w:t>
      </w:r>
      <w:r>
        <w:t>agissant de la dotation en personnel, pour appuyer la création d</w:t>
      </w:r>
      <w:r w:rsidR="00B70AD5">
        <w:t>'</w:t>
      </w:r>
      <w:r>
        <w:t xml:space="preserve">un nouveau bureau, et apprécieraient des informations supplémentaires sur ce point. Il est de la responsabilité du Conseil de tenir compte de la bonne </w:t>
      </w:r>
      <w:r>
        <w:lastRenderedPageBreak/>
        <w:t>gouvernance et de la viabilité financière de l</w:t>
      </w:r>
      <w:r w:rsidR="00B70AD5">
        <w:t>'</w:t>
      </w:r>
      <w:r>
        <w:t>UIT. La proposition que l</w:t>
      </w:r>
      <w:r w:rsidR="00B70AD5">
        <w:t>'</w:t>
      </w:r>
      <w:r>
        <w:t>UIT</w:t>
      </w:r>
      <w:r w:rsidR="00CB39A6">
        <w:noBreakHyphen/>
      </w:r>
      <w:r>
        <w:t>D élabore un rapport détaillé sur la manière de garantir un appui stable à long terme pour la session de 2027 du Conseil suscite un certain soutien. Il est à espérer que l</w:t>
      </w:r>
      <w:r w:rsidR="00B70AD5">
        <w:t>'</w:t>
      </w:r>
      <w:r>
        <w:t>expérience sur le plan opérationnel des autres bureaux de zone, en particulier celui ouvert en Inde en 2023, sera prise en compte.</w:t>
      </w:r>
    </w:p>
    <w:p w14:paraId="52C14680" w14:textId="07364448" w:rsidR="007C1B28" w:rsidRPr="00893101" w:rsidRDefault="007C1B28" w:rsidP="004C51D3">
      <w:pPr>
        <w:jc w:val="both"/>
      </w:pPr>
      <w:r w:rsidRPr="00DD7213">
        <w:t>2.6</w:t>
      </w:r>
      <w:r w:rsidRPr="00DD7213">
        <w:tab/>
      </w:r>
      <w:r>
        <w:t xml:space="preserve">Le Conseil </w:t>
      </w:r>
      <w:r>
        <w:rPr>
          <w:b/>
          <w:bCs/>
        </w:rPr>
        <w:t>approuve</w:t>
      </w:r>
      <w:r>
        <w:t xml:space="preserve"> sur le principe la </w:t>
      </w:r>
      <w:r w:rsidR="00DD4FEE">
        <w:t>mise</w:t>
      </w:r>
      <w:r>
        <w:t xml:space="preserve"> en place d</w:t>
      </w:r>
      <w:r w:rsidR="00B70AD5">
        <w:t>'</w:t>
      </w:r>
      <w:r>
        <w:t xml:space="preserve">une présence dans le Pacifique et </w:t>
      </w:r>
      <w:r>
        <w:rPr>
          <w:b/>
          <w:bCs/>
        </w:rPr>
        <w:t>demande</w:t>
      </w:r>
      <w:r>
        <w:t xml:space="preserve"> au Secrétariat de définir des options concrètes et un projet de plan de création d</w:t>
      </w:r>
      <w:r w:rsidR="00B70AD5">
        <w:t>'</w:t>
      </w:r>
      <w:r>
        <w:t>un bureau de zone dans le Pacifique, comprenant une analyse financière détaillée des ressources, de la dotation en personnel et des options concernant le lieu et le financement, et de le présenter pour examen à la PP-26.</w:t>
      </w:r>
    </w:p>
    <w:p w14:paraId="5BBA7058" w14:textId="15B6DFCC" w:rsidR="007C1B28" w:rsidRPr="00DD7213" w:rsidRDefault="007C1B28" w:rsidP="004C51D3">
      <w:pPr>
        <w:pStyle w:val="Heading1"/>
      </w:pPr>
      <w:r w:rsidRPr="00F06972">
        <w:t>3</w:t>
      </w:r>
      <w:r w:rsidRPr="00F06972">
        <w:tab/>
        <w:t xml:space="preserve">Examen de la </w:t>
      </w:r>
      <w:r w:rsidRPr="00DD4FEE">
        <w:t>présence</w:t>
      </w:r>
      <w:r w:rsidRPr="00F06972">
        <w:t xml:space="preserve"> régionale de l</w:t>
      </w:r>
      <w:r w:rsidR="00B70AD5">
        <w:t>'</w:t>
      </w:r>
      <w:r w:rsidRPr="00F06972">
        <w:t>UIT (</w:t>
      </w:r>
      <w:r w:rsidR="004C51D3" w:rsidRPr="00222777">
        <w:t>Document</w:t>
      </w:r>
      <w:r w:rsidR="004C51D3">
        <w:t>s </w:t>
      </w:r>
      <w:proofErr w:type="spellStart"/>
      <w:r>
        <w:fldChar w:fldCharType="begin"/>
      </w:r>
      <w:r>
        <w:instrText>HYPERLINK "https://www.itu.int/md/S26-CL-C-0024/fr"</w:instrText>
      </w:r>
      <w:r>
        <w:fldChar w:fldCharType="separate"/>
      </w:r>
      <w:r w:rsidRPr="00DD4FEE">
        <w:rPr>
          <w:rStyle w:val="Hyperlink"/>
          <w:rFonts w:eastAsia="Times New Roman" w:cs="Times New Roman"/>
          <w:szCs w:val="28"/>
        </w:rPr>
        <w:t>C26</w:t>
      </w:r>
      <w:proofErr w:type="spellEnd"/>
      <w:r w:rsidRPr="00DD4FEE">
        <w:rPr>
          <w:rStyle w:val="Hyperlink"/>
          <w:rFonts w:eastAsia="Times New Roman" w:cs="Times New Roman"/>
          <w:szCs w:val="28"/>
        </w:rPr>
        <w:t>/24</w:t>
      </w:r>
      <w:r>
        <w:fldChar w:fldCharType="end"/>
      </w:r>
      <w:r w:rsidR="00CB39A6">
        <w:rPr>
          <w:rFonts w:eastAsiaTheme="minorHAnsi" w:cstheme="minorBidi"/>
        </w:rPr>
        <w:t> </w:t>
      </w:r>
      <w:r w:rsidRPr="00F06972">
        <w:rPr>
          <w:rFonts w:eastAsiaTheme="minorHAnsi" w:cstheme="minorBidi"/>
        </w:rPr>
        <w:t>et</w:t>
      </w:r>
      <w:r w:rsidR="00CB39A6">
        <w:rPr>
          <w:rFonts w:eastAsiaTheme="minorHAnsi" w:cstheme="minorBidi"/>
        </w:rPr>
        <w:t> </w:t>
      </w:r>
      <w:proofErr w:type="spellStart"/>
      <w:r>
        <w:fldChar w:fldCharType="begin"/>
      </w:r>
      <w:r>
        <w:instrText>HYPERLINK "https://www.itu.int/md/S26-CL-C-0108/fr"</w:instrText>
      </w:r>
      <w:r>
        <w:fldChar w:fldCharType="separate"/>
      </w:r>
      <w:r w:rsidRPr="00F06972">
        <w:rPr>
          <w:rStyle w:val="Hyperlink"/>
          <w:rFonts w:eastAsia="Times New Roman" w:cs="Times New Roman"/>
          <w:szCs w:val="28"/>
        </w:rPr>
        <w:t>C26</w:t>
      </w:r>
      <w:proofErr w:type="spellEnd"/>
      <w:r w:rsidRPr="00F06972">
        <w:rPr>
          <w:rStyle w:val="Hyperlink"/>
          <w:rFonts w:eastAsia="Times New Roman" w:cs="Times New Roman"/>
          <w:szCs w:val="28"/>
        </w:rPr>
        <w:t>/108</w:t>
      </w:r>
      <w:r>
        <w:fldChar w:fldCharType="end"/>
      </w:r>
      <w:r w:rsidRPr="00F06972">
        <w:t>)</w:t>
      </w:r>
    </w:p>
    <w:p w14:paraId="1A74C3A0" w14:textId="57120B80" w:rsidR="007C1B28" w:rsidRPr="00DD7213" w:rsidRDefault="007C1B28" w:rsidP="004C51D3">
      <w:pPr>
        <w:jc w:val="both"/>
      </w:pPr>
      <w:r w:rsidRPr="00DD7213">
        <w:t>3.1</w:t>
      </w:r>
      <w:r w:rsidRPr="00DD7213">
        <w:tab/>
      </w:r>
      <w:r w:rsidRPr="00684675">
        <w:rPr>
          <w:spacing w:val="-2"/>
        </w:rPr>
        <w:t>L</w:t>
      </w:r>
      <w:r w:rsidR="00B70AD5">
        <w:rPr>
          <w:spacing w:val="-2"/>
        </w:rPr>
        <w:t>'</w:t>
      </w:r>
      <w:r w:rsidRPr="00684675">
        <w:rPr>
          <w:spacing w:val="-2"/>
        </w:rPr>
        <w:t xml:space="preserve">Adjointe au Directeur du </w:t>
      </w:r>
      <w:r w:rsidRPr="00DD7213">
        <w:t xml:space="preserve">BDT </w:t>
      </w:r>
      <w:r>
        <w:t>présente le</w:t>
      </w:r>
      <w:r w:rsidRPr="00DD7213">
        <w:t xml:space="preserve"> Document C26/24,</w:t>
      </w:r>
      <w:r>
        <w:t xml:space="preserve"> qui</w:t>
      </w:r>
      <w:r w:rsidRPr="00DD7213">
        <w:t xml:space="preserve"> </w:t>
      </w:r>
      <w:r w:rsidRPr="00BA600C">
        <w:t>rend compte de l</w:t>
      </w:r>
      <w:r w:rsidR="00B70AD5">
        <w:t>'</w:t>
      </w:r>
      <w:r w:rsidRPr="00BA600C">
        <w:t>examen de la présence régionale de l</w:t>
      </w:r>
      <w:r w:rsidR="00B70AD5">
        <w:t>'</w:t>
      </w:r>
      <w:r w:rsidRPr="00BA600C">
        <w:t>UIT mené conformément aux recommandations formulées par le Conseil à sa session</w:t>
      </w:r>
      <w:r>
        <w:t xml:space="preserve"> de 2025 et au</w:t>
      </w:r>
      <w:r w:rsidRPr="00BA600C">
        <w:t xml:space="preserve"> cadre général </w:t>
      </w:r>
      <w:r>
        <w:t>convenu pour cet examen. Ce document donne notamment un aperçu de la s</w:t>
      </w:r>
      <w:r w:rsidRPr="00BA600C">
        <w:t>tructure de l</w:t>
      </w:r>
      <w:r w:rsidR="00B70AD5">
        <w:t>'</w:t>
      </w:r>
      <w:r w:rsidRPr="00BA600C">
        <w:t xml:space="preserve">examen, </w:t>
      </w:r>
      <w:r>
        <w:t xml:space="preserve">du </w:t>
      </w:r>
      <w:r w:rsidRPr="00BA600C">
        <w:t>calendrier et</w:t>
      </w:r>
      <w:r>
        <w:t xml:space="preserve"> des</w:t>
      </w:r>
      <w:r w:rsidRPr="00BA600C">
        <w:t xml:space="preserve"> résultats attendus</w:t>
      </w:r>
      <w:r>
        <w:t>, ainsi qu</w:t>
      </w:r>
      <w:r w:rsidR="00B70AD5">
        <w:t>'</w:t>
      </w:r>
      <w:r>
        <w:t xml:space="preserve">un résumé des principales constatations avec les points forts et les points à améliorer. Des informations supplémentaires sur la méthodologie et les constatations détaillées figurent dans le </w:t>
      </w:r>
      <w:r w:rsidR="004C51D3" w:rsidRPr="00222777">
        <w:t xml:space="preserve">Document </w:t>
      </w:r>
      <w:hyperlink r:id="rId14" w:history="1">
        <w:proofErr w:type="spellStart"/>
        <w:r w:rsidRPr="00DD4FEE">
          <w:rPr>
            <w:rStyle w:val="Hyperlink"/>
            <w:rFonts w:eastAsia="Times New Roman" w:cs="Times New Roman"/>
          </w:rPr>
          <w:t>C26</w:t>
        </w:r>
        <w:proofErr w:type="spellEnd"/>
        <w:r w:rsidRPr="00DD4FEE">
          <w:rPr>
            <w:rStyle w:val="Hyperlink"/>
            <w:rFonts w:eastAsia="Times New Roman" w:cs="Times New Roman"/>
          </w:rPr>
          <w:t>/</w:t>
        </w:r>
        <w:proofErr w:type="spellStart"/>
        <w:r w:rsidRPr="00DD4FEE">
          <w:rPr>
            <w:rStyle w:val="Hyperlink"/>
            <w:rFonts w:eastAsia="Times New Roman" w:cs="Times New Roman"/>
          </w:rPr>
          <w:t>INF</w:t>
        </w:r>
        <w:proofErr w:type="spellEnd"/>
        <w:r w:rsidRPr="00DD4FEE">
          <w:rPr>
            <w:rStyle w:val="Hyperlink"/>
            <w:rFonts w:eastAsia="Times New Roman" w:cs="Times New Roman"/>
          </w:rPr>
          <w:t>/10</w:t>
        </w:r>
      </w:hyperlink>
      <w:r w:rsidRPr="00DD7213">
        <w:t>.</w:t>
      </w:r>
    </w:p>
    <w:p w14:paraId="0C819AEF" w14:textId="21C0FEE8" w:rsidR="007C1B28" w:rsidRDefault="007C1B28" w:rsidP="004C51D3">
      <w:pPr>
        <w:jc w:val="both"/>
      </w:pPr>
      <w:r w:rsidRPr="00DD7213">
        <w:t>3.2</w:t>
      </w:r>
      <w:r w:rsidRPr="00DD7213">
        <w:tab/>
      </w:r>
      <w:r>
        <w:t>La Présidente du Groupe consultatif pour le développement des télécommunications (GCDT) présente la note de liaison figurant dans le Document C26/108, adressée par le GCDT au Conseil concernant le rapport sur l</w:t>
      </w:r>
      <w:r w:rsidR="00B70AD5">
        <w:t>'</w:t>
      </w:r>
      <w:r>
        <w:t>examen de la présence régionale de l</w:t>
      </w:r>
      <w:r w:rsidR="00B70AD5">
        <w:t>'</w:t>
      </w:r>
      <w:r>
        <w:t xml:space="preserve">UIT. Le GCDT se félicite de cet examen, reconnaît </w:t>
      </w:r>
      <w:r w:rsidRPr="00B01033">
        <w:t>le rôle essentiel des bureaux régionaux et des bureaux de zone</w:t>
      </w:r>
      <w:r>
        <w:t xml:space="preserve"> et prend acte </w:t>
      </w:r>
      <w:r w:rsidRPr="00B01033">
        <w:t>du niveau élevé de satisfaction</w:t>
      </w:r>
      <w:r>
        <w:t xml:space="preserve"> exprimé. Le </w:t>
      </w:r>
      <w:r w:rsidR="00951A05">
        <w:t>g</w:t>
      </w:r>
      <w:r>
        <w:t xml:space="preserve">roupe prend </w:t>
      </w:r>
      <w:r w:rsidRPr="00B01033">
        <w:t>note des possibilités d</w:t>
      </w:r>
      <w:r w:rsidR="00B70AD5">
        <w:t>'</w:t>
      </w:r>
      <w:r w:rsidRPr="00B01033">
        <w:t>amélioration recensées et attend avec intérêt la poursuite de l</w:t>
      </w:r>
      <w:r w:rsidR="00B70AD5">
        <w:t>'</w:t>
      </w:r>
      <w:r w:rsidRPr="00B01033">
        <w:t xml:space="preserve">examen des </w:t>
      </w:r>
      <w:r>
        <w:t>constatations</w:t>
      </w:r>
      <w:r w:rsidRPr="00B01033">
        <w:t xml:space="preserve"> détaillées</w:t>
      </w:r>
      <w:r>
        <w:t>.</w:t>
      </w:r>
    </w:p>
    <w:p w14:paraId="63217314" w14:textId="42B57201" w:rsidR="007C1B28" w:rsidRDefault="007C1B28" w:rsidP="004C51D3">
      <w:pPr>
        <w:jc w:val="both"/>
      </w:pPr>
      <w:r w:rsidRPr="00DD7213">
        <w:t>3.3</w:t>
      </w:r>
      <w:r w:rsidRPr="00DD7213">
        <w:tab/>
      </w:r>
      <w:r>
        <w:t>Les conseillers se félicitent de l</w:t>
      </w:r>
      <w:r w:rsidR="00B70AD5">
        <w:t>'</w:t>
      </w:r>
      <w:r>
        <w:t>examen détaillé effectué dans les limites des ressources existantes et avec la participation des États Membres, et saluent les constatations positives indiquant que la présence régionale fonctionne correctement et que les bureaux régionaux jouent un rôle central dans l</w:t>
      </w:r>
      <w:r w:rsidR="00B70AD5">
        <w:t>'</w:t>
      </w:r>
      <w:r>
        <w:t>appui fourni par l</w:t>
      </w:r>
      <w:r w:rsidR="00B70AD5">
        <w:t>'</w:t>
      </w:r>
      <w:r>
        <w:t>UIT aux États Membres, en particulier aux pays en développement. Ils insistent sur le fait qu</w:t>
      </w:r>
      <w:r w:rsidR="00B70AD5">
        <w:t>'</w:t>
      </w:r>
      <w:r>
        <w:t>il est impératif de continuer à renforcer la présence régionale pour répondre aux attentes croissantes et aux besoins particuliers de chaque région. Un conseiller souhaite que les initiatives régionales soient plus étroitement alignées sur les problèmes prioritaires identifiés par les gouvernements et qu</w:t>
      </w:r>
      <w:r w:rsidR="00B70AD5">
        <w:t>'</w:t>
      </w:r>
      <w:r>
        <w:t>elles soient davantage ancrées sur le plan stratégique, plus cohérentes avec les cadres de développement et mieux positionnées afin d</w:t>
      </w:r>
      <w:r w:rsidR="00B70AD5">
        <w:t>'</w:t>
      </w:r>
      <w:r>
        <w:t>attirer un appui durable pour leur mise en œuvre.</w:t>
      </w:r>
    </w:p>
    <w:p w14:paraId="15489F35" w14:textId="7DD667EA" w:rsidR="007C1B28" w:rsidRDefault="007C1B28" w:rsidP="004C51D3">
      <w:pPr>
        <w:jc w:val="both"/>
      </w:pPr>
      <w:r w:rsidRPr="00A26F00">
        <w:t>3.4</w:t>
      </w:r>
      <w:r w:rsidRPr="00A26F00">
        <w:tab/>
      </w:r>
      <w:r>
        <w:t>De nombreux conseillers estiment que les bureaux régionaux et les bureaux de zone sont des atouts stratégiques pour l</w:t>
      </w:r>
      <w:r w:rsidR="00B70AD5">
        <w:t>'</w:t>
      </w:r>
      <w:r>
        <w:t>exécution du mandat de l</w:t>
      </w:r>
      <w:r w:rsidR="00B70AD5">
        <w:t>'</w:t>
      </w:r>
      <w:r>
        <w:t>UIT. Principale interface avec l</w:t>
      </w:r>
      <w:r w:rsidR="00B70AD5">
        <w:t>'</w:t>
      </w:r>
      <w:r>
        <w:t>Union pour de nombreux pays, ils doivent impérativement être dotés de ressources adéquates pour répondre aux attentes croissantes. De nombreux conseillers réitèrent leur appui aux constatations découlant de l</w:t>
      </w:r>
      <w:r w:rsidR="00B70AD5">
        <w:t>'</w:t>
      </w:r>
      <w:r>
        <w:t>examen et soulignent le nécessité de remédier au manque de personnel et aux délais de recrutement.</w:t>
      </w:r>
    </w:p>
    <w:p w14:paraId="1E107F09" w14:textId="166BE3F5" w:rsidR="007C1B28" w:rsidRDefault="007C1B28" w:rsidP="004C51D3">
      <w:pPr>
        <w:jc w:val="both"/>
      </w:pPr>
      <w:r w:rsidRPr="00DD7213">
        <w:t>3.5</w:t>
      </w:r>
      <w:r w:rsidRPr="00DD7213">
        <w:tab/>
      </w:r>
      <w:r>
        <w:t>Plusieurs conseillers font remarquer que les bureaux régionaux devraient disposer de fonctionnaires ayant des compétences spécialisées venant des trois Secteurs de l</w:t>
      </w:r>
      <w:r w:rsidR="00B70AD5">
        <w:t>'</w:t>
      </w:r>
      <w:r>
        <w:t xml:space="preserve">Union, pas </w:t>
      </w:r>
      <w:r>
        <w:lastRenderedPageBreak/>
        <w:t>uniquement de l</w:t>
      </w:r>
      <w:r w:rsidR="00B70AD5">
        <w:t>'</w:t>
      </w:r>
      <w:r>
        <w:t>UIT-D, et que les activités régionales devraient être mises en œuvre avec une représentation équilibrée des trois Secteurs. Une conseillère demande que les trois</w:t>
      </w:r>
      <w:r w:rsidR="00D623F0">
        <w:t> </w:t>
      </w:r>
      <w:r>
        <w:t>Bureaux aient une présence physique dans sa région et suggère que certaines fonctions décisionnelles concernant les aspects opérationnels et les programmes soient déléguées aux bureaux régionaux, ce qui réduirait les lenteurs dues aux procédures et garantirait une réponse plus rapide. Un autre conseiller souhaite une coordination efficace entre les représentations régionales et le siège avec une surveillance appropriée, ainsi qu</w:t>
      </w:r>
      <w:r w:rsidR="00B70AD5">
        <w:t>'</w:t>
      </w:r>
      <w:r>
        <w:t>une collaboration resserrée avec les autres organisations internationales afin de mutualiser les compétences et les ressources, et souligne la nécessité de tenir compte de l</w:t>
      </w:r>
      <w:r w:rsidR="00B70AD5">
        <w:t>'</w:t>
      </w:r>
      <w:r w:rsidR="00CB39A6">
        <w:t>I</w:t>
      </w:r>
      <w:r>
        <w:t>nitiative</w:t>
      </w:r>
      <w:r w:rsidR="00CB39A6">
        <w:t> </w:t>
      </w:r>
      <w:r>
        <w:t>ONU80. Un autre conseiller appuie la coordination avec les agences des Nations</w:t>
      </w:r>
      <w:r w:rsidR="00CB39A6">
        <w:t> </w:t>
      </w:r>
      <w:r>
        <w:t>Unies pour soutenir efficacement les travaux au niveau régional, mais exprime des doutes quant à la faisabilité d</w:t>
      </w:r>
      <w:r w:rsidR="00B70AD5">
        <w:t>'</w:t>
      </w:r>
      <w:r>
        <w:t>une décentralisation des travaux des Secteurs des radiocommunications et de la normalisation des télécommunications, souligne l</w:t>
      </w:r>
      <w:r w:rsidR="00B70AD5">
        <w:t>'</w:t>
      </w:r>
      <w:r>
        <w:t>importance qu</w:t>
      </w:r>
      <w:r w:rsidR="00B70AD5">
        <w:t>'</w:t>
      </w:r>
      <w:r>
        <w:t>il y a à éviter les doublons entre les bureaux régionaux et le siège et fait remarquer que les incidences en termes de coûts de telles décisions devront être évaluées.</w:t>
      </w:r>
    </w:p>
    <w:p w14:paraId="79E63A62" w14:textId="56857271" w:rsidR="007C1B28" w:rsidRDefault="007C1B28" w:rsidP="004C51D3">
      <w:pPr>
        <w:jc w:val="both"/>
      </w:pPr>
      <w:r w:rsidRPr="00DD7213">
        <w:t>3.6</w:t>
      </w:r>
      <w:r w:rsidRPr="00DD7213">
        <w:tab/>
      </w:r>
      <w:r>
        <w:t>Un conseiller fait savoir que, bien que l</w:t>
      </w:r>
      <w:r w:rsidR="00B70AD5">
        <w:t>'</w:t>
      </w:r>
      <w:r>
        <w:t>examen ait mis en évidence d</w:t>
      </w:r>
      <w:r w:rsidR="00B70AD5">
        <w:t>'</w:t>
      </w:r>
      <w:r>
        <w:t>importants points à améliorer, il devrait préciser les raisons sous-jacentes expliquant les difficultés persistantes. L</w:t>
      </w:r>
      <w:r w:rsidR="00B70AD5">
        <w:t>'</w:t>
      </w:r>
      <w:r>
        <w:t>orateur demande que soient présentées plus clairement les causes profondes, les stratégies proposées, les différentes responsabilités en matière de mise en œuvre et le calendrier attendu. Un autre conseiller souhaite des ressources adéquates et prévisibles pour les bureaux régionaux, en particulier dans les régions en développement, ainsi qu</w:t>
      </w:r>
      <w:r w:rsidR="00B70AD5">
        <w:t>'</w:t>
      </w:r>
      <w:r>
        <w:t>un personnel et des recrutements plus nombreux et une meilleure exécution des projets. Les indicateurs fondamentaux de performance plus clairs sont également nécessaires pour renforcer l</w:t>
      </w:r>
      <w:r w:rsidR="00B70AD5">
        <w:t>'</w:t>
      </w:r>
      <w:r>
        <w:t>efficacité. Un conseiller souhaite savoir si le rapport a été transmis au CCIG et au Vérificateur extérieur des compte.</w:t>
      </w:r>
    </w:p>
    <w:p w14:paraId="105AB1B3" w14:textId="231BD71E" w:rsidR="007C1B28" w:rsidRDefault="007C1B28" w:rsidP="004C51D3">
      <w:pPr>
        <w:jc w:val="both"/>
      </w:pPr>
      <w:r w:rsidRPr="00DD7213">
        <w:t>3.7</w:t>
      </w:r>
      <w:r w:rsidRPr="00DD7213">
        <w:tab/>
      </w:r>
      <w:r>
        <w:t>Un conseiller estime que l</w:t>
      </w:r>
      <w:r w:rsidR="00B70AD5">
        <w:t>'</w:t>
      </w:r>
      <w:r>
        <w:t>examen actuel devrait faire fond sur les évaluations précédentes, comme l</w:t>
      </w:r>
      <w:r w:rsidR="00B70AD5">
        <w:t>'</w:t>
      </w:r>
      <w:r>
        <w:t>examen de la présence régionale de l</w:t>
      </w:r>
      <w:r w:rsidR="00B70AD5">
        <w:t>'</w:t>
      </w:r>
      <w:r>
        <w:t>UIT effectué par PwC en 2019. Un autre conseiller fait observer que nombre des constatations sont identiques à celles faites dans le cadre de l</w:t>
      </w:r>
      <w:r w:rsidR="00B70AD5">
        <w:t>'</w:t>
      </w:r>
      <w:r>
        <w:t>examen mené par PwC et que des mesures concrètes sont nécessaires. Attirant l</w:t>
      </w:r>
      <w:r w:rsidR="00B70AD5">
        <w:t>'</w:t>
      </w:r>
      <w:r>
        <w:t>attention sur les observations formulées par le Vérificateur extérieur des comptes concernant le coût élevé des opérations à Genève, il souhaite une décentralisation dans le cadre d</w:t>
      </w:r>
      <w:r w:rsidR="00B70AD5">
        <w:t>'</w:t>
      </w:r>
      <w:r>
        <w:t>un examen du modèle de fonctionnement à l</w:t>
      </w:r>
      <w:r w:rsidR="00B70AD5">
        <w:t>'</w:t>
      </w:r>
      <w:r>
        <w:t>échelle de l</w:t>
      </w:r>
      <w:r w:rsidR="00B70AD5">
        <w:t>'</w:t>
      </w:r>
      <w:r>
        <w:t>UIT tout entière.</w:t>
      </w:r>
    </w:p>
    <w:p w14:paraId="025FC951" w14:textId="1D52564A" w:rsidR="007C1B28" w:rsidRDefault="007C1B28" w:rsidP="004C51D3">
      <w:pPr>
        <w:jc w:val="both"/>
      </w:pPr>
      <w:r w:rsidRPr="00DD7213">
        <w:t>3.8</w:t>
      </w:r>
      <w:r w:rsidRPr="00DD7213">
        <w:tab/>
      </w:r>
      <w:r>
        <w:t>La présentation, avant la PP-26, de rapports plus clairs contenant des informations sur les progrès accomplis, les problèmes en suspens et les mesures requises serait appréciée, de même que des informations sur les prochaines étapes. Un conseiller souscrit à la poursuite de l</w:t>
      </w:r>
      <w:r w:rsidR="00B70AD5">
        <w:t>'</w:t>
      </w:r>
      <w:r>
        <w:t>examen afin de faire en sorte que la présence régionale reste en phase avec les besoins des membres. Une autre conseillère, notant que les conditions ayant amené son pays à soumettre une contribution sur la présence régionale à la session de 2024 du Conseil sont toujours d</w:t>
      </w:r>
      <w:r w:rsidR="00B70AD5">
        <w:t>'</w:t>
      </w:r>
      <w:r>
        <w:t>actualité, appelle de ses vœux des mesures concrètes afin de renforcer les trois</w:t>
      </w:r>
      <w:r w:rsidR="00D623F0">
        <w:t> </w:t>
      </w:r>
      <w:r>
        <w:t>Secteurs de l</w:t>
      </w:r>
      <w:r w:rsidR="00B70AD5">
        <w:t>'</w:t>
      </w:r>
      <w:r>
        <w:t>Union par l</w:t>
      </w:r>
      <w:r w:rsidR="00B70AD5">
        <w:t>'</w:t>
      </w:r>
      <w:r>
        <w:t>intermédiaire des bureaux régionaux.</w:t>
      </w:r>
    </w:p>
    <w:p w14:paraId="2FBADF20" w14:textId="1868229F" w:rsidR="007C1B28" w:rsidRPr="00DD7213" w:rsidRDefault="007C1B28" w:rsidP="004C51D3">
      <w:pPr>
        <w:jc w:val="both"/>
      </w:pPr>
      <w:r w:rsidRPr="00DD7213">
        <w:t>3.9</w:t>
      </w:r>
      <w:r w:rsidRPr="00DD7213">
        <w:tab/>
      </w:r>
      <w:r>
        <w:t>L</w:t>
      </w:r>
      <w:r w:rsidR="00B70AD5">
        <w:t>'</w:t>
      </w:r>
      <w:r>
        <w:t>Adjointe au Directeur du BDT remercie les conseillers pour leur soutien et leurs remarques constructives. En réponse aux observations, elle explique que l</w:t>
      </w:r>
      <w:r w:rsidR="00B70AD5">
        <w:t>'</w:t>
      </w:r>
      <w:r>
        <w:t>examen s</w:t>
      </w:r>
      <w:r w:rsidR="00B70AD5">
        <w:t>'</w:t>
      </w:r>
      <w:r>
        <w:t>est appuyé sur différents éléments afin de faire en sorte que l</w:t>
      </w:r>
      <w:r w:rsidR="00B70AD5">
        <w:t>'</w:t>
      </w:r>
      <w:r>
        <w:t>analyse soit complète et tienne compte des points de vue différents des membres. Elle comprend que les conseillers soient impatients de connaître les prochaines étapes, mais l</w:t>
      </w:r>
      <w:r w:rsidR="00B70AD5">
        <w:t>'</w:t>
      </w:r>
      <w:r>
        <w:t>objectif à ce stade n</w:t>
      </w:r>
      <w:r w:rsidR="00B70AD5">
        <w:t>'</w:t>
      </w:r>
      <w:r>
        <w:t>est pas d</w:t>
      </w:r>
      <w:r w:rsidR="00B70AD5">
        <w:t>'</w:t>
      </w:r>
      <w:r>
        <w:t>élaborer des recommandations à mettre en œuvre, mais de présenter la base d</w:t>
      </w:r>
      <w:r w:rsidR="00B70AD5">
        <w:t>'</w:t>
      </w:r>
      <w:r>
        <w:t xml:space="preserve">éléments factuels de </w:t>
      </w:r>
      <w:r>
        <w:lastRenderedPageBreak/>
        <w:t>manière claire et cohérente afin que les membres puissent examiner les constatations et décider du cap à suivre. Le Document C26/24 offre une synthèse des données provenant de toutes les sources et présente les principales constatations de l</w:t>
      </w:r>
      <w:r w:rsidR="00B70AD5">
        <w:t>'</w:t>
      </w:r>
      <w:r>
        <w:t>examen. Les constatations détaillées ont été présentées au Comité consultatif indépendant pour les questions de gestion (CCIG), qui en pris connaissance avec satisfaction. Tout au long du processus d</w:t>
      </w:r>
      <w:r w:rsidR="00B70AD5">
        <w:t>'</w:t>
      </w:r>
      <w:r>
        <w:t>examen, des rapports ont été transmis au Vérificateur extérieur des comptes, aux auditeurs internes, au Bureau de l</w:t>
      </w:r>
      <w:r w:rsidR="00B70AD5">
        <w:t>'</w:t>
      </w:r>
      <w:r>
        <w:t>éthique, à différents groupes de travail du Conseil et aux organes consultatifs et leurs observations ont été prises en compte.</w:t>
      </w:r>
    </w:p>
    <w:p w14:paraId="2F0E9908" w14:textId="66AEC628" w:rsidR="007C1B28" w:rsidRDefault="007C1B28" w:rsidP="004C51D3">
      <w:pPr>
        <w:jc w:val="both"/>
      </w:pPr>
      <w:r w:rsidRPr="00DD7213">
        <w:t>3.10</w:t>
      </w:r>
      <w:r w:rsidRPr="00DD7213">
        <w:tab/>
      </w:r>
      <w:r>
        <w:t>Le Directeur du BDT explique que son Bureau travaille en toute transparente avec ses bureaux régionaux par l</w:t>
      </w:r>
      <w:r w:rsidR="00B70AD5">
        <w:t>'</w:t>
      </w:r>
      <w:r>
        <w:t>intermédiaire d</w:t>
      </w:r>
      <w:r w:rsidR="00B70AD5">
        <w:t>'</w:t>
      </w:r>
      <w:r>
        <w:t>un Comité exécutif comprenant les chefs des Départements du siège et les directeurs des bureaux régionaux. La planification opérationnelle, la définition, le suivi et l</w:t>
      </w:r>
      <w:r w:rsidR="00B70AD5">
        <w:t>'</w:t>
      </w:r>
      <w:r>
        <w:t>évaluation des projets, la clôture des projets, l</w:t>
      </w:r>
      <w:r w:rsidR="00B70AD5">
        <w:t>'</w:t>
      </w:r>
      <w:r>
        <w:t>évaluation de leurs incidences et les activités du Comité directeur des projets se déroulent de manière conjointe, quel que soit le lieu d</w:t>
      </w:r>
      <w:r w:rsidR="00B70AD5">
        <w:t>'</w:t>
      </w:r>
      <w:r>
        <w:t xml:space="preserve">affectation des </w:t>
      </w:r>
      <w:r w:rsidRPr="006F5130">
        <w:t>fonctionnaires concernés</w:t>
      </w:r>
      <w:r>
        <w:t>. La technologie permet au Bureau de fonctionner comme une équipe unique intégrée. Concernant le nombre de projets dans les différentes régions, la répartition des projets n</w:t>
      </w:r>
      <w:r w:rsidR="00B70AD5">
        <w:t>'</w:t>
      </w:r>
      <w:r>
        <w:t>est pas décidée uniquement par le BDT. Une part importante des activités dépend des ressources mobilisées et des préférences des bailleurs de fonds. Lorsqu</w:t>
      </w:r>
      <w:r w:rsidR="00B70AD5">
        <w:t>'</w:t>
      </w:r>
      <w:r>
        <w:t>un donateur indique que son financement est destiné à telle ou telle région, par exemple l</w:t>
      </w:r>
      <w:r w:rsidR="00B70AD5">
        <w:t>'</w:t>
      </w:r>
      <w:r>
        <w:t>Afrique subsaharienne, le Pacifique ou les Caraïbes, le BDT aligne ses activités en conséquence. La planification opérationnelle se fait selon un processus sur 12 mois suivant les normes IPSAS, lors duquel les États Membres font état de leurs besoins. Les activités sont ensuite définies selon une approche s</w:t>
      </w:r>
      <w:r w:rsidR="00B70AD5">
        <w:t>'</w:t>
      </w:r>
      <w:r>
        <w:t>appuyant sur la gestion axée sur les résultats. Les crédits budgétaires sont affectés selon une méthode normalisée, ce qui signifie qu</w:t>
      </w:r>
      <w:r w:rsidR="00B70AD5">
        <w:t>'</w:t>
      </w:r>
      <w:r>
        <w:t>il ne devrait pas y avoir de disparités inhérentes entre les régions. Généralement, les différences qui peuvent apparaître sont dues aux ressources mobilisées en externe ou à l</w:t>
      </w:r>
      <w:r w:rsidR="00B70AD5">
        <w:t>'</w:t>
      </w:r>
      <w:r>
        <w:t>existence d</w:t>
      </w:r>
      <w:r w:rsidR="00B70AD5">
        <w:t>'</w:t>
      </w:r>
      <w:r>
        <w:t>accords de cofinancement. Le BDT reste engagé en faveur de l</w:t>
      </w:r>
      <w:r w:rsidR="00B70AD5">
        <w:t>'</w:t>
      </w:r>
      <w:r>
        <w:t>inclusion, de l</w:t>
      </w:r>
      <w:r w:rsidR="00B70AD5">
        <w:t>'</w:t>
      </w:r>
      <w:r>
        <w:t>équité, de la transparence et de la responsabilité, et dispose d</w:t>
      </w:r>
      <w:r w:rsidR="00B70AD5">
        <w:t>'</w:t>
      </w:r>
      <w:r>
        <w:t>éléments factuels démontrant l</w:t>
      </w:r>
      <w:r w:rsidR="00B70AD5">
        <w:t>'</w:t>
      </w:r>
      <w:r>
        <w:t>application concrète de ces principes.</w:t>
      </w:r>
    </w:p>
    <w:p w14:paraId="5E11A08B" w14:textId="71D5A970" w:rsidR="007C1B28" w:rsidRDefault="007C1B28" w:rsidP="004C51D3">
      <w:pPr>
        <w:jc w:val="both"/>
      </w:pPr>
      <w:r w:rsidRPr="00DD7213">
        <w:t>3.11</w:t>
      </w:r>
      <w:r w:rsidRPr="00DD7213">
        <w:tab/>
      </w:r>
      <w:r>
        <w:t>S</w:t>
      </w:r>
      <w:r w:rsidR="00B70AD5">
        <w:t>'</w:t>
      </w:r>
      <w:r>
        <w:t>agissant de l</w:t>
      </w:r>
      <w:r w:rsidR="00B70AD5">
        <w:t>'</w:t>
      </w:r>
      <w:r>
        <w:t>évaluation de la présence régionale, le BDT se félicite de l</w:t>
      </w:r>
      <w:r w:rsidR="00B70AD5">
        <w:t>'</w:t>
      </w:r>
      <w:r>
        <w:t>appui fourni par l</w:t>
      </w:r>
      <w:r w:rsidR="00B70AD5">
        <w:t>'</w:t>
      </w:r>
      <w:r>
        <w:t>Australie dans le cadre d</w:t>
      </w:r>
      <w:r w:rsidR="00B70AD5">
        <w:t>'</w:t>
      </w:r>
      <w:r>
        <w:t>un accord portant sur la réalisation d</w:t>
      </w:r>
      <w:r w:rsidR="00B70AD5">
        <w:t>'</w:t>
      </w:r>
      <w:r>
        <w:t>une étude de faisabilité, et note que des consultations sont en cours conformément à la Déclaration de Lagatoi adoptée par les Ministres en Papouasie-Nouvelle-Guinée. Le Directeur note que ce processus est approfondi et abouti, à l</w:t>
      </w:r>
      <w:r w:rsidR="00B70AD5">
        <w:t>'</w:t>
      </w:r>
      <w:r>
        <w:t>image de l</w:t>
      </w:r>
      <w:r w:rsidR="00B70AD5">
        <w:t>'</w:t>
      </w:r>
      <w:r>
        <w:t>approche suivie auparavant dans les</w:t>
      </w:r>
      <w:r w:rsidR="00D623F0">
        <w:t> </w:t>
      </w:r>
      <w:r>
        <w:t>Caraïbes. Concernant l</w:t>
      </w:r>
      <w:r w:rsidR="00B70AD5">
        <w:t>'</w:t>
      </w:r>
      <w:r>
        <w:t xml:space="preserve">examen, lors des premières étapes, le </w:t>
      </w:r>
      <w:r w:rsidR="00CB39A6">
        <w:t>S</w:t>
      </w:r>
      <w:r>
        <w:t>ecrétariat fait un travail de collecte de données, comme les États Membres</w:t>
      </w:r>
      <w:r w:rsidRPr="00205429">
        <w:t xml:space="preserve"> </w:t>
      </w:r>
      <w:r>
        <w:t>l</w:t>
      </w:r>
      <w:r w:rsidR="00B70AD5">
        <w:t>'</w:t>
      </w:r>
      <w:r>
        <w:t>ont demandé, et dialogue étroitement avec le CCIG, qui s</w:t>
      </w:r>
      <w:r w:rsidR="00B70AD5">
        <w:t>'</w:t>
      </w:r>
      <w:r>
        <w:t>est dit satisfait à la fois du processus d</w:t>
      </w:r>
      <w:r w:rsidR="00B70AD5">
        <w:t>'</w:t>
      </w:r>
      <w:r>
        <w:t>examen et des constatations. Le BDT soumet en outre des rapports réguliers au Groupe de travail du Conseil et consulte un large éventail de parties prenantes, dont les fonctionnaires, les États Membres, le secteur privé, les Membres de Secteur et les établissements universitaires. Il est en outre demandé au Vérificateur extérieur des comptes et aux auditeurs internes de faire part de leurs éventuelles observations. De multiples séances d</w:t>
      </w:r>
      <w:r w:rsidR="00B70AD5">
        <w:t>'</w:t>
      </w:r>
      <w:r>
        <w:t>information sont organisées pour garantir la transparence. Les données brutes utilisées pour l</w:t>
      </w:r>
      <w:r w:rsidR="00B70AD5">
        <w:t>'</w:t>
      </w:r>
      <w:r>
        <w:t>évaluation sont disponibles pour un examen sans altération. Le Directeur du BDT insiste sur le fait que le mandat du Bureau est de présenter des constatations, et non des recommandations, et que le rapport rend compte des éléments factuels rassemblés. L</w:t>
      </w:r>
      <w:r w:rsidR="00B70AD5">
        <w:t>'</w:t>
      </w:r>
      <w:r>
        <w:t>équipe de statisticiens du Bureau effectue une analyse approfondie et veille à la cohérence avec les indicateurs utilisés pour le Plan stratégique de l</w:t>
      </w:r>
      <w:r w:rsidR="00B70AD5">
        <w:t>'</w:t>
      </w:r>
      <w:r>
        <w:t>UIT.</w:t>
      </w:r>
    </w:p>
    <w:p w14:paraId="6548F020" w14:textId="538D1CCD" w:rsidR="007C1B28" w:rsidRDefault="007C1B28" w:rsidP="004C51D3">
      <w:pPr>
        <w:jc w:val="both"/>
      </w:pPr>
      <w:r w:rsidRPr="00DD7213">
        <w:lastRenderedPageBreak/>
        <w:t>3.12</w:t>
      </w:r>
      <w:r w:rsidRPr="00DD7213">
        <w:tab/>
      </w:r>
      <w:r>
        <w:t>En conclusion, le Directeur note l</w:t>
      </w:r>
      <w:r w:rsidR="00B70AD5">
        <w:t>'</w:t>
      </w:r>
      <w:r>
        <w:t>appui solide apporté par les membres, comme le montre le taux de réponse exceptionnel de 77 à 80%, et remercie les États Membres pour leur participation active à ce travail d</w:t>
      </w:r>
      <w:r w:rsidR="00B70AD5">
        <w:t>'</w:t>
      </w:r>
      <w:r>
        <w:t>examen.</w:t>
      </w:r>
    </w:p>
    <w:p w14:paraId="3A30F097" w14:textId="47E07A27" w:rsidR="007C1B28" w:rsidRDefault="007C1B28" w:rsidP="004C51D3">
      <w:pPr>
        <w:jc w:val="both"/>
      </w:pPr>
      <w:r w:rsidRPr="00DD7213">
        <w:t>3.13</w:t>
      </w:r>
      <w:r w:rsidRPr="00DD7213">
        <w:tab/>
      </w:r>
      <w:r>
        <w:t>En réponse aux observations, la Chef du Département de la gestion des ressources humaines (HRMD) explique que la politique en matière de recrutement et le système de gestion des recrutements sont en cours d</w:t>
      </w:r>
      <w:r w:rsidR="00B70AD5">
        <w:t>'</w:t>
      </w:r>
      <w:r>
        <w:t>examen. Un nouveau système plus efficace indiquant clairement les responsabilités et les délais devrait être déployé d</w:t>
      </w:r>
      <w:r w:rsidR="00B70AD5">
        <w:t>'</w:t>
      </w:r>
      <w:r>
        <w:t>ici à la fin de l</w:t>
      </w:r>
      <w:r w:rsidR="00B70AD5">
        <w:t>'</w:t>
      </w:r>
      <w:r>
        <w:t>année 2026. La planification des effectifs est en cours de renforcement et on étudie actuellement la répartition des postes vacants pour mieux répondre aux besoins des États</w:t>
      </w:r>
      <w:r w:rsidR="0079454C">
        <w:t> </w:t>
      </w:r>
      <w:r>
        <w:t>Membres et des bénéficiaires. Le Département HRMD met tout en œuvre pour garantir un accès inclusif à la formation et répondre aux besoins d</w:t>
      </w:r>
      <w:r w:rsidR="00B70AD5">
        <w:t>'</w:t>
      </w:r>
      <w:r>
        <w:t>apprentissage dans tous les lieux d</w:t>
      </w:r>
      <w:r w:rsidR="00B70AD5">
        <w:t>'</w:t>
      </w:r>
      <w:r>
        <w:t>affectation.</w:t>
      </w:r>
    </w:p>
    <w:p w14:paraId="028A9917" w14:textId="3C4F0251" w:rsidR="007C1B28" w:rsidRDefault="007C1B28" w:rsidP="004C51D3">
      <w:pPr>
        <w:jc w:val="both"/>
      </w:pPr>
      <w:r w:rsidRPr="00DD7213">
        <w:t>3.14</w:t>
      </w:r>
      <w:r w:rsidRPr="00DD7213">
        <w:tab/>
      </w:r>
      <w:r w:rsidRPr="004F6FD1">
        <w:t xml:space="preserve">Le Conseil </w:t>
      </w:r>
      <w:r w:rsidRPr="004F6FD1">
        <w:rPr>
          <w:b/>
          <w:bCs/>
        </w:rPr>
        <w:t>prend note</w:t>
      </w:r>
      <w:r w:rsidRPr="004F6FD1">
        <w:t xml:space="preserve"> du rapport figurant dans le </w:t>
      </w:r>
      <w:r w:rsidRPr="00DD7213">
        <w:t xml:space="preserve">Document C26/24 </w:t>
      </w:r>
      <w:r>
        <w:t>et</w:t>
      </w:r>
      <w:r w:rsidRPr="00DD7213">
        <w:t xml:space="preserve"> </w:t>
      </w:r>
      <w:r>
        <w:rPr>
          <w:b/>
          <w:bCs/>
        </w:rPr>
        <w:t>charge</w:t>
      </w:r>
      <w:r w:rsidRPr="00DD7213">
        <w:t xml:space="preserve"> </w:t>
      </w:r>
      <w:r>
        <w:t>la Secrétaire</w:t>
      </w:r>
      <w:r w:rsidR="0019521E">
        <w:t> </w:t>
      </w:r>
      <w:r>
        <w:t xml:space="preserve">générale de soumettre un rapport mis à jour, compte tenu des observations des conseillers, </w:t>
      </w:r>
      <w:r w:rsidRPr="0079454C">
        <w:t>à la PP-26.</w:t>
      </w:r>
    </w:p>
    <w:p w14:paraId="1A1FBEBB" w14:textId="0BD0DE46" w:rsidR="007C1B28" w:rsidRPr="00DD7213" w:rsidRDefault="007C1B28" w:rsidP="007C1B28">
      <w:pPr>
        <w:pStyle w:val="Heading1"/>
      </w:pPr>
      <w:r w:rsidRPr="00DD7213">
        <w:t>4</w:t>
      </w:r>
      <w:r w:rsidRPr="00DD7213">
        <w:tab/>
      </w:r>
      <w:r w:rsidRPr="006B0DD6">
        <w:t>Rapport sur la Conférence mondiale de développement des télécommunications (Bakou</w:t>
      </w:r>
      <w:r w:rsidRPr="00DD7213">
        <w:t>, 2025) (</w:t>
      </w:r>
      <w:r w:rsidR="004C51D3" w:rsidRPr="00222777">
        <w:t xml:space="preserve">Document </w:t>
      </w:r>
      <w:hyperlink r:id="rId15" w:history="1">
        <w:proofErr w:type="spellStart"/>
        <w:r w:rsidRPr="0079454C">
          <w:rPr>
            <w:rStyle w:val="Hyperlink"/>
            <w:rFonts w:eastAsia="Times New Roman" w:cs="Times New Roman"/>
            <w:szCs w:val="24"/>
          </w:rPr>
          <w:t>C26</w:t>
        </w:r>
        <w:proofErr w:type="spellEnd"/>
        <w:r w:rsidRPr="0079454C">
          <w:rPr>
            <w:rStyle w:val="Hyperlink"/>
            <w:rFonts w:eastAsia="Times New Roman" w:cs="Times New Roman"/>
            <w:szCs w:val="24"/>
          </w:rPr>
          <w:t>/30</w:t>
        </w:r>
      </w:hyperlink>
      <w:r w:rsidRPr="00DD7213">
        <w:t>)</w:t>
      </w:r>
    </w:p>
    <w:p w14:paraId="4EE4C854" w14:textId="02AC097D" w:rsidR="007C1B28" w:rsidRDefault="007C1B28" w:rsidP="004C51D3">
      <w:pPr>
        <w:jc w:val="both"/>
      </w:pPr>
      <w:r w:rsidRPr="00DD7213">
        <w:t>4.1</w:t>
      </w:r>
      <w:r w:rsidRPr="00DD7213">
        <w:tab/>
      </w:r>
      <w:r>
        <w:t>L</w:t>
      </w:r>
      <w:r w:rsidR="00B70AD5">
        <w:t>'</w:t>
      </w:r>
      <w:r>
        <w:t xml:space="preserve">Adjointe au Directeur du BDT présente le </w:t>
      </w:r>
      <w:r w:rsidRPr="00DD7213">
        <w:t>Document C26/30</w:t>
      </w:r>
      <w:r>
        <w:t>, dans lequel sont exposés les principaux résultats de la Conférence mondiale de développement des télécommunications (Bakou, 2025) (CMDT-25). Cette Conférence a rassemblé près de 2</w:t>
      </w:r>
      <w:r w:rsidR="0079454C">
        <w:t> </w:t>
      </w:r>
      <w:r>
        <w:t>000</w:t>
      </w:r>
      <w:r w:rsidR="0079454C">
        <w:t> </w:t>
      </w:r>
      <w:r>
        <w:t>participants. La Déclaration de Bakou</w:t>
      </w:r>
      <w:r w:rsidRPr="00763565">
        <w:t xml:space="preserve"> définit une vision commune pour parvenir à une connectivité universelle, efficace et financièrement abordable</w:t>
      </w:r>
      <w:r>
        <w:t>, tandis que le Plan d</w:t>
      </w:r>
      <w:r w:rsidR="00B70AD5">
        <w:t>'</w:t>
      </w:r>
      <w:r>
        <w:t>action de Bakou</w:t>
      </w:r>
      <w:r w:rsidRPr="00763565">
        <w:t xml:space="preserve"> traduit </w:t>
      </w:r>
      <w:r>
        <w:t>cette</w:t>
      </w:r>
      <w:r w:rsidRPr="00763565">
        <w:t xml:space="preserve"> vision politique en un </w:t>
      </w:r>
      <w:r>
        <w:t>cadre axé sur des résultats concrets pour les travaux que mènera l</w:t>
      </w:r>
      <w:r w:rsidR="00B70AD5">
        <w:t>'</w:t>
      </w:r>
      <w:r>
        <w:t>UIT-D pendant la période 2026-2029. La Conférence a approuvé 30</w:t>
      </w:r>
      <w:r w:rsidR="0079454C">
        <w:t> </w:t>
      </w:r>
      <w:r>
        <w:t>initiatives régionales pour les six régions de l</w:t>
      </w:r>
      <w:r w:rsidR="00B70AD5">
        <w:t>'</w:t>
      </w:r>
      <w:r>
        <w:t>UIT et a révisé le texte des Questions à l</w:t>
      </w:r>
      <w:r w:rsidR="00B70AD5">
        <w:t>'</w:t>
      </w:r>
      <w:r>
        <w:t>étude à l</w:t>
      </w:r>
      <w:r w:rsidR="00B70AD5">
        <w:t>'</w:t>
      </w:r>
      <w:r>
        <w:t>UIT-D pour la période 2026-2029. Elle a en outre révisé 43 Résolutions existantes et adopté quatre Résolutions</w:t>
      </w:r>
      <w:r w:rsidRPr="00763565">
        <w:t xml:space="preserve"> </w:t>
      </w:r>
      <w:r>
        <w:t>nouvelles.</w:t>
      </w:r>
    </w:p>
    <w:p w14:paraId="39E6186E" w14:textId="1534682C" w:rsidR="007C1B28" w:rsidRDefault="007C1B28" w:rsidP="004C51D3">
      <w:pPr>
        <w:jc w:val="both"/>
      </w:pPr>
      <w:r w:rsidRPr="00DD7213">
        <w:t>4.2</w:t>
      </w:r>
      <w:r w:rsidRPr="00DD7213">
        <w:tab/>
      </w:r>
      <w:r>
        <w:t>De nombreux conseillers et une observatrice remercient l</w:t>
      </w:r>
      <w:r w:rsidR="00B70AD5">
        <w:t>'</w:t>
      </w:r>
      <w:r>
        <w:t>Azerbaïdjan pour l</w:t>
      </w:r>
      <w:r w:rsidR="00B70AD5">
        <w:t>'</w:t>
      </w:r>
      <w:r>
        <w:t>excellente organisation de la CMDT-25 et son sens de l</w:t>
      </w:r>
      <w:r w:rsidR="00B70AD5">
        <w:t>'</w:t>
      </w:r>
      <w:r>
        <w:t>hospitalité. Ils accueillent avec satisfaction la Déclaration de Bakou et le Plan d</w:t>
      </w:r>
      <w:r w:rsidR="00B70AD5">
        <w:t>'</w:t>
      </w:r>
      <w:r>
        <w:t xml:space="preserve">action de Bakou, ainsi que les autres résultats visant à promouvoir une transformation numérique inclusive. Une conseillère demande des précisions sur la manière qui permettra de faire en sorte que les résultats restent alignés sur les nouveaux </w:t>
      </w:r>
      <w:r w:rsidR="00951A05">
        <w:t>P</w:t>
      </w:r>
      <w:r>
        <w:t>lans stratégique et opérationnel de l</w:t>
      </w:r>
      <w:r w:rsidR="00B70AD5">
        <w:t>'</w:t>
      </w:r>
      <w:r>
        <w:t>Union.</w:t>
      </w:r>
    </w:p>
    <w:p w14:paraId="4B440C9A" w14:textId="3EE8D2DB" w:rsidR="007C1B28" w:rsidRDefault="007C1B28" w:rsidP="004C51D3">
      <w:pPr>
        <w:jc w:val="both"/>
      </w:pPr>
      <w:r w:rsidRPr="00DD7213">
        <w:t>4.3</w:t>
      </w:r>
      <w:r w:rsidRPr="00DD7213">
        <w:tab/>
      </w:r>
      <w:r>
        <w:t>De nombreux conseillers souligne qu</w:t>
      </w:r>
      <w:r w:rsidR="00B70AD5">
        <w:t>'</w:t>
      </w:r>
      <w:r>
        <w:t>il est important de veiller à une exécution axée sur des résultats réalistes et de disposer de ressources adéquates et prévisibles pour mettre en œuvre efficacement les résultats. Il est essentiel d</w:t>
      </w:r>
      <w:r w:rsidR="00B70AD5">
        <w:t>'</w:t>
      </w:r>
      <w:r>
        <w:t>assurer une coordination en amont avec les régions, notamment par l</w:t>
      </w:r>
      <w:r w:rsidR="00B70AD5">
        <w:t>'</w:t>
      </w:r>
      <w:r>
        <w:t>intermédiaire des bureaux régionaux, pour produire des effets mesurables. Les progrès devraient être évalués à intervalle régulier, compte tenu des besoins des pays les plus vulnérables. Un conseiller appelle à une collaboration renforcée entre les parties prenantes concernées, à des solutions de financement innovantes et à des partenariats public-privé pour appuyer la mise en œuvre des initiatives régionales compte tenu des priorités régionales et des besoins de développement. Il est pris note de l</w:t>
      </w:r>
      <w:r w:rsidR="00B70AD5">
        <w:t>'</w:t>
      </w:r>
      <w:r>
        <w:t>importance des mécanismes permettant de mobiliser des fonds d</w:t>
      </w:r>
      <w:r w:rsidR="00B70AD5">
        <w:t>'</w:t>
      </w:r>
      <w:r>
        <w:t>amorçage afin d</w:t>
      </w:r>
      <w:r w:rsidR="00B70AD5">
        <w:t>'</w:t>
      </w:r>
      <w:r>
        <w:t>attirer des bailleurs de fonds et des partenaires de développement. Un conseiller se félicite de la proposition d</w:t>
      </w:r>
      <w:r w:rsidR="00B70AD5">
        <w:t>'</w:t>
      </w:r>
      <w:r>
        <w:t xml:space="preserve">utiliser </w:t>
      </w:r>
      <w:r>
        <w:lastRenderedPageBreak/>
        <w:t>des fonds provenant des économies réalisées dans le cadre de l</w:t>
      </w:r>
      <w:r w:rsidR="00B70AD5">
        <w:t>'</w:t>
      </w:r>
      <w:r>
        <w:t>exécution du budget de 2025 pour financer la mise en œuvre des initiatives régionales approuvées par la CMDT-25. La célébration mondiale du rôle de la jeunesse organisée par l</w:t>
      </w:r>
      <w:r w:rsidR="00B70AD5">
        <w:t>'</w:t>
      </w:r>
      <w:r>
        <w:t>UIT à l</w:t>
      </w:r>
      <w:r w:rsidR="00B70AD5">
        <w:t>'</w:t>
      </w:r>
      <w:r>
        <w:t>occasion de la CMDT-25 est saluée et une observatrice souligne l</w:t>
      </w:r>
      <w:r w:rsidR="00B70AD5">
        <w:t>'</w:t>
      </w:r>
      <w:r>
        <w:t>importance de la promotion de la participation des jeunes femmes talentueuses au développement du numérique.</w:t>
      </w:r>
    </w:p>
    <w:p w14:paraId="0CA44538" w14:textId="3B81BD70" w:rsidR="007C1B28" w:rsidRDefault="007C1B28" w:rsidP="004C51D3">
      <w:pPr>
        <w:jc w:val="both"/>
      </w:pPr>
      <w:r w:rsidRPr="00DD7213">
        <w:t>4.4</w:t>
      </w:r>
      <w:r w:rsidRPr="00DD7213">
        <w:tab/>
      </w:r>
      <w:r>
        <w:t>Un conseiller fait part de l</w:t>
      </w:r>
      <w:r w:rsidR="00B70AD5">
        <w:t>'</w:t>
      </w:r>
      <w:r>
        <w:t>engagement de son pays en faveur de la mise en œuvre des résultats de la CMDT-25, y compris en ce qui concerne la mise en place d</w:t>
      </w:r>
      <w:r w:rsidR="00B70AD5">
        <w:t>'</w:t>
      </w:r>
      <w:r>
        <w:t>environnements réglementaires propices, les réseaux autres que les réseaux de Terre et la durabilité de l</w:t>
      </w:r>
      <w:r w:rsidR="00B70AD5">
        <w:t>'</w:t>
      </w:r>
      <w:r>
        <w:t>espace.</w:t>
      </w:r>
    </w:p>
    <w:p w14:paraId="15001D95" w14:textId="29AB22C8" w:rsidR="007C1B28" w:rsidRDefault="007C1B28" w:rsidP="004C51D3">
      <w:pPr>
        <w:jc w:val="both"/>
      </w:pPr>
      <w:r w:rsidRPr="00DD7213">
        <w:t>4.5</w:t>
      </w:r>
      <w:r w:rsidRPr="00DD7213">
        <w:tab/>
      </w:r>
      <w:r>
        <w:t xml:space="preserve">Le </w:t>
      </w:r>
      <w:r w:rsidR="00951A05">
        <w:t>c</w:t>
      </w:r>
      <w:r>
        <w:t>onseiller de la Türkiye invite les membres au Colloque mondial des régulateurs (GSR</w:t>
      </w:r>
      <w:r w:rsidR="00951A05">
        <w:noBreakHyphen/>
      </w:r>
      <w:r>
        <w:t>26) qui aura lieu en mai à Ankara.</w:t>
      </w:r>
    </w:p>
    <w:p w14:paraId="407BA55C" w14:textId="4299B293" w:rsidR="007C1B28" w:rsidRDefault="007C1B28" w:rsidP="004C51D3">
      <w:pPr>
        <w:jc w:val="both"/>
      </w:pPr>
      <w:r w:rsidRPr="00DD7213">
        <w:t>4.6</w:t>
      </w:r>
      <w:r w:rsidRPr="00DD7213">
        <w:tab/>
      </w:r>
      <w:r>
        <w:t xml:space="preserve">Le </w:t>
      </w:r>
      <w:r w:rsidR="00951A05">
        <w:t>c</w:t>
      </w:r>
      <w:r>
        <w:t>onseiller de l</w:t>
      </w:r>
      <w:r w:rsidR="00B70AD5">
        <w:t>'</w:t>
      </w:r>
      <w:r>
        <w:t>Azerbaïdjan remercie tous les participants qui ont activement pris part et contribué à la CMDT-25.</w:t>
      </w:r>
    </w:p>
    <w:p w14:paraId="62839828" w14:textId="77777777" w:rsidR="007C1B28" w:rsidRPr="00DD7213" w:rsidRDefault="007C1B28" w:rsidP="004C51D3">
      <w:pPr>
        <w:jc w:val="both"/>
      </w:pPr>
      <w:r w:rsidRPr="00DD7213">
        <w:t>4.7</w:t>
      </w:r>
      <w:r w:rsidRPr="00DD7213">
        <w:tab/>
      </w:r>
      <w:r w:rsidRPr="004F6FD1">
        <w:t xml:space="preserve">Le Conseil </w:t>
      </w:r>
      <w:r w:rsidRPr="004F6FD1">
        <w:rPr>
          <w:b/>
          <w:bCs/>
        </w:rPr>
        <w:t>prend note</w:t>
      </w:r>
      <w:r w:rsidRPr="004F6FD1">
        <w:t xml:space="preserve"> du rapport figurant dans le </w:t>
      </w:r>
      <w:r w:rsidRPr="00DD7213">
        <w:t>Document C26/30.</w:t>
      </w:r>
    </w:p>
    <w:p w14:paraId="6D711949" w14:textId="77777777" w:rsidR="007C1B28" w:rsidRPr="00DD7213" w:rsidRDefault="007C1B28" w:rsidP="007C1B28">
      <w:pPr>
        <w:pStyle w:val="Heading1"/>
      </w:pPr>
      <w:r w:rsidRPr="00DD7213">
        <w:t>5</w:t>
      </w:r>
      <w:r w:rsidRPr="00DD7213">
        <w:tab/>
      </w:r>
      <w:r w:rsidRPr="006B0DD6">
        <w:t>Déclarations des conseillers et des observateurs</w:t>
      </w:r>
    </w:p>
    <w:p w14:paraId="26E3EECC" w14:textId="36FC2727" w:rsidR="007C1B28" w:rsidRDefault="007C1B28" w:rsidP="004C51D3">
      <w:pPr>
        <w:jc w:val="both"/>
      </w:pPr>
      <w:r w:rsidRPr="00DD7213">
        <w:t>5.1</w:t>
      </w:r>
      <w:r w:rsidRPr="00DD7213">
        <w:tab/>
      </w:r>
      <w:r>
        <w:t xml:space="preserve">Le </w:t>
      </w:r>
      <w:r w:rsidR="00951A05">
        <w:t>c</w:t>
      </w:r>
      <w:r>
        <w:t>onseiller de la Pologne annonce la candidature de son pays en vue de sa réélection au Conseil.</w:t>
      </w:r>
    </w:p>
    <w:p w14:paraId="114CC388" w14:textId="213AF33E" w:rsidR="007C1B28" w:rsidRDefault="007C1B28" w:rsidP="004C51D3">
      <w:pPr>
        <w:jc w:val="both"/>
      </w:pPr>
      <w:r w:rsidRPr="00DD7213">
        <w:t>5.2</w:t>
      </w:r>
      <w:r w:rsidRPr="00DD7213">
        <w:tab/>
      </w:r>
      <w:r>
        <w:t xml:space="preserve">Le </w:t>
      </w:r>
      <w:r w:rsidR="00951A05">
        <w:t>c</w:t>
      </w:r>
      <w:r>
        <w:t>onseiller de l</w:t>
      </w:r>
      <w:r w:rsidR="00B70AD5">
        <w:t>'</w:t>
      </w:r>
      <w:r>
        <w:t>Azerbaïdjan annonce que son pays sera candidat à sa réélection au Conseil à la PP-26 et présentera également la candidature de Mme Sitara Mediyeva au poste de membre du Comité du Règlement des radiocommunications.</w:t>
      </w:r>
    </w:p>
    <w:p w14:paraId="48F5ED75" w14:textId="4FF7DE8C" w:rsidR="007C1B28" w:rsidRDefault="007C1B28" w:rsidP="004C51D3">
      <w:pPr>
        <w:tabs>
          <w:tab w:val="left" w:pos="6640"/>
        </w:tabs>
        <w:jc w:val="both"/>
        <w:rPr>
          <w:rFonts w:cs="Calibri"/>
        </w:rPr>
      </w:pPr>
      <w:r w:rsidRPr="00DD7213">
        <w:rPr>
          <w:rFonts w:cs="Calibri"/>
        </w:rPr>
        <w:t>5.3</w:t>
      </w:r>
      <w:r w:rsidRPr="00DD7213">
        <w:rPr>
          <w:rFonts w:cs="Calibri"/>
        </w:rPr>
        <w:tab/>
      </w:r>
      <w:r>
        <w:rPr>
          <w:rFonts w:cs="Calibri"/>
        </w:rPr>
        <w:t>L</w:t>
      </w:r>
      <w:r w:rsidR="00B70AD5">
        <w:rPr>
          <w:rFonts w:cs="Calibri"/>
        </w:rPr>
        <w:t>'</w:t>
      </w:r>
      <w:r>
        <w:rPr>
          <w:rFonts w:cs="Calibri"/>
        </w:rPr>
        <w:t>observateur du Kazakhstan déclare que son pays présentera sa candidature en vue de son élection au Conseil.</w:t>
      </w:r>
    </w:p>
    <w:p w14:paraId="64775681" w14:textId="5B495855" w:rsidR="006A11AE" w:rsidRDefault="007C1B28" w:rsidP="00951A05">
      <w:pPr>
        <w:tabs>
          <w:tab w:val="clear" w:pos="567"/>
          <w:tab w:val="clear" w:pos="1134"/>
          <w:tab w:val="clear" w:pos="1701"/>
          <w:tab w:val="clear" w:pos="2268"/>
          <w:tab w:val="clear" w:pos="2835"/>
          <w:tab w:val="left" w:pos="7088"/>
        </w:tabs>
        <w:spacing w:before="840"/>
        <w:jc w:val="both"/>
      </w:pPr>
      <w:r>
        <w:t>La Secrétaire générale</w:t>
      </w:r>
      <w:r w:rsidR="00951A05">
        <w:t>:</w:t>
      </w:r>
      <w:r w:rsidRPr="00DD7213">
        <w:tab/>
      </w:r>
      <w:r>
        <w:t>Le Président</w:t>
      </w:r>
      <w:r w:rsidRPr="00DD7213">
        <w:t>:</w:t>
      </w:r>
      <w:r w:rsidRPr="00DD7213">
        <w:br/>
        <w:t>D. BOGDAN-MARTIN</w:t>
      </w:r>
      <w:r w:rsidRPr="00DD7213">
        <w:tab/>
        <w:t>B. TIJANI</w:t>
      </w:r>
    </w:p>
    <w:sectPr w:rsidR="006A11AE" w:rsidSect="00D72F49">
      <w:headerReference w:type="even" r:id="rId16"/>
      <w:footerReference w:type="even" r:id="rId17"/>
      <w:footerReference w:type="default" r:id="rId18"/>
      <w:headerReference w:type="first" r:id="rId19"/>
      <w:footerReference w:type="first" r:id="rId20"/>
      <w:pgSz w:w="11907" w:h="16840" w:code="9"/>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CA5B3" w14:textId="77777777" w:rsidR="00045BB7" w:rsidRDefault="00045BB7">
      <w:r>
        <w:separator/>
      </w:r>
    </w:p>
  </w:endnote>
  <w:endnote w:type="continuationSeparator" w:id="0">
    <w:p w14:paraId="7EEF85CD" w14:textId="77777777" w:rsidR="00045BB7" w:rsidRDefault="0004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6642" w14:textId="288B867A" w:rsidR="00732045" w:rsidRPr="00A942DE" w:rsidRDefault="00F175E5">
    <w:pPr>
      <w:pStyle w:val="Footer"/>
      <w:rPr>
        <w:lang w:val="en-GB"/>
      </w:rPr>
    </w:pPr>
    <w:r>
      <w:fldChar w:fldCharType="begin"/>
    </w:r>
    <w:r w:rsidRPr="00A942DE">
      <w:rPr>
        <w:lang w:val="en-GB"/>
      </w:rPr>
      <w:instrText xml:space="preserve"> FILENAME \p \* MERGEFORMAT </w:instrText>
    </w:r>
    <w:r>
      <w:fldChar w:fldCharType="separate"/>
    </w:r>
    <w:r w:rsidR="008B0B12" w:rsidRPr="00A942DE">
      <w:rPr>
        <w:lang w:val="en-GB"/>
      </w:rPr>
      <w:t>P:\FRA\gDoc\SG\C26\2601339F.docx</w:t>
    </w:r>
    <w:r>
      <w:fldChar w:fldCharType="end"/>
    </w:r>
    <w:r w:rsidR="00732045" w:rsidRPr="00A942DE">
      <w:rPr>
        <w:lang w:val="en-GB"/>
      </w:rPr>
      <w:tab/>
    </w:r>
    <w:r w:rsidR="002F1B76">
      <w:fldChar w:fldCharType="begin"/>
    </w:r>
    <w:r w:rsidR="00732045">
      <w:instrText xml:space="preserve"> savedate \@ dd.MM.yy </w:instrText>
    </w:r>
    <w:r w:rsidR="002F1B76">
      <w:fldChar w:fldCharType="separate"/>
    </w:r>
    <w:r w:rsidR="004F210F">
      <w:t>04.08.26</w:t>
    </w:r>
    <w:r w:rsidR="002F1B76">
      <w:fldChar w:fldCharType="end"/>
    </w:r>
    <w:r w:rsidR="00732045" w:rsidRPr="00A942DE">
      <w:rPr>
        <w:lang w:val="en-GB"/>
      </w:rPr>
      <w:tab/>
    </w:r>
    <w:r w:rsidR="002F1B76">
      <w:fldChar w:fldCharType="begin"/>
    </w:r>
    <w:r w:rsidR="00732045">
      <w:instrText xml:space="preserve"> printdate \@ dd.MM.yy </w:instrText>
    </w:r>
    <w:r w:rsidR="002F1B76">
      <w:fldChar w:fldCharType="separate"/>
    </w:r>
    <w:r w:rsidR="008B0B12">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4F6F0FB2" w14:textId="77777777" w:rsidTr="00E31DCE">
      <w:trPr>
        <w:jc w:val="center"/>
      </w:trPr>
      <w:tc>
        <w:tcPr>
          <w:tcW w:w="1803" w:type="dxa"/>
          <w:vAlign w:val="center"/>
        </w:tcPr>
        <w:p w14:paraId="30D841F4" w14:textId="631BC2F2" w:rsidR="00A51849" w:rsidRDefault="007C1B28" w:rsidP="00A51849">
          <w:pPr>
            <w:pStyle w:val="Header"/>
            <w:jc w:val="left"/>
            <w:rPr>
              <w:noProof/>
            </w:rPr>
          </w:pPr>
          <w:r>
            <w:rPr>
              <w:noProof/>
            </w:rPr>
            <w:t>2601339</w:t>
          </w:r>
        </w:p>
      </w:tc>
      <w:tc>
        <w:tcPr>
          <w:tcW w:w="8261" w:type="dxa"/>
        </w:tcPr>
        <w:p w14:paraId="7366F26C" w14:textId="27172E70"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7C1B28">
            <w:rPr>
              <w:bCs/>
            </w:rPr>
            <w:t>119</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72BA003E"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2C05C3BF" w14:textId="77777777" w:rsidTr="00E31DCE">
      <w:trPr>
        <w:jc w:val="center"/>
      </w:trPr>
      <w:tc>
        <w:tcPr>
          <w:tcW w:w="1803" w:type="dxa"/>
          <w:vAlign w:val="center"/>
        </w:tcPr>
        <w:p w14:paraId="7AB79F38"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71643302" w14:textId="41B5D8AB" w:rsidR="00A51849" w:rsidRPr="00E06FD5" w:rsidRDefault="00A51849" w:rsidP="00C049D7">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Pr="00623AE3">
            <w:rPr>
              <w:bCs/>
            </w:rPr>
            <w:t>/</w:t>
          </w:r>
          <w:r w:rsidR="007C1B28">
            <w:rPr>
              <w:bCs/>
            </w:rPr>
            <w:t>119</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74333F24"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951E9" w14:textId="77777777" w:rsidR="00045BB7" w:rsidRDefault="00045BB7">
      <w:r>
        <w:t>____________________</w:t>
      </w:r>
    </w:p>
  </w:footnote>
  <w:footnote w:type="continuationSeparator" w:id="0">
    <w:p w14:paraId="155ABD9B" w14:textId="77777777" w:rsidR="00045BB7" w:rsidRDefault="0004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887D"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2878FC80"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EA52" w14:textId="77777777" w:rsidR="00A51849" w:rsidRPr="001342E0" w:rsidRDefault="001342E0" w:rsidP="001342E0">
    <w:pPr>
      <w:pStyle w:val="Header"/>
    </w:pPr>
    <w:r>
      <w:rPr>
        <w:noProof/>
      </w:rPr>
      <w:drawing>
        <wp:inline distT="0" distB="0" distL="0" distR="0" wp14:anchorId="19B76E52" wp14:editId="2D100792">
          <wp:extent cx="5760085" cy="840740"/>
          <wp:effectExtent l="0" t="0" r="0" b="0"/>
          <wp:docPr id="322889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89409" name="Picture 322889409"/>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num w:numId="1" w16cid:durableId="1114522147">
    <w:abstractNumId w:val="9"/>
  </w:num>
  <w:num w:numId="2" w16cid:durableId="598224262">
    <w:abstractNumId w:val="7"/>
  </w:num>
  <w:num w:numId="3" w16cid:durableId="132329335">
    <w:abstractNumId w:val="6"/>
  </w:num>
  <w:num w:numId="4" w16cid:durableId="1044521504">
    <w:abstractNumId w:val="5"/>
  </w:num>
  <w:num w:numId="5" w16cid:durableId="204216530">
    <w:abstractNumId w:val="4"/>
  </w:num>
  <w:num w:numId="6" w16cid:durableId="196507413">
    <w:abstractNumId w:val="8"/>
  </w:num>
  <w:num w:numId="7" w16cid:durableId="330957312">
    <w:abstractNumId w:val="3"/>
  </w:num>
  <w:num w:numId="8" w16cid:durableId="1268003657">
    <w:abstractNumId w:val="2"/>
  </w:num>
  <w:num w:numId="9" w16cid:durableId="933437350">
    <w:abstractNumId w:val="1"/>
  </w:num>
  <w:num w:numId="10" w16cid:durableId="667903931">
    <w:abstractNumId w:val="0"/>
  </w:num>
  <w:num w:numId="11" w16cid:durableId="504589666">
    <w:abstractNumId w:val="8"/>
  </w:num>
  <w:num w:numId="12" w16cid:durableId="1673529618">
    <w:abstractNumId w:val="3"/>
  </w:num>
  <w:num w:numId="13" w16cid:durableId="1975982655">
    <w:abstractNumId w:val="2"/>
  </w:num>
  <w:num w:numId="14" w16cid:durableId="1252472993">
    <w:abstractNumId w:val="1"/>
  </w:num>
  <w:num w:numId="15" w16cid:durableId="149822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C2B"/>
    <w:rsid w:val="00045BB7"/>
    <w:rsid w:val="00076A2C"/>
    <w:rsid w:val="000A4D36"/>
    <w:rsid w:val="000D0D0A"/>
    <w:rsid w:val="00103163"/>
    <w:rsid w:val="00106B19"/>
    <w:rsid w:val="001133EF"/>
    <w:rsid w:val="00115D93"/>
    <w:rsid w:val="001247A8"/>
    <w:rsid w:val="001342E0"/>
    <w:rsid w:val="001370B2"/>
    <w:rsid w:val="001378C0"/>
    <w:rsid w:val="001658F9"/>
    <w:rsid w:val="0018694A"/>
    <w:rsid w:val="0019129B"/>
    <w:rsid w:val="0019521E"/>
    <w:rsid w:val="001A3287"/>
    <w:rsid w:val="001A6508"/>
    <w:rsid w:val="001D4C31"/>
    <w:rsid w:val="001E4D21"/>
    <w:rsid w:val="001F4406"/>
    <w:rsid w:val="00207CD1"/>
    <w:rsid w:val="00222777"/>
    <w:rsid w:val="00226657"/>
    <w:rsid w:val="002477A2"/>
    <w:rsid w:val="00263A51"/>
    <w:rsid w:val="00267E02"/>
    <w:rsid w:val="00271321"/>
    <w:rsid w:val="00277DEA"/>
    <w:rsid w:val="00283159"/>
    <w:rsid w:val="002A5D44"/>
    <w:rsid w:val="002C3F32"/>
    <w:rsid w:val="002C4E3D"/>
    <w:rsid w:val="002D2336"/>
    <w:rsid w:val="002E0BC4"/>
    <w:rsid w:val="002F1B76"/>
    <w:rsid w:val="0033568E"/>
    <w:rsid w:val="00355FF5"/>
    <w:rsid w:val="00361350"/>
    <w:rsid w:val="003C0DB1"/>
    <w:rsid w:val="003C3FAE"/>
    <w:rsid w:val="004038CB"/>
    <w:rsid w:val="0040546F"/>
    <w:rsid w:val="004177BD"/>
    <w:rsid w:val="0042404A"/>
    <w:rsid w:val="0044618F"/>
    <w:rsid w:val="00465C35"/>
    <w:rsid w:val="0046769A"/>
    <w:rsid w:val="00472CF1"/>
    <w:rsid w:val="00475FB3"/>
    <w:rsid w:val="004C37A9"/>
    <w:rsid w:val="004C51D3"/>
    <w:rsid w:val="004D1D50"/>
    <w:rsid w:val="004D6834"/>
    <w:rsid w:val="004F210F"/>
    <w:rsid w:val="004F259E"/>
    <w:rsid w:val="004F633A"/>
    <w:rsid w:val="00504C7F"/>
    <w:rsid w:val="00511F1D"/>
    <w:rsid w:val="00520F36"/>
    <w:rsid w:val="00524E8D"/>
    <w:rsid w:val="00534E13"/>
    <w:rsid w:val="00540615"/>
    <w:rsid w:val="00540A6D"/>
    <w:rsid w:val="00553536"/>
    <w:rsid w:val="00566679"/>
    <w:rsid w:val="00571EEA"/>
    <w:rsid w:val="00575417"/>
    <w:rsid w:val="005768E1"/>
    <w:rsid w:val="005B1938"/>
    <w:rsid w:val="005C3890"/>
    <w:rsid w:val="005F7BFE"/>
    <w:rsid w:val="00600017"/>
    <w:rsid w:val="00602682"/>
    <w:rsid w:val="006235CA"/>
    <w:rsid w:val="0062366E"/>
    <w:rsid w:val="0064625A"/>
    <w:rsid w:val="006643AB"/>
    <w:rsid w:val="006A11AE"/>
    <w:rsid w:val="006B224B"/>
    <w:rsid w:val="006C2D8A"/>
    <w:rsid w:val="006D04C7"/>
    <w:rsid w:val="006F0A53"/>
    <w:rsid w:val="00701EF5"/>
    <w:rsid w:val="0071402E"/>
    <w:rsid w:val="007210CD"/>
    <w:rsid w:val="00732045"/>
    <w:rsid w:val="0073275D"/>
    <w:rsid w:val="007369DB"/>
    <w:rsid w:val="0077110E"/>
    <w:rsid w:val="0079454C"/>
    <w:rsid w:val="007956C2"/>
    <w:rsid w:val="00796BDB"/>
    <w:rsid w:val="007A187E"/>
    <w:rsid w:val="007A5C2B"/>
    <w:rsid w:val="007C1B28"/>
    <w:rsid w:val="007C72C2"/>
    <w:rsid w:val="007D4436"/>
    <w:rsid w:val="007F257A"/>
    <w:rsid w:val="007F3665"/>
    <w:rsid w:val="00800037"/>
    <w:rsid w:val="0082299A"/>
    <w:rsid w:val="0083391C"/>
    <w:rsid w:val="0084546D"/>
    <w:rsid w:val="00861D73"/>
    <w:rsid w:val="00882919"/>
    <w:rsid w:val="00897553"/>
    <w:rsid w:val="008A4E87"/>
    <w:rsid w:val="008B0B12"/>
    <w:rsid w:val="008D76E6"/>
    <w:rsid w:val="0092392D"/>
    <w:rsid w:val="0093234A"/>
    <w:rsid w:val="00951A05"/>
    <w:rsid w:val="00956A78"/>
    <w:rsid w:val="0097363B"/>
    <w:rsid w:val="00973F53"/>
    <w:rsid w:val="0098348E"/>
    <w:rsid w:val="009A6BAA"/>
    <w:rsid w:val="009A76A8"/>
    <w:rsid w:val="009B71E7"/>
    <w:rsid w:val="009C307F"/>
    <w:rsid w:val="009C353C"/>
    <w:rsid w:val="009D5955"/>
    <w:rsid w:val="009F0FB8"/>
    <w:rsid w:val="00A01F4F"/>
    <w:rsid w:val="00A109AF"/>
    <w:rsid w:val="00A125FB"/>
    <w:rsid w:val="00A2113E"/>
    <w:rsid w:val="00A23A51"/>
    <w:rsid w:val="00A24607"/>
    <w:rsid w:val="00A25CD3"/>
    <w:rsid w:val="00A51849"/>
    <w:rsid w:val="00A709FE"/>
    <w:rsid w:val="00A73C60"/>
    <w:rsid w:val="00A82767"/>
    <w:rsid w:val="00A942DE"/>
    <w:rsid w:val="00AA0BA2"/>
    <w:rsid w:val="00AA332F"/>
    <w:rsid w:val="00AA7BBB"/>
    <w:rsid w:val="00AB64A8"/>
    <w:rsid w:val="00AC0266"/>
    <w:rsid w:val="00AC0F1D"/>
    <w:rsid w:val="00AD24EC"/>
    <w:rsid w:val="00B27B00"/>
    <w:rsid w:val="00B309F9"/>
    <w:rsid w:val="00B32B60"/>
    <w:rsid w:val="00B466C5"/>
    <w:rsid w:val="00B51005"/>
    <w:rsid w:val="00B61619"/>
    <w:rsid w:val="00B70AD5"/>
    <w:rsid w:val="00BB38C1"/>
    <w:rsid w:val="00BB4545"/>
    <w:rsid w:val="00BD5873"/>
    <w:rsid w:val="00BF4B60"/>
    <w:rsid w:val="00C049D7"/>
    <w:rsid w:val="00C04BE3"/>
    <w:rsid w:val="00C14B6C"/>
    <w:rsid w:val="00C25D29"/>
    <w:rsid w:val="00C2625E"/>
    <w:rsid w:val="00C27A7C"/>
    <w:rsid w:val="00C42437"/>
    <w:rsid w:val="00C64CBD"/>
    <w:rsid w:val="00CA08ED"/>
    <w:rsid w:val="00CA6408"/>
    <w:rsid w:val="00CB39A6"/>
    <w:rsid w:val="00CC6EAA"/>
    <w:rsid w:val="00CD2E34"/>
    <w:rsid w:val="00CE5172"/>
    <w:rsid w:val="00CF0534"/>
    <w:rsid w:val="00CF183B"/>
    <w:rsid w:val="00D375CD"/>
    <w:rsid w:val="00D37B53"/>
    <w:rsid w:val="00D45FDA"/>
    <w:rsid w:val="00D553A2"/>
    <w:rsid w:val="00D623F0"/>
    <w:rsid w:val="00D72F49"/>
    <w:rsid w:val="00D774D3"/>
    <w:rsid w:val="00D904E8"/>
    <w:rsid w:val="00DA08C3"/>
    <w:rsid w:val="00DB5A3E"/>
    <w:rsid w:val="00DC22AA"/>
    <w:rsid w:val="00DD1A99"/>
    <w:rsid w:val="00DD4FEE"/>
    <w:rsid w:val="00DE62C6"/>
    <w:rsid w:val="00DF74DD"/>
    <w:rsid w:val="00E25AD0"/>
    <w:rsid w:val="00E33426"/>
    <w:rsid w:val="00E4428F"/>
    <w:rsid w:val="00E4448E"/>
    <w:rsid w:val="00E47427"/>
    <w:rsid w:val="00E93668"/>
    <w:rsid w:val="00E95647"/>
    <w:rsid w:val="00EB6350"/>
    <w:rsid w:val="00ED799B"/>
    <w:rsid w:val="00F15B57"/>
    <w:rsid w:val="00F175E5"/>
    <w:rsid w:val="00F204AC"/>
    <w:rsid w:val="00F35EF4"/>
    <w:rsid w:val="00F37FE5"/>
    <w:rsid w:val="00F427DB"/>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39D9A3"/>
  <w15:docId w15:val="{18F0281B-F48E-4366-9D3C-7C900F80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732045"/>
    <w:pPr>
      <w:spacing w:before="840"/>
      <w:jc w:val="center"/>
    </w:pPr>
    <w:rPr>
      <w:b/>
      <w:sz w:val="28"/>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222777"/>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paragraph" w:customStyle="1" w:styleId="Summary-Record">
    <w:name w:val="Summary-Record"/>
    <w:basedOn w:val="Source"/>
    <w:rsid w:val="007A5C2B"/>
    <w:pPr>
      <w:framePr w:hSpace="181" w:wrap="around" w:vAnchor="page" w:hAnchor="page" w:x="1589" w:y="2314"/>
      <w:spacing w:before="240" w:after="120"/>
    </w:pPr>
    <w:rPr>
      <w:sz w:val="34"/>
      <w:szCs w:val="3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85/fr" TargetMode="External"/><Relationship Id="rId13" Type="http://schemas.openxmlformats.org/officeDocument/2006/relationships/hyperlink" Target="https://www.itu.int/md/S26-CL-C-0085/fr"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tu.int/md/S26-CL-C-0025/fr" TargetMode="External"/><Relationship Id="rId12" Type="http://schemas.openxmlformats.org/officeDocument/2006/relationships/hyperlink" Target="https://www.itu.int/md/S26-CL-C-0025/f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30/fr" TargetMode="External"/><Relationship Id="rId5" Type="http://schemas.openxmlformats.org/officeDocument/2006/relationships/footnotes" Target="footnotes.xml"/><Relationship Id="rId15" Type="http://schemas.openxmlformats.org/officeDocument/2006/relationships/hyperlink" Target="https://www.itu.int/md/S26-CL-C-0030/fr" TargetMode="External"/><Relationship Id="rId10" Type="http://schemas.openxmlformats.org/officeDocument/2006/relationships/hyperlink" Target="https://www.itu.int/md/S26-CL-C-0108/fr"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itu.int/md/S26-CL-C-0024/fr" TargetMode="External"/><Relationship Id="rId14" Type="http://schemas.openxmlformats.org/officeDocument/2006/relationships/hyperlink" Target="https://www.itu.int/md/S26-CL-INF-0010/fr"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SG\PF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PF_Council26.dotx</Template>
  <TotalTime>9</TotalTime>
  <Pages>9</Pages>
  <Words>4339</Words>
  <Characters>25083</Characters>
  <Application>Microsoft Office Word</Application>
  <DocSecurity>0</DocSecurity>
  <Lines>4180</Lines>
  <Paragraphs>1548</Paragraphs>
  <ScaleCrop>false</ScaleCrop>
  <HeadingPairs>
    <vt:vector size="2" baseType="variant">
      <vt:variant>
        <vt:lpstr>Title</vt:lpstr>
      </vt:variant>
      <vt:variant>
        <vt:i4>1</vt:i4>
      </vt:variant>
    </vt:vector>
  </HeadingPairs>
  <TitlesOfParts>
    <vt:vector size="1" baseType="lpstr">
      <vt:lpstr>Compte rendu PROVISOIRE de la deuxième séance plénière</vt:lpstr>
    </vt:vector>
  </TitlesOfParts>
  <Manager>Secrétariat général - Pool</Manager>
  <Company>Union internationale des télécommunications (UIT)</Company>
  <LinksUpToDate>false</LinksUpToDate>
  <CharactersWithSpaces>27874</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deuxième séance plénière</dc:title>
  <dc:subject>Conseil 2026 de l'UIT</dc:subject>
  <cp:keywords>C26; C2026; Council 2026; PP26</cp:keywords>
  <dc:description/>
  <cp:lastPrinted>2000-07-18T08:55:00Z</cp:lastPrinted>
  <dcterms:created xsi:type="dcterms:W3CDTF">2026-08-05T11:16:00Z</dcterms:created>
  <dcterms:modified xsi:type="dcterms:W3CDTF">2026-08-05T11:47:00Z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