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E24D59" w:rsidRPr="00E24D59" w14:paraId="11E82639" w14:textId="77777777" w:rsidTr="00555C29">
        <w:trPr>
          <w:cantSplit/>
          <w:trHeight w:val="23"/>
        </w:trPr>
        <w:tc>
          <w:tcPr>
            <w:tcW w:w="3969" w:type="dxa"/>
            <w:vMerge w:val="restart"/>
            <w:tcMar>
              <w:left w:w="0" w:type="dxa"/>
            </w:tcMar>
          </w:tcPr>
          <w:p w14:paraId="3B904879" w14:textId="4D55B849" w:rsidR="00E24D59" w:rsidRPr="00E24D59" w:rsidRDefault="00E24D59" w:rsidP="00555C29">
            <w:pPr>
              <w:tabs>
                <w:tab w:val="left" w:pos="851"/>
              </w:tabs>
              <w:spacing w:before="0" w:line="240" w:lineRule="atLeast"/>
              <w:rPr>
                <w:b/>
                <w:bCs/>
              </w:rPr>
            </w:pPr>
            <w:bookmarkStart w:id="0" w:name="dmeeting" w:colFirst="0" w:colLast="0"/>
            <w:bookmarkStart w:id="1" w:name="dnum" w:colFirst="1" w:colLast="1"/>
            <w:bookmarkStart w:id="2" w:name="_Hlk133421839"/>
          </w:p>
        </w:tc>
        <w:tc>
          <w:tcPr>
            <w:tcW w:w="5245" w:type="dxa"/>
          </w:tcPr>
          <w:p w14:paraId="29392FB6" w14:textId="106C417E" w:rsidR="00E24D59" w:rsidRPr="00E24D59" w:rsidRDefault="00E24D59" w:rsidP="00555C29">
            <w:pPr>
              <w:tabs>
                <w:tab w:val="left" w:pos="851"/>
              </w:tabs>
              <w:spacing w:before="0" w:line="240" w:lineRule="atLeast"/>
              <w:jc w:val="right"/>
              <w:rPr>
                <w:b/>
                <w:lang w:val="fr-CH"/>
              </w:rPr>
            </w:pPr>
            <w:r w:rsidRPr="00E24D59">
              <w:rPr>
                <w:rFonts w:cstheme="minorHAnsi"/>
                <w:b/>
                <w:bCs/>
                <w:lang w:val="ru-RU"/>
              </w:rPr>
              <w:t>文件</w:t>
            </w:r>
            <w:r>
              <w:rPr>
                <w:rFonts w:cstheme="minorHAnsi" w:hint="eastAsia"/>
                <w:b/>
                <w:bCs/>
                <w:lang w:val="ru-RU"/>
              </w:rPr>
              <w:t xml:space="preserve"> </w:t>
            </w:r>
            <w:r w:rsidRPr="00E24D59">
              <w:rPr>
                <w:b/>
                <w:lang w:val="fr-CH"/>
              </w:rPr>
              <w:t>C2</w:t>
            </w:r>
            <w:r w:rsidR="00B91673">
              <w:rPr>
                <w:b/>
                <w:lang w:val="fr-CH"/>
              </w:rPr>
              <w:t>6</w:t>
            </w:r>
            <w:r w:rsidRPr="00E24D59">
              <w:rPr>
                <w:b/>
                <w:lang w:val="fr-CH"/>
              </w:rPr>
              <w:t>/</w:t>
            </w:r>
            <w:r w:rsidR="0023342A">
              <w:rPr>
                <w:rFonts w:hint="eastAsia"/>
                <w:b/>
                <w:lang w:val="fr-CH"/>
              </w:rPr>
              <w:t>1</w:t>
            </w:r>
            <w:r w:rsidR="005D0721">
              <w:rPr>
                <w:b/>
                <w:lang w:val="fr-CH"/>
              </w:rPr>
              <w:t>19</w:t>
            </w:r>
            <w:r w:rsidRPr="00E24D59">
              <w:rPr>
                <w:b/>
                <w:lang w:val="fr-CH"/>
              </w:rPr>
              <w:t>-C</w:t>
            </w:r>
          </w:p>
        </w:tc>
      </w:tr>
      <w:tr w:rsidR="00E24D59" w:rsidRPr="00813E5E" w14:paraId="62C75FEA" w14:textId="77777777" w:rsidTr="00555C29">
        <w:trPr>
          <w:cantSplit/>
        </w:trPr>
        <w:tc>
          <w:tcPr>
            <w:tcW w:w="3969" w:type="dxa"/>
            <w:vMerge/>
          </w:tcPr>
          <w:p w14:paraId="120F08AA" w14:textId="77777777" w:rsidR="00E24D59" w:rsidRPr="00E24D59" w:rsidRDefault="00E24D59" w:rsidP="00555C29">
            <w:pPr>
              <w:tabs>
                <w:tab w:val="left" w:pos="851"/>
              </w:tabs>
              <w:spacing w:line="240" w:lineRule="atLeast"/>
              <w:rPr>
                <w:b/>
                <w:lang w:val="fr-CH"/>
              </w:rPr>
            </w:pPr>
            <w:bookmarkStart w:id="3" w:name="ddate" w:colFirst="1" w:colLast="1"/>
            <w:bookmarkEnd w:id="0"/>
            <w:bookmarkEnd w:id="1"/>
          </w:p>
        </w:tc>
        <w:tc>
          <w:tcPr>
            <w:tcW w:w="5245" w:type="dxa"/>
          </w:tcPr>
          <w:p w14:paraId="65CC1ED3" w14:textId="36E88AB5" w:rsidR="00E24D59" w:rsidRPr="00E85629" w:rsidRDefault="0023342A" w:rsidP="00555C29">
            <w:pPr>
              <w:tabs>
                <w:tab w:val="left" w:pos="851"/>
              </w:tabs>
              <w:spacing w:before="0"/>
              <w:jc w:val="right"/>
              <w:rPr>
                <w:b/>
              </w:rPr>
            </w:pPr>
            <w:r>
              <w:rPr>
                <w:rFonts w:hint="eastAsia"/>
                <w:b/>
              </w:rPr>
              <w:t>2026</w:t>
            </w:r>
            <w:r>
              <w:rPr>
                <w:rFonts w:hint="eastAsia"/>
                <w:b/>
              </w:rPr>
              <w:t>年</w:t>
            </w:r>
            <w:r w:rsidR="00D52940">
              <w:rPr>
                <w:rFonts w:hint="eastAsia"/>
                <w:b/>
              </w:rPr>
              <w:t>8</w:t>
            </w:r>
            <w:r>
              <w:rPr>
                <w:rFonts w:hint="eastAsia"/>
                <w:b/>
              </w:rPr>
              <w:t>月</w:t>
            </w:r>
            <w:r w:rsidR="005D0721">
              <w:rPr>
                <w:b/>
              </w:rPr>
              <w:t>3</w:t>
            </w:r>
            <w:r>
              <w:rPr>
                <w:rFonts w:hint="eastAsia"/>
                <w:b/>
              </w:rPr>
              <w:t>日</w:t>
            </w:r>
          </w:p>
        </w:tc>
      </w:tr>
      <w:tr w:rsidR="00E24D59" w:rsidRPr="00813E5E" w14:paraId="0E6877EB" w14:textId="77777777" w:rsidTr="00555C29">
        <w:trPr>
          <w:cantSplit/>
          <w:trHeight w:val="23"/>
        </w:trPr>
        <w:tc>
          <w:tcPr>
            <w:tcW w:w="3969" w:type="dxa"/>
            <w:vMerge/>
          </w:tcPr>
          <w:p w14:paraId="15B776FE" w14:textId="77777777" w:rsidR="00E24D59" w:rsidRPr="00813E5E" w:rsidRDefault="00E24D59" w:rsidP="00555C29">
            <w:pPr>
              <w:tabs>
                <w:tab w:val="left" w:pos="851"/>
              </w:tabs>
              <w:spacing w:line="240" w:lineRule="atLeast"/>
              <w:rPr>
                <w:b/>
              </w:rPr>
            </w:pPr>
            <w:bookmarkStart w:id="4" w:name="dorlang" w:colFirst="1" w:colLast="1"/>
            <w:bookmarkEnd w:id="3"/>
          </w:p>
        </w:tc>
        <w:tc>
          <w:tcPr>
            <w:tcW w:w="5245" w:type="dxa"/>
          </w:tcPr>
          <w:p w14:paraId="3A5C9FBA" w14:textId="25DD1ECB" w:rsidR="00E24D59" w:rsidRPr="00E85629" w:rsidRDefault="00E24D59" w:rsidP="00555C29">
            <w:pPr>
              <w:tabs>
                <w:tab w:val="left" w:pos="851"/>
              </w:tabs>
              <w:spacing w:before="0" w:line="240" w:lineRule="atLeast"/>
              <w:jc w:val="right"/>
              <w:rPr>
                <w:b/>
              </w:rPr>
            </w:pPr>
            <w:r w:rsidRPr="00E24D59">
              <w:rPr>
                <w:rFonts w:cstheme="minorHAnsi"/>
                <w:b/>
                <w:bCs/>
                <w:lang w:val="ru-RU"/>
              </w:rPr>
              <w:t>原文：</w:t>
            </w:r>
            <w:r w:rsidR="0023342A">
              <w:rPr>
                <w:rFonts w:cstheme="minorHAnsi" w:hint="eastAsia"/>
                <w:b/>
                <w:bCs/>
                <w:lang w:val="ru-RU"/>
              </w:rPr>
              <w:t>英文</w:t>
            </w:r>
          </w:p>
        </w:tc>
      </w:tr>
      <w:tr w:rsidR="00E24D59" w:rsidRPr="00813E5E" w14:paraId="7011E57B" w14:textId="77777777" w:rsidTr="00555C29">
        <w:trPr>
          <w:cantSplit/>
          <w:trHeight w:val="23"/>
        </w:trPr>
        <w:tc>
          <w:tcPr>
            <w:tcW w:w="3969" w:type="dxa"/>
          </w:tcPr>
          <w:p w14:paraId="58CD2193" w14:textId="77777777" w:rsidR="00E24D59" w:rsidRPr="00813E5E" w:rsidRDefault="00E24D59" w:rsidP="00555C29">
            <w:pPr>
              <w:tabs>
                <w:tab w:val="left" w:pos="851"/>
              </w:tabs>
              <w:spacing w:line="240" w:lineRule="atLeast"/>
              <w:rPr>
                <w:b/>
              </w:rPr>
            </w:pPr>
          </w:p>
        </w:tc>
        <w:tc>
          <w:tcPr>
            <w:tcW w:w="5245" w:type="dxa"/>
          </w:tcPr>
          <w:p w14:paraId="508DEEE0" w14:textId="77777777" w:rsidR="00E24D59" w:rsidRDefault="00E24D59" w:rsidP="00555C29">
            <w:pPr>
              <w:tabs>
                <w:tab w:val="left" w:pos="851"/>
              </w:tabs>
              <w:spacing w:before="0" w:line="240" w:lineRule="atLeast"/>
              <w:jc w:val="right"/>
              <w:rPr>
                <w:b/>
              </w:rPr>
            </w:pPr>
          </w:p>
        </w:tc>
      </w:tr>
      <w:tr w:rsidR="00E24D59" w:rsidRPr="00813E5E" w14:paraId="2FDA8FE7" w14:textId="77777777" w:rsidTr="00555C29">
        <w:trPr>
          <w:cantSplit/>
        </w:trPr>
        <w:tc>
          <w:tcPr>
            <w:tcW w:w="9214" w:type="dxa"/>
            <w:gridSpan w:val="2"/>
            <w:tcMar>
              <w:left w:w="0" w:type="dxa"/>
            </w:tcMar>
          </w:tcPr>
          <w:p w14:paraId="49B8E8EC" w14:textId="51156A22" w:rsidR="0023342A" w:rsidRDefault="0023342A" w:rsidP="0023342A">
            <w:pPr>
              <w:pStyle w:val="Source"/>
              <w:framePr w:hSpace="0" w:wrap="auto" w:vAnchor="margin" w:hAnchor="text" w:xAlign="left" w:yAlign="inline"/>
              <w:spacing w:before="240" w:after="120"/>
              <w:jc w:val="center"/>
            </w:pPr>
            <w:bookmarkStart w:id="5" w:name="dsource" w:colFirst="0" w:colLast="0"/>
            <w:bookmarkEnd w:id="4"/>
            <w:r>
              <w:rPr>
                <w:rFonts w:hint="eastAsia"/>
              </w:rPr>
              <w:t>第</w:t>
            </w:r>
            <w:r w:rsidR="005D0721">
              <w:rPr>
                <w:rFonts w:hint="eastAsia"/>
                <w:lang w:val="en-US"/>
              </w:rPr>
              <w:t>二</w:t>
            </w:r>
            <w:r>
              <w:rPr>
                <w:rFonts w:hint="eastAsia"/>
              </w:rPr>
              <w:t>次全体会议</w:t>
            </w:r>
          </w:p>
          <w:p w14:paraId="799DA547" w14:textId="55CC78E7" w:rsidR="00E24D59" w:rsidRPr="00C24DAC" w:rsidRDefault="0023342A" w:rsidP="0023342A">
            <w:pPr>
              <w:pStyle w:val="Source"/>
              <w:framePr w:hSpace="0" w:wrap="auto" w:vAnchor="margin" w:hAnchor="text" w:xAlign="left" w:yAlign="inline"/>
              <w:spacing w:before="240" w:after="120"/>
              <w:jc w:val="center"/>
            </w:pPr>
            <w:r>
              <w:rPr>
                <w:rFonts w:hint="eastAsia"/>
              </w:rPr>
              <w:t>摘要记录</w:t>
            </w:r>
          </w:p>
        </w:tc>
      </w:tr>
      <w:tr w:rsidR="00E24D59" w:rsidRPr="00813E5E" w14:paraId="23038B65" w14:textId="77777777" w:rsidTr="00555C29">
        <w:trPr>
          <w:cantSplit/>
        </w:trPr>
        <w:tc>
          <w:tcPr>
            <w:tcW w:w="9214" w:type="dxa"/>
            <w:gridSpan w:val="2"/>
            <w:tcMar>
              <w:left w:w="0" w:type="dxa"/>
            </w:tcMar>
          </w:tcPr>
          <w:p w14:paraId="3DB2B4B9" w14:textId="37721051" w:rsidR="0023342A" w:rsidRPr="005277B0" w:rsidRDefault="0023342A" w:rsidP="0023342A">
            <w:pPr>
              <w:tabs>
                <w:tab w:val="clear" w:pos="794"/>
                <w:tab w:val="clear" w:pos="1191"/>
                <w:tab w:val="clear" w:pos="1588"/>
                <w:tab w:val="clear" w:pos="1985"/>
              </w:tabs>
              <w:overflowPunct/>
              <w:autoSpaceDE/>
              <w:autoSpaceDN/>
              <w:adjustRightInd/>
              <w:spacing w:after="240" w:line="280" w:lineRule="exact"/>
              <w:jc w:val="center"/>
              <w:textAlignment w:val="auto"/>
              <w:rPr>
                <w:szCs w:val="24"/>
                <w:highlight w:val="yellow"/>
              </w:rPr>
            </w:pPr>
            <w:bookmarkStart w:id="6" w:name="dtitle1" w:colFirst="0" w:colLast="0"/>
            <w:bookmarkEnd w:id="5"/>
            <w:r w:rsidRPr="009C3B9B">
              <w:rPr>
                <w:rFonts w:hint="eastAsia"/>
                <w:szCs w:val="24"/>
              </w:rPr>
              <w:t>202</w:t>
            </w:r>
            <w:r>
              <w:rPr>
                <w:rFonts w:hint="eastAsia"/>
                <w:szCs w:val="24"/>
              </w:rPr>
              <w:t>6</w:t>
            </w:r>
            <w:r w:rsidRPr="009C3B9B">
              <w:rPr>
                <w:rFonts w:hint="eastAsia"/>
                <w:szCs w:val="24"/>
              </w:rPr>
              <w:t>年</w:t>
            </w:r>
            <w:r w:rsidR="00C57E26">
              <w:rPr>
                <w:rFonts w:hint="eastAsia"/>
                <w:szCs w:val="24"/>
              </w:rPr>
              <w:t>4</w:t>
            </w:r>
            <w:r w:rsidRPr="009C3B9B">
              <w:rPr>
                <w:rFonts w:hint="eastAsia"/>
                <w:szCs w:val="24"/>
              </w:rPr>
              <w:t>月</w:t>
            </w:r>
            <w:r w:rsidR="005D0721">
              <w:rPr>
                <w:rFonts w:hint="eastAsia"/>
                <w:szCs w:val="24"/>
              </w:rPr>
              <w:t>29</w:t>
            </w:r>
            <w:r w:rsidRPr="009C3B9B">
              <w:rPr>
                <w:rFonts w:hint="eastAsia"/>
                <w:szCs w:val="24"/>
              </w:rPr>
              <w:t>日（星期</w:t>
            </w:r>
            <w:r w:rsidR="005D0721">
              <w:rPr>
                <w:rFonts w:hint="eastAsia"/>
                <w:szCs w:val="24"/>
              </w:rPr>
              <w:t>三</w:t>
            </w:r>
            <w:r w:rsidRPr="009C3B9B">
              <w:rPr>
                <w:rFonts w:hint="eastAsia"/>
                <w:szCs w:val="24"/>
              </w:rPr>
              <w:t>），</w:t>
            </w:r>
            <w:r w:rsidR="00AD7C70">
              <w:rPr>
                <w:color w:val="000000"/>
                <w:szCs w:val="24"/>
              </w:rPr>
              <w:t>14</w:t>
            </w:r>
            <w:r w:rsidR="00AD7C70">
              <w:rPr>
                <w:color w:val="000000"/>
                <w:szCs w:val="24"/>
                <w:lang w:val="zh-CN"/>
              </w:rPr>
              <w:t>时</w:t>
            </w:r>
            <w:r w:rsidR="00AD7C70">
              <w:rPr>
                <w:color w:val="000000"/>
                <w:szCs w:val="24"/>
              </w:rPr>
              <w:t>45</w:t>
            </w:r>
            <w:r w:rsidR="00AD7C70">
              <w:rPr>
                <w:color w:val="000000"/>
                <w:szCs w:val="24"/>
                <w:lang w:val="zh-CN"/>
              </w:rPr>
              <w:t>分至</w:t>
            </w:r>
            <w:r w:rsidR="00AD7C70">
              <w:rPr>
                <w:color w:val="000000"/>
                <w:szCs w:val="24"/>
                <w:lang w:val="zh-CN"/>
              </w:rPr>
              <w:t>1</w:t>
            </w:r>
            <w:r w:rsidR="00AD7C70">
              <w:rPr>
                <w:color w:val="000000"/>
                <w:szCs w:val="24"/>
              </w:rPr>
              <w:t>7</w:t>
            </w:r>
            <w:r w:rsidR="00AD7C70">
              <w:rPr>
                <w:color w:val="000000"/>
                <w:szCs w:val="24"/>
                <w:lang w:val="zh-CN"/>
              </w:rPr>
              <w:t>时</w:t>
            </w:r>
            <w:r w:rsidR="00AD7C70">
              <w:rPr>
                <w:color w:val="000000"/>
                <w:szCs w:val="24"/>
                <w:lang w:val="zh-CN"/>
              </w:rPr>
              <w:t>4</w:t>
            </w:r>
            <w:r w:rsidR="00AD7C70">
              <w:rPr>
                <w:color w:val="000000"/>
                <w:szCs w:val="24"/>
              </w:rPr>
              <w:t>5</w:t>
            </w:r>
            <w:r w:rsidR="00AD7C70">
              <w:rPr>
                <w:color w:val="000000"/>
                <w:szCs w:val="24"/>
                <w:lang w:val="zh-CN"/>
              </w:rPr>
              <w:t>分</w:t>
            </w:r>
          </w:p>
          <w:p w14:paraId="6ECF552D" w14:textId="18EF8659" w:rsidR="00E24D59" w:rsidRPr="00C24DAC" w:rsidRDefault="0023342A" w:rsidP="0023342A">
            <w:pPr>
              <w:pStyle w:val="Subtitle"/>
              <w:framePr w:hSpace="0" w:wrap="auto" w:vAnchor="margin" w:hAnchor="text" w:xAlign="left" w:yAlign="inline"/>
              <w:jc w:val="center"/>
            </w:pPr>
            <w:r w:rsidRPr="009C3B9B">
              <w:rPr>
                <w:rFonts w:hint="eastAsia"/>
                <w:b/>
                <w:bCs/>
                <w:color w:val="000000"/>
                <w:sz w:val="24"/>
                <w:szCs w:val="24"/>
              </w:rPr>
              <w:t>主席</w:t>
            </w:r>
            <w:r w:rsidRPr="009C3B9B">
              <w:rPr>
                <w:rFonts w:hint="eastAsia"/>
                <w:color w:val="000000"/>
                <w:sz w:val="24"/>
                <w:szCs w:val="24"/>
              </w:rPr>
              <w:t>：</w:t>
            </w:r>
            <w:r w:rsidR="006B469D" w:rsidRPr="006B469D">
              <w:rPr>
                <w:color w:val="000000"/>
                <w:sz w:val="24"/>
                <w:szCs w:val="24"/>
              </w:rPr>
              <w:t>B. Tijani</w:t>
            </w:r>
            <w:r w:rsidR="006B469D">
              <w:rPr>
                <w:rFonts w:hint="eastAsia"/>
                <w:color w:val="000000"/>
                <w:sz w:val="24"/>
                <w:szCs w:val="24"/>
              </w:rPr>
              <w:t>先生</w:t>
            </w:r>
            <w:r w:rsidRPr="009C3B9B">
              <w:rPr>
                <w:rFonts w:hint="eastAsia"/>
                <w:color w:val="000000"/>
                <w:sz w:val="24"/>
                <w:szCs w:val="24"/>
              </w:rPr>
              <w:t>（</w:t>
            </w:r>
            <w:r w:rsidR="006B469D">
              <w:rPr>
                <w:rFonts w:hint="eastAsia"/>
                <w:color w:val="000000"/>
                <w:sz w:val="24"/>
                <w:szCs w:val="24"/>
              </w:rPr>
              <w:t>尼日利亚</w:t>
            </w:r>
            <w:r w:rsidRPr="009C3B9B">
              <w:rPr>
                <w:rFonts w:hint="eastAsia"/>
                <w:color w:val="000000"/>
                <w:sz w:val="24"/>
                <w:szCs w:val="24"/>
              </w:rPr>
              <w:t>）</w:t>
            </w:r>
          </w:p>
        </w:tc>
      </w:tr>
      <w:tr w:rsidR="0023342A" w:rsidRPr="00813E5E" w14:paraId="5FD1478D" w14:textId="77777777" w:rsidTr="00555C29">
        <w:trPr>
          <w:cantSplit/>
        </w:trPr>
        <w:tc>
          <w:tcPr>
            <w:tcW w:w="9214" w:type="dxa"/>
            <w:gridSpan w:val="2"/>
            <w:tcMar>
              <w:left w:w="0" w:type="dxa"/>
            </w:tcMar>
          </w:tcPr>
          <w:tbl>
            <w:tblPr>
              <w:tblW w:w="9214" w:type="dxa"/>
              <w:tblLayout w:type="fixed"/>
              <w:tblLook w:val="04A0" w:firstRow="1" w:lastRow="0" w:firstColumn="1" w:lastColumn="0" w:noHBand="0" w:noVBand="1"/>
            </w:tblPr>
            <w:tblGrid>
              <w:gridCol w:w="446"/>
              <w:gridCol w:w="6597"/>
              <w:gridCol w:w="2171"/>
            </w:tblGrid>
            <w:tr w:rsidR="006B469D" w:rsidRPr="00CC102E" w14:paraId="5E5ACB83" w14:textId="77777777" w:rsidTr="00046D86">
              <w:tc>
                <w:tcPr>
                  <w:tcW w:w="446" w:type="dxa"/>
                </w:tcPr>
                <w:p w14:paraId="2F7966C8" w14:textId="77777777" w:rsidR="006B469D" w:rsidRPr="00CC102E" w:rsidRDefault="006B469D" w:rsidP="006B469D">
                  <w:pPr>
                    <w:framePr w:hSpace="181" w:wrap="around" w:vAnchor="page" w:hAnchor="page" w:x="1589" w:y="2314"/>
                    <w:spacing w:before="480"/>
                    <w:rPr>
                      <w:b/>
                      <w:bCs/>
                      <w:szCs w:val="24"/>
                    </w:rPr>
                  </w:pPr>
                  <w:r w:rsidRPr="00CC102E">
                    <w:rPr>
                      <w:b/>
                      <w:bCs/>
                      <w:szCs w:val="24"/>
                    </w:rPr>
                    <w:br w:type="page"/>
                  </w:r>
                  <w:r w:rsidRPr="00CC102E">
                    <w:rPr>
                      <w:b/>
                      <w:bCs/>
                      <w:szCs w:val="24"/>
                    </w:rPr>
                    <w:br w:type="page"/>
                  </w:r>
                </w:p>
              </w:tc>
              <w:tc>
                <w:tcPr>
                  <w:tcW w:w="6597" w:type="dxa"/>
                  <w:hideMark/>
                </w:tcPr>
                <w:p w14:paraId="5F68CA9D" w14:textId="3E3FA10F" w:rsidR="006B469D" w:rsidRPr="006B469D" w:rsidRDefault="006B469D" w:rsidP="006B469D">
                  <w:pPr>
                    <w:framePr w:hSpace="181" w:wrap="around" w:vAnchor="page" w:hAnchor="page" w:x="1589" w:y="2314"/>
                    <w:spacing w:before="480" w:after="120"/>
                    <w:rPr>
                      <w:b/>
                      <w:bCs/>
                      <w:szCs w:val="24"/>
                    </w:rPr>
                  </w:pPr>
                  <w:r w:rsidRPr="006B469D">
                    <w:rPr>
                      <w:rFonts w:hint="eastAsia"/>
                      <w:b/>
                      <w:bCs/>
                    </w:rPr>
                    <w:t>讨论的议题</w:t>
                  </w:r>
                </w:p>
              </w:tc>
              <w:tc>
                <w:tcPr>
                  <w:tcW w:w="2171" w:type="dxa"/>
                  <w:hideMark/>
                </w:tcPr>
                <w:p w14:paraId="5231DF92" w14:textId="2295CF2A" w:rsidR="006B469D" w:rsidRPr="006B469D" w:rsidRDefault="006B469D" w:rsidP="006B469D">
                  <w:pPr>
                    <w:framePr w:hSpace="181" w:wrap="around" w:vAnchor="page" w:hAnchor="page" w:x="1589" w:y="2314"/>
                    <w:spacing w:before="480"/>
                    <w:jc w:val="center"/>
                    <w:rPr>
                      <w:b/>
                      <w:bCs/>
                      <w:szCs w:val="24"/>
                    </w:rPr>
                  </w:pPr>
                  <w:r w:rsidRPr="006B469D">
                    <w:rPr>
                      <w:rFonts w:hint="eastAsia"/>
                      <w:b/>
                      <w:bCs/>
                    </w:rPr>
                    <w:t>文件</w:t>
                  </w:r>
                </w:p>
              </w:tc>
            </w:tr>
            <w:tr w:rsidR="005D0721" w:rsidRPr="00CC102E" w14:paraId="25C7F78C" w14:textId="77777777" w:rsidTr="00046D86">
              <w:trPr>
                <w:trHeight w:val="20"/>
              </w:trPr>
              <w:tc>
                <w:tcPr>
                  <w:tcW w:w="446" w:type="dxa"/>
                  <w:hideMark/>
                </w:tcPr>
                <w:p w14:paraId="5C3E5ADF" w14:textId="77777777" w:rsidR="005D0721" w:rsidRPr="00CC102E" w:rsidRDefault="005D0721" w:rsidP="005D0721">
                  <w:pPr>
                    <w:framePr w:hSpace="181" w:wrap="around" w:vAnchor="page" w:hAnchor="page" w:x="1589" w:y="2314"/>
                    <w:spacing w:before="80" w:after="80"/>
                    <w:rPr>
                      <w:sz w:val="22"/>
                      <w:szCs w:val="22"/>
                    </w:rPr>
                  </w:pPr>
                  <w:r w:rsidRPr="00CC102E">
                    <w:rPr>
                      <w:sz w:val="22"/>
                      <w:szCs w:val="22"/>
                    </w:rPr>
                    <w:t>1</w:t>
                  </w:r>
                </w:p>
              </w:tc>
              <w:tc>
                <w:tcPr>
                  <w:tcW w:w="6597" w:type="dxa"/>
                </w:tcPr>
                <w:p w14:paraId="5F3107A2" w14:textId="59D426DC" w:rsidR="005D0721" w:rsidRPr="00CC102E" w:rsidRDefault="005D0721" w:rsidP="005D0721">
                  <w:pPr>
                    <w:framePr w:hSpace="181" w:wrap="around" w:vAnchor="page" w:hAnchor="page" w:x="1589" w:y="2314"/>
                    <w:spacing w:before="80" w:after="80"/>
                    <w:rPr>
                      <w:sz w:val="22"/>
                      <w:szCs w:val="22"/>
                    </w:rPr>
                  </w:pPr>
                  <w:r>
                    <w:rPr>
                      <w:color w:val="000000"/>
                      <w:szCs w:val="24"/>
                      <w:lang w:val="zh-CN"/>
                    </w:rPr>
                    <w:t>加强国际电联区域代表性</w:t>
                  </w:r>
                </w:p>
              </w:tc>
              <w:tc>
                <w:tcPr>
                  <w:tcW w:w="2171" w:type="dxa"/>
                </w:tcPr>
                <w:p w14:paraId="76FEBDE5" w14:textId="4D09C442" w:rsidR="005D0721" w:rsidRPr="00CC102E" w:rsidRDefault="005D0721" w:rsidP="005D0721">
                  <w:pPr>
                    <w:framePr w:hSpace="181" w:wrap="around" w:vAnchor="page" w:hAnchor="page" w:x="1589" w:y="2314"/>
                    <w:spacing w:before="80" w:after="80"/>
                    <w:jc w:val="center"/>
                    <w:rPr>
                      <w:sz w:val="22"/>
                      <w:szCs w:val="22"/>
                    </w:rPr>
                  </w:pPr>
                  <w:hyperlink r:id="rId8" w:history="1">
                    <w:r w:rsidRPr="00EF34AB">
                      <w:rPr>
                        <w:rStyle w:val="Hyperlink"/>
                        <w:rFonts w:eastAsia="SimSun"/>
                        <w:szCs w:val="24"/>
                      </w:rPr>
                      <w:t>C26/25</w:t>
                    </w:r>
                  </w:hyperlink>
                </w:p>
              </w:tc>
            </w:tr>
            <w:tr w:rsidR="005D0721" w:rsidRPr="00CC102E" w14:paraId="6CE2B655" w14:textId="77777777" w:rsidTr="002535AF">
              <w:trPr>
                <w:trHeight w:val="20"/>
              </w:trPr>
              <w:tc>
                <w:tcPr>
                  <w:tcW w:w="446" w:type="dxa"/>
                </w:tcPr>
                <w:p w14:paraId="03708B5B" w14:textId="77777777" w:rsidR="005D0721" w:rsidRPr="00CC102E" w:rsidRDefault="005D0721" w:rsidP="005D0721">
                  <w:pPr>
                    <w:framePr w:hSpace="181" w:wrap="around" w:vAnchor="page" w:hAnchor="page" w:x="1589" w:y="2314"/>
                    <w:spacing w:before="80" w:after="80"/>
                    <w:rPr>
                      <w:sz w:val="22"/>
                      <w:szCs w:val="22"/>
                    </w:rPr>
                  </w:pPr>
                  <w:r w:rsidRPr="00CC102E">
                    <w:rPr>
                      <w:sz w:val="22"/>
                      <w:szCs w:val="22"/>
                    </w:rPr>
                    <w:t>2</w:t>
                  </w:r>
                </w:p>
              </w:tc>
              <w:tc>
                <w:tcPr>
                  <w:tcW w:w="6597" w:type="dxa"/>
                </w:tcPr>
                <w:p w14:paraId="0F9EDF34" w14:textId="3F40A317" w:rsidR="005D0721" w:rsidRPr="00C3464C" w:rsidRDefault="005D0721" w:rsidP="005D0721">
                  <w:pPr>
                    <w:framePr w:hSpace="181" w:wrap="around" w:vAnchor="page" w:hAnchor="page" w:x="1589" w:y="2314"/>
                    <w:spacing w:before="80" w:after="80"/>
                    <w:rPr>
                      <w:szCs w:val="24"/>
                    </w:rPr>
                  </w:pPr>
                  <w:r>
                    <w:rPr>
                      <w:color w:val="000000"/>
                      <w:szCs w:val="24"/>
                      <w:lang w:val="zh-CN"/>
                    </w:rPr>
                    <w:t>关于在太平洋地区设立国际电联地区办事处的提案</w:t>
                  </w:r>
                </w:p>
              </w:tc>
              <w:tc>
                <w:tcPr>
                  <w:tcW w:w="2171" w:type="dxa"/>
                </w:tcPr>
                <w:p w14:paraId="5CE589C2" w14:textId="5C616FAF" w:rsidR="005D0721" w:rsidRPr="00CC102E" w:rsidRDefault="005D0721" w:rsidP="005D0721">
                  <w:pPr>
                    <w:framePr w:hSpace="181" w:wrap="around" w:vAnchor="page" w:hAnchor="page" w:x="1589" w:y="2314"/>
                    <w:spacing w:before="80" w:after="80"/>
                    <w:jc w:val="center"/>
                    <w:rPr>
                      <w:sz w:val="22"/>
                      <w:szCs w:val="22"/>
                    </w:rPr>
                  </w:pPr>
                  <w:hyperlink r:id="rId9" w:history="1">
                    <w:r w:rsidRPr="00EF34AB">
                      <w:rPr>
                        <w:rStyle w:val="Hyperlink"/>
                        <w:rFonts w:eastAsia="SimSun"/>
                        <w:szCs w:val="24"/>
                      </w:rPr>
                      <w:t>C26/85</w:t>
                    </w:r>
                  </w:hyperlink>
                </w:p>
              </w:tc>
            </w:tr>
            <w:tr w:rsidR="005D0721" w:rsidRPr="00CC102E" w14:paraId="4FBD7071" w14:textId="77777777" w:rsidTr="00046D86">
              <w:trPr>
                <w:trHeight w:val="20"/>
              </w:trPr>
              <w:tc>
                <w:tcPr>
                  <w:tcW w:w="446" w:type="dxa"/>
                </w:tcPr>
                <w:p w14:paraId="5079D96F" w14:textId="77777777" w:rsidR="005D0721" w:rsidRPr="00CC102E" w:rsidRDefault="005D0721" w:rsidP="005D0721">
                  <w:pPr>
                    <w:framePr w:hSpace="181" w:wrap="around" w:vAnchor="page" w:hAnchor="page" w:x="1589" w:y="2314"/>
                    <w:spacing w:before="80" w:after="80"/>
                    <w:rPr>
                      <w:sz w:val="22"/>
                      <w:szCs w:val="22"/>
                    </w:rPr>
                  </w:pPr>
                  <w:r w:rsidRPr="00CC102E">
                    <w:rPr>
                      <w:sz w:val="22"/>
                      <w:szCs w:val="22"/>
                    </w:rPr>
                    <w:t>3</w:t>
                  </w:r>
                </w:p>
              </w:tc>
              <w:tc>
                <w:tcPr>
                  <w:tcW w:w="6597" w:type="dxa"/>
                </w:tcPr>
                <w:p w14:paraId="6D974938" w14:textId="11F1EFE0" w:rsidR="005D0721" w:rsidRPr="00CC102E" w:rsidRDefault="005D0721" w:rsidP="005D0721">
                  <w:pPr>
                    <w:framePr w:hSpace="181" w:wrap="around" w:vAnchor="page" w:hAnchor="page" w:x="1589" w:y="2314"/>
                    <w:spacing w:before="80" w:after="80"/>
                    <w:rPr>
                      <w:sz w:val="22"/>
                      <w:szCs w:val="22"/>
                    </w:rPr>
                  </w:pPr>
                  <w:r>
                    <w:rPr>
                      <w:color w:val="000000"/>
                      <w:szCs w:val="24"/>
                      <w:lang w:val="zh-CN"/>
                    </w:rPr>
                    <w:t>审查国际电联区域代表性</w:t>
                  </w:r>
                </w:p>
              </w:tc>
              <w:tc>
                <w:tcPr>
                  <w:tcW w:w="2171" w:type="dxa"/>
                </w:tcPr>
                <w:p w14:paraId="5FE0D7A3" w14:textId="62C8B72F" w:rsidR="005D0721" w:rsidRPr="00CC102E" w:rsidRDefault="005D0721" w:rsidP="005D0721">
                  <w:pPr>
                    <w:framePr w:hSpace="181" w:wrap="around" w:vAnchor="page" w:hAnchor="page" w:x="1589" w:y="2314"/>
                    <w:spacing w:before="80" w:after="80"/>
                    <w:jc w:val="center"/>
                    <w:rPr>
                      <w:sz w:val="22"/>
                      <w:szCs w:val="22"/>
                    </w:rPr>
                  </w:pPr>
                  <w:hyperlink r:id="rId10" w:history="1">
                    <w:r w:rsidRPr="00EF34AB">
                      <w:rPr>
                        <w:rStyle w:val="Hyperlink"/>
                        <w:rFonts w:eastAsia="SimSun"/>
                        <w:szCs w:val="24"/>
                      </w:rPr>
                      <w:t>C26/24</w:t>
                    </w:r>
                  </w:hyperlink>
                  <w:r>
                    <w:rPr>
                      <w:rFonts w:hint="eastAsia"/>
                      <w:szCs w:val="24"/>
                    </w:rPr>
                    <w:t>、</w:t>
                  </w:r>
                  <w:hyperlink r:id="rId11" w:history="1">
                    <w:r w:rsidRPr="00EF34AB">
                      <w:rPr>
                        <w:rStyle w:val="Hyperlink"/>
                        <w:rFonts w:eastAsia="SimSun"/>
                        <w:szCs w:val="24"/>
                      </w:rPr>
                      <w:t>C26/108</w:t>
                    </w:r>
                  </w:hyperlink>
                </w:p>
              </w:tc>
            </w:tr>
            <w:tr w:rsidR="005D0721" w:rsidRPr="00CC102E" w14:paraId="7DC684F9" w14:textId="77777777" w:rsidTr="00046D86">
              <w:trPr>
                <w:trHeight w:val="20"/>
              </w:trPr>
              <w:tc>
                <w:tcPr>
                  <w:tcW w:w="446" w:type="dxa"/>
                </w:tcPr>
                <w:p w14:paraId="318F6BEE" w14:textId="77777777" w:rsidR="005D0721" w:rsidRPr="00CC102E" w:rsidRDefault="005D0721" w:rsidP="005D0721">
                  <w:pPr>
                    <w:framePr w:hSpace="181" w:wrap="around" w:vAnchor="page" w:hAnchor="page" w:x="1589" w:y="2314"/>
                    <w:spacing w:before="80" w:after="80"/>
                    <w:rPr>
                      <w:sz w:val="22"/>
                      <w:szCs w:val="22"/>
                    </w:rPr>
                  </w:pPr>
                  <w:r w:rsidRPr="00CC102E">
                    <w:rPr>
                      <w:sz w:val="22"/>
                      <w:szCs w:val="22"/>
                    </w:rPr>
                    <w:t>4</w:t>
                  </w:r>
                </w:p>
              </w:tc>
              <w:tc>
                <w:tcPr>
                  <w:tcW w:w="6597" w:type="dxa"/>
                </w:tcPr>
                <w:p w14:paraId="662C4ADF" w14:textId="2CEE47BF" w:rsidR="005D0721" w:rsidRPr="00CC102E" w:rsidRDefault="005D0721" w:rsidP="005D0721">
                  <w:pPr>
                    <w:framePr w:hSpace="181" w:wrap="around" w:vAnchor="page" w:hAnchor="page" w:x="1589" w:y="2314"/>
                    <w:spacing w:before="80" w:after="80"/>
                  </w:pPr>
                  <w:r>
                    <w:rPr>
                      <w:color w:val="000000"/>
                      <w:szCs w:val="24"/>
                      <w:lang w:val="zh-CN"/>
                    </w:rPr>
                    <w:t>关于世界电信发展大会（</w:t>
                  </w:r>
                  <w:r>
                    <w:rPr>
                      <w:color w:val="000000"/>
                      <w:szCs w:val="24"/>
                    </w:rPr>
                    <w:t>2025</w:t>
                  </w:r>
                  <w:r>
                    <w:rPr>
                      <w:rFonts w:eastAsiaTheme="minorEastAsia" w:hint="eastAsia"/>
                      <w:color w:val="000000"/>
                      <w:szCs w:val="24"/>
                    </w:rPr>
                    <w:t>年，巴库</w:t>
                  </w:r>
                  <w:r>
                    <w:rPr>
                      <w:color w:val="000000"/>
                      <w:szCs w:val="24"/>
                      <w:lang w:val="zh-CN"/>
                    </w:rPr>
                    <w:t>）的报告</w:t>
                  </w:r>
                </w:p>
              </w:tc>
              <w:tc>
                <w:tcPr>
                  <w:tcW w:w="2171" w:type="dxa"/>
                </w:tcPr>
                <w:p w14:paraId="4C413CCE" w14:textId="46E30D30" w:rsidR="005D0721" w:rsidRPr="00CC102E" w:rsidRDefault="005D0721" w:rsidP="005D0721">
                  <w:pPr>
                    <w:framePr w:hSpace="181" w:wrap="around" w:vAnchor="page" w:hAnchor="page" w:x="1589" w:y="2314"/>
                    <w:spacing w:before="80" w:after="80"/>
                    <w:jc w:val="center"/>
                    <w:rPr>
                      <w:sz w:val="22"/>
                      <w:szCs w:val="22"/>
                    </w:rPr>
                  </w:pPr>
                  <w:hyperlink r:id="rId12" w:history="1">
                    <w:r w:rsidRPr="00EF34AB">
                      <w:rPr>
                        <w:rStyle w:val="Hyperlink"/>
                        <w:rFonts w:eastAsia="SimSun"/>
                        <w:szCs w:val="24"/>
                      </w:rPr>
                      <w:t>C26/30</w:t>
                    </w:r>
                  </w:hyperlink>
                </w:p>
              </w:tc>
            </w:tr>
            <w:tr w:rsidR="005D0721" w:rsidRPr="00CC102E" w14:paraId="49F86C31" w14:textId="77777777" w:rsidTr="00046D86">
              <w:trPr>
                <w:trHeight w:val="20"/>
              </w:trPr>
              <w:tc>
                <w:tcPr>
                  <w:tcW w:w="446" w:type="dxa"/>
                </w:tcPr>
                <w:p w14:paraId="43E83201" w14:textId="77777777" w:rsidR="005D0721" w:rsidRPr="00CC102E" w:rsidRDefault="005D0721" w:rsidP="005D0721">
                  <w:pPr>
                    <w:framePr w:hSpace="181" w:wrap="around" w:vAnchor="page" w:hAnchor="page" w:x="1589" w:y="2314"/>
                    <w:spacing w:before="80" w:after="80"/>
                    <w:rPr>
                      <w:sz w:val="22"/>
                      <w:szCs w:val="22"/>
                    </w:rPr>
                  </w:pPr>
                  <w:r w:rsidRPr="00CC102E">
                    <w:rPr>
                      <w:sz w:val="22"/>
                      <w:szCs w:val="22"/>
                    </w:rPr>
                    <w:t>5</w:t>
                  </w:r>
                </w:p>
              </w:tc>
              <w:tc>
                <w:tcPr>
                  <w:tcW w:w="6597" w:type="dxa"/>
                </w:tcPr>
                <w:p w14:paraId="3DD3196B" w14:textId="6818FB5E" w:rsidR="005D0721" w:rsidRPr="00CC102E" w:rsidRDefault="005D0721" w:rsidP="005D0721">
                  <w:pPr>
                    <w:framePr w:hSpace="181" w:wrap="around" w:vAnchor="page" w:hAnchor="page" w:x="1589" w:y="2314"/>
                    <w:spacing w:before="80" w:after="80"/>
                  </w:pPr>
                  <w:r>
                    <w:rPr>
                      <w:color w:val="000000"/>
                      <w:szCs w:val="24"/>
                      <w:lang w:val="zh-CN"/>
                    </w:rPr>
                    <w:t>理事和观察员的</w:t>
                  </w:r>
                  <w:r w:rsidRPr="005906D0">
                    <w:rPr>
                      <w:rFonts w:ascii="SimSun" w:hAnsi="SimSun" w:cs="Microsoft YaHei" w:hint="eastAsia"/>
                      <w:color w:val="000000"/>
                      <w:szCs w:val="24"/>
                      <w:lang w:val="zh-CN"/>
                    </w:rPr>
                    <w:t>声明</w:t>
                  </w:r>
                </w:p>
              </w:tc>
              <w:tc>
                <w:tcPr>
                  <w:tcW w:w="2171" w:type="dxa"/>
                </w:tcPr>
                <w:p w14:paraId="6682FB88" w14:textId="66FCAF16" w:rsidR="005D0721" w:rsidRPr="00CC102E" w:rsidRDefault="005D0721" w:rsidP="005D0721">
                  <w:pPr>
                    <w:framePr w:hSpace="181" w:wrap="around" w:vAnchor="page" w:hAnchor="page" w:x="1589" w:y="2314"/>
                    <w:spacing w:before="80" w:after="80"/>
                    <w:jc w:val="center"/>
                    <w:rPr>
                      <w:sz w:val="22"/>
                      <w:szCs w:val="22"/>
                    </w:rPr>
                  </w:pPr>
                  <w:r>
                    <w:rPr>
                      <w:color w:val="000000"/>
                      <w:szCs w:val="24"/>
                      <w:lang w:val="zh-CN"/>
                    </w:rPr>
                    <w:t>–</w:t>
                  </w:r>
                </w:p>
              </w:tc>
            </w:tr>
          </w:tbl>
          <w:p w14:paraId="03BC09D1" w14:textId="77777777" w:rsidR="0023342A" w:rsidRPr="009C3B9B" w:rsidRDefault="0023342A" w:rsidP="0023342A">
            <w:pPr>
              <w:tabs>
                <w:tab w:val="clear" w:pos="794"/>
                <w:tab w:val="clear" w:pos="1191"/>
                <w:tab w:val="clear" w:pos="1588"/>
                <w:tab w:val="clear" w:pos="1985"/>
              </w:tabs>
              <w:overflowPunct/>
              <w:autoSpaceDE/>
              <w:autoSpaceDN/>
              <w:adjustRightInd/>
              <w:spacing w:after="240" w:line="280" w:lineRule="exact"/>
              <w:jc w:val="center"/>
              <w:textAlignment w:val="auto"/>
              <w:rPr>
                <w:szCs w:val="24"/>
              </w:rPr>
            </w:pPr>
          </w:p>
        </w:tc>
      </w:tr>
      <w:bookmarkEnd w:id="2"/>
      <w:bookmarkEnd w:id="6"/>
    </w:tbl>
    <w:p w14:paraId="7FDDFD3E" w14:textId="77777777" w:rsidR="00E24D59" w:rsidRDefault="00E24D59">
      <w:pPr>
        <w:tabs>
          <w:tab w:val="clear" w:pos="794"/>
          <w:tab w:val="clear" w:pos="1191"/>
          <w:tab w:val="clear" w:pos="1588"/>
          <w:tab w:val="clear" w:pos="1985"/>
        </w:tabs>
        <w:overflowPunct/>
        <w:autoSpaceDE/>
        <w:autoSpaceDN/>
        <w:adjustRightInd/>
        <w:spacing w:before="0"/>
        <w:textAlignment w:val="auto"/>
      </w:pPr>
      <w:r>
        <w:br w:type="page"/>
      </w:r>
    </w:p>
    <w:p w14:paraId="2E3B5062" w14:textId="77777777" w:rsidR="005D0721" w:rsidRPr="00EF34AB" w:rsidRDefault="005D0721" w:rsidP="005D0721">
      <w:pPr>
        <w:pStyle w:val="Heading1"/>
        <w:rPr>
          <w:szCs w:val="28"/>
        </w:rPr>
      </w:pPr>
      <w:r>
        <w:rPr>
          <w:bCs/>
          <w:szCs w:val="28"/>
          <w:lang w:val="zh-CN"/>
        </w:rPr>
        <w:lastRenderedPageBreak/>
        <w:t>1</w:t>
      </w:r>
      <w:r>
        <w:rPr>
          <w:bCs/>
          <w:szCs w:val="28"/>
          <w:lang w:val="zh-CN"/>
        </w:rPr>
        <w:tab/>
      </w:r>
      <w:r w:rsidRPr="005906D0">
        <w:rPr>
          <w:szCs w:val="28"/>
          <w:lang w:val="zh-CN"/>
        </w:rPr>
        <w:t>加强国际电联区域代表性</w:t>
      </w:r>
      <w:r>
        <w:rPr>
          <w:szCs w:val="28"/>
          <w:lang w:val="zh-CN"/>
        </w:rPr>
        <w:t>（</w:t>
      </w:r>
      <w:hyperlink r:id="rId13" w:history="1">
        <w:r w:rsidRPr="00EF34AB">
          <w:rPr>
            <w:rStyle w:val="Hyperlink"/>
            <w:rFonts w:eastAsia="SimSun"/>
            <w:szCs w:val="28"/>
          </w:rPr>
          <w:t>C26/25</w:t>
        </w:r>
      </w:hyperlink>
      <w:r>
        <w:rPr>
          <w:szCs w:val="28"/>
          <w:lang w:val="zh-CN"/>
        </w:rPr>
        <w:t>号文件）</w:t>
      </w:r>
      <w:hyperlink r:id="rId14" w:history="1"/>
    </w:p>
    <w:p w14:paraId="34879745" w14:textId="19E7D23E" w:rsidR="005D0721" w:rsidRPr="00FC3BA0" w:rsidRDefault="005D0721" w:rsidP="0087719E">
      <w:pPr>
        <w:jc w:val="both"/>
        <w:rPr>
          <w:spacing w:val="-2"/>
        </w:rPr>
      </w:pPr>
      <w:r>
        <w:rPr>
          <w:lang w:val="zh-CN"/>
        </w:rPr>
        <w:t>1.1</w:t>
      </w:r>
      <w:r>
        <w:rPr>
          <w:lang w:val="zh-CN"/>
        </w:rPr>
        <w:tab/>
      </w:r>
      <w:r>
        <w:rPr>
          <w:lang w:val="zh-CN"/>
        </w:rPr>
        <w:t>电信发展局（</w:t>
      </w:r>
      <w:r>
        <w:rPr>
          <w:lang w:val="zh-CN"/>
        </w:rPr>
        <w:t>BDT</w:t>
      </w:r>
      <w:r>
        <w:rPr>
          <w:lang w:val="zh-CN"/>
        </w:rPr>
        <w:t>）副主任介绍了</w:t>
      </w:r>
      <w:r>
        <w:rPr>
          <w:lang w:val="zh-CN"/>
        </w:rPr>
        <w:t>C26/25</w:t>
      </w:r>
      <w:r>
        <w:rPr>
          <w:lang w:val="zh-CN"/>
        </w:rPr>
        <w:t>号文件，该文件报告了国际电联区域代表处对履行国际电联职责的贡献，以及为落实国际电联战略规划、《基加利行动计划》（</w:t>
      </w:r>
      <w:r>
        <w:rPr>
          <w:lang w:val="zh-CN"/>
        </w:rPr>
        <w:t>KAP</w:t>
      </w:r>
      <w:r>
        <w:rPr>
          <w:lang w:val="zh-CN"/>
        </w:rPr>
        <w:t>）、《巴库行动计划》（</w:t>
      </w:r>
      <w:r>
        <w:rPr>
          <w:lang w:val="zh-CN"/>
        </w:rPr>
        <w:t>BAP</w:t>
      </w:r>
      <w:r>
        <w:rPr>
          <w:lang w:val="zh-CN"/>
        </w:rPr>
        <w:t>）和</w:t>
      </w:r>
      <w:r>
        <w:rPr>
          <w:rFonts w:hint="eastAsia"/>
          <w:lang w:val="zh-CN"/>
        </w:rPr>
        <w:t>各项</w:t>
      </w:r>
      <w:r>
        <w:rPr>
          <w:lang w:val="zh-CN"/>
        </w:rPr>
        <w:t>区域性举措而开展的区域性工作。文件重点介绍了区域代表处和地区办事处</w:t>
      </w:r>
      <w:r>
        <w:rPr>
          <w:rFonts w:hint="eastAsia"/>
          <w:lang w:val="zh-CN"/>
        </w:rPr>
        <w:t>为</w:t>
      </w:r>
      <w:r>
        <w:rPr>
          <w:lang w:val="zh-CN"/>
        </w:rPr>
        <w:t>支持所有三个部门</w:t>
      </w:r>
      <w:r>
        <w:rPr>
          <w:rFonts w:hint="eastAsia"/>
          <w:lang w:val="zh-CN"/>
        </w:rPr>
        <w:t>而开展</w:t>
      </w:r>
      <w:r>
        <w:rPr>
          <w:lang w:val="zh-CN"/>
        </w:rPr>
        <w:t>的活动。她表示，计划在</w:t>
      </w:r>
      <w:r>
        <w:rPr>
          <w:lang w:val="zh-CN"/>
        </w:rPr>
        <w:t>2026</w:t>
      </w:r>
      <w:r>
        <w:rPr>
          <w:lang w:val="zh-CN"/>
        </w:rPr>
        <w:t>年举行六个区域发展论坛，以支持建立伙伴关系和实施</w:t>
      </w:r>
      <w:r>
        <w:rPr>
          <w:lang w:val="zh-CN"/>
        </w:rPr>
        <w:t>BAP</w:t>
      </w:r>
      <w:r>
        <w:rPr>
          <w:lang w:val="zh-CN"/>
        </w:rPr>
        <w:t>。区域代表处和地区办事处在落实</w:t>
      </w:r>
      <w:r>
        <w:rPr>
          <w:lang w:val="zh-CN"/>
        </w:rPr>
        <w:t>ITU-D</w:t>
      </w:r>
      <w:r>
        <w:rPr>
          <w:lang w:val="zh-CN"/>
        </w:rPr>
        <w:t>运作规划、为</w:t>
      </w:r>
      <w:r>
        <w:rPr>
          <w:lang w:val="zh-CN"/>
        </w:rPr>
        <w:t>130</w:t>
      </w:r>
      <w:r>
        <w:rPr>
          <w:lang w:val="zh-CN"/>
        </w:rPr>
        <w:t>项现行行动做出贡献以及与总部合作进行规划、预算</w:t>
      </w:r>
      <w:r>
        <w:rPr>
          <w:rFonts w:hint="eastAsia"/>
          <w:lang w:val="zh-CN"/>
        </w:rPr>
        <w:t>编制</w:t>
      </w:r>
      <w:r>
        <w:rPr>
          <w:lang w:val="zh-CN"/>
        </w:rPr>
        <w:t>、监测和评估方面发挥着核心作用。</w:t>
      </w:r>
      <w:r>
        <w:rPr>
          <w:lang w:val="zh-CN"/>
        </w:rPr>
        <w:t>WTDC-22</w:t>
      </w:r>
      <w:r>
        <w:rPr>
          <w:lang w:val="zh-CN"/>
        </w:rPr>
        <w:t>之后，电信发展局筹措了预算外资源，在《基加利行动计划》三年期内制定并实施了</w:t>
      </w:r>
      <w:r>
        <w:rPr>
          <w:lang w:val="zh-CN"/>
        </w:rPr>
        <w:t>91</w:t>
      </w:r>
      <w:r>
        <w:rPr>
          <w:lang w:val="zh-CN"/>
        </w:rPr>
        <w:t>个项目，筹集了</w:t>
      </w:r>
      <w:r>
        <w:rPr>
          <w:lang w:val="zh-CN"/>
        </w:rPr>
        <w:t>5</w:t>
      </w:r>
      <w:r w:rsidR="00AD7C70">
        <w:rPr>
          <w:lang w:val="en-US"/>
        </w:rPr>
        <w:t> </w:t>
      </w:r>
      <w:r>
        <w:rPr>
          <w:lang w:val="zh-CN"/>
        </w:rPr>
        <w:t>100</w:t>
      </w:r>
      <w:r>
        <w:rPr>
          <w:lang w:val="zh-CN"/>
        </w:rPr>
        <w:t>万瑞郎，这有助于落实各项重点工作和区域性举措，以满足各区域的特殊需求。强有力的协作产生了跨部门的影响，包括在频谱管理、灾害响应、人工智能（</w:t>
      </w:r>
      <w:r>
        <w:rPr>
          <w:lang w:val="zh-CN"/>
        </w:rPr>
        <w:t>AI</w:t>
      </w:r>
      <w:r>
        <w:rPr>
          <w:lang w:val="zh-CN"/>
        </w:rPr>
        <w:t>）、网络安全、智慧城市和社区以及早期预警系统方面。根据理事会</w:t>
      </w:r>
      <w:r>
        <w:rPr>
          <w:lang w:val="zh-CN"/>
        </w:rPr>
        <w:t>2025</w:t>
      </w:r>
      <w:r>
        <w:rPr>
          <w:lang w:val="zh-CN"/>
        </w:rPr>
        <w:t>年会议（</w:t>
      </w:r>
      <w:r w:rsidRPr="6EC04E12">
        <w:t>Council</w:t>
      </w:r>
      <w:r w:rsidRPr="001F39C6">
        <w:noBreakHyphen/>
      </w:r>
      <w:r w:rsidRPr="6EC04E12">
        <w:t>25</w:t>
      </w:r>
      <w:r>
        <w:rPr>
          <w:lang w:val="zh-CN"/>
        </w:rPr>
        <w:t>）的建议，</w:t>
      </w:r>
      <w:r>
        <w:rPr>
          <w:lang w:val="zh-CN"/>
        </w:rPr>
        <w:t>C26/24</w:t>
      </w:r>
      <w:r>
        <w:rPr>
          <w:lang w:val="zh-CN"/>
        </w:rPr>
        <w:t>号文件介绍了秘书处对区域代表处进行的全面审查。</w:t>
      </w:r>
    </w:p>
    <w:p w14:paraId="50C2F979" w14:textId="77777777" w:rsidR="005D0721" w:rsidRDefault="005D0721" w:rsidP="0087719E">
      <w:pPr>
        <w:jc w:val="both"/>
        <w:rPr>
          <w:lang w:val="zh-CN"/>
        </w:rPr>
      </w:pPr>
      <w:r>
        <w:rPr>
          <w:lang w:val="zh-CN"/>
        </w:rPr>
        <w:t>1.2</w:t>
      </w:r>
      <w:r>
        <w:rPr>
          <w:lang w:val="zh-CN"/>
        </w:rPr>
        <w:tab/>
      </w:r>
      <w:r>
        <w:rPr>
          <w:lang w:val="zh-CN"/>
        </w:rPr>
        <w:t>理事和观察员对</w:t>
      </w:r>
      <w:r>
        <w:rPr>
          <w:lang w:val="zh-CN"/>
        </w:rPr>
        <w:t>C26/25</w:t>
      </w:r>
      <w:r>
        <w:rPr>
          <w:lang w:val="zh-CN"/>
        </w:rPr>
        <w:t>号文件表示赞赏，指出</w:t>
      </w:r>
      <w:r>
        <w:t>该文件侧重于基于证据的报告，并提供了</w:t>
      </w:r>
      <w:r>
        <w:rPr>
          <w:lang w:val="zh-CN"/>
        </w:rPr>
        <w:t>关于技术援助、能力建设、项目实施和各部门之间</w:t>
      </w:r>
      <w:r>
        <w:rPr>
          <w:rFonts w:hint="eastAsia"/>
          <w:lang w:val="zh-CN"/>
        </w:rPr>
        <w:t>协</w:t>
      </w:r>
      <w:r>
        <w:rPr>
          <w:lang w:val="zh-CN"/>
        </w:rPr>
        <w:t>作的信息。他们强调了区域代表处和地区办事处为支持区域性举措和国家项目以及国际电联大会和全会而开展的重要工作。确保国际电联对不断变化的数字格局和成员国，特别是发展中国家的需求保持响应至关重要。一位理事表示，所提供的证据表明，强有力的区域架构不仅在运作上</w:t>
      </w:r>
      <w:r>
        <w:t>具有现实意义</w:t>
      </w:r>
      <w:r>
        <w:rPr>
          <w:lang w:val="zh-CN"/>
        </w:rPr>
        <w:t>，而且在战略上也不可或缺。几位理事表示，优先事项应包括加强区域合作平台、加强新兴技术的能力建设、深化与区域组织的合作、技术援助、项目实施以及加强协调机制，以促进政府、行业发展合作伙伴和其他利益攸关方之间的伙伴关系和资源</w:t>
      </w:r>
      <w:r>
        <w:rPr>
          <w:rFonts w:hint="eastAsia"/>
          <w:lang w:val="zh-CN"/>
        </w:rPr>
        <w:t>筹措</w:t>
      </w:r>
      <w:r>
        <w:rPr>
          <w:lang w:val="zh-CN"/>
        </w:rPr>
        <w:t>，特别是在支持发展中国家方面。</w:t>
      </w:r>
    </w:p>
    <w:p w14:paraId="62E974C4" w14:textId="77777777" w:rsidR="005D0721" w:rsidRPr="00EF34AB" w:rsidRDefault="005D0721" w:rsidP="0087719E">
      <w:pPr>
        <w:jc w:val="both"/>
      </w:pPr>
      <w:r>
        <w:rPr>
          <w:lang w:val="zh-CN"/>
        </w:rPr>
        <w:t>1.3</w:t>
      </w:r>
      <w:r>
        <w:rPr>
          <w:lang w:val="zh-CN"/>
        </w:rPr>
        <w:tab/>
      </w:r>
      <w:r>
        <w:rPr>
          <w:lang w:val="zh-CN"/>
        </w:rPr>
        <w:t>几位理事表示，该报告本可以包含对加强区域代表处作用的结构</w:t>
      </w:r>
      <w:r>
        <w:t>性</w:t>
      </w:r>
      <w:r>
        <w:rPr>
          <w:lang w:val="zh-CN"/>
        </w:rPr>
        <w:t>推动因素的进一步思考。一位理事</w:t>
      </w:r>
      <w:r>
        <w:t>进一步阐述道，这应</w:t>
      </w:r>
      <w:r>
        <w:rPr>
          <w:lang w:val="zh-CN"/>
        </w:rPr>
        <w:t>包括人员配备</w:t>
      </w:r>
      <w:r>
        <w:t>的充分性</w:t>
      </w:r>
      <w:r>
        <w:rPr>
          <w:lang w:val="zh-CN"/>
        </w:rPr>
        <w:t>、技能组合以及区域代表处和地区办事处的运作授权水平。</w:t>
      </w:r>
      <w:r>
        <w:t>若能</w:t>
      </w:r>
      <w:r>
        <w:rPr>
          <w:lang w:val="zh-CN"/>
        </w:rPr>
        <w:t>更清楚地了解区域代表处在成员国中的具体成果和影响，包括在响应、服务提供和实施支持方面的影响</w:t>
      </w:r>
      <w:r>
        <w:rPr>
          <w:rFonts w:hint="eastAsia"/>
          <w:lang w:val="zh-CN"/>
        </w:rPr>
        <w:t>，</w:t>
      </w:r>
      <w:r>
        <w:rPr>
          <w:lang w:val="zh-CN"/>
        </w:rPr>
        <w:t>理事会将</w:t>
      </w:r>
      <w:r>
        <w:rPr>
          <w:rFonts w:hint="eastAsia"/>
          <w:lang w:val="zh-CN"/>
        </w:rPr>
        <w:t>会从中</w:t>
      </w:r>
      <w:r>
        <w:rPr>
          <w:lang w:val="zh-CN"/>
        </w:rPr>
        <w:t>受益。对区域代表处的审查应评估</w:t>
      </w:r>
      <w:r>
        <w:t>在所有三个部门中，</w:t>
      </w:r>
      <w:r>
        <w:rPr>
          <w:lang w:val="zh-CN"/>
        </w:rPr>
        <w:t>监管机构的技术需求</w:t>
      </w:r>
      <w:r>
        <w:t>得到了多大程度的满足</w:t>
      </w:r>
      <w:r>
        <w:rPr>
          <w:lang w:val="zh-CN"/>
        </w:rPr>
        <w:t>。一位理事强调，缺乏预先确定的区域代表性目标，没有这些目标，</w:t>
      </w:r>
      <w:r>
        <w:t>就很难</w:t>
      </w:r>
      <w:r>
        <w:rPr>
          <w:lang w:val="zh-CN"/>
        </w:rPr>
        <w:t>跟踪进展</w:t>
      </w:r>
      <w:r>
        <w:rPr>
          <w:rFonts w:hint="eastAsia"/>
          <w:lang w:val="zh-CN"/>
        </w:rPr>
        <w:t>；</w:t>
      </w:r>
      <w:r>
        <w:rPr>
          <w:lang w:val="zh-CN"/>
        </w:rPr>
        <w:t>他建议今后从基于活动的主题报告转向基于结果的报告方式，</w:t>
      </w:r>
      <w:r>
        <w:t>并预先设定</w:t>
      </w:r>
      <w:r>
        <w:rPr>
          <w:lang w:val="zh-CN"/>
        </w:rPr>
        <w:t>具体目标。他进一步</w:t>
      </w:r>
      <w:r>
        <w:t>阐述道</w:t>
      </w:r>
      <w:r>
        <w:rPr>
          <w:lang w:val="zh-CN"/>
        </w:rPr>
        <w:t>，令人遗憾的是，在全权代表大会之前召开的会议上，理事会未能审议外部审计员</w:t>
      </w:r>
      <w:r>
        <w:t>的报告，从而无法深入了解包括区域</w:t>
      </w:r>
      <w:r>
        <w:rPr>
          <w:lang w:val="zh-CN"/>
        </w:rPr>
        <w:t>代表</w:t>
      </w:r>
      <w:r>
        <w:rPr>
          <w:rFonts w:hint="eastAsia"/>
        </w:rPr>
        <w:t>性</w:t>
      </w:r>
      <w:r>
        <w:t>在内的某些议题</w:t>
      </w:r>
      <w:r>
        <w:rPr>
          <w:lang w:val="zh-CN"/>
        </w:rPr>
        <w:t>。自</w:t>
      </w:r>
      <w:r>
        <w:rPr>
          <w:lang w:val="zh-CN"/>
        </w:rPr>
        <w:t>2022</w:t>
      </w:r>
      <w:r>
        <w:rPr>
          <w:lang w:val="zh-CN"/>
        </w:rPr>
        <w:t>年全权代表大会（</w:t>
      </w:r>
      <w:r>
        <w:rPr>
          <w:lang w:val="zh-CN"/>
        </w:rPr>
        <w:t>PP-22</w:t>
      </w:r>
      <w:r>
        <w:rPr>
          <w:lang w:val="zh-CN"/>
        </w:rPr>
        <w:t>）以来，在一些区域代表处进行了内部审计，发现了一些与控制、风险管理和项目管理有关的具体缺陷，理事会应</w:t>
      </w:r>
      <w:r>
        <w:t>予以</w:t>
      </w:r>
      <w:r>
        <w:rPr>
          <w:lang w:val="zh-CN"/>
        </w:rPr>
        <w:t>考虑。外部审计员在提交理事会的</w:t>
      </w:r>
      <w:r>
        <w:rPr>
          <w:lang w:val="zh-CN"/>
        </w:rPr>
        <w:t>2024</w:t>
      </w:r>
      <w:r>
        <w:rPr>
          <w:lang w:val="zh-CN"/>
        </w:rPr>
        <w:t>年报告中得出结论，在区域代表</w:t>
      </w:r>
      <w:r>
        <w:rPr>
          <w:rFonts w:hint="eastAsia"/>
          <w:lang w:val="zh-CN"/>
        </w:rPr>
        <w:t>性</w:t>
      </w:r>
      <w:r>
        <w:rPr>
          <w:lang w:val="zh-CN"/>
        </w:rPr>
        <w:t>方面存在更广泛的系统性问题</w:t>
      </w:r>
      <w:r>
        <w:rPr>
          <w:rFonts w:hint="eastAsia"/>
          <w:lang w:val="zh-CN"/>
        </w:rPr>
        <w:t>；</w:t>
      </w:r>
      <w:r>
        <w:rPr>
          <w:lang w:val="zh-CN"/>
        </w:rPr>
        <w:t>因此，</w:t>
      </w:r>
      <w:r>
        <w:t>应以系统性方式加以解决</w:t>
      </w:r>
      <w:r>
        <w:rPr>
          <w:rFonts w:ascii="SimSun" w:hAnsi="SimSun" w:cs="SimSun" w:hint="eastAsia"/>
        </w:rPr>
        <w:t>。</w:t>
      </w:r>
    </w:p>
    <w:p w14:paraId="31316CEE" w14:textId="77777777" w:rsidR="005D0721" w:rsidRPr="00EF34AB" w:rsidRDefault="005D0721" w:rsidP="0087719E">
      <w:pPr>
        <w:jc w:val="both"/>
      </w:pPr>
      <w:r>
        <w:rPr>
          <w:lang w:val="zh-CN"/>
        </w:rPr>
        <w:t>1.4</w:t>
      </w:r>
      <w:r>
        <w:rPr>
          <w:lang w:val="zh-CN"/>
        </w:rPr>
        <w:tab/>
      </w:r>
      <w:r>
        <w:rPr>
          <w:lang w:val="zh-CN"/>
        </w:rPr>
        <w:t>几位理事呼吁秘书处和各部门探索进一步加强区域代表处作用的模式。</w:t>
      </w:r>
      <w:r>
        <w:t>充分</w:t>
      </w:r>
      <w:r>
        <w:rPr>
          <w:lang w:val="zh-CN"/>
        </w:rPr>
        <w:t>利用区域和当地专业知识的人员配置模式或框架，包括学术界的参与，可以为</w:t>
      </w:r>
      <w:r>
        <w:t>各项</w:t>
      </w:r>
      <w:r>
        <w:rPr>
          <w:lang w:val="zh-CN"/>
        </w:rPr>
        <w:t>活动提供更好的背景</w:t>
      </w:r>
      <w:r>
        <w:t>信息</w:t>
      </w:r>
      <w:r>
        <w:rPr>
          <w:lang w:val="zh-CN"/>
        </w:rPr>
        <w:t>，并提高响应能力、连续性和影响力。一位理事鼓励与区域性电信组织加强协调，以确保协同作用并支持进一步加强区域代表处的作用。</w:t>
      </w:r>
      <w:r>
        <w:t>在</w:t>
      </w:r>
      <w:r>
        <w:rPr>
          <w:lang w:val="zh-CN"/>
        </w:rPr>
        <w:t>区域代表处</w:t>
      </w:r>
      <w:r>
        <w:t>加强</w:t>
      </w:r>
      <w:r>
        <w:rPr>
          <w:lang w:val="zh-CN"/>
        </w:rPr>
        <w:t>基于结果的管理</w:t>
      </w:r>
      <w:r>
        <w:rPr>
          <w:rFonts w:hint="eastAsia"/>
          <w:lang w:val="zh-CN"/>
        </w:rPr>
        <w:t>，</w:t>
      </w:r>
      <w:r>
        <w:rPr>
          <w:lang w:val="zh-CN"/>
        </w:rPr>
        <w:t>将使理事会能够更好地了解正在交付的</w:t>
      </w:r>
      <w:r>
        <w:t>成果</w:t>
      </w:r>
      <w:r>
        <w:rPr>
          <w:lang w:val="zh-CN"/>
        </w:rPr>
        <w:t>、需要支持</w:t>
      </w:r>
      <w:r>
        <w:t>的领域</w:t>
      </w:r>
      <w:r>
        <w:rPr>
          <w:lang w:val="zh-CN"/>
        </w:rPr>
        <w:t>以及区域代表处如何为国际电联的职责做出贡献。</w:t>
      </w:r>
    </w:p>
    <w:p w14:paraId="502CA540" w14:textId="22948238" w:rsidR="005D0721" w:rsidRPr="00EF34AB" w:rsidRDefault="005D0721" w:rsidP="0087719E">
      <w:pPr>
        <w:jc w:val="both"/>
      </w:pPr>
      <w:r>
        <w:rPr>
          <w:lang w:val="zh-CN"/>
        </w:rPr>
        <w:lastRenderedPageBreak/>
        <w:t>1.5</w:t>
      </w:r>
      <w:r>
        <w:rPr>
          <w:lang w:val="zh-CN"/>
        </w:rPr>
        <w:tab/>
      </w:r>
      <w:r>
        <w:rPr>
          <w:lang w:val="zh-CN"/>
        </w:rPr>
        <w:t>一些理事对部门活动的地域分配不均提出质疑。几位理事呼吁增加国际电联无线电通信部门（</w:t>
      </w:r>
      <w:r>
        <w:rPr>
          <w:lang w:val="zh-CN"/>
        </w:rPr>
        <w:t>ITU-R</w:t>
      </w:r>
      <w:r>
        <w:rPr>
          <w:lang w:val="zh-CN"/>
        </w:rPr>
        <w:t>）和国际电联电信标准化部门（</w:t>
      </w:r>
      <w:r>
        <w:rPr>
          <w:lang w:val="zh-CN"/>
        </w:rPr>
        <w:t>ITU-T</w:t>
      </w:r>
      <w:r>
        <w:rPr>
          <w:lang w:val="zh-CN"/>
        </w:rPr>
        <w:t>）在区域层面的参与，一位理事指出，这些部门在非洲区域开展的活动较少。几位理事指出，区域代表处拥有来自所有三个部门的职员非常重要</w:t>
      </w:r>
      <w:r w:rsidR="005D3DCA">
        <w:rPr>
          <w:rFonts w:hint="eastAsia"/>
          <w:lang w:val="zh-CN"/>
        </w:rPr>
        <w:t>；</w:t>
      </w:r>
      <w:r>
        <w:rPr>
          <w:lang w:val="zh-CN"/>
        </w:rPr>
        <w:t>一位理事询问非洲区域代表处何时</w:t>
      </w:r>
      <w:r>
        <w:rPr>
          <w:rFonts w:hint="eastAsia"/>
          <w:lang w:val="zh-CN"/>
        </w:rPr>
        <w:t>能</w:t>
      </w:r>
      <w:r>
        <w:rPr>
          <w:lang w:val="zh-CN"/>
        </w:rPr>
        <w:t>拥有</w:t>
      </w:r>
      <w:r>
        <w:rPr>
          <w:lang w:val="zh-CN"/>
        </w:rPr>
        <w:t>ITU-R</w:t>
      </w:r>
      <w:r>
        <w:rPr>
          <w:lang w:val="zh-CN"/>
        </w:rPr>
        <w:t>在频谱管理、卫星协调和</w:t>
      </w:r>
      <w:r>
        <w:rPr>
          <w:lang w:val="zh-CN"/>
        </w:rPr>
        <w:t>2027</w:t>
      </w:r>
      <w:r>
        <w:rPr>
          <w:lang w:val="zh-CN"/>
        </w:rPr>
        <w:t>年世界无线电通信大会（</w:t>
      </w:r>
      <w:r>
        <w:rPr>
          <w:lang w:val="zh-CN"/>
        </w:rPr>
        <w:t>WRC-27</w:t>
      </w:r>
      <w:r>
        <w:rPr>
          <w:lang w:val="zh-CN"/>
        </w:rPr>
        <w:t>）筹备方面的专业知识。</w:t>
      </w:r>
    </w:p>
    <w:p w14:paraId="5BCC6A54" w14:textId="77777777" w:rsidR="005D0721" w:rsidRPr="00EF34AB" w:rsidRDefault="005D0721" w:rsidP="0087719E">
      <w:pPr>
        <w:jc w:val="both"/>
      </w:pPr>
      <w:r>
        <w:rPr>
          <w:lang w:val="zh-CN"/>
        </w:rPr>
        <w:t>1.6</w:t>
      </w:r>
      <w:r>
        <w:rPr>
          <w:lang w:val="zh-CN"/>
        </w:rPr>
        <w:tab/>
      </w:r>
      <w:r>
        <w:rPr>
          <w:lang w:val="zh-CN"/>
        </w:rPr>
        <w:t>几位理事强调，有必要确保在区域层面提供充足和可持续的财务资源，其中一位理事呼吁了解各国和各区域资金申请的数量和接受率。</w:t>
      </w:r>
    </w:p>
    <w:p w14:paraId="4C180FCD" w14:textId="62047D98" w:rsidR="005D0721" w:rsidRPr="000D7974" w:rsidRDefault="005D0721" w:rsidP="0087719E">
      <w:pPr>
        <w:jc w:val="both"/>
        <w:rPr>
          <w:spacing w:val="-2"/>
        </w:rPr>
      </w:pPr>
      <w:r>
        <w:rPr>
          <w:lang w:val="zh-CN"/>
        </w:rPr>
        <w:t>1.7</w:t>
      </w:r>
      <w:r>
        <w:rPr>
          <w:lang w:val="zh-CN"/>
        </w:rPr>
        <w:tab/>
      </w:r>
      <w:r>
        <w:rPr>
          <w:lang w:val="zh-CN"/>
        </w:rPr>
        <w:t>波兰理事说，</w:t>
      </w:r>
      <w:r>
        <w:rPr>
          <w:lang w:val="zh-CN"/>
        </w:rPr>
        <w:t>2025</w:t>
      </w:r>
      <w:r>
        <w:rPr>
          <w:lang w:val="zh-CN"/>
        </w:rPr>
        <w:t>年，作为</w:t>
      </w:r>
      <w:r w:rsidR="00965A0F">
        <w:rPr>
          <w:rFonts w:hint="eastAsia"/>
          <w:lang w:val="zh-CN"/>
        </w:rPr>
        <w:t>欧盟</w:t>
      </w:r>
      <w:r>
        <w:rPr>
          <w:lang w:val="zh-CN"/>
        </w:rPr>
        <w:t>理事会轮值主席国的</w:t>
      </w:r>
      <w:r>
        <w:rPr>
          <w:rFonts w:hint="eastAsia"/>
          <w:lang w:val="zh-CN"/>
        </w:rPr>
        <w:t>工作之一</w:t>
      </w:r>
      <w:r>
        <w:rPr>
          <w:lang w:val="zh-CN"/>
        </w:rPr>
        <w:t>，波兰组织了一次关于加强欧盟</w:t>
      </w:r>
      <w:r w:rsidR="00965A0F">
        <w:rPr>
          <w:rFonts w:hint="eastAsia"/>
          <w:lang w:val="zh-CN"/>
        </w:rPr>
        <w:t>与</w:t>
      </w:r>
      <w:r>
        <w:rPr>
          <w:lang w:val="zh-CN"/>
        </w:rPr>
        <w:t>国际电联</w:t>
      </w:r>
      <w:r w:rsidR="00965A0F">
        <w:rPr>
          <w:rFonts w:hint="eastAsia"/>
          <w:lang w:val="zh-CN"/>
        </w:rPr>
        <w:t>协作</w:t>
      </w:r>
      <w:r>
        <w:rPr>
          <w:lang w:val="zh-CN"/>
        </w:rPr>
        <w:t>的讲习班。</w:t>
      </w:r>
    </w:p>
    <w:p w14:paraId="52230BE8" w14:textId="77777777" w:rsidR="005D0721" w:rsidRPr="00EF34AB" w:rsidRDefault="005D0721" w:rsidP="0087719E">
      <w:pPr>
        <w:jc w:val="both"/>
      </w:pPr>
      <w:r>
        <w:rPr>
          <w:lang w:val="zh-CN"/>
        </w:rPr>
        <w:t>1.8</w:t>
      </w:r>
      <w:r>
        <w:rPr>
          <w:lang w:val="zh-CN"/>
        </w:rPr>
        <w:tab/>
      </w:r>
      <w:r>
        <w:rPr>
          <w:lang w:val="zh-CN"/>
        </w:rPr>
        <w:t>捷克共和国理事指出，捷克主办了</w:t>
      </w:r>
      <w:r>
        <w:rPr>
          <w:lang w:val="zh-CN"/>
        </w:rPr>
        <w:t>3</w:t>
      </w:r>
      <w:r>
        <w:rPr>
          <w:lang w:val="zh-CN"/>
        </w:rPr>
        <w:t>月份的欧洲区域发展论坛。泰国理事强调说，泰国将于</w:t>
      </w:r>
      <w:r>
        <w:rPr>
          <w:lang w:val="zh-CN"/>
        </w:rPr>
        <w:t>7</w:t>
      </w:r>
      <w:r>
        <w:rPr>
          <w:lang w:val="zh-CN"/>
        </w:rPr>
        <w:t>月共同主办亚太区域发展论坛。</w:t>
      </w:r>
    </w:p>
    <w:p w14:paraId="258C945B" w14:textId="14EF9B03" w:rsidR="005D0721" w:rsidRPr="00EF34AB" w:rsidRDefault="005D0721" w:rsidP="0087719E">
      <w:pPr>
        <w:jc w:val="both"/>
      </w:pPr>
      <w:r>
        <w:rPr>
          <w:lang w:val="zh-CN"/>
        </w:rPr>
        <w:t>1.9</w:t>
      </w:r>
      <w:r>
        <w:rPr>
          <w:lang w:val="zh-CN"/>
        </w:rPr>
        <w:tab/>
      </w:r>
      <w:r>
        <w:rPr>
          <w:lang w:val="zh-CN"/>
        </w:rPr>
        <w:t>哈萨克斯坦观察员说，</w:t>
      </w:r>
      <w:r>
        <w:rPr>
          <w:lang w:val="zh-CN"/>
        </w:rPr>
        <w:t>BDT</w:t>
      </w:r>
      <w:r>
        <w:rPr>
          <w:lang w:val="zh-CN"/>
        </w:rPr>
        <w:t>与</w:t>
      </w:r>
      <w:r>
        <w:rPr>
          <w:lang w:val="zh-CN"/>
        </w:rPr>
        <w:t>Intersputnik</w:t>
      </w:r>
      <w:r>
        <w:rPr>
          <w:lang w:val="zh-CN"/>
        </w:rPr>
        <w:t>于</w:t>
      </w:r>
      <w:r>
        <w:rPr>
          <w:lang w:val="zh-CN"/>
        </w:rPr>
        <w:t>2025</w:t>
      </w:r>
      <w:r>
        <w:rPr>
          <w:lang w:val="zh-CN"/>
        </w:rPr>
        <w:t>年在阿拉木图组织了一场题为</w:t>
      </w:r>
      <w:r w:rsidR="00AD7C70" w:rsidRPr="00AD7C70">
        <w:rPr>
          <w:rFonts w:ascii="SimSun" w:hAnsi="SimSun"/>
          <w:lang w:val="zh-CN"/>
        </w:rPr>
        <w:t>“</w:t>
      </w:r>
      <w:r>
        <w:rPr>
          <w:lang w:val="zh-CN"/>
        </w:rPr>
        <w:t>现代现实中的空间活动</w:t>
      </w:r>
      <w:r w:rsidR="00AD7C70" w:rsidRPr="00AD7C70">
        <w:rPr>
          <w:rFonts w:ascii="SimSun" w:hAnsi="SimSun"/>
          <w:lang w:val="zh-CN"/>
        </w:rPr>
        <w:t>”</w:t>
      </w:r>
      <w:r>
        <w:rPr>
          <w:lang w:val="zh-CN"/>
        </w:rPr>
        <w:t>的讲习班</w:t>
      </w:r>
      <w:r>
        <w:rPr>
          <w:rFonts w:hint="eastAsia"/>
          <w:lang w:val="zh-CN"/>
        </w:rPr>
        <w:t>，</w:t>
      </w:r>
      <w:r>
        <w:rPr>
          <w:lang w:val="zh-CN"/>
        </w:rPr>
        <w:t>无线电通信局（</w:t>
      </w:r>
      <w:r>
        <w:rPr>
          <w:lang w:val="zh-CN"/>
        </w:rPr>
        <w:t>BR</w:t>
      </w:r>
      <w:r>
        <w:rPr>
          <w:lang w:val="zh-CN"/>
        </w:rPr>
        <w:t>）专家</w:t>
      </w:r>
      <w:r>
        <w:rPr>
          <w:rFonts w:hint="eastAsia"/>
          <w:lang w:val="zh-CN"/>
        </w:rPr>
        <w:t>参加了这一活动</w:t>
      </w:r>
      <w:r>
        <w:rPr>
          <w:lang w:val="zh-CN"/>
        </w:rPr>
        <w:t>。</w:t>
      </w:r>
    </w:p>
    <w:p w14:paraId="1D242F11" w14:textId="77777777" w:rsidR="005D0721" w:rsidRPr="00EF34AB" w:rsidRDefault="005D0721" w:rsidP="0087719E">
      <w:pPr>
        <w:jc w:val="both"/>
      </w:pPr>
      <w:r>
        <w:rPr>
          <w:lang w:val="zh-CN"/>
        </w:rPr>
        <w:t>1.10</w:t>
      </w:r>
      <w:r>
        <w:rPr>
          <w:lang w:val="zh-CN"/>
        </w:rPr>
        <w:tab/>
      </w:r>
      <w:r>
        <w:rPr>
          <w:lang w:val="zh-CN"/>
        </w:rPr>
        <w:t>理事会</w:t>
      </w:r>
      <w:r w:rsidRPr="005B17BD">
        <w:rPr>
          <w:b/>
          <w:bCs/>
          <w:lang w:val="zh-CN"/>
        </w:rPr>
        <w:t>批准</w:t>
      </w:r>
      <w:r>
        <w:rPr>
          <w:lang w:val="zh-CN"/>
        </w:rPr>
        <w:t>了该报告，并</w:t>
      </w:r>
      <w:r w:rsidRPr="005B17BD">
        <w:rPr>
          <w:b/>
          <w:bCs/>
          <w:lang w:val="zh-CN"/>
        </w:rPr>
        <w:t>同意</w:t>
      </w:r>
      <w:r>
        <w:rPr>
          <w:lang w:val="zh-CN"/>
        </w:rPr>
        <w:t>将其连同会议</w:t>
      </w:r>
      <w:r>
        <w:rPr>
          <w:rFonts w:hint="eastAsia"/>
          <w:lang w:val="zh-CN"/>
        </w:rPr>
        <w:t>提出的</w:t>
      </w:r>
      <w:r>
        <w:rPr>
          <w:lang w:val="zh-CN"/>
        </w:rPr>
        <w:t>意见</w:t>
      </w:r>
      <w:r>
        <w:rPr>
          <w:rFonts w:hint="eastAsia"/>
          <w:lang w:val="zh-CN"/>
        </w:rPr>
        <w:t>一并</w:t>
      </w:r>
      <w:r>
        <w:rPr>
          <w:lang w:val="zh-CN"/>
        </w:rPr>
        <w:t>转呈全权代表大会（</w:t>
      </w:r>
      <w:r>
        <w:rPr>
          <w:lang w:val="zh-CN"/>
        </w:rPr>
        <w:t>2026</w:t>
      </w:r>
      <w:r>
        <w:rPr>
          <w:lang w:val="zh-CN"/>
        </w:rPr>
        <w:t>年，多哈）（</w:t>
      </w:r>
      <w:r>
        <w:rPr>
          <w:lang w:val="zh-CN"/>
        </w:rPr>
        <w:t>PP-26</w:t>
      </w:r>
      <w:r>
        <w:rPr>
          <w:lang w:val="zh-CN"/>
        </w:rPr>
        <w:t>）。</w:t>
      </w:r>
    </w:p>
    <w:p w14:paraId="102E6802" w14:textId="57404DB6" w:rsidR="005D0721" w:rsidRPr="00EF34AB" w:rsidRDefault="005D0721" w:rsidP="005D0721">
      <w:pPr>
        <w:pStyle w:val="Heading1"/>
        <w:rPr>
          <w:szCs w:val="28"/>
        </w:rPr>
      </w:pPr>
      <w:r>
        <w:rPr>
          <w:bCs/>
          <w:szCs w:val="28"/>
          <w:lang w:val="zh-CN"/>
        </w:rPr>
        <w:t>2</w:t>
      </w:r>
      <w:r>
        <w:rPr>
          <w:bCs/>
          <w:szCs w:val="28"/>
          <w:lang w:val="zh-CN"/>
        </w:rPr>
        <w:tab/>
      </w:r>
      <w:r>
        <w:rPr>
          <w:color w:val="000000"/>
          <w:szCs w:val="24"/>
          <w:lang w:val="zh-CN"/>
        </w:rPr>
        <w:t>关于在太平洋地区设立国际电联地区办事处的提案</w:t>
      </w:r>
      <w:r w:rsidR="0087719E">
        <w:rPr>
          <w:color w:val="000000"/>
          <w:szCs w:val="24"/>
          <w:lang w:val="es-ES"/>
        </w:rPr>
        <w:br/>
      </w:r>
      <w:r>
        <w:rPr>
          <w:szCs w:val="28"/>
          <w:lang w:val="zh-CN"/>
        </w:rPr>
        <w:t>（</w:t>
      </w:r>
      <w:hyperlink r:id="rId15" w:history="1">
        <w:r w:rsidRPr="00EF34AB">
          <w:rPr>
            <w:rStyle w:val="Hyperlink"/>
            <w:rFonts w:eastAsia="SimSun"/>
            <w:szCs w:val="28"/>
          </w:rPr>
          <w:t>C26/85</w:t>
        </w:r>
      </w:hyperlink>
      <w:r>
        <w:rPr>
          <w:szCs w:val="28"/>
          <w:lang w:val="zh-CN"/>
        </w:rPr>
        <w:t>号文件）</w:t>
      </w:r>
      <w:hyperlink r:id="rId16" w:history="1"/>
    </w:p>
    <w:p w14:paraId="5F58DD7B" w14:textId="77777777" w:rsidR="005D0721" w:rsidRPr="00EF34AB" w:rsidRDefault="005D0721" w:rsidP="0087719E">
      <w:pPr>
        <w:jc w:val="both"/>
      </w:pPr>
      <w:r>
        <w:rPr>
          <w:lang w:val="zh-CN"/>
        </w:rPr>
        <w:t>2.1</w:t>
      </w:r>
      <w:r>
        <w:rPr>
          <w:lang w:val="zh-CN"/>
        </w:rPr>
        <w:tab/>
      </w:r>
      <w:r>
        <w:t>巴布亚新几内亚观察员代表</w:t>
      </w:r>
      <w:r>
        <w:t>14</w:t>
      </w:r>
      <w:r>
        <w:rPr>
          <w:lang w:val="zh-CN"/>
        </w:rPr>
        <w:t>个国家介绍了</w:t>
      </w:r>
      <w:r>
        <w:t>C26/85</w:t>
      </w:r>
      <w:r>
        <w:rPr>
          <w:lang w:val="zh-CN"/>
        </w:rPr>
        <w:t>号文件中所载的多国文稿。</w:t>
      </w:r>
      <w:r>
        <w:t>该提案</w:t>
      </w:r>
      <w:r>
        <w:rPr>
          <w:lang w:val="zh-CN"/>
        </w:rPr>
        <w:t>呼吁理事会支持在太平洋地区设立国际电联地区办事处、分配必要的资源并将</w:t>
      </w:r>
      <w:r>
        <w:t>该</w:t>
      </w:r>
      <w:r>
        <w:rPr>
          <w:lang w:val="zh-CN"/>
        </w:rPr>
        <w:t>提案提交</w:t>
      </w:r>
      <w:r>
        <w:rPr>
          <w:lang w:val="zh-CN"/>
        </w:rPr>
        <w:t>PP-26</w:t>
      </w:r>
      <w:r>
        <w:rPr>
          <w:lang w:val="zh-CN"/>
        </w:rPr>
        <w:t>。太平洋区域各国面临着地理隔离、连通基础设施有限、接入和服务成本高昂、监管</w:t>
      </w:r>
      <w:r>
        <w:t>分散</w:t>
      </w:r>
      <w:r>
        <w:rPr>
          <w:lang w:val="zh-CN"/>
        </w:rPr>
        <w:t>、气候风险和能力限制等具体挑战，这直接影响了它们有意义地参与全球经济的能力。</w:t>
      </w:r>
      <w:r>
        <w:t>设立该办事处将是</w:t>
      </w:r>
      <w:r>
        <w:rPr>
          <w:lang w:val="zh-CN"/>
        </w:rPr>
        <w:t>一项长期的战略投资，并确保太平洋区域在全球数字化转型中不掉队。</w:t>
      </w:r>
    </w:p>
    <w:p w14:paraId="6F359FD5" w14:textId="77777777" w:rsidR="005D0721" w:rsidRPr="00EF34AB" w:rsidRDefault="005D0721" w:rsidP="0087719E">
      <w:pPr>
        <w:jc w:val="both"/>
      </w:pPr>
      <w:r>
        <w:rPr>
          <w:lang w:val="zh-CN"/>
        </w:rPr>
        <w:t>2.2</w:t>
      </w:r>
      <w:r>
        <w:rPr>
          <w:lang w:val="zh-CN"/>
        </w:rPr>
        <w:tab/>
      </w:r>
      <w:r>
        <w:rPr>
          <w:lang w:val="zh-CN"/>
        </w:rPr>
        <w:t>澳大利亚理事说，在电信发展局的支持下，正在进行证据收集、需求分析和对多种模式的评估。如果理事会支持制定新地区办事处的设立计划，则该计划将在</w:t>
      </w:r>
      <w:r>
        <w:rPr>
          <w:lang w:val="zh-CN"/>
        </w:rPr>
        <w:t>PP-26</w:t>
      </w:r>
      <w:r>
        <w:rPr>
          <w:lang w:val="zh-CN"/>
        </w:rPr>
        <w:t>之前与成员国分享以供审议。</w:t>
      </w:r>
    </w:p>
    <w:p w14:paraId="77419AA6" w14:textId="77777777" w:rsidR="005D0721" w:rsidRPr="00EF34AB" w:rsidRDefault="005D0721" w:rsidP="0087719E">
      <w:pPr>
        <w:jc w:val="both"/>
      </w:pPr>
      <w:r>
        <w:rPr>
          <w:lang w:val="zh-CN"/>
        </w:rPr>
        <w:t>2.3</w:t>
      </w:r>
      <w:r>
        <w:rPr>
          <w:lang w:val="zh-CN"/>
        </w:rPr>
        <w:tab/>
      </w:r>
      <w:r>
        <w:rPr>
          <w:lang w:val="zh-CN"/>
        </w:rPr>
        <w:t>理事</w:t>
      </w:r>
      <w:r>
        <w:rPr>
          <w:rFonts w:hint="eastAsia"/>
          <w:lang w:val="zh-CN"/>
        </w:rPr>
        <w:t>们</w:t>
      </w:r>
      <w:r>
        <w:rPr>
          <w:lang w:val="zh-CN"/>
        </w:rPr>
        <w:t>和观察员对该提案表示大力支持，并指出加快数字化转型进程的重要性，这对整个太平洋区域的复原力、包容性和可持续发展至关重要。几位理事强调，整个联合国系统的经验表明，</w:t>
      </w:r>
      <w:r>
        <w:t>在地理上分散且脆弱的</w:t>
      </w:r>
      <w:r>
        <w:rPr>
          <w:lang w:val="zh-CN"/>
        </w:rPr>
        <w:t>区域</w:t>
      </w:r>
      <w:r>
        <w:t>，办事处的就近设立能显著改善</w:t>
      </w:r>
      <w:r>
        <w:rPr>
          <w:lang w:val="zh-CN"/>
        </w:rPr>
        <w:t>项目交付</w:t>
      </w:r>
      <w:r>
        <w:t>、协调和响应能力</w:t>
      </w:r>
      <w:r>
        <w:rPr>
          <w:rFonts w:ascii="SimSun" w:hAnsi="SimSun" w:cs="SimSun" w:hint="eastAsia"/>
        </w:rPr>
        <w:t>。</w:t>
      </w:r>
    </w:p>
    <w:p w14:paraId="2AD6BE47" w14:textId="58D9A481" w:rsidR="005D0721" w:rsidRPr="00EF34AB" w:rsidRDefault="005D0721" w:rsidP="0087719E">
      <w:pPr>
        <w:jc w:val="both"/>
      </w:pPr>
      <w:r>
        <w:rPr>
          <w:lang w:val="zh-CN"/>
        </w:rPr>
        <w:t>2.4</w:t>
      </w:r>
      <w:r>
        <w:rPr>
          <w:lang w:val="zh-CN"/>
        </w:rPr>
        <w:tab/>
      </w:r>
      <w:r w:rsidR="00965A0F">
        <w:t>各理事和观察员，</w:t>
      </w:r>
      <w:r w:rsidR="00965A0F">
        <w:rPr>
          <w:rFonts w:hint="eastAsia"/>
        </w:rPr>
        <w:t>包括</w:t>
      </w:r>
      <w:r>
        <w:rPr>
          <w:lang w:val="zh-CN"/>
        </w:rPr>
        <w:t>代表小岛屿发展中国家（</w:t>
      </w:r>
      <w:r>
        <w:rPr>
          <w:lang w:val="zh-CN"/>
        </w:rPr>
        <w:t>SIDS</w:t>
      </w:r>
      <w:r>
        <w:rPr>
          <w:lang w:val="zh-CN"/>
        </w:rPr>
        <w:t>）和</w:t>
      </w:r>
      <w:r w:rsidR="00965A0F">
        <w:t>亚太</w:t>
      </w:r>
      <w:r>
        <w:rPr>
          <w:lang w:val="zh-CN"/>
        </w:rPr>
        <w:t>区域国家的理事</w:t>
      </w:r>
      <w:r w:rsidR="00965A0F">
        <w:t>和观察员</w:t>
      </w:r>
      <w:r w:rsidR="00965A0F">
        <w:rPr>
          <w:rFonts w:hint="eastAsia"/>
        </w:rPr>
        <w:t>，</w:t>
      </w:r>
      <w:r>
        <w:rPr>
          <w:lang w:val="zh-CN"/>
        </w:rPr>
        <w:t>对太平洋区域面临的挑战表示声援。在此背景下，马来西亚理事指出，设立地区办事处符合其支持脆弱地区、小岛屿发展中国家和最不发达国家发展的伙伴关系促进互联互通数字联盟的承诺</w:t>
      </w:r>
      <w:r>
        <w:rPr>
          <w:rFonts w:hint="eastAsia"/>
          <w:lang w:val="zh-CN"/>
        </w:rPr>
        <w:t>。</w:t>
      </w:r>
    </w:p>
    <w:p w14:paraId="0B4E79E5" w14:textId="77777777" w:rsidR="005D0721" w:rsidRPr="00EF34AB" w:rsidRDefault="005D0721" w:rsidP="0087719E">
      <w:pPr>
        <w:jc w:val="both"/>
      </w:pPr>
      <w:r>
        <w:rPr>
          <w:lang w:val="zh-CN"/>
        </w:rPr>
        <w:t>2.5</w:t>
      </w:r>
      <w:r>
        <w:rPr>
          <w:lang w:val="zh-CN"/>
        </w:rPr>
        <w:tab/>
      </w:r>
      <w:r>
        <w:rPr>
          <w:lang w:val="zh-CN"/>
        </w:rPr>
        <w:t>然而，几位理事提请注意，需要确保有充足和可预测的资金（包括人员编制）来支持新办事处的设立，并希望就此提供更多信息。理事会有责任审议国际电联的良政和财务可持续性。有</w:t>
      </w:r>
      <w:r>
        <w:rPr>
          <w:rFonts w:hint="eastAsia"/>
          <w:lang w:val="zh-CN"/>
        </w:rPr>
        <w:t>理事</w:t>
      </w:r>
      <w:r>
        <w:rPr>
          <w:lang w:val="zh-CN"/>
        </w:rPr>
        <w:t>支持</w:t>
      </w:r>
      <w:r>
        <w:rPr>
          <w:lang w:val="zh-CN"/>
        </w:rPr>
        <w:t>ITU-D</w:t>
      </w:r>
      <w:r>
        <w:rPr>
          <w:lang w:val="zh-CN"/>
        </w:rPr>
        <w:t>在理事会</w:t>
      </w:r>
      <w:r>
        <w:rPr>
          <w:lang w:val="zh-CN"/>
        </w:rPr>
        <w:t>2027</w:t>
      </w:r>
      <w:r>
        <w:rPr>
          <w:lang w:val="zh-CN"/>
        </w:rPr>
        <w:t>年会议之前及时编写一份关于如何确保向太平洋区域提供长期、稳定支持的详细报告。希望其他地区办事处的运作经验，特别是</w:t>
      </w:r>
      <w:r>
        <w:rPr>
          <w:lang w:val="zh-CN"/>
        </w:rPr>
        <w:t>2023</w:t>
      </w:r>
      <w:r>
        <w:rPr>
          <w:lang w:val="zh-CN"/>
        </w:rPr>
        <w:t>年在印度开设的办事处的运作经验，能够得到考虑。</w:t>
      </w:r>
    </w:p>
    <w:p w14:paraId="5CA70056" w14:textId="77777777" w:rsidR="005D0721" w:rsidRPr="00EF34AB" w:rsidRDefault="005D0721" w:rsidP="0087719E">
      <w:pPr>
        <w:jc w:val="both"/>
      </w:pPr>
      <w:r>
        <w:rPr>
          <w:lang w:val="zh-CN"/>
        </w:rPr>
        <w:lastRenderedPageBreak/>
        <w:t>2.6</w:t>
      </w:r>
      <w:r>
        <w:rPr>
          <w:lang w:val="zh-CN"/>
        </w:rPr>
        <w:tab/>
      </w:r>
      <w:r>
        <w:rPr>
          <w:lang w:val="zh-CN"/>
        </w:rPr>
        <w:t>理事会原则</w:t>
      </w:r>
      <w:r w:rsidRPr="00D8097F">
        <w:rPr>
          <w:b/>
          <w:bCs/>
          <w:lang w:val="zh-CN"/>
        </w:rPr>
        <w:t>同意</w:t>
      </w:r>
      <w:r>
        <w:rPr>
          <w:lang w:val="zh-CN"/>
        </w:rPr>
        <w:t>在太平洋</w:t>
      </w:r>
      <w:r>
        <w:rPr>
          <w:rFonts w:hint="eastAsia"/>
          <w:lang w:val="zh-CN"/>
        </w:rPr>
        <w:t>区域</w:t>
      </w:r>
      <w:r>
        <w:rPr>
          <w:lang w:val="zh-CN"/>
        </w:rPr>
        <w:t>设立</w:t>
      </w:r>
      <w:r>
        <w:rPr>
          <w:rFonts w:hint="eastAsia"/>
          <w:lang w:val="zh-CN"/>
        </w:rPr>
        <w:t>办事</w:t>
      </w:r>
      <w:r>
        <w:rPr>
          <w:lang w:val="zh-CN"/>
        </w:rPr>
        <w:t>处，并</w:t>
      </w:r>
      <w:r w:rsidRPr="00D8097F">
        <w:rPr>
          <w:b/>
          <w:bCs/>
          <w:lang w:val="zh-CN"/>
        </w:rPr>
        <w:t>要求</w:t>
      </w:r>
      <w:r>
        <w:rPr>
          <w:lang w:val="zh-CN"/>
        </w:rPr>
        <w:t>秘书处为在太平洋</w:t>
      </w:r>
      <w:r>
        <w:rPr>
          <w:rFonts w:hint="eastAsia"/>
          <w:lang w:val="zh-CN"/>
        </w:rPr>
        <w:t>区域</w:t>
      </w:r>
      <w:r>
        <w:rPr>
          <w:lang w:val="zh-CN"/>
        </w:rPr>
        <w:t>设立地区办事处制定具体</w:t>
      </w:r>
      <w:r>
        <w:rPr>
          <w:rFonts w:hint="eastAsia"/>
          <w:lang w:val="zh-CN"/>
        </w:rPr>
        <w:t>的</w:t>
      </w:r>
      <w:r>
        <w:rPr>
          <w:lang w:val="zh-CN"/>
        </w:rPr>
        <w:t>方案和设立计划草案，包括对资源、人员编制、东道国和筹资方案的详细财务分析，并提交</w:t>
      </w:r>
      <w:r>
        <w:rPr>
          <w:lang w:val="zh-CN"/>
        </w:rPr>
        <w:t>PP-26</w:t>
      </w:r>
      <w:r>
        <w:rPr>
          <w:lang w:val="zh-CN"/>
        </w:rPr>
        <w:t>审议。</w:t>
      </w:r>
    </w:p>
    <w:p w14:paraId="0DC4BB49" w14:textId="77777777" w:rsidR="005D0721" w:rsidRPr="00EF34AB" w:rsidRDefault="005D0721" w:rsidP="005D0721">
      <w:pPr>
        <w:pStyle w:val="Heading1"/>
        <w:rPr>
          <w:szCs w:val="28"/>
        </w:rPr>
      </w:pPr>
      <w:r>
        <w:rPr>
          <w:bCs/>
          <w:szCs w:val="28"/>
          <w:lang w:val="zh-CN"/>
        </w:rPr>
        <w:t>3</w:t>
      </w:r>
      <w:r>
        <w:rPr>
          <w:szCs w:val="28"/>
          <w:lang w:val="zh-CN"/>
        </w:rPr>
        <w:tab/>
      </w:r>
      <w:r>
        <w:rPr>
          <w:color w:val="000000"/>
          <w:szCs w:val="24"/>
          <w:lang w:val="zh-CN"/>
        </w:rPr>
        <w:t>审查国际电联区域代表性</w:t>
      </w:r>
      <w:r>
        <w:rPr>
          <w:szCs w:val="28"/>
          <w:lang w:val="zh-CN"/>
        </w:rPr>
        <w:t>（</w:t>
      </w:r>
      <w:hyperlink r:id="rId17" w:history="1">
        <w:r w:rsidRPr="00EF34AB">
          <w:rPr>
            <w:rStyle w:val="Hyperlink"/>
            <w:rFonts w:eastAsia="SimSun"/>
            <w:szCs w:val="28"/>
          </w:rPr>
          <w:t>C26/24</w:t>
        </w:r>
      </w:hyperlink>
      <w:r>
        <w:rPr>
          <w:szCs w:val="28"/>
          <w:lang w:val="zh-CN"/>
        </w:rPr>
        <w:t>和</w:t>
      </w:r>
      <w:hyperlink r:id="rId18" w:history="1">
        <w:r w:rsidRPr="00EF34AB">
          <w:rPr>
            <w:rStyle w:val="Hyperlink"/>
            <w:rFonts w:eastAsia="SimSun"/>
            <w:szCs w:val="28"/>
          </w:rPr>
          <w:t>C26/108</w:t>
        </w:r>
      </w:hyperlink>
      <w:r>
        <w:rPr>
          <w:szCs w:val="28"/>
          <w:lang w:val="zh-CN"/>
        </w:rPr>
        <w:t>号文件）</w:t>
      </w:r>
      <w:hyperlink r:id="rId19" w:history="1"/>
      <w:hyperlink r:id="rId20" w:history="1"/>
    </w:p>
    <w:p w14:paraId="4F51A367" w14:textId="77777777" w:rsidR="005D0721" w:rsidRPr="00EF34AB" w:rsidRDefault="005D0721" w:rsidP="0087719E">
      <w:pPr>
        <w:jc w:val="both"/>
      </w:pPr>
      <w:r>
        <w:rPr>
          <w:lang w:val="zh-CN"/>
        </w:rPr>
        <w:t>3.1</w:t>
      </w:r>
      <w:r>
        <w:rPr>
          <w:lang w:val="zh-CN"/>
        </w:rPr>
        <w:tab/>
      </w:r>
      <w:r>
        <w:rPr>
          <w:lang w:val="zh-CN"/>
        </w:rPr>
        <w:t>电信发展局副主任介绍了</w:t>
      </w:r>
      <w:r>
        <w:rPr>
          <w:lang w:val="zh-CN"/>
        </w:rPr>
        <w:t>C26/24</w:t>
      </w:r>
      <w:r>
        <w:rPr>
          <w:lang w:val="zh-CN"/>
        </w:rPr>
        <w:t>号文件，该文件报告了根据理事会</w:t>
      </w:r>
      <w:r>
        <w:rPr>
          <w:lang w:val="zh-CN"/>
        </w:rPr>
        <w:t>2025</w:t>
      </w:r>
      <w:r>
        <w:rPr>
          <w:lang w:val="zh-CN"/>
        </w:rPr>
        <w:t>年会议的建议和商定的职责范围对国际电联区域代表处开展的审查。报告</w:t>
      </w:r>
      <w:r>
        <w:rPr>
          <w:rFonts w:hint="eastAsia"/>
          <w:lang w:val="zh-CN"/>
        </w:rPr>
        <w:t>特别</w:t>
      </w:r>
      <w:r>
        <w:rPr>
          <w:lang w:val="zh-CN"/>
        </w:rPr>
        <w:t>概述了审查的结构、时间表和可交付成果，并总结了主要</w:t>
      </w:r>
      <w:r>
        <w:rPr>
          <w:rFonts w:hint="eastAsia"/>
          <w:lang w:val="zh-CN"/>
        </w:rPr>
        <w:t>的</w:t>
      </w:r>
      <w:r>
        <w:rPr>
          <w:lang w:val="zh-CN"/>
        </w:rPr>
        <w:t>调查结果</w:t>
      </w:r>
      <w:r>
        <w:rPr>
          <w:rFonts w:hint="eastAsia"/>
          <w:lang w:val="zh-CN"/>
        </w:rPr>
        <w:t>，</w:t>
      </w:r>
      <w:r>
        <w:rPr>
          <w:lang w:val="zh-CN"/>
        </w:rPr>
        <w:t>包括优势领域和改进机会。关于方法和详细审查结论的进一步信息见</w:t>
      </w:r>
      <w:hyperlink r:id="rId21">
        <w:r w:rsidRPr="1BF32E79">
          <w:rPr>
            <w:rStyle w:val="Hyperlink"/>
            <w:rFonts w:eastAsia="SimSun"/>
          </w:rPr>
          <w:t>C26/INF/10</w:t>
        </w:r>
      </w:hyperlink>
      <w:r>
        <w:rPr>
          <w:lang w:val="zh-CN"/>
        </w:rPr>
        <w:t>号文件。</w:t>
      </w:r>
      <w:hyperlink r:id="rId22"/>
    </w:p>
    <w:p w14:paraId="09F695FD" w14:textId="77777777" w:rsidR="005D0721" w:rsidRPr="00EF34AB" w:rsidRDefault="005D0721" w:rsidP="0087719E">
      <w:pPr>
        <w:jc w:val="both"/>
      </w:pPr>
      <w:r>
        <w:rPr>
          <w:lang w:val="zh-CN"/>
        </w:rPr>
        <w:t>3.2</w:t>
      </w:r>
      <w:r>
        <w:rPr>
          <w:lang w:val="zh-CN"/>
        </w:rPr>
        <w:tab/>
      </w:r>
      <w:r>
        <w:rPr>
          <w:lang w:val="zh-CN"/>
        </w:rPr>
        <w:t>电信发展顾问组（</w:t>
      </w:r>
      <w:r>
        <w:rPr>
          <w:lang w:val="zh-CN"/>
        </w:rPr>
        <w:t>TDAG</w:t>
      </w:r>
      <w:r>
        <w:rPr>
          <w:lang w:val="zh-CN"/>
        </w:rPr>
        <w:t>）主席介绍了</w:t>
      </w:r>
      <w:r>
        <w:rPr>
          <w:lang w:val="zh-CN"/>
        </w:rPr>
        <w:t>C26/108</w:t>
      </w:r>
      <w:r>
        <w:rPr>
          <w:lang w:val="zh-CN"/>
        </w:rPr>
        <w:t>号文件所载的</w:t>
      </w:r>
      <w:r>
        <w:rPr>
          <w:lang w:val="zh-CN"/>
        </w:rPr>
        <w:t>TDAG</w:t>
      </w:r>
      <w:r>
        <w:rPr>
          <w:lang w:val="zh-CN"/>
        </w:rPr>
        <w:t>向理事会提交的、关于国际电联区域代表处审查报告的联络声明。</w:t>
      </w:r>
      <w:r>
        <w:rPr>
          <w:lang w:val="zh-CN"/>
        </w:rPr>
        <w:t>TDAG</w:t>
      </w:r>
      <w:r>
        <w:rPr>
          <w:lang w:val="zh-CN"/>
        </w:rPr>
        <w:t>对审查表示欢迎，</w:t>
      </w:r>
      <w:r>
        <w:rPr>
          <w:rFonts w:hint="eastAsia"/>
          <w:lang w:val="zh-CN"/>
        </w:rPr>
        <w:t>对</w:t>
      </w:r>
      <w:r>
        <w:rPr>
          <w:lang w:val="zh-CN"/>
        </w:rPr>
        <w:t>区域代表处和地区办事处</w:t>
      </w:r>
      <w:r>
        <w:rPr>
          <w:rFonts w:hint="eastAsia"/>
          <w:lang w:val="zh-CN"/>
        </w:rPr>
        <w:t>发挥</w:t>
      </w:r>
      <w:r>
        <w:rPr>
          <w:lang w:val="zh-CN"/>
        </w:rPr>
        <w:t>的重要作用</w:t>
      </w:r>
      <w:r>
        <w:rPr>
          <w:rFonts w:hint="eastAsia"/>
          <w:lang w:val="zh-CN"/>
        </w:rPr>
        <w:t>表示赞同</w:t>
      </w:r>
      <w:r>
        <w:rPr>
          <w:lang w:val="zh-CN"/>
        </w:rPr>
        <w:t>，并认可报告的高度满意度。</w:t>
      </w:r>
      <w:r>
        <w:rPr>
          <w:lang w:val="zh-CN"/>
        </w:rPr>
        <w:t>TDAG</w:t>
      </w:r>
      <w:r>
        <w:rPr>
          <w:lang w:val="zh-CN"/>
        </w:rPr>
        <w:t>还注意到已确定的改进机会，并期待进一步讨论详细的</w:t>
      </w:r>
      <w:r>
        <w:rPr>
          <w:rFonts w:hint="eastAsia"/>
          <w:lang w:val="zh-CN"/>
        </w:rPr>
        <w:t>审查</w:t>
      </w:r>
      <w:r>
        <w:rPr>
          <w:lang w:val="zh-CN"/>
        </w:rPr>
        <w:t>结果。</w:t>
      </w:r>
    </w:p>
    <w:p w14:paraId="53E4D025" w14:textId="77777777" w:rsidR="005D0721" w:rsidRPr="00D87085" w:rsidRDefault="005D0721" w:rsidP="0087719E">
      <w:pPr>
        <w:jc w:val="both"/>
        <w:rPr>
          <w:spacing w:val="-2"/>
        </w:rPr>
      </w:pPr>
      <w:r>
        <w:rPr>
          <w:lang w:val="zh-CN"/>
        </w:rPr>
        <w:t>3.3</w:t>
      </w:r>
      <w:r>
        <w:rPr>
          <w:lang w:val="zh-CN"/>
        </w:rPr>
        <w:tab/>
      </w:r>
      <w:r>
        <w:rPr>
          <w:lang w:val="zh-CN"/>
        </w:rPr>
        <w:t>理事们欢迎在现有资源范围内并在成员国的参与下进行的全面审查，并</w:t>
      </w:r>
      <w:r>
        <w:rPr>
          <w:rFonts w:hint="eastAsia"/>
          <w:lang w:val="zh-CN"/>
        </w:rPr>
        <w:t>对</w:t>
      </w:r>
      <w:r>
        <w:rPr>
          <w:lang w:val="zh-CN"/>
        </w:rPr>
        <w:t>积极的调查结果</w:t>
      </w:r>
      <w:r>
        <w:rPr>
          <w:rFonts w:hint="eastAsia"/>
          <w:lang w:val="zh-CN"/>
        </w:rPr>
        <w:t>表示</w:t>
      </w:r>
      <w:r>
        <w:rPr>
          <w:lang w:val="zh-CN"/>
        </w:rPr>
        <w:t>赞赏，区域代表处运作良好，代表处</w:t>
      </w:r>
      <w:r>
        <w:rPr>
          <w:rFonts w:hint="eastAsia"/>
          <w:lang w:val="zh-CN"/>
        </w:rPr>
        <w:t>和办事处</w:t>
      </w:r>
      <w:r>
        <w:rPr>
          <w:lang w:val="zh-CN"/>
        </w:rPr>
        <w:t>在向成员国，特别是发展中国家提供支持方面发挥着核心作用。他们强调，必须进一步加强区域代表处的作用，以应对每个区域不断增长的期望和具体需求。一位理事呼吁</w:t>
      </w:r>
      <w:r>
        <w:rPr>
          <w:rFonts w:hint="eastAsia"/>
          <w:lang w:val="zh-CN"/>
        </w:rPr>
        <w:t>，</w:t>
      </w:r>
      <w:r>
        <w:rPr>
          <w:lang w:val="zh-CN"/>
        </w:rPr>
        <w:t>区域性举措</w:t>
      </w:r>
      <w:r>
        <w:t>应</w:t>
      </w:r>
      <w:r>
        <w:rPr>
          <w:lang w:val="zh-CN"/>
        </w:rPr>
        <w:t>与各国政府确定的重点挑战更加紧密地</w:t>
      </w:r>
      <w:r>
        <w:t>对接</w:t>
      </w:r>
      <w:r>
        <w:rPr>
          <w:lang w:val="zh-CN"/>
        </w:rPr>
        <w:t>，区域性活动应更具战略性，与发展框架更加一致，并能够更好地吸引持续实施支持。</w:t>
      </w:r>
    </w:p>
    <w:p w14:paraId="0C11EEFD" w14:textId="77777777" w:rsidR="005D0721" w:rsidRDefault="005D0721" w:rsidP="0087719E">
      <w:pPr>
        <w:jc w:val="both"/>
      </w:pPr>
      <w:r>
        <w:rPr>
          <w:lang w:val="zh-CN"/>
        </w:rPr>
        <w:t>3.4</w:t>
      </w:r>
      <w:r>
        <w:rPr>
          <w:lang w:val="zh-CN"/>
        </w:rPr>
        <w:tab/>
      </w:r>
      <w:r>
        <w:rPr>
          <w:lang w:val="zh-CN"/>
        </w:rPr>
        <w:t>许多理事认为，区域代表处和地区办事处是履行国际电联职责的战略资产。它们是许多国家与国际电联的主要接口，必须</w:t>
      </w:r>
      <w:r>
        <w:rPr>
          <w:rFonts w:hint="eastAsia"/>
          <w:lang w:val="zh-CN"/>
        </w:rPr>
        <w:t>配备</w:t>
      </w:r>
      <w:r>
        <w:rPr>
          <w:lang w:val="zh-CN"/>
        </w:rPr>
        <w:t>充足的资源以满足日益增长的期望。许多理事重申支持审查结果，并强调需要解决人员配备差距和招聘延迟问题。</w:t>
      </w:r>
    </w:p>
    <w:p w14:paraId="270A27B1" w14:textId="77777777" w:rsidR="005D0721" w:rsidRPr="00EF34AB" w:rsidRDefault="005D0721" w:rsidP="0087719E">
      <w:pPr>
        <w:jc w:val="both"/>
        <w:rPr>
          <w:strike/>
        </w:rPr>
      </w:pPr>
      <w:r>
        <w:rPr>
          <w:lang w:val="zh-CN"/>
        </w:rPr>
        <w:t>3.5</w:t>
      </w:r>
      <w:r>
        <w:rPr>
          <w:lang w:val="zh-CN"/>
        </w:rPr>
        <w:tab/>
      </w:r>
      <w:r>
        <w:rPr>
          <w:lang w:val="zh-CN"/>
        </w:rPr>
        <w:t>一些理事建议，区域代表处应拥有国际电联所有三个部门而不仅仅是</w:t>
      </w:r>
      <w:r>
        <w:rPr>
          <w:lang w:val="zh-CN"/>
        </w:rPr>
        <w:t>ITU-D</w:t>
      </w:r>
      <w:r>
        <w:rPr>
          <w:lang w:val="zh-CN"/>
        </w:rPr>
        <w:t>的专业人员，而且区域性活动应在所有三个部门之间均衡地开展。一位理事呼吁所有三个局都亲自到她所在的区域开展工作，并建议将一些运作和项目决策职能下放给区域代表处，从而减少程序上的拖延，确保做出更及时的</w:t>
      </w:r>
      <w:r>
        <w:rPr>
          <w:rFonts w:hint="eastAsia"/>
          <w:lang w:val="zh-CN"/>
        </w:rPr>
        <w:t>响应</w:t>
      </w:r>
      <w:r>
        <w:rPr>
          <w:lang w:val="zh-CN"/>
        </w:rPr>
        <w:t>。另一位理事呼吁在适当的监督下在区域层面与总部之间进行有效协调，并与其他国际组织进一步合作，汇集能力和资源，并强调有必要</w:t>
      </w:r>
      <w:r>
        <w:rPr>
          <w:rFonts w:hint="eastAsia"/>
          <w:lang w:val="zh-CN"/>
        </w:rPr>
        <w:t>兼顾</w:t>
      </w:r>
      <w:r>
        <w:rPr>
          <w:lang w:val="zh-CN"/>
        </w:rPr>
        <w:t>联合国</w:t>
      </w:r>
      <w:r>
        <w:rPr>
          <w:lang w:val="zh-CN"/>
        </w:rPr>
        <w:t>80</w:t>
      </w:r>
      <w:r>
        <w:rPr>
          <w:lang w:val="zh-CN"/>
        </w:rPr>
        <w:t>周年</w:t>
      </w:r>
      <w:r>
        <w:rPr>
          <w:rFonts w:hint="eastAsia"/>
          <w:lang w:val="zh-CN"/>
        </w:rPr>
        <w:t>的各项</w:t>
      </w:r>
      <w:r>
        <w:rPr>
          <w:lang w:val="zh-CN"/>
        </w:rPr>
        <w:t>举措。另一位理事虽然支持与联合国机构进行协调以有效支持区域性工作，但对分散化无线电通信和标准化部门工作的可行性表示怀疑，强调了避免区域代表处和总部之间工作重复的重要性，并建议必须评估此类决定的成本影响。</w:t>
      </w:r>
    </w:p>
    <w:p w14:paraId="4BA18B97" w14:textId="77777777" w:rsidR="005D0721" w:rsidRPr="00EF34AB" w:rsidRDefault="005D0721" w:rsidP="0087719E">
      <w:pPr>
        <w:jc w:val="both"/>
      </w:pPr>
      <w:r>
        <w:rPr>
          <w:lang w:val="zh-CN"/>
        </w:rPr>
        <w:t>3.6</w:t>
      </w:r>
      <w:r>
        <w:rPr>
          <w:lang w:val="zh-CN"/>
        </w:rPr>
        <w:tab/>
      </w:r>
      <w:r w:rsidRPr="00032BA3">
        <w:rPr>
          <w:lang w:val="zh-CN"/>
        </w:rPr>
        <w:t>一位理事说，尽管审查确定了需要改进的重要领域，</w:t>
      </w:r>
      <w:r>
        <w:t>但本应阐明持续存在的问题背后的深层原因</w:t>
      </w:r>
      <w:r w:rsidRPr="00032BA3">
        <w:rPr>
          <w:lang w:val="zh-CN"/>
        </w:rPr>
        <w:t>。他呼吁进一步澄清根本原因、</w:t>
      </w:r>
      <w:r>
        <w:rPr>
          <w:lang w:val="zh-CN"/>
        </w:rPr>
        <w:t>拟议的所需战略、各自的实施责任和预期时间表。另一位理事呼吁为区域代表处提供充足和可预测的资源，特别是在发展中地区，并改善人员配备、招聘和项目执行。此外，还需要更清晰的关键绩效指标来</w:t>
      </w:r>
      <w:r>
        <w:t>提升工作成效</w:t>
      </w:r>
      <w:r>
        <w:rPr>
          <w:lang w:val="zh-CN"/>
        </w:rPr>
        <w:t>。一位理事希望了解该报告是否已与</w:t>
      </w:r>
      <w:r>
        <w:rPr>
          <w:lang w:val="zh-CN"/>
        </w:rPr>
        <w:t>IMAC</w:t>
      </w:r>
      <w:r>
        <w:rPr>
          <w:lang w:val="zh-CN"/>
        </w:rPr>
        <w:t>和外部审计员分享。</w:t>
      </w:r>
    </w:p>
    <w:p w14:paraId="0F74F4FA" w14:textId="77777777" w:rsidR="005D0721" w:rsidRPr="00EF34AB" w:rsidRDefault="005D0721" w:rsidP="0087719E">
      <w:pPr>
        <w:jc w:val="both"/>
      </w:pPr>
      <w:r>
        <w:rPr>
          <w:lang w:val="zh-CN"/>
        </w:rPr>
        <w:t>3.7</w:t>
      </w:r>
      <w:r>
        <w:rPr>
          <w:lang w:val="zh-CN"/>
        </w:rPr>
        <w:tab/>
      </w:r>
      <w:r>
        <w:rPr>
          <w:lang w:val="zh-CN"/>
        </w:rPr>
        <w:t>一位理事说，目前的审查应建立在以前的评估基础上，例如普华永道在</w:t>
      </w:r>
      <w:r>
        <w:rPr>
          <w:lang w:val="zh-CN"/>
        </w:rPr>
        <w:t>2019</w:t>
      </w:r>
      <w:r>
        <w:rPr>
          <w:lang w:val="zh-CN"/>
        </w:rPr>
        <w:t>年对国际电联区域代表处进行的审查。另一位理事指出，许多调查结果与普华永道审查的结果一致，需要采取切实行动。他提请会议注意外部审计员有关</w:t>
      </w:r>
      <w:r>
        <w:t>日内瓦总部运营成本过高</w:t>
      </w:r>
      <w:r>
        <w:rPr>
          <w:lang w:val="zh-CN"/>
        </w:rPr>
        <w:t>的意见，并呼吁将权力下放作为审查国际电联整体运作模式的一部分。</w:t>
      </w:r>
    </w:p>
    <w:p w14:paraId="14E6DB7D" w14:textId="77777777" w:rsidR="005D0721" w:rsidRPr="00D40274" w:rsidRDefault="005D0721" w:rsidP="0087719E">
      <w:pPr>
        <w:jc w:val="both"/>
        <w:rPr>
          <w:spacing w:val="-2"/>
        </w:rPr>
      </w:pPr>
      <w:r>
        <w:rPr>
          <w:lang w:val="zh-CN"/>
        </w:rPr>
        <w:lastRenderedPageBreak/>
        <w:t>3.8</w:t>
      </w:r>
      <w:r>
        <w:rPr>
          <w:lang w:val="zh-CN"/>
        </w:rPr>
        <w:tab/>
      </w:r>
      <w:r>
        <w:rPr>
          <w:lang w:val="zh-CN"/>
        </w:rPr>
        <w:t>希望能在</w:t>
      </w:r>
      <w:r>
        <w:rPr>
          <w:lang w:val="zh-CN"/>
        </w:rPr>
        <w:t>PP-26</w:t>
      </w:r>
      <w:r>
        <w:rPr>
          <w:lang w:val="zh-CN"/>
        </w:rPr>
        <w:t>之前更清楚地报告</w:t>
      </w:r>
      <w:r>
        <w:t>已</w:t>
      </w:r>
      <w:r>
        <w:rPr>
          <w:lang w:val="zh-CN"/>
        </w:rPr>
        <w:t>取得的进展、未决问题和需要采取的行动，并提供有关后续步骤的信息。一位理事表示支持继续</w:t>
      </w:r>
      <w:r>
        <w:t>开展</w:t>
      </w:r>
      <w:r>
        <w:rPr>
          <w:lang w:val="zh-CN"/>
        </w:rPr>
        <w:t>审查</w:t>
      </w:r>
      <w:r>
        <w:t>工作</w:t>
      </w:r>
      <w:r>
        <w:rPr>
          <w:lang w:val="zh-CN"/>
        </w:rPr>
        <w:t>，以确保区域代表处与成员的需求保持一致。另一位理事指出，促使</w:t>
      </w:r>
      <w:r>
        <w:t>该国</w:t>
      </w:r>
      <w:r>
        <w:rPr>
          <w:lang w:val="zh-CN"/>
        </w:rPr>
        <w:t>向理事会</w:t>
      </w:r>
      <w:r>
        <w:rPr>
          <w:lang w:val="zh-CN"/>
        </w:rPr>
        <w:t>2024</w:t>
      </w:r>
      <w:r>
        <w:rPr>
          <w:lang w:val="zh-CN"/>
        </w:rPr>
        <w:t>年会议提交有关区域代表处的文稿的条件仍然存在，</w:t>
      </w:r>
      <w:r>
        <w:t>因此</w:t>
      </w:r>
      <w:r>
        <w:rPr>
          <w:lang w:val="zh-CN"/>
        </w:rPr>
        <w:t>呼吁采取切实行动，通过区域代表处加强国际电联的三个部门。</w:t>
      </w:r>
    </w:p>
    <w:p w14:paraId="777EF484" w14:textId="77777777" w:rsidR="005D0721" w:rsidRPr="00EF34AB" w:rsidRDefault="005D0721" w:rsidP="0087719E">
      <w:pPr>
        <w:jc w:val="both"/>
      </w:pPr>
      <w:r>
        <w:rPr>
          <w:lang w:val="zh-CN"/>
        </w:rPr>
        <w:t>3.9</w:t>
      </w:r>
      <w:r>
        <w:rPr>
          <w:lang w:val="zh-CN"/>
        </w:rPr>
        <w:tab/>
      </w:r>
      <w:r>
        <w:rPr>
          <w:lang w:val="zh-CN"/>
        </w:rPr>
        <w:t>电信发展局副主任感谢理事们的支持和建设性发言。在回应评论意见时，她表示，审查工作吸收了一系列输入意见，以确保分析全面并反映成员的不同观点。虽然她理解理事们渴望了解下一步行动，但现阶段的意图不是提出规范性的建议，而是以清晰连贯的方式提供证据基础，以便成员可以考虑调查结果并确定</w:t>
      </w:r>
      <w:r>
        <w:t>未来的发展</w:t>
      </w:r>
      <w:r>
        <w:rPr>
          <w:lang w:val="zh-CN"/>
        </w:rPr>
        <w:t>方向。</w:t>
      </w:r>
      <w:r>
        <w:rPr>
          <w:lang w:val="zh-CN"/>
        </w:rPr>
        <w:t>C26/24</w:t>
      </w:r>
      <w:r>
        <w:rPr>
          <w:lang w:val="zh-CN"/>
        </w:rPr>
        <w:t>号文件综合了来自所有来源的数据，并介绍了审查的主要结果。</w:t>
      </w:r>
      <w:r>
        <w:t>详细的</w:t>
      </w:r>
      <w:r>
        <w:rPr>
          <w:rFonts w:hint="eastAsia"/>
        </w:rPr>
        <w:t>审查</w:t>
      </w:r>
      <w:r>
        <w:t>结果已提交给</w:t>
      </w:r>
      <w:r>
        <w:rPr>
          <w:lang w:val="zh-CN"/>
        </w:rPr>
        <w:t>独立管理顾问委员会（</w:t>
      </w:r>
      <w:r>
        <w:rPr>
          <w:lang w:val="zh-CN"/>
        </w:rPr>
        <w:t>IMAC</w:t>
      </w:r>
      <w:r>
        <w:rPr>
          <w:lang w:val="zh-CN"/>
        </w:rPr>
        <w:t>）</w:t>
      </w:r>
      <w:r>
        <w:rPr>
          <w:rFonts w:hint="eastAsia"/>
          <w:lang w:val="zh-CN"/>
        </w:rPr>
        <w:t>，</w:t>
      </w:r>
      <w:r>
        <w:t>并得到了该委员会的欢迎。</w:t>
      </w:r>
      <w:r>
        <w:rPr>
          <w:lang w:val="zh-CN"/>
        </w:rPr>
        <w:t>在整个审查过程中，报告已与外部和内部审计员、道德规范办公室、理事会各工作组和</w:t>
      </w:r>
      <w:r>
        <w:rPr>
          <w:rFonts w:hint="eastAsia"/>
          <w:lang w:val="zh-CN"/>
        </w:rPr>
        <w:t>顾问</w:t>
      </w:r>
      <w:r>
        <w:rPr>
          <w:lang w:val="zh-CN"/>
        </w:rPr>
        <w:t>机构分享，所收到的反馈已得到考虑。</w:t>
      </w:r>
    </w:p>
    <w:p w14:paraId="5C776F4D" w14:textId="77777777" w:rsidR="005D0721" w:rsidRPr="002C7E69" w:rsidRDefault="005D0721" w:rsidP="0087719E">
      <w:pPr>
        <w:jc w:val="both"/>
      </w:pPr>
      <w:r>
        <w:rPr>
          <w:lang w:val="zh-CN"/>
        </w:rPr>
        <w:t>3.10</w:t>
      </w:r>
      <w:r>
        <w:rPr>
          <w:lang w:val="zh-CN"/>
        </w:rPr>
        <w:tab/>
      </w:r>
      <w:r>
        <w:rPr>
          <w:lang w:val="zh-CN"/>
        </w:rPr>
        <w:t>电信发展局主任解释说，电信发展局通过由总部各部门负责人和区域代表处主任组成的执行委员会与其区域代表处开展无缝合作。无论工作人员身处何地，运作规划、项目制定、监测和评估、项目收尾、影响评估和项目委员会活动都是联合进行的。技术使电信发展局能够作为一个</w:t>
      </w:r>
      <w:r>
        <w:rPr>
          <w:rFonts w:hint="eastAsia"/>
          <w:lang w:val="zh-CN"/>
        </w:rPr>
        <w:t>一体化</w:t>
      </w:r>
      <w:r>
        <w:rPr>
          <w:lang w:val="zh-CN"/>
        </w:rPr>
        <w:t>团队运作。关于跨区域的项目数量，项目分布并非完全由电信发展局决定。很大一部分活动取决于资源筹措和捐助方的偏好。当合作伙伴为撒哈拉以南非洲、太平洋或加勒比海等特定区域划拨资金时，电信发展局会</w:t>
      </w:r>
      <w:r>
        <w:t>据此</w:t>
      </w:r>
      <w:r>
        <w:rPr>
          <w:lang w:val="zh-CN"/>
        </w:rPr>
        <w:t>相应地调整其工作。运作规划遵循</w:t>
      </w:r>
      <w:r>
        <w:t>一个</w:t>
      </w:r>
      <w:r>
        <w:rPr>
          <w:lang w:val="zh-CN"/>
        </w:rPr>
        <w:t>为期</w:t>
      </w:r>
      <w:r>
        <w:rPr>
          <w:lang w:val="zh-CN"/>
        </w:rPr>
        <w:t>12</w:t>
      </w:r>
      <w:r>
        <w:rPr>
          <w:lang w:val="zh-CN"/>
        </w:rPr>
        <w:t>个月</w:t>
      </w:r>
      <w:r>
        <w:rPr>
          <w:rFonts w:hint="eastAsia"/>
          <w:lang w:val="zh-CN"/>
        </w:rPr>
        <w:t>、</w:t>
      </w:r>
      <w:r>
        <w:t>受</w:t>
      </w:r>
      <w:r>
        <w:rPr>
          <w:lang w:val="zh-CN"/>
        </w:rPr>
        <w:t>IPSAS</w:t>
      </w:r>
      <w:r>
        <w:t>规范的流程</w:t>
      </w:r>
      <w:r>
        <w:rPr>
          <w:lang w:val="zh-CN"/>
        </w:rPr>
        <w:t>，在此期间</w:t>
      </w:r>
      <w:r>
        <w:rPr>
          <w:rFonts w:hint="eastAsia"/>
          <w:lang w:val="zh-CN"/>
        </w:rPr>
        <w:t>，</w:t>
      </w:r>
      <w:r>
        <w:rPr>
          <w:lang w:val="zh-CN"/>
        </w:rPr>
        <w:t>成员国</w:t>
      </w:r>
      <w:r>
        <w:t>将</w:t>
      </w:r>
      <w:r>
        <w:rPr>
          <w:lang w:val="zh-CN"/>
        </w:rPr>
        <w:t>确定其</w:t>
      </w:r>
      <w:r>
        <w:t>自身</w:t>
      </w:r>
      <w:r>
        <w:rPr>
          <w:lang w:val="zh-CN"/>
        </w:rPr>
        <w:t>需求。</w:t>
      </w:r>
      <w:r>
        <w:t>随后，将</w:t>
      </w:r>
      <w:r>
        <w:rPr>
          <w:lang w:val="zh-CN"/>
        </w:rPr>
        <w:t>采用基于结果的管理方法制定活动</w:t>
      </w:r>
      <w:r>
        <w:t>方案</w:t>
      </w:r>
      <w:r>
        <w:rPr>
          <w:lang w:val="zh-CN"/>
        </w:rPr>
        <w:t>。预算拨款</w:t>
      </w:r>
      <w:r>
        <w:t>采用标准化方法</w:t>
      </w:r>
      <w:r>
        <w:rPr>
          <w:lang w:val="zh-CN"/>
        </w:rPr>
        <w:t>，这意味着各区域之间不应存在固有差异。差异通常来自外部筹措的资源和共同出资安排。电信发展局</w:t>
      </w:r>
      <w:r>
        <w:t>始终</w:t>
      </w:r>
      <w:r>
        <w:rPr>
          <w:lang w:val="zh-CN"/>
        </w:rPr>
        <w:t>致力于</w:t>
      </w:r>
      <w:r>
        <w:t>包容性、公平性、透明度和问责制，并有证据证明这些原则在实践中得到了贯彻</w:t>
      </w:r>
      <w:r>
        <w:rPr>
          <w:rFonts w:ascii="SimSun" w:hAnsi="SimSun" w:cs="SimSun" w:hint="eastAsia"/>
        </w:rPr>
        <w:t>。</w:t>
      </w:r>
    </w:p>
    <w:p w14:paraId="6CF5C6D8" w14:textId="77777777" w:rsidR="005D0721" w:rsidRDefault="005D0721" w:rsidP="0087719E">
      <w:pPr>
        <w:jc w:val="both"/>
        <w:rPr>
          <w:lang w:val="zh-CN"/>
        </w:rPr>
      </w:pPr>
      <w:r>
        <w:rPr>
          <w:lang w:val="zh-CN"/>
        </w:rPr>
        <w:t>3.11</w:t>
      </w:r>
      <w:r>
        <w:rPr>
          <w:lang w:val="zh-CN"/>
        </w:rPr>
        <w:tab/>
      </w:r>
      <w:r>
        <w:rPr>
          <w:lang w:val="zh-CN"/>
        </w:rPr>
        <w:t>在谈到区域代表处评估时，电信发展局欢迎澳大利亚通过协议支持开展可行性研究，并指出，正在根据</w:t>
      </w:r>
      <w:r>
        <w:t>各部长在</w:t>
      </w:r>
      <w:r>
        <w:rPr>
          <w:lang w:val="zh-CN"/>
        </w:rPr>
        <w:t>巴布亚新几内亚通过的《拉加托伊宣言》进行磋商。主任指出，这一进程</w:t>
      </w:r>
      <w:r>
        <w:t>全面</w:t>
      </w:r>
      <w:r>
        <w:rPr>
          <w:lang w:val="zh-CN"/>
        </w:rPr>
        <w:t>且成熟，与</w:t>
      </w:r>
      <w:r>
        <w:t>此前在</w:t>
      </w:r>
      <w:r>
        <w:rPr>
          <w:lang w:val="zh-CN"/>
        </w:rPr>
        <w:t>加勒比地区采取的方式相似。关于</w:t>
      </w:r>
      <w:r>
        <w:t>此次</w:t>
      </w:r>
      <w:r>
        <w:rPr>
          <w:lang w:val="zh-CN"/>
        </w:rPr>
        <w:t>审查，秘书处在早期阶段应成员国的要求进行了数据收集，并与</w:t>
      </w:r>
      <w:r>
        <w:rPr>
          <w:lang w:val="zh-CN"/>
        </w:rPr>
        <w:t>IMAC</w:t>
      </w:r>
      <w:r>
        <w:rPr>
          <w:lang w:val="zh-CN"/>
        </w:rPr>
        <w:t>进行了密切接触，后者对审查进程和审查结果均表示满意。电信发展局还定期向理事会工作组报告，并与包括职员、成员国、私营部门、部门成员和学术界在内的广泛的利益攸关方进行磋商。还征求了内部和外部审计员的反馈意见。</w:t>
      </w:r>
      <w:r>
        <w:t>确保透明度，</w:t>
      </w:r>
      <w:r>
        <w:rPr>
          <w:lang w:val="zh-CN"/>
        </w:rPr>
        <w:t>举办了多次情况通报会。作为评估基础的原始数据可供审查，</w:t>
      </w:r>
      <w:r>
        <w:t>且未经任何修改</w:t>
      </w:r>
      <w:r>
        <w:rPr>
          <w:lang w:val="zh-CN"/>
        </w:rPr>
        <w:t>。电信发展局主任强调，其职责是介绍调查结果，而不是</w:t>
      </w:r>
      <w:r>
        <w:t>提出</w:t>
      </w:r>
      <w:r>
        <w:rPr>
          <w:lang w:val="zh-CN"/>
        </w:rPr>
        <w:t>建议，且报告反映</w:t>
      </w:r>
      <w:r>
        <w:t>了</w:t>
      </w:r>
      <w:r>
        <w:rPr>
          <w:lang w:val="zh-CN"/>
        </w:rPr>
        <w:t>所收集的证据。</w:t>
      </w:r>
      <w:r>
        <w:t>该局</w:t>
      </w:r>
      <w:r>
        <w:rPr>
          <w:lang w:val="zh-CN"/>
        </w:rPr>
        <w:t>统计团队进行了全面分析，确保与国际电联战略规划</w:t>
      </w:r>
      <w:r>
        <w:t>所用</w:t>
      </w:r>
      <w:r>
        <w:rPr>
          <w:lang w:val="zh-CN"/>
        </w:rPr>
        <w:t>指标保持一致。</w:t>
      </w:r>
    </w:p>
    <w:p w14:paraId="2BDA3F8F" w14:textId="77777777" w:rsidR="005D0721" w:rsidRDefault="005D0721" w:rsidP="0087719E">
      <w:pPr>
        <w:jc w:val="both"/>
      </w:pPr>
      <w:r>
        <w:rPr>
          <w:lang w:val="zh-CN"/>
        </w:rPr>
        <w:t>3.12</w:t>
      </w:r>
      <w:r>
        <w:rPr>
          <w:lang w:val="zh-CN"/>
        </w:rPr>
        <w:tab/>
      </w:r>
      <w:r>
        <w:t>主任在总结时指出，成员给予了大力支持，这体现在约</w:t>
      </w:r>
      <w:r>
        <w:t>77%</w:t>
      </w:r>
      <w:r>
        <w:t>至</w:t>
      </w:r>
      <w:r>
        <w:t>80%</w:t>
      </w:r>
      <w:r>
        <w:t>这一极高的回复率上，</w:t>
      </w:r>
      <w:r>
        <w:rPr>
          <w:rFonts w:hint="eastAsia"/>
          <w:lang w:val="zh-CN"/>
        </w:rPr>
        <w:t>并</w:t>
      </w:r>
      <w:r>
        <w:rPr>
          <w:lang w:val="zh-CN"/>
        </w:rPr>
        <w:t>感谢成员国对这项工作的积极参与。</w:t>
      </w:r>
    </w:p>
    <w:p w14:paraId="6EC52AC9" w14:textId="77777777" w:rsidR="005D0721" w:rsidRPr="00EF34AB" w:rsidRDefault="005D0721" w:rsidP="0087719E">
      <w:pPr>
        <w:jc w:val="both"/>
      </w:pPr>
      <w:r>
        <w:rPr>
          <w:lang w:val="zh-CN"/>
        </w:rPr>
        <w:t>3.13</w:t>
      </w:r>
      <w:r>
        <w:rPr>
          <w:lang w:val="zh-CN"/>
        </w:rPr>
        <w:tab/>
      </w:r>
      <w:r>
        <w:rPr>
          <w:lang w:val="zh-CN"/>
        </w:rPr>
        <w:t>人力资源管理部（</w:t>
      </w:r>
      <w:r>
        <w:rPr>
          <w:lang w:val="zh-CN"/>
        </w:rPr>
        <w:t>HRMD</w:t>
      </w:r>
      <w:r>
        <w:rPr>
          <w:lang w:val="zh-CN"/>
        </w:rPr>
        <w:t>）主任在回应评论时说，招聘政策和招聘管理系统正在审查中。预计将于</w:t>
      </w:r>
      <w:r>
        <w:rPr>
          <w:lang w:val="zh-CN"/>
        </w:rPr>
        <w:t>2026</w:t>
      </w:r>
      <w:r>
        <w:rPr>
          <w:lang w:val="zh-CN"/>
        </w:rPr>
        <w:t>年底推出一个具有明确问责制和时间表的新的、更有效的系统。</w:t>
      </w:r>
      <w:r>
        <w:t>正在加强人力规划工作，并考虑分配空缺职位，</w:t>
      </w:r>
      <w:r>
        <w:rPr>
          <w:lang w:val="zh-CN"/>
        </w:rPr>
        <w:t>以更好地满足成员国和受益方的需求。</w:t>
      </w:r>
      <w:r>
        <w:rPr>
          <w:lang w:val="zh-CN"/>
        </w:rPr>
        <w:t>HRMD</w:t>
      </w:r>
      <w:r>
        <w:rPr>
          <w:lang w:val="zh-CN"/>
        </w:rPr>
        <w:t>致力于确保包容性的培训机会，</w:t>
      </w:r>
      <w:r>
        <w:t>并满足所有地点的学习需求</w:t>
      </w:r>
      <w:r>
        <w:rPr>
          <w:rFonts w:ascii="SimSun" w:hAnsi="SimSun" w:cs="SimSun" w:hint="eastAsia"/>
        </w:rPr>
        <w:t>。</w:t>
      </w:r>
    </w:p>
    <w:p w14:paraId="1D07590F" w14:textId="77777777" w:rsidR="005D0721" w:rsidRPr="00EF34AB" w:rsidRDefault="005D0721" w:rsidP="0087719E">
      <w:pPr>
        <w:jc w:val="both"/>
      </w:pPr>
      <w:r>
        <w:rPr>
          <w:lang w:val="zh-CN"/>
        </w:rPr>
        <w:t>3.14</w:t>
      </w:r>
      <w:r>
        <w:rPr>
          <w:lang w:val="zh-CN"/>
        </w:rPr>
        <w:tab/>
      </w:r>
      <w:r>
        <w:rPr>
          <w:lang w:val="zh-CN"/>
        </w:rPr>
        <w:t>理事会将</w:t>
      </w:r>
      <w:r>
        <w:rPr>
          <w:lang w:val="zh-CN"/>
        </w:rPr>
        <w:t>C26/24</w:t>
      </w:r>
      <w:r>
        <w:rPr>
          <w:lang w:val="zh-CN"/>
        </w:rPr>
        <w:t>号文件中的报告</w:t>
      </w:r>
      <w:r w:rsidRPr="00B66DB7">
        <w:rPr>
          <w:b/>
          <w:bCs/>
          <w:lang w:val="zh-CN"/>
        </w:rPr>
        <w:t>记录在案</w:t>
      </w:r>
      <w:r>
        <w:rPr>
          <w:lang w:val="zh-CN"/>
        </w:rPr>
        <w:t>，并</w:t>
      </w:r>
      <w:r w:rsidRPr="00B66DB7">
        <w:rPr>
          <w:b/>
          <w:bCs/>
          <w:lang w:val="zh-CN"/>
        </w:rPr>
        <w:t>责成</w:t>
      </w:r>
      <w:r>
        <w:rPr>
          <w:lang w:val="zh-CN"/>
        </w:rPr>
        <w:t>秘书长在</w:t>
      </w:r>
      <w:r>
        <w:rPr>
          <w:rFonts w:hint="eastAsia"/>
          <w:lang w:val="zh-CN"/>
        </w:rPr>
        <w:t>兼顾各</w:t>
      </w:r>
      <w:r>
        <w:rPr>
          <w:lang w:val="zh-CN"/>
        </w:rPr>
        <w:t>理事</w:t>
      </w:r>
      <w:r>
        <w:rPr>
          <w:rFonts w:hint="eastAsia"/>
          <w:lang w:val="zh-CN"/>
        </w:rPr>
        <w:t>的</w:t>
      </w:r>
      <w:r>
        <w:rPr>
          <w:lang w:val="zh-CN"/>
        </w:rPr>
        <w:t>意见的情况下，向</w:t>
      </w:r>
      <w:r>
        <w:rPr>
          <w:lang w:val="zh-CN"/>
        </w:rPr>
        <w:t>PP-26</w:t>
      </w:r>
      <w:r>
        <w:rPr>
          <w:lang w:val="zh-CN"/>
        </w:rPr>
        <w:t>提交一份最新报告。</w:t>
      </w:r>
    </w:p>
    <w:p w14:paraId="3DF047A0" w14:textId="77777777" w:rsidR="005D0721" w:rsidRPr="00EF34AB" w:rsidRDefault="005D0721" w:rsidP="005D0721">
      <w:pPr>
        <w:pStyle w:val="Heading1"/>
      </w:pPr>
      <w:r>
        <w:rPr>
          <w:bCs/>
          <w:szCs w:val="24"/>
          <w:lang w:val="zh-CN"/>
        </w:rPr>
        <w:lastRenderedPageBreak/>
        <w:t>4</w:t>
      </w:r>
      <w:r>
        <w:rPr>
          <w:szCs w:val="24"/>
          <w:lang w:val="zh-CN"/>
        </w:rPr>
        <w:tab/>
      </w:r>
      <w:r>
        <w:rPr>
          <w:color w:val="000000"/>
          <w:szCs w:val="24"/>
          <w:lang w:val="zh-CN"/>
        </w:rPr>
        <w:t>关于世界电信发展大会（</w:t>
      </w:r>
      <w:r>
        <w:rPr>
          <w:color w:val="000000"/>
          <w:szCs w:val="24"/>
        </w:rPr>
        <w:t>2025</w:t>
      </w:r>
      <w:r>
        <w:rPr>
          <w:rFonts w:eastAsiaTheme="minorEastAsia" w:hint="eastAsia"/>
          <w:color w:val="000000"/>
          <w:szCs w:val="24"/>
        </w:rPr>
        <w:t>年，巴库</w:t>
      </w:r>
      <w:r>
        <w:rPr>
          <w:color w:val="000000"/>
          <w:szCs w:val="24"/>
          <w:lang w:val="zh-CN"/>
        </w:rPr>
        <w:t>）的报告</w:t>
      </w:r>
      <w:r>
        <w:rPr>
          <w:szCs w:val="24"/>
          <w:lang w:val="zh-CN"/>
        </w:rPr>
        <w:t>（</w:t>
      </w:r>
      <w:hyperlink r:id="rId23" w:history="1">
        <w:r w:rsidRPr="00EF34AB">
          <w:rPr>
            <w:rStyle w:val="Hyperlink"/>
            <w:rFonts w:eastAsia="SimSun"/>
            <w:szCs w:val="24"/>
          </w:rPr>
          <w:t>C26/30</w:t>
        </w:r>
      </w:hyperlink>
      <w:r>
        <w:rPr>
          <w:szCs w:val="24"/>
          <w:lang w:val="zh-CN"/>
        </w:rPr>
        <w:t>号文件）</w:t>
      </w:r>
      <w:hyperlink r:id="rId24" w:history="1"/>
    </w:p>
    <w:p w14:paraId="45F8A149" w14:textId="471A8D8B" w:rsidR="005D0721" w:rsidRPr="00EF34AB" w:rsidRDefault="005D0721" w:rsidP="0087719E">
      <w:pPr>
        <w:jc w:val="both"/>
      </w:pPr>
      <w:r>
        <w:rPr>
          <w:lang w:val="zh-CN"/>
        </w:rPr>
        <w:t>4.1</w:t>
      </w:r>
      <w:r>
        <w:rPr>
          <w:lang w:val="zh-CN"/>
        </w:rPr>
        <w:tab/>
      </w:r>
      <w:r>
        <w:rPr>
          <w:lang w:val="zh-CN"/>
        </w:rPr>
        <w:t>电信发展局副主任介绍了</w:t>
      </w:r>
      <w:r>
        <w:rPr>
          <w:lang w:val="zh-CN"/>
        </w:rPr>
        <w:t>C26/30</w:t>
      </w:r>
      <w:r>
        <w:rPr>
          <w:lang w:val="zh-CN"/>
        </w:rPr>
        <w:t>号文件，该文件介绍了世界电信发展大会（</w:t>
      </w:r>
      <w:r>
        <w:rPr>
          <w:lang w:val="zh-CN"/>
        </w:rPr>
        <w:t>2025</w:t>
      </w:r>
      <w:r>
        <w:rPr>
          <w:lang w:val="zh-CN"/>
        </w:rPr>
        <w:t>年，巴库）（</w:t>
      </w:r>
      <w:r>
        <w:rPr>
          <w:lang w:val="zh-CN"/>
        </w:rPr>
        <w:t>WTDC-25</w:t>
      </w:r>
      <w:r>
        <w:rPr>
          <w:lang w:val="zh-CN"/>
        </w:rPr>
        <w:t>）的主要成果。近</w:t>
      </w:r>
      <w:r>
        <w:rPr>
          <w:rFonts w:hint="eastAsia"/>
          <w:lang w:val="zh-CN"/>
        </w:rPr>
        <w:t>2</w:t>
      </w:r>
      <w:r w:rsidR="00AD7C70">
        <w:rPr>
          <w:lang w:val="en-US"/>
        </w:rPr>
        <w:t> </w:t>
      </w:r>
      <w:r>
        <w:rPr>
          <w:rFonts w:hint="eastAsia"/>
          <w:lang w:val="zh-CN"/>
        </w:rPr>
        <w:t>0</w:t>
      </w:r>
      <w:r>
        <w:rPr>
          <w:lang w:val="zh-CN"/>
        </w:rPr>
        <w:t>00</w:t>
      </w:r>
      <w:r>
        <w:rPr>
          <w:lang w:val="zh-CN"/>
        </w:rPr>
        <w:t>人</w:t>
      </w:r>
      <w:r>
        <w:rPr>
          <w:rFonts w:hint="eastAsia"/>
          <w:lang w:val="zh-CN"/>
        </w:rPr>
        <w:t>名与会者</w:t>
      </w:r>
      <w:r>
        <w:rPr>
          <w:lang w:val="zh-CN"/>
        </w:rPr>
        <w:t>参加了</w:t>
      </w:r>
      <w:r>
        <w:rPr>
          <w:rFonts w:hint="eastAsia"/>
          <w:lang w:val="zh-CN"/>
        </w:rPr>
        <w:t>大会</w:t>
      </w:r>
      <w:r>
        <w:rPr>
          <w:lang w:val="zh-CN"/>
        </w:rPr>
        <w:t>。《巴库宣言》提出了</w:t>
      </w:r>
      <w:r>
        <w:rPr>
          <w:rFonts w:hint="eastAsia"/>
          <w:lang w:val="zh-CN"/>
        </w:rPr>
        <w:t>一个</w:t>
      </w:r>
      <w:r>
        <w:rPr>
          <w:lang w:val="zh-CN"/>
        </w:rPr>
        <w:t>共同愿景</w:t>
      </w:r>
      <w:r>
        <w:rPr>
          <w:rFonts w:hint="eastAsia"/>
          <w:lang w:val="zh-CN"/>
        </w:rPr>
        <w:t>，要</w:t>
      </w:r>
      <w:r>
        <w:rPr>
          <w:lang w:val="zh-CN"/>
        </w:rPr>
        <w:t>实现普遍、有意义和</w:t>
      </w:r>
      <w:r>
        <w:rPr>
          <w:rFonts w:hint="eastAsia"/>
          <w:lang w:val="zh-CN"/>
        </w:rPr>
        <w:t>价格可承受</w:t>
      </w:r>
      <w:r>
        <w:rPr>
          <w:lang w:val="zh-CN"/>
        </w:rPr>
        <w:t>的连接，《巴库行动计划》将这一政治愿景转化为</w:t>
      </w:r>
      <w:r>
        <w:rPr>
          <w:lang w:val="zh-CN"/>
        </w:rPr>
        <w:t>2026-2029</w:t>
      </w:r>
      <w:r>
        <w:rPr>
          <w:lang w:val="zh-CN"/>
        </w:rPr>
        <w:t>年期间</w:t>
      </w:r>
      <w:r>
        <w:rPr>
          <w:rFonts w:hint="eastAsia"/>
          <w:lang w:val="zh-CN"/>
        </w:rPr>
        <w:t>指导</w:t>
      </w:r>
      <w:r>
        <w:rPr>
          <w:lang w:val="zh-CN"/>
        </w:rPr>
        <w:t>ITU-D</w:t>
      </w:r>
      <w:r>
        <w:rPr>
          <w:lang w:val="zh-CN"/>
        </w:rPr>
        <w:t>工作的切实</w:t>
      </w:r>
      <w:r>
        <w:rPr>
          <w:rFonts w:hint="eastAsia"/>
          <w:lang w:val="zh-CN"/>
        </w:rPr>
        <w:t>、</w:t>
      </w:r>
      <w:r>
        <w:rPr>
          <w:lang w:val="zh-CN"/>
        </w:rPr>
        <w:t>基于结果的框架。大会批准了国际电联六个区域的</w:t>
      </w:r>
      <w:r>
        <w:rPr>
          <w:lang w:val="zh-CN"/>
        </w:rPr>
        <w:t>30</w:t>
      </w:r>
      <w:r>
        <w:rPr>
          <w:lang w:val="zh-CN"/>
        </w:rPr>
        <w:t>项区域性举措，并修订了</w:t>
      </w:r>
      <w:r>
        <w:rPr>
          <w:lang w:val="zh-CN"/>
        </w:rPr>
        <w:t>2026-2029</w:t>
      </w:r>
      <w:r>
        <w:rPr>
          <w:lang w:val="zh-CN"/>
        </w:rPr>
        <w:t>年期间的</w:t>
      </w:r>
      <w:r>
        <w:rPr>
          <w:lang w:val="zh-CN"/>
        </w:rPr>
        <w:t>ITU-D</w:t>
      </w:r>
      <w:r>
        <w:rPr>
          <w:lang w:val="zh-CN"/>
        </w:rPr>
        <w:t>研究课题。</w:t>
      </w:r>
      <w:r>
        <w:rPr>
          <w:rFonts w:hint="eastAsia"/>
          <w:lang w:val="zh-CN"/>
        </w:rPr>
        <w:t>大会</w:t>
      </w:r>
      <w:r>
        <w:rPr>
          <w:lang w:val="zh-CN"/>
        </w:rPr>
        <w:t>还修订了</w:t>
      </w:r>
      <w:r>
        <w:rPr>
          <w:lang w:val="zh-CN"/>
        </w:rPr>
        <w:t>43</w:t>
      </w:r>
      <w:r>
        <w:rPr>
          <w:lang w:val="zh-CN"/>
        </w:rPr>
        <w:t>项现有决议，并通过了四项新决议。</w:t>
      </w:r>
    </w:p>
    <w:p w14:paraId="6E505764" w14:textId="77777777" w:rsidR="005D0721" w:rsidRPr="00EF34AB" w:rsidRDefault="005D0721" w:rsidP="0087719E">
      <w:pPr>
        <w:jc w:val="both"/>
      </w:pPr>
      <w:r>
        <w:rPr>
          <w:lang w:val="zh-CN"/>
        </w:rPr>
        <w:t>4.2</w:t>
      </w:r>
      <w:r>
        <w:rPr>
          <w:lang w:val="zh-CN"/>
        </w:rPr>
        <w:tab/>
      </w:r>
      <w:r>
        <w:rPr>
          <w:lang w:val="zh-CN"/>
        </w:rPr>
        <w:t>许多理事和一名观察员对阿塞拜疆出色地组织了</w:t>
      </w:r>
      <w:r>
        <w:rPr>
          <w:lang w:val="zh-CN"/>
        </w:rPr>
        <w:t>WTDC-25</w:t>
      </w:r>
      <w:r>
        <w:t>并给予</w:t>
      </w:r>
      <w:r>
        <w:rPr>
          <w:lang w:val="zh-CN"/>
        </w:rPr>
        <w:t>热情款待表示</w:t>
      </w:r>
      <w:r>
        <w:t>感谢</w:t>
      </w:r>
      <w:r>
        <w:rPr>
          <w:lang w:val="zh-CN"/>
        </w:rPr>
        <w:t>。他们对《巴库宣言》和《巴库行动计划》以及其他旨在促进包容性数字化转型的成果表示欢迎。一位理事</w:t>
      </w:r>
      <w:r>
        <w:t>希望</w:t>
      </w:r>
      <w:r>
        <w:rPr>
          <w:lang w:val="zh-CN"/>
        </w:rPr>
        <w:t>进一步澄清如何将成果与国际电联新的战略规划和运作规划保持一致。</w:t>
      </w:r>
    </w:p>
    <w:p w14:paraId="1B358A6C" w14:textId="77777777" w:rsidR="005D0721" w:rsidRPr="00EF34AB" w:rsidRDefault="005D0721" w:rsidP="0087719E">
      <w:pPr>
        <w:spacing w:line="259" w:lineRule="auto"/>
        <w:jc w:val="both"/>
      </w:pPr>
      <w:r>
        <w:rPr>
          <w:lang w:val="zh-CN"/>
        </w:rPr>
        <w:t>4.3</w:t>
      </w:r>
      <w:r>
        <w:rPr>
          <w:lang w:val="zh-CN"/>
        </w:rPr>
        <w:tab/>
      </w:r>
      <w:r>
        <w:rPr>
          <w:lang w:val="zh-CN"/>
        </w:rPr>
        <w:t>多位理事强调了务实的、基于结果的交付工作以及充足和可预测的资源对于有效落实输出成果的重要性。与各区域尽早协调，包括通过区域代表处进行协调，对于</w:t>
      </w:r>
      <w:r>
        <w:rPr>
          <w:rFonts w:hint="eastAsia"/>
          <w:lang w:val="zh-CN"/>
        </w:rPr>
        <w:t>产生</w:t>
      </w:r>
      <w:r>
        <w:rPr>
          <w:lang w:val="zh-CN"/>
        </w:rPr>
        <w:t>可衡量的影响至关重要。应定期监测进展情况，同时</w:t>
      </w:r>
      <w:r>
        <w:rPr>
          <w:rFonts w:hint="eastAsia"/>
          <w:lang w:val="zh-CN"/>
        </w:rPr>
        <w:t>兼顾</w:t>
      </w:r>
      <w:r>
        <w:rPr>
          <w:lang w:val="zh-CN"/>
        </w:rPr>
        <w:t>最脆弱国家的需求。一位理事呼吁加强相关利益攸关方之间的</w:t>
      </w:r>
      <w:r>
        <w:rPr>
          <w:rFonts w:hint="eastAsia"/>
          <w:lang w:val="zh-CN"/>
        </w:rPr>
        <w:t>协作</w:t>
      </w:r>
      <w:r>
        <w:rPr>
          <w:lang w:val="zh-CN"/>
        </w:rPr>
        <w:t>、创新融资和公私伙伴关系，以支持交付符合区域优先事项和发展需求的区域性举措。会议注意到种子融资机制对吸引捐助机构和发展伙伴的重要性。一位理事对利用</w:t>
      </w:r>
      <w:r>
        <w:rPr>
          <w:lang w:val="zh-CN"/>
        </w:rPr>
        <w:t>2025</w:t>
      </w:r>
      <w:r>
        <w:rPr>
          <w:lang w:val="zh-CN"/>
        </w:rPr>
        <w:t>年节余资金支持</w:t>
      </w:r>
      <w:r>
        <w:rPr>
          <w:rFonts w:hint="eastAsia"/>
          <w:lang w:val="zh-CN"/>
        </w:rPr>
        <w:t>落实</w:t>
      </w:r>
      <w:r>
        <w:rPr>
          <w:lang w:val="zh-CN"/>
        </w:rPr>
        <w:t>WTDC-25</w:t>
      </w:r>
      <w:r>
        <w:rPr>
          <w:lang w:val="zh-CN"/>
        </w:rPr>
        <w:t>区域性举措的提案表示欢迎。</w:t>
      </w:r>
      <w:r>
        <w:rPr>
          <w:lang w:val="zh-CN"/>
        </w:rPr>
        <w:t>WTDC-25</w:t>
      </w:r>
      <w:r>
        <w:rPr>
          <w:lang w:val="zh-CN"/>
        </w:rPr>
        <w:t>期间举行的国际电联全球青年庆祝活动受到欢迎，一位观察员强调了促进有才华的年轻女性参与数字发展的重要性。</w:t>
      </w:r>
    </w:p>
    <w:p w14:paraId="700C04B5" w14:textId="77777777" w:rsidR="005D0721" w:rsidRPr="00EF34AB" w:rsidRDefault="005D0721" w:rsidP="0087719E">
      <w:pPr>
        <w:jc w:val="both"/>
      </w:pPr>
      <w:r>
        <w:rPr>
          <w:lang w:val="zh-CN"/>
        </w:rPr>
        <w:t>4.4</w:t>
      </w:r>
      <w:r>
        <w:rPr>
          <w:lang w:val="zh-CN"/>
        </w:rPr>
        <w:tab/>
      </w:r>
      <w:r>
        <w:rPr>
          <w:lang w:val="zh-CN"/>
        </w:rPr>
        <w:t>一位理事表示，他的国家致力于落实</w:t>
      </w:r>
      <w:r>
        <w:rPr>
          <w:lang w:val="zh-CN"/>
        </w:rPr>
        <w:t>WTDC-25</w:t>
      </w:r>
      <w:r>
        <w:rPr>
          <w:lang w:val="zh-CN"/>
        </w:rPr>
        <w:t>的成果，包括关于有利监管环境、非地面网络和空间可持续性的成果。</w:t>
      </w:r>
    </w:p>
    <w:p w14:paraId="181D8BCB" w14:textId="77777777" w:rsidR="005D0721" w:rsidRPr="00EF34AB" w:rsidRDefault="005D0721" w:rsidP="000E522A">
      <w:pPr>
        <w:jc w:val="both"/>
      </w:pPr>
      <w:r>
        <w:rPr>
          <w:lang w:val="zh-CN"/>
        </w:rPr>
        <w:t>4.5</w:t>
      </w:r>
      <w:r>
        <w:rPr>
          <w:lang w:val="zh-CN"/>
        </w:rPr>
        <w:tab/>
      </w:r>
      <w:r>
        <w:rPr>
          <w:lang w:val="zh-CN"/>
        </w:rPr>
        <w:t>来自土耳其的理事邀请成员参加将于</w:t>
      </w:r>
      <w:r>
        <w:rPr>
          <w:lang w:val="zh-CN"/>
        </w:rPr>
        <w:t>5</w:t>
      </w:r>
      <w:r>
        <w:rPr>
          <w:lang w:val="zh-CN"/>
        </w:rPr>
        <w:t>月在安卡拉举行的全球监管机构专题研讨会（</w:t>
      </w:r>
      <w:r>
        <w:rPr>
          <w:lang w:val="zh-CN"/>
        </w:rPr>
        <w:t>GSR-26</w:t>
      </w:r>
      <w:r>
        <w:rPr>
          <w:lang w:val="zh-CN"/>
        </w:rPr>
        <w:t>）。</w:t>
      </w:r>
    </w:p>
    <w:p w14:paraId="40889DEC" w14:textId="77777777" w:rsidR="005D0721" w:rsidRPr="00EF34AB" w:rsidRDefault="005D0721" w:rsidP="000E522A">
      <w:pPr>
        <w:jc w:val="both"/>
      </w:pPr>
      <w:r>
        <w:rPr>
          <w:lang w:val="zh-CN"/>
        </w:rPr>
        <w:t>4.6</w:t>
      </w:r>
      <w:r>
        <w:rPr>
          <w:lang w:val="zh-CN"/>
        </w:rPr>
        <w:tab/>
      </w:r>
      <w:r>
        <w:rPr>
          <w:lang w:val="zh-CN"/>
        </w:rPr>
        <w:t>阿塞拜疆理事感谢所有与会者对</w:t>
      </w:r>
      <w:r>
        <w:rPr>
          <w:lang w:val="zh-CN"/>
        </w:rPr>
        <w:t>WTDC-25</w:t>
      </w:r>
      <w:r>
        <w:rPr>
          <w:lang w:val="zh-CN"/>
        </w:rPr>
        <w:t>的积极参与和贡献。</w:t>
      </w:r>
    </w:p>
    <w:p w14:paraId="541F42E5" w14:textId="77777777" w:rsidR="005D0721" w:rsidRPr="00EF34AB" w:rsidRDefault="005D0721" w:rsidP="000E522A">
      <w:pPr>
        <w:jc w:val="both"/>
      </w:pPr>
      <w:r>
        <w:rPr>
          <w:lang w:val="zh-CN"/>
        </w:rPr>
        <w:t>4.7</w:t>
      </w:r>
      <w:r>
        <w:rPr>
          <w:lang w:val="zh-CN"/>
        </w:rPr>
        <w:tab/>
      </w:r>
      <w:r>
        <w:rPr>
          <w:lang w:val="zh-CN"/>
        </w:rPr>
        <w:t>理事会将</w:t>
      </w:r>
      <w:r>
        <w:rPr>
          <w:lang w:val="zh-CN"/>
        </w:rPr>
        <w:t>C26/30</w:t>
      </w:r>
      <w:r>
        <w:rPr>
          <w:lang w:val="zh-CN"/>
        </w:rPr>
        <w:t>号文件中所载的报告</w:t>
      </w:r>
      <w:r w:rsidRPr="00204C51">
        <w:rPr>
          <w:b/>
          <w:bCs/>
          <w:lang w:val="zh-CN"/>
        </w:rPr>
        <w:t>记录在案</w:t>
      </w:r>
      <w:r>
        <w:rPr>
          <w:lang w:val="zh-CN"/>
        </w:rPr>
        <w:t>。</w:t>
      </w:r>
    </w:p>
    <w:p w14:paraId="4E563511" w14:textId="77777777" w:rsidR="005D0721" w:rsidRPr="00C813A8" w:rsidRDefault="005D0721" w:rsidP="005D0721">
      <w:pPr>
        <w:pStyle w:val="Heading1"/>
      </w:pPr>
      <w:r>
        <w:rPr>
          <w:bCs/>
          <w:lang w:val="zh-CN"/>
        </w:rPr>
        <w:t>5</w:t>
      </w:r>
      <w:r>
        <w:rPr>
          <w:bCs/>
          <w:lang w:val="zh-CN"/>
        </w:rPr>
        <w:tab/>
      </w:r>
      <w:r>
        <w:rPr>
          <w:color w:val="000000"/>
          <w:szCs w:val="24"/>
          <w:lang w:val="zh-CN"/>
        </w:rPr>
        <w:t>理事和观察员的</w:t>
      </w:r>
      <w:r w:rsidRPr="005906D0">
        <w:rPr>
          <w:rFonts w:ascii="SimSun" w:hAnsi="SimSun" w:cs="Microsoft YaHei" w:hint="eastAsia"/>
          <w:color w:val="000000"/>
          <w:szCs w:val="24"/>
          <w:lang w:val="zh-CN"/>
        </w:rPr>
        <w:t>声明</w:t>
      </w:r>
    </w:p>
    <w:p w14:paraId="5C3E99E7" w14:textId="77777777" w:rsidR="005D0721" w:rsidRPr="00EF34AB" w:rsidRDefault="005D0721" w:rsidP="005D0721">
      <w:pPr>
        <w:tabs>
          <w:tab w:val="left" w:pos="6640"/>
        </w:tabs>
        <w:rPr>
          <w:rFonts w:cs="Calibri"/>
        </w:rPr>
      </w:pPr>
      <w:r>
        <w:rPr>
          <w:lang w:val="zh-CN"/>
        </w:rPr>
        <w:t>5.1</w:t>
      </w:r>
      <w:r>
        <w:rPr>
          <w:lang w:val="zh-CN"/>
        </w:rPr>
        <w:tab/>
      </w:r>
      <w:r>
        <w:rPr>
          <w:rFonts w:hint="eastAsia"/>
          <w:lang w:val="zh-CN"/>
        </w:rPr>
        <w:t>波兰理事</w:t>
      </w:r>
      <w:r>
        <w:rPr>
          <w:lang w:val="zh-CN"/>
        </w:rPr>
        <w:t>宣布</w:t>
      </w:r>
      <w:r>
        <w:rPr>
          <w:rFonts w:hint="eastAsia"/>
          <w:lang w:val="zh-CN"/>
        </w:rPr>
        <w:t>波兰将</w:t>
      </w:r>
      <w:r>
        <w:rPr>
          <w:lang w:val="zh-CN"/>
        </w:rPr>
        <w:t>竞选</w:t>
      </w:r>
      <w:r>
        <w:rPr>
          <w:rFonts w:hint="eastAsia"/>
          <w:lang w:val="zh-CN"/>
        </w:rPr>
        <w:t>连任</w:t>
      </w:r>
      <w:r>
        <w:rPr>
          <w:lang w:val="zh-CN"/>
        </w:rPr>
        <w:t>理事国。</w:t>
      </w:r>
    </w:p>
    <w:p w14:paraId="68A30CC1" w14:textId="77777777" w:rsidR="005D0721" w:rsidRPr="00EF34AB" w:rsidRDefault="005D0721" w:rsidP="000E522A">
      <w:pPr>
        <w:jc w:val="both"/>
      </w:pPr>
      <w:r>
        <w:rPr>
          <w:lang w:val="zh-CN"/>
        </w:rPr>
        <w:t>5.2</w:t>
      </w:r>
      <w:r>
        <w:rPr>
          <w:lang w:val="zh-CN"/>
        </w:rPr>
        <w:tab/>
      </w:r>
      <w:r w:rsidRPr="00204C51">
        <w:rPr>
          <w:lang w:val="zh-CN"/>
        </w:rPr>
        <w:t>阿塞拜疆理事宣布，阿塞拜疆将在</w:t>
      </w:r>
      <w:r w:rsidRPr="00204C51">
        <w:rPr>
          <w:lang w:val="zh-CN"/>
        </w:rPr>
        <w:t>PP-26</w:t>
      </w:r>
      <w:r w:rsidRPr="00204C51">
        <w:rPr>
          <w:lang w:val="zh-CN"/>
        </w:rPr>
        <w:t>上竞选连任理事国，并将提名</w:t>
      </w:r>
      <w:r w:rsidRPr="00204C51">
        <w:rPr>
          <w:lang w:val="zh-CN"/>
        </w:rPr>
        <w:t>Sitara Mediyeva</w:t>
      </w:r>
      <w:r w:rsidRPr="00204C51">
        <w:rPr>
          <w:lang w:val="zh-CN"/>
        </w:rPr>
        <w:t>女士竞选无线电规则委员会委员。</w:t>
      </w:r>
    </w:p>
    <w:p w14:paraId="522D4026" w14:textId="77777777" w:rsidR="005D0721" w:rsidRPr="00EF34AB" w:rsidRDefault="005D0721" w:rsidP="000E522A">
      <w:pPr>
        <w:tabs>
          <w:tab w:val="left" w:pos="6640"/>
        </w:tabs>
        <w:jc w:val="both"/>
        <w:rPr>
          <w:rFonts w:cs="Calibri"/>
        </w:rPr>
      </w:pPr>
      <w:r>
        <w:rPr>
          <w:lang w:val="zh-CN"/>
        </w:rPr>
        <w:t>5.3</w:t>
      </w:r>
      <w:r>
        <w:rPr>
          <w:lang w:val="zh-CN"/>
        </w:rPr>
        <w:tab/>
      </w:r>
      <w:r w:rsidRPr="00204C51">
        <w:rPr>
          <w:lang w:val="zh-CN"/>
        </w:rPr>
        <w:t>哈萨克斯坦观察员说，哈萨克斯坦将</w:t>
      </w:r>
      <w:r>
        <w:rPr>
          <w:rFonts w:hint="eastAsia"/>
          <w:lang w:val="zh-CN"/>
        </w:rPr>
        <w:t>竞选理事国</w:t>
      </w:r>
      <w:r w:rsidRPr="00204C51">
        <w:rPr>
          <w:lang w:val="zh-CN"/>
        </w:rPr>
        <w:t>。</w:t>
      </w:r>
    </w:p>
    <w:p w14:paraId="283019B2" w14:textId="377905E6" w:rsidR="0023342A" w:rsidRPr="00FA0C65" w:rsidRDefault="00CC2AB4" w:rsidP="00A0068B">
      <w:pPr>
        <w:tabs>
          <w:tab w:val="clear" w:pos="1191"/>
          <w:tab w:val="clear" w:pos="1588"/>
          <w:tab w:val="clear" w:pos="1985"/>
          <w:tab w:val="left" w:pos="6237"/>
        </w:tabs>
        <w:spacing w:before="840"/>
        <w:rPr>
          <w:szCs w:val="24"/>
        </w:rPr>
      </w:pPr>
      <w:r>
        <w:rPr>
          <w:rFonts w:hint="eastAsia"/>
          <w:szCs w:val="24"/>
        </w:rPr>
        <w:t>秘书长：</w:t>
      </w:r>
      <w:r w:rsidR="0023342A" w:rsidRPr="00FA0C65">
        <w:rPr>
          <w:szCs w:val="24"/>
        </w:rPr>
        <w:tab/>
      </w:r>
      <w:r>
        <w:rPr>
          <w:rFonts w:hint="eastAsia"/>
          <w:szCs w:val="24"/>
        </w:rPr>
        <w:t>主席：</w:t>
      </w:r>
    </w:p>
    <w:p w14:paraId="58568F37" w14:textId="4461F1A9" w:rsidR="0023342A" w:rsidRPr="00595D5C" w:rsidRDefault="00A0068B" w:rsidP="00A0068B">
      <w:pPr>
        <w:tabs>
          <w:tab w:val="clear" w:pos="1985"/>
          <w:tab w:val="left" w:pos="6237"/>
        </w:tabs>
        <w:spacing w:before="0" w:after="120"/>
        <w:rPr>
          <w:szCs w:val="24"/>
          <w:lang w:val="fi-FI"/>
        </w:rPr>
      </w:pPr>
      <w:bookmarkStart w:id="7" w:name="x_lt_pId014"/>
      <w:r>
        <w:rPr>
          <w:rFonts w:ascii="SimSun" w:hAnsi="SimSun" w:hint="eastAsia"/>
          <w:color w:val="242424"/>
          <w:bdr w:val="none" w:sz="0" w:space="0" w:color="auto" w:frame="1"/>
          <w:shd w:val="clear" w:color="auto" w:fill="FFFFFF"/>
        </w:rPr>
        <w:t>多琳</w:t>
      </w:r>
      <w:bookmarkEnd w:id="7"/>
      <w:r>
        <w:rPr>
          <w:rFonts w:cs="Calibri"/>
          <w:color w:val="242424"/>
          <w:bdr w:val="none" w:sz="0" w:space="0" w:color="auto" w:frame="1"/>
          <w:shd w:val="clear" w:color="auto" w:fill="FFFFFF"/>
        </w:rPr>
        <w:t>·</w:t>
      </w:r>
      <w:r>
        <w:rPr>
          <w:rFonts w:ascii="SimSun" w:hAnsi="SimSun" w:hint="eastAsia"/>
          <w:color w:val="242424"/>
          <w:bdr w:val="none" w:sz="0" w:space="0" w:color="auto" w:frame="1"/>
          <w:shd w:val="clear" w:color="auto" w:fill="FFFFFF"/>
        </w:rPr>
        <w:t>伯格丹</w:t>
      </w:r>
      <w:r>
        <w:rPr>
          <w:rFonts w:cs="Calibri"/>
          <w:color w:val="242424"/>
          <w:bdr w:val="none" w:sz="0" w:space="0" w:color="auto" w:frame="1"/>
          <w:shd w:val="clear" w:color="auto" w:fill="FFFFFF"/>
        </w:rPr>
        <w:t>-</w:t>
      </w:r>
      <w:r>
        <w:rPr>
          <w:rFonts w:ascii="SimSun" w:hAnsi="SimSun" w:hint="eastAsia"/>
          <w:color w:val="242424"/>
          <w:bdr w:val="none" w:sz="0" w:space="0" w:color="auto" w:frame="1"/>
          <w:shd w:val="clear" w:color="auto" w:fill="FFFFFF"/>
        </w:rPr>
        <w:t>马丁</w:t>
      </w:r>
      <w:r w:rsidR="0023342A" w:rsidRPr="00595D5C">
        <w:rPr>
          <w:szCs w:val="24"/>
          <w:lang w:val="fi-FI"/>
        </w:rPr>
        <w:tab/>
        <w:t>B. TIJANI</w:t>
      </w:r>
    </w:p>
    <w:sectPr w:rsidR="0023342A" w:rsidRPr="00595D5C" w:rsidSect="00E24D59">
      <w:footerReference w:type="default" r:id="rId25"/>
      <w:headerReference w:type="first" r:id="rId26"/>
      <w:footerReference w:type="first" r:id="rId27"/>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EEAAB" w14:textId="77777777" w:rsidR="00FB4CFB" w:rsidRDefault="00FB4CFB">
      <w:r>
        <w:separator/>
      </w:r>
    </w:p>
  </w:endnote>
  <w:endnote w:type="continuationSeparator" w:id="0">
    <w:p w14:paraId="17610B0C" w14:textId="77777777" w:rsidR="00FB4CFB" w:rsidRDefault="00FB4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5002EFF" w:usb1="C200ACF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TKaiti">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4B387DD3" w14:textId="77777777" w:rsidTr="00E31DCE">
      <w:trPr>
        <w:jc w:val="center"/>
      </w:trPr>
      <w:tc>
        <w:tcPr>
          <w:tcW w:w="1803" w:type="dxa"/>
          <w:vAlign w:val="center"/>
        </w:tcPr>
        <w:p w14:paraId="759979E0" w14:textId="3CA17A35" w:rsidR="00E24D59" w:rsidRPr="0023342A" w:rsidRDefault="00A13406" w:rsidP="00E24D59">
          <w:pPr>
            <w:pStyle w:val="Header"/>
            <w:jc w:val="left"/>
            <w:rPr>
              <w:rFonts w:eastAsiaTheme="minorEastAsia"/>
              <w:color w:val="808080" w:themeColor="background1" w:themeShade="80"/>
            </w:rPr>
          </w:pPr>
          <w:r w:rsidRPr="00A13406">
            <w:rPr>
              <w:color w:val="808080" w:themeColor="background1" w:themeShade="80"/>
            </w:rPr>
            <w:t>gDoc</w:t>
          </w:r>
          <w:r w:rsidR="0023342A">
            <w:rPr>
              <w:rFonts w:eastAsiaTheme="minorEastAsia" w:hint="eastAsia"/>
              <w:color w:val="808080" w:themeColor="background1" w:themeShade="80"/>
            </w:rPr>
            <w:t xml:space="preserve"> 26013</w:t>
          </w:r>
          <w:r w:rsidR="005D0721">
            <w:rPr>
              <w:rFonts w:eastAsiaTheme="minorEastAsia" w:hint="eastAsia"/>
              <w:color w:val="808080" w:themeColor="background1" w:themeShade="80"/>
            </w:rPr>
            <w:t>39</w:t>
          </w:r>
        </w:p>
      </w:tc>
      <w:tc>
        <w:tcPr>
          <w:tcW w:w="8261" w:type="dxa"/>
        </w:tcPr>
        <w:p w14:paraId="1BE56AA2" w14:textId="04EA55A8" w:rsidR="00E24D59" w:rsidRPr="00A13406" w:rsidRDefault="00E24D59" w:rsidP="00983878">
          <w:pPr>
            <w:pStyle w:val="Header"/>
            <w:tabs>
              <w:tab w:val="left" w:pos="6731"/>
              <w:tab w:val="right" w:pos="8505"/>
              <w:tab w:val="right" w:pos="9639"/>
            </w:tabs>
            <w:jc w:val="left"/>
            <w:rPr>
              <w:rFonts w:ascii="Arial" w:hAnsi="Arial" w:cs="Arial"/>
              <w:b/>
              <w:bCs/>
              <w:color w:val="808080" w:themeColor="background1" w:themeShade="80"/>
              <w:szCs w:val="18"/>
            </w:rPr>
          </w:pPr>
          <w:r w:rsidRPr="00A13406">
            <w:rPr>
              <w:bCs/>
              <w:color w:val="808080" w:themeColor="background1" w:themeShade="80"/>
            </w:rPr>
            <w:tab/>
            <w:t>C2</w:t>
          </w:r>
          <w:r w:rsidR="00D87C3A">
            <w:rPr>
              <w:bCs/>
              <w:color w:val="808080" w:themeColor="background1" w:themeShade="80"/>
            </w:rPr>
            <w:t>6</w:t>
          </w:r>
          <w:r w:rsidRPr="00A13406">
            <w:rPr>
              <w:bCs/>
              <w:color w:val="808080" w:themeColor="background1" w:themeShade="80"/>
            </w:rPr>
            <w:t>/</w:t>
          </w:r>
          <w:r w:rsidR="0023342A">
            <w:rPr>
              <w:rFonts w:eastAsiaTheme="minorEastAsia" w:hint="eastAsia"/>
              <w:bCs/>
              <w:color w:val="808080" w:themeColor="background1" w:themeShade="80"/>
            </w:rPr>
            <w:t>1</w:t>
          </w:r>
          <w:r w:rsidR="005D0721">
            <w:rPr>
              <w:rFonts w:eastAsiaTheme="minorEastAsia" w:hint="eastAsia"/>
              <w:bCs/>
              <w:color w:val="808080" w:themeColor="background1" w:themeShade="80"/>
            </w:rPr>
            <w:t>19</w:t>
          </w:r>
          <w:r w:rsidRPr="00A13406">
            <w:rPr>
              <w:bCs/>
              <w:color w:val="808080" w:themeColor="background1" w:themeShade="80"/>
            </w:rPr>
            <w:t>-C</w:t>
          </w:r>
          <w:r w:rsidRPr="00A13406">
            <w:rPr>
              <w:bCs/>
              <w:color w:val="808080" w:themeColor="background1" w:themeShade="80"/>
            </w:rPr>
            <w:tab/>
          </w:r>
          <w:r w:rsidRPr="00A13406">
            <w:rPr>
              <w:color w:val="808080" w:themeColor="background1" w:themeShade="80"/>
            </w:rPr>
            <w:fldChar w:fldCharType="begin"/>
          </w:r>
          <w:r w:rsidRPr="00A13406">
            <w:rPr>
              <w:color w:val="808080" w:themeColor="background1" w:themeShade="80"/>
            </w:rPr>
            <w:instrText>PAGE</w:instrText>
          </w:r>
          <w:r w:rsidRPr="00A13406">
            <w:rPr>
              <w:color w:val="808080" w:themeColor="background1" w:themeShade="80"/>
            </w:rPr>
            <w:fldChar w:fldCharType="separate"/>
          </w:r>
          <w:r w:rsidRPr="00A13406">
            <w:rPr>
              <w:color w:val="808080" w:themeColor="background1" w:themeShade="80"/>
            </w:rPr>
            <w:t>1</w:t>
          </w:r>
          <w:r w:rsidRPr="00A13406">
            <w:rPr>
              <w:color w:val="808080" w:themeColor="background1" w:themeShade="80"/>
            </w:rPr>
            <w:fldChar w:fldCharType="end"/>
          </w:r>
        </w:p>
      </w:tc>
    </w:tr>
  </w:tbl>
  <w:p w14:paraId="513FF19A" w14:textId="77777777" w:rsidR="00B40A53" w:rsidRPr="00E24D59" w:rsidRDefault="00B40A53" w:rsidP="00E24D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A13406" w:rsidRPr="00A13406" w14:paraId="6F29CED5" w14:textId="77777777" w:rsidTr="00E31DCE">
      <w:trPr>
        <w:jc w:val="center"/>
      </w:trPr>
      <w:tc>
        <w:tcPr>
          <w:tcW w:w="1803" w:type="dxa"/>
          <w:vAlign w:val="center"/>
        </w:tcPr>
        <w:p w14:paraId="7909F8E5" w14:textId="77777777" w:rsidR="00E24D59" w:rsidRPr="00E34C96" w:rsidRDefault="00D87C3A" w:rsidP="00E24D59">
          <w:pPr>
            <w:pStyle w:val="Header"/>
            <w:jc w:val="left"/>
          </w:pPr>
          <w:hyperlink r:id="rId1" w:anchor="/zh" w:history="1">
            <w:r>
              <w:rPr>
                <w:rStyle w:val="Hyperlink"/>
              </w:rPr>
              <w:t>council.itu.int/2026</w:t>
            </w:r>
          </w:hyperlink>
        </w:p>
      </w:tc>
      <w:tc>
        <w:tcPr>
          <w:tcW w:w="8261" w:type="dxa"/>
        </w:tcPr>
        <w:p w14:paraId="0E9E6F8B" w14:textId="16374961" w:rsidR="00E24D59" w:rsidRPr="00A13406" w:rsidRDefault="00E24D59" w:rsidP="00983878">
          <w:pPr>
            <w:pStyle w:val="Header"/>
            <w:tabs>
              <w:tab w:val="left" w:pos="6731"/>
              <w:tab w:val="right" w:pos="8505"/>
              <w:tab w:val="right" w:pos="9639"/>
            </w:tabs>
            <w:jc w:val="left"/>
            <w:rPr>
              <w:rFonts w:ascii="Arial" w:hAnsi="Arial" w:cs="Arial"/>
              <w:b/>
              <w:bCs/>
              <w:color w:val="808080" w:themeColor="background1" w:themeShade="80"/>
              <w:szCs w:val="18"/>
            </w:rPr>
          </w:pPr>
          <w:r w:rsidRPr="003F086E">
            <w:rPr>
              <w:bCs/>
              <w:color w:val="808080" w:themeColor="background1" w:themeShade="80"/>
            </w:rPr>
            <w:tab/>
            <w:t>C2</w:t>
          </w:r>
          <w:r w:rsidR="00D87C3A">
            <w:rPr>
              <w:bCs/>
              <w:color w:val="808080" w:themeColor="background1" w:themeShade="80"/>
            </w:rPr>
            <w:t>6</w:t>
          </w:r>
          <w:r w:rsidRPr="003F086E">
            <w:rPr>
              <w:bCs/>
              <w:color w:val="808080" w:themeColor="background1" w:themeShade="80"/>
            </w:rPr>
            <w:t>/</w:t>
          </w:r>
          <w:r w:rsidR="0023342A">
            <w:rPr>
              <w:rFonts w:eastAsiaTheme="minorEastAsia" w:hint="eastAsia"/>
              <w:bCs/>
              <w:color w:val="808080" w:themeColor="background1" w:themeShade="80"/>
            </w:rPr>
            <w:t>1</w:t>
          </w:r>
          <w:r w:rsidR="005D0721">
            <w:rPr>
              <w:rFonts w:eastAsiaTheme="minorEastAsia" w:hint="eastAsia"/>
              <w:bCs/>
              <w:color w:val="808080" w:themeColor="background1" w:themeShade="80"/>
            </w:rPr>
            <w:t>19</w:t>
          </w:r>
          <w:r w:rsidRPr="003F086E">
            <w:rPr>
              <w:bCs/>
              <w:color w:val="808080" w:themeColor="background1" w:themeShade="80"/>
            </w:rPr>
            <w:t>-C</w:t>
          </w:r>
          <w:r w:rsidRPr="003F086E">
            <w:rPr>
              <w:bCs/>
              <w:color w:val="808080" w:themeColor="background1" w:themeShade="80"/>
            </w:rPr>
            <w:tab/>
          </w:r>
          <w:r w:rsidRPr="003F086E">
            <w:rPr>
              <w:color w:val="808080" w:themeColor="background1" w:themeShade="80"/>
            </w:rPr>
            <w:fldChar w:fldCharType="begin"/>
          </w:r>
          <w:r w:rsidRPr="003F086E">
            <w:rPr>
              <w:color w:val="808080" w:themeColor="background1" w:themeShade="80"/>
            </w:rPr>
            <w:instrText>PAGE</w:instrText>
          </w:r>
          <w:r w:rsidRPr="003F086E">
            <w:rPr>
              <w:color w:val="808080" w:themeColor="background1" w:themeShade="80"/>
            </w:rPr>
            <w:fldChar w:fldCharType="separate"/>
          </w:r>
          <w:r w:rsidRPr="003F086E">
            <w:rPr>
              <w:color w:val="808080" w:themeColor="background1" w:themeShade="80"/>
            </w:rPr>
            <w:t>1</w:t>
          </w:r>
          <w:r w:rsidRPr="003F086E">
            <w:rPr>
              <w:color w:val="808080" w:themeColor="background1" w:themeShade="80"/>
            </w:rPr>
            <w:fldChar w:fldCharType="end"/>
          </w:r>
        </w:p>
      </w:tc>
    </w:tr>
  </w:tbl>
  <w:p w14:paraId="31F0A915" w14:textId="77777777" w:rsidR="00AC516F" w:rsidRPr="00E24D59" w:rsidRDefault="00AC516F" w:rsidP="00E24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00FC2" w14:textId="77777777" w:rsidR="00FB4CFB" w:rsidRDefault="00FB4CFB">
      <w:r>
        <w:t>____________________</w:t>
      </w:r>
    </w:p>
  </w:footnote>
  <w:footnote w:type="continuationSeparator" w:id="0">
    <w:p w14:paraId="6F96637A" w14:textId="77777777" w:rsidR="00FB4CFB" w:rsidRDefault="00FB4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B8D4C" w14:textId="77777777" w:rsidR="00E24D59" w:rsidRPr="00602842" w:rsidRDefault="00602842" w:rsidP="00602842">
    <w:pPr>
      <w:pStyle w:val="Header"/>
    </w:pPr>
    <w:r>
      <w:drawing>
        <wp:inline distT="0" distB="0" distL="0" distR="0" wp14:anchorId="28C50EA7" wp14:editId="7195875E">
          <wp:extent cx="5760085" cy="840740"/>
          <wp:effectExtent l="0" t="0" r="0" b="0"/>
          <wp:docPr id="914299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299275" name="Picture 914299275"/>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D601260"/>
    <w:multiLevelType w:val="hybridMultilevel"/>
    <w:tmpl w:val="2F16BCD2"/>
    <w:lvl w:ilvl="0" w:tplc="4B2AE274">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C2259D3"/>
    <w:multiLevelType w:val="hybridMultilevel"/>
    <w:tmpl w:val="BC5801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A6943"/>
    <w:multiLevelType w:val="hybridMultilevel"/>
    <w:tmpl w:val="976EDD48"/>
    <w:lvl w:ilvl="0" w:tplc="C52CC33A">
      <w:start w:val="1"/>
      <w:numFmt w:val="lowerLetter"/>
      <w:lvlText w:val="%1)"/>
      <w:lvlJc w:val="left"/>
      <w:pPr>
        <w:tabs>
          <w:tab w:val="num" w:pos="1080"/>
        </w:tabs>
        <w:ind w:left="1080" w:hanging="360"/>
      </w:pPr>
      <w:rPr>
        <w:rFonts w:hint="default"/>
        <w:i/>
        <w:iCs/>
      </w:rPr>
    </w:lvl>
    <w:lvl w:ilvl="1" w:tplc="2780B492">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682D5FB3"/>
    <w:multiLevelType w:val="hybridMultilevel"/>
    <w:tmpl w:val="A4A8388A"/>
    <w:lvl w:ilvl="0" w:tplc="E5547088">
      <w:start w:val="1"/>
      <w:numFmt w:val="decimal"/>
      <w:lvlText w:val="%1"/>
      <w:lvlJc w:val="left"/>
      <w:pPr>
        <w:ind w:left="1155" w:hanging="7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10A50AC"/>
    <w:multiLevelType w:val="hybridMultilevel"/>
    <w:tmpl w:val="8E68B27E"/>
    <w:lvl w:ilvl="0" w:tplc="5FC48090">
      <w:start w:val="1"/>
      <w:numFmt w:val="decimal"/>
      <w:lvlText w:val="%1"/>
      <w:lvlJc w:val="left"/>
      <w:pPr>
        <w:tabs>
          <w:tab w:val="num" w:pos="1440"/>
        </w:tabs>
        <w:ind w:left="1440" w:hanging="10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43F5F9E"/>
    <w:multiLevelType w:val="hybridMultilevel"/>
    <w:tmpl w:val="80DC1616"/>
    <w:lvl w:ilvl="0" w:tplc="D26E735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79449368">
    <w:abstractNumId w:val="0"/>
  </w:num>
  <w:num w:numId="2" w16cid:durableId="501241818">
    <w:abstractNumId w:val="2"/>
  </w:num>
  <w:num w:numId="3" w16cid:durableId="371539808">
    <w:abstractNumId w:val="3"/>
  </w:num>
  <w:num w:numId="4" w16cid:durableId="1525828948">
    <w:abstractNumId w:val="4"/>
  </w:num>
  <w:num w:numId="5" w16cid:durableId="2033219779">
    <w:abstractNumId w:val="6"/>
  </w:num>
  <w:num w:numId="6" w16cid:durableId="349645790">
    <w:abstractNumId w:val="5"/>
  </w:num>
  <w:num w:numId="7" w16cid:durableId="145158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D79"/>
    <w:rsid w:val="00001B77"/>
    <w:rsid w:val="0000517A"/>
    <w:rsid w:val="0000538F"/>
    <w:rsid w:val="00031E72"/>
    <w:rsid w:val="000404D2"/>
    <w:rsid w:val="00047695"/>
    <w:rsid w:val="000646BD"/>
    <w:rsid w:val="000853C0"/>
    <w:rsid w:val="00093DD9"/>
    <w:rsid w:val="0009409E"/>
    <w:rsid w:val="000A1C21"/>
    <w:rsid w:val="000B5AB3"/>
    <w:rsid w:val="000B5B3F"/>
    <w:rsid w:val="000C0BC5"/>
    <w:rsid w:val="000C1A50"/>
    <w:rsid w:val="000D15EA"/>
    <w:rsid w:val="000D2674"/>
    <w:rsid w:val="000D7012"/>
    <w:rsid w:val="000E522A"/>
    <w:rsid w:val="00100D84"/>
    <w:rsid w:val="001241B1"/>
    <w:rsid w:val="0012442D"/>
    <w:rsid w:val="00124C9D"/>
    <w:rsid w:val="001305DE"/>
    <w:rsid w:val="00134FE6"/>
    <w:rsid w:val="00147CB0"/>
    <w:rsid w:val="0015333E"/>
    <w:rsid w:val="00157773"/>
    <w:rsid w:val="0017250A"/>
    <w:rsid w:val="0018251A"/>
    <w:rsid w:val="00182BEB"/>
    <w:rsid w:val="00190272"/>
    <w:rsid w:val="00193244"/>
    <w:rsid w:val="00195C6C"/>
    <w:rsid w:val="00195FED"/>
    <w:rsid w:val="001A4BD6"/>
    <w:rsid w:val="001B0D71"/>
    <w:rsid w:val="001B6E2B"/>
    <w:rsid w:val="001D5A18"/>
    <w:rsid w:val="001E5C09"/>
    <w:rsid w:val="001F4406"/>
    <w:rsid w:val="00202EFF"/>
    <w:rsid w:val="00203CBF"/>
    <w:rsid w:val="00203DD7"/>
    <w:rsid w:val="00215132"/>
    <w:rsid w:val="00220C45"/>
    <w:rsid w:val="00224449"/>
    <w:rsid w:val="00227AEA"/>
    <w:rsid w:val="0023342A"/>
    <w:rsid w:val="00277DEA"/>
    <w:rsid w:val="00280EB8"/>
    <w:rsid w:val="002916B4"/>
    <w:rsid w:val="002A1D39"/>
    <w:rsid w:val="002A6670"/>
    <w:rsid w:val="002C3F32"/>
    <w:rsid w:val="002C5E4C"/>
    <w:rsid w:val="002D6685"/>
    <w:rsid w:val="00302645"/>
    <w:rsid w:val="00303502"/>
    <w:rsid w:val="00325C25"/>
    <w:rsid w:val="00372C8F"/>
    <w:rsid w:val="00380ECE"/>
    <w:rsid w:val="003936CD"/>
    <w:rsid w:val="00393DDF"/>
    <w:rsid w:val="00397F55"/>
    <w:rsid w:val="003B4454"/>
    <w:rsid w:val="003B523D"/>
    <w:rsid w:val="003C2E37"/>
    <w:rsid w:val="003F086E"/>
    <w:rsid w:val="003F1415"/>
    <w:rsid w:val="003F59DB"/>
    <w:rsid w:val="0040144C"/>
    <w:rsid w:val="004032FB"/>
    <w:rsid w:val="00403EB7"/>
    <w:rsid w:val="00407C8F"/>
    <w:rsid w:val="004178E6"/>
    <w:rsid w:val="00430BF0"/>
    <w:rsid w:val="00465C35"/>
    <w:rsid w:val="004672E6"/>
    <w:rsid w:val="00474ED1"/>
    <w:rsid w:val="004756EC"/>
    <w:rsid w:val="00477D57"/>
    <w:rsid w:val="00491BA9"/>
    <w:rsid w:val="00492606"/>
    <w:rsid w:val="00493085"/>
    <w:rsid w:val="004A36EC"/>
    <w:rsid w:val="004D163F"/>
    <w:rsid w:val="004D3E7D"/>
    <w:rsid w:val="004E4BFF"/>
    <w:rsid w:val="004E4FDF"/>
    <w:rsid w:val="004F2598"/>
    <w:rsid w:val="00516285"/>
    <w:rsid w:val="00517971"/>
    <w:rsid w:val="005403F7"/>
    <w:rsid w:val="00540632"/>
    <w:rsid w:val="00541CF4"/>
    <w:rsid w:val="005451E8"/>
    <w:rsid w:val="005507F2"/>
    <w:rsid w:val="005532CE"/>
    <w:rsid w:val="005549EC"/>
    <w:rsid w:val="00555C29"/>
    <w:rsid w:val="005759CC"/>
    <w:rsid w:val="00576C08"/>
    <w:rsid w:val="00594AA6"/>
    <w:rsid w:val="00595D5C"/>
    <w:rsid w:val="005A37C2"/>
    <w:rsid w:val="005A72E1"/>
    <w:rsid w:val="005B5469"/>
    <w:rsid w:val="005C6632"/>
    <w:rsid w:val="005D0721"/>
    <w:rsid w:val="005D1C9E"/>
    <w:rsid w:val="005D3DCA"/>
    <w:rsid w:val="00602842"/>
    <w:rsid w:val="006266B2"/>
    <w:rsid w:val="00630DD5"/>
    <w:rsid w:val="00637584"/>
    <w:rsid w:val="00641A2A"/>
    <w:rsid w:val="0064411D"/>
    <w:rsid w:val="00645D79"/>
    <w:rsid w:val="00654257"/>
    <w:rsid w:val="0065435A"/>
    <w:rsid w:val="00654A97"/>
    <w:rsid w:val="00670D8A"/>
    <w:rsid w:val="006A2DD3"/>
    <w:rsid w:val="006A5113"/>
    <w:rsid w:val="006A5AF8"/>
    <w:rsid w:val="006B0988"/>
    <w:rsid w:val="006B469D"/>
    <w:rsid w:val="006C36CD"/>
    <w:rsid w:val="006E4B8E"/>
    <w:rsid w:val="00700D1F"/>
    <w:rsid w:val="007205CB"/>
    <w:rsid w:val="0072138B"/>
    <w:rsid w:val="00726073"/>
    <w:rsid w:val="00734FE8"/>
    <w:rsid w:val="007360CE"/>
    <w:rsid w:val="00740FC2"/>
    <w:rsid w:val="0077110E"/>
    <w:rsid w:val="00772315"/>
    <w:rsid w:val="00775157"/>
    <w:rsid w:val="007813AE"/>
    <w:rsid w:val="007A37DB"/>
    <w:rsid w:val="007A5EE2"/>
    <w:rsid w:val="007B17CA"/>
    <w:rsid w:val="007C1FD7"/>
    <w:rsid w:val="007E189D"/>
    <w:rsid w:val="007F0210"/>
    <w:rsid w:val="00806E3F"/>
    <w:rsid w:val="00811259"/>
    <w:rsid w:val="00813AA2"/>
    <w:rsid w:val="008167FA"/>
    <w:rsid w:val="008173A3"/>
    <w:rsid w:val="008418F5"/>
    <w:rsid w:val="0084546D"/>
    <w:rsid w:val="008454F3"/>
    <w:rsid w:val="0086059C"/>
    <w:rsid w:val="00864589"/>
    <w:rsid w:val="00871D11"/>
    <w:rsid w:val="00874C82"/>
    <w:rsid w:val="0087719E"/>
    <w:rsid w:val="00890AFB"/>
    <w:rsid w:val="00890FC4"/>
    <w:rsid w:val="00895905"/>
    <w:rsid w:val="008B106C"/>
    <w:rsid w:val="008C77E5"/>
    <w:rsid w:val="008E1C66"/>
    <w:rsid w:val="008E2A63"/>
    <w:rsid w:val="008F1801"/>
    <w:rsid w:val="008F64AD"/>
    <w:rsid w:val="00905887"/>
    <w:rsid w:val="00911230"/>
    <w:rsid w:val="00911867"/>
    <w:rsid w:val="009164A9"/>
    <w:rsid w:val="009258CB"/>
    <w:rsid w:val="0093362E"/>
    <w:rsid w:val="0093454B"/>
    <w:rsid w:val="00935FEE"/>
    <w:rsid w:val="00944563"/>
    <w:rsid w:val="00953160"/>
    <w:rsid w:val="009625D8"/>
    <w:rsid w:val="00965A0F"/>
    <w:rsid w:val="0097587B"/>
    <w:rsid w:val="00983878"/>
    <w:rsid w:val="0098459B"/>
    <w:rsid w:val="00984847"/>
    <w:rsid w:val="00997046"/>
    <w:rsid w:val="00997185"/>
    <w:rsid w:val="009A3456"/>
    <w:rsid w:val="009A4A0B"/>
    <w:rsid w:val="009A76A8"/>
    <w:rsid w:val="009C0AAF"/>
    <w:rsid w:val="009C1BC9"/>
    <w:rsid w:val="009C2458"/>
    <w:rsid w:val="009C4A7B"/>
    <w:rsid w:val="009C6123"/>
    <w:rsid w:val="009D78EE"/>
    <w:rsid w:val="009F1E3E"/>
    <w:rsid w:val="00A0068B"/>
    <w:rsid w:val="00A01F4F"/>
    <w:rsid w:val="00A02032"/>
    <w:rsid w:val="00A109AF"/>
    <w:rsid w:val="00A1213C"/>
    <w:rsid w:val="00A12474"/>
    <w:rsid w:val="00A13406"/>
    <w:rsid w:val="00A26487"/>
    <w:rsid w:val="00A272FF"/>
    <w:rsid w:val="00A5354B"/>
    <w:rsid w:val="00A65859"/>
    <w:rsid w:val="00A65C91"/>
    <w:rsid w:val="00A71B57"/>
    <w:rsid w:val="00AA2E08"/>
    <w:rsid w:val="00AB42C1"/>
    <w:rsid w:val="00AC516F"/>
    <w:rsid w:val="00AD4202"/>
    <w:rsid w:val="00AD7C70"/>
    <w:rsid w:val="00AE195F"/>
    <w:rsid w:val="00AE2926"/>
    <w:rsid w:val="00AF6860"/>
    <w:rsid w:val="00B0184B"/>
    <w:rsid w:val="00B035CD"/>
    <w:rsid w:val="00B054B0"/>
    <w:rsid w:val="00B062EF"/>
    <w:rsid w:val="00B0769D"/>
    <w:rsid w:val="00B1281E"/>
    <w:rsid w:val="00B178E7"/>
    <w:rsid w:val="00B217F8"/>
    <w:rsid w:val="00B218DE"/>
    <w:rsid w:val="00B326AA"/>
    <w:rsid w:val="00B332EA"/>
    <w:rsid w:val="00B40A53"/>
    <w:rsid w:val="00B45365"/>
    <w:rsid w:val="00B46A65"/>
    <w:rsid w:val="00B5033E"/>
    <w:rsid w:val="00B60184"/>
    <w:rsid w:val="00B62A80"/>
    <w:rsid w:val="00B62D20"/>
    <w:rsid w:val="00B73B65"/>
    <w:rsid w:val="00B758B7"/>
    <w:rsid w:val="00B81E75"/>
    <w:rsid w:val="00B86E67"/>
    <w:rsid w:val="00B91673"/>
    <w:rsid w:val="00B93453"/>
    <w:rsid w:val="00B9445B"/>
    <w:rsid w:val="00B97E6F"/>
    <w:rsid w:val="00BC7F72"/>
    <w:rsid w:val="00BD0954"/>
    <w:rsid w:val="00BD1A5A"/>
    <w:rsid w:val="00BD3F50"/>
    <w:rsid w:val="00BD7A9B"/>
    <w:rsid w:val="00BD7BE1"/>
    <w:rsid w:val="00BE2B46"/>
    <w:rsid w:val="00BF416B"/>
    <w:rsid w:val="00BF5C58"/>
    <w:rsid w:val="00C02B8E"/>
    <w:rsid w:val="00C24DAC"/>
    <w:rsid w:val="00C26046"/>
    <w:rsid w:val="00C3464C"/>
    <w:rsid w:val="00C3728B"/>
    <w:rsid w:val="00C40DB5"/>
    <w:rsid w:val="00C45EB2"/>
    <w:rsid w:val="00C55D1D"/>
    <w:rsid w:val="00C57E26"/>
    <w:rsid w:val="00C63BAC"/>
    <w:rsid w:val="00C64E4E"/>
    <w:rsid w:val="00C66E64"/>
    <w:rsid w:val="00C75F15"/>
    <w:rsid w:val="00C761A0"/>
    <w:rsid w:val="00C7758C"/>
    <w:rsid w:val="00C85F7E"/>
    <w:rsid w:val="00C874B0"/>
    <w:rsid w:val="00C90D53"/>
    <w:rsid w:val="00CA0901"/>
    <w:rsid w:val="00CA0B2E"/>
    <w:rsid w:val="00CA260A"/>
    <w:rsid w:val="00CA6EF7"/>
    <w:rsid w:val="00CC2AB4"/>
    <w:rsid w:val="00CD47F0"/>
    <w:rsid w:val="00CD5566"/>
    <w:rsid w:val="00CD64D7"/>
    <w:rsid w:val="00CE157B"/>
    <w:rsid w:val="00CE6F22"/>
    <w:rsid w:val="00CF0858"/>
    <w:rsid w:val="00CF41F6"/>
    <w:rsid w:val="00CF7D3E"/>
    <w:rsid w:val="00D02B4E"/>
    <w:rsid w:val="00D04570"/>
    <w:rsid w:val="00D21F11"/>
    <w:rsid w:val="00D36817"/>
    <w:rsid w:val="00D453EE"/>
    <w:rsid w:val="00D52940"/>
    <w:rsid w:val="00D5666C"/>
    <w:rsid w:val="00D666BC"/>
    <w:rsid w:val="00D83542"/>
    <w:rsid w:val="00D856AC"/>
    <w:rsid w:val="00D87C3A"/>
    <w:rsid w:val="00D92F45"/>
    <w:rsid w:val="00D93902"/>
    <w:rsid w:val="00D94637"/>
    <w:rsid w:val="00D9725C"/>
    <w:rsid w:val="00DA0E66"/>
    <w:rsid w:val="00DA2D30"/>
    <w:rsid w:val="00DA7006"/>
    <w:rsid w:val="00DB025E"/>
    <w:rsid w:val="00DB209E"/>
    <w:rsid w:val="00DB3621"/>
    <w:rsid w:val="00DC6427"/>
    <w:rsid w:val="00DD62F5"/>
    <w:rsid w:val="00DD66A1"/>
    <w:rsid w:val="00DE196D"/>
    <w:rsid w:val="00DF6B49"/>
    <w:rsid w:val="00E067C5"/>
    <w:rsid w:val="00E24D59"/>
    <w:rsid w:val="00E265BF"/>
    <w:rsid w:val="00E323D0"/>
    <w:rsid w:val="00E34C96"/>
    <w:rsid w:val="00E378D8"/>
    <w:rsid w:val="00E43A12"/>
    <w:rsid w:val="00E67C67"/>
    <w:rsid w:val="00E77476"/>
    <w:rsid w:val="00E8228B"/>
    <w:rsid w:val="00EA5C28"/>
    <w:rsid w:val="00EB3469"/>
    <w:rsid w:val="00EE5706"/>
    <w:rsid w:val="00EF325E"/>
    <w:rsid w:val="00EF373D"/>
    <w:rsid w:val="00F00AEC"/>
    <w:rsid w:val="00F11595"/>
    <w:rsid w:val="00F13BC9"/>
    <w:rsid w:val="00F357B2"/>
    <w:rsid w:val="00F36556"/>
    <w:rsid w:val="00F51D2A"/>
    <w:rsid w:val="00F61E72"/>
    <w:rsid w:val="00F666D0"/>
    <w:rsid w:val="00F6736A"/>
    <w:rsid w:val="00F705DF"/>
    <w:rsid w:val="00F70622"/>
    <w:rsid w:val="00F72136"/>
    <w:rsid w:val="00F76491"/>
    <w:rsid w:val="00F85624"/>
    <w:rsid w:val="00F87C05"/>
    <w:rsid w:val="00F93191"/>
    <w:rsid w:val="00F93A17"/>
    <w:rsid w:val="00F94472"/>
    <w:rsid w:val="00FA0165"/>
    <w:rsid w:val="00FA2AF6"/>
    <w:rsid w:val="00FB073D"/>
    <w:rsid w:val="00FB4CFB"/>
    <w:rsid w:val="00FB771F"/>
    <w:rsid w:val="00FC5386"/>
    <w:rsid w:val="00FE2220"/>
    <w:rsid w:val="00FE4ACF"/>
    <w:rsid w:val="00FE61E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77F26C"/>
  <w15:docId w15:val="{5BAAF643-83A0-4614-9EDA-CD06D2974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163F"/>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noProof/>
      <w:sz w:val="24"/>
      <w:lang w:val="en-GB"/>
    </w:rPr>
  </w:style>
  <w:style w:type="paragraph" w:styleId="Heading1">
    <w:name w:val="heading 1"/>
    <w:basedOn w:val="Normal"/>
    <w:next w:val="Normal"/>
    <w:link w:val="Heading1Char"/>
    <w:qFormat/>
    <w:rsid w:val="006C36CD"/>
    <w:pPr>
      <w:keepNext/>
      <w:keepLines/>
      <w:spacing w:before="480"/>
      <w:ind w:left="794" w:hanging="794"/>
      <w:outlineLvl w:val="0"/>
    </w:pPr>
    <w:rPr>
      <w:b/>
      <w:sz w:val="28"/>
    </w:rPr>
  </w:style>
  <w:style w:type="paragraph" w:styleId="Heading2">
    <w:name w:val="heading 2"/>
    <w:basedOn w:val="Heading1"/>
    <w:next w:val="Normal"/>
    <w:link w:val="Heading2Char"/>
    <w:qFormat/>
    <w:rsid w:val="006C36CD"/>
    <w:pPr>
      <w:spacing w:before="320"/>
      <w:outlineLvl w:val="1"/>
    </w:pPr>
    <w:rPr>
      <w:sz w:val="24"/>
    </w:rPr>
  </w:style>
  <w:style w:type="paragraph" w:styleId="Heading3">
    <w:name w:val="heading 3"/>
    <w:basedOn w:val="Heading1"/>
    <w:next w:val="Normal"/>
    <w:qFormat/>
    <w:rsid w:val="004D163F"/>
    <w:pPr>
      <w:spacing w:before="200"/>
      <w:ind w:left="0" w:firstLine="0"/>
      <w:outlineLvl w:val="2"/>
    </w:pPr>
    <w:rPr>
      <w:i/>
      <w:sz w:val="24"/>
    </w:rPr>
  </w:style>
  <w:style w:type="paragraph" w:styleId="Heading4">
    <w:name w:val="heading 4"/>
    <w:basedOn w:val="Heading3"/>
    <w:next w:val="Normal"/>
    <w:qFormat/>
    <w:rsid w:val="006C36CD"/>
    <w:pPr>
      <w:tabs>
        <w:tab w:val="clear" w:pos="794"/>
        <w:tab w:val="clear" w:pos="1191"/>
        <w:tab w:val="clear" w:pos="1588"/>
        <w:tab w:val="clear" w:pos="1985"/>
      </w:tabs>
      <w:outlineLvl w:val="3"/>
    </w:pPr>
    <w:rPr>
      <w:b w:val="0"/>
    </w:rPr>
  </w:style>
  <w:style w:type="paragraph" w:styleId="Heading5">
    <w:name w:val="heading 5"/>
    <w:basedOn w:val="Heading4"/>
    <w:next w:val="Normal"/>
    <w:qFormat/>
    <w:rsid w:val="006C36CD"/>
    <w:pPr>
      <w:outlineLvl w:val="4"/>
    </w:pPr>
  </w:style>
  <w:style w:type="paragraph" w:styleId="Heading6">
    <w:name w:val="heading 6"/>
    <w:basedOn w:val="Heading4"/>
    <w:next w:val="Normal"/>
    <w:qFormat/>
    <w:rsid w:val="006C36CD"/>
    <w:pPr>
      <w:outlineLvl w:val="5"/>
    </w:pPr>
  </w:style>
  <w:style w:type="paragraph" w:styleId="Heading7">
    <w:name w:val="heading 7"/>
    <w:basedOn w:val="Heading6"/>
    <w:next w:val="Normal"/>
    <w:qFormat/>
    <w:rsid w:val="006C36CD"/>
    <w:pPr>
      <w:outlineLvl w:val="6"/>
    </w:pPr>
  </w:style>
  <w:style w:type="paragraph" w:styleId="Heading8">
    <w:name w:val="heading 8"/>
    <w:basedOn w:val="Heading6"/>
    <w:next w:val="Normal"/>
    <w:qFormat/>
    <w:rsid w:val="006C36CD"/>
    <w:pPr>
      <w:outlineLvl w:val="7"/>
    </w:pPr>
  </w:style>
  <w:style w:type="paragraph" w:styleId="Heading9">
    <w:name w:val="heading 9"/>
    <w:basedOn w:val="Heading6"/>
    <w:next w:val="Normal"/>
    <w:qFormat/>
    <w:rsid w:val="006C36C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C24DAC"/>
  </w:style>
  <w:style w:type="paragraph" w:styleId="TOC4">
    <w:name w:val="toc 4"/>
    <w:basedOn w:val="TOC1"/>
    <w:next w:val="Normal"/>
    <w:rsid w:val="00C24DAC"/>
  </w:style>
  <w:style w:type="paragraph" w:styleId="TOC3">
    <w:name w:val="toc 3"/>
    <w:basedOn w:val="TOC1"/>
    <w:next w:val="Normal"/>
    <w:rsid w:val="00C24DAC"/>
  </w:style>
  <w:style w:type="paragraph" w:styleId="TOC2">
    <w:name w:val="toc 2"/>
    <w:basedOn w:val="TOC1"/>
    <w:next w:val="Normal"/>
    <w:rsid w:val="00C24DAC"/>
    <w:pPr>
      <w:spacing w:before="160"/>
    </w:pPr>
  </w:style>
  <w:style w:type="paragraph" w:styleId="TOC1">
    <w:name w:val="toc 1"/>
    <w:basedOn w:val="Normal"/>
    <w:rsid w:val="00C24DAC"/>
    <w:pPr>
      <w:tabs>
        <w:tab w:val="clear" w:pos="794"/>
        <w:tab w:val="clear" w:pos="1191"/>
        <w:tab w:val="clear" w:pos="1588"/>
        <w:tab w:val="clear" w:pos="1985"/>
        <w:tab w:val="left" w:pos="964"/>
        <w:tab w:val="left" w:leader="dot" w:pos="7938"/>
        <w:tab w:val="right" w:pos="9072"/>
      </w:tabs>
      <w:spacing w:before="200"/>
      <w:ind w:left="964" w:hanging="964"/>
    </w:pPr>
    <w:rPr>
      <w:rFonts w:eastAsia="Times New Roman"/>
      <w:lang w:val="fr-FR"/>
    </w:rPr>
  </w:style>
  <w:style w:type="paragraph" w:styleId="TOC7">
    <w:name w:val="toc 7"/>
    <w:basedOn w:val="TOC6"/>
    <w:next w:val="Normal"/>
    <w:rsid w:val="00C24DAC"/>
  </w:style>
  <w:style w:type="paragraph" w:styleId="TOC6">
    <w:name w:val="toc 6"/>
    <w:basedOn w:val="TOC5"/>
    <w:next w:val="Normal"/>
    <w:rsid w:val="00C24DAC"/>
  </w:style>
  <w:style w:type="paragraph" w:styleId="TOC5">
    <w:name w:val="toc 5"/>
    <w:basedOn w:val="TOC4"/>
    <w:next w:val="Normal"/>
    <w:rsid w:val="00C24DAC"/>
    <w:rPr>
      <w:lang w:val="fr-CH"/>
    </w:rPr>
  </w:style>
  <w:style w:type="paragraph" w:styleId="Index7">
    <w:name w:val="index 7"/>
    <w:basedOn w:val="Normal"/>
    <w:next w:val="Normal"/>
    <w:semiHidden/>
    <w:rsid w:val="006C36CD"/>
    <w:pPr>
      <w:ind w:left="1698"/>
    </w:pPr>
  </w:style>
  <w:style w:type="paragraph" w:styleId="Index6">
    <w:name w:val="index 6"/>
    <w:basedOn w:val="Normal"/>
    <w:next w:val="Normal"/>
    <w:semiHidden/>
    <w:rsid w:val="006C36CD"/>
    <w:pPr>
      <w:ind w:left="1415"/>
    </w:pPr>
  </w:style>
  <w:style w:type="paragraph" w:styleId="Index5">
    <w:name w:val="index 5"/>
    <w:basedOn w:val="Normal"/>
    <w:next w:val="Normal"/>
    <w:semiHidden/>
    <w:rsid w:val="006C36CD"/>
    <w:pPr>
      <w:ind w:left="1132"/>
    </w:pPr>
  </w:style>
  <w:style w:type="paragraph" w:styleId="Index4">
    <w:name w:val="index 4"/>
    <w:basedOn w:val="Normal"/>
    <w:next w:val="Normal"/>
    <w:semiHidden/>
    <w:rsid w:val="006C36CD"/>
    <w:pPr>
      <w:ind w:left="849"/>
    </w:pPr>
  </w:style>
  <w:style w:type="paragraph" w:styleId="Index3">
    <w:name w:val="index 3"/>
    <w:basedOn w:val="Normal"/>
    <w:next w:val="Normal"/>
    <w:semiHidden/>
    <w:rsid w:val="006C36CD"/>
    <w:pPr>
      <w:ind w:left="566"/>
    </w:pPr>
  </w:style>
  <w:style w:type="paragraph" w:styleId="Index2">
    <w:name w:val="index 2"/>
    <w:basedOn w:val="Normal"/>
    <w:next w:val="Normal"/>
    <w:semiHidden/>
    <w:rsid w:val="006C36CD"/>
    <w:pPr>
      <w:ind w:left="283"/>
    </w:pPr>
  </w:style>
  <w:style w:type="paragraph" w:styleId="Index1">
    <w:name w:val="index 1"/>
    <w:basedOn w:val="Normal"/>
    <w:next w:val="Normal"/>
    <w:semiHidden/>
    <w:rsid w:val="006C36CD"/>
  </w:style>
  <w:style w:type="character" w:styleId="LineNumber">
    <w:name w:val="line number"/>
    <w:basedOn w:val="DefaultParagraphFont"/>
    <w:rsid w:val="006C36CD"/>
  </w:style>
  <w:style w:type="paragraph" w:styleId="IndexHeading">
    <w:name w:val="index heading"/>
    <w:basedOn w:val="Normal"/>
    <w:next w:val="Index1"/>
    <w:semiHidden/>
    <w:rsid w:val="006C36CD"/>
  </w:style>
  <w:style w:type="paragraph" w:styleId="Footer">
    <w:name w:val="footer"/>
    <w:basedOn w:val="Normal"/>
    <w:link w:val="FooterChar"/>
    <w:rsid w:val="006C36CD"/>
    <w:pPr>
      <w:tabs>
        <w:tab w:val="clear" w:pos="794"/>
        <w:tab w:val="clear" w:pos="1191"/>
        <w:tab w:val="clear" w:pos="1588"/>
        <w:tab w:val="clear" w:pos="1985"/>
        <w:tab w:val="left" w:pos="5954"/>
        <w:tab w:val="right" w:pos="9639"/>
      </w:tabs>
      <w:spacing w:before="0"/>
    </w:pPr>
    <w:rPr>
      <w:caps/>
      <w:sz w:val="16"/>
      <w:lang w:val="fr-FR"/>
    </w:rPr>
  </w:style>
  <w:style w:type="paragraph" w:styleId="Header">
    <w:name w:val="header"/>
    <w:basedOn w:val="Normal"/>
    <w:link w:val="HeaderChar"/>
    <w:uiPriority w:val="99"/>
    <w:rsid w:val="006C36CD"/>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semiHidden/>
    <w:rsid w:val="006C36CD"/>
    <w:rPr>
      <w:position w:val="6"/>
      <w:sz w:val="18"/>
    </w:rPr>
  </w:style>
  <w:style w:type="paragraph" w:styleId="FootnoteText">
    <w:name w:val="footnote text"/>
    <w:basedOn w:val="Normal"/>
    <w:link w:val="FootnoteTextChar"/>
    <w:semiHidden/>
    <w:rsid w:val="006C36CD"/>
    <w:pPr>
      <w:keepLines/>
      <w:tabs>
        <w:tab w:val="left" w:pos="255"/>
      </w:tabs>
      <w:ind w:left="255" w:hanging="255"/>
    </w:pPr>
  </w:style>
  <w:style w:type="paragraph" w:styleId="NormalIndent">
    <w:name w:val="Normal Indent"/>
    <w:basedOn w:val="Normal"/>
    <w:rsid w:val="006C36CD"/>
    <w:pPr>
      <w:ind w:left="794"/>
    </w:pPr>
  </w:style>
  <w:style w:type="paragraph" w:customStyle="1" w:styleId="enumlev1">
    <w:name w:val="enumlev1"/>
    <w:basedOn w:val="Normal"/>
    <w:rsid w:val="006C36CD"/>
    <w:pPr>
      <w:tabs>
        <w:tab w:val="left" w:pos="2608"/>
        <w:tab w:val="left" w:pos="3345"/>
      </w:tabs>
      <w:spacing w:before="80"/>
      <w:ind w:left="794" w:hanging="794"/>
    </w:pPr>
  </w:style>
  <w:style w:type="paragraph" w:customStyle="1" w:styleId="enumlev2">
    <w:name w:val="enumlev2"/>
    <w:basedOn w:val="enumlev1"/>
    <w:rsid w:val="006C36CD"/>
    <w:pPr>
      <w:ind w:left="1191" w:hanging="397"/>
    </w:pPr>
  </w:style>
  <w:style w:type="paragraph" w:customStyle="1" w:styleId="enumlev3">
    <w:name w:val="enumlev3"/>
    <w:basedOn w:val="enumlev2"/>
    <w:rsid w:val="006C36CD"/>
    <w:pPr>
      <w:ind w:left="1588"/>
    </w:pPr>
  </w:style>
  <w:style w:type="paragraph" w:customStyle="1" w:styleId="Normalaftertitle">
    <w:name w:val="Normal after title"/>
    <w:basedOn w:val="Normal"/>
    <w:next w:val="Normal"/>
    <w:link w:val="NormalaftertitleChar"/>
    <w:rsid w:val="006C36CD"/>
    <w:pPr>
      <w:spacing w:before="320"/>
    </w:pPr>
  </w:style>
  <w:style w:type="paragraph" w:customStyle="1" w:styleId="Equation">
    <w:name w:val="Equation"/>
    <w:basedOn w:val="Normal"/>
    <w:rsid w:val="006C36CD"/>
    <w:pPr>
      <w:tabs>
        <w:tab w:val="clear" w:pos="1191"/>
        <w:tab w:val="clear" w:pos="1588"/>
        <w:tab w:val="clear" w:pos="1985"/>
        <w:tab w:val="center" w:pos="4820"/>
        <w:tab w:val="right" w:pos="9639"/>
      </w:tabs>
    </w:pPr>
  </w:style>
  <w:style w:type="paragraph" w:customStyle="1" w:styleId="Head">
    <w:name w:val="Head"/>
    <w:basedOn w:val="Normal"/>
    <w:rsid w:val="006C36CD"/>
    <w:pPr>
      <w:tabs>
        <w:tab w:val="left" w:pos="6663"/>
      </w:tabs>
      <w:overflowPunct/>
      <w:autoSpaceDE/>
      <w:autoSpaceDN/>
      <w:adjustRightInd/>
      <w:spacing w:before="0"/>
      <w:textAlignment w:val="auto"/>
    </w:pPr>
  </w:style>
  <w:style w:type="paragraph" w:customStyle="1" w:styleId="toc0">
    <w:name w:val="toc 0"/>
    <w:basedOn w:val="Normal"/>
    <w:next w:val="TOC1"/>
    <w:rsid w:val="00C24DAC"/>
    <w:pPr>
      <w:tabs>
        <w:tab w:val="clear" w:pos="794"/>
        <w:tab w:val="clear" w:pos="1191"/>
        <w:tab w:val="clear" w:pos="1588"/>
        <w:tab w:val="clear" w:pos="1985"/>
        <w:tab w:val="right" w:pos="9781"/>
      </w:tabs>
    </w:pPr>
    <w:rPr>
      <w:rFonts w:eastAsia="Times New Roman"/>
      <w:b/>
      <w:lang w:val="fr-FR"/>
    </w:rPr>
  </w:style>
  <w:style w:type="paragraph" w:styleId="List">
    <w:name w:val="List"/>
    <w:basedOn w:val="Normal"/>
    <w:rsid w:val="006C36CD"/>
    <w:pPr>
      <w:tabs>
        <w:tab w:val="clear" w:pos="794"/>
        <w:tab w:val="clear" w:pos="1191"/>
        <w:tab w:val="clear" w:pos="1588"/>
        <w:tab w:val="clear" w:pos="1985"/>
        <w:tab w:val="left" w:pos="1701"/>
        <w:tab w:val="left" w:pos="2127"/>
      </w:tabs>
      <w:ind w:left="2127" w:hanging="2127"/>
    </w:pPr>
  </w:style>
  <w:style w:type="paragraph" w:customStyle="1" w:styleId="Part">
    <w:name w:val="Part"/>
    <w:basedOn w:val="Normal"/>
    <w:rsid w:val="006C36CD"/>
    <w:pPr>
      <w:tabs>
        <w:tab w:val="clear" w:pos="794"/>
        <w:tab w:val="clear" w:pos="1191"/>
        <w:tab w:val="clear" w:pos="1588"/>
        <w:tab w:val="clear" w:pos="1985"/>
        <w:tab w:val="left" w:pos="1276"/>
        <w:tab w:val="left" w:pos="1701"/>
      </w:tabs>
      <w:spacing w:before="199"/>
      <w:ind w:left="1701" w:hanging="1701"/>
    </w:pPr>
    <w:rPr>
      <w:caps/>
    </w:rPr>
  </w:style>
  <w:style w:type="paragraph" w:customStyle="1" w:styleId="Source">
    <w:name w:val="Source"/>
    <w:basedOn w:val="Normal"/>
    <w:next w:val="Normal"/>
    <w:rsid w:val="00C24DAC"/>
    <w:pPr>
      <w:framePr w:hSpace="181" w:wrap="around" w:vAnchor="page" w:hAnchor="page" w:x="1589" w:y="2314"/>
      <w:spacing w:before="840"/>
    </w:pPr>
    <w:rPr>
      <w:rFonts w:cstheme="minorHAnsi"/>
      <w:b/>
      <w:sz w:val="34"/>
      <w:szCs w:val="34"/>
      <w:lang w:val="ru-RU"/>
    </w:rPr>
  </w:style>
  <w:style w:type="paragraph" w:customStyle="1" w:styleId="meeting">
    <w:name w:val="meeting"/>
    <w:basedOn w:val="Head"/>
    <w:next w:val="Head"/>
    <w:rsid w:val="006C36CD"/>
    <w:pPr>
      <w:tabs>
        <w:tab w:val="left" w:pos="7371"/>
      </w:tabs>
      <w:spacing w:after="567"/>
    </w:pPr>
  </w:style>
  <w:style w:type="paragraph" w:customStyle="1" w:styleId="Subject">
    <w:name w:val="Subject"/>
    <w:basedOn w:val="Normal"/>
    <w:next w:val="Source"/>
    <w:rsid w:val="006C36CD"/>
    <w:pPr>
      <w:tabs>
        <w:tab w:val="clear" w:pos="794"/>
        <w:tab w:val="clear" w:pos="1191"/>
        <w:tab w:val="clear" w:pos="1588"/>
        <w:tab w:val="clear" w:pos="1985"/>
        <w:tab w:val="left" w:pos="1134"/>
      </w:tabs>
      <w:spacing w:before="0"/>
      <w:ind w:left="1134" w:hanging="1134"/>
    </w:pPr>
  </w:style>
  <w:style w:type="paragraph" w:customStyle="1" w:styleId="Object">
    <w:name w:val="Object"/>
    <w:basedOn w:val="Subject"/>
    <w:next w:val="Subject"/>
    <w:rsid w:val="006C36CD"/>
  </w:style>
  <w:style w:type="paragraph" w:customStyle="1" w:styleId="Data">
    <w:name w:val="Data"/>
    <w:basedOn w:val="Subject"/>
    <w:next w:val="Subject"/>
    <w:rsid w:val="006C36CD"/>
  </w:style>
  <w:style w:type="paragraph" w:customStyle="1" w:styleId="Reasons">
    <w:name w:val="Reasons"/>
    <w:basedOn w:val="Normal"/>
    <w:qFormat/>
    <w:rsid w:val="006C36CD"/>
    <w:pPr>
      <w:tabs>
        <w:tab w:val="clear" w:pos="794"/>
        <w:tab w:val="clear" w:pos="1191"/>
        <w:tab w:val="clear" w:pos="1588"/>
        <w:tab w:val="clear" w:pos="1985"/>
        <w:tab w:val="left" w:pos="567"/>
        <w:tab w:val="left" w:pos="1134"/>
        <w:tab w:val="left" w:pos="1701"/>
        <w:tab w:val="left" w:pos="2268"/>
        <w:tab w:val="left" w:pos="2835"/>
      </w:tabs>
    </w:pPr>
  </w:style>
  <w:style w:type="character" w:styleId="Hyperlink">
    <w:name w:val="Hyperlink"/>
    <w:basedOn w:val="DefaultParagraphFont"/>
    <w:uiPriority w:val="99"/>
    <w:rsid w:val="007A5EE2"/>
    <w:rPr>
      <w:rFonts w:eastAsia="Times New Roman"/>
      <w:noProof/>
      <w:color w:val="4F81BD" w:themeColor="accent1"/>
      <w:u w:val="single"/>
    </w:rPr>
  </w:style>
  <w:style w:type="paragraph" w:customStyle="1" w:styleId="FirstFooter">
    <w:name w:val="FirstFooter"/>
    <w:basedOn w:val="Footer"/>
    <w:rsid w:val="006C36CD"/>
    <w:pPr>
      <w:tabs>
        <w:tab w:val="clear" w:pos="5954"/>
        <w:tab w:val="clear" w:pos="9639"/>
      </w:tabs>
      <w:overflowPunct/>
      <w:autoSpaceDE/>
      <w:autoSpaceDN/>
      <w:adjustRightInd/>
      <w:spacing w:before="40"/>
      <w:textAlignment w:val="auto"/>
    </w:pPr>
    <w:rPr>
      <w:caps w:val="0"/>
      <w:noProof w:val="0"/>
    </w:rPr>
  </w:style>
  <w:style w:type="paragraph" w:customStyle="1" w:styleId="Note">
    <w:name w:val="Note"/>
    <w:basedOn w:val="Normal"/>
    <w:rsid w:val="006C36CD"/>
    <w:pPr>
      <w:tabs>
        <w:tab w:val="clear" w:pos="794"/>
        <w:tab w:val="clear" w:pos="1191"/>
        <w:tab w:val="clear" w:pos="1588"/>
        <w:tab w:val="clear" w:pos="1985"/>
      </w:tabs>
      <w:spacing w:before="80"/>
    </w:pPr>
  </w:style>
  <w:style w:type="paragraph" w:styleId="TOC9">
    <w:name w:val="toc 9"/>
    <w:basedOn w:val="Normal"/>
    <w:next w:val="Normal"/>
    <w:rsid w:val="00C24DAC"/>
    <w:pPr>
      <w:tabs>
        <w:tab w:val="clear" w:pos="794"/>
        <w:tab w:val="clear" w:pos="1191"/>
        <w:tab w:val="clear" w:pos="1588"/>
        <w:tab w:val="clear" w:pos="1985"/>
        <w:tab w:val="right" w:leader="dot" w:pos="9645"/>
      </w:tabs>
      <w:ind w:left="1920"/>
    </w:pPr>
    <w:rPr>
      <w:rFonts w:eastAsia="Times New Roman"/>
      <w:lang w:val="fr-FR"/>
    </w:rPr>
  </w:style>
  <w:style w:type="paragraph" w:customStyle="1" w:styleId="Headingb">
    <w:name w:val="Heading_b"/>
    <w:basedOn w:val="Heading3"/>
    <w:next w:val="Normal"/>
    <w:rsid w:val="009A3456"/>
    <w:pPr>
      <w:tabs>
        <w:tab w:val="clear" w:pos="1191"/>
        <w:tab w:val="clear" w:pos="1588"/>
        <w:tab w:val="clear" w:pos="1985"/>
        <w:tab w:val="left" w:pos="2127"/>
        <w:tab w:val="left" w:pos="2410"/>
        <w:tab w:val="left" w:pos="2921"/>
        <w:tab w:val="left" w:pos="3261"/>
      </w:tabs>
      <w:overflowPunct/>
      <w:autoSpaceDE/>
      <w:autoSpaceDN/>
      <w:adjustRightInd/>
      <w:spacing w:before="160"/>
      <w:textAlignment w:val="auto"/>
      <w:outlineLvl w:val="9"/>
    </w:pPr>
    <w:rPr>
      <w:i w:val="0"/>
    </w:rPr>
  </w:style>
  <w:style w:type="character" w:styleId="FollowedHyperlink">
    <w:name w:val="FollowedHyperlink"/>
    <w:basedOn w:val="DefaultParagraphFont"/>
    <w:rsid w:val="004D163F"/>
    <w:rPr>
      <w:rFonts w:ascii="Calibri" w:hAnsi="Calibri"/>
      <w:color w:val="800080"/>
      <w:u w:val="single"/>
    </w:rPr>
  </w:style>
  <w:style w:type="paragraph" w:customStyle="1" w:styleId="Title1">
    <w:name w:val="Title 1"/>
    <w:basedOn w:val="Source"/>
    <w:next w:val="Title2"/>
    <w:rsid w:val="006C36CD"/>
    <w:pPr>
      <w:framePr w:wrap="around"/>
      <w:tabs>
        <w:tab w:val="clear" w:pos="794"/>
        <w:tab w:val="clear" w:pos="1191"/>
        <w:tab w:val="clear" w:pos="1588"/>
        <w:tab w:val="clear" w:pos="1985"/>
        <w:tab w:val="left" w:pos="567"/>
        <w:tab w:val="left" w:pos="1134"/>
        <w:tab w:val="left" w:pos="1701"/>
        <w:tab w:val="left" w:pos="2268"/>
        <w:tab w:val="left" w:pos="2835"/>
      </w:tabs>
      <w:spacing w:before="240"/>
    </w:pPr>
    <w:rPr>
      <w:b w:val="0"/>
      <w:caps/>
    </w:rPr>
  </w:style>
  <w:style w:type="paragraph" w:customStyle="1" w:styleId="Title2">
    <w:name w:val="Title 2"/>
    <w:basedOn w:val="Source"/>
    <w:next w:val="Title3"/>
    <w:rsid w:val="006C36CD"/>
    <w:pPr>
      <w:framePr w:wrap="around"/>
      <w:tabs>
        <w:tab w:val="clear" w:pos="794"/>
        <w:tab w:val="clear" w:pos="1191"/>
        <w:tab w:val="clear" w:pos="1588"/>
        <w:tab w:val="clear" w:pos="1985"/>
      </w:tabs>
      <w:overflowPunct/>
      <w:autoSpaceDE/>
      <w:autoSpaceDN/>
      <w:adjustRightInd/>
      <w:textAlignment w:val="auto"/>
    </w:pPr>
    <w:rPr>
      <w:b w:val="0"/>
      <w:caps/>
    </w:rPr>
  </w:style>
  <w:style w:type="paragraph" w:customStyle="1" w:styleId="Title3">
    <w:name w:val="Title 3"/>
    <w:basedOn w:val="Title2"/>
    <w:next w:val="Title4"/>
    <w:rsid w:val="006C36CD"/>
    <w:pPr>
      <w:framePr w:wrap="around"/>
      <w:spacing w:before="240"/>
    </w:pPr>
    <w:rPr>
      <w:caps w:val="0"/>
    </w:rPr>
  </w:style>
  <w:style w:type="paragraph" w:customStyle="1" w:styleId="Title4">
    <w:name w:val="Title 4"/>
    <w:basedOn w:val="Title3"/>
    <w:next w:val="Heading1"/>
    <w:rsid w:val="006C36CD"/>
    <w:pPr>
      <w:framePr w:wrap="around"/>
    </w:pPr>
    <w:rPr>
      <w:b/>
    </w:rPr>
  </w:style>
  <w:style w:type="paragraph" w:customStyle="1" w:styleId="dnum">
    <w:name w:val="dnum"/>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date">
    <w:name w:val="ddate"/>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orlang">
    <w:name w:val="dorlang"/>
    <w:basedOn w:val="Normal"/>
    <w:rsid w:val="006C36CD"/>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AnnexNo">
    <w:name w:val="Annex_No"/>
    <w:basedOn w:val="Normal"/>
    <w:next w:val="Annextitle"/>
    <w:rsid w:val="006C36CD"/>
    <w:pPr>
      <w:keepNext/>
      <w:keepLines/>
      <w:spacing w:before="480" w:after="80"/>
      <w:jc w:val="center"/>
    </w:pPr>
    <w:rPr>
      <w:caps/>
      <w:sz w:val="28"/>
    </w:rPr>
  </w:style>
  <w:style w:type="paragraph" w:customStyle="1" w:styleId="Annextitle">
    <w:name w:val="Annex_title"/>
    <w:basedOn w:val="Normal"/>
    <w:next w:val="Annexref"/>
    <w:link w:val="AnnextitleChar"/>
    <w:rsid w:val="006C36CD"/>
    <w:pPr>
      <w:keepNext/>
      <w:keepLines/>
      <w:spacing w:before="240" w:after="280"/>
      <w:jc w:val="center"/>
    </w:pPr>
    <w:rPr>
      <w:rFonts w:ascii="Times New Roman Bold" w:hAnsi="Times New Roman Bold"/>
      <w:b/>
      <w:sz w:val="28"/>
    </w:rPr>
  </w:style>
  <w:style w:type="paragraph" w:customStyle="1" w:styleId="Annexref">
    <w:name w:val="Annex_ref"/>
    <w:basedOn w:val="Normal"/>
    <w:next w:val="Normalaftertitle"/>
    <w:rsid w:val="006C36CD"/>
    <w:pPr>
      <w:keepNext/>
      <w:keepLines/>
      <w:spacing w:after="280"/>
      <w:jc w:val="center"/>
    </w:pPr>
  </w:style>
  <w:style w:type="paragraph" w:customStyle="1" w:styleId="AppendixNo">
    <w:name w:val="Appendix_No"/>
    <w:basedOn w:val="AnnexNo"/>
    <w:next w:val="Appendixtitle"/>
    <w:rsid w:val="006C36CD"/>
  </w:style>
  <w:style w:type="paragraph" w:customStyle="1" w:styleId="Appendixtitle">
    <w:name w:val="Appendix_title"/>
    <w:basedOn w:val="Annextitle"/>
    <w:next w:val="Appendixref"/>
    <w:rsid w:val="006C36CD"/>
  </w:style>
  <w:style w:type="paragraph" w:customStyle="1" w:styleId="Appendixref">
    <w:name w:val="Appendix_ref"/>
    <w:basedOn w:val="Annexref"/>
    <w:next w:val="Normalaftertitle"/>
    <w:rsid w:val="006C36CD"/>
  </w:style>
  <w:style w:type="paragraph" w:customStyle="1" w:styleId="Call">
    <w:name w:val="Call"/>
    <w:basedOn w:val="Normal"/>
    <w:next w:val="Normal"/>
    <w:link w:val="CallChar"/>
    <w:rsid w:val="004D163F"/>
    <w:pPr>
      <w:keepNext/>
      <w:keepLines/>
      <w:spacing w:before="160"/>
      <w:ind w:left="794"/>
    </w:pPr>
    <w:rPr>
      <w:rFonts w:ascii="STKaiti" w:hAnsi="STKaiti"/>
    </w:rPr>
  </w:style>
  <w:style w:type="character" w:styleId="EndnoteReference">
    <w:name w:val="endnote reference"/>
    <w:basedOn w:val="DefaultParagraphFont"/>
    <w:semiHidden/>
    <w:rsid w:val="006C36CD"/>
    <w:rPr>
      <w:vertAlign w:val="superscript"/>
    </w:rPr>
  </w:style>
  <w:style w:type="paragraph" w:customStyle="1" w:styleId="Equationlegend">
    <w:name w:val="Equation_legend"/>
    <w:basedOn w:val="Normal"/>
    <w:rsid w:val="006C36CD"/>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Figure">
    <w:name w:val="Figure"/>
    <w:basedOn w:val="Normal"/>
    <w:next w:val="Normal"/>
    <w:rsid w:val="009A3456"/>
    <w:pPr>
      <w:spacing w:after="240"/>
      <w:jc w:val="center"/>
    </w:pPr>
  </w:style>
  <w:style w:type="paragraph" w:customStyle="1" w:styleId="Figuretitle">
    <w:name w:val="Figure_title"/>
    <w:basedOn w:val="Tabletitle"/>
    <w:next w:val="Normal"/>
    <w:rsid w:val="009A3456"/>
    <w:pPr>
      <w:keepLines/>
      <w:spacing w:before="240"/>
    </w:pPr>
    <w:rPr>
      <w:rFonts w:ascii="Calibri" w:hAnsi="Calibri"/>
    </w:rPr>
  </w:style>
  <w:style w:type="paragraph" w:customStyle="1" w:styleId="Tabletitle">
    <w:name w:val="Table_title"/>
    <w:basedOn w:val="TableNo"/>
    <w:next w:val="Tabletext"/>
    <w:rsid w:val="006C36CD"/>
    <w:pPr>
      <w:spacing w:before="0"/>
    </w:pPr>
    <w:rPr>
      <w:rFonts w:ascii="Times New Roman Bold" w:hAnsi="Times New Roman Bold"/>
      <w:b/>
      <w:caps w:val="0"/>
    </w:rPr>
  </w:style>
  <w:style w:type="paragraph" w:customStyle="1" w:styleId="TableNo">
    <w:name w:val="Table_No"/>
    <w:basedOn w:val="Normal"/>
    <w:next w:val="Tabletitle"/>
    <w:rsid w:val="006C36CD"/>
    <w:pPr>
      <w:keepNext/>
      <w:spacing w:before="360" w:after="120"/>
      <w:jc w:val="center"/>
    </w:pPr>
    <w:rPr>
      <w:caps/>
    </w:rPr>
  </w:style>
  <w:style w:type="paragraph" w:customStyle="1" w:styleId="Tabletext">
    <w:name w:val="Table_text"/>
    <w:basedOn w:val="Normal"/>
    <w:rsid w:val="006C36C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legend">
    <w:name w:val="Figure_legend"/>
    <w:basedOn w:val="Normal"/>
    <w:rsid w:val="009A3456"/>
    <w:pPr>
      <w:tabs>
        <w:tab w:val="clear" w:pos="794"/>
        <w:tab w:val="clear" w:pos="1191"/>
        <w:tab w:val="clear" w:pos="1588"/>
        <w:tab w:val="clear" w:pos="1985"/>
      </w:tabs>
      <w:spacing w:before="20" w:after="240"/>
    </w:pPr>
    <w:rPr>
      <w:sz w:val="18"/>
    </w:rPr>
  </w:style>
  <w:style w:type="paragraph" w:customStyle="1" w:styleId="FigureNo">
    <w:name w:val="Figure_No"/>
    <w:basedOn w:val="Normal"/>
    <w:next w:val="Figuretitle"/>
    <w:rsid w:val="009A3456"/>
    <w:pPr>
      <w:keepNext/>
      <w:keepLines/>
      <w:spacing w:before="480" w:after="120"/>
      <w:jc w:val="center"/>
    </w:pPr>
    <w:rPr>
      <w:caps/>
    </w:rPr>
  </w:style>
  <w:style w:type="paragraph" w:customStyle="1" w:styleId="Figurewithouttitle">
    <w:name w:val="Figure_without_title"/>
    <w:basedOn w:val="Figure"/>
    <w:next w:val="Normal"/>
    <w:rsid w:val="009A3456"/>
    <w:pPr>
      <w:spacing w:before="240"/>
    </w:pPr>
  </w:style>
  <w:style w:type="paragraph" w:customStyle="1" w:styleId="Headingi">
    <w:name w:val="Heading_i"/>
    <w:basedOn w:val="Heading3"/>
    <w:next w:val="Normal"/>
    <w:rsid w:val="009A3456"/>
    <w:pPr>
      <w:spacing w:before="160"/>
    </w:pPr>
    <w:rPr>
      <w:rFonts w:ascii="STKaiti" w:hAnsi="STKaiti"/>
      <w:b w:val="0"/>
    </w:rPr>
  </w:style>
  <w:style w:type="character" w:styleId="PageNumber">
    <w:name w:val="page number"/>
    <w:basedOn w:val="DefaultParagraphFont"/>
    <w:rsid w:val="006C36CD"/>
  </w:style>
  <w:style w:type="paragraph" w:customStyle="1" w:styleId="PartNo">
    <w:name w:val="Part_No"/>
    <w:basedOn w:val="AnnexNo"/>
    <w:next w:val="Parttitle"/>
    <w:rsid w:val="006C36CD"/>
  </w:style>
  <w:style w:type="paragraph" w:customStyle="1" w:styleId="Parttitle">
    <w:name w:val="Part_title"/>
    <w:basedOn w:val="Annextitle"/>
    <w:next w:val="Partref"/>
    <w:rsid w:val="004D163F"/>
    <w:rPr>
      <w:rFonts w:ascii="Calibri" w:hAnsi="Calibri"/>
    </w:rPr>
  </w:style>
  <w:style w:type="paragraph" w:customStyle="1" w:styleId="Partref">
    <w:name w:val="Part_ref"/>
    <w:basedOn w:val="Annexref"/>
    <w:next w:val="Normalaftertitle"/>
    <w:rsid w:val="006C36CD"/>
  </w:style>
  <w:style w:type="paragraph" w:customStyle="1" w:styleId="RecNo">
    <w:name w:val="Rec_No"/>
    <w:basedOn w:val="Normal"/>
    <w:next w:val="Rectitle"/>
    <w:rsid w:val="006C36CD"/>
    <w:pPr>
      <w:keepNext/>
      <w:keepLines/>
      <w:spacing w:before="480"/>
      <w:jc w:val="center"/>
    </w:pPr>
    <w:rPr>
      <w:caps/>
      <w:sz w:val="28"/>
    </w:rPr>
  </w:style>
  <w:style w:type="paragraph" w:customStyle="1" w:styleId="Rectitle">
    <w:name w:val="Rec_title"/>
    <w:basedOn w:val="RecNo"/>
    <w:next w:val="Recref"/>
    <w:rsid w:val="004D163F"/>
    <w:pPr>
      <w:spacing w:before="240"/>
    </w:pPr>
    <w:rPr>
      <w:b/>
      <w:caps w:val="0"/>
    </w:rPr>
  </w:style>
  <w:style w:type="paragraph" w:customStyle="1" w:styleId="Recref">
    <w:name w:val="Rec_ref"/>
    <w:basedOn w:val="Rectitle"/>
    <w:next w:val="Recdate"/>
    <w:rsid w:val="006C36CD"/>
    <w:pPr>
      <w:tabs>
        <w:tab w:val="clear" w:pos="794"/>
        <w:tab w:val="clear" w:pos="1191"/>
        <w:tab w:val="clear" w:pos="1588"/>
        <w:tab w:val="clear" w:pos="1985"/>
      </w:tabs>
      <w:spacing w:before="120"/>
    </w:pPr>
    <w:rPr>
      <w:rFonts w:ascii="Times New Roman" w:hAnsi="Times New Roman"/>
      <w:b w:val="0"/>
      <w:sz w:val="24"/>
    </w:rPr>
  </w:style>
  <w:style w:type="paragraph" w:customStyle="1" w:styleId="Recdate">
    <w:name w:val="Rec_date"/>
    <w:basedOn w:val="Recref"/>
    <w:next w:val="Normalaftertitle"/>
    <w:rsid w:val="006C36CD"/>
    <w:pPr>
      <w:jc w:val="right"/>
    </w:pPr>
    <w:rPr>
      <w:sz w:val="22"/>
    </w:rPr>
  </w:style>
  <w:style w:type="paragraph" w:customStyle="1" w:styleId="Questiondate">
    <w:name w:val="Question_date"/>
    <w:basedOn w:val="Recdate"/>
    <w:next w:val="Normalaftertitle"/>
    <w:rsid w:val="006C36CD"/>
  </w:style>
  <w:style w:type="paragraph" w:customStyle="1" w:styleId="QuestionNo">
    <w:name w:val="Question_No"/>
    <w:basedOn w:val="RecNo"/>
    <w:next w:val="Questiontitle"/>
    <w:rsid w:val="006C36CD"/>
  </w:style>
  <w:style w:type="paragraph" w:customStyle="1" w:styleId="Questionref">
    <w:name w:val="Question_ref"/>
    <w:basedOn w:val="Recref"/>
    <w:next w:val="Questiondate"/>
    <w:rsid w:val="006C36CD"/>
  </w:style>
  <w:style w:type="paragraph" w:customStyle="1" w:styleId="Questiontitle">
    <w:name w:val="Question_title"/>
    <w:basedOn w:val="Rectitle"/>
    <w:next w:val="Questionref"/>
    <w:rsid w:val="006C36CD"/>
  </w:style>
  <w:style w:type="paragraph" w:customStyle="1" w:styleId="Reftext">
    <w:name w:val="Ref_text"/>
    <w:basedOn w:val="Normal"/>
    <w:rsid w:val="006C36CD"/>
    <w:pPr>
      <w:ind w:left="794" w:hanging="794"/>
    </w:pPr>
  </w:style>
  <w:style w:type="paragraph" w:customStyle="1" w:styleId="Reftitle">
    <w:name w:val="Ref_title"/>
    <w:basedOn w:val="Normal"/>
    <w:next w:val="Reftext"/>
    <w:rsid w:val="006C36CD"/>
    <w:pPr>
      <w:spacing w:before="480"/>
      <w:jc w:val="center"/>
    </w:pPr>
    <w:rPr>
      <w:caps/>
    </w:rPr>
  </w:style>
  <w:style w:type="paragraph" w:customStyle="1" w:styleId="Repdate">
    <w:name w:val="Rep_date"/>
    <w:basedOn w:val="Recdate"/>
    <w:next w:val="Normalaftertitle"/>
    <w:rsid w:val="006C36CD"/>
  </w:style>
  <w:style w:type="paragraph" w:customStyle="1" w:styleId="RepNo">
    <w:name w:val="Rep_No"/>
    <w:basedOn w:val="RecNo"/>
    <w:next w:val="Reptitle"/>
    <w:rsid w:val="006C36CD"/>
  </w:style>
  <w:style w:type="paragraph" w:customStyle="1" w:styleId="Reptitle">
    <w:name w:val="Rep_title"/>
    <w:basedOn w:val="Rectitle"/>
    <w:next w:val="Repref"/>
    <w:rsid w:val="006C36CD"/>
  </w:style>
  <w:style w:type="paragraph" w:customStyle="1" w:styleId="Repref">
    <w:name w:val="Rep_ref"/>
    <w:basedOn w:val="Recref"/>
    <w:next w:val="Repdate"/>
    <w:rsid w:val="006C36CD"/>
  </w:style>
  <w:style w:type="paragraph" w:customStyle="1" w:styleId="Resdate">
    <w:name w:val="Res_date"/>
    <w:basedOn w:val="Recdate"/>
    <w:next w:val="Normalaftertitle"/>
    <w:rsid w:val="006C36CD"/>
  </w:style>
  <w:style w:type="paragraph" w:customStyle="1" w:styleId="ResNo">
    <w:name w:val="Res_No"/>
    <w:basedOn w:val="RecNo"/>
    <w:next w:val="Restitle"/>
    <w:rsid w:val="006C36CD"/>
  </w:style>
  <w:style w:type="paragraph" w:customStyle="1" w:styleId="Restitle">
    <w:name w:val="Res_title"/>
    <w:basedOn w:val="Rectitle"/>
    <w:next w:val="Resref"/>
    <w:rsid w:val="006C36CD"/>
  </w:style>
  <w:style w:type="paragraph" w:customStyle="1" w:styleId="Resref">
    <w:name w:val="Res_ref"/>
    <w:basedOn w:val="Recref"/>
    <w:next w:val="Resdate"/>
    <w:rsid w:val="006C36CD"/>
  </w:style>
  <w:style w:type="paragraph" w:customStyle="1" w:styleId="SectionNo">
    <w:name w:val="Section_No"/>
    <w:basedOn w:val="AnnexNo"/>
    <w:next w:val="Sectiontitle"/>
    <w:rsid w:val="006C36CD"/>
  </w:style>
  <w:style w:type="paragraph" w:customStyle="1" w:styleId="Sectiontitle">
    <w:name w:val="Section_title"/>
    <w:basedOn w:val="Normal"/>
    <w:next w:val="Normalaftertitle"/>
    <w:rsid w:val="006C36CD"/>
    <w:rPr>
      <w:sz w:val="28"/>
    </w:rPr>
  </w:style>
  <w:style w:type="paragraph" w:customStyle="1" w:styleId="SpecialFooter">
    <w:name w:val="Special Footer"/>
    <w:basedOn w:val="Footer"/>
    <w:rsid w:val="006C36CD"/>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A3456"/>
    <w:pPr>
      <w:keepNext/>
      <w:spacing w:before="80" w:after="80"/>
      <w:jc w:val="center"/>
    </w:pPr>
    <w:rPr>
      <w:b/>
    </w:rPr>
  </w:style>
  <w:style w:type="paragraph" w:customStyle="1" w:styleId="Tablelegend">
    <w:name w:val="Table_legend"/>
    <w:basedOn w:val="Tabletext"/>
    <w:rsid w:val="00AA2E08"/>
    <w:pPr>
      <w:tabs>
        <w:tab w:val="clear" w:pos="1134"/>
        <w:tab w:val="clear" w:pos="1418"/>
        <w:tab w:val="clear" w:pos="1701"/>
        <w:tab w:val="clear" w:pos="1985"/>
        <w:tab w:val="clear" w:pos="2268"/>
        <w:tab w:val="clear" w:pos="2552"/>
        <w:tab w:val="clear" w:pos="2835"/>
        <w:tab w:val="clear" w:pos="3119"/>
        <w:tab w:val="clear" w:pos="3402"/>
        <w:tab w:val="clear" w:pos="3686"/>
        <w:tab w:val="clear" w:pos="3969"/>
      </w:tabs>
    </w:pPr>
  </w:style>
  <w:style w:type="paragraph" w:customStyle="1" w:styleId="Tableref">
    <w:name w:val="Table_ref"/>
    <w:basedOn w:val="Normal"/>
    <w:next w:val="Tabletitle"/>
    <w:rsid w:val="006C36CD"/>
    <w:pPr>
      <w:keepNext/>
      <w:spacing w:before="567"/>
      <w:jc w:val="center"/>
    </w:pPr>
  </w:style>
  <w:style w:type="paragraph" w:customStyle="1" w:styleId="Artheading">
    <w:name w:val="Art_heading"/>
    <w:basedOn w:val="Normal"/>
    <w:next w:val="Normalaftertitle"/>
    <w:rsid w:val="006C36CD"/>
    <w:pPr>
      <w:spacing w:before="480"/>
      <w:jc w:val="center"/>
    </w:pPr>
    <w:rPr>
      <w:rFonts w:ascii="Times New Roman Bold" w:hAnsi="Times New Roman Bold"/>
      <w:b/>
      <w:sz w:val="28"/>
    </w:rPr>
  </w:style>
  <w:style w:type="paragraph" w:customStyle="1" w:styleId="ArtNo">
    <w:name w:val="Art_No"/>
    <w:basedOn w:val="Normal"/>
    <w:next w:val="Normal"/>
    <w:rsid w:val="006C36CD"/>
    <w:pPr>
      <w:keepNext/>
      <w:keepLines/>
      <w:spacing w:before="480"/>
      <w:jc w:val="center"/>
    </w:pPr>
    <w:rPr>
      <w:caps/>
      <w:sz w:val="28"/>
    </w:rPr>
  </w:style>
  <w:style w:type="paragraph" w:customStyle="1" w:styleId="Arttitle">
    <w:name w:val="Art_title"/>
    <w:basedOn w:val="Normal"/>
    <w:next w:val="Normalaftertitle"/>
    <w:rsid w:val="006C36CD"/>
    <w:pPr>
      <w:keepNext/>
      <w:keepLines/>
      <w:spacing w:before="240"/>
      <w:jc w:val="center"/>
    </w:pPr>
    <w:rPr>
      <w:b/>
      <w:sz w:val="28"/>
    </w:rPr>
  </w:style>
  <w:style w:type="paragraph" w:customStyle="1" w:styleId="ChapNo">
    <w:name w:val="Chap_No"/>
    <w:basedOn w:val="ArtNo"/>
    <w:next w:val="Chaptitle"/>
    <w:rsid w:val="004D163F"/>
    <w:rPr>
      <w:b/>
    </w:rPr>
  </w:style>
  <w:style w:type="paragraph" w:customStyle="1" w:styleId="Chaptitle">
    <w:name w:val="Chap_title"/>
    <w:basedOn w:val="Arttitle"/>
    <w:next w:val="Normalaftertitle"/>
    <w:rsid w:val="006C36CD"/>
  </w:style>
  <w:style w:type="paragraph" w:styleId="BodyTextIndent3">
    <w:name w:val="Body Text Indent 3"/>
    <w:basedOn w:val="Normal"/>
    <w:link w:val="BodyTextIndent3Char"/>
    <w:rsid w:val="006C36CD"/>
    <w:pPr>
      <w:spacing w:before="0"/>
      <w:ind w:firstLine="601"/>
      <w:textAlignment w:val="auto"/>
    </w:pPr>
    <w:rPr>
      <w:sz w:val="22"/>
      <w:lang w:val="fr-FR"/>
    </w:rPr>
  </w:style>
  <w:style w:type="character" w:customStyle="1" w:styleId="Heading1Char">
    <w:name w:val="Heading 1 Char"/>
    <w:basedOn w:val="DefaultParagraphFont"/>
    <w:link w:val="Heading1"/>
    <w:rsid w:val="007A37DB"/>
    <w:rPr>
      <w:rFonts w:ascii="Calibri" w:hAnsi="Calibri"/>
      <w:b/>
      <w:sz w:val="28"/>
      <w:lang w:val="en-GB" w:eastAsia="en-US"/>
    </w:rPr>
  </w:style>
  <w:style w:type="character" w:customStyle="1" w:styleId="Heading2Char">
    <w:name w:val="Heading 2 Char"/>
    <w:basedOn w:val="DefaultParagraphFont"/>
    <w:link w:val="Heading2"/>
    <w:rsid w:val="007A37DB"/>
    <w:rPr>
      <w:rFonts w:ascii="Calibri" w:hAnsi="Calibri"/>
      <w:b/>
      <w:sz w:val="24"/>
      <w:lang w:val="en-GB" w:eastAsia="en-US"/>
    </w:rPr>
  </w:style>
  <w:style w:type="character" w:customStyle="1" w:styleId="FootnoteTextChar">
    <w:name w:val="Footnote Text Char"/>
    <w:basedOn w:val="DefaultParagraphFont"/>
    <w:link w:val="FootnoteText"/>
    <w:semiHidden/>
    <w:rsid w:val="007A37DB"/>
    <w:rPr>
      <w:rFonts w:ascii="Calibri" w:hAnsi="Calibri"/>
      <w:sz w:val="24"/>
      <w:lang w:val="en-GB" w:eastAsia="en-US"/>
    </w:rPr>
  </w:style>
  <w:style w:type="paragraph" w:styleId="ListParagraph">
    <w:name w:val="List Paragraph"/>
    <w:basedOn w:val="Normal"/>
    <w:uiPriority w:val="34"/>
    <w:qFormat/>
    <w:rsid w:val="0000517A"/>
    <w:pPr>
      <w:tabs>
        <w:tab w:val="clear" w:pos="794"/>
        <w:tab w:val="clear" w:pos="1191"/>
        <w:tab w:val="clear" w:pos="1588"/>
        <w:tab w:val="clear" w:pos="1985"/>
        <w:tab w:val="left" w:pos="567"/>
        <w:tab w:val="left" w:pos="1134"/>
        <w:tab w:val="left" w:pos="1701"/>
        <w:tab w:val="left" w:pos="2268"/>
        <w:tab w:val="left" w:pos="2835"/>
      </w:tabs>
      <w:ind w:left="720"/>
      <w:contextualSpacing/>
    </w:pPr>
    <w:rPr>
      <w:rFonts w:eastAsia="Times New Roman"/>
    </w:rPr>
  </w:style>
  <w:style w:type="table" w:styleId="TableGrid">
    <w:name w:val="Table Grid"/>
    <w:basedOn w:val="TableNormal"/>
    <w:uiPriority w:val="39"/>
    <w:rsid w:val="0000517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aftertitleChar">
    <w:name w:val="Normal after title Char"/>
    <w:link w:val="Normalaftertitle"/>
    <w:locked/>
    <w:rsid w:val="00CD5566"/>
    <w:rPr>
      <w:rFonts w:ascii="Calibri" w:hAnsi="Calibri"/>
      <w:sz w:val="24"/>
      <w:lang w:val="en-GB" w:eastAsia="en-US"/>
    </w:rPr>
  </w:style>
  <w:style w:type="character" w:customStyle="1" w:styleId="CallChar">
    <w:name w:val="Call Char"/>
    <w:basedOn w:val="DefaultParagraphFont"/>
    <w:link w:val="Call"/>
    <w:rsid w:val="00CD5566"/>
    <w:rPr>
      <w:rFonts w:ascii="STKaiti" w:hAnsi="STKaiti"/>
      <w:sz w:val="24"/>
      <w:lang w:val="en-GB" w:eastAsia="en-US"/>
    </w:rPr>
  </w:style>
  <w:style w:type="character" w:customStyle="1" w:styleId="AnnextitleChar">
    <w:name w:val="Annex_title Char"/>
    <w:basedOn w:val="DefaultParagraphFont"/>
    <w:link w:val="Annextitle"/>
    <w:locked/>
    <w:rsid w:val="00CD5566"/>
    <w:rPr>
      <w:rFonts w:ascii="Times New Roman Bold" w:hAnsi="Times New Roman Bold"/>
      <w:b/>
      <w:sz w:val="28"/>
      <w:lang w:val="en-GB" w:eastAsia="en-US"/>
    </w:rPr>
  </w:style>
  <w:style w:type="character" w:customStyle="1" w:styleId="FooterChar">
    <w:name w:val="Footer Char"/>
    <w:basedOn w:val="DefaultParagraphFont"/>
    <w:link w:val="Footer"/>
    <w:rsid w:val="000853C0"/>
    <w:rPr>
      <w:rFonts w:ascii="Calibri" w:hAnsi="Calibri"/>
      <w:caps/>
      <w:noProof/>
      <w:sz w:val="16"/>
      <w:lang w:val="fr-FR" w:eastAsia="en-US"/>
    </w:rPr>
  </w:style>
  <w:style w:type="character" w:customStyle="1" w:styleId="BodyTextIndent3Char">
    <w:name w:val="Body Text Indent 3 Char"/>
    <w:basedOn w:val="DefaultParagraphFont"/>
    <w:link w:val="BodyTextIndent3"/>
    <w:rsid w:val="00B40A53"/>
    <w:rPr>
      <w:rFonts w:ascii="Calibri" w:hAnsi="Calibri"/>
      <w:sz w:val="22"/>
      <w:lang w:val="fr-FR"/>
    </w:rPr>
  </w:style>
  <w:style w:type="character" w:customStyle="1" w:styleId="HeaderChar">
    <w:name w:val="Header Char"/>
    <w:basedOn w:val="DefaultParagraphFont"/>
    <w:link w:val="Header"/>
    <w:uiPriority w:val="99"/>
    <w:rsid w:val="00E24D59"/>
    <w:rPr>
      <w:rFonts w:ascii="Calibri" w:hAnsi="Calibri"/>
      <w:sz w:val="18"/>
      <w:lang w:val="fr-FR" w:eastAsia="en-US"/>
    </w:rPr>
  </w:style>
  <w:style w:type="paragraph" w:customStyle="1" w:styleId="Subtitle">
    <w:name w:val="Sub_title"/>
    <w:basedOn w:val="Title1"/>
    <w:qFormat/>
    <w:rsid w:val="00C24DAC"/>
    <w:pPr>
      <w:framePr w:wrap="around"/>
      <w:spacing w:before="120" w:after="160"/>
    </w:pPr>
    <w:rPr>
      <w:caps w:val="0"/>
    </w:rPr>
  </w:style>
  <w:style w:type="character" w:styleId="PlaceholderText">
    <w:name w:val="Placeholder Text"/>
    <w:basedOn w:val="DefaultParagraphFont"/>
    <w:uiPriority w:val="99"/>
    <w:semiHidden/>
    <w:rsid w:val="0072138B"/>
    <w:rPr>
      <w:color w:val="666666"/>
    </w:rPr>
  </w:style>
  <w:style w:type="character" w:styleId="UnresolvedMention">
    <w:name w:val="Unresolved Mention"/>
    <w:basedOn w:val="DefaultParagraphFont"/>
    <w:uiPriority w:val="99"/>
    <w:semiHidden/>
    <w:unhideWhenUsed/>
    <w:rsid w:val="00E34C96"/>
    <w:rPr>
      <w:color w:val="605E5C"/>
      <w:shd w:val="clear" w:color="auto" w:fill="E1DFDD"/>
    </w:rPr>
  </w:style>
  <w:style w:type="paragraph" w:styleId="NormalWeb">
    <w:name w:val="Normal (Web)"/>
    <w:basedOn w:val="Normal"/>
    <w:uiPriority w:val="99"/>
    <w:unhideWhenUsed/>
    <w:rsid w:val="00B73B65"/>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SimSun" w:hAnsi="SimSun" w:cs="SimSun"/>
      <w:szCs w:val="24"/>
      <w:lang w:val="en-US"/>
    </w:rPr>
  </w:style>
  <w:style w:type="character" w:styleId="Strong">
    <w:name w:val="Strong"/>
    <w:basedOn w:val="DefaultParagraphFont"/>
    <w:uiPriority w:val="22"/>
    <w:qFormat/>
    <w:rsid w:val="009C0AAF"/>
    <w:rPr>
      <w:b/>
      <w:bCs/>
    </w:rPr>
  </w:style>
  <w:style w:type="character" w:customStyle="1" w:styleId="whitespace-normal">
    <w:name w:val="whitespace-normal"/>
    <w:basedOn w:val="DefaultParagraphFont"/>
    <w:rsid w:val="0012442D"/>
  </w:style>
  <w:style w:type="paragraph" w:styleId="CommentText">
    <w:name w:val="annotation text"/>
    <w:basedOn w:val="Normal"/>
    <w:link w:val="CommentTextChar"/>
    <w:semiHidden/>
    <w:unhideWhenUsed/>
    <w:rsid w:val="003F59DB"/>
    <w:rPr>
      <w:sz w:val="20"/>
    </w:rPr>
  </w:style>
  <w:style w:type="character" w:customStyle="1" w:styleId="CommentTextChar">
    <w:name w:val="Comment Text Char"/>
    <w:basedOn w:val="DefaultParagraphFont"/>
    <w:link w:val="CommentText"/>
    <w:semiHidden/>
    <w:rsid w:val="003F59DB"/>
    <w:rPr>
      <w:rFonts w:ascii="Calibri" w:hAnsi="Calibri"/>
      <w:lang w:val="en-GB" w:eastAsia="en-US"/>
    </w:rPr>
  </w:style>
  <w:style w:type="paragraph" w:styleId="CommentSubject">
    <w:name w:val="annotation subject"/>
    <w:basedOn w:val="CommentText"/>
    <w:next w:val="CommentText"/>
    <w:link w:val="CommentSubjectChar"/>
    <w:semiHidden/>
    <w:unhideWhenUsed/>
    <w:rsid w:val="003F59DB"/>
    <w:pPr>
      <w:tabs>
        <w:tab w:val="clear" w:pos="794"/>
        <w:tab w:val="clear" w:pos="1191"/>
        <w:tab w:val="clear" w:pos="1588"/>
        <w:tab w:val="clear" w:pos="1985"/>
        <w:tab w:val="left" w:pos="567"/>
        <w:tab w:val="left" w:pos="1134"/>
        <w:tab w:val="left" w:pos="1701"/>
        <w:tab w:val="left" w:pos="2268"/>
        <w:tab w:val="left" w:pos="2835"/>
      </w:tabs>
      <w:jc w:val="both"/>
    </w:pPr>
    <w:rPr>
      <w:rFonts w:eastAsia="Times New Roman"/>
      <w:b/>
      <w:bCs/>
      <w:lang w:val="fr-FR"/>
    </w:rPr>
  </w:style>
  <w:style w:type="character" w:customStyle="1" w:styleId="CommentSubjectChar">
    <w:name w:val="Comment Subject Char"/>
    <w:basedOn w:val="CommentTextChar"/>
    <w:link w:val="CommentSubject"/>
    <w:semiHidden/>
    <w:rsid w:val="003F59DB"/>
    <w:rPr>
      <w:rFonts w:ascii="Calibri" w:eastAsia="Times New Roman" w:hAnsi="Calibri"/>
      <w:b/>
      <w:bCs/>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0415">
      <w:bodyDiv w:val="1"/>
      <w:marLeft w:val="0"/>
      <w:marRight w:val="0"/>
      <w:marTop w:val="0"/>
      <w:marBottom w:val="0"/>
      <w:divBdr>
        <w:top w:val="none" w:sz="0" w:space="0" w:color="auto"/>
        <w:left w:val="none" w:sz="0" w:space="0" w:color="auto"/>
        <w:bottom w:val="none" w:sz="0" w:space="0" w:color="auto"/>
        <w:right w:val="none" w:sz="0" w:space="0" w:color="auto"/>
      </w:divBdr>
    </w:div>
    <w:div w:id="525020778">
      <w:bodyDiv w:val="1"/>
      <w:marLeft w:val="0"/>
      <w:marRight w:val="0"/>
      <w:marTop w:val="0"/>
      <w:marBottom w:val="0"/>
      <w:divBdr>
        <w:top w:val="none" w:sz="0" w:space="0" w:color="auto"/>
        <w:left w:val="none" w:sz="0" w:space="0" w:color="auto"/>
        <w:bottom w:val="none" w:sz="0" w:space="0" w:color="auto"/>
        <w:right w:val="none" w:sz="0" w:space="0" w:color="auto"/>
      </w:divBdr>
    </w:div>
    <w:div w:id="562839797">
      <w:bodyDiv w:val="1"/>
      <w:marLeft w:val="0"/>
      <w:marRight w:val="0"/>
      <w:marTop w:val="0"/>
      <w:marBottom w:val="0"/>
      <w:divBdr>
        <w:top w:val="none" w:sz="0" w:space="0" w:color="auto"/>
        <w:left w:val="none" w:sz="0" w:space="0" w:color="auto"/>
        <w:bottom w:val="none" w:sz="0" w:space="0" w:color="auto"/>
        <w:right w:val="none" w:sz="0" w:space="0" w:color="auto"/>
      </w:divBdr>
    </w:div>
    <w:div w:id="664942600">
      <w:bodyDiv w:val="1"/>
      <w:marLeft w:val="0"/>
      <w:marRight w:val="0"/>
      <w:marTop w:val="0"/>
      <w:marBottom w:val="0"/>
      <w:divBdr>
        <w:top w:val="none" w:sz="0" w:space="0" w:color="auto"/>
        <w:left w:val="none" w:sz="0" w:space="0" w:color="auto"/>
        <w:bottom w:val="none" w:sz="0" w:space="0" w:color="auto"/>
        <w:right w:val="none" w:sz="0" w:space="0" w:color="auto"/>
      </w:divBdr>
    </w:div>
    <w:div w:id="882450126">
      <w:bodyDiv w:val="1"/>
      <w:marLeft w:val="0"/>
      <w:marRight w:val="0"/>
      <w:marTop w:val="0"/>
      <w:marBottom w:val="0"/>
      <w:divBdr>
        <w:top w:val="none" w:sz="0" w:space="0" w:color="auto"/>
        <w:left w:val="none" w:sz="0" w:space="0" w:color="auto"/>
        <w:bottom w:val="none" w:sz="0" w:space="0" w:color="auto"/>
        <w:right w:val="none" w:sz="0" w:space="0" w:color="auto"/>
      </w:divBdr>
    </w:div>
    <w:div w:id="953485407">
      <w:bodyDiv w:val="1"/>
      <w:marLeft w:val="0"/>
      <w:marRight w:val="0"/>
      <w:marTop w:val="0"/>
      <w:marBottom w:val="0"/>
      <w:divBdr>
        <w:top w:val="none" w:sz="0" w:space="0" w:color="auto"/>
        <w:left w:val="none" w:sz="0" w:space="0" w:color="auto"/>
        <w:bottom w:val="none" w:sz="0" w:space="0" w:color="auto"/>
        <w:right w:val="none" w:sz="0" w:space="0" w:color="auto"/>
      </w:divBdr>
    </w:div>
    <w:div w:id="1285312626">
      <w:bodyDiv w:val="1"/>
      <w:marLeft w:val="0"/>
      <w:marRight w:val="0"/>
      <w:marTop w:val="0"/>
      <w:marBottom w:val="0"/>
      <w:divBdr>
        <w:top w:val="none" w:sz="0" w:space="0" w:color="auto"/>
        <w:left w:val="none" w:sz="0" w:space="0" w:color="auto"/>
        <w:bottom w:val="none" w:sz="0" w:space="0" w:color="auto"/>
        <w:right w:val="none" w:sz="0" w:space="0" w:color="auto"/>
      </w:divBdr>
    </w:div>
    <w:div w:id="1382942653">
      <w:bodyDiv w:val="1"/>
      <w:marLeft w:val="0"/>
      <w:marRight w:val="0"/>
      <w:marTop w:val="0"/>
      <w:marBottom w:val="0"/>
      <w:divBdr>
        <w:top w:val="none" w:sz="0" w:space="0" w:color="auto"/>
        <w:left w:val="none" w:sz="0" w:space="0" w:color="auto"/>
        <w:bottom w:val="none" w:sz="0" w:space="0" w:color="auto"/>
        <w:right w:val="none" w:sz="0" w:space="0" w:color="auto"/>
      </w:divBdr>
    </w:div>
    <w:div w:id="1846823587">
      <w:bodyDiv w:val="1"/>
      <w:marLeft w:val="0"/>
      <w:marRight w:val="0"/>
      <w:marTop w:val="0"/>
      <w:marBottom w:val="0"/>
      <w:divBdr>
        <w:top w:val="none" w:sz="0" w:space="0" w:color="auto"/>
        <w:left w:val="none" w:sz="0" w:space="0" w:color="auto"/>
        <w:bottom w:val="none" w:sz="0" w:space="0" w:color="auto"/>
        <w:right w:val="none" w:sz="0" w:space="0" w:color="auto"/>
      </w:divBdr>
    </w:div>
    <w:div w:id="2022005172">
      <w:bodyDiv w:val="1"/>
      <w:marLeft w:val="0"/>
      <w:marRight w:val="0"/>
      <w:marTop w:val="0"/>
      <w:marBottom w:val="0"/>
      <w:divBdr>
        <w:top w:val="none" w:sz="0" w:space="0" w:color="auto"/>
        <w:left w:val="none" w:sz="0" w:space="0" w:color="auto"/>
        <w:bottom w:val="none" w:sz="0" w:space="0" w:color="auto"/>
        <w:right w:val="none" w:sz="0" w:space="0" w:color="auto"/>
      </w:divBdr>
    </w:div>
    <w:div w:id="210626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25/en" TargetMode="External"/><Relationship Id="rId13" Type="http://schemas.openxmlformats.org/officeDocument/2006/relationships/hyperlink" Target="https://www.itu.int/md/S26-CL-C-0025/en" TargetMode="External"/><Relationship Id="rId18" Type="http://schemas.openxmlformats.org/officeDocument/2006/relationships/hyperlink" Target="https://www.itu.int/md/S26-CL-C-0108/en"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itu.int/md/S26-CL-INF-0010/en" TargetMode="External"/><Relationship Id="rId7" Type="http://schemas.openxmlformats.org/officeDocument/2006/relationships/endnotes" Target="endnotes.xml"/><Relationship Id="rId12" Type="http://schemas.openxmlformats.org/officeDocument/2006/relationships/hyperlink" Target="https://www.itu.int/md/S26-CL-C-0030/en" TargetMode="External"/><Relationship Id="rId17" Type="http://schemas.openxmlformats.org/officeDocument/2006/relationships/hyperlink" Target="https://www.itu.int/md/S26-CL-C-0024/en"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itu.int/md/S26-CL-C-0085/en" TargetMode="External"/><Relationship Id="rId20" Type="http://schemas.openxmlformats.org/officeDocument/2006/relationships/hyperlink" Target="https://www.itu.int/md/S26-CL-C-0108/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6-CL-C-0108/en" TargetMode="External"/><Relationship Id="rId24" Type="http://schemas.openxmlformats.org/officeDocument/2006/relationships/hyperlink" Target="https://www.itu.int/md/S26-CL-C-0030/en" TargetMode="External"/><Relationship Id="rId5" Type="http://schemas.openxmlformats.org/officeDocument/2006/relationships/webSettings" Target="webSettings.xml"/><Relationship Id="rId15" Type="http://schemas.openxmlformats.org/officeDocument/2006/relationships/hyperlink" Target="https://www.itu.int/md/S26-CL-C-0085/en" TargetMode="External"/><Relationship Id="rId23" Type="http://schemas.openxmlformats.org/officeDocument/2006/relationships/hyperlink" Target="https://www.itu.int/md/S26-CL-C-0030/en" TargetMode="External"/><Relationship Id="rId28" Type="http://schemas.openxmlformats.org/officeDocument/2006/relationships/fontTable" Target="fontTable.xml"/><Relationship Id="rId10" Type="http://schemas.openxmlformats.org/officeDocument/2006/relationships/hyperlink" Target="https://www.itu.int/md/S26-CL-C-0024/en" TargetMode="External"/><Relationship Id="rId19" Type="http://schemas.openxmlformats.org/officeDocument/2006/relationships/hyperlink" Target="https://www.itu.int/md/S26-CL-C-0024/en" TargetMode="External"/><Relationship Id="rId4" Type="http://schemas.openxmlformats.org/officeDocument/2006/relationships/settings" Target="settings.xml"/><Relationship Id="rId9" Type="http://schemas.openxmlformats.org/officeDocument/2006/relationships/hyperlink" Target="https://www.itu.int/md/S26-CL-C-0085/en" TargetMode="External"/><Relationship Id="rId14" Type="http://schemas.openxmlformats.org/officeDocument/2006/relationships/hyperlink" Target="https://www.itu.int/md/S26-CL-C-0025/en" TargetMode="External"/><Relationship Id="rId22" Type="http://schemas.openxmlformats.org/officeDocument/2006/relationships/hyperlink" Target="https://www.itu.int/md/S26-CL-INF-0010/en"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ng\Downloads\PC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A1DCC2-6DDC-49CF-B01C-00AB9A2F2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PC_Council26.dotx</Template>
  <TotalTime>6</TotalTime>
  <Pages>6</Pages>
  <Words>1167</Words>
  <Characters>6752</Characters>
  <Application>Microsoft Office Word</Application>
  <DocSecurity>0</DocSecurity>
  <Lines>1125</Lines>
  <Paragraphs>416</Paragraphs>
  <ScaleCrop>false</ScaleCrop>
  <HeadingPairs>
    <vt:vector size="2" baseType="variant">
      <vt:variant>
        <vt:lpstr>Title</vt:lpstr>
      </vt:variant>
      <vt:variant>
        <vt:i4>1</vt:i4>
      </vt:variant>
    </vt:vector>
  </HeadingPairs>
  <TitlesOfParts>
    <vt:vector size="1" baseType="lpstr">
      <vt:lpstr>Summary record of the second Plenary meeting</vt:lpstr>
    </vt:vector>
  </TitlesOfParts>
  <Manager>General Secretariat - Pool</Manager>
  <Company>International Telecommunication Union (ITU)</Company>
  <LinksUpToDate>false</LinksUpToDate>
  <CharactersWithSpaces>7503</CharactersWithSpaces>
  <SharedDoc>false</SharedDoc>
  <HLinks>
    <vt:vector size="6" baseType="variant">
      <vt:variant>
        <vt:i4>3342371</vt:i4>
      </vt:variant>
      <vt:variant>
        <vt:i4>12</vt:i4>
      </vt:variant>
      <vt:variant>
        <vt:i4>0</vt:i4>
      </vt:variant>
      <vt:variant>
        <vt:i4>5</vt:i4>
      </vt:variant>
      <vt:variant>
        <vt:lpwstr>http://www.itu.int/council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second Plenary meeting</dc:title>
  <dc:subject>ITU Council 2026</dc:subject>
  <cp:keywords>C26; C2026; Council 2026; PP26</cp:keywords>
  <dc:description/>
  <cp:lastPrinted>2015-02-24T13:23:00Z</cp:lastPrinted>
  <dcterms:created xsi:type="dcterms:W3CDTF">2026-08-05T10:09:00Z</dcterms:created>
  <dcterms:modified xsi:type="dcterms:W3CDTF">2026-08-05T11:37:00Z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C05/xx-C</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vt:lpwstr>
  </property>
  <property fmtid="{D5CDD505-2E9C-101B-9397-08002B2CF9AE}" pid="8" name="GrammarlyDocumentId">
    <vt:lpwstr>c6e9fb3b98c60be3ceca001f06bedd27e80c23e89b99aa0a1c899b80b9af3e8b</vt:lpwstr>
  </property>
</Properties>
</file>