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A04080" w14:paraId="69D81E64" w14:textId="77777777" w:rsidTr="00C4421B">
        <w:trPr>
          <w:cantSplit/>
          <w:trHeight w:val="23"/>
        </w:trPr>
        <w:tc>
          <w:tcPr>
            <w:tcW w:w="3969" w:type="dxa"/>
            <w:vMerge w:val="restart"/>
            <w:tcMar>
              <w:left w:w="0" w:type="dxa"/>
            </w:tcMar>
          </w:tcPr>
          <w:p w14:paraId="7BF34C6B" w14:textId="53B9A9F3" w:rsidR="00FE57F6" w:rsidRPr="00A04080" w:rsidRDefault="00FE57F6" w:rsidP="00C4421B">
            <w:pPr>
              <w:tabs>
                <w:tab w:val="left" w:pos="851"/>
              </w:tabs>
              <w:spacing w:before="0" w:line="240" w:lineRule="atLeast"/>
              <w:rPr>
                <w:b/>
                <w:lang w:val="es-ES"/>
              </w:rPr>
            </w:pPr>
            <w:bookmarkStart w:id="0" w:name="_Hlk133421839"/>
          </w:p>
        </w:tc>
        <w:tc>
          <w:tcPr>
            <w:tcW w:w="5245" w:type="dxa"/>
          </w:tcPr>
          <w:p w14:paraId="3FC7AA2C" w14:textId="459D20C7" w:rsidR="00FE57F6" w:rsidRPr="00A04080" w:rsidRDefault="00FE57F6" w:rsidP="000147ED">
            <w:pPr>
              <w:spacing w:before="0"/>
              <w:jc w:val="right"/>
              <w:rPr>
                <w:b/>
                <w:bCs/>
                <w:lang w:val="es-ES"/>
              </w:rPr>
            </w:pPr>
            <w:r w:rsidRPr="00A04080">
              <w:rPr>
                <w:b/>
                <w:bCs/>
                <w:lang w:val="es-ES"/>
              </w:rPr>
              <w:t>Document</w:t>
            </w:r>
            <w:r w:rsidR="00F24B71" w:rsidRPr="00A04080">
              <w:rPr>
                <w:b/>
                <w:bCs/>
                <w:lang w:val="es-ES"/>
              </w:rPr>
              <w:t>o</w:t>
            </w:r>
            <w:r w:rsidRPr="00A04080">
              <w:rPr>
                <w:b/>
                <w:bCs/>
                <w:lang w:val="es-ES"/>
              </w:rPr>
              <w:t xml:space="preserve"> C2</w:t>
            </w:r>
            <w:r w:rsidR="00F85E5C" w:rsidRPr="00A04080">
              <w:rPr>
                <w:b/>
                <w:bCs/>
                <w:lang w:val="es-ES"/>
              </w:rPr>
              <w:t>6</w:t>
            </w:r>
            <w:r w:rsidRPr="00A04080">
              <w:rPr>
                <w:b/>
                <w:bCs/>
                <w:lang w:val="es-ES"/>
              </w:rPr>
              <w:t>/</w:t>
            </w:r>
            <w:r w:rsidR="000147ED" w:rsidRPr="00A04080">
              <w:rPr>
                <w:b/>
                <w:bCs/>
                <w:lang w:val="es-ES"/>
              </w:rPr>
              <w:t>118</w:t>
            </w:r>
            <w:r w:rsidRPr="00A04080">
              <w:rPr>
                <w:b/>
                <w:bCs/>
                <w:lang w:val="es-ES"/>
              </w:rPr>
              <w:t>-</w:t>
            </w:r>
            <w:r w:rsidR="00F24B71" w:rsidRPr="00A04080">
              <w:rPr>
                <w:b/>
                <w:bCs/>
                <w:lang w:val="es-ES"/>
              </w:rPr>
              <w:t>S</w:t>
            </w:r>
          </w:p>
        </w:tc>
      </w:tr>
      <w:tr w:rsidR="00FE57F6" w:rsidRPr="00A04080" w14:paraId="3B8A7CBB" w14:textId="77777777" w:rsidTr="00C4421B">
        <w:trPr>
          <w:cantSplit/>
        </w:trPr>
        <w:tc>
          <w:tcPr>
            <w:tcW w:w="3969" w:type="dxa"/>
            <w:vMerge/>
          </w:tcPr>
          <w:p w14:paraId="2312DC50" w14:textId="77777777" w:rsidR="00FE57F6" w:rsidRPr="00A04080" w:rsidRDefault="00FE57F6" w:rsidP="00C4421B">
            <w:pPr>
              <w:tabs>
                <w:tab w:val="left" w:pos="851"/>
              </w:tabs>
              <w:spacing w:line="240" w:lineRule="atLeast"/>
              <w:rPr>
                <w:b/>
                <w:lang w:val="es-ES"/>
              </w:rPr>
            </w:pPr>
          </w:p>
        </w:tc>
        <w:tc>
          <w:tcPr>
            <w:tcW w:w="5245" w:type="dxa"/>
          </w:tcPr>
          <w:p w14:paraId="259AB7D0" w14:textId="5D536812" w:rsidR="00FE57F6" w:rsidRPr="00A04080" w:rsidRDefault="00124F9C" w:rsidP="000147ED">
            <w:pPr>
              <w:spacing w:before="0"/>
              <w:jc w:val="right"/>
              <w:rPr>
                <w:b/>
                <w:bCs/>
                <w:lang w:val="es-ES"/>
              </w:rPr>
            </w:pPr>
            <w:r>
              <w:rPr>
                <w:b/>
                <w:bCs/>
                <w:lang w:val="es-ES"/>
              </w:rPr>
              <w:t>2 de septiembre</w:t>
            </w:r>
            <w:r w:rsidR="000147ED" w:rsidRPr="00A04080">
              <w:rPr>
                <w:b/>
                <w:bCs/>
                <w:lang w:val="es-ES"/>
              </w:rPr>
              <w:t xml:space="preserve"> de 2026</w:t>
            </w:r>
          </w:p>
        </w:tc>
      </w:tr>
      <w:tr w:rsidR="00FE57F6" w:rsidRPr="00A04080" w14:paraId="3B7BDBAD" w14:textId="77777777" w:rsidTr="00C4421B">
        <w:trPr>
          <w:cantSplit/>
          <w:trHeight w:val="23"/>
        </w:trPr>
        <w:tc>
          <w:tcPr>
            <w:tcW w:w="3969" w:type="dxa"/>
            <w:vMerge/>
          </w:tcPr>
          <w:p w14:paraId="4ADFE76D" w14:textId="77777777" w:rsidR="00FE57F6" w:rsidRPr="00A04080" w:rsidRDefault="00FE57F6" w:rsidP="00C4421B">
            <w:pPr>
              <w:tabs>
                <w:tab w:val="left" w:pos="851"/>
              </w:tabs>
              <w:spacing w:line="240" w:lineRule="atLeast"/>
              <w:rPr>
                <w:b/>
                <w:lang w:val="es-ES"/>
              </w:rPr>
            </w:pPr>
          </w:p>
        </w:tc>
        <w:tc>
          <w:tcPr>
            <w:tcW w:w="5245" w:type="dxa"/>
          </w:tcPr>
          <w:p w14:paraId="0ABE241B" w14:textId="77777777" w:rsidR="00FE57F6" w:rsidRPr="00A04080" w:rsidRDefault="00F24B71" w:rsidP="000147ED">
            <w:pPr>
              <w:spacing w:before="0"/>
              <w:jc w:val="right"/>
              <w:rPr>
                <w:b/>
                <w:bCs/>
                <w:lang w:val="es-ES"/>
              </w:rPr>
            </w:pPr>
            <w:r w:rsidRPr="00A04080">
              <w:rPr>
                <w:b/>
                <w:bCs/>
                <w:lang w:val="es-ES"/>
              </w:rPr>
              <w:t>Original: inglés</w:t>
            </w:r>
          </w:p>
        </w:tc>
      </w:tr>
      <w:tr w:rsidR="00FE57F6" w:rsidRPr="00A04080" w14:paraId="3F377ABC" w14:textId="77777777" w:rsidTr="00C4421B">
        <w:trPr>
          <w:cantSplit/>
          <w:trHeight w:val="23"/>
        </w:trPr>
        <w:tc>
          <w:tcPr>
            <w:tcW w:w="3969" w:type="dxa"/>
          </w:tcPr>
          <w:p w14:paraId="19A75AB6" w14:textId="77777777" w:rsidR="00FE57F6" w:rsidRPr="00A04080" w:rsidRDefault="00FE57F6" w:rsidP="00C4421B">
            <w:pPr>
              <w:tabs>
                <w:tab w:val="left" w:pos="851"/>
              </w:tabs>
              <w:spacing w:line="240" w:lineRule="atLeast"/>
              <w:rPr>
                <w:b/>
                <w:lang w:val="es-ES"/>
              </w:rPr>
            </w:pPr>
          </w:p>
        </w:tc>
        <w:tc>
          <w:tcPr>
            <w:tcW w:w="5245" w:type="dxa"/>
          </w:tcPr>
          <w:p w14:paraId="444FA9F2" w14:textId="77777777" w:rsidR="00FE57F6" w:rsidRPr="00A04080" w:rsidRDefault="00FE57F6" w:rsidP="00C4421B">
            <w:pPr>
              <w:tabs>
                <w:tab w:val="left" w:pos="851"/>
              </w:tabs>
              <w:spacing w:before="0" w:line="240" w:lineRule="atLeast"/>
              <w:jc w:val="right"/>
              <w:rPr>
                <w:b/>
                <w:lang w:val="es-ES"/>
              </w:rPr>
            </w:pPr>
          </w:p>
        </w:tc>
      </w:tr>
      <w:tr w:rsidR="00FE57F6" w:rsidRPr="00F622C7" w14:paraId="2F83711C" w14:textId="77777777" w:rsidTr="00C4421B">
        <w:trPr>
          <w:cantSplit/>
        </w:trPr>
        <w:tc>
          <w:tcPr>
            <w:tcW w:w="9214" w:type="dxa"/>
            <w:gridSpan w:val="2"/>
            <w:tcMar>
              <w:left w:w="0" w:type="dxa"/>
            </w:tcMar>
          </w:tcPr>
          <w:p w14:paraId="4E6C659F" w14:textId="7E205B9E" w:rsidR="00FE57F6" w:rsidRPr="00A04080" w:rsidRDefault="000147ED" w:rsidP="00A04080">
            <w:pPr>
              <w:pStyle w:val="Source"/>
              <w:spacing w:before="360"/>
              <w:rPr>
                <w:sz w:val="34"/>
                <w:szCs w:val="34"/>
                <w:lang w:val="es-ES"/>
              </w:rPr>
            </w:pPr>
            <w:r w:rsidRPr="00A04080">
              <w:rPr>
                <w:sz w:val="34"/>
                <w:szCs w:val="34"/>
                <w:lang w:val="es-ES"/>
              </w:rPr>
              <w:t>RESUMEN DE LOS DEBATES</w:t>
            </w:r>
            <w:r w:rsidRPr="00A04080">
              <w:rPr>
                <w:sz w:val="34"/>
                <w:szCs w:val="34"/>
                <w:lang w:val="es-ES"/>
              </w:rPr>
              <w:br/>
            </w:r>
            <w:r w:rsidRPr="00A04080">
              <w:rPr>
                <w:sz w:val="34"/>
                <w:szCs w:val="34"/>
                <w:lang w:val="es-ES"/>
              </w:rPr>
              <w:br/>
              <w:t>DE LA</w:t>
            </w:r>
            <w:r w:rsidRPr="00A04080">
              <w:rPr>
                <w:sz w:val="34"/>
                <w:szCs w:val="34"/>
                <w:lang w:val="es-ES"/>
              </w:rPr>
              <w:br/>
            </w:r>
            <w:r w:rsidRPr="00A04080">
              <w:rPr>
                <w:sz w:val="34"/>
                <w:szCs w:val="34"/>
                <w:lang w:val="es-ES"/>
              </w:rPr>
              <w:br/>
              <w:t>PRIMERA SESIÓN PLENARIA</w:t>
            </w:r>
          </w:p>
        </w:tc>
      </w:tr>
      <w:tr w:rsidR="00FE57F6" w:rsidRPr="00517345" w14:paraId="1DA7B0C9" w14:textId="77777777" w:rsidTr="00C4421B">
        <w:trPr>
          <w:cantSplit/>
        </w:trPr>
        <w:tc>
          <w:tcPr>
            <w:tcW w:w="9214" w:type="dxa"/>
            <w:gridSpan w:val="2"/>
            <w:tcMar>
              <w:left w:w="0" w:type="dxa"/>
            </w:tcMar>
          </w:tcPr>
          <w:p w14:paraId="4645DA98" w14:textId="77777777" w:rsidR="000147ED" w:rsidRPr="00A04080" w:rsidRDefault="000147ED" w:rsidP="003C3B9A">
            <w:pPr>
              <w:jc w:val="center"/>
              <w:rPr>
                <w:lang w:val="es-ES"/>
              </w:rPr>
            </w:pPr>
            <w:r w:rsidRPr="00A04080">
              <w:rPr>
                <w:lang w:val="es-ES"/>
              </w:rPr>
              <w:t>Martes 28 de abril de 2026, de las 14.35 a las 17.45 horas</w:t>
            </w:r>
          </w:p>
          <w:p w14:paraId="60970BAC" w14:textId="668E3979" w:rsidR="00FE57F6" w:rsidRPr="005E3F36" w:rsidRDefault="000147ED" w:rsidP="003C3B9A">
            <w:pPr>
              <w:jc w:val="center"/>
              <w:rPr>
                <w:lang w:val="it-IT"/>
              </w:rPr>
            </w:pPr>
            <w:r w:rsidRPr="005E3F36">
              <w:rPr>
                <w:b/>
                <w:bCs/>
                <w:lang w:val="it-IT"/>
              </w:rPr>
              <w:t>Presidente:</w:t>
            </w:r>
            <w:r w:rsidRPr="005E3F36">
              <w:rPr>
                <w:lang w:val="it-IT"/>
              </w:rPr>
              <w:t xml:space="preserve"> Sr. B</w:t>
            </w:r>
            <w:r w:rsidR="00137BDC">
              <w:rPr>
                <w:lang w:val="it-IT"/>
              </w:rPr>
              <w:t>.</w:t>
            </w:r>
            <w:r w:rsidRPr="005E3F36">
              <w:rPr>
                <w:lang w:val="it-IT"/>
              </w:rPr>
              <w:t xml:space="preserve"> Tijani (Nigeria)</w:t>
            </w:r>
          </w:p>
        </w:tc>
      </w:tr>
      <w:bookmarkEnd w:id="0"/>
    </w:tbl>
    <w:p w14:paraId="552F9EE4" w14:textId="52457D20" w:rsidR="00093EEB" w:rsidRPr="000147ED" w:rsidRDefault="00093EEB">
      <w:pPr>
        <w:rPr>
          <w:lang w:val="it-IT"/>
        </w:rPr>
      </w:pPr>
    </w:p>
    <w:tbl>
      <w:tblPr>
        <w:tblW w:w="9214" w:type="dxa"/>
        <w:tblInd w:w="170" w:type="dxa"/>
        <w:tblLayout w:type="fixed"/>
        <w:tblLook w:val="04A0" w:firstRow="1" w:lastRow="0" w:firstColumn="1" w:lastColumn="0" w:noHBand="0" w:noVBand="1"/>
      </w:tblPr>
      <w:tblGrid>
        <w:gridCol w:w="446"/>
        <w:gridCol w:w="6597"/>
        <w:gridCol w:w="2171"/>
      </w:tblGrid>
      <w:tr w:rsidR="000147ED" w:rsidRPr="00A04080" w14:paraId="6CA3174E" w14:textId="77777777" w:rsidTr="00A04080">
        <w:tc>
          <w:tcPr>
            <w:tcW w:w="446" w:type="dxa"/>
          </w:tcPr>
          <w:p w14:paraId="12C605C9" w14:textId="77777777" w:rsidR="000147ED" w:rsidRPr="005E3F36" w:rsidRDefault="000147ED" w:rsidP="00A04080">
            <w:pPr>
              <w:rPr>
                <w:b/>
                <w:bCs/>
                <w:lang w:val="it-IT"/>
              </w:rPr>
            </w:pPr>
            <w:bookmarkStart w:id="1" w:name="_Hlk141438382"/>
            <w:r w:rsidRPr="005E3F36">
              <w:rPr>
                <w:b/>
                <w:bCs/>
                <w:lang w:val="it-IT"/>
              </w:rPr>
              <w:br w:type="page"/>
            </w:r>
            <w:r w:rsidRPr="005E3F36">
              <w:rPr>
                <w:b/>
                <w:bCs/>
                <w:lang w:val="it-IT"/>
              </w:rPr>
              <w:br w:type="page"/>
            </w:r>
          </w:p>
        </w:tc>
        <w:tc>
          <w:tcPr>
            <w:tcW w:w="6597" w:type="dxa"/>
            <w:hideMark/>
          </w:tcPr>
          <w:p w14:paraId="51D8A5BE" w14:textId="0DC313F2" w:rsidR="000147ED" w:rsidRPr="00A04080" w:rsidRDefault="000147ED" w:rsidP="00A04080">
            <w:pPr>
              <w:rPr>
                <w:b/>
                <w:bCs/>
                <w:lang w:val="es-ES"/>
              </w:rPr>
            </w:pPr>
            <w:r w:rsidRPr="00A04080">
              <w:rPr>
                <w:b/>
                <w:bCs/>
                <w:lang w:val="es-ES"/>
              </w:rPr>
              <w:t>Asuntos tratados</w:t>
            </w:r>
          </w:p>
        </w:tc>
        <w:tc>
          <w:tcPr>
            <w:tcW w:w="2171" w:type="dxa"/>
            <w:hideMark/>
          </w:tcPr>
          <w:p w14:paraId="7F5B4CED" w14:textId="77777777" w:rsidR="000147ED" w:rsidRPr="00A04080" w:rsidRDefault="000147ED" w:rsidP="00A04080">
            <w:pPr>
              <w:jc w:val="center"/>
              <w:rPr>
                <w:b/>
                <w:bCs/>
                <w:lang w:val="es-ES"/>
              </w:rPr>
            </w:pPr>
            <w:r w:rsidRPr="00A04080">
              <w:rPr>
                <w:b/>
                <w:bCs/>
                <w:lang w:val="es-ES"/>
              </w:rPr>
              <w:t>Documentos</w:t>
            </w:r>
          </w:p>
        </w:tc>
      </w:tr>
      <w:tr w:rsidR="000147ED" w:rsidRPr="00A04080" w14:paraId="31CE6E87" w14:textId="77777777" w:rsidTr="00A04080">
        <w:trPr>
          <w:trHeight w:val="20"/>
        </w:trPr>
        <w:tc>
          <w:tcPr>
            <w:tcW w:w="446" w:type="dxa"/>
            <w:hideMark/>
          </w:tcPr>
          <w:p w14:paraId="47C20B3D" w14:textId="77777777" w:rsidR="000147ED" w:rsidRPr="00A04080" w:rsidRDefault="000147ED" w:rsidP="00A04080">
            <w:pPr>
              <w:rPr>
                <w:lang w:val="es-ES"/>
              </w:rPr>
            </w:pPr>
            <w:r w:rsidRPr="00A04080">
              <w:rPr>
                <w:lang w:val="es-ES"/>
              </w:rPr>
              <w:t>1</w:t>
            </w:r>
          </w:p>
        </w:tc>
        <w:tc>
          <w:tcPr>
            <w:tcW w:w="6597" w:type="dxa"/>
          </w:tcPr>
          <w:p w14:paraId="7A35FF65" w14:textId="77777777" w:rsidR="000147ED" w:rsidRPr="00A04080" w:rsidRDefault="000147ED" w:rsidP="00A04080">
            <w:pPr>
              <w:rPr>
                <w:sz w:val="22"/>
                <w:szCs w:val="22"/>
                <w:lang w:val="es-ES"/>
              </w:rPr>
            </w:pPr>
            <w:r w:rsidRPr="00A04080">
              <w:rPr>
                <w:lang w:val="es-ES" w:eastAsia="en-GB"/>
              </w:rPr>
              <w:t>Proyecto de Plan Operacional cuatrienal renovable de la Unión para 2027-2030 (</w:t>
            </w:r>
            <w:r w:rsidRPr="00A04080">
              <w:rPr>
                <w:i/>
                <w:iCs/>
                <w:lang w:val="es-ES" w:eastAsia="en-GB"/>
              </w:rPr>
              <w:t>continuación</w:t>
            </w:r>
            <w:r w:rsidRPr="00A04080">
              <w:rPr>
                <w:lang w:val="es-ES" w:eastAsia="en-GB"/>
              </w:rPr>
              <w:t>)</w:t>
            </w:r>
          </w:p>
        </w:tc>
        <w:tc>
          <w:tcPr>
            <w:tcW w:w="2171" w:type="dxa"/>
          </w:tcPr>
          <w:p w14:paraId="0493B68A" w14:textId="32F821DE" w:rsidR="000147ED" w:rsidRPr="00A04080" w:rsidRDefault="000147ED" w:rsidP="00A04080">
            <w:pPr>
              <w:jc w:val="center"/>
              <w:rPr>
                <w:sz w:val="22"/>
                <w:szCs w:val="22"/>
                <w:lang w:val="es-ES"/>
              </w:rPr>
            </w:pPr>
            <w:hyperlink r:id="rId7" w:history="1">
              <w:r w:rsidRPr="00A04080">
                <w:rPr>
                  <w:rStyle w:val="Hyperlink"/>
                  <w:rFonts w:cs="Calibri"/>
                  <w:szCs w:val="24"/>
                  <w:lang w:val="es-ES"/>
                </w:rPr>
                <w:t>C26/28</w:t>
              </w:r>
            </w:hyperlink>
          </w:p>
        </w:tc>
      </w:tr>
      <w:tr w:rsidR="000147ED" w:rsidRPr="00A04080" w14:paraId="598270ED" w14:textId="77777777" w:rsidTr="00A04080">
        <w:trPr>
          <w:trHeight w:val="20"/>
        </w:trPr>
        <w:tc>
          <w:tcPr>
            <w:tcW w:w="446" w:type="dxa"/>
          </w:tcPr>
          <w:p w14:paraId="5772F2D4" w14:textId="77777777" w:rsidR="000147ED" w:rsidRPr="00A04080" w:rsidRDefault="000147ED" w:rsidP="00A04080">
            <w:pPr>
              <w:rPr>
                <w:lang w:val="es-ES"/>
              </w:rPr>
            </w:pPr>
            <w:r w:rsidRPr="00A04080">
              <w:rPr>
                <w:lang w:val="es-ES"/>
              </w:rPr>
              <w:t>2</w:t>
            </w:r>
          </w:p>
        </w:tc>
        <w:tc>
          <w:tcPr>
            <w:tcW w:w="6597" w:type="dxa"/>
          </w:tcPr>
          <w:p w14:paraId="6FDA9B49" w14:textId="77777777" w:rsidR="000147ED" w:rsidRPr="00A04080" w:rsidRDefault="000147ED" w:rsidP="00A04080">
            <w:pPr>
              <w:rPr>
                <w:rFonts w:asciiTheme="minorHAnsi" w:hAnsiTheme="minorHAnsi" w:cstheme="minorHAnsi"/>
                <w:color w:val="2F2F2F"/>
                <w:sz w:val="22"/>
                <w:szCs w:val="22"/>
                <w:shd w:val="clear" w:color="auto" w:fill="FFFFFF"/>
                <w:lang w:val="es-ES"/>
              </w:rPr>
            </w:pPr>
            <w:r w:rsidRPr="00A04080">
              <w:rPr>
                <w:lang w:val="es-ES"/>
              </w:rPr>
              <w:t>Novedades sobre la transformación de la UIT – crear una UIT eficiente, ágil y adaptada al futuro</w:t>
            </w:r>
          </w:p>
        </w:tc>
        <w:tc>
          <w:tcPr>
            <w:tcW w:w="2171" w:type="dxa"/>
            <w:vAlign w:val="center"/>
          </w:tcPr>
          <w:p w14:paraId="30842B6B" w14:textId="57EE7458" w:rsidR="000147ED" w:rsidRPr="00A04080" w:rsidRDefault="000147ED" w:rsidP="00A04080">
            <w:pPr>
              <w:jc w:val="center"/>
              <w:rPr>
                <w:sz w:val="22"/>
                <w:szCs w:val="22"/>
                <w:lang w:val="es-ES"/>
              </w:rPr>
            </w:pPr>
            <w:hyperlink r:id="rId8" w:history="1">
              <w:r w:rsidRPr="00A04080">
                <w:rPr>
                  <w:rStyle w:val="Hyperlink"/>
                  <w:rFonts w:cs="Calibri"/>
                  <w:szCs w:val="24"/>
                  <w:lang w:val="es-ES"/>
                </w:rPr>
                <w:t>C26/55</w:t>
              </w:r>
            </w:hyperlink>
            <w:r w:rsidRPr="00A04080">
              <w:rPr>
                <w:szCs w:val="24"/>
                <w:lang w:val="es-ES"/>
              </w:rPr>
              <w:t xml:space="preserve">, </w:t>
            </w:r>
            <w:hyperlink r:id="rId9" w:history="1">
              <w:r w:rsidRPr="00A04080">
                <w:rPr>
                  <w:rStyle w:val="Hyperlink"/>
                  <w:szCs w:val="24"/>
                  <w:lang w:val="es-ES"/>
                </w:rPr>
                <w:t>C26/82</w:t>
              </w:r>
            </w:hyperlink>
          </w:p>
        </w:tc>
      </w:tr>
      <w:tr w:rsidR="000147ED" w:rsidRPr="00A04080" w14:paraId="0B16DB81" w14:textId="77777777" w:rsidTr="00A04080">
        <w:trPr>
          <w:trHeight w:val="20"/>
        </w:trPr>
        <w:tc>
          <w:tcPr>
            <w:tcW w:w="446" w:type="dxa"/>
          </w:tcPr>
          <w:p w14:paraId="7C3311C1" w14:textId="77777777" w:rsidR="000147ED" w:rsidRPr="00A04080" w:rsidRDefault="000147ED" w:rsidP="00A04080">
            <w:pPr>
              <w:rPr>
                <w:lang w:val="es-ES"/>
              </w:rPr>
            </w:pPr>
            <w:r w:rsidRPr="00A04080">
              <w:rPr>
                <w:lang w:val="es-ES"/>
              </w:rPr>
              <w:t>3</w:t>
            </w:r>
          </w:p>
        </w:tc>
        <w:tc>
          <w:tcPr>
            <w:tcW w:w="6597" w:type="dxa"/>
          </w:tcPr>
          <w:p w14:paraId="4E3D1B43" w14:textId="77777777" w:rsidR="000147ED" w:rsidRPr="00A04080" w:rsidRDefault="000147ED" w:rsidP="00A04080">
            <w:pPr>
              <w:rPr>
                <w:sz w:val="22"/>
                <w:szCs w:val="22"/>
                <w:lang w:val="es-ES"/>
              </w:rPr>
            </w:pPr>
            <w:r w:rsidRPr="00A04080">
              <w:rPr>
                <w:lang w:val="es-ES"/>
              </w:rPr>
              <w:t>Informe sobre la ejecución del Plan Estratégico y las actividades de la Unión en 2022-2025</w:t>
            </w:r>
          </w:p>
        </w:tc>
        <w:tc>
          <w:tcPr>
            <w:tcW w:w="2171" w:type="dxa"/>
          </w:tcPr>
          <w:p w14:paraId="194BC6D0" w14:textId="07177062" w:rsidR="000147ED" w:rsidRPr="00A04080" w:rsidRDefault="000147ED" w:rsidP="00A04080">
            <w:pPr>
              <w:jc w:val="center"/>
              <w:rPr>
                <w:sz w:val="22"/>
                <w:szCs w:val="22"/>
                <w:lang w:val="es-ES"/>
              </w:rPr>
            </w:pPr>
            <w:hyperlink r:id="rId10" w:history="1">
              <w:r w:rsidRPr="00A04080">
                <w:rPr>
                  <w:rStyle w:val="Hyperlink"/>
                  <w:rFonts w:cs="Calibri"/>
                  <w:szCs w:val="24"/>
                  <w:lang w:val="es-ES"/>
                </w:rPr>
                <w:t>C26/35</w:t>
              </w:r>
            </w:hyperlink>
          </w:p>
        </w:tc>
      </w:tr>
      <w:tr w:rsidR="000147ED" w:rsidRPr="00A04080" w14:paraId="6FF31813" w14:textId="77777777" w:rsidTr="00A04080">
        <w:trPr>
          <w:trHeight w:val="20"/>
        </w:trPr>
        <w:tc>
          <w:tcPr>
            <w:tcW w:w="446" w:type="dxa"/>
          </w:tcPr>
          <w:p w14:paraId="06EF9159" w14:textId="77777777" w:rsidR="000147ED" w:rsidRPr="00A04080" w:rsidRDefault="000147ED" w:rsidP="00A04080">
            <w:pPr>
              <w:rPr>
                <w:lang w:val="es-ES"/>
              </w:rPr>
            </w:pPr>
            <w:r w:rsidRPr="00A04080">
              <w:rPr>
                <w:lang w:val="es-ES"/>
              </w:rPr>
              <w:t>4</w:t>
            </w:r>
          </w:p>
        </w:tc>
        <w:tc>
          <w:tcPr>
            <w:tcW w:w="6597" w:type="dxa"/>
          </w:tcPr>
          <w:p w14:paraId="2FA7C0A0" w14:textId="77777777" w:rsidR="000147ED" w:rsidRPr="00A04080" w:rsidRDefault="000147ED" w:rsidP="00A04080">
            <w:pPr>
              <w:rPr>
                <w:lang w:val="es-ES"/>
              </w:rPr>
            </w:pPr>
            <w:r w:rsidRPr="00A04080">
              <w:rPr>
                <w:lang w:val="es-ES"/>
              </w:rPr>
              <w:t>Repercusiones sobre la infraestructura civil de telecomunicaciones/TIC de Bahrein, Kuwait, Emiratos Árabes Unidos y Jordania, y sus repercusiones sobre la conectividad regional y mundial</w:t>
            </w:r>
          </w:p>
        </w:tc>
        <w:tc>
          <w:tcPr>
            <w:tcW w:w="2171" w:type="dxa"/>
          </w:tcPr>
          <w:p w14:paraId="519583EE" w14:textId="77D2B689" w:rsidR="000147ED" w:rsidRPr="00A04080" w:rsidRDefault="000147ED" w:rsidP="00A04080">
            <w:pPr>
              <w:jc w:val="center"/>
              <w:rPr>
                <w:lang w:val="es-ES"/>
              </w:rPr>
            </w:pPr>
            <w:hyperlink r:id="rId11" w:history="1">
              <w:r w:rsidRPr="00A04080">
                <w:rPr>
                  <w:rStyle w:val="Hyperlink"/>
                  <w:lang w:val="es-ES"/>
                </w:rPr>
                <w:t>C26/95(Rev.1)</w:t>
              </w:r>
            </w:hyperlink>
          </w:p>
        </w:tc>
      </w:tr>
      <w:tr w:rsidR="000147ED" w:rsidRPr="00A04080" w14:paraId="6F2BD095" w14:textId="77777777" w:rsidTr="00A04080">
        <w:trPr>
          <w:trHeight w:val="20"/>
        </w:trPr>
        <w:tc>
          <w:tcPr>
            <w:tcW w:w="446" w:type="dxa"/>
          </w:tcPr>
          <w:p w14:paraId="5BEF9034" w14:textId="77777777" w:rsidR="000147ED" w:rsidRPr="00A04080" w:rsidRDefault="000147ED" w:rsidP="00A04080">
            <w:pPr>
              <w:rPr>
                <w:lang w:val="es-ES"/>
              </w:rPr>
            </w:pPr>
            <w:r w:rsidRPr="00A04080">
              <w:rPr>
                <w:lang w:val="es-ES"/>
              </w:rPr>
              <w:t>5</w:t>
            </w:r>
          </w:p>
        </w:tc>
        <w:tc>
          <w:tcPr>
            <w:tcW w:w="6597" w:type="dxa"/>
          </w:tcPr>
          <w:p w14:paraId="107C0C1C" w14:textId="77777777" w:rsidR="000147ED" w:rsidRPr="00A04080" w:rsidRDefault="000147ED" w:rsidP="00A04080">
            <w:pPr>
              <w:rPr>
                <w:lang w:val="es-ES" w:eastAsia="en-GB"/>
              </w:rPr>
            </w:pPr>
            <w:r w:rsidRPr="00A04080">
              <w:rPr>
                <w:lang w:val="es-ES" w:eastAsia="en-GB"/>
              </w:rPr>
              <w:t>Declaraciones de los consejeros</w:t>
            </w:r>
          </w:p>
        </w:tc>
        <w:tc>
          <w:tcPr>
            <w:tcW w:w="2171" w:type="dxa"/>
          </w:tcPr>
          <w:p w14:paraId="01E95343" w14:textId="77777777" w:rsidR="000147ED" w:rsidRPr="00A04080" w:rsidRDefault="000147ED" w:rsidP="00A04080">
            <w:pPr>
              <w:spacing w:before="80" w:after="80"/>
              <w:jc w:val="center"/>
              <w:rPr>
                <w:sz w:val="22"/>
                <w:szCs w:val="22"/>
                <w:lang w:val="es-ES"/>
              </w:rPr>
            </w:pPr>
            <w:r w:rsidRPr="00A04080">
              <w:rPr>
                <w:rFonts w:cs="Calibri"/>
                <w:sz w:val="22"/>
                <w:szCs w:val="22"/>
                <w:lang w:val="es-ES"/>
              </w:rPr>
              <w:t>–</w:t>
            </w:r>
          </w:p>
        </w:tc>
      </w:tr>
      <w:bookmarkEnd w:id="1"/>
    </w:tbl>
    <w:p w14:paraId="1EEF6FFD" w14:textId="77777777" w:rsidR="001559F5" w:rsidRPr="00BB6FD8" w:rsidRDefault="001559F5" w:rsidP="000147ED">
      <w:r w:rsidRPr="00BB6FD8">
        <w:br w:type="page"/>
      </w:r>
    </w:p>
    <w:p w14:paraId="13A66D76" w14:textId="391C1229" w:rsidR="000147ED" w:rsidRPr="000147ED" w:rsidRDefault="000147ED" w:rsidP="000147ED">
      <w:pPr>
        <w:pStyle w:val="Heading1"/>
        <w:rPr>
          <w:lang w:val="es-ES"/>
        </w:rPr>
      </w:pPr>
      <w:r w:rsidRPr="000147ED">
        <w:rPr>
          <w:lang w:val="es-ES"/>
        </w:rPr>
        <w:lastRenderedPageBreak/>
        <w:t>1</w:t>
      </w:r>
      <w:r w:rsidRPr="000147ED">
        <w:rPr>
          <w:lang w:val="es-ES"/>
        </w:rPr>
        <w:tab/>
        <w:t>Proyecto de Plan Operacional cuatrienal renovable de la Unión para 2027-2030 (</w:t>
      </w:r>
      <w:r w:rsidRPr="000147ED">
        <w:rPr>
          <w:i/>
          <w:iCs/>
          <w:lang w:val="es-ES"/>
        </w:rPr>
        <w:t>continuación</w:t>
      </w:r>
      <w:r w:rsidRPr="000147ED">
        <w:rPr>
          <w:lang w:val="es-ES"/>
        </w:rPr>
        <w:t>)</w:t>
      </w:r>
      <w:r w:rsidRPr="000147ED">
        <w:rPr>
          <w:i/>
          <w:iCs/>
          <w:lang w:val="es-ES"/>
        </w:rPr>
        <w:t xml:space="preserve"> </w:t>
      </w:r>
      <w:r w:rsidRPr="000147ED">
        <w:rPr>
          <w:lang w:val="es-ES"/>
        </w:rPr>
        <w:t>(Documento </w:t>
      </w:r>
      <w:hyperlink r:id="rId12" w:history="1">
        <w:r w:rsidRPr="000147ED">
          <w:rPr>
            <w:rStyle w:val="Hyperlink"/>
            <w:rFonts w:eastAsia="Times New Roman" w:cs="Times New Roman"/>
            <w:szCs w:val="20"/>
            <w:lang w:val="es-ES"/>
          </w:rPr>
          <w:t>C26/28</w:t>
        </w:r>
      </w:hyperlink>
      <w:r w:rsidRPr="000147ED">
        <w:rPr>
          <w:lang w:val="es-ES"/>
        </w:rPr>
        <w:t>)</w:t>
      </w:r>
    </w:p>
    <w:p w14:paraId="72C20A53" w14:textId="03F0D539" w:rsidR="000147ED" w:rsidRPr="000147ED" w:rsidRDefault="000147ED" w:rsidP="000147ED">
      <w:pPr>
        <w:rPr>
          <w:lang w:val="es-ES"/>
        </w:rPr>
      </w:pPr>
      <w:bookmarkStart w:id="2" w:name="_Hlk201404443"/>
      <w:r w:rsidRPr="000147ED">
        <w:rPr>
          <w:lang w:val="es-ES"/>
        </w:rPr>
        <w:t>1.1</w:t>
      </w:r>
      <w:r w:rsidRPr="000147ED">
        <w:rPr>
          <w:lang w:val="es-ES"/>
        </w:rPr>
        <w:tab/>
        <w:t>Retomando los debates de la Sesión Plenaria inaugural, varios consejeros insisten en que el diseño del Plan Operacional de la Unión para 2028-2030 se basa en los Planes Estratégico y Financiero de la Unión para 2028-2031, que todavía debe aprobar la Conferencia de Plenipotenciarios y aún deben ser debatidos. Un consejero pregunta sobre la inclusión de la movilización de recursos en el Cuadro</w:t>
      </w:r>
      <w:r w:rsidR="00832703">
        <w:rPr>
          <w:lang w:val="es-ES"/>
        </w:rPr>
        <w:t> </w:t>
      </w:r>
      <w:r w:rsidRPr="000147ED">
        <w:rPr>
          <w:lang w:val="es-ES"/>
        </w:rPr>
        <w:t>2 del Documento</w:t>
      </w:r>
      <w:r w:rsidR="00832703">
        <w:rPr>
          <w:lang w:val="es-ES"/>
        </w:rPr>
        <w:t> </w:t>
      </w:r>
      <w:r w:rsidRPr="000147ED">
        <w:rPr>
          <w:lang w:val="es-ES"/>
        </w:rPr>
        <w:t>C26/28 en la categoría de costes, en lugar de como una actividad generadora de ingresos, así como sobre las prioridades e indicadores presentados en el Anexo</w:t>
      </w:r>
      <w:r w:rsidR="00832703">
        <w:rPr>
          <w:lang w:val="es-ES"/>
        </w:rPr>
        <w:t> </w:t>
      </w:r>
      <w:r w:rsidRPr="000147ED">
        <w:rPr>
          <w:lang w:val="es-ES"/>
        </w:rPr>
        <w:t xml:space="preserve">B, que todavía no están consensuados. Otro pide información sobre los conceptos de presupuestación en que se basa la elaboración de los distintos proyectos de plan y sus consecuencias para el ulterior proceso de aprobación, solicitando aclaraciones sobre los diversos porcentajes indicados en el documento, e insiste en que es necesario que exista un vínculo claro entre los Planes Estratégico, Financiero y Operacional de la Unión para lograr una gestión basada en resultados efectiva. Un tercer consejero pide información sobre la proporción relativa de los costes directos de la ejecución de programas y los costes de apoyo centrales atribuidos y sobre cómo se refleja la ejecución regional en los proyectos de plan. Un observador, recordando la </w:t>
      </w:r>
      <w:r w:rsidR="005E3F36" w:rsidRPr="000147ED">
        <w:rPr>
          <w:lang w:val="es-ES"/>
        </w:rPr>
        <w:t>Recomendación</w:t>
      </w:r>
      <w:r w:rsidR="005E3F36">
        <w:rPr>
          <w:lang w:val="es-ES"/>
        </w:rPr>
        <w:t> </w:t>
      </w:r>
      <w:r w:rsidRPr="000147ED">
        <w:rPr>
          <w:lang w:val="es-ES"/>
        </w:rPr>
        <w:t>2026/2 del Comité Asesor Independiente sobre la Gestión (CAIG), sugiere una mayor claridad en los documentos presupuestarios de la Unión en general y en el proyecto de Plan Operacional en particular, y pide información sobre el desglose de costes de 2027 por prioridad temática y sector del Cuadro</w:t>
      </w:r>
      <w:r w:rsidR="00832703">
        <w:rPr>
          <w:lang w:val="es-ES"/>
        </w:rPr>
        <w:t> </w:t>
      </w:r>
      <w:r w:rsidRPr="000147ED">
        <w:rPr>
          <w:lang w:val="es-ES"/>
        </w:rPr>
        <w:t>1. En varias ocasiones los costes indicados para la Secretaría General son superiores a los correspondientes para una o más Oficinas en relación con la misma prioridad temática.</w:t>
      </w:r>
    </w:p>
    <w:p w14:paraId="191316C7" w14:textId="02EBEA84" w:rsidR="000147ED" w:rsidRPr="000147ED" w:rsidRDefault="000147ED" w:rsidP="000147ED">
      <w:pPr>
        <w:rPr>
          <w:lang w:val="es-ES"/>
        </w:rPr>
      </w:pPr>
      <w:r w:rsidRPr="000147ED">
        <w:rPr>
          <w:lang w:val="es-ES"/>
        </w:rPr>
        <w:t>1.2</w:t>
      </w:r>
      <w:r w:rsidRPr="000147ED">
        <w:rPr>
          <w:lang w:val="es-ES"/>
        </w:rPr>
        <w:tab/>
        <w:t>El Jefe del Departamento de Gestión de Recursos Financieros (FRMD) responde a las preguntas formuladas diciendo que la atribución de 779</w:t>
      </w:r>
      <w:r w:rsidR="00832703">
        <w:rPr>
          <w:lang w:val="es-ES"/>
        </w:rPr>
        <w:t> </w:t>
      </w:r>
      <w:r w:rsidRPr="000147ED">
        <w:rPr>
          <w:lang w:val="es-ES"/>
        </w:rPr>
        <w:t>000</w:t>
      </w:r>
      <w:r w:rsidR="00832703">
        <w:rPr>
          <w:lang w:val="es-ES"/>
        </w:rPr>
        <w:t> </w:t>
      </w:r>
      <w:r w:rsidRPr="000147ED">
        <w:rPr>
          <w:lang w:val="es-ES"/>
        </w:rPr>
        <w:t>CHF al Foro Mundial de Política de las Telecomunicaciones/TIC contempla tanto los costes directos como indirectos. Lo mismo ocurre con las estimaciones de costes de 2027 del Cuadro 1. La cifra correspondiente a la movilización de recursos y asociaciones del Cuadro</w:t>
      </w:r>
      <w:r w:rsidR="00832703">
        <w:rPr>
          <w:lang w:val="es-ES"/>
        </w:rPr>
        <w:t> </w:t>
      </w:r>
      <w:r w:rsidRPr="000147ED">
        <w:rPr>
          <w:lang w:val="es-ES"/>
        </w:rPr>
        <w:t>2 representa el coste que implica la realización de esas campañas, no los ingresos generados. El proyecto de Plan Operacional presentado al Consejo es fruto de un ejercicio de gestión y planificación financiera basado en los resultados que tiene en cuenta las cinco prioridades temáticas aprobadas por la Conferencia de Plenipotenciarios (Bucarest, 2022) (PP</w:t>
      </w:r>
      <w:r w:rsidRPr="000147ED">
        <w:rPr>
          <w:lang w:val="es-ES"/>
        </w:rPr>
        <w:noBreakHyphen/>
        <w:t>22) para el periodo 2024</w:t>
      </w:r>
      <w:r w:rsidR="00AD4B91">
        <w:rPr>
          <w:lang w:val="es-ES"/>
        </w:rPr>
        <w:noBreakHyphen/>
      </w:r>
      <w:r w:rsidRPr="000147ED">
        <w:rPr>
          <w:lang w:val="es-ES"/>
        </w:rPr>
        <w:t>2027 y las recomendaciones de los distintos órganos de supervisión de la Unión, en particular del</w:t>
      </w:r>
      <w:r w:rsidR="005E3F36">
        <w:rPr>
          <w:lang w:val="es-ES"/>
        </w:rPr>
        <w:t> </w:t>
      </w:r>
      <w:r w:rsidRPr="000147ED">
        <w:rPr>
          <w:lang w:val="es-ES"/>
        </w:rPr>
        <w:t>CAIG. Los riesgos y la gestión consecuentes se abordan en otros documentos presentados al Consejo, pero se han tenido en cuenta a la hora de preparar los Planes Estratégico, Financiero y Operacional. Si bien la Secretaría debe presentar un Plan cuadrienal renovable, el proyecto de Resolución del Anexo</w:t>
      </w:r>
      <w:r w:rsidR="00832703">
        <w:rPr>
          <w:lang w:val="es-ES"/>
        </w:rPr>
        <w:t> </w:t>
      </w:r>
      <w:r w:rsidRPr="000147ED">
        <w:rPr>
          <w:lang w:val="es-ES"/>
        </w:rPr>
        <w:t>A al Documento</w:t>
      </w:r>
      <w:r w:rsidR="00832703">
        <w:rPr>
          <w:lang w:val="es-ES"/>
        </w:rPr>
        <w:t> </w:t>
      </w:r>
      <w:r w:rsidRPr="000147ED">
        <w:rPr>
          <w:lang w:val="es-ES"/>
        </w:rPr>
        <w:t>C26/28 sólo se refiere al ejercicio 2027, contemplado en los Planes Estratégico y Financiero aprobados por la PP-22.</w:t>
      </w:r>
    </w:p>
    <w:bookmarkEnd w:id="2"/>
    <w:p w14:paraId="0C5D9741" w14:textId="77777777" w:rsidR="000147ED" w:rsidRPr="000147ED" w:rsidRDefault="000147ED" w:rsidP="000147ED">
      <w:pPr>
        <w:rPr>
          <w:lang w:val="es-ES"/>
        </w:rPr>
      </w:pPr>
      <w:r w:rsidRPr="000147ED">
        <w:rPr>
          <w:lang w:val="es-ES"/>
        </w:rPr>
        <w:t>1.3</w:t>
      </w:r>
      <w:r w:rsidRPr="000147ED">
        <w:rPr>
          <w:lang w:val="es-ES"/>
        </w:rPr>
        <w:tab/>
        <w:t>El Jefe de Administración y Finanzas añade que, de acuerdo con las prioridades aprobadas e indicadores fundamentales de rendimiento (IFR), sólo se han facilitado cifras detalladas y concretas para 2027. El diseño del Plan Operacional para 2028-2030 se basa en los proyectos de Plan Estratégico y Financiero para 2028-2031, que aún se están examinando y deberán actualizarse en función de las futuras decisiones de los órganos rectores.</w:t>
      </w:r>
    </w:p>
    <w:p w14:paraId="7D804C9C" w14:textId="31EF7324" w:rsidR="000147ED" w:rsidRPr="000147ED" w:rsidRDefault="000147ED" w:rsidP="000147ED">
      <w:pPr>
        <w:rPr>
          <w:lang w:val="es-ES"/>
        </w:rPr>
      </w:pPr>
      <w:r w:rsidRPr="000147ED">
        <w:rPr>
          <w:lang w:val="es-ES"/>
        </w:rPr>
        <w:t>1.4</w:t>
      </w:r>
      <w:r w:rsidRPr="000147ED">
        <w:rPr>
          <w:lang w:val="es-ES"/>
        </w:rPr>
        <w:tab/>
        <w:t>Un consejero sugiere, en aras de la claridad, modificar el proyecto de Resolución del Anexo</w:t>
      </w:r>
      <w:r w:rsidR="0020641D">
        <w:rPr>
          <w:lang w:val="es-ES"/>
        </w:rPr>
        <w:t> </w:t>
      </w:r>
      <w:r w:rsidRPr="000147ED">
        <w:rPr>
          <w:lang w:val="es-ES"/>
        </w:rPr>
        <w:t>A para que sólo se haga referencia al Plan Operacional para 2027.</w:t>
      </w:r>
    </w:p>
    <w:p w14:paraId="3E07FF1F" w14:textId="4793291E" w:rsidR="000147ED" w:rsidRPr="000147ED" w:rsidRDefault="000147ED" w:rsidP="000147ED">
      <w:pPr>
        <w:rPr>
          <w:lang w:val="es-ES"/>
        </w:rPr>
      </w:pPr>
      <w:r w:rsidRPr="000147ED">
        <w:rPr>
          <w:lang w:val="es-ES"/>
        </w:rPr>
        <w:lastRenderedPageBreak/>
        <w:t>1.5</w:t>
      </w:r>
      <w:r w:rsidRPr="000147ED">
        <w:rPr>
          <w:lang w:val="es-ES"/>
        </w:rPr>
        <w:tab/>
        <w:t>El Jefe del</w:t>
      </w:r>
      <w:r w:rsidR="005E3F36">
        <w:rPr>
          <w:lang w:val="es-ES"/>
        </w:rPr>
        <w:t> </w:t>
      </w:r>
      <w:r w:rsidRPr="000147ED">
        <w:rPr>
          <w:lang w:val="es-ES"/>
        </w:rPr>
        <w:t>FRMD dice que el proyecto de Resolución puede modificarse en ese sentido.</w:t>
      </w:r>
    </w:p>
    <w:p w14:paraId="53D32B3E" w14:textId="77777777" w:rsidR="000147ED" w:rsidRPr="000147ED" w:rsidRDefault="000147ED" w:rsidP="000147ED">
      <w:pPr>
        <w:rPr>
          <w:lang w:val="es-ES"/>
        </w:rPr>
      </w:pPr>
      <w:r w:rsidRPr="000147ED">
        <w:rPr>
          <w:lang w:val="es-ES"/>
        </w:rPr>
        <w:t>1.6</w:t>
      </w:r>
      <w:r w:rsidRPr="000147ED">
        <w:rPr>
          <w:lang w:val="es-ES"/>
        </w:rPr>
        <w:tab/>
        <w:t xml:space="preserve">El Consejo </w:t>
      </w:r>
      <w:r w:rsidRPr="000147ED">
        <w:rPr>
          <w:b/>
          <w:bCs/>
          <w:lang w:val="es-ES"/>
        </w:rPr>
        <w:t xml:space="preserve">acuerda </w:t>
      </w:r>
      <w:r w:rsidRPr="000147ED">
        <w:rPr>
          <w:lang w:val="es-ES"/>
        </w:rPr>
        <w:t>solicitar a la Secretaría la preparación de una versión revisada del Documento C26/28 para su ulterior debate.</w:t>
      </w:r>
    </w:p>
    <w:p w14:paraId="672EC156" w14:textId="4AC27008" w:rsidR="000147ED" w:rsidRPr="000147ED" w:rsidRDefault="000147ED" w:rsidP="000147ED">
      <w:pPr>
        <w:pStyle w:val="Heading1"/>
        <w:rPr>
          <w:lang w:val="es-ES"/>
        </w:rPr>
      </w:pPr>
      <w:r w:rsidRPr="000147ED">
        <w:rPr>
          <w:lang w:val="es-ES"/>
        </w:rPr>
        <w:t>2</w:t>
      </w:r>
      <w:r w:rsidRPr="000147ED">
        <w:rPr>
          <w:lang w:val="es-ES"/>
        </w:rPr>
        <w:tab/>
        <w:t>Novedades sobre la transformación de la UIT – crear una UIT eficiente, ágil y adaptada al futuro (Documentos </w:t>
      </w:r>
      <w:hyperlink r:id="rId13" w:history="1">
        <w:r w:rsidRPr="000147ED">
          <w:rPr>
            <w:rStyle w:val="Hyperlink"/>
            <w:rFonts w:eastAsia="Times New Roman" w:cs="Times New Roman"/>
            <w:szCs w:val="20"/>
            <w:lang w:val="es-ES"/>
          </w:rPr>
          <w:t>C26/55</w:t>
        </w:r>
      </w:hyperlink>
      <w:r w:rsidRPr="000147ED">
        <w:rPr>
          <w:lang w:val="es-ES"/>
        </w:rPr>
        <w:t xml:space="preserve"> y </w:t>
      </w:r>
      <w:hyperlink r:id="rId14" w:history="1">
        <w:r w:rsidRPr="000147ED">
          <w:rPr>
            <w:rStyle w:val="Hyperlink"/>
            <w:rFonts w:eastAsia="Times New Roman" w:cs="Times New Roman"/>
            <w:szCs w:val="20"/>
            <w:lang w:val="es-ES"/>
          </w:rPr>
          <w:t>C26/82</w:t>
        </w:r>
      </w:hyperlink>
      <w:r w:rsidRPr="000147ED">
        <w:rPr>
          <w:lang w:val="es-ES"/>
        </w:rPr>
        <w:t>)</w:t>
      </w:r>
    </w:p>
    <w:p w14:paraId="07BBFBF4" w14:textId="53E5E09C" w:rsidR="000147ED" w:rsidRPr="000147ED" w:rsidRDefault="000147ED" w:rsidP="000147ED">
      <w:pPr>
        <w:rPr>
          <w:lang w:val="es-ES"/>
        </w:rPr>
      </w:pPr>
      <w:r w:rsidRPr="000147ED">
        <w:rPr>
          <w:lang w:val="es-ES"/>
        </w:rPr>
        <w:t>2.1</w:t>
      </w:r>
      <w:r w:rsidRPr="000147ED">
        <w:rPr>
          <w:lang w:val="es-ES"/>
        </w:rPr>
        <w:tab/>
        <w:t>El Líder de Transformación presenta el Documento</w:t>
      </w:r>
      <w:r w:rsidR="0020641D">
        <w:rPr>
          <w:lang w:val="es-ES"/>
        </w:rPr>
        <w:t> </w:t>
      </w:r>
      <w:r w:rsidRPr="000147ED">
        <w:rPr>
          <w:lang w:val="es-ES"/>
        </w:rPr>
        <w:t>C26/55, en el que se esbozan los avances realizados para alcanzar la fase de implementación de la transformación de la Unión, que se articula en torno a cinco pilares: gobernanza, Miembros y socios, personas y cultura, optimización de recursos y sistemas, procesos y herramientas. En respuesta a las observaciones formuladas por el Consejo y el</w:t>
      </w:r>
      <w:r w:rsidR="005E3F36">
        <w:rPr>
          <w:lang w:val="es-ES"/>
        </w:rPr>
        <w:t> </w:t>
      </w:r>
      <w:r w:rsidRPr="000147ED">
        <w:rPr>
          <w:lang w:val="es-ES"/>
        </w:rPr>
        <w:t>CAIG, en el panel de transformación se ha incluido información sobre los productos previstos para 2026, la situación en que se encuentran las iniciativas, la estimación del tiempo invertido por el personal de la Secretaría General en la transformación y la eficiencia generada. En 2026 las actividades se centrarán en mejorar la experiencia de los Miembros, eficiencia operacional e influencia y empoderamiento del personal y cultura de la innovación. El Equipo de Transformación reconoce que es necesario seguir trabajando en los</w:t>
      </w:r>
      <w:r w:rsidR="005E3F36">
        <w:rPr>
          <w:lang w:val="es-ES"/>
        </w:rPr>
        <w:t> </w:t>
      </w:r>
      <w:r w:rsidRPr="000147ED">
        <w:rPr>
          <w:lang w:val="es-ES"/>
        </w:rPr>
        <w:t>IFR para medir los efectos de sus informes y está colaborando con el Departamento de Gestión y Planificación Estratégica y con los interesados en ese sentido. La mayoría de las iniciativas de transformación en curso cuentan con el apoyo de la inteligencia artificial (IA) y digital estratégica. Gracias a un marco estratégico claro anclado en un enfoque basado en objetivos y resultados clave se podrán definir, seguir y armonizar mejor los</w:t>
      </w:r>
      <w:r w:rsidR="005E3F36">
        <w:rPr>
          <w:lang w:val="es-ES"/>
        </w:rPr>
        <w:t> </w:t>
      </w:r>
      <w:r w:rsidRPr="000147ED">
        <w:rPr>
          <w:lang w:val="es-ES"/>
        </w:rPr>
        <w:t>IFR aplicables a todas las iniciativas digitales.</w:t>
      </w:r>
      <w:r w:rsidR="00124F9C" w:rsidRPr="00F622C7">
        <w:rPr>
          <w:lang w:val="es-ES"/>
        </w:rPr>
        <w:t xml:space="preserve"> </w:t>
      </w:r>
      <w:r w:rsidR="00124F9C" w:rsidRPr="00124F9C">
        <w:rPr>
          <w:lang w:val="es-ES"/>
        </w:rPr>
        <w:t>La secretaría añad</w:t>
      </w:r>
      <w:r w:rsidR="00124F9C">
        <w:rPr>
          <w:lang w:val="es-ES"/>
        </w:rPr>
        <w:t>e</w:t>
      </w:r>
      <w:r w:rsidR="00124F9C" w:rsidRPr="00124F9C">
        <w:rPr>
          <w:lang w:val="es-ES"/>
        </w:rPr>
        <w:t xml:space="preserve"> que</w:t>
      </w:r>
      <w:r w:rsidR="00124F9C">
        <w:rPr>
          <w:lang w:val="es-ES"/>
        </w:rPr>
        <w:t xml:space="preserve">, </w:t>
      </w:r>
      <w:r w:rsidR="002A33C1">
        <w:rPr>
          <w:lang w:val="es-ES"/>
        </w:rPr>
        <w:t xml:space="preserve">a fin de </w:t>
      </w:r>
      <w:r w:rsidR="002A33C1" w:rsidRPr="002A33C1">
        <w:rPr>
          <w:lang w:val="es-ES"/>
        </w:rPr>
        <w:t>consolidar la posición de la UIT como una organización más ágil y moderna</w:t>
      </w:r>
      <w:r w:rsidR="00124F9C">
        <w:rPr>
          <w:lang w:val="es-ES"/>
        </w:rPr>
        <w:t>, se ha de poner un mayor énfasis</w:t>
      </w:r>
      <w:r w:rsidR="00124F9C" w:rsidRPr="00124F9C">
        <w:rPr>
          <w:lang w:val="es-ES"/>
        </w:rPr>
        <w:t xml:space="preserve"> en el aprendizaje, la experimentación y </w:t>
      </w:r>
      <w:r w:rsidR="00124F9C">
        <w:rPr>
          <w:lang w:val="es-ES"/>
        </w:rPr>
        <w:t>el empoderamiento</w:t>
      </w:r>
      <w:r w:rsidR="00124F9C" w:rsidRPr="00124F9C">
        <w:rPr>
          <w:lang w:val="es-ES"/>
        </w:rPr>
        <w:t xml:space="preserve"> y el desarrollo del personal.</w:t>
      </w:r>
    </w:p>
    <w:p w14:paraId="51BD6ED8" w14:textId="4911B872" w:rsidR="000147ED" w:rsidRPr="000147ED" w:rsidRDefault="000147ED" w:rsidP="000147ED">
      <w:pPr>
        <w:rPr>
          <w:lang w:val="es-ES"/>
        </w:rPr>
      </w:pPr>
      <w:r w:rsidRPr="000147ED">
        <w:rPr>
          <w:lang w:val="es-ES"/>
        </w:rPr>
        <w:t>2.2</w:t>
      </w:r>
      <w:r w:rsidRPr="000147ED">
        <w:rPr>
          <w:lang w:val="es-ES"/>
        </w:rPr>
        <w:tab/>
        <w:t>El consejero de China presenta, en nombre de Cuba y de su propio país, la contribución del Documento</w:t>
      </w:r>
      <w:r w:rsidR="00832703">
        <w:rPr>
          <w:lang w:val="es-ES"/>
        </w:rPr>
        <w:t> </w:t>
      </w:r>
      <w:r w:rsidRPr="000147ED">
        <w:rPr>
          <w:lang w:val="es-ES"/>
        </w:rPr>
        <w:t>C26/82, en el que se formulan recomendaciones para mejorar la transformación de la</w:t>
      </w:r>
      <w:r w:rsidR="00832703">
        <w:rPr>
          <w:lang w:val="es-ES"/>
        </w:rPr>
        <w:t> </w:t>
      </w:r>
      <w:r w:rsidRPr="000147ED">
        <w:rPr>
          <w:lang w:val="es-ES"/>
        </w:rPr>
        <w:t xml:space="preserve">UIT en el contexto de la participación de la Unión en la </w:t>
      </w:r>
      <w:r w:rsidR="005E3F36">
        <w:rPr>
          <w:lang w:val="es-ES"/>
        </w:rPr>
        <w:t>i</w:t>
      </w:r>
      <w:r w:rsidRPr="000147ED">
        <w:rPr>
          <w:lang w:val="es-ES"/>
        </w:rPr>
        <w:t>niciativa ONU80.</w:t>
      </w:r>
    </w:p>
    <w:p w14:paraId="6B523EF1" w14:textId="7CF65FFA" w:rsidR="000147ED" w:rsidRPr="000147ED" w:rsidRDefault="000147ED" w:rsidP="000147ED">
      <w:pPr>
        <w:rPr>
          <w:lang w:val="es-ES"/>
        </w:rPr>
      </w:pPr>
      <w:r w:rsidRPr="000147ED">
        <w:rPr>
          <w:lang w:val="es-ES"/>
        </w:rPr>
        <w:t>2.3</w:t>
      </w:r>
      <w:r w:rsidRPr="000147ED">
        <w:rPr>
          <w:lang w:val="es-ES"/>
        </w:rPr>
        <w:tab/>
        <w:t>Los consejeros se felicitan de los progresos tangibles que arroja el programa de transformación de la</w:t>
      </w:r>
      <w:r w:rsidR="00832703">
        <w:rPr>
          <w:lang w:val="es-ES"/>
        </w:rPr>
        <w:t> </w:t>
      </w:r>
      <w:r w:rsidRPr="000147ED">
        <w:rPr>
          <w:lang w:val="es-ES"/>
        </w:rPr>
        <w:t xml:space="preserve">UIT al pasar de la fase de planificación y diseño a la implementación. </w:t>
      </w:r>
      <w:r w:rsidR="00124F9C">
        <w:rPr>
          <w:lang w:val="es-ES"/>
        </w:rPr>
        <w:t>Asimismo, observan que s</w:t>
      </w:r>
      <w:r w:rsidRPr="000147ED">
        <w:rPr>
          <w:lang w:val="es-ES"/>
        </w:rPr>
        <w:t>e han logrado avances evidentes en cuanto a responsabilidad, transparencia y madurez institucional</w:t>
      </w:r>
      <w:r w:rsidR="00124F9C">
        <w:rPr>
          <w:lang w:val="es-ES"/>
        </w:rPr>
        <w:t>,</w:t>
      </w:r>
      <w:r w:rsidRPr="000147ED">
        <w:rPr>
          <w:lang w:val="es-ES"/>
        </w:rPr>
        <w:t xml:space="preserve"> y </w:t>
      </w:r>
      <w:r w:rsidR="00124F9C">
        <w:rPr>
          <w:lang w:val="es-ES"/>
        </w:rPr>
        <w:t xml:space="preserve">que se han reforzado </w:t>
      </w:r>
      <w:r w:rsidRPr="000147ED">
        <w:rPr>
          <w:lang w:val="es-ES"/>
        </w:rPr>
        <w:t>la coherencia estratégica y</w:t>
      </w:r>
      <w:r w:rsidR="00124F9C">
        <w:rPr>
          <w:lang w:val="es-ES"/>
        </w:rPr>
        <w:t xml:space="preserve"> la</w:t>
      </w:r>
      <w:r w:rsidRPr="000147ED">
        <w:rPr>
          <w:lang w:val="es-ES"/>
        </w:rPr>
        <w:t xml:space="preserve"> eficacia operativa. </w:t>
      </w:r>
      <w:r w:rsidR="00124F9C">
        <w:rPr>
          <w:lang w:val="es-ES"/>
        </w:rPr>
        <w:t xml:space="preserve">Los consejeros celebran </w:t>
      </w:r>
      <w:r w:rsidRPr="000147ED">
        <w:rPr>
          <w:lang w:val="es-ES"/>
        </w:rPr>
        <w:t>los logros concretos realizados hasta la fecha</w:t>
      </w:r>
      <w:r w:rsidR="00124F9C">
        <w:rPr>
          <w:lang w:val="es-ES"/>
        </w:rPr>
        <w:t>, entre ellos</w:t>
      </w:r>
      <w:r w:rsidRPr="000147ED">
        <w:rPr>
          <w:lang w:val="es-ES"/>
        </w:rPr>
        <w:t xml:space="preserve"> la creación de la Unidad de Supervisión y la función del ómbudsman, la creación y actualización del panel de transformación, la creación del Centro de Innovación y las mejoras en la planificación operacional y financiera y del sistema de adquisiciones. Se sugiere que en futuros informes al Consejo se añadan datos operativos y se reconozcan más explícitamente los riesgos, balances y retos que permitan entender el proceso. Varios consejeros insisten en que es necesario contar con indicadores de rendimiento y referencias comparativas claros a fin de poder hacer un seguimiento objetivo de los progresos, más allá de un mejor ejercicio de rendición de informes. Convendría saber cómo gestiona la Secretaría los efectos acumulados de la transformación en la prestación de servicios esenciales, aunque se señaló la inconveniencia de aumentar innecesariamente la carga de supervisión de la Secretaría.</w:t>
      </w:r>
    </w:p>
    <w:p w14:paraId="4D4581A9" w14:textId="5A30C610" w:rsidR="000147ED" w:rsidRPr="000147ED" w:rsidRDefault="000147ED" w:rsidP="00832703">
      <w:pPr>
        <w:keepNext/>
        <w:keepLines/>
        <w:rPr>
          <w:lang w:val="es-ES"/>
        </w:rPr>
      </w:pPr>
      <w:r w:rsidRPr="000147ED">
        <w:rPr>
          <w:lang w:val="es-ES"/>
        </w:rPr>
        <w:lastRenderedPageBreak/>
        <w:t>2.4</w:t>
      </w:r>
      <w:r w:rsidRPr="000147ED">
        <w:rPr>
          <w:lang w:val="es-ES"/>
        </w:rPr>
        <w:tab/>
        <w:t>Varios consejeros insisten en que es necesario utilizar los recursos de manera sostenible para garantizar la modernización e influencia a largo plazo, en particular cuando los recursos presupuestarios son limitados. Un consejero sugiere que se adopten medidas para fomentar que las Oficinas adopten un enfoque coherente en la gestión de riesgos, mientras que otros señalan que es necesario considerar los riesgos vinculados a la fluctuación de las divisas. Otros consejeros piden cierta flexibilidad para la Secretaría a la hora de decidir cómo llevar adelante la implementación.</w:t>
      </w:r>
    </w:p>
    <w:p w14:paraId="7E8C0FA0" w14:textId="668F13CC" w:rsidR="000147ED" w:rsidRPr="000147ED" w:rsidRDefault="000147ED" w:rsidP="000147ED">
      <w:pPr>
        <w:rPr>
          <w:lang w:val="es-ES"/>
        </w:rPr>
      </w:pPr>
      <w:r w:rsidRPr="000147ED">
        <w:rPr>
          <w:lang w:val="es-ES"/>
        </w:rPr>
        <w:t>2.5</w:t>
      </w:r>
      <w:r w:rsidRPr="000147ED">
        <w:rPr>
          <w:lang w:val="es-ES"/>
        </w:rPr>
        <w:tab/>
        <w:t>Si bien en general es bienvenida la utilización de la</w:t>
      </w:r>
      <w:r w:rsidR="00825E63">
        <w:rPr>
          <w:lang w:val="es-ES"/>
        </w:rPr>
        <w:t> </w:t>
      </w:r>
      <w:r w:rsidRPr="000147ED">
        <w:rPr>
          <w:lang w:val="es-ES"/>
        </w:rPr>
        <w:t>IA para aumentar la productividad, un consejero advierte de las posibles consecuencias que podrían tener problemas conocidos como las alucinaciones de la</w:t>
      </w:r>
      <w:r w:rsidR="00825E63">
        <w:rPr>
          <w:lang w:val="es-ES"/>
        </w:rPr>
        <w:t> </w:t>
      </w:r>
      <w:r w:rsidRPr="000147ED">
        <w:rPr>
          <w:lang w:val="es-ES"/>
        </w:rPr>
        <w:t>IA y se dice contrario a su utilización sin supervisión. Hubo apoyo a utilizar los ahorros del presupuesto de 2025 para realizar las inversiones adicionales necesarias en sistemas digitales y de IA, así como en el desarrollo de las capacidades necesarias para la modernización y racionalización de los procesos institucionales.</w:t>
      </w:r>
    </w:p>
    <w:p w14:paraId="5E406828" w14:textId="42F6DB11" w:rsidR="000147ED" w:rsidRPr="000147ED" w:rsidRDefault="000147ED" w:rsidP="000147ED">
      <w:pPr>
        <w:rPr>
          <w:lang w:val="es-ES"/>
        </w:rPr>
      </w:pPr>
      <w:r w:rsidRPr="000147ED">
        <w:rPr>
          <w:lang w:val="es-ES"/>
        </w:rPr>
        <w:t>2.6</w:t>
      </w:r>
      <w:r w:rsidRPr="000147ED">
        <w:rPr>
          <w:lang w:val="es-ES"/>
        </w:rPr>
        <w:tab/>
        <w:t>Algunos consejeros recibieron con agrado la voluntad de lanzar un nuevo sitio web de la</w:t>
      </w:r>
      <w:r w:rsidR="00825E63">
        <w:rPr>
          <w:lang w:val="es-ES"/>
        </w:rPr>
        <w:t> </w:t>
      </w:r>
      <w:r w:rsidRPr="000147ED">
        <w:rPr>
          <w:lang w:val="es-ES"/>
        </w:rPr>
        <w:t>UIT antes de la Conferencia de Plenipotenciarios de 2026 (PP-26), aunque uno de ellos preguntó acerca de la viabilidad del plan y otro instó a que se tomasen medidas para garantizar la continuidad del acceso de los usuarios a la plataforma existente y la observación de un periodo de transición adecuado para facilitar la adaptación de los delegados.</w:t>
      </w:r>
    </w:p>
    <w:p w14:paraId="67E8AA42" w14:textId="614BA4A0" w:rsidR="000147ED" w:rsidRPr="000147ED" w:rsidRDefault="000147ED" w:rsidP="000147ED">
      <w:pPr>
        <w:rPr>
          <w:lang w:val="es-ES"/>
        </w:rPr>
      </w:pPr>
      <w:r w:rsidRPr="000147ED">
        <w:rPr>
          <w:lang w:val="es-ES"/>
        </w:rPr>
        <w:t>2.7</w:t>
      </w:r>
      <w:r w:rsidRPr="000147ED">
        <w:rPr>
          <w:lang w:val="es-ES"/>
        </w:rPr>
        <w:tab/>
        <w:t xml:space="preserve">Varios consejeros se dijeron favorables a las recomendaciones formuladas en el Documento C26/82, que reforzarán la disciplina, la responsabilidad y la influencia del proceso de transformación, garantizando que las importantes inversiones en términos de recursos financieros y humanos se traduzcan en una mejora real para la Unión y sus </w:t>
      </w:r>
      <w:r w:rsidR="0020641D">
        <w:rPr>
          <w:lang w:val="es-ES"/>
        </w:rPr>
        <w:t>m</w:t>
      </w:r>
      <w:r w:rsidRPr="000147ED">
        <w:rPr>
          <w:lang w:val="es-ES"/>
        </w:rPr>
        <w:t xml:space="preserve">iembros, evitando al mismo tiempo el riesgo de fragmentación. Un consejero se dice preocupado </w:t>
      </w:r>
      <w:proofErr w:type="spellStart"/>
      <w:r w:rsidRPr="000147ED">
        <w:rPr>
          <w:lang w:val="es-ES"/>
        </w:rPr>
        <w:t>por que</w:t>
      </w:r>
      <w:proofErr w:type="spellEnd"/>
      <w:r w:rsidRPr="000147ED">
        <w:rPr>
          <w:lang w:val="es-ES"/>
        </w:rPr>
        <w:t xml:space="preserve"> algunas de las recomendaciones eventualmente impongan restricciones indebidas a los recursos e impliquen reformas internas que no son prioritarias.</w:t>
      </w:r>
    </w:p>
    <w:p w14:paraId="39603334" w14:textId="43C25D15" w:rsidR="00124F9C" w:rsidRDefault="000147ED" w:rsidP="000147ED">
      <w:pPr>
        <w:rPr>
          <w:lang w:val="es-ES"/>
        </w:rPr>
      </w:pPr>
      <w:r w:rsidRPr="000147ED">
        <w:rPr>
          <w:lang w:val="es-ES"/>
        </w:rPr>
        <w:t>2.8</w:t>
      </w:r>
      <w:r w:rsidRPr="000147ED">
        <w:rPr>
          <w:lang w:val="es-ES"/>
        </w:rPr>
        <w:tab/>
        <w:t>Un consejero pide aclaraciones sobre la nueva política de contratación de personal en régimen de duración determinada y de consultores, en particular en lo que respecta a evitar duplicaciones y garantizar la responsabilidad, y pregunta qué esfuerzos se están haciendo para determinar la responsabilidad de las consecuencias que pueda traer la utilización y posible utilización indebida de la</w:t>
      </w:r>
      <w:r w:rsidR="0020641D">
        <w:rPr>
          <w:lang w:val="es-ES"/>
        </w:rPr>
        <w:t> </w:t>
      </w:r>
      <w:r w:rsidRPr="000147ED">
        <w:rPr>
          <w:lang w:val="es-ES"/>
        </w:rPr>
        <w:t>IA en la Unión.</w:t>
      </w:r>
    </w:p>
    <w:p w14:paraId="54CF3F28" w14:textId="654BB26B" w:rsidR="00124F9C" w:rsidRPr="00F622C7" w:rsidRDefault="00124F9C" w:rsidP="00F622C7">
      <w:pPr>
        <w:rPr>
          <w:lang w:val="es-ES"/>
        </w:rPr>
      </w:pPr>
      <w:r w:rsidRPr="00F622C7">
        <w:rPr>
          <w:rFonts w:eastAsia="SimSun" w:hint="eastAsia"/>
          <w:lang w:val="es-ES" w:eastAsia="zh-CN"/>
        </w:rPr>
        <w:t>2.9</w:t>
      </w:r>
      <w:r w:rsidRPr="00F622C7">
        <w:rPr>
          <w:rFonts w:eastAsia="SimSun" w:hint="eastAsia"/>
          <w:lang w:val="es-ES" w:eastAsia="zh-CN"/>
        </w:rPr>
        <w:tab/>
      </w:r>
      <w:r w:rsidR="000147ED" w:rsidRPr="000147ED">
        <w:rPr>
          <w:lang w:val="es-ES"/>
        </w:rPr>
        <w:t>Otros consejeros preguntan si se han asignado fondos suficientes para llevar a cabo las actividades previstas en el panel de transformación antes de que acabe 2026.</w:t>
      </w:r>
    </w:p>
    <w:p w14:paraId="710B9120" w14:textId="2408A4B0" w:rsidR="00124F9C" w:rsidRDefault="00124F9C" w:rsidP="00124F9C">
      <w:pPr>
        <w:rPr>
          <w:lang w:val="es-ES"/>
        </w:rPr>
      </w:pPr>
      <w:r w:rsidRPr="00F622C7">
        <w:rPr>
          <w:rFonts w:eastAsia="SimSun" w:hint="eastAsia"/>
          <w:lang w:val="es-ES" w:eastAsia="zh-CN"/>
        </w:rPr>
        <w:t>2.</w:t>
      </w:r>
      <w:r w:rsidRPr="00F622C7">
        <w:rPr>
          <w:rFonts w:eastAsia="SimSun"/>
          <w:lang w:val="es-ES" w:eastAsia="zh-CN"/>
        </w:rPr>
        <w:t>10</w:t>
      </w:r>
      <w:r w:rsidRPr="00F622C7">
        <w:rPr>
          <w:rFonts w:eastAsia="SimSun" w:hint="eastAsia"/>
          <w:lang w:val="es-ES" w:eastAsia="zh-CN"/>
        </w:rPr>
        <w:tab/>
      </w:r>
      <w:r w:rsidR="000147ED" w:rsidRPr="000147ED">
        <w:rPr>
          <w:lang w:val="es-ES"/>
        </w:rPr>
        <w:t xml:space="preserve">Un consejero destaca que es necesario prestar más atención al sistema jurídico interno y al bienestar del personal y pregunta en qué medida la transformación, incluida la reestructuración de la Secretaría </w:t>
      </w:r>
      <w:r w:rsidR="00C74BEC" w:rsidRPr="000147ED">
        <w:rPr>
          <w:lang w:val="es-ES"/>
        </w:rPr>
        <w:t>General</w:t>
      </w:r>
      <w:r w:rsidR="000147ED" w:rsidRPr="000147ED">
        <w:rPr>
          <w:lang w:val="es-ES"/>
        </w:rPr>
        <w:t>, reporta beneficios a los Miembros y demás interesados y pide, además, un informe específico sobre las actividades del ómbudsman.</w:t>
      </w:r>
    </w:p>
    <w:p w14:paraId="63D89D1C" w14:textId="0857BB3F" w:rsidR="000147ED" w:rsidRPr="000147ED" w:rsidRDefault="00124F9C" w:rsidP="00124F9C">
      <w:pPr>
        <w:rPr>
          <w:lang w:val="es-ES"/>
        </w:rPr>
      </w:pPr>
      <w:r w:rsidRPr="00F622C7">
        <w:rPr>
          <w:rFonts w:eastAsia="SimSun" w:hint="eastAsia"/>
          <w:lang w:val="es-ES" w:eastAsia="zh-CN"/>
        </w:rPr>
        <w:t>2.</w:t>
      </w:r>
      <w:r w:rsidRPr="00F622C7">
        <w:rPr>
          <w:rFonts w:eastAsia="SimSun"/>
          <w:lang w:val="es-ES" w:eastAsia="zh-CN"/>
        </w:rPr>
        <w:t>11</w:t>
      </w:r>
      <w:r w:rsidRPr="00F622C7">
        <w:rPr>
          <w:rFonts w:eastAsia="SimSun" w:hint="eastAsia"/>
          <w:lang w:val="es-ES" w:eastAsia="zh-CN"/>
        </w:rPr>
        <w:tab/>
      </w:r>
      <w:r w:rsidR="000147ED" w:rsidRPr="000147ED">
        <w:rPr>
          <w:lang w:val="es-ES"/>
        </w:rPr>
        <w:t>Un observador insiste en la importancia de que la Secretaría General lleve a cabo una evaluación independiente del proceso de transformación, así como un análisis de rentabilidad completo, en particular habida cuenta de la utilización prevista de la</w:t>
      </w:r>
      <w:r w:rsidR="00C74BEC">
        <w:rPr>
          <w:lang w:val="es-ES"/>
        </w:rPr>
        <w:t> </w:t>
      </w:r>
      <w:r w:rsidR="000147ED" w:rsidRPr="000147ED">
        <w:rPr>
          <w:lang w:val="es-ES"/>
        </w:rPr>
        <w:t>IA en diversos aspectos de las adquisiciones y la gestión y de los posibles riegos de ciberseguridad y fraude que ello implica.</w:t>
      </w:r>
    </w:p>
    <w:p w14:paraId="08103409" w14:textId="7AA2CA67" w:rsidR="000147ED" w:rsidRPr="000147ED" w:rsidRDefault="000147ED" w:rsidP="000147ED">
      <w:pPr>
        <w:rPr>
          <w:lang w:val="es-ES"/>
        </w:rPr>
      </w:pPr>
      <w:r w:rsidRPr="000147ED">
        <w:rPr>
          <w:lang w:val="es-ES"/>
        </w:rPr>
        <w:t>2.</w:t>
      </w:r>
      <w:r w:rsidR="00124F9C">
        <w:rPr>
          <w:lang w:val="es-ES"/>
        </w:rPr>
        <w:t>12</w:t>
      </w:r>
      <w:r w:rsidRPr="000147ED">
        <w:rPr>
          <w:lang w:val="es-ES"/>
        </w:rPr>
        <w:tab/>
        <w:t>El Líder de Transformación agradece las observaciones formuladas durante el debate y las orientaciones facilitadas en el Documento</w:t>
      </w:r>
      <w:r w:rsidR="00825E63">
        <w:rPr>
          <w:lang w:val="es-ES"/>
        </w:rPr>
        <w:t> </w:t>
      </w:r>
      <w:r w:rsidRPr="000147ED">
        <w:rPr>
          <w:lang w:val="es-ES"/>
        </w:rPr>
        <w:t xml:space="preserve">C26/82. La modificación de los equipos y los </w:t>
      </w:r>
      <w:r w:rsidRPr="000147ED">
        <w:rPr>
          <w:lang w:val="es-ES"/>
        </w:rPr>
        <w:lastRenderedPageBreak/>
        <w:t>métodos implicados en la transformación desde el inicio del proceso en 2023 no sólo refleja un deseo de adaptación y aprendizaje, sino también la evolución externa, como los avances sin precedentes experimentados por la tecnología de IA. Se están invirtiendo esfuerzos en garantizar la estabilidad y el liderazgo, poniendo el acento en la coherencia y la priorización y en evitar la fragmentación. El Equipo de Transformación está colaborando estrechamente con otras unidades para armonizar sus actividades con la planificación operacional y estratégica de la Unión y perfeccionar su metodología de rendición de informes. La medición de los efectos con IFR se está integrando a todos los niveles y el Equipo se esforzará por mejorar sus info</w:t>
      </w:r>
      <w:r w:rsidR="00825E63">
        <w:rPr>
          <w:lang w:val="es-ES"/>
        </w:rPr>
        <w:t>r</w:t>
      </w:r>
      <w:r w:rsidRPr="000147ED">
        <w:rPr>
          <w:lang w:val="es-ES"/>
        </w:rPr>
        <w:t>mes a medida que avance el proceso de transformación, teniendo en cuenta incluso la sugerencia de integrar una evaluación de riesgos. Se han preparado unas directrices sobre la utilización de la</w:t>
      </w:r>
      <w:r w:rsidR="00825E63">
        <w:rPr>
          <w:lang w:val="es-ES"/>
        </w:rPr>
        <w:t> </w:t>
      </w:r>
      <w:r w:rsidRPr="000147ED">
        <w:rPr>
          <w:lang w:val="es-ES"/>
        </w:rPr>
        <w:t>IA y se prevé elaborar material de consulta rápida. Todo el personal dispone de licencias para acceder a la</w:t>
      </w:r>
      <w:r w:rsidR="00825E63">
        <w:rPr>
          <w:lang w:val="es-ES"/>
        </w:rPr>
        <w:t> </w:t>
      </w:r>
      <w:r w:rsidRPr="000147ED">
        <w:rPr>
          <w:lang w:val="es-ES"/>
        </w:rPr>
        <w:t>IA integrada en sus computadoras. Las formaciones se impartirán en los próximos meses.</w:t>
      </w:r>
    </w:p>
    <w:p w14:paraId="70A8F038" w14:textId="523BC2C9" w:rsidR="000147ED" w:rsidRPr="000147ED" w:rsidRDefault="000147ED" w:rsidP="000147ED">
      <w:pPr>
        <w:rPr>
          <w:lang w:val="es-ES"/>
        </w:rPr>
      </w:pPr>
      <w:r w:rsidRPr="000147ED">
        <w:rPr>
          <w:lang w:val="es-ES"/>
        </w:rPr>
        <w:t>2.</w:t>
      </w:r>
      <w:r w:rsidR="00124F9C" w:rsidRPr="000147ED">
        <w:rPr>
          <w:lang w:val="es-ES"/>
        </w:rPr>
        <w:t>1</w:t>
      </w:r>
      <w:r w:rsidR="00124F9C">
        <w:rPr>
          <w:lang w:val="es-ES"/>
        </w:rPr>
        <w:t>3</w:t>
      </w:r>
      <w:r w:rsidRPr="000147ED">
        <w:rPr>
          <w:lang w:val="es-ES"/>
        </w:rPr>
        <w:tab/>
        <w:t>El Jefe del</w:t>
      </w:r>
      <w:r w:rsidR="00C74BEC">
        <w:rPr>
          <w:lang w:val="es-ES"/>
        </w:rPr>
        <w:t> </w:t>
      </w:r>
      <w:r w:rsidRPr="000147ED">
        <w:rPr>
          <w:lang w:val="es-ES"/>
        </w:rPr>
        <w:t>HRMD dice que la política de contratación de consultores contiene salvaguardas para garantizar que dicha contratación responde a necesidades a corto plazo para productos concretos y no para tareas reservadas al personal. También prevé la evaluación del rendimiento por los gestores, que deben confirmar la satisfactoria compleción de las tareas antes de que se efectúe pago alguno. El</w:t>
      </w:r>
      <w:r w:rsidR="00825E63">
        <w:rPr>
          <w:lang w:val="es-ES"/>
        </w:rPr>
        <w:t> </w:t>
      </w:r>
      <w:r w:rsidRPr="000147ED">
        <w:rPr>
          <w:lang w:val="es-ES"/>
        </w:rPr>
        <w:t>HRMD es responsable de supervisar el proceso.</w:t>
      </w:r>
    </w:p>
    <w:p w14:paraId="1C1481F7" w14:textId="59AC6C1D" w:rsidR="000147ED" w:rsidRPr="000147ED" w:rsidRDefault="000147ED" w:rsidP="000147ED">
      <w:pPr>
        <w:rPr>
          <w:lang w:val="es-ES"/>
        </w:rPr>
      </w:pPr>
      <w:r w:rsidRPr="000147ED">
        <w:rPr>
          <w:lang w:val="es-ES"/>
        </w:rPr>
        <w:t>2.</w:t>
      </w:r>
      <w:r w:rsidR="00124F9C" w:rsidRPr="000147ED">
        <w:rPr>
          <w:lang w:val="es-ES"/>
        </w:rPr>
        <w:t>1</w:t>
      </w:r>
      <w:r w:rsidR="00124F9C">
        <w:rPr>
          <w:lang w:val="es-ES"/>
        </w:rPr>
        <w:t>4</w:t>
      </w:r>
      <w:r w:rsidRPr="000147ED">
        <w:rPr>
          <w:lang w:val="es-ES"/>
        </w:rPr>
        <w:tab/>
        <w:t xml:space="preserve">El Consejo </w:t>
      </w:r>
      <w:r w:rsidRPr="000147ED">
        <w:rPr>
          <w:b/>
          <w:bCs/>
          <w:lang w:val="es-ES"/>
        </w:rPr>
        <w:t xml:space="preserve">toma nota </w:t>
      </w:r>
      <w:r w:rsidRPr="000147ED">
        <w:rPr>
          <w:lang w:val="es-ES"/>
        </w:rPr>
        <w:t>de los progresos realizados ha</w:t>
      </w:r>
      <w:r w:rsidR="00832703">
        <w:rPr>
          <w:lang w:val="es-ES"/>
        </w:rPr>
        <w:t>s</w:t>
      </w:r>
      <w:r w:rsidRPr="000147ED">
        <w:rPr>
          <w:lang w:val="es-ES"/>
        </w:rPr>
        <w:t xml:space="preserve">ta la fecha, </w:t>
      </w:r>
      <w:r w:rsidRPr="000147ED">
        <w:rPr>
          <w:b/>
          <w:bCs/>
          <w:lang w:val="es-ES"/>
        </w:rPr>
        <w:t xml:space="preserve">toma nota </w:t>
      </w:r>
      <w:r w:rsidRPr="000147ED">
        <w:rPr>
          <w:lang w:val="es-ES"/>
        </w:rPr>
        <w:t>de las recomendaciones formuladas en el Documento</w:t>
      </w:r>
      <w:r w:rsidR="00832703">
        <w:rPr>
          <w:lang w:val="es-ES"/>
        </w:rPr>
        <w:t> </w:t>
      </w:r>
      <w:r w:rsidRPr="000147ED">
        <w:rPr>
          <w:lang w:val="es-ES"/>
        </w:rPr>
        <w:t xml:space="preserve">C26/82 e </w:t>
      </w:r>
      <w:r w:rsidRPr="000147ED">
        <w:rPr>
          <w:b/>
          <w:bCs/>
          <w:lang w:val="es-ES"/>
        </w:rPr>
        <w:t xml:space="preserve">invita </w:t>
      </w:r>
      <w:r w:rsidRPr="000147ED">
        <w:rPr>
          <w:lang w:val="es-ES"/>
        </w:rPr>
        <w:t>a la Secretaría a seguir rindiendo informe a través del panel de transformación a medida que avance la implementación en 2026.</w:t>
      </w:r>
    </w:p>
    <w:p w14:paraId="59CAB0AD" w14:textId="5D6DB0D2" w:rsidR="000147ED" w:rsidRPr="000147ED" w:rsidRDefault="000147ED" w:rsidP="000147ED">
      <w:pPr>
        <w:pStyle w:val="Heading1"/>
        <w:rPr>
          <w:lang w:val="es-ES"/>
        </w:rPr>
      </w:pPr>
      <w:r w:rsidRPr="000147ED">
        <w:rPr>
          <w:lang w:val="es-ES"/>
        </w:rPr>
        <w:t>3</w:t>
      </w:r>
      <w:r w:rsidRPr="000147ED">
        <w:rPr>
          <w:lang w:val="es-ES"/>
        </w:rPr>
        <w:tab/>
        <w:t>Informe sobre la ejecución del Plan Estratégico y las actividades de la Unión en 2022-2025 (Documento</w:t>
      </w:r>
      <w:r w:rsidR="00832703">
        <w:rPr>
          <w:lang w:val="es-ES"/>
        </w:rPr>
        <w:t> </w:t>
      </w:r>
      <w:hyperlink r:id="rId15" w:history="1">
        <w:r w:rsidRPr="000147ED">
          <w:rPr>
            <w:rStyle w:val="Hyperlink"/>
            <w:rFonts w:eastAsia="Times New Roman" w:cs="Times New Roman"/>
            <w:szCs w:val="20"/>
            <w:lang w:val="es-ES"/>
          </w:rPr>
          <w:t>C26/35</w:t>
        </w:r>
      </w:hyperlink>
      <w:r w:rsidRPr="000147ED">
        <w:rPr>
          <w:lang w:val="es-ES"/>
        </w:rPr>
        <w:t>)</w:t>
      </w:r>
    </w:p>
    <w:p w14:paraId="4FE8D5C8" w14:textId="07A9919B" w:rsidR="000147ED" w:rsidRPr="000147ED" w:rsidRDefault="000147ED" w:rsidP="000147ED">
      <w:pPr>
        <w:rPr>
          <w:lang w:val="es-ES"/>
        </w:rPr>
      </w:pPr>
      <w:r w:rsidRPr="000147ED">
        <w:rPr>
          <w:lang w:val="es-ES"/>
        </w:rPr>
        <w:t>3.1</w:t>
      </w:r>
      <w:r w:rsidRPr="000147ED">
        <w:rPr>
          <w:lang w:val="es-ES"/>
        </w:rPr>
        <w:tab/>
        <w:t>El Vicesecretario General presenta el Documento</w:t>
      </w:r>
      <w:r w:rsidR="00832703">
        <w:rPr>
          <w:lang w:val="es-ES"/>
        </w:rPr>
        <w:t> </w:t>
      </w:r>
      <w:r w:rsidRPr="000147ED">
        <w:rPr>
          <w:lang w:val="es-ES"/>
        </w:rPr>
        <w:t>C26/35, que contiene los informes refundidos sobre la ejecución del Plan Estratégico y las actividades de la Unión entre octubre de</w:t>
      </w:r>
      <w:r w:rsidR="005E3F36">
        <w:rPr>
          <w:lang w:val="es-ES"/>
        </w:rPr>
        <w:t> </w:t>
      </w:r>
      <w:r w:rsidRPr="000147ED">
        <w:rPr>
          <w:lang w:val="es-ES"/>
        </w:rPr>
        <w:t>2022 y marzo de</w:t>
      </w:r>
      <w:r w:rsidR="00C74BEC">
        <w:rPr>
          <w:lang w:val="es-ES"/>
        </w:rPr>
        <w:t> </w:t>
      </w:r>
      <w:r w:rsidRPr="000147ED">
        <w:rPr>
          <w:lang w:val="es-ES"/>
        </w:rPr>
        <w:t>2026, que se actualizará antes de su presentación a la PP-26. El informe se complementa con dos plataformas web que ofrecen información respectivamente sobre la aplicación de las Resoluciones de la Conferencia de Plenipotenciarios y sobre los progresos realizados en la consecución de los objetivos del Plan Estratégico.</w:t>
      </w:r>
    </w:p>
    <w:p w14:paraId="325E39F1" w14:textId="2D7645F4" w:rsidR="000147ED" w:rsidRPr="000147ED" w:rsidRDefault="000147ED" w:rsidP="000147ED">
      <w:pPr>
        <w:rPr>
          <w:lang w:val="es-ES"/>
        </w:rPr>
      </w:pPr>
      <w:r w:rsidRPr="000147ED">
        <w:rPr>
          <w:lang w:val="es-ES"/>
        </w:rPr>
        <w:t>3.2</w:t>
      </w:r>
      <w:r w:rsidRPr="000147ED">
        <w:rPr>
          <w:lang w:val="es-ES"/>
        </w:rPr>
        <w:tab/>
        <w:t>Si bien los costes de las telecomunicaciones siguen siendo desproporcionadamente elevados en los países con bajos ingresos y que sigue habiendo profundas brechas estructurales en cuanto al acceso digital, la</w:t>
      </w:r>
      <w:r w:rsidR="00825E63">
        <w:rPr>
          <w:lang w:val="es-ES"/>
        </w:rPr>
        <w:t> </w:t>
      </w:r>
      <w:r w:rsidRPr="000147ED">
        <w:rPr>
          <w:lang w:val="es-ES"/>
        </w:rPr>
        <w:t>UIT ha progresado en la consecución de la conectividad universal y el aumento de la asequibilidad de las telecomunicaciones. De acuerdo con la visión definida por las conferencias estatutarias celebradas durante el periodo considerado, la</w:t>
      </w:r>
      <w:r w:rsidR="00825E63">
        <w:rPr>
          <w:lang w:val="es-ES"/>
        </w:rPr>
        <w:t> </w:t>
      </w:r>
      <w:r w:rsidRPr="000147ED">
        <w:rPr>
          <w:lang w:val="es-ES"/>
        </w:rPr>
        <w:t>UIT ha participado en el desarrollo de la conectividad escolar, la preparación en materia de ciberseguridad, la gestión de catástrofes y sistemas de alerta temprana, los residuos</w:t>
      </w:r>
      <w:r w:rsidR="00C74BEC">
        <w:rPr>
          <w:lang w:val="es-ES"/>
        </w:rPr>
        <w:noBreakHyphen/>
      </w:r>
      <w:r w:rsidRPr="000147ED">
        <w:rPr>
          <w:lang w:val="es-ES"/>
        </w:rPr>
        <w:t>e, la normalización, la preparación para las redes</w:t>
      </w:r>
      <w:r w:rsidR="005E3F36">
        <w:rPr>
          <w:lang w:val="es-ES"/>
        </w:rPr>
        <w:t> </w:t>
      </w:r>
      <w:r w:rsidRPr="000147ED">
        <w:rPr>
          <w:lang w:val="es-ES"/>
        </w:rPr>
        <w:t>6G, la tecnología cuántica y la utilización de la</w:t>
      </w:r>
      <w:r w:rsidR="00825E63">
        <w:rPr>
          <w:lang w:val="es-ES"/>
        </w:rPr>
        <w:t> </w:t>
      </w:r>
      <w:r w:rsidRPr="000147ED">
        <w:rPr>
          <w:lang w:val="es-ES"/>
        </w:rPr>
        <w:t>IA. También ha facilitado el intercambio de conocimientos gracias a la publicación de informes emblemáticos y la ejecución de iniciativas como la Academia de la</w:t>
      </w:r>
      <w:r w:rsidR="00C74BEC">
        <w:rPr>
          <w:lang w:val="es-ES"/>
        </w:rPr>
        <w:t> </w:t>
      </w:r>
      <w:r w:rsidRPr="000147ED">
        <w:rPr>
          <w:lang w:val="es-ES"/>
        </w:rPr>
        <w:t xml:space="preserve">UIT. Por otra parte, el número de </w:t>
      </w:r>
      <w:r w:rsidR="00C74BEC">
        <w:rPr>
          <w:lang w:val="es-ES"/>
        </w:rPr>
        <w:t>m</w:t>
      </w:r>
      <w:r w:rsidRPr="000147ED">
        <w:rPr>
          <w:lang w:val="es-ES"/>
        </w:rPr>
        <w:t xml:space="preserve">iembros de la Unión ha aumentado notablemente y sus plataformas mundiales siguen siendo importantes puntos de encuentro </w:t>
      </w:r>
      <w:r w:rsidRPr="000147ED">
        <w:rPr>
          <w:lang w:val="es-ES"/>
        </w:rPr>
        <w:lastRenderedPageBreak/>
        <w:t>donde las organizaciones internacionales y los Estados Miembros pueden colaborar para superar retos y aprovechar las oportunidades que se ofrecen en diversas esferas.</w:t>
      </w:r>
    </w:p>
    <w:p w14:paraId="63E195AF" w14:textId="4FD30479" w:rsidR="000147ED" w:rsidRPr="000147ED" w:rsidRDefault="000147ED" w:rsidP="000147ED">
      <w:pPr>
        <w:rPr>
          <w:lang w:val="es-ES"/>
        </w:rPr>
      </w:pPr>
      <w:r w:rsidRPr="000147ED">
        <w:rPr>
          <w:lang w:val="es-ES"/>
        </w:rPr>
        <w:t>3.3</w:t>
      </w:r>
      <w:r w:rsidRPr="000147ED">
        <w:rPr>
          <w:lang w:val="es-ES"/>
        </w:rPr>
        <w:tab/>
        <w:t>De cara al futuro la Secretaría se está centrando en garantizar la fortaleza interna de la</w:t>
      </w:r>
      <w:r w:rsidR="00825E63">
        <w:rPr>
          <w:lang w:val="es-ES"/>
        </w:rPr>
        <w:t> </w:t>
      </w:r>
      <w:r w:rsidRPr="000147ED">
        <w:rPr>
          <w:lang w:val="es-ES"/>
        </w:rPr>
        <w:t>UIT, entre otras cosas mediante la mejora de la gestión financiera y la supervisión, la definición de un nuevo proceso de planificación operacional y de una nueva estrategia de movilización de recursos y un aumento de la eficacia.</w:t>
      </w:r>
    </w:p>
    <w:p w14:paraId="6038512F" w14:textId="77777777" w:rsidR="000147ED" w:rsidRPr="000147ED" w:rsidRDefault="000147ED" w:rsidP="000147ED">
      <w:pPr>
        <w:rPr>
          <w:lang w:val="es-ES"/>
        </w:rPr>
      </w:pPr>
      <w:r w:rsidRPr="000147ED">
        <w:rPr>
          <w:lang w:val="es-ES"/>
        </w:rPr>
        <w:t>3.4</w:t>
      </w:r>
      <w:r w:rsidRPr="000147ED">
        <w:rPr>
          <w:lang w:val="es-ES"/>
        </w:rPr>
        <w:tab/>
        <w:t>Los consejeros agradecen el informe y aplaudieron los progresos realizados durante el periodo considerado. Sin embargo, algunos consejeros señalaron la persistencia de las brechas digitales y pidieron una mayor cooperación internacional, asociaciones más fuertes y un apoyo constante a la capacitación a fin de lograr la conectividad universal. Dos consejeros pidieron a la Secretaría que incluya en el informe información sobre las dificultades que plantea la ejecución del actual Plan Estratégico y sobre las estrategias para superarlas.</w:t>
      </w:r>
    </w:p>
    <w:p w14:paraId="6B8F6684" w14:textId="01CF3118" w:rsidR="000147ED" w:rsidRPr="000147ED" w:rsidRDefault="000147ED" w:rsidP="000147ED">
      <w:pPr>
        <w:rPr>
          <w:lang w:val="es-ES"/>
        </w:rPr>
      </w:pPr>
      <w:r w:rsidRPr="000147ED">
        <w:rPr>
          <w:lang w:val="es-ES"/>
        </w:rPr>
        <w:t>3.5</w:t>
      </w:r>
      <w:r w:rsidRPr="000147ED">
        <w:rPr>
          <w:lang w:val="es-ES"/>
        </w:rPr>
        <w:tab/>
        <w:t>Un consejero dice apreciar en particular la concentración de la Unión en las iniciativas de desarrollo, como la Coalición Digital Partner2Connect, la iniciativa Giga y los centros de transformación, que facilitan la transformación digital a nivel nacional. También alaba las actividades relacionadas con las tecnologías incipientes, como la</w:t>
      </w:r>
      <w:r w:rsidR="00825E63">
        <w:rPr>
          <w:lang w:val="es-ES"/>
        </w:rPr>
        <w:t> </w:t>
      </w:r>
      <w:r w:rsidRPr="000147ED">
        <w:rPr>
          <w:lang w:val="es-ES"/>
        </w:rPr>
        <w:t>IA, destacando al mismo tiempo que esas tecnologías deben regirse de manera inclusiva y práctica para responder a las necesidades de todos los Estados Miembros. Otro consejero pide un mayor apoyo a los Estados Miembros africanos para la construcción de sus capacidades de ciberseguridad operativas. Un tercer consejero señala el escaso número de países que ha presentado datos sobre los niveles de competencia en tecnologías de la información y la comunicación (TIC) y pide una mayor asistencia para la elaboración del informe.</w:t>
      </w:r>
    </w:p>
    <w:p w14:paraId="775CCC1D" w14:textId="77777777" w:rsidR="000147ED" w:rsidRPr="000147ED" w:rsidRDefault="000147ED" w:rsidP="000147ED">
      <w:pPr>
        <w:rPr>
          <w:lang w:val="es-ES"/>
        </w:rPr>
      </w:pPr>
      <w:r w:rsidRPr="000147ED">
        <w:rPr>
          <w:lang w:val="es-ES"/>
        </w:rPr>
        <w:t>3.6</w:t>
      </w:r>
      <w:r w:rsidRPr="000147ED">
        <w:rPr>
          <w:lang w:val="es-ES"/>
        </w:rPr>
        <w:tab/>
        <w:t>Varios consejeros se felicitan de la mejora de la transparencia de la gobernanza, la eficacia financiera e institucional, y piden que se prosigan los esfuerzos en ese sentido. Varios consejeros piden que se siga dando prioridad a las actividades, insistiendo en particular en la implementación puntual y los efectos mensurables, a fin de garantizar el cumplimiento del mandato de la Unión. Dos consejeros destacan la importancia que reviste disponer de indicadores y objetivos adecuados para la conectividad universal y la transformación digital y alientan los trabajos en ese sentido. Concretamente, un consejero pide que esas métricas se desglosen por región a fin de garantizar que no se enmascaran las carencias estructurales en África. Otro consejero pide una mayor utilización de la gestión basada en resultados y los informes de rendimiento vinculando los productos al marco de resultados del Plan Estratégico. También alienta a la Unión a seguir liderando la armonización de la transformación digital con reformas prioritarias más amplias en el marco de la iniciativa ONU80.</w:t>
      </w:r>
    </w:p>
    <w:p w14:paraId="3E0F5F9C" w14:textId="4A82C83C" w:rsidR="000147ED" w:rsidRPr="000147ED" w:rsidRDefault="000147ED" w:rsidP="00825E63">
      <w:pPr>
        <w:rPr>
          <w:lang w:val="es-ES"/>
        </w:rPr>
      </w:pPr>
      <w:r w:rsidRPr="000147ED">
        <w:rPr>
          <w:lang w:val="es-ES"/>
        </w:rPr>
        <w:t>3.7</w:t>
      </w:r>
      <w:r w:rsidRPr="000147ED">
        <w:rPr>
          <w:lang w:val="es-ES"/>
        </w:rPr>
        <w:tab/>
        <w:t>Señalando el amplísimo abanico de actividades de la</w:t>
      </w:r>
      <w:r w:rsidR="00825E63">
        <w:rPr>
          <w:lang w:val="es-ES"/>
        </w:rPr>
        <w:t> </w:t>
      </w:r>
      <w:r w:rsidRPr="000147ED">
        <w:rPr>
          <w:lang w:val="es-ES"/>
        </w:rPr>
        <w:t>UIT relacionadas con la tecnología cuántica y la</w:t>
      </w:r>
      <w:r w:rsidR="00825E63">
        <w:rPr>
          <w:lang w:val="es-ES"/>
        </w:rPr>
        <w:t> </w:t>
      </w:r>
      <w:r w:rsidRPr="000147ED">
        <w:rPr>
          <w:lang w:val="es-ES"/>
        </w:rPr>
        <w:t>IA, un consejero alienta a la Unión a ceñirse estrictamente a los mandatos definidos en las Resoluciones pertinentes y reitera que la aprobación del Documento</w:t>
      </w:r>
      <w:r w:rsidR="00825E63">
        <w:rPr>
          <w:lang w:val="es-ES"/>
        </w:rPr>
        <w:t> </w:t>
      </w:r>
      <w:r w:rsidRPr="000147ED">
        <w:rPr>
          <w:lang w:val="es-ES"/>
        </w:rPr>
        <w:t>C26/35 no implica que se respalden todas las actividades presentadas.</w:t>
      </w:r>
    </w:p>
    <w:p w14:paraId="6ED3ACE0" w14:textId="57D108FA" w:rsidR="000147ED" w:rsidRPr="000147ED" w:rsidRDefault="000147ED" w:rsidP="000147ED">
      <w:pPr>
        <w:rPr>
          <w:lang w:val="es-ES"/>
        </w:rPr>
      </w:pPr>
      <w:r w:rsidRPr="000147ED">
        <w:rPr>
          <w:lang w:val="es-ES"/>
        </w:rPr>
        <w:t>3.8</w:t>
      </w:r>
      <w:r w:rsidRPr="000147ED">
        <w:rPr>
          <w:lang w:val="es-ES"/>
        </w:rPr>
        <w:tab/>
        <w:t xml:space="preserve">El Vicesecretario General agradece las felicitaciones y comentarios de los consejeros en relación con el informe y toma nota de las sugerencias de mejora del documento. En respuesta a las preguntas de un consejero dice que en el informe se desglosan los </w:t>
      </w:r>
      <w:r w:rsidR="00C74BEC">
        <w:rPr>
          <w:lang w:val="es-ES"/>
        </w:rPr>
        <w:t>m</w:t>
      </w:r>
      <w:r w:rsidRPr="000147ED">
        <w:rPr>
          <w:lang w:val="es-ES"/>
        </w:rPr>
        <w:t>iembros de la</w:t>
      </w:r>
      <w:r w:rsidR="00C74BEC">
        <w:rPr>
          <w:lang w:val="es-ES"/>
        </w:rPr>
        <w:t> </w:t>
      </w:r>
      <w:r w:rsidRPr="000147ED">
        <w:rPr>
          <w:lang w:val="es-ES"/>
        </w:rPr>
        <w:t xml:space="preserve">UIT por Sector y que la Secretaría está dispuesta para presentar más detalles sobre los ingresos generados por los nuevos </w:t>
      </w:r>
      <w:r w:rsidR="00C74BEC">
        <w:rPr>
          <w:lang w:val="es-ES"/>
        </w:rPr>
        <w:t>m</w:t>
      </w:r>
      <w:r w:rsidRPr="000147ED">
        <w:rPr>
          <w:lang w:val="es-ES"/>
        </w:rPr>
        <w:t>iembros.</w:t>
      </w:r>
    </w:p>
    <w:p w14:paraId="499BF8F9" w14:textId="766C60D9" w:rsidR="000147ED" w:rsidRPr="000147ED" w:rsidRDefault="000147ED" w:rsidP="000147ED">
      <w:pPr>
        <w:rPr>
          <w:lang w:val="es-ES"/>
        </w:rPr>
      </w:pPr>
      <w:r w:rsidRPr="000147ED">
        <w:rPr>
          <w:lang w:val="es-ES"/>
        </w:rPr>
        <w:lastRenderedPageBreak/>
        <w:t>3.9</w:t>
      </w:r>
      <w:r w:rsidRPr="000147ED">
        <w:rPr>
          <w:lang w:val="es-ES"/>
        </w:rPr>
        <w:tab/>
        <w:t>El Director de la Oficina de Desarrollo de las Telecomunicaciones responde a las preguntas y comentarios de los consejeros diciendo que, para financiar las iniciativas regionales, la</w:t>
      </w:r>
      <w:r w:rsidR="00825E63">
        <w:rPr>
          <w:lang w:val="es-ES"/>
        </w:rPr>
        <w:t> </w:t>
      </w:r>
      <w:r w:rsidRPr="000147ED">
        <w:rPr>
          <w:lang w:val="es-ES"/>
        </w:rPr>
        <w:t>UIT recaudó la cifra récord de 65</w:t>
      </w:r>
      <w:r w:rsidR="00832703">
        <w:rPr>
          <w:lang w:val="es-ES"/>
        </w:rPr>
        <w:t> </w:t>
      </w:r>
      <w:r w:rsidRPr="000147ED">
        <w:rPr>
          <w:lang w:val="es-ES"/>
        </w:rPr>
        <w:t>millones</w:t>
      </w:r>
      <w:r w:rsidR="00832703">
        <w:rPr>
          <w:lang w:val="es-ES"/>
        </w:rPr>
        <w:t> </w:t>
      </w:r>
      <w:r w:rsidRPr="000147ED">
        <w:rPr>
          <w:lang w:val="es-ES"/>
        </w:rPr>
        <w:t>CHF de toda una serie de interesados y socios para el desarrollo durante el periodo considerado. También ha ofrecido la financiación inicial necesaria para alentar las inversiones en iniciativas regionales, se presentará más información sobre este tema a esta reunión del Consejo en el marco de otro punto del orden del día. Señala también que la</w:t>
      </w:r>
      <w:r w:rsidR="00832703">
        <w:rPr>
          <w:lang w:val="es-ES"/>
        </w:rPr>
        <w:t> </w:t>
      </w:r>
      <w:r w:rsidRPr="000147ED">
        <w:rPr>
          <w:lang w:val="es-ES"/>
        </w:rPr>
        <w:t>UIT está colaborando con los reguladores para facilitar la obtención de datos de las oficinas nacionales de estadística.</w:t>
      </w:r>
    </w:p>
    <w:p w14:paraId="7FAB3C00" w14:textId="5B0A937B" w:rsidR="000147ED" w:rsidRPr="000147ED" w:rsidRDefault="000147ED" w:rsidP="000147ED">
      <w:pPr>
        <w:rPr>
          <w:lang w:val="es-ES"/>
        </w:rPr>
      </w:pPr>
      <w:r w:rsidRPr="000147ED">
        <w:rPr>
          <w:lang w:val="es-ES"/>
        </w:rPr>
        <w:t>3.10</w:t>
      </w:r>
      <w:r w:rsidRPr="000147ED">
        <w:rPr>
          <w:lang w:val="es-ES"/>
        </w:rPr>
        <w:tab/>
        <w:t xml:space="preserve">El Consejo </w:t>
      </w:r>
      <w:r w:rsidRPr="000147ED">
        <w:rPr>
          <w:b/>
          <w:bCs/>
          <w:lang w:val="es-ES"/>
        </w:rPr>
        <w:t xml:space="preserve">aprueba </w:t>
      </w:r>
      <w:r w:rsidRPr="000147ED">
        <w:rPr>
          <w:lang w:val="es-ES"/>
        </w:rPr>
        <w:t>el informe presentado en el Documento</w:t>
      </w:r>
      <w:r w:rsidR="00832703">
        <w:rPr>
          <w:lang w:val="es-ES"/>
        </w:rPr>
        <w:t> </w:t>
      </w:r>
      <w:r w:rsidRPr="000147ED">
        <w:rPr>
          <w:lang w:val="es-ES"/>
        </w:rPr>
        <w:t xml:space="preserve">C26/35 y </w:t>
      </w:r>
      <w:r w:rsidRPr="000147ED">
        <w:rPr>
          <w:b/>
          <w:bCs/>
          <w:lang w:val="es-ES"/>
        </w:rPr>
        <w:t>autoriza</w:t>
      </w:r>
      <w:r w:rsidRPr="000147ED">
        <w:rPr>
          <w:lang w:val="es-ES"/>
        </w:rPr>
        <w:t xml:space="preserve"> a la Secretaria General, bajo la supervisión del Presidente, a actualizar el informe habida cuenta de los debates y de los resultados de los eventos por venir, y a transmitir el informe definitivo a la</w:t>
      </w:r>
      <w:r w:rsidR="00825E63">
        <w:rPr>
          <w:lang w:val="es-ES"/>
        </w:rPr>
        <w:t> </w:t>
      </w:r>
      <w:r w:rsidRPr="000147ED">
        <w:rPr>
          <w:lang w:val="es-ES"/>
        </w:rPr>
        <w:t>PP-26.</w:t>
      </w:r>
    </w:p>
    <w:p w14:paraId="6729BA24" w14:textId="67ADB70F" w:rsidR="000147ED" w:rsidRPr="000147ED" w:rsidRDefault="000147ED" w:rsidP="000147ED">
      <w:pPr>
        <w:pStyle w:val="Heading1"/>
        <w:rPr>
          <w:lang w:val="es-ES"/>
        </w:rPr>
      </w:pPr>
      <w:r w:rsidRPr="000147ED">
        <w:rPr>
          <w:lang w:val="es-ES"/>
        </w:rPr>
        <w:t>4</w:t>
      </w:r>
      <w:r w:rsidRPr="000147ED">
        <w:rPr>
          <w:lang w:val="es-ES"/>
        </w:rPr>
        <w:tab/>
        <w:t>Repercusiones sobre la infraestructura civil de telecomunicaciones/TIC de Bahrein, Kuwait, Emiratos Árabes Unidos y Jordania, y sus repercusiones sobre la conectividad regional y mundial (Documento</w:t>
      </w:r>
      <w:r w:rsidR="00832703">
        <w:rPr>
          <w:lang w:val="es-ES"/>
        </w:rPr>
        <w:t> </w:t>
      </w:r>
      <w:hyperlink r:id="rId16" w:history="1">
        <w:r w:rsidRPr="000147ED">
          <w:rPr>
            <w:rStyle w:val="Hyperlink"/>
            <w:rFonts w:eastAsia="Times New Roman" w:cs="Times New Roman"/>
            <w:szCs w:val="20"/>
            <w:lang w:val="es-ES"/>
          </w:rPr>
          <w:t>C26/95(Rev.1)</w:t>
        </w:r>
      </w:hyperlink>
      <w:r w:rsidRPr="000147ED">
        <w:rPr>
          <w:lang w:val="es-ES"/>
        </w:rPr>
        <w:t>)</w:t>
      </w:r>
    </w:p>
    <w:p w14:paraId="46D6F7E1" w14:textId="32B523B6" w:rsidR="000147ED" w:rsidRPr="000147ED" w:rsidRDefault="000147ED" w:rsidP="000147ED">
      <w:pPr>
        <w:rPr>
          <w:lang w:val="es-ES"/>
        </w:rPr>
      </w:pPr>
      <w:r w:rsidRPr="000147ED">
        <w:rPr>
          <w:lang w:val="es-ES"/>
        </w:rPr>
        <w:t>4.1</w:t>
      </w:r>
      <w:r w:rsidRPr="000147ED">
        <w:rPr>
          <w:lang w:val="es-ES"/>
        </w:rPr>
        <w:tab/>
        <w:t>Un consejero de Emiratos Árabes Unidos presenta el Documento</w:t>
      </w:r>
      <w:r w:rsidR="00832703">
        <w:rPr>
          <w:lang w:val="es-ES"/>
        </w:rPr>
        <w:t> </w:t>
      </w:r>
      <w:r w:rsidRPr="000147ED">
        <w:rPr>
          <w:lang w:val="es-ES"/>
        </w:rPr>
        <w:t>C26/95(Rev.1), contribución presentada por seis Estados miembros del Consejo de Cooperación del Golfo (CCG) y por Jordania, en la que se invita al Consejo a apoyar la adopción de un proyecto de Resolución. Se propone informar acerca de las consecuencias de los ataques a los servicios e infraestructuras de telecomunicaciones de Bahrein, Kuwait, Emiratos Árabes Unidos y Jordania, evaluar dichas consecuencias y facilitar los adecuados recursos humanos y financieros. La información de antecedentes se presenta en el Documento</w:t>
      </w:r>
      <w:r w:rsidR="00832703">
        <w:rPr>
          <w:lang w:val="es-ES"/>
        </w:rPr>
        <w:t> </w:t>
      </w:r>
      <w:hyperlink r:id="rId17" w:history="1">
        <w:r w:rsidRPr="000147ED">
          <w:rPr>
            <w:rStyle w:val="Hyperlink"/>
            <w:rFonts w:eastAsia="Times New Roman" w:cs="Times New Roman"/>
            <w:szCs w:val="20"/>
            <w:lang w:val="es-ES"/>
          </w:rPr>
          <w:t>C26/INF/24</w:t>
        </w:r>
      </w:hyperlink>
      <w:r w:rsidRPr="000147ED">
        <w:rPr>
          <w:lang w:val="es-ES"/>
        </w:rPr>
        <w:t>.</w:t>
      </w:r>
    </w:p>
    <w:p w14:paraId="3FF055CB" w14:textId="683DAF74" w:rsidR="000147ED" w:rsidRPr="000147ED" w:rsidRDefault="000147ED" w:rsidP="000147ED">
      <w:pPr>
        <w:rPr>
          <w:lang w:val="es-ES"/>
        </w:rPr>
      </w:pPr>
      <w:r w:rsidRPr="000147ED">
        <w:rPr>
          <w:lang w:val="es-ES"/>
        </w:rPr>
        <w:t>4.2</w:t>
      </w:r>
      <w:r w:rsidRPr="000147ED">
        <w:rPr>
          <w:lang w:val="es-ES"/>
        </w:rPr>
        <w:tab/>
        <w:t>Dice ese consejero que, desde febrero de</w:t>
      </w:r>
      <w:r w:rsidR="00137BDC">
        <w:rPr>
          <w:lang w:val="es-ES"/>
        </w:rPr>
        <w:t> </w:t>
      </w:r>
      <w:r w:rsidRPr="000147ED">
        <w:rPr>
          <w:lang w:val="es-ES"/>
        </w:rPr>
        <w:t xml:space="preserve">2026, la República Islámica </w:t>
      </w:r>
      <w:proofErr w:type="spellStart"/>
      <w:r w:rsidRPr="000147ED">
        <w:rPr>
          <w:lang w:val="es-ES"/>
        </w:rPr>
        <w:t>del</w:t>
      </w:r>
      <w:proofErr w:type="spellEnd"/>
      <w:r w:rsidRPr="000147ED">
        <w:rPr>
          <w:lang w:val="es-ES"/>
        </w:rPr>
        <w:t xml:space="preserve"> Irán ha dirigido deliberadamente ataques hacia las infraestructuras civiles de telecomunicaciones y TIC de Bahrein, Jordania, Kuwait y Emiratos Árabes Unidos. Esos ataques, ilegítimos y sin provocación previa, han afectado a la resiliencia y estabilidad de las redes digitales nacionales, regionales y mundiales. Dado que entra dentro del mandato de la</w:t>
      </w:r>
      <w:r w:rsidR="00825E63">
        <w:rPr>
          <w:lang w:val="es-ES"/>
        </w:rPr>
        <w:t> </w:t>
      </w:r>
      <w:r w:rsidRPr="000147ED">
        <w:rPr>
          <w:lang w:val="es-ES"/>
        </w:rPr>
        <w:t>UIT garantizar la protección y resiliencia de las redes de telecomunicaciones civiles, los autores de la contribución invitan al Consejo a responder proporcionadamente a la situación y, mediante la adopción del proyecto de Resolución, encargar a la Secretar</w:t>
      </w:r>
      <w:r w:rsidR="00137BDC">
        <w:rPr>
          <w:lang w:val="es-ES"/>
        </w:rPr>
        <w:t>í</w:t>
      </w:r>
      <w:r w:rsidRPr="000147ED">
        <w:rPr>
          <w:lang w:val="es-ES"/>
        </w:rPr>
        <w:t>a General que lleve a cabo la supervisión, evaluación e información correspondientes.</w:t>
      </w:r>
    </w:p>
    <w:p w14:paraId="02182B89" w14:textId="0B0378E8" w:rsidR="000147ED" w:rsidRPr="000147ED" w:rsidRDefault="000147ED" w:rsidP="000147ED">
      <w:pPr>
        <w:rPr>
          <w:lang w:val="es-ES"/>
        </w:rPr>
      </w:pPr>
      <w:r w:rsidRPr="000147ED">
        <w:rPr>
          <w:lang w:val="es-ES"/>
        </w:rPr>
        <w:t>4.3</w:t>
      </w:r>
      <w:r w:rsidRPr="000147ED">
        <w:rPr>
          <w:lang w:val="es-ES"/>
        </w:rPr>
        <w:tab/>
        <w:t>Los consejeros expresan su preocupación por la destrucción e interrupción declaradas de la infraestructura de telecomunicaciones y TIC en Oriente Medio. Varios consejeros destacan las consecuencias humanitarias, económicas y sociales para la región, mientras que otros ponen el acento en las consecuencias para la soberanía nacional. Algunos consejeros declaran que los ataques violan el derecho humanitario internacional y la Constitución de la</w:t>
      </w:r>
      <w:r w:rsidR="00832703">
        <w:rPr>
          <w:lang w:val="es-ES"/>
        </w:rPr>
        <w:t> </w:t>
      </w:r>
      <w:r w:rsidRPr="000147ED">
        <w:rPr>
          <w:lang w:val="es-ES"/>
        </w:rPr>
        <w:t xml:space="preserve">UIT y piden a todos los Estados el respeto del derecho internacional. Otros subrayan que, al atacar infraestructuras vitales para la seguridad digital mundial, como los cables submarinos, la República Islámica </w:t>
      </w:r>
      <w:proofErr w:type="spellStart"/>
      <w:r w:rsidRPr="000147ED">
        <w:rPr>
          <w:lang w:val="es-ES"/>
        </w:rPr>
        <w:t>del</w:t>
      </w:r>
      <w:proofErr w:type="spellEnd"/>
      <w:r w:rsidRPr="000147ED">
        <w:rPr>
          <w:lang w:val="es-ES"/>
        </w:rPr>
        <w:t xml:space="preserve"> Irán está llevando a cabo un tipo de chantaje digital.</w:t>
      </w:r>
    </w:p>
    <w:p w14:paraId="744AD1A0" w14:textId="633BD313" w:rsidR="000147ED" w:rsidRPr="000147ED" w:rsidRDefault="000147ED" w:rsidP="000147ED">
      <w:pPr>
        <w:rPr>
          <w:lang w:val="es-ES"/>
        </w:rPr>
      </w:pPr>
      <w:r w:rsidRPr="000147ED">
        <w:rPr>
          <w:lang w:val="es-ES"/>
        </w:rPr>
        <w:t>4.4</w:t>
      </w:r>
      <w:r w:rsidRPr="000147ED">
        <w:rPr>
          <w:lang w:val="es-ES"/>
        </w:rPr>
        <w:tab/>
        <w:t xml:space="preserve">Los consejeros piden que cesen los ataques a infraestructuras civiles y uno de ellos insiste en que corresponde a Israel y Estados Unidos, en su calidad de iniciadores del conflicto, poner fin a las hostilidades. Algunos consejeros insisten en que los problemas con </w:t>
      </w:r>
      <w:r w:rsidRPr="000147ED">
        <w:rPr>
          <w:lang w:val="es-ES"/>
        </w:rPr>
        <w:lastRenderedPageBreak/>
        <w:t xml:space="preserve">la República Islámica </w:t>
      </w:r>
      <w:proofErr w:type="spellStart"/>
      <w:r w:rsidRPr="000147ED">
        <w:rPr>
          <w:lang w:val="es-ES"/>
        </w:rPr>
        <w:t>del</w:t>
      </w:r>
      <w:proofErr w:type="spellEnd"/>
      <w:r w:rsidRPr="000147ED">
        <w:rPr>
          <w:lang w:val="es-ES"/>
        </w:rPr>
        <w:t xml:space="preserve"> Irán no pueden resolverse por medios militares, sino mediante la negociación y el diálogo. Un consejero expresa su apoyo a todas las medidas adoptadas por los Estados miembros del</w:t>
      </w:r>
      <w:r w:rsidR="00155333">
        <w:rPr>
          <w:lang w:val="es-ES"/>
        </w:rPr>
        <w:t> </w:t>
      </w:r>
      <w:r w:rsidRPr="000147ED">
        <w:rPr>
          <w:lang w:val="es-ES"/>
        </w:rPr>
        <w:t>CCG y Jordania en respuesta a los ataques a su infraestructura.</w:t>
      </w:r>
    </w:p>
    <w:p w14:paraId="7558E36E" w14:textId="2180D593" w:rsidR="000147ED" w:rsidRPr="000147ED" w:rsidRDefault="000147ED" w:rsidP="000147ED">
      <w:pPr>
        <w:rPr>
          <w:lang w:val="es-ES"/>
        </w:rPr>
      </w:pPr>
      <w:r w:rsidRPr="000147ED">
        <w:rPr>
          <w:lang w:val="es-ES"/>
        </w:rPr>
        <w:t>4.5</w:t>
      </w:r>
      <w:r w:rsidRPr="000147ED">
        <w:rPr>
          <w:lang w:val="es-ES"/>
        </w:rPr>
        <w:tab/>
        <w:t>Varios consejeros se dicen favorables al proyecto de Resolución presentado en la contribución, señalando la importancia de proteger las infraestructuras civiles de telecomunicaciones/TIC y las obligaciones de la</w:t>
      </w:r>
      <w:r w:rsidR="00155333">
        <w:rPr>
          <w:lang w:val="es-ES"/>
        </w:rPr>
        <w:t> </w:t>
      </w:r>
      <w:r w:rsidRPr="000147ED">
        <w:rPr>
          <w:lang w:val="es-ES"/>
        </w:rPr>
        <w:t>UIT en ese sentido. Dos consejeros reiteran que es importante que la</w:t>
      </w:r>
      <w:r w:rsidR="00155333">
        <w:rPr>
          <w:lang w:val="es-ES"/>
        </w:rPr>
        <w:t> </w:t>
      </w:r>
      <w:r w:rsidRPr="000147ED">
        <w:rPr>
          <w:lang w:val="es-ES"/>
        </w:rPr>
        <w:t>UIT se posicione firmemente sobre el asunto para evitar sentar un peligroso precedente.</w:t>
      </w:r>
    </w:p>
    <w:p w14:paraId="6E19F0EA" w14:textId="5E295E76" w:rsidR="000147ED" w:rsidRPr="000147ED" w:rsidRDefault="000147ED" w:rsidP="000147ED">
      <w:pPr>
        <w:rPr>
          <w:lang w:val="es-ES"/>
        </w:rPr>
      </w:pPr>
      <w:r w:rsidRPr="000147ED">
        <w:rPr>
          <w:lang w:val="es-ES"/>
        </w:rPr>
        <w:t>4.6</w:t>
      </w:r>
      <w:r w:rsidRPr="000147ED">
        <w:rPr>
          <w:lang w:val="es-ES"/>
        </w:rPr>
        <w:tab/>
        <w:t xml:space="preserve">Varios consejeros consideran que es necesario un examen más detenido de los proyectos de Resolución presentados por Emiratos Árabes Unidos y por la </w:t>
      </w:r>
      <w:r w:rsidR="00155333" w:rsidRPr="000147ED">
        <w:rPr>
          <w:lang w:val="es-ES"/>
        </w:rPr>
        <w:t>República</w:t>
      </w:r>
      <w:r w:rsidRPr="000147ED">
        <w:rPr>
          <w:lang w:val="es-ES"/>
        </w:rPr>
        <w:t xml:space="preserve"> Islámica </w:t>
      </w:r>
      <w:proofErr w:type="spellStart"/>
      <w:r w:rsidRPr="000147ED">
        <w:rPr>
          <w:lang w:val="es-ES"/>
        </w:rPr>
        <w:t>de</w:t>
      </w:r>
      <w:r w:rsidR="00832703">
        <w:rPr>
          <w:lang w:val="es-ES"/>
        </w:rPr>
        <w:t>l</w:t>
      </w:r>
      <w:proofErr w:type="spellEnd"/>
      <w:r w:rsidRPr="000147ED">
        <w:rPr>
          <w:lang w:val="es-ES"/>
        </w:rPr>
        <w:t xml:space="preserve"> Irán en su contribución (Documento</w:t>
      </w:r>
      <w:r w:rsidR="00832703">
        <w:rPr>
          <w:lang w:val="es-ES"/>
        </w:rPr>
        <w:t> </w:t>
      </w:r>
      <w:r w:rsidRPr="000147ED">
        <w:rPr>
          <w:lang w:val="es-ES"/>
        </w:rPr>
        <w:t>C26/86) para elaborar un texto más equilibrado y objetivo que respete la naturaleza técnica del mandato de la Unión.</w:t>
      </w:r>
    </w:p>
    <w:p w14:paraId="743C27E2" w14:textId="21F8CF6E" w:rsidR="000147ED" w:rsidRPr="000147ED" w:rsidRDefault="000147ED" w:rsidP="000147ED">
      <w:pPr>
        <w:rPr>
          <w:lang w:val="es-ES"/>
        </w:rPr>
      </w:pPr>
      <w:r w:rsidRPr="000147ED">
        <w:rPr>
          <w:lang w:val="es-ES"/>
        </w:rPr>
        <w:t>4.7</w:t>
      </w:r>
      <w:r w:rsidRPr="000147ED">
        <w:rPr>
          <w:lang w:val="es-ES"/>
        </w:rPr>
        <w:tab/>
        <w:t>Diversos consejeros instan a la</w:t>
      </w:r>
      <w:r w:rsidR="00155333">
        <w:rPr>
          <w:lang w:val="es-ES"/>
        </w:rPr>
        <w:t> </w:t>
      </w:r>
      <w:r w:rsidRPr="000147ED">
        <w:rPr>
          <w:lang w:val="es-ES"/>
        </w:rPr>
        <w:t xml:space="preserve">UIT a aprovechar la oportunidad que </w:t>
      </w:r>
      <w:r w:rsidR="004620B5">
        <w:rPr>
          <w:lang w:val="es-ES"/>
        </w:rPr>
        <w:t>re</w:t>
      </w:r>
      <w:r w:rsidRPr="000147ED">
        <w:rPr>
          <w:lang w:val="es-ES"/>
        </w:rPr>
        <w:t>presenta</w:t>
      </w:r>
      <w:r w:rsidR="004620B5">
        <w:rPr>
          <w:lang w:val="es-ES"/>
        </w:rPr>
        <w:t>n</w:t>
      </w:r>
      <w:r w:rsidRPr="000147ED">
        <w:rPr>
          <w:lang w:val="es-ES"/>
        </w:rPr>
        <w:t xml:space="preserve"> los proyectos de Resolución </w:t>
      </w:r>
      <w:r w:rsidR="004620B5">
        <w:rPr>
          <w:lang w:val="es-ES"/>
        </w:rPr>
        <w:t xml:space="preserve">propuestos </w:t>
      </w:r>
      <w:r w:rsidRPr="000147ED">
        <w:rPr>
          <w:lang w:val="es-ES"/>
        </w:rPr>
        <w:t>para emitir una declaración sobre la naturaleza crítica de la infraestructura de telecomunicaciones y la necesidad de protegerla en caso de conflicto al mismo nivel que otras infraestructuras, como los hospitales y las escuelas, que dependen de la infraestructura de telecomunicaciones para funcionar.</w:t>
      </w:r>
    </w:p>
    <w:p w14:paraId="42D2F214" w14:textId="5EDBFF6E" w:rsidR="000147ED" w:rsidRPr="000147ED" w:rsidRDefault="000147ED" w:rsidP="000147ED">
      <w:pPr>
        <w:rPr>
          <w:lang w:val="es-ES"/>
        </w:rPr>
      </w:pPr>
      <w:r w:rsidRPr="000147ED">
        <w:rPr>
          <w:lang w:val="es-ES"/>
        </w:rPr>
        <w:t>4.8</w:t>
      </w:r>
      <w:r w:rsidRPr="000147ED">
        <w:rPr>
          <w:lang w:val="es-ES"/>
        </w:rPr>
        <w:tab/>
        <w:t>Un consejero de Emiratos Árabes Unidos insiste en que la contribución presentada y el proyecto de Resolución conexo no tienen repercusiones financieras para la</w:t>
      </w:r>
      <w:r w:rsidR="00155333">
        <w:rPr>
          <w:lang w:val="es-ES"/>
        </w:rPr>
        <w:t> </w:t>
      </w:r>
      <w:r w:rsidRPr="000147ED">
        <w:rPr>
          <w:lang w:val="es-ES"/>
        </w:rPr>
        <w:t>UIT. Dada la excepcionalidad del caso, donde están siendo atacados Estados que no participan en el conflicto, insta al Consejo a considerar debidamente la contribución presentada con independencia de cualquier otra contribución.</w:t>
      </w:r>
    </w:p>
    <w:p w14:paraId="319DAF2D" w14:textId="1B68ABA0" w:rsidR="000147ED" w:rsidRPr="000147ED" w:rsidRDefault="000147ED" w:rsidP="000147ED">
      <w:pPr>
        <w:rPr>
          <w:lang w:val="es-ES"/>
        </w:rPr>
      </w:pPr>
      <w:r w:rsidRPr="000147ED">
        <w:rPr>
          <w:lang w:val="es-ES"/>
        </w:rPr>
        <w:t>4.9</w:t>
      </w:r>
      <w:r w:rsidRPr="000147ED">
        <w:rPr>
          <w:lang w:val="es-ES"/>
        </w:rPr>
        <w:tab/>
        <w:t xml:space="preserve">El Presidente propone que se celebren consultas oficiosas sobre </w:t>
      </w:r>
      <w:r w:rsidR="004620B5">
        <w:rPr>
          <w:lang w:val="es-ES"/>
        </w:rPr>
        <w:t>e</w:t>
      </w:r>
      <w:r w:rsidRPr="000147ED">
        <w:rPr>
          <w:lang w:val="es-ES"/>
        </w:rPr>
        <w:t>l proyecto de Resolución y que el Consejo reanude el examen de este punto con posterioridad.</w:t>
      </w:r>
    </w:p>
    <w:p w14:paraId="095616E3" w14:textId="77777777" w:rsidR="000147ED" w:rsidRPr="000147ED" w:rsidRDefault="000147ED" w:rsidP="000147ED">
      <w:pPr>
        <w:rPr>
          <w:lang w:val="es-ES"/>
        </w:rPr>
      </w:pPr>
      <w:r w:rsidRPr="000147ED">
        <w:rPr>
          <w:lang w:val="es-ES"/>
        </w:rPr>
        <w:t>4.10</w:t>
      </w:r>
      <w:r w:rsidRPr="000147ED">
        <w:rPr>
          <w:lang w:val="es-ES"/>
        </w:rPr>
        <w:tab/>
        <w:t xml:space="preserve">Así se </w:t>
      </w:r>
      <w:r w:rsidRPr="000147ED">
        <w:rPr>
          <w:b/>
          <w:bCs/>
          <w:lang w:val="es-ES"/>
        </w:rPr>
        <w:t>acuerda</w:t>
      </w:r>
      <w:r w:rsidRPr="000147ED">
        <w:rPr>
          <w:lang w:val="es-ES"/>
        </w:rPr>
        <w:t>.</w:t>
      </w:r>
    </w:p>
    <w:p w14:paraId="46B8A528" w14:textId="77777777" w:rsidR="000147ED" w:rsidRPr="000147ED" w:rsidRDefault="000147ED" w:rsidP="000147ED">
      <w:pPr>
        <w:pStyle w:val="Heading1"/>
        <w:rPr>
          <w:lang w:val="es-ES"/>
        </w:rPr>
      </w:pPr>
      <w:r w:rsidRPr="000147ED">
        <w:rPr>
          <w:lang w:val="es-ES"/>
        </w:rPr>
        <w:t>5</w:t>
      </w:r>
      <w:r w:rsidRPr="000147ED">
        <w:rPr>
          <w:lang w:val="es-ES"/>
        </w:rPr>
        <w:tab/>
        <w:t>Declaraciones de los consejeros</w:t>
      </w:r>
    </w:p>
    <w:p w14:paraId="34A4CD31" w14:textId="38E2F85A" w:rsidR="000147ED" w:rsidRPr="000147ED" w:rsidRDefault="000147ED" w:rsidP="000147ED">
      <w:pPr>
        <w:rPr>
          <w:lang w:val="es-ES"/>
        </w:rPr>
      </w:pPr>
      <w:r w:rsidRPr="000147ED">
        <w:rPr>
          <w:lang w:val="es-ES"/>
        </w:rPr>
        <w:t>5.1</w:t>
      </w:r>
      <w:r w:rsidRPr="000147ED">
        <w:rPr>
          <w:lang w:val="es-ES"/>
        </w:rPr>
        <w:tab/>
        <w:t>El consejero de Rwanda anuncia la candidatura de su país a la reelección al Consejo.</w:t>
      </w:r>
    </w:p>
    <w:p w14:paraId="64C9E3E3" w14:textId="10C346CD" w:rsidR="000147ED" w:rsidRPr="00BA60CA" w:rsidRDefault="000147ED" w:rsidP="00832703">
      <w:pPr>
        <w:tabs>
          <w:tab w:val="clear" w:pos="2268"/>
          <w:tab w:val="clear" w:pos="2835"/>
          <w:tab w:val="left" w:pos="6237"/>
        </w:tabs>
        <w:spacing w:before="840"/>
        <w:rPr>
          <w:lang w:val="es-ES"/>
        </w:rPr>
      </w:pPr>
      <w:r w:rsidRPr="000147ED">
        <w:rPr>
          <w:lang w:val="es-ES"/>
        </w:rPr>
        <w:t>La Secretaria General:</w:t>
      </w:r>
      <w:r w:rsidRPr="000147ED">
        <w:rPr>
          <w:lang w:val="es-ES"/>
        </w:rPr>
        <w:tab/>
        <w:t>El Presidente:</w:t>
      </w:r>
      <w:r w:rsidR="00832703">
        <w:rPr>
          <w:lang w:val="es-ES"/>
        </w:rPr>
        <w:br/>
      </w:r>
      <w:r w:rsidRPr="00BA60CA">
        <w:rPr>
          <w:lang w:val="es-ES"/>
        </w:rPr>
        <w:t>D. BOGDAN-MARTIN</w:t>
      </w:r>
      <w:r w:rsidRPr="00BA60CA">
        <w:rPr>
          <w:lang w:val="es-ES"/>
        </w:rPr>
        <w:tab/>
        <w:t>B. TIJANI</w:t>
      </w:r>
    </w:p>
    <w:sectPr w:rsidR="000147ED" w:rsidRPr="00BA60CA" w:rsidSect="00C538FC">
      <w:headerReference w:type="even" r:id="rId18"/>
      <w:headerReference w:type="default" r:id="rId19"/>
      <w:footerReference w:type="even" r:id="rId20"/>
      <w:footerReference w:type="default" r:id="rId21"/>
      <w:headerReference w:type="first" r:id="rId22"/>
      <w:footerReference w:type="first" r:id="rId23"/>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6B0FE" w14:textId="77777777" w:rsidR="00802479" w:rsidRDefault="00802479">
      <w:r>
        <w:separator/>
      </w:r>
    </w:p>
  </w:endnote>
  <w:endnote w:type="continuationSeparator" w:id="0">
    <w:p w14:paraId="084AFDC7" w14:textId="77777777" w:rsidR="00802479" w:rsidRDefault="0080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B3C8" w14:textId="77777777" w:rsidR="00673AD0" w:rsidRDefault="00673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0555E03" w14:textId="77777777" w:rsidTr="00E31DCE">
      <w:trPr>
        <w:jc w:val="center"/>
      </w:trPr>
      <w:tc>
        <w:tcPr>
          <w:tcW w:w="1803" w:type="dxa"/>
          <w:vAlign w:val="center"/>
        </w:tcPr>
        <w:p w14:paraId="0F678F2F" w14:textId="0E71A425" w:rsidR="003273A4" w:rsidRDefault="00832703" w:rsidP="003273A4">
          <w:pPr>
            <w:pStyle w:val="Header"/>
            <w:jc w:val="left"/>
            <w:rPr>
              <w:noProof/>
            </w:rPr>
          </w:pPr>
          <w:r>
            <w:rPr>
              <w:noProof/>
            </w:rPr>
            <w:t>2601338</w:t>
          </w:r>
        </w:p>
      </w:tc>
      <w:tc>
        <w:tcPr>
          <w:tcW w:w="8261" w:type="dxa"/>
        </w:tcPr>
        <w:p w14:paraId="12ECC52F" w14:textId="2B7C26ED"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832703">
            <w:rPr>
              <w:bCs/>
            </w:rPr>
            <w:t>118</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06046CF0" w14:textId="77777777" w:rsidR="00760F1C" w:rsidRPr="003273A4" w:rsidRDefault="00760F1C" w:rsidP="003273A4">
    <w:pPr>
      <w:pStyle w:val="Foo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4A19E555" w14:textId="77777777" w:rsidTr="00E31DCE">
      <w:trPr>
        <w:jc w:val="center"/>
      </w:trPr>
      <w:tc>
        <w:tcPr>
          <w:tcW w:w="1803" w:type="dxa"/>
          <w:vAlign w:val="center"/>
        </w:tcPr>
        <w:p w14:paraId="66B3775A" w14:textId="24177F7A"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0DF6A4B8" w14:textId="1E079623"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673AD0">
            <w:rPr>
              <w:bCs/>
            </w:rPr>
            <w:t>118</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E7FDA73"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2845B" w14:textId="77777777" w:rsidR="00802479" w:rsidRDefault="00802479">
      <w:r>
        <w:t>____________________</w:t>
      </w:r>
    </w:p>
  </w:footnote>
  <w:footnote w:type="continuationSeparator" w:id="0">
    <w:p w14:paraId="64A8379A" w14:textId="77777777" w:rsidR="00802479" w:rsidRDefault="00802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17FA" w14:textId="77777777" w:rsidR="00673AD0" w:rsidRDefault="00673A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A052" w14:textId="77777777" w:rsidR="00673AD0" w:rsidRDefault="00673A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687D" w14:textId="77777777" w:rsidR="001559F5" w:rsidRPr="00B1560D" w:rsidRDefault="00B1560D" w:rsidP="00B1560D">
    <w:pPr>
      <w:pStyle w:val="Header"/>
    </w:pPr>
    <w:r>
      <w:rPr>
        <w:noProof/>
      </w:rPr>
      <w:drawing>
        <wp:inline distT="0" distB="0" distL="0" distR="0" wp14:anchorId="77E234E2" wp14:editId="3C13B62B">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0"/>
    <w:rsid w:val="000007D1"/>
    <w:rsid w:val="000147ED"/>
    <w:rsid w:val="0006007D"/>
    <w:rsid w:val="00084123"/>
    <w:rsid w:val="00093EEB"/>
    <w:rsid w:val="000B0D00"/>
    <w:rsid w:val="000B7C15"/>
    <w:rsid w:val="000D1D0F"/>
    <w:rsid w:val="000E3F07"/>
    <w:rsid w:val="000F5290"/>
    <w:rsid w:val="000F5A95"/>
    <w:rsid w:val="0010165C"/>
    <w:rsid w:val="00124F9C"/>
    <w:rsid w:val="00137BDC"/>
    <w:rsid w:val="00146BFB"/>
    <w:rsid w:val="00155333"/>
    <w:rsid w:val="001559F5"/>
    <w:rsid w:val="00157AC4"/>
    <w:rsid w:val="0016169C"/>
    <w:rsid w:val="00166D5F"/>
    <w:rsid w:val="001958F5"/>
    <w:rsid w:val="001B6E2B"/>
    <w:rsid w:val="001F14A2"/>
    <w:rsid w:val="0020641D"/>
    <w:rsid w:val="00277DEA"/>
    <w:rsid w:val="002801AA"/>
    <w:rsid w:val="00284072"/>
    <w:rsid w:val="002946E2"/>
    <w:rsid w:val="002A33C1"/>
    <w:rsid w:val="002C3F32"/>
    <w:rsid w:val="002C4676"/>
    <w:rsid w:val="002C70B0"/>
    <w:rsid w:val="002F3CC4"/>
    <w:rsid w:val="003032E2"/>
    <w:rsid w:val="0031300A"/>
    <w:rsid w:val="003273A4"/>
    <w:rsid w:val="0034796E"/>
    <w:rsid w:val="003C3B9A"/>
    <w:rsid w:val="004571B0"/>
    <w:rsid w:val="004620B5"/>
    <w:rsid w:val="00465C35"/>
    <w:rsid w:val="00473962"/>
    <w:rsid w:val="004B5D49"/>
    <w:rsid w:val="004D3A3C"/>
    <w:rsid w:val="00513630"/>
    <w:rsid w:val="00517345"/>
    <w:rsid w:val="00560125"/>
    <w:rsid w:val="0057546C"/>
    <w:rsid w:val="00585553"/>
    <w:rsid w:val="005B2434"/>
    <w:rsid w:val="005B34D9"/>
    <w:rsid w:val="005D0CCF"/>
    <w:rsid w:val="005E3F36"/>
    <w:rsid w:val="005F0915"/>
    <w:rsid w:val="005F3BCB"/>
    <w:rsid w:val="005F410F"/>
    <w:rsid w:val="0060149A"/>
    <w:rsid w:val="00601924"/>
    <w:rsid w:val="00626AF7"/>
    <w:rsid w:val="006447EA"/>
    <w:rsid w:val="0064481D"/>
    <w:rsid w:val="0064731F"/>
    <w:rsid w:val="00664572"/>
    <w:rsid w:val="00666D09"/>
    <w:rsid w:val="00670579"/>
    <w:rsid w:val="006710F6"/>
    <w:rsid w:val="00673AD0"/>
    <w:rsid w:val="00677A97"/>
    <w:rsid w:val="006C1B56"/>
    <w:rsid w:val="006D4761"/>
    <w:rsid w:val="007251E8"/>
    <w:rsid w:val="00726872"/>
    <w:rsid w:val="00760F1C"/>
    <w:rsid w:val="007657F0"/>
    <w:rsid w:val="00770770"/>
    <w:rsid w:val="0077110E"/>
    <w:rsid w:val="0077252D"/>
    <w:rsid w:val="007955DA"/>
    <w:rsid w:val="007E5DD3"/>
    <w:rsid w:val="007F350B"/>
    <w:rsid w:val="00802479"/>
    <w:rsid w:val="00820BE4"/>
    <w:rsid w:val="00825E63"/>
    <w:rsid w:val="00832703"/>
    <w:rsid w:val="008451E8"/>
    <w:rsid w:val="0084546D"/>
    <w:rsid w:val="008F6ABC"/>
    <w:rsid w:val="00913B9C"/>
    <w:rsid w:val="00927F93"/>
    <w:rsid w:val="00956E77"/>
    <w:rsid w:val="009A338E"/>
    <w:rsid w:val="009A76A8"/>
    <w:rsid w:val="009F4811"/>
    <w:rsid w:val="00A01F4F"/>
    <w:rsid w:val="00A04080"/>
    <w:rsid w:val="00A109AF"/>
    <w:rsid w:val="00A94438"/>
    <w:rsid w:val="00AA390C"/>
    <w:rsid w:val="00AD4B91"/>
    <w:rsid w:val="00AD5A4D"/>
    <w:rsid w:val="00AF0EAC"/>
    <w:rsid w:val="00B0200A"/>
    <w:rsid w:val="00B060DF"/>
    <w:rsid w:val="00B12533"/>
    <w:rsid w:val="00B1560D"/>
    <w:rsid w:val="00B574DB"/>
    <w:rsid w:val="00B826C2"/>
    <w:rsid w:val="00B8298E"/>
    <w:rsid w:val="00BA60CA"/>
    <w:rsid w:val="00BB6FD8"/>
    <w:rsid w:val="00BD0723"/>
    <w:rsid w:val="00BD2518"/>
    <w:rsid w:val="00BF1D1C"/>
    <w:rsid w:val="00C20C59"/>
    <w:rsid w:val="00C2727F"/>
    <w:rsid w:val="00C4421B"/>
    <w:rsid w:val="00C538FC"/>
    <w:rsid w:val="00C55B1F"/>
    <w:rsid w:val="00C74BEC"/>
    <w:rsid w:val="00CC1FAF"/>
    <w:rsid w:val="00CF1A67"/>
    <w:rsid w:val="00D2750E"/>
    <w:rsid w:val="00D375E0"/>
    <w:rsid w:val="00D50A36"/>
    <w:rsid w:val="00D62446"/>
    <w:rsid w:val="00DA4EA2"/>
    <w:rsid w:val="00DC3D3E"/>
    <w:rsid w:val="00DE2C90"/>
    <w:rsid w:val="00DE3B24"/>
    <w:rsid w:val="00DE7376"/>
    <w:rsid w:val="00E06947"/>
    <w:rsid w:val="00E11319"/>
    <w:rsid w:val="00E21444"/>
    <w:rsid w:val="00E34072"/>
    <w:rsid w:val="00E3592D"/>
    <w:rsid w:val="00E50D76"/>
    <w:rsid w:val="00E8018B"/>
    <w:rsid w:val="00E92DE8"/>
    <w:rsid w:val="00EB1212"/>
    <w:rsid w:val="00ED65AB"/>
    <w:rsid w:val="00F12850"/>
    <w:rsid w:val="00F24B71"/>
    <w:rsid w:val="00F33BF4"/>
    <w:rsid w:val="00F622C7"/>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18FB3"/>
  <w15:docId w15:val="{1F5B70C9-BADA-4E08-A3C6-F8237D44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5E3F36"/>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26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55/es" TargetMode="External"/><Relationship Id="rId13" Type="http://schemas.openxmlformats.org/officeDocument/2006/relationships/hyperlink" Target="https://www.itu.int/md/S26-CL-C-0055/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itu.int/md/S26-CL-C-0028/es" TargetMode="External"/><Relationship Id="rId12" Type="http://schemas.openxmlformats.org/officeDocument/2006/relationships/hyperlink" Target="https://www.itu.int/md/S26-CL-C-0028/es" TargetMode="External"/><Relationship Id="rId17" Type="http://schemas.openxmlformats.org/officeDocument/2006/relationships/hyperlink" Target="https://www.itu.int/md/S26-CL-INF-0024/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tu.int/md/S26-CL-C-0095/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md/S26-CL-C-0095/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tu.int/md/S26-CL-C-0035/es" TargetMode="External"/><Relationship Id="rId23" Type="http://schemas.openxmlformats.org/officeDocument/2006/relationships/footer" Target="footer3.xml"/><Relationship Id="rId10" Type="http://schemas.openxmlformats.org/officeDocument/2006/relationships/hyperlink" Target="https://www.itu.int/md/S26-CL-C-0035/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itu.int/md/S26-CL-C-0082/es" TargetMode="External"/><Relationship Id="rId14" Type="http://schemas.openxmlformats.org/officeDocument/2006/relationships/hyperlink" Target="https://www.itu.int/md/S26-CL-C-0082/es"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B289-2409-48B1-88FF-B82D6C16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3973</Words>
  <Characters>21576</Characters>
  <Application>Microsoft Office Word</Application>
  <DocSecurity>0</DocSecurity>
  <Lines>308</Lines>
  <Paragraphs>106</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25443</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 los debates de la primera Sesión Plenaria</dc:title>
  <dc:subject>Consejo 2026 de la UIT</dc:subject>
  <dc:creator>Spanish83</dc:creator>
  <cp:keywords>C26; C2026; Council 2026; PP26</cp:keywords>
  <dc:description/>
  <cp:lastModifiedBy>ITUGBS</cp:lastModifiedBy>
  <cp:revision>2</cp:revision>
  <cp:lastPrinted>2006-03-24T09:51:00Z</cp:lastPrinted>
  <dcterms:created xsi:type="dcterms:W3CDTF">2026-09-14T08:34:00Z</dcterms:created>
  <dcterms:modified xsi:type="dcterms:W3CDTF">2026-09-14T08:34:00Z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