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504"/>
        <w:gridCol w:w="3465"/>
        <w:gridCol w:w="3632"/>
        <w:gridCol w:w="1613"/>
      </w:tblGrid>
      <w:tr w:rsidR="00D72F49" w:rsidRPr="00703986" w14:paraId="727B60E7" w14:textId="77777777" w:rsidTr="00796BDB">
        <w:trPr>
          <w:cantSplit/>
          <w:trHeight w:val="23"/>
        </w:trPr>
        <w:tc>
          <w:tcPr>
            <w:tcW w:w="3969" w:type="dxa"/>
            <w:gridSpan w:val="2"/>
            <w:vMerge w:val="restart"/>
            <w:tcMar>
              <w:left w:w="0" w:type="dxa"/>
            </w:tcMar>
          </w:tcPr>
          <w:p w14:paraId="60F6AAF6" w14:textId="0ED37A82" w:rsidR="00D72F49" w:rsidRPr="00703986" w:rsidRDefault="00D72F49" w:rsidP="00796BDB">
            <w:pPr>
              <w:tabs>
                <w:tab w:val="left" w:pos="851"/>
              </w:tabs>
              <w:spacing w:before="0" w:line="240" w:lineRule="atLeast"/>
              <w:rPr>
                <w:b/>
              </w:rPr>
            </w:pPr>
          </w:p>
        </w:tc>
        <w:tc>
          <w:tcPr>
            <w:tcW w:w="5245" w:type="dxa"/>
            <w:gridSpan w:val="2"/>
          </w:tcPr>
          <w:p w14:paraId="7209868A" w14:textId="587B10C6" w:rsidR="00D72F49" w:rsidRPr="00703986" w:rsidRDefault="00D72F49" w:rsidP="00796BDB">
            <w:pPr>
              <w:tabs>
                <w:tab w:val="left" w:pos="851"/>
              </w:tabs>
              <w:spacing w:before="0" w:line="240" w:lineRule="atLeast"/>
              <w:jc w:val="right"/>
              <w:rPr>
                <w:b/>
              </w:rPr>
            </w:pPr>
            <w:r w:rsidRPr="00703986">
              <w:rPr>
                <w:b/>
              </w:rPr>
              <w:t>Document C2</w:t>
            </w:r>
            <w:r w:rsidR="00E4448E" w:rsidRPr="00703986">
              <w:rPr>
                <w:b/>
              </w:rPr>
              <w:t>6</w:t>
            </w:r>
            <w:r w:rsidRPr="00703986">
              <w:rPr>
                <w:b/>
              </w:rPr>
              <w:t>/</w:t>
            </w:r>
            <w:r w:rsidR="00A90D00" w:rsidRPr="00703986">
              <w:rPr>
                <w:b/>
              </w:rPr>
              <w:t>118</w:t>
            </w:r>
            <w:r w:rsidRPr="00703986">
              <w:rPr>
                <w:b/>
              </w:rPr>
              <w:t>-F</w:t>
            </w:r>
          </w:p>
        </w:tc>
      </w:tr>
      <w:tr w:rsidR="00D72F49" w:rsidRPr="00703986" w14:paraId="5ECD3585" w14:textId="77777777" w:rsidTr="00796BDB">
        <w:trPr>
          <w:cantSplit/>
        </w:trPr>
        <w:tc>
          <w:tcPr>
            <w:tcW w:w="3969" w:type="dxa"/>
            <w:gridSpan w:val="2"/>
            <w:vMerge/>
          </w:tcPr>
          <w:p w14:paraId="02417907" w14:textId="77777777" w:rsidR="00D72F49" w:rsidRPr="00703986" w:rsidRDefault="00D72F49" w:rsidP="00796BDB">
            <w:pPr>
              <w:tabs>
                <w:tab w:val="left" w:pos="851"/>
              </w:tabs>
              <w:spacing w:line="240" w:lineRule="atLeast"/>
              <w:rPr>
                <w:b/>
              </w:rPr>
            </w:pPr>
          </w:p>
        </w:tc>
        <w:tc>
          <w:tcPr>
            <w:tcW w:w="5245" w:type="dxa"/>
            <w:gridSpan w:val="2"/>
          </w:tcPr>
          <w:p w14:paraId="24CCC5CE" w14:textId="59938ECB" w:rsidR="00D72F49" w:rsidRPr="00703986" w:rsidRDefault="00EA1B82" w:rsidP="00796BDB">
            <w:pPr>
              <w:tabs>
                <w:tab w:val="left" w:pos="851"/>
              </w:tabs>
              <w:spacing w:before="0"/>
              <w:jc w:val="right"/>
              <w:rPr>
                <w:b/>
              </w:rPr>
            </w:pPr>
            <w:r w:rsidRPr="00703986">
              <w:rPr>
                <w:b/>
              </w:rPr>
              <w:t>2 septembre</w:t>
            </w:r>
            <w:r w:rsidR="00A90D00" w:rsidRPr="00703986">
              <w:rPr>
                <w:b/>
              </w:rPr>
              <w:t xml:space="preserve"> 2026</w:t>
            </w:r>
          </w:p>
        </w:tc>
      </w:tr>
      <w:tr w:rsidR="00D72F49" w:rsidRPr="00703986" w14:paraId="2E9689DF" w14:textId="77777777" w:rsidTr="00796BDB">
        <w:trPr>
          <w:cantSplit/>
          <w:trHeight w:val="23"/>
        </w:trPr>
        <w:tc>
          <w:tcPr>
            <w:tcW w:w="3969" w:type="dxa"/>
            <w:gridSpan w:val="2"/>
            <w:vMerge/>
          </w:tcPr>
          <w:p w14:paraId="018B1D51" w14:textId="77777777" w:rsidR="00D72F49" w:rsidRPr="00703986" w:rsidRDefault="00D72F49" w:rsidP="00796BDB">
            <w:pPr>
              <w:tabs>
                <w:tab w:val="left" w:pos="851"/>
              </w:tabs>
              <w:spacing w:line="240" w:lineRule="atLeast"/>
              <w:rPr>
                <w:b/>
              </w:rPr>
            </w:pPr>
          </w:p>
        </w:tc>
        <w:tc>
          <w:tcPr>
            <w:tcW w:w="5245" w:type="dxa"/>
            <w:gridSpan w:val="2"/>
          </w:tcPr>
          <w:p w14:paraId="50F0526A" w14:textId="77777777" w:rsidR="00D72F49" w:rsidRPr="00703986" w:rsidRDefault="00D72F49" w:rsidP="00796BDB">
            <w:pPr>
              <w:tabs>
                <w:tab w:val="left" w:pos="851"/>
              </w:tabs>
              <w:spacing w:before="0" w:line="240" w:lineRule="atLeast"/>
              <w:jc w:val="right"/>
              <w:rPr>
                <w:b/>
              </w:rPr>
            </w:pPr>
            <w:r w:rsidRPr="00703986">
              <w:rPr>
                <w:b/>
              </w:rPr>
              <w:t>Original: anglais</w:t>
            </w:r>
          </w:p>
        </w:tc>
      </w:tr>
      <w:tr w:rsidR="00D72F49" w:rsidRPr="00703986" w14:paraId="42866624" w14:textId="77777777" w:rsidTr="00796BDB">
        <w:trPr>
          <w:cantSplit/>
          <w:trHeight w:val="23"/>
        </w:trPr>
        <w:tc>
          <w:tcPr>
            <w:tcW w:w="3969" w:type="dxa"/>
            <w:gridSpan w:val="2"/>
          </w:tcPr>
          <w:p w14:paraId="6033FB63" w14:textId="77777777" w:rsidR="00D72F49" w:rsidRPr="00703986" w:rsidRDefault="00D72F49" w:rsidP="00796BDB">
            <w:pPr>
              <w:tabs>
                <w:tab w:val="left" w:pos="851"/>
              </w:tabs>
              <w:spacing w:line="240" w:lineRule="atLeast"/>
              <w:rPr>
                <w:b/>
              </w:rPr>
            </w:pPr>
          </w:p>
        </w:tc>
        <w:tc>
          <w:tcPr>
            <w:tcW w:w="5245" w:type="dxa"/>
            <w:gridSpan w:val="2"/>
          </w:tcPr>
          <w:p w14:paraId="453FFAD4" w14:textId="77777777" w:rsidR="00D72F49" w:rsidRPr="00703986" w:rsidRDefault="00D72F49" w:rsidP="00796BDB">
            <w:pPr>
              <w:tabs>
                <w:tab w:val="left" w:pos="851"/>
              </w:tabs>
              <w:spacing w:before="0" w:line="240" w:lineRule="atLeast"/>
              <w:jc w:val="right"/>
              <w:rPr>
                <w:b/>
              </w:rPr>
            </w:pPr>
          </w:p>
        </w:tc>
      </w:tr>
      <w:tr w:rsidR="00D72F49" w:rsidRPr="00703986" w14:paraId="33C4B176" w14:textId="77777777" w:rsidTr="00796BDB">
        <w:trPr>
          <w:cantSplit/>
        </w:trPr>
        <w:tc>
          <w:tcPr>
            <w:tcW w:w="9214" w:type="dxa"/>
            <w:gridSpan w:val="4"/>
            <w:tcMar>
              <w:left w:w="0" w:type="dxa"/>
            </w:tcMar>
          </w:tcPr>
          <w:p w14:paraId="390945BA" w14:textId="063C9CEA" w:rsidR="00D72F49" w:rsidRPr="00703986" w:rsidRDefault="00A90D00" w:rsidP="00341A4A">
            <w:pPr>
              <w:pStyle w:val="Source"/>
              <w:spacing w:after="240"/>
              <w:rPr>
                <w:sz w:val="34"/>
                <w:szCs w:val="34"/>
              </w:rPr>
            </w:pPr>
            <w:r w:rsidRPr="00703986">
              <w:rPr>
                <w:rFonts w:cstheme="minorHAnsi"/>
                <w:color w:val="000000"/>
                <w:sz w:val="34"/>
                <w:szCs w:val="34"/>
              </w:rPr>
              <w:t>COMPTE RENDU</w:t>
            </w:r>
            <w:r w:rsidR="00341A4A" w:rsidRPr="00703986">
              <w:rPr>
                <w:rFonts w:cstheme="minorHAnsi"/>
                <w:color w:val="000000"/>
                <w:sz w:val="34"/>
                <w:szCs w:val="34"/>
              </w:rPr>
              <w:br/>
            </w:r>
            <w:r w:rsidRPr="00703986">
              <w:rPr>
                <w:rFonts w:cstheme="minorHAnsi"/>
                <w:color w:val="000000"/>
                <w:sz w:val="34"/>
                <w:szCs w:val="34"/>
              </w:rPr>
              <w:br/>
              <w:t>DE LA</w:t>
            </w:r>
            <w:r w:rsidR="00341A4A" w:rsidRPr="00703986">
              <w:rPr>
                <w:rFonts w:cstheme="minorHAnsi"/>
                <w:color w:val="000000"/>
                <w:sz w:val="34"/>
                <w:szCs w:val="34"/>
              </w:rPr>
              <w:br/>
            </w:r>
            <w:r w:rsidRPr="00703986">
              <w:rPr>
                <w:rFonts w:cstheme="minorHAnsi"/>
                <w:color w:val="000000"/>
                <w:sz w:val="34"/>
                <w:szCs w:val="34"/>
              </w:rPr>
              <w:br/>
              <w:t>PREMIÈRE SÉANCE PLÉNIÈRE</w:t>
            </w:r>
          </w:p>
        </w:tc>
      </w:tr>
      <w:tr w:rsidR="00D72F49" w:rsidRPr="00703986" w14:paraId="648640B9" w14:textId="77777777" w:rsidTr="00341A4A">
        <w:trPr>
          <w:cantSplit/>
        </w:trPr>
        <w:tc>
          <w:tcPr>
            <w:tcW w:w="9214" w:type="dxa"/>
            <w:gridSpan w:val="4"/>
            <w:tcMar>
              <w:left w:w="0" w:type="dxa"/>
            </w:tcMar>
          </w:tcPr>
          <w:p w14:paraId="174DB2BD" w14:textId="77777777" w:rsidR="00A90D00" w:rsidRPr="00703986" w:rsidRDefault="00A90D00" w:rsidP="00A90D00">
            <w:pPr>
              <w:pStyle w:val="Subtitle"/>
              <w:framePr w:hSpace="0" w:wrap="auto" w:hAnchor="text" w:xAlign="left" w:yAlign="inline"/>
              <w:jc w:val="center"/>
              <w:rPr>
                <w:rFonts w:cstheme="minorHAnsi"/>
                <w:sz w:val="24"/>
                <w:szCs w:val="24"/>
                <w:lang w:val="fr-FR"/>
              </w:rPr>
            </w:pPr>
            <w:r w:rsidRPr="00703986">
              <w:rPr>
                <w:rFonts w:cstheme="minorHAnsi"/>
                <w:sz w:val="24"/>
                <w:szCs w:val="24"/>
                <w:lang w:val="fr-FR"/>
              </w:rPr>
              <w:t>Mardi 28 avril 2026 de 14 h 35 à 17 h 45</w:t>
            </w:r>
          </w:p>
          <w:p w14:paraId="1BD8BAE2" w14:textId="1ACEB7B5" w:rsidR="00D72F49" w:rsidRPr="00703986" w:rsidRDefault="00A90D00" w:rsidP="00A90D00">
            <w:pPr>
              <w:pStyle w:val="Subtitle"/>
              <w:framePr w:hSpace="0" w:wrap="auto" w:hAnchor="text" w:xAlign="left" w:yAlign="inline"/>
              <w:jc w:val="center"/>
              <w:rPr>
                <w:sz w:val="32"/>
                <w:szCs w:val="32"/>
                <w:lang w:val="fr-FR"/>
              </w:rPr>
            </w:pPr>
            <w:r w:rsidRPr="00703986">
              <w:rPr>
                <w:rFonts w:cstheme="minorHAnsi"/>
                <w:b/>
                <w:bCs/>
                <w:sz w:val="24"/>
                <w:szCs w:val="24"/>
                <w:lang w:val="fr-FR"/>
              </w:rPr>
              <w:t>Président</w:t>
            </w:r>
            <w:r w:rsidRPr="00703986">
              <w:rPr>
                <w:rFonts w:cstheme="minorHAnsi"/>
                <w:sz w:val="24"/>
                <w:szCs w:val="24"/>
                <w:lang w:val="fr-FR"/>
              </w:rPr>
              <w:t>: M. B. Tijani (Nigéria)</w:t>
            </w:r>
          </w:p>
        </w:tc>
      </w:tr>
      <w:tr w:rsidR="00341A4A" w:rsidRPr="00703986" w14:paraId="7C21BBCA" w14:textId="77777777" w:rsidTr="00341A4A">
        <w:trPr>
          <w:cantSplit/>
          <w:trHeight w:val="553"/>
        </w:trPr>
        <w:tc>
          <w:tcPr>
            <w:tcW w:w="504" w:type="dxa"/>
            <w:tcMar>
              <w:left w:w="0" w:type="dxa"/>
            </w:tcMar>
          </w:tcPr>
          <w:p w14:paraId="300AC360" w14:textId="7AE5CEE3" w:rsidR="00341A4A" w:rsidRPr="00703986" w:rsidRDefault="00341A4A" w:rsidP="00341A4A">
            <w:pPr>
              <w:pStyle w:val="Referencetext"/>
              <w:framePr w:hSpace="0" w:wrap="auto" w:vAnchor="margin" w:hAnchor="text" w:xAlign="left" w:yAlign="inline"/>
            </w:pPr>
            <w:r w:rsidRPr="00703986">
              <w:rPr>
                <w:b/>
                <w:bCs/>
                <w:color w:val="000000"/>
                <w:szCs w:val="24"/>
              </w:rPr>
              <w:br w:type="page"/>
            </w:r>
            <w:r w:rsidRPr="00703986">
              <w:rPr>
                <w:b/>
                <w:bCs/>
                <w:color w:val="000000"/>
                <w:szCs w:val="24"/>
              </w:rPr>
              <w:br w:type="page"/>
            </w:r>
          </w:p>
        </w:tc>
        <w:tc>
          <w:tcPr>
            <w:tcW w:w="7097" w:type="dxa"/>
            <w:gridSpan w:val="2"/>
          </w:tcPr>
          <w:p w14:paraId="27F603FB" w14:textId="5D3ED1AD" w:rsidR="00341A4A" w:rsidRPr="00703986" w:rsidRDefault="00341A4A" w:rsidP="00341A4A">
            <w:pPr>
              <w:spacing w:before="480" w:after="120"/>
              <w:rPr>
                <w:b/>
                <w:bCs/>
              </w:rPr>
            </w:pPr>
            <w:r w:rsidRPr="00703986">
              <w:rPr>
                <w:b/>
                <w:bCs/>
              </w:rPr>
              <w:t>Sujets traités</w:t>
            </w:r>
          </w:p>
        </w:tc>
        <w:tc>
          <w:tcPr>
            <w:tcW w:w="1613" w:type="dxa"/>
          </w:tcPr>
          <w:p w14:paraId="6E2AD45C" w14:textId="4DFEB363" w:rsidR="00341A4A" w:rsidRPr="00703986" w:rsidRDefault="00341A4A" w:rsidP="00341A4A">
            <w:pPr>
              <w:spacing w:before="480"/>
              <w:jc w:val="center"/>
              <w:rPr>
                <w:b/>
                <w:bCs/>
              </w:rPr>
            </w:pPr>
            <w:r w:rsidRPr="00703986">
              <w:rPr>
                <w:b/>
                <w:bCs/>
              </w:rPr>
              <w:t>Documents</w:t>
            </w:r>
          </w:p>
        </w:tc>
      </w:tr>
      <w:tr w:rsidR="00341A4A" w:rsidRPr="00703986" w14:paraId="459CC40F" w14:textId="77777777" w:rsidTr="00341A4A">
        <w:trPr>
          <w:cantSplit/>
          <w:trHeight w:val="552"/>
        </w:trPr>
        <w:tc>
          <w:tcPr>
            <w:tcW w:w="504" w:type="dxa"/>
            <w:tcMar>
              <w:left w:w="0" w:type="dxa"/>
            </w:tcMar>
          </w:tcPr>
          <w:p w14:paraId="61287E19" w14:textId="3F34B921" w:rsidR="00341A4A" w:rsidRPr="00703986" w:rsidRDefault="00341A4A" w:rsidP="00341A4A">
            <w:pPr>
              <w:spacing w:before="80" w:after="80"/>
              <w:jc w:val="center"/>
            </w:pPr>
            <w:r w:rsidRPr="00703986">
              <w:t>1</w:t>
            </w:r>
          </w:p>
        </w:tc>
        <w:tc>
          <w:tcPr>
            <w:tcW w:w="7097" w:type="dxa"/>
            <w:gridSpan w:val="2"/>
          </w:tcPr>
          <w:p w14:paraId="697A5E18" w14:textId="64AEEA7F" w:rsidR="00341A4A" w:rsidRPr="00703986" w:rsidRDefault="00341A4A" w:rsidP="00341A4A">
            <w:pPr>
              <w:spacing w:before="80" w:after="80"/>
            </w:pPr>
            <w:r w:rsidRPr="00703986">
              <w:t>Projet de plan opérationnel quadriennal glissant de l'Union pour la période 2027-2030 (</w:t>
            </w:r>
            <w:r w:rsidRPr="00703986">
              <w:rPr>
                <w:i/>
                <w:iCs/>
              </w:rPr>
              <w:t>suite</w:t>
            </w:r>
            <w:r w:rsidRPr="00703986">
              <w:t>)</w:t>
            </w:r>
          </w:p>
        </w:tc>
        <w:tc>
          <w:tcPr>
            <w:tcW w:w="1613" w:type="dxa"/>
          </w:tcPr>
          <w:p w14:paraId="7EC423C2" w14:textId="35EB5068" w:rsidR="00341A4A" w:rsidRPr="00703986" w:rsidRDefault="00341A4A" w:rsidP="00341A4A">
            <w:pPr>
              <w:spacing w:before="80" w:after="80"/>
              <w:jc w:val="center"/>
              <w:rPr>
                <w:rStyle w:val="Hyperlink"/>
              </w:rPr>
            </w:pPr>
            <w:hyperlink r:id="rId7" w:history="1">
              <w:r w:rsidRPr="00703986">
                <w:rPr>
                  <w:rStyle w:val="Hyperlink"/>
                </w:rPr>
                <w:t>C26/28</w:t>
              </w:r>
            </w:hyperlink>
          </w:p>
        </w:tc>
      </w:tr>
      <w:tr w:rsidR="00341A4A" w:rsidRPr="00703986" w14:paraId="4F0556B1" w14:textId="77777777" w:rsidTr="00341A4A">
        <w:trPr>
          <w:cantSplit/>
          <w:trHeight w:val="552"/>
        </w:trPr>
        <w:tc>
          <w:tcPr>
            <w:tcW w:w="504" w:type="dxa"/>
            <w:tcMar>
              <w:left w:w="0" w:type="dxa"/>
            </w:tcMar>
          </w:tcPr>
          <w:p w14:paraId="539630B3" w14:textId="7B0D73E8" w:rsidR="00341A4A" w:rsidRPr="00703986" w:rsidRDefault="00341A4A" w:rsidP="00341A4A">
            <w:pPr>
              <w:spacing w:before="80" w:after="80"/>
              <w:jc w:val="center"/>
            </w:pPr>
            <w:r w:rsidRPr="00703986">
              <w:t>2</w:t>
            </w:r>
          </w:p>
        </w:tc>
        <w:tc>
          <w:tcPr>
            <w:tcW w:w="7097" w:type="dxa"/>
            <w:gridSpan w:val="2"/>
          </w:tcPr>
          <w:p w14:paraId="43D72273" w14:textId="4E248351" w:rsidR="00341A4A" w:rsidRPr="00703986" w:rsidRDefault="00341A4A" w:rsidP="00341A4A">
            <w:pPr>
              <w:spacing w:before="80" w:after="80"/>
            </w:pPr>
            <w:r w:rsidRPr="00703986">
              <w:t>Point sur la transformation de l'UIT – Bâtir une UIT efficace, réactive et parée pour l'avenir</w:t>
            </w:r>
          </w:p>
        </w:tc>
        <w:tc>
          <w:tcPr>
            <w:tcW w:w="1613" w:type="dxa"/>
            <w:vAlign w:val="center"/>
          </w:tcPr>
          <w:p w14:paraId="2A1A5395" w14:textId="70F4C70B" w:rsidR="00341A4A" w:rsidRPr="00703986" w:rsidRDefault="00341A4A" w:rsidP="00341A4A">
            <w:pPr>
              <w:spacing w:before="80" w:after="80"/>
              <w:jc w:val="center"/>
              <w:rPr>
                <w:rStyle w:val="Hyperlink"/>
              </w:rPr>
            </w:pPr>
            <w:hyperlink r:id="rId8" w:history="1">
              <w:r w:rsidRPr="00703986">
                <w:rPr>
                  <w:rStyle w:val="Hyperlink"/>
                </w:rPr>
                <w:t>C26/55</w:t>
              </w:r>
            </w:hyperlink>
            <w:r w:rsidRPr="00703986">
              <w:rPr>
                <w:rStyle w:val="Hyperlink"/>
              </w:rPr>
              <w:t xml:space="preserve">, </w:t>
            </w:r>
            <w:hyperlink r:id="rId9" w:history="1">
              <w:r w:rsidRPr="00703986">
                <w:rPr>
                  <w:rStyle w:val="Hyperlink"/>
                </w:rPr>
                <w:t>C26/82</w:t>
              </w:r>
            </w:hyperlink>
          </w:p>
        </w:tc>
      </w:tr>
      <w:tr w:rsidR="00341A4A" w:rsidRPr="00703986" w14:paraId="761ADF13" w14:textId="77777777" w:rsidTr="00341A4A">
        <w:trPr>
          <w:cantSplit/>
          <w:trHeight w:val="552"/>
        </w:trPr>
        <w:tc>
          <w:tcPr>
            <w:tcW w:w="504" w:type="dxa"/>
            <w:tcMar>
              <w:left w:w="0" w:type="dxa"/>
            </w:tcMar>
          </w:tcPr>
          <w:p w14:paraId="0107CEC7" w14:textId="350F46E5" w:rsidR="00341A4A" w:rsidRPr="00703986" w:rsidRDefault="00341A4A" w:rsidP="00341A4A">
            <w:pPr>
              <w:spacing w:before="80" w:after="80"/>
              <w:jc w:val="center"/>
            </w:pPr>
            <w:r w:rsidRPr="00703986">
              <w:t>3</w:t>
            </w:r>
          </w:p>
        </w:tc>
        <w:tc>
          <w:tcPr>
            <w:tcW w:w="7097" w:type="dxa"/>
            <w:gridSpan w:val="2"/>
          </w:tcPr>
          <w:p w14:paraId="23944CEF" w14:textId="3929F420" w:rsidR="00341A4A" w:rsidRPr="00703986" w:rsidRDefault="00341A4A" w:rsidP="00341A4A">
            <w:pPr>
              <w:spacing w:before="80" w:after="80"/>
            </w:pPr>
            <w:r w:rsidRPr="00703986">
              <w:t>Rapport sur la mise en œuvre du Plan stratégique et les activités de l'Union pour la période 2022-202</w:t>
            </w:r>
            <w:r w:rsidR="006B0325" w:rsidRPr="00703986">
              <w:t>5</w:t>
            </w:r>
          </w:p>
        </w:tc>
        <w:tc>
          <w:tcPr>
            <w:tcW w:w="1613" w:type="dxa"/>
          </w:tcPr>
          <w:p w14:paraId="1ADB9CCB" w14:textId="7D2DECA6" w:rsidR="00341A4A" w:rsidRPr="00703986" w:rsidRDefault="00341A4A" w:rsidP="00341A4A">
            <w:pPr>
              <w:spacing w:before="80" w:after="80"/>
              <w:jc w:val="center"/>
              <w:rPr>
                <w:rStyle w:val="Hyperlink"/>
              </w:rPr>
            </w:pPr>
            <w:hyperlink r:id="rId10" w:history="1">
              <w:r w:rsidRPr="00703986">
                <w:rPr>
                  <w:rStyle w:val="Hyperlink"/>
                </w:rPr>
                <w:t>C26/35</w:t>
              </w:r>
            </w:hyperlink>
          </w:p>
        </w:tc>
      </w:tr>
      <w:tr w:rsidR="00341A4A" w:rsidRPr="00703986" w14:paraId="51387A99" w14:textId="77777777" w:rsidTr="00341A4A">
        <w:trPr>
          <w:cantSplit/>
          <w:trHeight w:val="552"/>
        </w:trPr>
        <w:tc>
          <w:tcPr>
            <w:tcW w:w="504" w:type="dxa"/>
            <w:tcMar>
              <w:left w:w="0" w:type="dxa"/>
            </w:tcMar>
          </w:tcPr>
          <w:p w14:paraId="6C944163" w14:textId="0F9F58BE" w:rsidR="00341A4A" w:rsidRPr="00703986" w:rsidRDefault="00341A4A" w:rsidP="00341A4A">
            <w:pPr>
              <w:spacing w:before="80" w:after="80"/>
              <w:jc w:val="center"/>
            </w:pPr>
            <w:r w:rsidRPr="00703986">
              <w:t>4</w:t>
            </w:r>
          </w:p>
        </w:tc>
        <w:tc>
          <w:tcPr>
            <w:tcW w:w="7097" w:type="dxa"/>
            <w:gridSpan w:val="2"/>
          </w:tcPr>
          <w:p w14:paraId="0E9D6ADA" w14:textId="6F1C1C54" w:rsidR="00341A4A" w:rsidRPr="00703986" w:rsidRDefault="00341A4A" w:rsidP="00341A4A">
            <w:pPr>
              <w:spacing w:before="80" w:after="80"/>
              <w:ind w:right="-76"/>
            </w:pPr>
            <w:r w:rsidRPr="00703986">
              <w:t>Dommages subis par l'infrastructure civile des télécommunications/TIC civile à Bahreïn, au Koweït, aux Émirats arabes unis et en Jordanie, et incidences sur la connectivité régionale et mondiale</w:t>
            </w:r>
          </w:p>
        </w:tc>
        <w:tc>
          <w:tcPr>
            <w:tcW w:w="1613" w:type="dxa"/>
          </w:tcPr>
          <w:p w14:paraId="1F81CA3E" w14:textId="255E9986" w:rsidR="00341A4A" w:rsidRPr="00703986" w:rsidRDefault="00341A4A" w:rsidP="00341A4A">
            <w:pPr>
              <w:spacing w:before="80" w:after="80"/>
              <w:jc w:val="center"/>
              <w:rPr>
                <w:rStyle w:val="Hyperlink"/>
              </w:rPr>
            </w:pPr>
            <w:hyperlink r:id="rId11" w:history="1">
              <w:r w:rsidRPr="00703986">
                <w:rPr>
                  <w:rStyle w:val="Hyperlink"/>
                </w:rPr>
                <w:t>C26/95(Rév.1)</w:t>
              </w:r>
            </w:hyperlink>
          </w:p>
        </w:tc>
      </w:tr>
      <w:tr w:rsidR="00341A4A" w:rsidRPr="00703986" w14:paraId="11E009FA" w14:textId="77777777" w:rsidTr="00341A4A">
        <w:trPr>
          <w:cantSplit/>
          <w:trHeight w:val="552"/>
        </w:trPr>
        <w:tc>
          <w:tcPr>
            <w:tcW w:w="504" w:type="dxa"/>
            <w:tcMar>
              <w:left w:w="0" w:type="dxa"/>
            </w:tcMar>
          </w:tcPr>
          <w:p w14:paraId="77EF5C24" w14:textId="3C848651" w:rsidR="00341A4A" w:rsidRPr="00703986" w:rsidRDefault="00341A4A" w:rsidP="00341A4A">
            <w:pPr>
              <w:spacing w:before="80" w:after="80"/>
              <w:jc w:val="center"/>
            </w:pPr>
            <w:r w:rsidRPr="00703986">
              <w:t>5</w:t>
            </w:r>
          </w:p>
        </w:tc>
        <w:tc>
          <w:tcPr>
            <w:tcW w:w="7097" w:type="dxa"/>
            <w:gridSpan w:val="2"/>
          </w:tcPr>
          <w:p w14:paraId="34AEBA47" w14:textId="4321947D" w:rsidR="00341A4A" w:rsidRPr="00703986" w:rsidRDefault="00341A4A" w:rsidP="00341A4A">
            <w:pPr>
              <w:spacing w:before="80" w:after="80"/>
            </w:pPr>
            <w:r w:rsidRPr="00703986">
              <w:t>Déclarations des conseillers</w:t>
            </w:r>
          </w:p>
        </w:tc>
        <w:tc>
          <w:tcPr>
            <w:tcW w:w="1613" w:type="dxa"/>
          </w:tcPr>
          <w:p w14:paraId="2E2D1088" w14:textId="7A4A48B0" w:rsidR="00341A4A" w:rsidRPr="00703986" w:rsidRDefault="00341A4A" w:rsidP="00341A4A">
            <w:pPr>
              <w:spacing w:before="80" w:after="80"/>
              <w:jc w:val="center"/>
            </w:pPr>
            <w:r w:rsidRPr="00703986">
              <w:rPr>
                <w:rFonts w:cs="Calibri"/>
              </w:rPr>
              <w:t>–</w:t>
            </w:r>
          </w:p>
        </w:tc>
      </w:tr>
    </w:tbl>
    <w:p w14:paraId="461A8D77" w14:textId="77777777" w:rsidR="00A51849" w:rsidRPr="00703986" w:rsidRDefault="00A51849">
      <w:pPr>
        <w:tabs>
          <w:tab w:val="clear" w:pos="567"/>
          <w:tab w:val="clear" w:pos="1134"/>
          <w:tab w:val="clear" w:pos="1701"/>
          <w:tab w:val="clear" w:pos="2268"/>
          <w:tab w:val="clear" w:pos="2835"/>
        </w:tabs>
        <w:overflowPunct/>
        <w:autoSpaceDE/>
        <w:autoSpaceDN/>
        <w:adjustRightInd/>
        <w:spacing w:before="0"/>
        <w:textAlignment w:val="auto"/>
      </w:pPr>
      <w:r w:rsidRPr="00703986">
        <w:br w:type="page"/>
      </w:r>
    </w:p>
    <w:p w14:paraId="43984503" w14:textId="650C8B6C" w:rsidR="00A90D00" w:rsidRPr="00703986" w:rsidRDefault="00A90D00" w:rsidP="00341A4A">
      <w:pPr>
        <w:pStyle w:val="Heading1"/>
      </w:pPr>
      <w:r w:rsidRPr="00703986">
        <w:lastRenderedPageBreak/>
        <w:t>1</w:t>
      </w:r>
      <w:r w:rsidRPr="00703986">
        <w:tab/>
        <w:t>Projet de plan opérationnel quadriennal glissant de l'Union pour la période 2027-2030 (</w:t>
      </w:r>
      <w:r w:rsidRPr="00703986">
        <w:rPr>
          <w:i/>
          <w:iCs/>
        </w:rPr>
        <w:t>suite</w:t>
      </w:r>
      <w:r w:rsidRPr="00703986">
        <w:t>) (</w:t>
      </w:r>
      <w:hyperlink r:id="rId12" w:history="1">
        <w:r w:rsidRPr="00703986">
          <w:rPr>
            <w:rStyle w:val="Hyperlink"/>
            <w:rFonts w:eastAsia="Times New Roman" w:cs="Times New Roman"/>
            <w:szCs w:val="20"/>
          </w:rPr>
          <w:t>Document C26/28</w:t>
        </w:r>
      </w:hyperlink>
      <w:r w:rsidRPr="00703986">
        <w:t>)</w:t>
      </w:r>
    </w:p>
    <w:p w14:paraId="439C4A13" w14:textId="77777777" w:rsidR="00A90D00" w:rsidRPr="00703986" w:rsidRDefault="00A90D00" w:rsidP="00A90D00">
      <w:r w:rsidRPr="00703986">
        <w:t>1.1</w:t>
      </w:r>
      <w:r w:rsidRPr="00703986">
        <w:tab/>
        <w:t>Poursuivant le débat entamé à la séance plénière inaugurale, plusieurs conseillers soulignent que la structure du plan opérationnel de l'Union pour la période 2028-2030 est fondée sur le projet de plan stratégique et le projet de plan financier de l'Union pour la période 2028-2031, qui doivent encore être approuvés par la Conférence de plénipotentiaires et nécessiteront un examen plus approfondi. Un conseiller s'interroge sur le fait que la mobilisation des ressources figure dans le Tableau 2 du Document C26/28 en tant que coût, et non en tant qu'activité génératrice de produits, ainsi que sur les priorités et les indicateurs énoncés dans l'Annexe B, qui ne font pas encore l'objet d'un consensus. Une autre conseillère demande des précisions sur les principes budgétaires qui sous-tendent l'élaboration des différents projets de plan et sur leurs incidences pour la suite du processus d'approbation, sollicite des éclaircissements sur les différents pourcentages indiqués dans le document et souligne la nécessité d'établir un lien clair entre le plan stratégique, le plan financier et le plan opérationnel de l'Union afin de parvenir à une gestion axée sur les résultats efficace. Un troisième conseiller s'enquiert de la proportion relative des coûts directs d'exécution des programmes par rapport aux dépenses d'appui centrales imputées et de la manière dont les travaux d'exécution au niveau régional sont reflétés dans les projets de plan. Un observateur attire l'attention sur la Recommandation 2026/2 du Comité consultatif indépendant pour les questions de gestion (CCIG) et estime qu'il faut davantage de clarté dans les documents budgétaires de l'Union en général, et dans les projets de plan opérationnel en particulier, et demande des précisions sur la ventilation des coûts pour 2027 par priorité thématique et par Secteur, telle qu'elle est présentée dans le Tableau 1. Dans plusieurs cas, les coûts indiqués pour le Secrétariat général dépassent ceux d'un ou de plusieurs Bureaux pour la même priorité thématique.</w:t>
      </w:r>
    </w:p>
    <w:p w14:paraId="5DD28767" w14:textId="5E37003E" w:rsidR="00A90D00" w:rsidRPr="00703986" w:rsidRDefault="00A90D00" w:rsidP="00A90D00">
      <w:r w:rsidRPr="00703986">
        <w:t>1.2</w:t>
      </w:r>
      <w:r w:rsidRPr="00703986">
        <w:tab/>
        <w:t xml:space="preserve">Le Chef du Département de la gestion des ressources financières (FRMD), en réponse à des questions, explique que la dotation de 779 000 CHF au Forum mondial des politiques de télécommunication/technologies de l'information et de la communication (TIC) (FMPT) représente des coûts directs et indirects. Il en va de même pour les estimations de coûts pour 2027 présentées dans le Tableau 1. Les chiffres pour la mobilisation des ressources et les partenariats donnés dans le Tableau 2 représentent le coût de l'organisation de ces campagnes, et non les produits générés. Les projets de plan opérationnel soumis au Conseil reflètent une approche axée sur les résultats pour la gestion et la planification financière, compte tenu des cinq priorités thématiques approuvées par la Conférence de plénipotentiaires (Bucarest, 2022) (PP-22) pour la période 2024-2027 et des recommandations des différents organes de contrôle de l'Union, en particulier le CCIG. Les risques et la gestion des risques sont traités en détail dans d'autres documents soumis au Conseil, mais ont étayé l'élaboration du plan stratégique, du plan financier et du plan opérationnel. Bien que le </w:t>
      </w:r>
      <w:r w:rsidR="006B0325" w:rsidRPr="00703986">
        <w:t>S</w:t>
      </w:r>
      <w:r w:rsidRPr="00703986">
        <w:t xml:space="preserve">ecrétariat soit tenu de présenter un plan quadriennal, le projet de </w:t>
      </w:r>
      <w:r w:rsidR="006B0325" w:rsidRPr="00703986">
        <w:t>R</w:t>
      </w:r>
      <w:r w:rsidRPr="00703986">
        <w:t xml:space="preserve">ésolution figurant dans l'Annexe A du Document C26/28 ne concerne que l'année 2027, qui est couverte par le </w:t>
      </w:r>
      <w:r w:rsidR="006B0325" w:rsidRPr="00703986">
        <w:t>P</w:t>
      </w:r>
      <w:r w:rsidRPr="00703986">
        <w:t xml:space="preserve">lan stratégique et le </w:t>
      </w:r>
      <w:r w:rsidR="006B0325" w:rsidRPr="00703986">
        <w:t>P</w:t>
      </w:r>
      <w:r w:rsidRPr="00703986">
        <w:t>lan financier approuvés par la PP-22.</w:t>
      </w:r>
    </w:p>
    <w:p w14:paraId="4BB9E019" w14:textId="6F9F56E6" w:rsidR="00341A4A" w:rsidRPr="00703986" w:rsidRDefault="00A90D00" w:rsidP="00341A4A">
      <w:r w:rsidRPr="00703986">
        <w:t>1.3</w:t>
      </w:r>
      <w:r w:rsidRPr="00703986">
        <w:tab/>
        <w:t xml:space="preserve">Le Chef de l'administration et des finances ajoute que des chiffres détaillés et précis n'ont été fournis que pour 2027, conformément aux priorités et aux indicateurs fondamentaux de performance (IFP) approuvés. La structure des plans opérationnels pour la </w:t>
      </w:r>
      <w:r w:rsidR="00341A4A" w:rsidRPr="00703986">
        <w:br w:type="page"/>
      </w:r>
    </w:p>
    <w:p w14:paraId="70A165B6" w14:textId="000E9D6C" w:rsidR="00A90D00" w:rsidRPr="00703986" w:rsidRDefault="00A90D00" w:rsidP="00A90D00">
      <w:r w:rsidRPr="00703986">
        <w:lastRenderedPageBreak/>
        <w:t>période 2028-2030 est fondée sur le projet de plan stratégique et le projet de plan financier pour la période 2028-2031, toujours à l'examen, et devra être mise à jour à la lumière des décisions futures des organes directeurs.</w:t>
      </w:r>
    </w:p>
    <w:p w14:paraId="7AC7FB83" w14:textId="67E090DD" w:rsidR="00A90D00" w:rsidRPr="00703986" w:rsidRDefault="00A90D00" w:rsidP="00A90D00">
      <w:r w:rsidRPr="00703986">
        <w:t>1.4</w:t>
      </w:r>
      <w:r w:rsidRPr="00703986">
        <w:tab/>
        <w:t xml:space="preserve">Une conseillère suggère de modifier le projet de </w:t>
      </w:r>
      <w:r w:rsidR="006B0325" w:rsidRPr="00703986">
        <w:t>R</w:t>
      </w:r>
      <w:r w:rsidRPr="00703986">
        <w:t>ésolution figurant dans l'Annexe A pour qu'il ne fasse référence qu'au plan opérationnel pour 2027 afin de clarifier la situation.</w:t>
      </w:r>
    </w:p>
    <w:p w14:paraId="6508CF4B" w14:textId="18A8949E" w:rsidR="00A90D00" w:rsidRPr="00703986" w:rsidRDefault="00A90D00" w:rsidP="00A90D00">
      <w:r w:rsidRPr="00703986">
        <w:t>1.5</w:t>
      </w:r>
      <w:r w:rsidRPr="00703986">
        <w:tab/>
        <w:t xml:space="preserve">Le Chef du Département FRMD dit que le projet de </w:t>
      </w:r>
      <w:r w:rsidR="006B0325" w:rsidRPr="00703986">
        <w:t>R</w:t>
      </w:r>
      <w:r w:rsidRPr="00703986">
        <w:t>ésolution pourra être modifié dans ce sens.</w:t>
      </w:r>
    </w:p>
    <w:p w14:paraId="1E055015" w14:textId="48804326" w:rsidR="00A90D00" w:rsidRPr="00703986" w:rsidRDefault="00A90D00" w:rsidP="00A90D00">
      <w:r w:rsidRPr="00703986">
        <w:t>1.6</w:t>
      </w:r>
      <w:r w:rsidRPr="00703986">
        <w:tab/>
        <w:t xml:space="preserve">Le Conseil </w:t>
      </w:r>
      <w:r w:rsidRPr="00703986">
        <w:rPr>
          <w:b/>
          <w:bCs/>
        </w:rPr>
        <w:t>décide</w:t>
      </w:r>
      <w:r w:rsidRPr="00703986">
        <w:t xml:space="preserve"> de demander au </w:t>
      </w:r>
      <w:r w:rsidR="006B0325" w:rsidRPr="00703986">
        <w:t>S</w:t>
      </w:r>
      <w:r w:rsidRPr="00703986">
        <w:t>ecrétariat d'établir une version révisée du Document C26/28 pour examen ultérieur durant la présente session.</w:t>
      </w:r>
    </w:p>
    <w:p w14:paraId="4CDDF551" w14:textId="76AA4285" w:rsidR="00A90D00" w:rsidRPr="00703986" w:rsidRDefault="00A90D00" w:rsidP="000047C7">
      <w:pPr>
        <w:pStyle w:val="Heading1"/>
      </w:pPr>
      <w:r w:rsidRPr="00703986">
        <w:t>2</w:t>
      </w:r>
      <w:r w:rsidRPr="00703986">
        <w:tab/>
        <w:t>Point sur la transformation de l'UIT – Bâtir une UIT efficace, réactive et parée pour l'avenir (</w:t>
      </w:r>
      <w:hyperlink r:id="rId13" w:history="1">
        <w:r w:rsidRPr="00703986">
          <w:rPr>
            <w:rStyle w:val="Hyperlink"/>
            <w:rFonts w:eastAsia="Times New Roman" w:cs="Times New Roman"/>
            <w:szCs w:val="20"/>
          </w:rPr>
          <w:t>Documents C26/55</w:t>
        </w:r>
      </w:hyperlink>
      <w:r w:rsidRPr="00703986">
        <w:t xml:space="preserve"> et </w:t>
      </w:r>
      <w:hyperlink r:id="rId14" w:history="1">
        <w:r w:rsidRPr="00703986">
          <w:rPr>
            <w:rStyle w:val="Hyperlink"/>
            <w:rFonts w:eastAsia="Times New Roman" w:cs="Times New Roman"/>
            <w:szCs w:val="20"/>
          </w:rPr>
          <w:t>C26/82</w:t>
        </w:r>
      </w:hyperlink>
      <w:r w:rsidRPr="00703986">
        <w:t>)</w:t>
      </w:r>
    </w:p>
    <w:p w14:paraId="7A190D66" w14:textId="64596836" w:rsidR="00A90D00" w:rsidRPr="00703986" w:rsidRDefault="00A90D00" w:rsidP="00A90D00">
      <w:r w:rsidRPr="00703986">
        <w:t>2.1</w:t>
      </w:r>
      <w:r w:rsidRPr="00703986">
        <w:tab/>
        <w:t>Le responsable de l'équipe chargée de la transformation présente le Document C26/55 et décrit les progrès accomplis dans la mise en œuvre des efforts de transformation de l'Union, qui s'articulent autour de cinq piliers: gouvernance; membres et partenaires; personnes et culture; optimisation des ressources et systèmes; et processus et outils. Conformément aux observations formulées par le Conseil et le CCIG, le tableau de bord de la transformation a été mis à jour avec des informations sur les produits attendus pour 2026, l'état d'avancement des initiatives, le temps estimé investi par le personnel du Secrétariat général dans la transformation et les gains d'efficacité. Les activités en 2026 seront axées sur l'amélioration de l'expérience des membres; l'efficacité opérationnelle et les retombées; et l'autonomisation du personnel et la culture de l'innovation. L'équipe chargée de la transformation reconnaît qu'il faut travailler davantage sur les indicateurs IFP pour mesurer les retombées dans ses rapports et collabore à cette fin avec le Département de la gestion et de la planification stratégique et les responsables des activités. La plupart des initiatives de transformation en cours sont soutenues par la mise en œuvre stratégique des initiatives sur le numérique et l'intelligence artificielle (IA). Un cadre stratégique clair, ancré dans une approche fondée sur des objectifs et les principaux résultats attendus, permettra de renforcer la définition, le suivi et l'harmonisation des indicateurs IFP dans toutes les initiatives relatives au numérique.</w:t>
      </w:r>
      <w:r w:rsidR="00EA1B82" w:rsidRPr="00703986">
        <w:t xml:space="preserve"> Le </w:t>
      </w:r>
      <w:r w:rsidR="007E2A64" w:rsidRPr="00703986">
        <w:t>S</w:t>
      </w:r>
      <w:r w:rsidR="00EA1B82" w:rsidRPr="00703986">
        <w:t>ecrétariat ajoute que pour faire de l</w:t>
      </w:r>
      <w:r w:rsidR="007E2A64" w:rsidRPr="00703986">
        <w:t>'</w:t>
      </w:r>
      <w:r w:rsidR="00EA1B82" w:rsidRPr="00703986">
        <w:t>UIT une organisation plus souple et plus moderne, il faut mettre davantage l</w:t>
      </w:r>
      <w:r w:rsidR="007E2A64" w:rsidRPr="00703986">
        <w:t>'</w:t>
      </w:r>
      <w:r w:rsidR="00EA1B82" w:rsidRPr="00703986">
        <w:t>accent sur la formation, l</w:t>
      </w:r>
      <w:r w:rsidR="007E2A64" w:rsidRPr="00703986">
        <w:t>'</w:t>
      </w:r>
      <w:r w:rsidR="00EA1B82" w:rsidRPr="00703986">
        <w:t>expérimentation, ainsi que l</w:t>
      </w:r>
      <w:r w:rsidR="007E2A64" w:rsidRPr="00703986">
        <w:t>'</w:t>
      </w:r>
      <w:r w:rsidR="00EA1B82" w:rsidRPr="00703986">
        <w:t>autonomisation et le perfectionnement du personnel.</w:t>
      </w:r>
    </w:p>
    <w:p w14:paraId="2E23EE41" w14:textId="21AA1870" w:rsidR="00A90D00" w:rsidRPr="00703986" w:rsidRDefault="00A90D00" w:rsidP="00A90D00">
      <w:r w:rsidRPr="00703986">
        <w:t>2.2</w:t>
      </w:r>
      <w:r w:rsidRPr="00703986">
        <w:tab/>
        <w:t>Le conseiller de la Chine présente la contribution figurant dans le Document C26/82, au nom de son pays et de Cuba, qui contient des recommandations visant à renforcer la transformation de l'UIT dans le contexte de la participation de l'Union à l'</w:t>
      </w:r>
      <w:r w:rsidR="000047C7" w:rsidRPr="00703986">
        <w:t>I</w:t>
      </w:r>
      <w:r w:rsidRPr="00703986">
        <w:t>nitiative ONU80.</w:t>
      </w:r>
    </w:p>
    <w:p w14:paraId="3377F22E" w14:textId="099CAB77" w:rsidR="00A90D00" w:rsidRPr="00703986" w:rsidRDefault="00A90D00" w:rsidP="00A90D00">
      <w:r w:rsidRPr="00703986">
        <w:t>2.3</w:t>
      </w:r>
      <w:r w:rsidRPr="00703986">
        <w:tab/>
        <w:t xml:space="preserve">Les conseillers se félicitent des progrès mesurables accomplis dans le cadre du programme de transformation de l'UIT, qui est passé de la planification et de la conception à la mise en œuvre. </w:t>
      </w:r>
      <w:r w:rsidR="0013311C" w:rsidRPr="00703986">
        <w:t xml:space="preserve">Ils relèvent également que des </w:t>
      </w:r>
      <w:r w:rsidRPr="00703986">
        <w:t xml:space="preserve">progrès tangibles ont été accomplis en matière de responsabilité, de transparence et de maturité institutionnelle, </w:t>
      </w:r>
      <w:r w:rsidR="0013311C" w:rsidRPr="00703986">
        <w:t>ainsi qu</w:t>
      </w:r>
      <w:r w:rsidR="007E2A64" w:rsidRPr="00703986">
        <w:t>'</w:t>
      </w:r>
      <w:r w:rsidR="0013311C" w:rsidRPr="00703986">
        <w:t>en termes de</w:t>
      </w:r>
      <w:r w:rsidRPr="00703986">
        <w:t xml:space="preserve"> cohérence stratégique et d'efficacité opérationnelle. </w:t>
      </w:r>
      <w:r w:rsidR="0013311C" w:rsidRPr="00703986">
        <w:t xml:space="preserve">Les conseillers ont salué </w:t>
      </w:r>
      <w:r w:rsidRPr="00703986">
        <w:t xml:space="preserve">les réalisations concrètes accomplies à ce jour, </w:t>
      </w:r>
      <w:r w:rsidR="0013311C" w:rsidRPr="00703986">
        <w:t xml:space="preserve">notamment </w:t>
      </w:r>
      <w:r w:rsidRPr="00703986">
        <w:t xml:space="preserve">la création de l'Unité du contrôle interne et d'une fonction d'ombudsman, la mise en place et l'actualisation du tableau de bord de la transformation, la création du Pôle d'innovation ainsi que les améliorations apportées à la planification opérationnelle et financière et aux procédures de passation des </w:t>
      </w:r>
      <w:r w:rsidRPr="00703986">
        <w:lastRenderedPageBreak/>
        <w:t xml:space="preserve">marchés. L'idée est formulée que les futurs rapports soumis au Conseil gagneront à comporter davantage de détails opérationnels et qu'une reconnaissance plus explicite des risques, des compromis et des défis facilitera la compréhension du processus. Plusieurs conseillers insistent sur la nécessité de disposer d'indicateurs de performance clairs et de critères de référence mesurables afin de pouvoir suivre objectivement les progrès réalisés, au-delà d'un simple compte rendu basé sur les activités. Il serait utile de savoir comment le </w:t>
      </w:r>
      <w:r w:rsidR="006B0325" w:rsidRPr="00703986">
        <w:t>S</w:t>
      </w:r>
      <w:r w:rsidRPr="00703986">
        <w:t xml:space="preserve">ecrétariat gère les effets cumulés des activités de transformation sur la fourniture des services essentiels, même si l'on a appelé à la prudence afin de ne pas alourdir inutilement la charge de contrôle qui pèse sur le </w:t>
      </w:r>
      <w:r w:rsidR="006B0325" w:rsidRPr="00703986">
        <w:t>S</w:t>
      </w:r>
      <w:r w:rsidRPr="00703986">
        <w:t>ecrétariat.</w:t>
      </w:r>
    </w:p>
    <w:p w14:paraId="1B929BE4" w14:textId="4BE561FA" w:rsidR="00A90D00" w:rsidRPr="00703986" w:rsidRDefault="00A90D00" w:rsidP="00A90D00">
      <w:r w:rsidRPr="00703986">
        <w:t>2.4</w:t>
      </w:r>
      <w:r w:rsidRPr="00703986">
        <w:tab/>
        <w:t xml:space="preserve">Plusieurs conseillers insistent sur la nécessité d'utiliser les ressources de manière durable pour assurer la modernisation et les effets à long terme, en particulier dans un environnement budgétaire limité; une conseillère suggère que des mesures soient prises pour promouvoir une approche cohérente au sein des Bureaux et pour gérer les risques, tandis que d'autres soulignent la nécessité particulière de traiter les risques liés aux fluctuations des taux de change. D'autres conseillères demandent que le </w:t>
      </w:r>
      <w:r w:rsidR="006B0325" w:rsidRPr="00703986">
        <w:t>S</w:t>
      </w:r>
      <w:r w:rsidRPr="00703986">
        <w:t>ecrétariat dispose d'une certaine marge de manœuvre pour qu'il puisse décider de la meilleure façon de progresser dans la mise en œuvre.</w:t>
      </w:r>
    </w:p>
    <w:p w14:paraId="627330C0" w14:textId="0927DFBD" w:rsidR="00A90D00" w:rsidRPr="00703986" w:rsidRDefault="00A90D00" w:rsidP="00A90D00">
      <w:r w:rsidRPr="00703986">
        <w:t>2.5</w:t>
      </w:r>
      <w:r w:rsidRPr="00703986">
        <w:tab/>
        <w:t>Si l'utilisation de l'IA pour améliorer la productivité est généralement bien accueillie, une conseillère met en garde contre les conséquences potentielles qui pourraient découler de problèmes connus, tels que les "hallucinations" de l'IA, et appelle à la prudence face à une utilisation non contrôlée de cette technologie. Une conseillère se dit favorable à l'utilisation des économies réalisées sur le budget 2025 pour financer les investissements supplémentaires requis pour les systèmes d'IA et les systèmes numériques, ainsi que pour le renforcement des compétences, afin de permettre la modernisation et la rationalisation des processus opérationnels.</w:t>
      </w:r>
    </w:p>
    <w:p w14:paraId="7822150E" w14:textId="15784CE4" w:rsidR="00A90D00" w:rsidRPr="00703986" w:rsidRDefault="00A90D00" w:rsidP="00A90D00">
      <w:r w:rsidRPr="00703986">
        <w:t>2.6</w:t>
      </w:r>
      <w:r w:rsidRPr="00703986">
        <w:tab/>
        <w:t>Certaines conseillères saluent l'ambition de lancer un nouveau site web de l'UIT avant la Conférence de plénipotentiaires de 2026 (PP-26); toutefois, l'une d'elles s'interroge sur la faisabilité du projet, tandis qu'une autre insiste pour que des mesures soient prises pour garantir la continuité de l'accès des utilisateurs à la plate-forme existante et prévoir une période de transition appropriée afin de faciliter l'adaptation des délégués.</w:t>
      </w:r>
    </w:p>
    <w:p w14:paraId="4E8EBC16" w14:textId="61447355" w:rsidR="00A90D00" w:rsidRPr="00703986" w:rsidRDefault="00A90D00" w:rsidP="00A90D00">
      <w:r w:rsidRPr="00703986">
        <w:t>2.7</w:t>
      </w:r>
      <w:r w:rsidRPr="00703986">
        <w:tab/>
        <w:t>Plusieurs conseillers souscrivent aux recommandations formulées dans le Document</w:t>
      </w:r>
      <w:r w:rsidR="000047C7" w:rsidRPr="00703986">
        <w:t> </w:t>
      </w:r>
      <w:r w:rsidRPr="00703986">
        <w:t>C26/82, qui renforceront la discipline, la responsabilité et les incidences du processus de transformation, en veillant à ce que les ressources humaines et les ressources financières importantes investies se traduisent par de réelles améliorations pour l'Union et ses membres, tout en évitant le risque de fragmentation. Une conseillère craint que certaines des recommandations n'imposent des restrictions excessives sur les ressources et risquent de laisser entendre que les réformes internes ne constituent pas une priorité.</w:t>
      </w:r>
    </w:p>
    <w:p w14:paraId="7216C241" w14:textId="1885F376" w:rsidR="003439D9" w:rsidRPr="00703986" w:rsidRDefault="00A90D00" w:rsidP="00A90D00">
      <w:r w:rsidRPr="00703986">
        <w:t>2.8</w:t>
      </w:r>
      <w:r w:rsidRPr="00703986">
        <w:tab/>
        <w:t>Une conseillère demande des précisions sur la nouvelle politique relative au recrutement de personnel de durée déterminée et de consultants, en insistant notamment sur la nécessité d'éviter les doublons et de garantir la responsabilité, et s'interroge sur les efforts déployés pour établir la responsabilité des conséquences découlant de l'utilisation – et de l'utilisation potentiellement abusive – de l'IA à l'échelle de l'Union.</w:t>
      </w:r>
    </w:p>
    <w:p w14:paraId="08769240" w14:textId="7E518D89" w:rsidR="003439D9" w:rsidRPr="00703986" w:rsidRDefault="003439D9" w:rsidP="00A90D00">
      <w:r w:rsidRPr="00703986">
        <w:t>2.9</w:t>
      </w:r>
      <w:r w:rsidRPr="00703986">
        <w:tab/>
      </w:r>
      <w:r w:rsidR="00A90D00" w:rsidRPr="00703986">
        <w:t>D'autres conseillers demandent si des fonds suffisants ont été alloués pour mener à bien les activités cibles recensées dans le tableau de bord de la transformation d'ici à la fin</w:t>
      </w:r>
      <w:r w:rsidR="007E2A64" w:rsidRPr="00703986">
        <w:t> </w:t>
      </w:r>
      <w:r w:rsidR="00A90D00" w:rsidRPr="00703986">
        <w:t>de 2026.</w:t>
      </w:r>
    </w:p>
    <w:p w14:paraId="18B9C4DA" w14:textId="19AFB224" w:rsidR="003439D9" w:rsidRPr="00703986" w:rsidRDefault="003439D9" w:rsidP="00A90D00">
      <w:r w:rsidRPr="00703986">
        <w:lastRenderedPageBreak/>
        <w:t>2.10</w:t>
      </w:r>
      <w:r w:rsidRPr="00703986">
        <w:tab/>
      </w:r>
      <w:r w:rsidR="00A90D00" w:rsidRPr="00703986">
        <w:t>Un conseiller souligne la nécessité d'accorder une plus grande attention au système de justice interne et au bien-être du personnel et s'interroge sur la mesure dans laquelle les efforts de transformation, y compris la restructuration du Secrétariat général, apportent une valeur ajoutée aux membres et aux autres parties prenantes et demande que des rapports spécifiques soient présentés sur les activités de la fonction d'ombudsman.</w:t>
      </w:r>
    </w:p>
    <w:p w14:paraId="54D27786" w14:textId="0DC7C6B4" w:rsidR="00A90D00" w:rsidRPr="00703986" w:rsidRDefault="003439D9" w:rsidP="00A90D00">
      <w:r w:rsidRPr="00703986">
        <w:t>2.11</w:t>
      </w:r>
      <w:r w:rsidRPr="00703986">
        <w:tab/>
      </w:r>
      <w:r w:rsidR="00A90D00" w:rsidRPr="00703986">
        <w:t>Un observateur souligne l'importance d'une évaluation indépendante et en temps opportun du processus de transformation, ainsi que d'une analyse coûts-avantages exhaustive réalisée par le Secrétariat général, en particulier compte tenu de l'utilisation prévue de l'IA dans divers aspects des achats et de la gestion, et des risques en matière de cybersécurité et de fraude associés.</w:t>
      </w:r>
    </w:p>
    <w:p w14:paraId="29404039" w14:textId="59BEF833" w:rsidR="00A90D00" w:rsidRPr="00703986" w:rsidRDefault="00A90D00" w:rsidP="00A90D00">
      <w:r w:rsidRPr="00703986">
        <w:t>2.</w:t>
      </w:r>
      <w:r w:rsidR="003439D9" w:rsidRPr="00703986">
        <w:t>12</w:t>
      </w:r>
      <w:r w:rsidRPr="00703986">
        <w:tab/>
        <w:t>Le responsable de l'équipe chargée de la transformation se félicite des observations formulées au cours des discussions et des orientations figurant dans le Document C26/82. Les changements intervenus au sein des équipes et dans les méthodes mises en œuvre dans le cadre de la transformation depuis le lancement du processus en 2023 reflètent non seulement la volonté de s'adapter et d'apprendre, mais aussi des évolutions externes telles que les avancées sans précédent observées dans le domaine de l'IA. Des efforts sont déployés pour assurer la stabilité et l'encadrement, en mettant l'accent sur la cohérence, la hiérarchisation des priorités et la prévention de la fragmentation. L'équipe chargée de la transformation travaille en étroite collaboration avec d'autres unités afin d'aligner ses activités sur la planification opérationnelle et stratégique de l'Union et d'affiner ses méthodes d'établissement de rapports. La mesure des incidences à l'aide d'indicateurs IFP est intégrée à tous les niveaux et l'équipe s'efforcera d'améliorer encore ses rapports au fur et à mesure que le processus de transformation se poursuivra, notamment en tenant compte de la suggestion visant à intégrer des considérations relatives à l'évaluation des risques. Des lignes directrices sur l'utilisation de l'IA ont été élaborées et des supports de référence rapide sont prévus. Tous les membres du personnel ont reçu des licences pour accéder aux logiciels d'IA intégrée sur leurs ordinateurs. Une formation sera dispensée dans les mois à venir.</w:t>
      </w:r>
    </w:p>
    <w:p w14:paraId="20EC9DCE" w14:textId="0E44B29E" w:rsidR="00A90D00" w:rsidRPr="00703986" w:rsidRDefault="00A90D00" w:rsidP="00A90D00">
      <w:r w:rsidRPr="00703986">
        <w:t>2.</w:t>
      </w:r>
      <w:r w:rsidR="003439D9" w:rsidRPr="00703986">
        <w:t>13</w:t>
      </w:r>
      <w:r w:rsidRPr="00703986">
        <w:tab/>
        <w:t>La Chef du Département de la gestion des ressources humaines (HRMD) explique que la politique relative au recrutement de consultants contient des garanties visant à s'assurer que ceux-ci sont engagés pour répondre à des besoins à court terme axés sur des résultats concrets, et qu'ils n'assument pas de fonctions propres au personnel permanent. Cette politique prévoit également une évaluation des performances par les responsables, qui doivent confirmer que les prestations ont été exécutées avec succès avant que le paiement puisse être effectué. Le Département HRMD est chargé de suivre le processus.</w:t>
      </w:r>
    </w:p>
    <w:p w14:paraId="306EAC2C" w14:textId="7C851510" w:rsidR="00A90D00" w:rsidRPr="00703986" w:rsidRDefault="00A90D00" w:rsidP="00A90D00">
      <w:r w:rsidRPr="00703986">
        <w:t>2.</w:t>
      </w:r>
      <w:r w:rsidR="003439D9" w:rsidRPr="00703986">
        <w:t>14</w:t>
      </w:r>
      <w:r w:rsidRPr="00703986">
        <w:tab/>
        <w:t xml:space="preserve">Le Conseil </w:t>
      </w:r>
      <w:r w:rsidRPr="00703986">
        <w:rPr>
          <w:b/>
          <w:bCs/>
        </w:rPr>
        <w:t>prend acte</w:t>
      </w:r>
      <w:r w:rsidRPr="00703986">
        <w:t xml:space="preserve"> des progrès accomplis à ce jour, </w:t>
      </w:r>
      <w:r w:rsidRPr="00703986">
        <w:rPr>
          <w:b/>
          <w:bCs/>
        </w:rPr>
        <w:t>prend connaissance</w:t>
      </w:r>
      <w:r w:rsidRPr="00703986">
        <w:t xml:space="preserve"> des recommandations formulées dans le Document C26/82 et </w:t>
      </w:r>
      <w:r w:rsidRPr="00703986">
        <w:rPr>
          <w:b/>
          <w:bCs/>
        </w:rPr>
        <w:t>invite</w:t>
      </w:r>
      <w:r w:rsidRPr="00703986">
        <w:t xml:space="preserve"> le </w:t>
      </w:r>
      <w:r w:rsidR="006B0325" w:rsidRPr="00703986">
        <w:t>S</w:t>
      </w:r>
      <w:r w:rsidRPr="00703986">
        <w:t>ecrétariat à continuer de rendre compte, au moyen du tableau de bord de la transformation, des progrès accomplis dans la mise en œuvre au cours de l'année 2026.</w:t>
      </w:r>
    </w:p>
    <w:p w14:paraId="20CFE0A3" w14:textId="5413A2C3" w:rsidR="00A90D00" w:rsidRPr="00703986" w:rsidRDefault="00A90D00" w:rsidP="000047C7">
      <w:pPr>
        <w:pStyle w:val="Heading1"/>
      </w:pPr>
      <w:r w:rsidRPr="00703986">
        <w:t>3</w:t>
      </w:r>
      <w:r w:rsidRPr="00703986">
        <w:tab/>
        <w:t xml:space="preserve">Rapport sur la mise en œuvre du </w:t>
      </w:r>
      <w:r w:rsidR="006B0325" w:rsidRPr="00703986">
        <w:t>P</w:t>
      </w:r>
      <w:r w:rsidRPr="00703986">
        <w:t>lan stratégique et les activités de l'Union pour la période 2022-2026 (</w:t>
      </w:r>
      <w:hyperlink r:id="rId15" w:history="1">
        <w:r w:rsidRPr="00703986">
          <w:rPr>
            <w:rStyle w:val="Hyperlink"/>
            <w:rFonts w:eastAsia="Times New Roman" w:cs="Times New Roman"/>
            <w:szCs w:val="20"/>
          </w:rPr>
          <w:t>Document C26/35</w:t>
        </w:r>
      </w:hyperlink>
      <w:r w:rsidRPr="00703986">
        <w:t>)</w:t>
      </w:r>
    </w:p>
    <w:p w14:paraId="61E9A015" w14:textId="177328A5" w:rsidR="00A90D00" w:rsidRPr="00703986" w:rsidRDefault="00A90D00" w:rsidP="00A90D00">
      <w:r w:rsidRPr="00703986">
        <w:t>3.1</w:t>
      </w:r>
      <w:r w:rsidRPr="00703986">
        <w:tab/>
        <w:t xml:space="preserve">Le Vice-Secrétaire général présente le Document C26/35, qui contient les rapports de synthèse sur la mise en œuvre du </w:t>
      </w:r>
      <w:r w:rsidR="006B0325" w:rsidRPr="00703986">
        <w:t>P</w:t>
      </w:r>
      <w:r w:rsidRPr="00703986">
        <w:t xml:space="preserve">lan stratégique et les activités de l'Union d'octobre 2022 à mars 2026, qui seront mis à jour avant d'être soumis à la PP-26. Le rapport est complété </w:t>
      </w:r>
      <w:r w:rsidRPr="00703986">
        <w:lastRenderedPageBreak/>
        <w:t xml:space="preserve">par deux plates-formes web qui fournissent des informations sur l'état d'avancement de la mise en œuvre des </w:t>
      </w:r>
      <w:r w:rsidR="006B0325" w:rsidRPr="00703986">
        <w:t>R</w:t>
      </w:r>
      <w:r w:rsidRPr="00703986">
        <w:t>ésolutions de la Conférence de plénipotentiaires et sur les progrès accomplis dans la réalisation des cibles fixées dans le plan stratégique.</w:t>
      </w:r>
    </w:p>
    <w:p w14:paraId="5AAF41C9" w14:textId="77777777" w:rsidR="00A90D00" w:rsidRPr="00703986" w:rsidRDefault="00A90D00" w:rsidP="00A90D00">
      <w:r w:rsidRPr="00703986">
        <w:t>3.2</w:t>
      </w:r>
      <w:r w:rsidRPr="00703986">
        <w:tab/>
        <w:t>Alors que les coûts des télécommunications restent disproportionnellement élevés dans les pays à faible revenu et que de profondes disparités structurelles subsistent en matière d'accès au numérique, l'UIT a progressé sur la voie de la réalisation de la connectivité universelle et de l'accessibilité financière des télécommunications. Conformément à la vision énoncée lors des conférences statutaires tenues pendant la période considérée, l'UIT a appuyé les progrès dans les domaines de la connectivité des écoles, de la préparation à la cybersécurité, de la gestion des catastrophes et des systèmes d'alerte avancée, des déchets d'équipements électriques et électroniques, de l'élaboration de normes, de la préparation aux réseaux 6G, de la technologie quantique et de l'utilisation de l'IA. L'Union a également facilité l'échange de connaissances grâce à la publication de rapports phares et à des initiatives telles que l'Académie de l'UIT. En outre, le nombre de membres de l'Union a considérablement augmenté et ses plates-formes mondiales sont restées un point de rassemblement important où les organisations internationales et les États Membres peuvent travailler en bonne intelligence pour surmonter les défis et saisir les perspectives qui se présentent dans divers domaines.</w:t>
      </w:r>
    </w:p>
    <w:p w14:paraId="107B950A" w14:textId="4768993F" w:rsidR="00A90D00" w:rsidRPr="00703986" w:rsidRDefault="00A90D00" w:rsidP="00A90D00">
      <w:r w:rsidRPr="00703986">
        <w:t>3.3</w:t>
      </w:r>
      <w:r w:rsidRPr="00703986">
        <w:tab/>
        <w:t xml:space="preserve">Afin de se préparer pour l'avenir, le </w:t>
      </w:r>
      <w:r w:rsidR="006B0325" w:rsidRPr="00703986">
        <w:t>S</w:t>
      </w:r>
      <w:r w:rsidRPr="00703986">
        <w:t>ecrétariat s'est donné pour priorité de renforcer la solidité interne de l'UIT, notamment en améliorant la gestion financière, en renforçant les activités de contrôle, en élaborant un nouveau processus de planification opérationnelle et une nouvelle stratégie de mobilisation des ressources, et en réalisant des gains d'efficacité.</w:t>
      </w:r>
    </w:p>
    <w:p w14:paraId="70114C04" w14:textId="4E53FED5" w:rsidR="00A90D00" w:rsidRPr="00703986" w:rsidRDefault="00A90D00" w:rsidP="00A90D00">
      <w:r w:rsidRPr="00703986">
        <w:t>3.4</w:t>
      </w:r>
      <w:r w:rsidRPr="00703986">
        <w:tab/>
        <w:t xml:space="preserve">Les conseillers se félicitent du rapport et saluent les progrès accomplis pendant la période considérée. Certains conseillers font néanmoins observer la persistance des fractures numériques et appellent à une coopération internationale accrue, à des partenariats plus solides et à un appui soutenu au renforcement des capacités en vue de parvenir à une connectivité universelle. Deux conseillers demandent au </w:t>
      </w:r>
      <w:r w:rsidR="006B0325" w:rsidRPr="00703986">
        <w:t>S</w:t>
      </w:r>
      <w:r w:rsidRPr="00703986">
        <w:t xml:space="preserve">ecrétariat d'inclure dans le rapport des informations sur les obstacles à la mise en œuvre du </w:t>
      </w:r>
      <w:r w:rsidR="006B0325" w:rsidRPr="00703986">
        <w:t>P</w:t>
      </w:r>
      <w:r w:rsidRPr="00703986">
        <w:t>lan stratégique actuel et sur les stratégies permettant de les surmonter.</w:t>
      </w:r>
    </w:p>
    <w:p w14:paraId="629E15CF" w14:textId="583A74DA" w:rsidR="00A90D00" w:rsidRPr="00703986" w:rsidRDefault="00A90D00" w:rsidP="00A90D00">
      <w:r w:rsidRPr="00703986">
        <w:t>3.5</w:t>
      </w:r>
      <w:r w:rsidRPr="00703986">
        <w:tab/>
        <w:t>Un conseiller se félicite en particulier de l'accent mis par l'Union sur les initiatives de développement, telles que la Coalition pour le numérique Partner2Connect, l'</w:t>
      </w:r>
      <w:r w:rsidR="000047C7" w:rsidRPr="00703986">
        <w:t>I</w:t>
      </w:r>
      <w:r w:rsidRPr="00703986">
        <w:t>nitiative Giga et les centres de transformation numérique, qui facilitent la transformation numérique des pays. Le conseiller salue également les activités liées aux technologies émergentes, telles que l'IA, tout en soulignant que ces technologies doivent être encadrées de manière inclusive et pragmatique, afin de répondre aux besoins de tous les États Membres. Une autre conseillère demande de fournir un appui accru aux États Membres africains pour renforcer leurs capacités opérationnelles en matière de cybersécurité. Un troisième conseiller constate la faible proportion de pays ayant soumis des données sur les niveaux de compétence en matière de TIC et demande une assistance accrue pour l'établissement de rapports.</w:t>
      </w:r>
    </w:p>
    <w:p w14:paraId="65B796D1" w14:textId="7083C24A" w:rsidR="00A90D00" w:rsidRPr="00703986" w:rsidRDefault="00A90D00" w:rsidP="00A90D00">
      <w:r w:rsidRPr="00703986">
        <w:t>3.6</w:t>
      </w:r>
      <w:r w:rsidRPr="00703986">
        <w:tab/>
        <w:t xml:space="preserve">Plusieurs conseillères se félicitent des progrès accomplis dans l'amélioration de la gouvernance, de la transparence, de l'efficacité financière et de l'efficacité institutionnelle et appellent à poursuivre les efforts à cette fin. Un certain nombre de conseillers demandent que l'on continue de hiérarchiser les activités, en mettant l'accent sur leur mise en œuvre dans les délais voulus et sur des incidences mesurables, afin de garantir l'accomplissement </w:t>
      </w:r>
      <w:r w:rsidRPr="00703986">
        <w:lastRenderedPageBreak/>
        <w:t xml:space="preserve">du mandat de l'Union. Deux conseillères soulignent l'importance d'indicateurs et de cibles adéquats pour la connectivité universelle et la transformation numérique et encouragent la poursuite des travaux à cet égard. En particulier, une conseillère demande que ces indicateurs soient ventilés par région, afin que les lacunes structurelles en Afrique ne soient pas masquées. Une autre conseillère encourage le recours accru à la gestion axée sur les résultats et à l'établissement de rapports fondés sur les résultats, en établissant un lien entre les produits et le cadre de résultats du </w:t>
      </w:r>
      <w:r w:rsidR="006B0325" w:rsidRPr="00703986">
        <w:t>p</w:t>
      </w:r>
      <w:r w:rsidRPr="00703986">
        <w:t>lan stratégique. La conseillère encourage également l'Union à continuer de jouer un rôle moteur pour aligner la transformation numérique sur les priorités plus larges en matière de réforme, dans le cadre de l'</w:t>
      </w:r>
      <w:r w:rsidR="000047C7" w:rsidRPr="00703986">
        <w:t>I</w:t>
      </w:r>
      <w:r w:rsidRPr="00703986">
        <w:t>nitiative</w:t>
      </w:r>
      <w:r w:rsidR="000047C7" w:rsidRPr="00703986">
        <w:t> </w:t>
      </w:r>
      <w:r w:rsidRPr="00703986">
        <w:t>ONU80.</w:t>
      </w:r>
    </w:p>
    <w:p w14:paraId="4F21A9FD" w14:textId="7457F18F" w:rsidR="00A90D00" w:rsidRPr="00703986" w:rsidRDefault="00A90D00" w:rsidP="00A90D00">
      <w:r w:rsidRPr="00703986">
        <w:t>3.7</w:t>
      </w:r>
      <w:r w:rsidRPr="00703986">
        <w:tab/>
        <w:t xml:space="preserve">Un conseiller fait observer la portée excessive des activités de l'UIT liées à l'IA et aux technologies quantiques, encourage l'Union à respecter scrupuleusement les mandats énoncés dans les </w:t>
      </w:r>
      <w:r w:rsidR="006B0325" w:rsidRPr="00703986">
        <w:t>R</w:t>
      </w:r>
      <w:r w:rsidRPr="00703986">
        <w:t>ésolutions pertinentes et réaffirme que l'approbation du Document</w:t>
      </w:r>
      <w:r w:rsidR="000047C7" w:rsidRPr="00703986">
        <w:t> </w:t>
      </w:r>
      <w:r w:rsidRPr="00703986">
        <w:t>C26/35 ne signifie pas que toutes les activités présentées sont approuvées.</w:t>
      </w:r>
    </w:p>
    <w:p w14:paraId="5983357C" w14:textId="77777777" w:rsidR="00A90D00" w:rsidRPr="00703986" w:rsidRDefault="00A90D00" w:rsidP="00A90D00">
      <w:r w:rsidRPr="00703986">
        <w:t>3.8</w:t>
      </w:r>
      <w:r w:rsidRPr="00703986">
        <w:tab/>
        <w:t>Le Vice-Secrétaire général se félicite des compliments et des observations des conseillers concernant le rapport et prend note des suggestions visant à améliorer le document. En réponse aux questions d'un conseiller, il précise que le rapport contient une ventilation des membres de l'UIT par Secteur; le secrétariat sera également heureux de fournir des détails concernant les produits générés par les nouveaux membres.</w:t>
      </w:r>
    </w:p>
    <w:p w14:paraId="19A7C970" w14:textId="77777777" w:rsidR="00A90D00" w:rsidRPr="00703986" w:rsidRDefault="00A90D00" w:rsidP="00A90D00">
      <w:r w:rsidRPr="00703986">
        <w:t>3.9</w:t>
      </w:r>
      <w:r w:rsidRPr="00703986">
        <w:tab/>
        <w:t>Le Directeur du Bureau de développement des télécommunications (BDT), en réponse aux questions et aux observations des conseillers, explique que l'UIT a levé un montant record de 65 millions CHF auprès d'un large éventail de parties prenantes et de partenaires de développement au cours de la période considérée. L'organisation a également fourni des fonds d'amorçage pour encourager les investissements dans les initiatives régionales. De plus amples informations sur le sujet seront fournies au Conseil à la présente session au titre d'un autre point de l'ordre du jour. Le Directeur du BDT fait également observer que l'UIT collabore actuellement avec les régulateurs pour faciliter la collecte de données par les bureaux nationaux de la statistique.</w:t>
      </w:r>
    </w:p>
    <w:p w14:paraId="54E79D09" w14:textId="77777777" w:rsidR="00A90D00" w:rsidRPr="00703986" w:rsidRDefault="00A90D00" w:rsidP="00A90D00">
      <w:r w:rsidRPr="00703986">
        <w:t>3.10</w:t>
      </w:r>
      <w:r w:rsidRPr="00703986">
        <w:tab/>
        <w:t xml:space="preserve">Le Conseil </w:t>
      </w:r>
      <w:r w:rsidRPr="00703986">
        <w:rPr>
          <w:b/>
          <w:bCs/>
        </w:rPr>
        <w:t>approuve</w:t>
      </w:r>
      <w:r w:rsidRPr="00703986">
        <w:t xml:space="preserve"> le rapport figurant dans le Document C26/35 et </w:t>
      </w:r>
      <w:r w:rsidRPr="00703986">
        <w:rPr>
          <w:b/>
          <w:bCs/>
        </w:rPr>
        <w:t xml:space="preserve">autorise </w:t>
      </w:r>
      <w:r w:rsidRPr="00703986">
        <w:t>la Secrétaire générale, sous la supervision du Président, à mettre à jour le rapport à la lumière des discussions et des résultats des manifestations à venir et à transmettre le rapport final à la PP-26.</w:t>
      </w:r>
    </w:p>
    <w:p w14:paraId="548049D2" w14:textId="36D95A73" w:rsidR="00A90D00" w:rsidRPr="00703986" w:rsidRDefault="00A90D00" w:rsidP="000047C7">
      <w:pPr>
        <w:pStyle w:val="Heading1"/>
      </w:pPr>
      <w:r w:rsidRPr="00703986">
        <w:t>4</w:t>
      </w:r>
      <w:r w:rsidRPr="00703986">
        <w:tab/>
        <w:t>Dommages subis par l'infrastructure civile des télécommunications/TIC à Bahreïn, au Koweït, aux Émirats arabes unis et en Jordanie, et incidences sur la connectivité régionale et mondiale (</w:t>
      </w:r>
      <w:hyperlink r:id="rId16" w:history="1">
        <w:r w:rsidRPr="00703986">
          <w:rPr>
            <w:rStyle w:val="Hyperlink"/>
            <w:rFonts w:eastAsia="Times New Roman" w:cs="Times New Roman"/>
            <w:szCs w:val="20"/>
          </w:rPr>
          <w:t>Document C26/95(Rév.1)</w:t>
        </w:r>
      </w:hyperlink>
      <w:r w:rsidRPr="00703986">
        <w:t>)</w:t>
      </w:r>
    </w:p>
    <w:p w14:paraId="589CD82D" w14:textId="24E81B43" w:rsidR="00A90D00" w:rsidRPr="00703986" w:rsidRDefault="00A90D00" w:rsidP="00A90D00">
      <w:r w:rsidRPr="00703986">
        <w:t>4.1</w:t>
      </w:r>
      <w:r w:rsidRPr="00703986">
        <w:tab/>
        <w:t xml:space="preserve">Un conseiller des Émirats arabes unis présente le Document C26/95(Rév.1), qui est une contribution multipays soumise par les six États Membres du Conseil de coopération pour les États arabes du Golfe (CCG) et par la Jordanie, dans laquelle le Conseil est invité à appuyer l'adoption d'un projet de </w:t>
      </w:r>
      <w:r w:rsidR="006B0325" w:rsidRPr="00703986">
        <w:t>R</w:t>
      </w:r>
      <w:r w:rsidRPr="00703986">
        <w:t xml:space="preserve">ésolution. Il est proposé d'établir des rapports supplémentaires et d'évaluer les incidences des attaques contre les services et infrastructures de télécommunication à Bahreïn, au Koweït, aux Émirats arabes unis et en Jordanie, ainsi que de fournir des ressources humaines et des ressources financières adéquates. On trouvera des informations d'ordre général dans le Document </w:t>
      </w:r>
      <w:hyperlink r:id="rId17" w:history="1">
        <w:r w:rsidRPr="00703986">
          <w:rPr>
            <w:rStyle w:val="Hyperlink"/>
            <w:rFonts w:eastAsia="Times New Roman" w:cs="Times New Roman"/>
            <w:szCs w:val="20"/>
          </w:rPr>
          <w:t>C26/INF/24</w:t>
        </w:r>
      </w:hyperlink>
      <w:r w:rsidRPr="00703986">
        <w:t>.</w:t>
      </w:r>
    </w:p>
    <w:p w14:paraId="141E1CDA" w14:textId="52604948" w:rsidR="00A90D00" w:rsidRPr="00703986" w:rsidRDefault="00A90D00" w:rsidP="00A90D00">
      <w:r w:rsidRPr="00703986">
        <w:lastRenderedPageBreak/>
        <w:t>4.2</w:t>
      </w:r>
      <w:r w:rsidRPr="00703986">
        <w:tab/>
        <w:t xml:space="preserve">Le conseiller indique que, depuis février 2026, la République islamique d'Iran vise délibérément des infrastructures civiles de télécommunication/TIC à Bahreïn, en Jordanie, au Koweït et aux Émirats arabes unis. Ces attaques illégales et non provoquées ont entraîné des répercussions sur la résilience et la stabilité des réseaux numériques nationaux, régionaux et mondiaux. Étant donné que la protection et la résilience des réseaux de télécommunication civils relèvent de la compétence de l'UIT, les auteurs de la contribution invitent le Conseil à apporter une réponse mesurée à la situation et, par l'adoption du projet de </w:t>
      </w:r>
      <w:r w:rsidR="006B0325" w:rsidRPr="00703986">
        <w:t>R</w:t>
      </w:r>
      <w:r w:rsidRPr="00703986">
        <w:t>ésolution, à charger le Secrétariat général d'assurer le suivi, l'évaluation et l'établissement de rapports connexes.</w:t>
      </w:r>
    </w:p>
    <w:p w14:paraId="62459D40" w14:textId="77777777" w:rsidR="00A90D00" w:rsidRPr="00703986" w:rsidRDefault="00A90D00" w:rsidP="00A90D00">
      <w:r w:rsidRPr="00703986">
        <w:t>4.3</w:t>
      </w:r>
      <w:r w:rsidRPr="00703986">
        <w:tab/>
        <w:t>Des conseillers se disent préoccupés par les informations faisant état de destructions et de perturbations de l'infrastructure des télécommunications/TIC au Moyen-Orient. Plusieurs conseillers mettent l'accent sur les conséquences humanitaires, économiques et sociétales pour la région, tandis que d'autres insistent sur les incidences sur la souveraineté des États. Certains conseillers déclarent que les attaques constituent une violation du droit international humanitaire et de la Constitution de l'UIT, et appellent tous les États à respecter le droit international. D'autres conseillers soulignent qu'en ciblant des infrastructures vitales pour la sécurité numérique mondiale, comme les câbles sous-marins, la République islamique d'Iran s'essaie à une forme de chantage numérique.</w:t>
      </w:r>
    </w:p>
    <w:p w14:paraId="23AE9A16" w14:textId="77777777" w:rsidR="00A90D00" w:rsidRPr="00703986" w:rsidRDefault="00A90D00" w:rsidP="00A90D00">
      <w:r w:rsidRPr="00703986">
        <w:t>4.4</w:t>
      </w:r>
      <w:r w:rsidRPr="00703986">
        <w:tab/>
        <w:t>Des conseillers demandent qu'il soit mis fin aux frappes sur les infrastructures civiles, l'une d'entre eux soulignant qu'il incombe à Israël et aux États-Unis, en tant qu'initiateurs du conflit, de mettre fin aux hostilités. Certains conseillers soulignent que les préoccupations concernant la République islamique d'Iran ne peuvent être résolues par des moyens militaires, mais que l'heure est plutôt à la négociation et au dialogue. Un conseiller appuie toutes les mesures prises par les États Membres du GCC et la Jordanie pour répondre aux attaques perpétrées contre leurs infrastructures.</w:t>
      </w:r>
    </w:p>
    <w:p w14:paraId="7C59FECD" w14:textId="2EC19896" w:rsidR="00A90D00" w:rsidRPr="00703986" w:rsidRDefault="00A90D00" w:rsidP="00A90D00">
      <w:r w:rsidRPr="00703986">
        <w:t>4.5</w:t>
      </w:r>
      <w:r w:rsidRPr="00703986">
        <w:tab/>
        <w:t xml:space="preserve">Plusieurs conseillers appuient le projet de </w:t>
      </w:r>
      <w:r w:rsidR="006B0325" w:rsidRPr="00703986">
        <w:t>R</w:t>
      </w:r>
      <w:r w:rsidRPr="00703986">
        <w:t>ésolution figurant dans la contribution et prennent notent de l'importance de la protection des infrastructures civiles de télécommunication/TIC et des obligations de l'UIT à cet égard. Deux conseillers réitèrent l'importance pour l'UIT d'adopter une position ferme sur la question afin d'éviter qu'un dangereux précédent ne soit créé.</w:t>
      </w:r>
    </w:p>
    <w:p w14:paraId="2391033F" w14:textId="3FD6339B" w:rsidR="00A90D00" w:rsidRPr="00703986" w:rsidRDefault="00A90D00" w:rsidP="00A90D00">
      <w:r w:rsidRPr="00703986">
        <w:t>4.6</w:t>
      </w:r>
      <w:r w:rsidRPr="00703986">
        <w:tab/>
        <w:t xml:space="preserve">Plusieurs conseillers sont d'avis que tant le projet de </w:t>
      </w:r>
      <w:r w:rsidR="006B0325" w:rsidRPr="00703986">
        <w:t>R</w:t>
      </w:r>
      <w:r w:rsidRPr="00703986">
        <w:t>ésolution contenu dans la contribution présentée par les Émirats arabes unis que celui figurant dans la contribution soumise par la République islamique d'Iran (Document C26/86) doivent être examinés plus avant afin d'élaborer des textes plus équilibrés et objectifs qui respectent le caractère technique du mandat de l'Union.</w:t>
      </w:r>
    </w:p>
    <w:p w14:paraId="0D365CA2" w14:textId="3D591386" w:rsidR="00A90D00" w:rsidRPr="00703986" w:rsidRDefault="00A90D00" w:rsidP="00A90D00">
      <w:r w:rsidRPr="00703986">
        <w:t>4.7</w:t>
      </w:r>
      <w:r w:rsidRPr="00703986">
        <w:tab/>
        <w:t xml:space="preserve">Un certain nombre de conseillers exhortent l'UIT à saisir l'occasion offerte par la proposition </w:t>
      </w:r>
      <w:r w:rsidR="00EF788C" w:rsidRPr="00703986">
        <w:t>de</w:t>
      </w:r>
      <w:r w:rsidRPr="00703986">
        <w:t xml:space="preserve"> projets de </w:t>
      </w:r>
      <w:r w:rsidR="006B0325" w:rsidRPr="00703986">
        <w:t>R</w:t>
      </w:r>
      <w:r w:rsidRPr="00703986">
        <w:t>ésolution pour faire une déclaration sur le caractère critique de l'infrastructure des télécommunications et la nécessité de la protéger en cas de conflit au même titre que d'autres infrastructures, telles que les hôpitaux et les écoles, qui dépendent de l'infrastructure des télécommunications pour fonctionner.</w:t>
      </w:r>
    </w:p>
    <w:p w14:paraId="798C7708" w14:textId="718AE1B4" w:rsidR="00A90D00" w:rsidRPr="00703986" w:rsidRDefault="00A90D00" w:rsidP="00A90D00">
      <w:r w:rsidRPr="00703986">
        <w:t>4.8</w:t>
      </w:r>
      <w:r w:rsidRPr="00703986">
        <w:tab/>
        <w:t xml:space="preserve">Un conseiller des Émirats arabes unis souligne que la contribution présentée et le projet de </w:t>
      </w:r>
      <w:r w:rsidR="006B0325" w:rsidRPr="00703986">
        <w:t>R</w:t>
      </w:r>
      <w:r w:rsidRPr="00703986">
        <w:t>ésolution associé n'ont pas d'incidences financières pour l'UIT. Compte tenu du caractère unique de la situation, où des États non parties à un conflit ont néanmoins été attaqués, il exhorte le Conseil à examiner avec toute l'attention requise la contribution qu'il a présentée, indépendamment de toutes les autres contributions.</w:t>
      </w:r>
    </w:p>
    <w:p w14:paraId="1CBF795A" w14:textId="6066A2EF" w:rsidR="00A90D00" w:rsidRPr="00703986" w:rsidRDefault="00A90D00" w:rsidP="00A90D00">
      <w:r w:rsidRPr="00703986">
        <w:lastRenderedPageBreak/>
        <w:t>4.9</w:t>
      </w:r>
      <w:r w:rsidRPr="00703986">
        <w:tab/>
        <w:t xml:space="preserve">Le Président propose que des consultations informelles soient menées sur le projet de </w:t>
      </w:r>
      <w:r w:rsidR="006B0325" w:rsidRPr="00703986">
        <w:t>R</w:t>
      </w:r>
      <w:r w:rsidRPr="00703986">
        <w:t>ésolution et que le Conseil reprenne ensuite l'examen de ce point.</w:t>
      </w:r>
    </w:p>
    <w:p w14:paraId="789F2684" w14:textId="77777777" w:rsidR="00A90D00" w:rsidRPr="00703986" w:rsidRDefault="00A90D00" w:rsidP="00A90D00">
      <w:r w:rsidRPr="00703986">
        <w:t>4.10</w:t>
      </w:r>
      <w:r w:rsidRPr="00703986">
        <w:tab/>
        <w:t xml:space="preserve">Il en est ainsi </w:t>
      </w:r>
      <w:r w:rsidRPr="00703986">
        <w:rPr>
          <w:b/>
          <w:bCs/>
        </w:rPr>
        <w:t>décidé</w:t>
      </w:r>
      <w:r w:rsidRPr="00703986">
        <w:t>.</w:t>
      </w:r>
    </w:p>
    <w:p w14:paraId="0C959855" w14:textId="77777777" w:rsidR="00A90D00" w:rsidRPr="00703986" w:rsidRDefault="00A90D00" w:rsidP="000047C7">
      <w:pPr>
        <w:pStyle w:val="Heading1"/>
      </w:pPr>
      <w:r w:rsidRPr="00703986">
        <w:t>5</w:t>
      </w:r>
      <w:r w:rsidRPr="00703986">
        <w:tab/>
        <w:t>Déclarations des conseillers</w:t>
      </w:r>
    </w:p>
    <w:p w14:paraId="6201AA73" w14:textId="77777777" w:rsidR="00A90D00" w:rsidRPr="00703986" w:rsidRDefault="00A90D00" w:rsidP="00A90D00">
      <w:r w:rsidRPr="00703986">
        <w:t>5.1</w:t>
      </w:r>
      <w:r w:rsidRPr="00703986">
        <w:tab/>
        <w:t xml:space="preserve">Le conseiller du Rwanda annonce que son pays présente sa candidature en vue de sa réélection au Conseil. </w:t>
      </w:r>
    </w:p>
    <w:p w14:paraId="5DB30E98" w14:textId="54227E0C" w:rsidR="006A11AE" w:rsidRPr="00703986" w:rsidRDefault="00A90D00" w:rsidP="000047C7">
      <w:pPr>
        <w:tabs>
          <w:tab w:val="clear" w:pos="567"/>
          <w:tab w:val="clear" w:pos="1134"/>
          <w:tab w:val="clear" w:pos="1701"/>
          <w:tab w:val="clear" w:pos="2268"/>
          <w:tab w:val="clear" w:pos="2835"/>
          <w:tab w:val="left" w:pos="7088"/>
        </w:tabs>
        <w:spacing w:before="840"/>
      </w:pPr>
      <w:r w:rsidRPr="00703986">
        <w:t>La Secrétaire générale:</w:t>
      </w:r>
      <w:r w:rsidRPr="00703986">
        <w:tab/>
        <w:t>Le Président:</w:t>
      </w:r>
      <w:r w:rsidR="000047C7" w:rsidRPr="00703986">
        <w:br/>
      </w:r>
      <w:r w:rsidRPr="00703986">
        <w:t>D. BOGDAN-MARTIN</w:t>
      </w:r>
      <w:r w:rsidRPr="00703986">
        <w:tab/>
        <w:t>B. TIJANI</w:t>
      </w:r>
    </w:p>
    <w:sectPr w:rsidR="006A11AE" w:rsidRPr="00703986" w:rsidSect="00D72F49">
      <w:headerReference w:type="even" r:id="rId18"/>
      <w:footerReference w:type="even" r:id="rId19"/>
      <w:footerReference w:type="default" r:id="rId20"/>
      <w:headerReference w:type="first" r:id="rId21"/>
      <w:footerReference w:type="first" r:id="rId22"/>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66B79" w14:textId="77777777" w:rsidR="00AE135A" w:rsidRDefault="00AE135A">
      <w:r>
        <w:separator/>
      </w:r>
    </w:p>
  </w:endnote>
  <w:endnote w:type="continuationSeparator" w:id="0">
    <w:p w14:paraId="2F440E06" w14:textId="77777777" w:rsidR="00AE135A" w:rsidRDefault="00AE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A398" w14:textId="08B39593" w:rsidR="00732045" w:rsidRDefault="007E2A64">
    <w:pPr>
      <w:pStyle w:val="Footer"/>
    </w:pPr>
    <w:fldSimple w:instr=" FILENAME \p \* MERGEFORMAT ">
      <w:r>
        <w:t>P:\FRA\gDoc\SG\C26\2601338F_FNL.docx</w:t>
      </w:r>
    </w:fldSimple>
    <w:r w:rsidR="00732045">
      <w:tab/>
    </w:r>
    <w:r w:rsidR="002F1B76">
      <w:fldChar w:fldCharType="begin"/>
    </w:r>
    <w:r w:rsidR="00732045">
      <w:instrText xml:space="preserve"> savedate \@ dd.MM.yy </w:instrText>
    </w:r>
    <w:r w:rsidR="002F1B76">
      <w:fldChar w:fldCharType="separate"/>
    </w:r>
    <w:r w:rsidR="00905965">
      <w:t>04.09.26</w:t>
    </w:r>
    <w:r w:rsidR="002F1B76">
      <w:fldChar w:fldCharType="end"/>
    </w:r>
    <w:r w:rsidR="00732045">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5C03EB02" w14:textId="77777777" w:rsidTr="00E31DCE">
      <w:trPr>
        <w:jc w:val="center"/>
      </w:trPr>
      <w:tc>
        <w:tcPr>
          <w:tcW w:w="1803" w:type="dxa"/>
          <w:vAlign w:val="center"/>
        </w:tcPr>
        <w:p w14:paraId="3A73B282" w14:textId="580923E9" w:rsidR="00A51849" w:rsidRDefault="00341A4A" w:rsidP="00A51849">
          <w:pPr>
            <w:pStyle w:val="Header"/>
            <w:jc w:val="left"/>
            <w:rPr>
              <w:noProof/>
            </w:rPr>
          </w:pPr>
          <w:r>
            <w:rPr>
              <w:noProof/>
            </w:rPr>
            <w:t>2601338</w:t>
          </w:r>
        </w:p>
      </w:tc>
      <w:tc>
        <w:tcPr>
          <w:tcW w:w="8261" w:type="dxa"/>
        </w:tcPr>
        <w:p w14:paraId="0393E6A5" w14:textId="75F2C155"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341A4A">
            <w:rPr>
              <w:bCs/>
            </w:rPr>
            <w:t>118</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1D5B85DE"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42F0E406" w14:textId="77777777" w:rsidTr="00E31DCE">
      <w:trPr>
        <w:jc w:val="center"/>
      </w:trPr>
      <w:tc>
        <w:tcPr>
          <w:tcW w:w="1803" w:type="dxa"/>
          <w:vAlign w:val="center"/>
        </w:tcPr>
        <w:p w14:paraId="17ED0E8E"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7C5423DE" w14:textId="1B6EE8AC"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A90D00">
            <w:rPr>
              <w:bCs/>
            </w:rPr>
            <w:t>118</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2E689512"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3E41" w14:textId="77777777" w:rsidR="00AE135A" w:rsidRDefault="00AE135A">
      <w:r>
        <w:t>____________________</w:t>
      </w:r>
    </w:p>
  </w:footnote>
  <w:footnote w:type="continuationSeparator" w:id="0">
    <w:p w14:paraId="03CD109F" w14:textId="77777777" w:rsidR="00AE135A" w:rsidRDefault="00AE1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806A"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364154ED"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52049" w14:textId="77777777" w:rsidR="00A51849" w:rsidRPr="001342E0" w:rsidRDefault="001342E0" w:rsidP="001342E0">
    <w:pPr>
      <w:pStyle w:val="Header"/>
    </w:pPr>
    <w:r>
      <w:rPr>
        <w:noProof/>
      </w:rPr>
      <w:drawing>
        <wp:inline distT="0" distB="0" distL="0" distR="0" wp14:anchorId="5C276A9C" wp14:editId="6F31D0D0">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00"/>
    <w:rsid w:val="000047C7"/>
    <w:rsid w:val="00076A2C"/>
    <w:rsid w:val="000C1DCC"/>
    <w:rsid w:val="000D0D0A"/>
    <w:rsid w:val="000D4E52"/>
    <w:rsid w:val="00103163"/>
    <w:rsid w:val="00106B19"/>
    <w:rsid w:val="001133EF"/>
    <w:rsid w:val="00115D93"/>
    <w:rsid w:val="001247A8"/>
    <w:rsid w:val="0013311C"/>
    <w:rsid w:val="001342E0"/>
    <w:rsid w:val="001370B2"/>
    <w:rsid w:val="001378C0"/>
    <w:rsid w:val="001658F9"/>
    <w:rsid w:val="0018694A"/>
    <w:rsid w:val="0019129B"/>
    <w:rsid w:val="001A3287"/>
    <w:rsid w:val="001A6508"/>
    <w:rsid w:val="001D4C31"/>
    <w:rsid w:val="001E4D21"/>
    <w:rsid w:val="00207CD1"/>
    <w:rsid w:val="00226657"/>
    <w:rsid w:val="002477A2"/>
    <w:rsid w:val="00263A51"/>
    <w:rsid w:val="00267E02"/>
    <w:rsid w:val="00271321"/>
    <w:rsid w:val="00277DEA"/>
    <w:rsid w:val="002A5D44"/>
    <w:rsid w:val="002C3F32"/>
    <w:rsid w:val="002C4E3D"/>
    <w:rsid w:val="002D2336"/>
    <w:rsid w:val="002E0BC4"/>
    <w:rsid w:val="002F1B76"/>
    <w:rsid w:val="0033568E"/>
    <w:rsid w:val="00341A4A"/>
    <w:rsid w:val="003439D9"/>
    <w:rsid w:val="00355FF5"/>
    <w:rsid w:val="00361350"/>
    <w:rsid w:val="003C3FAE"/>
    <w:rsid w:val="004038CB"/>
    <w:rsid w:val="0040546F"/>
    <w:rsid w:val="004177BD"/>
    <w:rsid w:val="0042404A"/>
    <w:rsid w:val="0044618F"/>
    <w:rsid w:val="00465C35"/>
    <w:rsid w:val="0046769A"/>
    <w:rsid w:val="00475FB3"/>
    <w:rsid w:val="004C37A9"/>
    <w:rsid w:val="004D1D50"/>
    <w:rsid w:val="004F259E"/>
    <w:rsid w:val="004F633A"/>
    <w:rsid w:val="00504C7F"/>
    <w:rsid w:val="00511F1D"/>
    <w:rsid w:val="00520F36"/>
    <w:rsid w:val="00524E8D"/>
    <w:rsid w:val="00534E13"/>
    <w:rsid w:val="00540615"/>
    <w:rsid w:val="00540A6D"/>
    <w:rsid w:val="0054314F"/>
    <w:rsid w:val="00553536"/>
    <w:rsid w:val="00566679"/>
    <w:rsid w:val="00570F0C"/>
    <w:rsid w:val="00571EEA"/>
    <w:rsid w:val="00575417"/>
    <w:rsid w:val="0057546C"/>
    <w:rsid w:val="005768E1"/>
    <w:rsid w:val="005B1938"/>
    <w:rsid w:val="005C3890"/>
    <w:rsid w:val="005F7BFE"/>
    <w:rsid w:val="00600017"/>
    <w:rsid w:val="00602682"/>
    <w:rsid w:val="006235CA"/>
    <w:rsid w:val="0062366E"/>
    <w:rsid w:val="006643AB"/>
    <w:rsid w:val="006A11AE"/>
    <w:rsid w:val="006B0325"/>
    <w:rsid w:val="006B224B"/>
    <w:rsid w:val="006F0A53"/>
    <w:rsid w:val="00703986"/>
    <w:rsid w:val="00705496"/>
    <w:rsid w:val="0071402E"/>
    <w:rsid w:val="007173EA"/>
    <w:rsid w:val="007210CD"/>
    <w:rsid w:val="00732045"/>
    <w:rsid w:val="0073275D"/>
    <w:rsid w:val="007369DB"/>
    <w:rsid w:val="0077110E"/>
    <w:rsid w:val="007956C2"/>
    <w:rsid w:val="00796BDB"/>
    <w:rsid w:val="007A187E"/>
    <w:rsid w:val="007C72C2"/>
    <w:rsid w:val="007D4436"/>
    <w:rsid w:val="007E2A64"/>
    <w:rsid w:val="007F257A"/>
    <w:rsid w:val="007F3665"/>
    <w:rsid w:val="00800037"/>
    <w:rsid w:val="0082299A"/>
    <w:rsid w:val="0083391C"/>
    <w:rsid w:val="0084546D"/>
    <w:rsid w:val="00861D73"/>
    <w:rsid w:val="00882919"/>
    <w:rsid w:val="00897553"/>
    <w:rsid w:val="008A4E87"/>
    <w:rsid w:val="008D76E6"/>
    <w:rsid w:val="00905965"/>
    <w:rsid w:val="0092392D"/>
    <w:rsid w:val="0093234A"/>
    <w:rsid w:val="00956A78"/>
    <w:rsid w:val="0097363B"/>
    <w:rsid w:val="00973F53"/>
    <w:rsid w:val="0098348E"/>
    <w:rsid w:val="009A6BAA"/>
    <w:rsid w:val="009A76A8"/>
    <w:rsid w:val="009C307F"/>
    <w:rsid w:val="009C353C"/>
    <w:rsid w:val="009D5955"/>
    <w:rsid w:val="009F0FB8"/>
    <w:rsid w:val="00A01F4F"/>
    <w:rsid w:val="00A109AF"/>
    <w:rsid w:val="00A11741"/>
    <w:rsid w:val="00A125FB"/>
    <w:rsid w:val="00A168D7"/>
    <w:rsid w:val="00A2113E"/>
    <w:rsid w:val="00A23A51"/>
    <w:rsid w:val="00A24607"/>
    <w:rsid w:val="00A25CD3"/>
    <w:rsid w:val="00A51849"/>
    <w:rsid w:val="00A709FE"/>
    <w:rsid w:val="00A73C60"/>
    <w:rsid w:val="00A82767"/>
    <w:rsid w:val="00A90D00"/>
    <w:rsid w:val="00AA332F"/>
    <w:rsid w:val="00AA7BBB"/>
    <w:rsid w:val="00AB64A8"/>
    <w:rsid w:val="00AC0266"/>
    <w:rsid w:val="00AC0F1D"/>
    <w:rsid w:val="00AD24EC"/>
    <w:rsid w:val="00AE135A"/>
    <w:rsid w:val="00B27B00"/>
    <w:rsid w:val="00B309F9"/>
    <w:rsid w:val="00B32B60"/>
    <w:rsid w:val="00B51005"/>
    <w:rsid w:val="00B61619"/>
    <w:rsid w:val="00B64AFF"/>
    <w:rsid w:val="00BB38C1"/>
    <w:rsid w:val="00BB4545"/>
    <w:rsid w:val="00BD5873"/>
    <w:rsid w:val="00BF4B60"/>
    <w:rsid w:val="00C049D7"/>
    <w:rsid w:val="00C04BE3"/>
    <w:rsid w:val="00C25D29"/>
    <w:rsid w:val="00C2625E"/>
    <w:rsid w:val="00C27A7C"/>
    <w:rsid w:val="00C42437"/>
    <w:rsid w:val="00CA08ED"/>
    <w:rsid w:val="00CC6EAA"/>
    <w:rsid w:val="00CE5172"/>
    <w:rsid w:val="00CF0534"/>
    <w:rsid w:val="00CF183B"/>
    <w:rsid w:val="00D375CD"/>
    <w:rsid w:val="00D37B53"/>
    <w:rsid w:val="00D553A2"/>
    <w:rsid w:val="00D72F49"/>
    <w:rsid w:val="00D774D3"/>
    <w:rsid w:val="00D904E8"/>
    <w:rsid w:val="00DA08C3"/>
    <w:rsid w:val="00DB0BF4"/>
    <w:rsid w:val="00DB5A3E"/>
    <w:rsid w:val="00DC22AA"/>
    <w:rsid w:val="00DD1A99"/>
    <w:rsid w:val="00DE62C6"/>
    <w:rsid w:val="00DF74DD"/>
    <w:rsid w:val="00E25AD0"/>
    <w:rsid w:val="00E33426"/>
    <w:rsid w:val="00E434C7"/>
    <w:rsid w:val="00E4428F"/>
    <w:rsid w:val="00E4448E"/>
    <w:rsid w:val="00E47427"/>
    <w:rsid w:val="00E93668"/>
    <w:rsid w:val="00E95647"/>
    <w:rsid w:val="00EA1B82"/>
    <w:rsid w:val="00EB6350"/>
    <w:rsid w:val="00ED799B"/>
    <w:rsid w:val="00EF788C"/>
    <w:rsid w:val="00F15B57"/>
    <w:rsid w:val="00F35EF4"/>
    <w:rsid w:val="00F37FE5"/>
    <w:rsid w:val="00F427DB"/>
    <w:rsid w:val="00F65A0E"/>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55F2C"/>
  <w15:docId w15:val="{027B1C52-E1B8-4EE9-BADD-B207FF87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FC6D7D"/>
    <w:rPr>
      <w:rFonts w:eastAsiaTheme="minorHAnsi" w:cstheme="minorBidi"/>
      <w:color w:val="4F81BD" w:themeColor="accent1"/>
      <w:szCs w:val="22"/>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55/fr" TargetMode="External"/><Relationship Id="rId13" Type="http://schemas.openxmlformats.org/officeDocument/2006/relationships/hyperlink" Target="https://www.itu.int/md/S26-CL-C-0055/f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itu.int/md/S26-CL-C-0028/fr" TargetMode="External"/><Relationship Id="rId12" Type="http://schemas.openxmlformats.org/officeDocument/2006/relationships/hyperlink" Target="https://www.itu.int/md/S26-CL-C-0028/fr" TargetMode="External"/><Relationship Id="rId17" Type="http://schemas.openxmlformats.org/officeDocument/2006/relationships/hyperlink" Target="https://www.itu.int/md/S26-CL-INF-0024/fr" TargetMode="External"/><Relationship Id="rId2" Type="http://schemas.openxmlformats.org/officeDocument/2006/relationships/styles" Target="styles.xml"/><Relationship Id="rId16" Type="http://schemas.openxmlformats.org/officeDocument/2006/relationships/hyperlink" Target="https://www.itu.int/md/S26-CL-C-0095/f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95/f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md/S26-CL-C-0035/fr" TargetMode="External"/><Relationship Id="rId23" Type="http://schemas.openxmlformats.org/officeDocument/2006/relationships/fontTable" Target="fontTable.xml"/><Relationship Id="rId10" Type="http://schemas.openxmlformats.org/officeDocument/2006/relationships/hyperlink" Target="https://www.itu.int/md/S26-CL-C-0035/f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tu.int/md/S26-CL-C-0082/fr" TargetMode="External"/><Relationship Id="rId14" Type="http://schemas.openxmlformats.org/officeDocument/2006/relationships/hyperlink" Target="https://www.itu.int/md/S26-CL-C-0082/fr"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3427</Words>
  <Characters>24474</Characters>
  <Application>Microsoft Office Word</Application>
  <DocSecurity>0</DocSecurity>
  <Lines>401</Lines>
  <Paragraphs>87</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27814</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première séance plénière</dc:title>
  <dc:subject>Conseil 2026 de l'UIT</dc:subject>
  <dc:creator>FrenchM</dc:creator>
  <cp:keywords>C26; C2026; Council 2026; PP26</cp:keywords>
  <dc:description/>
  <cp:lastModifiedBy>ITUGBS</cp:lastModifiedBy>
  <cp:revision>2</cp:revision>
  <cp:lastPrinted>2000-07-18T08:55:00Z</cp:lastPrinted>
  <dcterms:created xsi:type="dcterms:W3CDTF">2026-09-14T08:32:00Z</dcterms:created>
  <dcterms:modified xsi:type="dcterms:W3CDTF">2026-09-14T08:32:00Z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