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4A0" w:firstRow="1" w:lastRow="0" w:firstColumn="1" w:lastColumn="0" w:noHBand="0" w:noVBand="1"/>
      </w:tblPr>
      <w:tblGrid>
        <w:gridCol w:w="3969"/>
        <w:gridCol w:w="5245"/>
      </w:tblGrid>
      <w:tr w:rsidR="00C152A8" w14:paraId="194A9279" w14:textId="77777777">
        <w:trPr>
          <w:cantSplit/>
          <w:trHeight w:val="23"/>
        </w:trPr>
        <w:tc>
          <w:tcPr>
            <w:tcW w:w="3969" w:type="dxa"/>
            <w:vMerge w:val="restart"/>
            <w:tcMar>
              <w:left w:w="0" w:type="dxa"/>
            </w:tcMar>
          </w:tcPr>
          <w:p w14:paraId="5AB4BF73" w14:textId="77777777" w:rsidR="00C152A8" w:rsidRDefault="00C152A8">
            <w:pPr>
              <w:tabs>
                <w:tab w:val="left" w:pos="851"/>
              </w:tabs>
              <w:spacing w:before="0" w:line="240" w:lineRule="atLeast"/>
              <w:rPr>
                <w:b/>
                <w:lang w:val="en-GB"/>
              </w:rPr>
            </w:pPr>
            <w:bookmarkStart w:id="0" w:name="dnum" w:colFirst="1" w:colLast="1"/>
            <w:bookmarkStart w:id="1" w:name="dmeeting" w:colFirst="0" w:colLast="0"/>
            <w:bookmarkStart w:id="2" w:name="_Hlk133421839"/>
            <w:bookmarkStart w:id="3" w:name="_Hlk133421856"/>
            <w:bookmarkStart w:id="4" w:name="_Hlk133586559"/>
            <w:bookmarkStart w:id="5" w:name="_Hlk133422370"/>
          </w:p>
        </w:tc>
        <w:tc>
          <w:tcPr>
            <w:tcW w:w="5245" w:type="dxa"/>
          </w:tcPr>
          <w:p w14:paraId="63218DD2" w14:textId="77777777" w:rsidR="00C152A8" w:rsidRDefault="007438CE">
            <w:pPr>
              <w:tabs>
                <w:tab w:val="left" w:pos="851"/>
              </w:tabs>
              <w:spacing w:before="0" w:line="240" w:lineRule="atLeast"/>
              <w:jc w:val="right"/>
              <w:rPr>
                <w:b/>
                <w:lang w:val="en-GB"/>
              </w:rPr>
            </w:pPr>
            <w:r>
              <w:rPr>
                <w:b/>
                <w:lang w:val="en-GB"/>
              </w:rPr>
              <w:t>Document C26/118-E</w:t>
            </w:r>
          </w:p>
        </w:tc>
      </w:tr>
      <w:tr w:rsidR="00C152A8" w14:paraId="0CBD6F1F" w14:textId="77777777">
        <w:trPr>
          <w:cantSplit/>
        </w:trPr>
        <w:tc>
          <w:tcPr>
            <w:tcW w:w="3969" w:type="dxa"/>
            <w:vMerge/>
          </w:tcPr>
          <w:p w14:paraId="5CE1F5FC" w14:textId="77777777" w:rsidR="00C152A8" w:rsidRDefault="00C152A8">
            <w:pPr>
              <w:tabs>
                <w:tab w:val="left" w:pos="851"/>
              </w:tabs>
              <w:spacing w:line="240" w:lineRule="atLeast"/>
              <w:rPr>
                <w:b/>
                <w:lang w:val="en-GB"/>
              </w:rPr>
            </w:pPr>
            <w:bookmarkStart w:id="6" w:name="ddate" w:colFirst="1" w:colLast="1"/>
            <w:bookmarkEnd w:id="0"/>
            <w:bookmarkEnd w:id="1"/>
          </w:p>
        </w:tc>
        <w:tc>
          <w:tcPr>
            <w:tcW w:w="5245" w:type="dxa"/>
          </w:tcPr>
          <w:p w14:paraId="63A6B011" w14:textId="012965CE" w:rsidR="00C152A8" w:rsidRDefault="00E96A4A">
            <w:pPr>
              <w:tabs>
                <w:tab w:val="left" w:pos="851"/>
              </w:tabs>
              <w:spacing w:before="0"/>
              <w:jc w:val="right"/>
              <w:rPr>
                <w:b/>
                <w:lang w:val="en-GB"/>
              </w:rPr>
            </w:pPr>
            <w:r>
              <w:rPr>
                <w:b/>
                <w:lang w:val="en-GB"/>
              </w:rPr>
              <w:t>2 September</w:t>
            </w:r>
            <w:r w:rsidR="007438CE">
              <w:rPr>
                <w:b/>
                <w:lang w:val="en-GB"/>
              </w:rPr>
              <w:t xml:space="preserve"> 2026</w:t>
            </w:r>
          </w:p>
        </w:tc>
      </w:tr>
      <w:tr w:rsidR="00C152A8" w14:paraId="673BFD9A" w14:textId="77777777">
        <w:trPr>
          <w:cantSplit/>
          <w:trHeight w:val="23"/>
        </w:trPr>
        <w:tc>
          <w:tcPr>
            <w:tcW w:w="3969" w:type="dxa"/>
            <w:vMerge/>
          </w:tcPr>
          <w:p w14:paraId="5A5C9DCD" w14:textId="77777777" w:rsidR="00C152A8" w:rsidRDefault="00C152A8">
            <w:pPr>
              <w:tabs>
                <w:tab w:val="left" w:pos="851"/>
              </w:tabs>
              <w:spacing w:line="240" w:lineRule="atLeast"/>
              <w:rPr>
                <w:b/>
                <w:lang w:val="en-GB"/>
              </w:rPr>
            </w:pPr>
            <w:bookmarkStart w:id="7" w:name="dorlang" w:colFirst="1" w:colLast="1"/>
            <w:bookmarkEnd w:id="6"/>
          </w:p>
        </w:tc>
        <w:tc>
          <w:tcPr>
            <w:tcW w:w="5245" w:type="dxa"/>
          </w:tcPr>
          <w:p w14:paraId="2E1E9B63" w14:textId="77777777" w:rsidR="00C152A8" w:rsidRDefault="007438CE">
            <w:pPr>
              <w:tabs>
                <w:tab w:val="left" w:pos="851"/>
              </w:tabs>
              <w:spacing w:before="0" w:line="240" w:lineRule="atLeast"/>
              <w:jc w:val="right"/>
              <w:rPr>
                <w:b/>
                <w:lang w:val="en-GB"/>
              </w:rPr>
            </w:pPr>
            <w:r>
              <w:rPr>
                <w:b/>
                <w:lang w:val="en-GB"/>
              </w:rPr>
              <w:t>Original: English</w:t>
            </w:r>
          </w:p>
        </w:tc>
      </w:tr>
      <w:tr w:rsidR="00C152A8" w14:paraId="306F2261" w14:textId="77777777">
        <w:trPr>
          <w:cantSplit/>
          <w:trHeight w:val="23"/>
        </w:trPr>
        <w:tc>
          <w:tcPr>
            <w:tcW w:w="3969" w:type="dxa"/>
          </w:tcPr>
          <w:p w14:paraId="037CF895" w14:textId="77777777" w:rsidR="00C152A8" w:rsidRDefault="00C152A8">
            <w:pPr>
              <w:tabs>
                <w:tab w:val="left" w:pos="851"/>
              </w:tabs>
              <w:spacing w:line="240" w:lineRule="atLeast"/>
              <w:rPr>
                <w:b/>
                <w:lang w:val="en-GB"/>
              </w:rPr>
            </w:pPr>
          </w:p>
        </w:tc>
        <w:tc>
          <w:tcPr>
            <w:tcW w:w="5245" w:type="dxa"/>
          </w:tcPr>
          <w:p w14:paraId="6C59145D" w14:textId="77777777" w:rsidR="00C152A8" w:rsidRDefault="00C152A8">
            <w:pPr>
              <w:tabs>
                <w:tab w:val="left" w:pos="851"/>
              </w:tabs>
              <w:spacing w:before="0" w:line="240" w:lineRule="atLeast"/>
              <w:jc w:val="right"/>
              <w:rPr>
                <w:b/>
                <w:lang w:val="en-GB"/>
              </w:rPr>
            </w:pPr>
          </w:p>
        </w:tc>
      </w:tr>
    </w:tbl>
    <w:tbl>
      <w:tblPr>
        <w:tblW w:w="9214" w:type="dxa"/>
        <w:tblLayout w:type="fixed"/>
        <w:tblLook w:val="04A0" w:firstRow="1" w:lastRow="0" w:firstColumn="1" w:lastColumn="0" w:noHBand="0" w:noVBand="1"/>
      </w:tblPr>
      <w:tblGrid>
        <w:gridCol w:w="446"/>
        <w:gridCol w:w="6597"/>
        <w:gridCol w:w="2171"/>
      </w:tblGrid>
      <w:tr w:rsidR="00C152A8" w:rsidRPr="00D710E2" w14:paraId="76A5F336" w14:textId="77777777">
        <w:trPr>
          <w:cantSplit/>
          <w:trHeight w:val="23"/>
        </w:trPr>
        <w:tc>
          <w:tcPr>
            <w:tcW w:w="9214" w:type="dxa"/>
            <w:gridSpan w:val="3"/>
          </w:tcPr>
          <w:p w14:paraId="3286C0FA" w14:textId="77777777" w:rsidR="00C152A8" w:rsidRDefault="007438CE">
            <w:pPr>
              <w:pStyle w:val="Summary-Record"/>
              <w:framePr w:hSpace="0" w:wrap="auto" w:vAnchor="margin" w:hAnchor="text" w:xAlign="left" w:yAlign="inline"/>
              <w:rPr>
                <w:b w:val="0"/>
              </w:rPr>
            </w:pPr>
            <w:bookmarkStart w:id="8" w:name="_Hlk133421428"/>
            <w:bookmarkEnd w:id="2"/>
            <w:bookmarkEnd w:id="7"/>
            <w:r>
              <w:t>SUMMARY</w:t>
            </w:r>
            <w:r>
              <w:rPr>
                <w:bCs/>
              </w:rPr>
              <w:t xml:space="preserve"> RECORD</w:t>
            </w:r>
            <w:r>
              <w:rPr>
                <w:bCs/>
              </w:rPr>
              <w:br/>
            </w:r>
            <w:r>
              <w:br/>
              <w:t>OF</w:t>
            </w:r>
            <w:r>
              <w:rPr>
                <w:bCs/>
              </w:rPr>
              <w:t xml:space="preserve"> THE</w:t>
            </w:r>
            <w:r>
              <w:rPr>
                <w:bCs/>
              </w:rPr>
              <w:br/>
            </w:r>
            <w:r>
              <w:rPr>
                <w:bCs/>
              </w:rPr>
              <w:br/>
              <w:t>FIRST PLENARY MEETING</w:t>
            </w:r>
          </w:p>
        </w:tc>
      </w:tr>
      <w:tr w:rsidR="00C152A8" w:rsidRPr="00D710E2" w14:paraId="7B965715" w14:textId="77777777">
        <w:trPr>
          <w:cantSplit/>
          <w:trHeight w:val="23"/>
        </w:trPr>
        <w:tc>
          <w:tcPr>
            <w:tcW w:w="9214" w:type="dxa"/>
            <w:gridSpan w:val="3"/>
          </w:tcPr>
          <w:p w14:paraId="577047E4" w14:textId="77777777" w:rsidR="00C152A8" w:rsidRDefault="007438CE">
            <w:pPr>
              <w:tabs>
                <w:tab w:val="clear" w:pos="567"/>
                <w:tab w:val="clear" w:pos="1134"/>
                <w:tab w:val="clear" w:pos="1701"/>
                <w:tab w:val="clear" w:pos="2268"/>
                <w:tab w:val="clear" w:pos="2835"/>
              </w:tabs>
              <w:overflowPunct/>
              <w:autoSpaceDE/>
              <w:autoSpaceDN/>
              <w:adjustRightInd/>
              <w:spacing w:after="240"/>
              <w:jc w:val="center"/>
              <w:textAlignment w:val="auto"/>
              <w:rPr>
                <w:lang w:val="en-GB"/>
              </w:rPr>
            </w:pPr>
            <w:r>
              <w:rPr>
                <w:rFonts w:cs="Calibri"/>
                <w:szCs w:val="24"/>
                <w:lang w:val="en-GB" w:eastAsia="en-GB"/>
              </w:rPr>
              <w:t>Tuesday, 28 April 2026, from 1435 to 1745 hours</w:t>
            </w:r>
          </w:p>
          <w:p w14:paraId="0982D79D" w14:textId="77777777" w:rsidR="00C152A8" w:rsidRDefault="007438CE">
            <w:pPr>
              <w:tabs>
                <w:tab w:val="left" w:pos="851"/>
              </w:tabs>
              <w:spacing w:after="240" w:line="240" w:lineRule="atLeast"/>
              <w:jc w:val="center"/>
              <w:rPr>
                <w:bCs/>
                <w:lang w:val="en-GB"/>
              </w:rPr>
            </w:pPr>
            <w:r>
              <w:rPr>
                <w:b/>
                <w:bCs/>
                <w:lang w:val="en-GB"/>
              </w:rPr>
              <w:t>Chair</w:t>
            </w:r>
            <w:r>
              <w:rPr>
                <w:lang w:val="en-GB"/>
              </w:rPr>
              <w:t xml:space="preserve">:  </w:t>
            </w:r>
            <w:r>
              <w:rPr>
                <w:rFonts w:cs="Calibri"/>
                <w:szCs w:val="24"/>
                <w:lang w:val="en-GB" w:eastAsia="en-GB"/>
              </w:rPr>
              <w:t>Mr B Tijani (Nigeria)</w:t>
            </w:r>
          </w:p>
        </w:tc>
      </w:tr>
      <w:tr w:rsidR="00C152A8" w14:paraId="35CFE84A" w14:textId="77777777">
        <w:tc>
          <w:tcPr>
            <w:tcW w:w="446" w:type="dxa"/>
          </w:tcPr>
          <w:p w14:paraId="5197B18C" w14:textId="77777777" w:rsidR="00C152A8" w:rsidRDefault="007438CE">
            <w:pPr>
              <w:spacing w:before="480"/>
              <w:rPr>
                <w:b/>
                <w:bCs/>
                <w:szCs w:val="24"/>
                <w:lang w:val="en-GB"/>
              </w:rPr>
            </w:pPr>
            <w:bookmarkStart w:id="9" w:name="_Hlk141438382"/>
            <w:r>
              <w:rPr>
                <w:b/>
                <w:bCs/>
                <w:szCs w:val="24"/>
                <w:lang w:val="en-GB"/>
              </w:rPr>
              <w:br w:type="page"/>
            </w:r>
            <w:r>
              <w:rPr>
                <w:b/>
                <w:bCs/>
                <w:szCs w:val="24"/>
                <w:lang w:val="en-GB"/>
              </w:rPr>
              <w:br w:type="page"/>
            </w:r>
          </w:p>
        </w:tc>
        <w:tc>
          <w:tcPr>
            <w:tcW w:w="6597" w:type="dxa"/>
          </w:tcPr>
          <w:p w14:paraId="43831782" w14:textId="77777777" w:rsidR="00C152A8" w:rsidRDefault="007438CE">
            <w:pPr>
              <w:spacing w:before="480" w:after="120"/>
              <w:rPr>
                <w:b/>
                <w:bCs/>
                <w:szCs w:val="24"/>
                <w:lang w:val="en-GB"/>
              </w:rPr>
            </w:pPr>
            <w:r>
              <w:rPr>
                <w:b/>
                <w:bCs/>
                <w:szCs w:val="24"/>
                <w:lang w:val="en-GB"/>
              </w:rPr>
              <w:t>Subjects discussed</w:t>
            </w:r>
          </w:p>
        </w:tc>
        <w:tc>
          <w:tcPr>
            <w:tcW w:w="2171" w:type="dxa"/>
          </w:tcPr>
          <w:p w14:paraId="1729B34A" w14:textId="77777777" w:rsidR="00C152A8" w:rsidRDefault="007438CE">
            <w:pPr>
              <w:spacing w:before="480"/>
              <w:jc w:val="center"/>
              <w:rPr>
                <w:b/>
                <w:bCs/>
                <w:szCs w:val="24"/>
                <w:lang w:val="en-GB"/>
              </w:rPr>
            </w:pPr>
            <w:r>
              <w:rPr>
                <w:b/>
                <w:bCs/>
                <w:szCs w:val="24"/>
                <w:lang w:val="en-GB"/>
              </w:rPr>
              <w:t>Documents</w:t>
            </w:r>
          </w:p>
        </w:tc>
      </w:tr>
      <w:tr w:rsidR="00C152A8" w14:paraId="11FBADB9" w14:textId="77777777">
        <w:trPr>
          <w:trHeight w:val="20"/>
        </w:trPr>
        <w:tc>
          <w:tcPr>
            <w:tcW w:w="446" w:type="dxa"/>
          </w:tcPr>
          <w:p w14:paraId="040F2086" w14:textId="77777777" w:rsidR="00C152A8" w:rsidRDefault="007438CE">
            <w:pPr>
              <w:spacing w:before="80" w:after="80"/>
              <w:rPr>
                <w:sz w:val="22"/>
                <w:szCs w:val="22"/>
                <w:lang w:val="en-GB"/>
              </w:rPr>
            </w:pPr>
            <w:r>
              <w:rPr>
                <w:sz w:val="22"/>
                <w:szCs w:val="22"/>
                <w:lang w:val="en-GB"/>
              </w:rPr>
              <w:t>1</w:t>
            </w:r>
          </w:p>
        </w:tc>
        <w:tc>
          <w:tcPr>
            <w:tcW w:w="6597" w:type="dxa"/>
          </w:tcPr>
          <w:p w14:paraId="535F6CA6" w14:textId="77777777" w:rsidR="00C152A8" w:rsidRDefault="007438CE">
            <w:pPr>
              <w:spacing w:before="80" w:after="80"/>
              <w:rPr>
                <w:sz w:val="22"/>
                <w:szCs w:val="22"/>
                <w:lang w:val="en-GB"/>
              </w:rPr>
            </w:pPr>
            <w:r>
              <w:rPr>
                <w:lang w:val="en-GB" w:eastAsia="en-GB"/>
              </w:rPr>
              <w:t>Draft four-year rolling operational plan for the Union for 2027</w:t>
            </w:r>
            <w:r>
              <w:rPr>
                <w:lang w:val="en-GB" w:eastAsia="en-GB"/>
              </w:rPr>
              <w:noBreakHyphen/>
              <w:t>2030 (</w:t>
            </w:r>
            <w:r>
              <w:rPr>
                <w:i/>
                <w:iCs/>
                <w:lang w:val="en-GB" w:eastAsia="en-GB"/>
              </w:rPr>
              <w:t>continued</w:t>
            </w:r>
            <w:r>
              <w:rPr>
                <w:lang w:val="en-GB" w:eastAsia="en-GB"/>
              </w:rPr>
              <w:t>)</w:t>
            </w:r>
          </w:p>
        </w:tc>
        <w:tc>
          <w:tcPr>
            <w:tcW w:w="2171" w:type="dxa"/>
          </w:tcPr>
          <w:p w14:paraId="0ED81072" w14:textId="77777777" w:rsidR="00C152A8" w:rsidRDefault="007438CE">
            <w:pPr>
              <w:spacing w:before="80" w:after="80"/>
              <w:jc w:val="center"/>
              <w:rPr>
                <w:sz w:val="22"/>
                <w:szCs w:val="22"/>
                <w:lang w:val="en-GB"/>
              </w:rPr>
            </w:pPr>
            <w:hyperlink r:id="rId10" w:history="1">
              <w:r>
                <w:rPr>
                  <w:rStyle w:val="Hyperlink"/>
                  <w:rFonts w:cs="Calibri"/>
                  <w:szCs w:val="24"/>
                  <w:lang w:val="en-GB"/>
                </w:rPr>
                <w:t>C26/28</w:t>
              </w:r>
            </w:hyperlink>
          </w:p>
        </w:tc>
      </w:tr>
      <w:tr w:rsidR="00C152A8" w14:paraId="2A6C9D5E" w14:textId="77777777">
        <w:trPr>
          <w:trHeight w:val="20"/>
        </w:trPr>
        <w:tc>
          <w:tcPr>
            <w:tcW w:w="446" w:type="dxa"/>
          </w:tcPr>
          <w:p w14:paraId="7F44508B" w14:textId="77777777" w:rsidR="00C152A8" w:rsidRDefault="007438CE">
            <w:pPr>
              <w:spacing w:before="80" w:after="80"/>
              <w:rPr>
                <w:sz w:val="22"/>
                <w:szCs w:val="22"/>
                <w:lang w:val="en-GB"/>
              </w:rPr>
            </w:pPr>
            <w:r>
              <w:rPr>
                <w:sz w:val="22"/>
                <w:szCs w:val="22"/>
                <w:lang w:val="en-GB"/>
              </w:rPr>
              <w:t>2</w:t>
            </w:r>
          </w:p>
        </w:tc>
        <w:tc>
          <w:tcPr>
            <w:tcW w:w="6597" w:type="dxa"/>
          </w:tcPr>
          <w:p w14:paraId="7AD2E97E" w14:textId="77777777" w:rsidR="00C152A8" w:rsidRDefault="007438CE">
            <w:pPr>
              <w:spacing w:before="80" w:after="80"/>
              <w:rPr>
                <w:rFonts w:asciiTheme="minorHAnsi" w:hAnsiTheme="minorHAnsi" w:cstheme="minorHAnsi"/>
                <w:color w:val="2F2F2F"/>
                <w:sz w:val="22"/>
                <w:szCs w:val="22"/>
                <w:shd w:val="clear" w:color="auto" w:fill="FFFFFF"/>
                <w:lang w:val="en-GB"/>
              </w:rPr>
            </w:pPr>
            <w:r>
              <w:rPr>
                <w:lang w:val="en-GB"/>
              </w:rPr>
              <w:t>Update on ITU Transformation – building an efficient, agile and fit-for-the-future ITU</w:t>
            </w:r>
          </w:p>
        </w:tc>
        <w:tc>
          <w:tcPr>
            <w:tcW w:w="2171" w:type="dxa"/>
            <w:vAlign w:val="center"/>
          </w:tcPr>
          <w:p w14:paraId="08547080" w14:textId="77777777" w:rsidR="00C152A8" w:rsidRDefault="007438CE">
            <w:pPr>
              <w:spacing w:before="80" w:after="80"/>
              <w:jc w:val="center"/>
              <w:rPr>
                <w:sz w:val="22"/>
                <w:szCs w:val="22"/>
                <w:lang w:val="en-GB"/>
              </w:rPr>
            </w:pPr>
            <w:hyperlink r:id="rId11" w:history="1">
              <w:r>
                <w:rPr>
                  <w:rStyle w:val="Hyperlink"/>
                  <w:rFonts w:cs="Calibri"/>
                  <w:szCs w:val="24"/>
                  <w:lang w:val="en-GB"/>
                </w:rPr>
                <w:t>C26/55</w:t>
              </w:r>
            </w:hyperlink>
            <w:r>
              <w:rPr>
                <w:szCs w:val="24"/>
                <w:lang w:val="en-GB"/>
              </w:rPr>
              <w:t xml:space="preserve">, </w:t>
            </w:r>
            <w:hyperlink r:id="rId12" w:history="1">
              <w:r>
                <w:rPr>
                  <w:rStyle w:val="Hyperlink"/>
                  <w:szCs w:val="24"/>
                  <w:lang w:val="en-GB"/>
                </w:rPr>
                <w:t>C26/82</w:t>
              </w:r>
            </w:hyperlink>
          </w:p>
        </w:tc>
      </w:tr>
      <w:tr w:rsidR="00C152A8" w14:paraId="0D72F1E4" w14:textId="77777777">
        <w:trPr>
          <w:trHeight w:val="20"/>
        </w:trPr>
        <w:tc>
          <w:tcPr>
            <w:tcW w:w="446" w:type="dxa"/>
          </w:tcPr>
          <w:p w14:paraId="23DDE1D6" w14:textId="77777777" w:rsidR="00C152A8" w:rsidRDefault="007438CE">
            <w:pPr>
              <w:spacing w:before="80" w:after="80"/>
              <w:rPr>
                <w:sz w:val="22"/>
                <w:szCs w:val="22"/>
                <w:lang w:val="en-GB"/>
              </w:rPr>
            </w:pPr>
            <w:r>
              <w:rPr>
                <w:sz w:val="22"/>
                <w:szCs w:val="22"/>
                <w:lang w:val="en-GB"/>
              </w:rPr>
              <w:t>3</w:t>
            </w:r>
          </w:p>
        </w:tc>
        <w:tc>
          <w:tcPr>
            <w:tcW w:w="6597" w:type="dxa"/>
          </w:tcPr>
          <w:p w14:paraId="122D9B8C" w14:textId="77777777" w:rsidR="00C152A8" w:rsidRDefault="007438CE">
            <w:pPr>
              <w:spacing w:before="80" w:after="80"/>
              <w:rPr>
                <w:sz w:val="22"/>
                <w:szCs w:val="22"/>
                <w:lang w:val="en-GB"/>
              </w:rPr>
            </w:pPr>
            <w:r>
              <w:rPr>
                <w:lang w:val="en-GB"/>
              </w:rPr>
              <w:t>Report on the implementation of the strategic plan and activities of the Union for 2022-2025</w:t>
            </w:r>
          </w:p>
        </w:tc>
        <w:tc>
          <w:tcPr>
            <w:tcW w:w="2171" w:type="dxa"/>
          </w:tcPr>
          <w:p w14:paraId="7AB5044D" w14:textId="77777777" w:rsidR="00C152A8" w:rsidRDefault="007438CE">
            <w:pPr>
              <w:spacing w:before="80" w:after="80"/>
              <w:jc w:val="center"/>
              <w:rPr>
                <w:sz w:val="22"/>
                <w:szCs w:val="22"/>
                <w:lang w:val="en-GB"/>
              </w:rPr>
            </w:pPr>
            <w:hyperlink r:id="rId13" w:history="1">
              <w:r>
                <w:rPr>
                  <w:rStyle w:val="Hyperlink"/>
                  <w:rFonts w:cs="Calibri"/>
                  <w:szCs w:val="24"/>
                  <w:lang w:val="en-GB"/>
                </w:rPr>
                <w:t>C26/35</w:t>
              </w:r>
            </w:hyperlink>
          </w:p>
        </w:tc>
      </w:tr>
      <w:tr w:rsidR="00C152A8" w14:paraId="37DC4420" w14:textId="77777777">
        <w:trPr>
          <w:trHeight w:val="20"/>
        </w:trPr>
        <w:tc>
          <w:tcPr>
            <w:tcW w:w="446" w:type="dxa"/>
          </w:tcPr>
          <w:p w14:paraId="0DB66B4F" w14:textId="77777777" w:rsidR="00C152A8" w:rsidRDefault="007438CE">
            <w:pPr>
              <w:spacing w:before="80" w:after="80"/>
              <w:rPr>
                <w:sz w:val="22"/>
                <w:szCs w:val="22"/>
                <w:lang w:val="en-GB"/>
              </w:rPr>
            </w:pPr>
            <w:r>
              <w:rPr>
                <w:sz w:val="22"/>
                <w:szCs w:val="22"/>
                <w:lang w:val="en-GB"/>
              </w:rPr>
              <w:t>4</w:t>
            </w:r>
          </w:p>
        </w:tc>
        <w:tc>
          <w:tcPr>
            <w:tcW w:w="6597" w:type="dxa"/>
          </w:tcPr>
          <w:p w14:paraId="2A3F6102" w14:textId="77777777" w:rsidR="00C152A8" w:rsidRDefault="007438CE">
            <w:pPr>
              <w:spacing w:before="80" w:after="80"/>
              <w:rPr>
                <w:lang w:val="en-GB"/>
              </w:rPr>
            </w:pPr>
            <w:r>
              <w:rPr>
                <w:lang w:val="en-GB"/>
              </w:rPr>
              <w:t>Impact on civilian telecommunication/ICT infrastructure in Bahrain, Kuwait, the United Arab Emirates and Jordan, and implications for regional and global connectivity</w:t>
            </w:r>
          </w:p>
        </w:tc>
        <w:tc>
          <w:tcPr>
            <w:tcW w:w="2171" w:type="dxa"/>
          </w:tcPr>
          <w:p w14:paraId="5C79631D" w14:textId="77777777" w:rsidR="00C152A8" w:rsidRDefault="007438CE">
            <w:pPr>
              <w:spacing w:before="80" w:after="80"/>
              <w:jc w:val="center"/>
              <w:rPr>
                <w:lang w:val="en-GB"/>
              </w:rPr>
            </w:pPr>
            <w:hyperlink r:id="rId14" w:history="1">
              <w:r>
                <w:rPr>
                  <w:rStyle w:val="Hyperlink"/>
                  <w:rFonts w:eastAsia="Times New Roman" w:cs="Times New Roman"/>
                  <w:szCs w:val="20"/>
                  <w:lang w:val="en-GB"/>
                </w:rPr>
                <w:t>C26/95(Rev.1)</w:t>
              </w:r>
            </w:hyperlink>
          </w:p>
        </w:tc>
      </w:tr>
      <w:tr w:rsidR="00C152A8" w14:paraId="6A040CCD" w14:textId="77777777">
        <w:trPr>
          <w:trHeight w:val="20"/>
        </w:trPr>
        <w:tc>
          <w:tcPr>
            <w:tcW w:w="446" w:type="dxa"/>
          </w:tcPr>
          <w:p w14:paraId="182E4B61" w14:textId="77777777" w:rsidR="00C152A8" w:rsidRDefault="007438CE">
            <w:pPr>
              <w:spacing w:before="80" w:after="80"/>
              <w:rPr>
                <w:sz w:val="22"/>
                <w:szCs w:val="22"/>
                <w:lang w:val="en-GB"/>
              </w:rPr>
            </w:pPr>
            <w:r>
              <w:rPr>
                <w:sz w:val="22"/>
                <w:szCs w:val="22"/>
                <w:lang w:val="en-GB"/>
              </w:rPr>
              <w:t>5</w:t>
            </w:r>
          </w:p>
        </w:tc>
        <w:tc>
          <w:tcPr>
            <w:tcW w:w="6597" w:type="dxa"/>
          </w:tcPr>
          <w:p w14:paraId="430E9437" w14:textId="77777777" w:rsidR="00C152A8" w:rsidRDefault="007438CE">
            <w:pPr>
              <w:spacing w:before="80" w:after="80"/>
              <w:rPr>
                <w:lang w:val="en-GB" w:eastAsia="en-GB"/>
              </w:rPr>
            </w:pPr>
            <w:r>
              <w:rPr>
                <w:lang w:val="en-GB" w:eastAsia="en-GB"/>
              </w:rPr>
              <w:t>Statements by councillors</w:t>
            </w:r>
          </w:p>
        </w:tc>
        <w:tc>
          <w:tcPr>
            <w:tcW w:w="2171" w:type="dxa"/>
          </w:tcPr>
          <w:p w14:paraId="2158E2DD" w14:textId="77777777" w:rsidR="00C152A8" w:rsidRDefault="007438CE">
            <w:pPr>
              <w:spacing w:before="80" w:after="80"/>
              <w:jc w:val="center"/>
              <w:rPr>
                <w:sz w:val="22"/>
                <w:szCs w:val="22"/>
                <w:lang w:val="en-GB"/>
              </w:rPr>
            </w:pPr>
            <w:r>
              <w:rPr>
                <w:rFonts w:cs="Calibri"/>
                <w:sz w:val="22"/>
                <w:szCs w:val="22"/>
                <w:lang w:val="en-GB"/>
              </w:rPr>
              <w:t>–</w:t>
            </w:r>
          </w:p>
        </w:tc>
      </w:tr>
      <w:bookmarkEnd w:id="3"/>
      <w:bookmarkEnd w:id="4"/>
      <w:bookmarkEnd w:id="5"/>
      <w:bookmarkEnd w:id="8"/>
      <w:bookmarkEnd w:id="9"/>
    </w:tbl>
    <w:p w14:paraId="386C107B" w14:textId="77777777" w:rsidR="00C152A8" w:rsidRDefault="00C152A8">
      <w:pPr>
        <w:rPr>
          <w:lang w:val="en-GB"/>
        </w:rPr>
      </w:pPr>
    </w:p>
    <w:p w14:paraId="24C109C4" w14:textId="77777777" w:rsidR="00C152A8" w:rsidRDefault="007438CE">
      <w:pPr>
        <w:tabs>
          <w:tab w:val="clear" w:pos="567"/>
          <w:tab w:val="clear" w:pos="1134"/>
          <w:tab w:val="clear" w:pos="1701"/>
          <w:tab w:val="clear" w:pos="2268"/>
          <w:tab w:val="clear" w:pos="2835"/>
        </w:tabs>
        <w:overflowPunct/>
        <w:autoSpaceDE/>
        <w:autoSpaceDN/>
        <w:adjustRightInd/>
        <w:spacing w:before="0"/>
        <w:textAlignment w:val="auto"/>
        <w:rPr>
          <w:b/>
          <w:sz w:val="28"/>
          <w:lang w:val="en-GB"/>
        </w:rPr>
      </w:pPr>
      <w:r>
        <w:rPr>
          <w:lang w:val="en-GB"/>
        </w:rPr>
        <w:br w:type="page"/>
      </w:r>
    </w:p>
    <w:p w14:paraId="1CA057D5" w14:textId="77777777" w:rsidR="00C152A8" w:rsidRDefault="007438CE">
      <w:pPr>
        <w:pStyle w:val="Heading1"/>
        <w:rPr>
          <w:lang w:val="en-GB"/>
        </w:rPr>
      </w:pPr>
      <w:r>
        <w:rPr>
          <w:lang w:val="en-GB"/>
        </w:rPr>
        <w:lastRenderedPageBreak/>
        <w:t>1</w:t>
      </w:r>
      <w:r>
        <w:rPr>
          <w:lang w:val="en-GB"/>
        </w:rPr>
        <w:tab/>
        <w:t>Draft four-year rolling operational plan for the Union for 2027-2030 (</w:t>
      </w:r>
      <w:r>
        <w:rPr>
          <w:i/>
          <w:iCs/>
          <w:lang w:val="en-GB"/>
        </w:rPr>
        <w:t>continued</w:t>
      </w:r>
      <w:r>
        <w:rPr>
          <w:lang w:val="en-GB"/>
        </w:rPr>
        <w:t>)</w:t>
      </w:r>
      <w:r>
        <w:rPr>
          <w:i/>
          <w:iCs/>
          <w:lang w:val="en-GB"/>
        </w:rPr>
        <w:t xml:space="preserve"> </w:t>
      </w:r>
      <w:r>
        <w:rPr>
          <w:lang w:val="en-GB"/>
        </w:rPr>
        <w:t>(Document </w:t>
      </w:r>
      <w:hyperlink r:id="rId15" w:history="1">
        <w:r>
          <w:rPr>
            <w:rStyle w:val="Hyperlink"/>
            <w:rFonts w:cs="Calibri"/>
            <w:szCs w:val="24"/>
            <w:lang w:val="en-GB"/>
          </w:rPr>
          <w:t>C26/28</w:t>
        </w:r>
      </w:hyperlink>
      <w:r>
        <w:rPr>
          <w:lang w:val="en-GB"/>
        </w:rPr>
        <w:t>)</w:t>
      </w:r>
    </w:p>
    <w:p w14:paraId="4E563FA0" w14:textId="77777777" w:rsidR="00C152A8" w:rsidRDefault="007438CE">
      <w:pPr>
        <w:jc w:val="both"/>
        <w:rPr>
          <w:spacing w:val="-2"/>
          <w:lang w:val="en-GB"/>
        </w:rPr>
      </w:pPr>
      <w:bookmarkStart w:id="10" w:name="_Hlk201404443"/>
      <w:r>
        <w:rPr>
          <w:spacing w:val="-2"/>
          <w:lang w:val="en-GB"/>
        </w:rPr>
        <w:t>1.1</w:t>
      </w:r>
      <w:r>
        <w:rPr>
          <w:spacing w:val="-2"/>
          <w:lang w:val="en-GB"/>
        </w:rPr>
        <w:tab/>
        <w:t>Continuing the discussion from the inaugural plenary meeting, several councillors emphasized that the outline operational plan for the Union for 2028-2030 was based on the draft strategic and financial plans for the Union for 2028-2031, which had yet to be approved by the Plenipotentiary Conference and would require further discussion. One councillor enquired about the inclusion of resource mobilization in Table 2 of Document C26/28 as a cost, rather than an income generation activity, and about the priorities and indicators set out in Annex B, which were not yet the subject of consensus. Another sought information on the budgeting concepts underlying the development of the various draft plans and their implications for the further approval process, requested clarification of the various percentages given in the document and underlined the need for a clear link between the Union's strategic, financial and operational plans in pursuit of effective results-based management. A third asked about the relative proportion of direct programme delivery costs to allocated central support costs and how regional delivery work was reflected in the draft plans. One observer, drawing attention to Recommendation 2026/2 of the Independent Management Advisory Committee (IMAC), suggested that greater clarity was needed in the Union's budget documents in general and the draft operational plans in particular and enquired about the 2027 cost breakdown by thematic priority and Sector set out in Table 1. In several cases, the costs listed for the General Secretariat exceeded those of one or more of the Bureaux for the same thematic priority.</w:t>
      </w:r>
    </w:p>
    <w:p w14:paraId="5DD3AE45" w14:textId="77777777" w:rsidR="00C152A8" w:rsidRDefault="007438CE">
      <w:pPr>
        <w:jc w:val="both"/>
        <w:rPr>
          <w:lang w:val="en-GB"/>
        </w:rPr>
      </w:pPr>
      <w:r>
        <w:rPr>
          <w:lang w:val="en-GB"/>
        </w:rPr>
        <w:t>1.2</w:t>
      </w:r>
      <w:r>
        <w:rPr>
          <w:lang w:val="en-GB"/>
        </w:rPr>
        <w:tab/>
        <w:t>The Chief of the Financial Resources Management Department (FRMD), responding to questions, said that the World Telecommunication/ICT Policy Forum allocation of CHF 779 000 CHF represented both direct and indirect costs. The same was true of the 2027 cost estimates set out in Table 1. The figure for resource mobilization and partnerships given in Table 2 represented the cost of running such campaigns, not the revenue generated. The draft operational plans submitted to the Council reflected a results-based approach to management and financial planning, taking into account the five thematic priorities approved by the Plenipotentiary Conference (Bucharest, 2022) (PP</w:t>
      </w:r>
      <w:r>
        <w:rPr>
          <w:lang w:val="en-GB"/>
        </w:rPr>
        <w:noBreakHyphen/>
        <w:t xml:space="preserve">22) for the period 2024-2027 and the recommendations of the Union's various oversight bodies, in particular IMAC. Risks and the management thereof were dealt with in detail in other documents before the Council but informed the preparation of all strategic, financial and operational plans. While the secretariat was required to present a four-year rolling plan, the draft resolution contained in Annex A to Document C26/28 pertained only to 2027, which was covered by the strategic and financial plans approved by PP-22. </w:t>
      </w:r>
    </w:p>
    <w:bookmarkEnd w:id="10"/>
    <w:p w14:paraId="1CD18268" w14:textId="77777777" w:rsidR="00C152A8" w:rsidRDefault="007438CE">
      <w:pPr>
        <w:jc w:val="both"/>
        <w:rPr>
          <w:lang w:val="en-GB"/>
        </w:rPr>
      </w:pPr>
      <w:r>
        <w:rPr>
          <w:lang w:val="en-GB"/>
        </w:rPr>
        <w:t>1.3</w:t>
      </w:r>
      <w:r>
        <w:rPr>
          <w:lang w:val="en-GB"/>
        </w:rPr>
        <w:tab/>
        <w:t>The Chief of Administration and Finance added that detailed and specific figures had been provided only for 2027, in line with the approved priorities and key performance indicators (KPIs). The outline operational plans for 2028-2030 were based on the draft strategic and financial plans for 2028-2031 still under discussion and would need to be updated in the light of future governing body decisions.</w:t>
      </w:r>
    </w:p>
    <w:p w14:paraId="2C84947E" w14:textId="77777777" w:rsidR="00C152A8" w:rsidRDefault="007438CE">
      <w:pPr>
        <w:jc w:val="both"/>
        <w:rPr>
          <w:lang w:val="en-GB"/>
        </w:rPr>
      </w:pPr>
      <w:r>
        <w:rPr>
          <w:lang w:val="en-GB"/>
        </w:rPr>
        <w:t>1.4</w:t>
      </w:r>
      <w:r>
        <w:rPr>
          <w:lang w:val="en-GB"/>
        </w:rPr>
        <w:tab/>
        <w:t>One councillor suggested that amending the draft resolution contained in Annex A to refer only to the operational plan for 2027 might clarify matters.</w:t>
      </w:r>
    </w:p>
    <w:p w14:paraId="75416EE7" w14:textId="77777777" w:rsidR="00C152A8" w:rsidRDefault="007438CE">
      <w:pPr>
        <w:jc w:val="both"/>
        <w:rPr>
          <w:lang w:val="en-GB"/>
        </w:rPr>
      </w:pPr>
      <w:r>
        <w:rPr>
          <w:lang w:val="en-GB"/>
        </w:rPr>
        <w:t>1.5</w:t>
      </w:r>
      <w:r>
        <w:rPr>
          <w:lang w:val="en-GB"/>
        </w:rPr>
        <w:tab/>
        <w:t>The Chief of FRMD said that the draft resolution could be amended to that effect.</w:t>
      </w:r>
    </w:p>
    <w:p w14:paraId="6A48788B" w14:textId="77777777" w:rsidR="00C152A8" w:rsidRDefault="007438CE">
      <w:pPr>
        <w:jc w:val="both"/>
        <w:rPr>
          <w:lang w:val="en-GB"/>
        </w:rPr>
      </w:pPr>
      <w:r>
        <w:rPr>
          <w:lang w:val="en-GB"/>
        </w:rPr>
        <w:t>1.6</w:t>
      </w:r>
      <w:r>
        <w:rPr>
          <w:lang w:val="en-GB"/>
        </w:rPr>
        <w:tab/>
        <w:t xml:space="preserve">The Council </w:t>
      </w:r>
      <w:r>
        <w:rPr>
          <w:b/>
          <w:bCs/>
          <w:lang w:val="en-GB"/>
        </w:rPr>
        <w:t>agreed</w:t>
      </w:r>
      <w:r>
        <w:rPr>
          <w:lang w:val="en-GB"/>
        </w:rPr>
        <w:t xml:space="preserve"> to request the secretariat to prepare a revised version of Document C26/28 for discussion later in the session.</w:t>
      </w:r>
    </w:p>
    <w:p w14:paraId="79456A99" w14:textId="2060848F" w:rsidR="00C152A8" w:rsidRDefault="007438CE">
      <w:pPr>
        <w:pStyle w:val="Heading1"/>
        <w:rPr>
          <w:szCs w:val="28"/>
          <w:lang w:val="en-GB"/>
        </w:rPr>
      </w:pPr>
      <w:r>
        <w:rPr>
          <w:lang w:val="en-GB"/>
        </w:rPr>
        <w:lastRenderedPageBreak/>
        <w:t>2</w:t>
      </w:r>
      <w:r>
        <w:rPr>
          <w:lang w:val="en-GB"/>
        </w:rPr>
        <w:tab/>
        <w:t xml:space="preserve">Update on ITU Transformation – building an efficient, agile and fit-for-the-future ITU </w:t>
      </w:r>
      <w:r>
        <w:rPr>
          <w:szCs w:val="28"/>
          <w:lang w:val="en-GB"/>
        </w:rPr>
        <w:t>(Documents </w:t>
      </w:r>
      <w:hyperlink r:id="rId16" w:history="1">
        <w:r w:rsidR="00787E70" w:rsidRPr="00787E70">
          <w:rPr>
            <w:rStyle w:val="Hyperlink"/>
            <w:lang w:val="en-GB"/>
          </w:rPr>
          <w:t>C26/55</w:t>
        </w:r>
      </w:hyperlink>
      <w:r>
        <w:rPr>
          <w:lang w:val="en-GB"/>
        </w:rPr>
        <w:t xml:space="preserve"> and </w:t>
      </w:r>
      <w:hyperlink r:id="rId17" w:history="1">
        <w:r>
          <w:rPr>
            <w:rStyle w:val="Hyperlink"/>
            <w:lang w:val="en-GB"/>
          </w:rPr>
          <w:t>C26/82</w:t>
        </w:r>
      </w:hyperlink>
      <w:r>
        <w:rPr>
          <w:szCs w:val="28"/>
          <w:lang w:val="en-GB"/>
        </w:rPr>
        <w:t>)</w:t>
      </w:r>
    </w:p>
    <w:p w14:paraId="77176451" w14:textId="7735B01F" w:rsidR="00C152A8" w:rsidRPr="00ED3CA6" w:rsidRDefault="007438CE">
      <w:pPr>
        <w:jc w:val="both"/>
        <w:rPr>
          <w:lang w:val="en-GB"/>
        </w:rPr>
      </w:pPr>
      <w:r>
        <w:rPr>
          <w:lang w:val="en-GB"/>
        </w:rPr>
        <w:t>2.1</w:t>
      </w:r>
      <w:r>
        <w:rPr>
          <w:lang w:val="en-GB"/>
        </w:rPr>
        <w:tab/>
        <w:t>The Transformation Lead, introducing Document C26/55, outlined the progress made in moving towards the implementation phase of the Union's transformation efforts, which centred around five pillars: governance; members and partners; people and culture; resource optimization and systems; and processes and tools. In line with feedback from the Council and IMAC, the Transformation Dashboard had been updated with information on deliverables for 2026, the status of initiatives, estimated time invested in transformation by General Secretariat staff, and efficiencies. Activities in 2026 would focus on enhancing member experience; operational efficiency and impact; and staff empowerment and innovation culture. The Transformation Team recognized that more work was needed on KPIs to measure impact in its reporting and was collaborating with the Strategic Planning and Management Department and business owners to that end. Most of the transformation initiatives under way were supported by strategic digital and artificial intelligence (AI</w:t>
      </w:r>
      <w:r w:rsidRPr="00ED3CA6">
        <w:rPr>
          <w:lang w:val="en-GB"/>
        </w:rPr>
        <w:t xml:space="preserve">) implementation. A clear strategic framework anchored in an approach based on objectives and key </w:t>
      </w:r>
      <w:r w:rsidRPr="00ED3CA6">
        <w:rPr>
          <w:lang w:val="en-GB"/>
        </w:rPr>
        <w:t xml:space="preserve">results would strengthen the definition, tracking and alignment of KPIs across all digital initiatives. </w:t>
      </w:r>
      <w:r w:rsidR="008F40FE" w:rsidRPr="00ED3CA6">
        <w:rPr>
          <w:lang w:val="en-GB"/>
        </w:rPr>
        <w:t>The secretariat added that positioning ITU as a more agile and modern organization entailed increased emphasis on learning, experimentation and staff empowerment and development.</w:t>
      </w:r>
    </w:p>
    <w:p w14:paraId="577077A1" w14:textId="77777777" w:rsidR="00C152A8" w:rsidRDefault="007438CE">
      <w:pPr>
        <w:jc w:val="both"/>
        <w:rPr>
          <w:lang w:val="en-GB"/>
        </w:rPr>
      </w:pPr>
      <w:r w:rsidRPr="00ED3CA6">
        <w:rPr>
          <w:lang w:val="en-GB"/>
        </w:rPr>
        <w:t>2.2</w:t>
      </w:r>
      <w:r w:rsidRPr="00ED3CA6">
        <w:rPr>
          <w:lang w:val="en-GB"/>
        </w:rPr>
        <w:tab/>
        <w:t>The councillor from China introduced the contribution contained in Document C26/</w:t>
      </w:r>
      <w:r>
        <w:rPr>
          <w:lang w:val="en-GB"/>
        </w:rPr>
        <w:t xml:space="preserve">82, on behalf of his country and Cuba, which set out recommendations on enhancing </w:t>
      </w:r>
      <w:r>
        <w:rPr>
          <w:lang w:val="en-GB"/>
        </w:rPr>
        <w:t xml:space="preserve">ITU Transformation in the context of the Union's participation in the UN80 Initiative. </w:t>
      </w:r>
    </w:p>
    <w:p w14:paraId="10AA2D3D" w14:textId="61CB09C0" w:rsidR="00C152A8" w:rsidRDefault="007438CE">
      <w:pPr>
        <w:jc w:val="both"/>
        <w:rPr>
          <w:rFonts w:eastAsia="SimSun"/>
          <w:lang w:val="en-US" w:eastAsia="zh-CN"/>
        </w:rPr>
      </w:pPr>
      <w:r>
        <w:rPr>
          <w:lang w:val="en-GB"/>
        </w:rPr>
        <w:t>2.3</w:t>
      </w:r>
      <w:r>
        <w:rPr>
          <w:lang w:val="en-GB"/>
        </w:rPr>
        <w:tab/>
        <w:t xml:space="preserve">Councillors </w:t>
      </w:r>
      <w:r>
        <w:rPr>
          <w:lang w:val="en-GB"/>
        </w:rPr>
        <w:t xml:space="preserve">welcomed the measurable progress being delivered by the ITU Transformation programme as it moved from planning and design to implementation. </w:t>
      </w:r>
      <w:r>
        <w:rPr>
          <w:rFonts w:eastAsia="SimSun" w:hint="eastAsia"/>
          <w:lang w:val="en-US" w:eastAsia="zh-CN"/>
        </w:rPr>
        <w:t xml:space="preserve">They also noted that </w:t>
      </w:r>
      <w:r>
        <w:rPr>
          <w:lang w:val="en-GB"/>
        </w:rPr>
        <w:t xml:space="preserve">advances had been made in accountability, transparency and institutional maturity, and improved strategic coherence and operational efficiency. </w:t>
      </w:r>
      <w:r>
        <w:rPr>
          <w:rFonts w:eastAsia="SimSun" w:hint="eastAsia"/>
          <w:lang w:val="en-US" w:eastAsia="zh-CN"/>
        </w:rPr>
        <w:t xml:space="preserve">Councilors welcomed </w:t>
      </w:r>
      <w:r>
        <w:rPr>
          <w:lang w:val="en-GB"/>
        </w:rPr>
        <w:t xml:space="preserve">the specific achievements to date, </w:t>
      </w:r>
      <w:r>
        <w:rPr>
          <w:rFonts w:eastAsia="SimSun" w:hint="eastAsia"/>
          <w:lang w:val="en-US" w:eastAsia="zh-CN"/>
        </w:rPr>
        <w:t xml:space="preserve">including </w:t>
      </w:r>
      <w:r>
        <w:rPr>
          <w:lang w:val="en-GB"/>
        </w:rPr>
        <w:t xml:space="preserve">the creation of the Oversight Unit and an ombudsman function, the introduction and updating of the Transformation Dashboard, the establishment of the Innovation Hub and improvements to operational and financial planning and procurement. It was suggested that future reports to the Council would </w:t>
      </w:r>
      <w:r>
        <w:rPr>
          <w:lang w:val="en-GB"/>
        </w:rPr>
        <w:t>benefit from additional operational detail, and that more explicit acknowledgement of risks, trade-offs and challenges would aid understanding of the process. Several councillors stressed the need for clear performance indicators and measurable benchmarks so that progress could be tracked objectively, beyond purely activity-based reporting. It would be useful to know how the secretariat was managing the cumulative impact of transformation activities on core service delivery, although a note of caution was sounded against increasing the oversight burden on the secretariat unnecessarily.</w:t>
      </w:r>
    </w:p>
    <w:p w14:paraId="6B963727" w14:textId="3CA7C75D" w:rsidR="00C152A8" w:rsidRDefault="007438CE">
      <w:pPr>
        <w:jc w:val="both"/>
        <w:rPr>
          <w:spacing w:val="-2"/>
          <w:lang w:val="en-GB"/>
        </w:rPr>
      </w:pPr>
      <w:r>
        <w:rPr>
          <w:spacing w:val="-2"/>
          <w:lang w:val="en-GB"/>
        </w:rPr>
        <w:t>2.4</w:t>
      </w:r>
      <w:r>
        <w:rPr>
          <w:spacing w:val="-2"/>
          <w:lang w:val="en-GB"/>
        </w:rPr>
        <w:tab/>
        <w:t xml:space="preserve">Several councillors emphasized the need for resources to be used sustainably to ensure long-term modernization and impact, particularly in a constrained budgetary environment; one councillor suggested that steps should be taken to promote a coherent approach among the Bureaux and to manage </w:t>
      </w:r>
      <w:r>
        <w:rPr>
          <w:spacing w:val="-2"/>
          <w:lang w:val="en-GB"/>
        </w:rPr>
        <w:t>risks, while others pointed to the specific need to address risks linked to currency fluctuations. Others called for there to be some measure of flexibility for the secretariat in deciding how best to advance implementation.</w:t>
      </w:r>
    </w:p>
    <w:p w14:paraId="7CCEC3A2" w14:textId="70D87F6B" w:rsidR="00C152A8" w:rsidRDefault="007438CE" w:rsidP="00ED3CA6">
      <w:pPr>
        <w:keepNext/>
        <w:keepLines/>
        <w:jc w:val="both"/>
        <w:rPr>
          <w:rFonts w:eastAsia="SimSun"/>
          <w:lang w:val="en-US" w:eastAsia="zh-CN"/>
        </w:rPr>
      </w:pPr>
      <w:r>
        <w:rPr>
          <w:lang w:val="en-GB"/>
        </w:rPr>
        <w:lastRenderedPageBreak/>
        <w:t>2</w:t>
      </w:r>
      <w:r>
        <w:rPr>
          <w:lang w:val="en-GB"/>
        </w:rPr>
        <w:t>.5</w:t>
      </w:r>
      <w:r>
        <w:rPr>
          <w:lang w:val="en-GB"/>
        </w:rPr>
        <w:tab/>
        <w:t xml:space="preserve">While the use </w:t>
      </w:r>
      <w:r>
        <w:rPr>
          <w:lang w:val="en-GB"/>
        </w:rPr>
        <w:t>of AI to enhance productivity was generally welcomed, one councillor warned of the potential consequences that might arise from known issues such as AI hallucinations and cautioned against its unmonitored use. Support was expressed for using savings from the 2025 budget to support the additional investments required for AI and digital systems, as well as skills development to enable modernization and streamlining of business processes.</w:t>
      </w:r>
    </w:p>
    <w:p w14:paraId="2334106B" w14:textId="77777777" w:rsidR="00C152A8" w:rsidRDefault="007438CE">
      <w:pPr>
        <w:jc w:val="both"/>
        <w:rPr>
          <w:lang w:val="en-GB"/>
        </w:rPr>
      </w:pPr>
      <w:r>
        <w:rPr>
          <w:lang w:val="en-GB"/>
        </w:rPr>
        <w:t>2.6</w:t>
      </w:r>
      <w:r>
        <w:rPr>
          <w:lang w:val="en-GB"/>
        </w:rPr>
        <w:tab/>
        <w:t xml:space="preserve">Some councillors welcomed the ambition of launching a new ITU website before the 2026 plenipotentiary conference (PP-26); however, one enquired about the feasibility of the plan, while another urged steps to be taken to ensure continuity of access for users on the existing platform and an appropriate transition period to facilitate adaptation for delegates. </w:t>
      </w:r>
    </w:p>
    <w:p w14:paraId="1F66A85F" w14:textId="77777777" w:rsidR="00C152A8" w:rsidRDefault="007438CE">
      <w:pPr>
        <w:jc w:val="both"/>
        <w:rPr>
          <w:lang w:val="en-GB"/>
        </w:rPr>
      </w:pPr>
      <w:r>
        <w:rPr>
          <w:lang w:val="en-GB"/>
        </w:rPr>
        <w:t>2.7</w:t>
      </w:r>
      <w:r>
        <w:rPr>
          <w:lang w:val="en-GB"/>
        </w:rPr>
        <w:tab/>
        <w:t xml:space="preserve">Several councillors expressed support for the recommendations made in Document C26/82, which would reinforce discipline, accountability and impact in the transformation process, ensuring that the significant human and financial resources being invested would translate into real improvement for the Union and its membership, while avoiding the risk of fragmentation. One councillor expressed concern that some of the recommendations might place undue restrictions on resources and risk implying that internal reforms were not a priority. </w:t>
      </w:r>
    </w:p>
    <w:p w14:paraId="405613A3" w14:textId="77777777" w:rsidR="00C152A8" w:rsidRDefault="007438CE">
      <w:pPr>
        <w:jc w:val="both"/>
        <w:rPr>
          <w:lang w:val="en-GB"/>
        </w:rPr>
      </w:pPr>
      <w:r>
        <w:rPr>
          <w:lang w:val="en-GB"/>
        </w:rPr>
        <w:t>2.8</w:t>
      </w:r>
      <w:r>
        <w:rPr>
          <w:lang w:val="en-GB"/>
        </w:rPr>
        <w:tab/>
        <w:t xml:space="preserve">One councillor sought clarification on the new policy for hiring fixed-term staff and consultants, with particular reference to avoiding duplication of work and ensuring accountability and enquired about efforts being made </w:t>
      </w:r>
      <w:r>
        <w:rPr>
          <w:lang w:val="en-GB"/>
        </w:rPr>
        <w:t xml:space="preserve">to establish responsibility for consequences arising from the use —and potential misuse— of AI across the Union. </w:t>
      </w:r>
    </w:p>
    <w:p w14:paraId="3BABAD2C" w14:textId="77777777" w:rsidR="00C152A8" w:rsidRDefault="007438CE">
      <w:pPr>
        <w:jc w:val="both"/>
        <w:rPr>
          <w:lang w:val="en-GB"/>
        </w:rPr>
      </w:pPr>
      <w:r>
        <w:rPr>
          <w:rFonts w:eastAsia="SimSun" w:hint="eastAsia"/>
          <w:lang w:val="en-US" w:eastAsia="zh-CN"/>
        </w:rPr>
        <w:t>2.9</w:t>
      </w:r>
      <w:r>
        <w:rPr>
          <w:rFonts w:eastAsia="SimSun" w:hint="eastAsia"/>
          <w:lang w:val="en-US" w:eastAsia="zh-CN"/>
        </w:rPr>
        <w:tab/>
      </w:r>
      <w:r>
        <w:rPr>
          <w:lang w:val="en-GB"/>
        </w:rPr>
        <w:t xml:space="preserve">Others asked whether sufficient funds had been allocated to carry out the target activities identified on the Transformation Dashboard by the end of 2026. </w:t>
      </w:r>
    </w:p>
    <w:p w14:paraId="441F565D" w14:textId="7D3F00A8" w:rsidR="00C152A8" w:rsidRDefault="007438CE">
      <w:pPr>
        <w:jc w:val="both"/>
        <w:rPr>
          <w:lang w:val="en-GB"/>
        </w:rPr>
      </w:pPr>
      <w:r>
        <w:rPr>
          <w:rFonts w:eastAsia="SimSun" w:hint="eastAsia"/>
          <w:lang w:val="en-US" w:eastAsia="zh-CN"/>
        </w:rPr>
        <w:t>2.10</w:t>
      </w:r>
      <w:r>
        <w:rPr>
          <w:rFonts w:eastAsia="SimSun" w:hint="eastAsia"/>
          <w:lang w:val="en-US" w:eastAsia="zh-CN"/>
        </w:rPr>
        <w:tab/>
      </w:r>
      <w:r>
        <w:rPr>
          <w:lang w:val="en-GB"/>
        </w:rPr>
        <w:t xml:space="preserve">One councillor, highlighting the need for greater attention to be paid to the internal justice system and staff well-being, asked how transformation efforts, including the restructuring of the General Secretariat, were delivering value for members and other stakeholders and requested specific reporting on the activities of the ombudsman function. </w:t>
      </w:r>
    </w:p>
    <w:p w14:paraId="0140FE6A" w14:textId="77777777" w:rsidR="00C152A8" w:rsidRDefault="007438CE">
      <w:pPr>
        <w:jc w:val="both"/>
        <w:rPr>
          <w:lang w:val="en-GB"/>
        </w:rPr>
      </w:pPr>
      <w:r>
        <w:rPr>
          <w:rFonts w:eastAsia="SimSun" w:hint="eastAsia"/>
          <w:lang w:val="en-US" w:eastAsia="zh-CN"/>
        </w:rPr>
        <w:t>2.11</w:t>
      </w:r>
      <w:r>
        <w:rPr>
          <w:rFonts w:eastAsia="SimSun" w:hint="eastAsia"/>
          <w:lang w:val="en-US" w:eastAsia="zh-CN"/>
        </w:rPr>
        <w:tab/>
      </w:r>
      <w:r>
        <w:rPr>
          <w:lang w:val="en-GB"/>
        </w:rPr>
        <w:t>One observer emphasized the importance of timely independent evaluation of the transformation process and a full cost</w:t>
      </w:r>
      <w:r>
        <w:rPr>
          <w:lang w:val="en-GB"/>
        </w:rPr>
        <w:noBreakHyphen/>
        <w:t>benefit analysis by the General Secretariat, especially in view of the planned use of AI in various aspects of procurement and management and the potential cybersecurity and fraud risks involved.</w:t>
      </w:r>
    </w:p>
    <w:p w14:paraId="356CC6B4" w14:textId="45755AD0" w:rsidR="00C152A8" w:rsidRDefault="007438CE">
      <w:pPr>
        <w:jc w:val="both"/>
        <w:rPr>
          <w:lang w:val="en-GB"/>
        </w:rPr>
      </w:pPr>
      <w:r>
        <w:rPr>
          <w:lang w:val="en-GB"/>
        </w:rPr>
        <w:t>2.</w:t>
      </w:r>
      <w:r w:rsidR="00ED3CA6">
        <w:rPr>
          <w:lang w:val="en-GB"/>
        </w:rPr>
        <w:t>12</w:t>
      </w:r>
      <w:r>
        <w:rPr>
          <w:lang w:val="en-GB"/>
        </w:rPr>
        <w:tab/>
        <w:t xml:space="preserve">The Transformation Lead welcomed the feedback received during </w:t>
      </w:r>
      <w:r>
        <w:rPr>
          <w:lang w:val="en-GB"/>
        </w:rPr>
        <w:t xml:space="preserve">the discussion and the guidance contained in Document C26/82. Changes in the teams and the methods involved in transformation since the start of the process in 2023 reflected not only the desire to adapt and learn, but also external developments such as the unprecedented advances seen in AI technology. Efforts were being made to ensure stability and leadership, with a focus on coherence, prioritization and avoiding fragmentation. The Transformation Team was working closely with other units to align its activities with the Union's operational and strategic planning and to refine its reporting methodology. Impact measurement using KPIs was being integrated at all levels, and the team would strive to improve its reporting further as the transformation process continued, including taking account of the suggestion to incorporate risk assessment considerations. Guidelines on the use of AI had been developed, and quick reference materials were planned. All staff had been given licences to access embedded AI on their computers. Training would be provided in the coming months. </w:t>
      </w:r>
    </w:p>
    <w:p w14:paraId="290FC8F3" w14:textId="3B3AE2F2" w:rsidR="00C152A8" w:rsidRDefault="007438CE">
      <w:pPr>
        <w:jc w:val="both"/>
        <w:rPr>
          <w:lang w:val="en-GB"/>
        </w:rPr>
      </w:pPr>
      <w:r>
        <w:rPr>
          <w:lang w:val="en-GB"/>
        </w:rPr>
        <w:lastRenderedPageBreak/>
        <w:t>2.1</w:t>
      </w:r>
      <w:r w:rsidR="00ED3CA6">
        <w:rPr>
          <w:lang w:val="en-GB"/>
        </w:rPr>
        <w:t>3</w:t>
      </w:r>
      <w:r>
        <w:rPr>
          <w:lang w:val="en-GB"/>
        </w:rPr>
        <w:tab/>
        <w:t xml:space="preserve">The Chief of HRMD said that the policy on hiring consultants contained safeguards to ensure they were used to meet short-term, deliverable-based needs and did not perform staff functions. It also provided for performance evaluation by managers, who must confirm that outputs had been successfully completed before payment could be made. HRMD was responsible for monitoring the process. </w:t>
      </w:r>
    </w:p>
    <w:p w14:paraId="5D9CE43F" w14:textId="75348AED" w:rsidR="00C152A8" w:rsidRDefault="007438CE">
      <w:pPr>
        <w:jc w:val="both"/>
        <w:rPr>
          <w:lang w:val="en-GB"/>
        </w:rPr>
      </w:pPr>
      <w:r>
        <w:rPr>
          <w:lang w:val="en-GB"/>
        </w:rPr>
        <w:t>2.1</w:t>
      </w:r>
      <w:r w:rsidR="00ED3CA6">
        <w:rPr>
          <w:lang w:val="en-GB"/>
        </w:rPr>
        <w:t>4</w:t>
      </w:r>
      <w:r>
        <w:rPr>
          <w:lang w:val="en-GB"/>
        </w:rPr>
        <w:tab/>
        <w:t xml:space="preserve">The Council </w:t>
      </w:r>
      <w:r>
        <w:rPr>
          <w:b/>
          <w:bCs/>
          <w:lang w:val="en-GB"/>
        </w:rPr>
        <w:t>took note</w:t>
      </w:r>
      <w:r>
        <w:rPr>
          <w:lang w:val="en-GB"/>
        </w:rPr>
        <w:t xml:space="preserve"> of the progress achieved to date, </w:t>
      </w:r>
      <w:r>
        <w:rPr>
          <w:b/>
          <w:bCs/>
          <w:lang w:val="en-GB"/>
        </w:rPr>
        <w:t xml:space="preserve">noted </w:t>
      </w:r>
      <w:r>
        <w:rPr>
          <w:lang w:val="en-GB"/>
        </w:rPr>
        <w:t xml:space="preserve">the recommendations made in Document C26/82 and </w:t>
      </w:r>
      <w:r>
        <w:rPr>
          <w:b/>
          <w:bCs/>
          <w:lang w:val="en-GB"/>
        </w:rPr>
        <w:t xml:space="preserve">invited </w:t>
      </w:r>
      <w:r>
        <w:rPr>
          <w:lang w:val="en-GB"/>
        </w:rPr>
        <w:t>the secretariat to continue reporting through the Transformation Dashboard as implementation advanced in 2026.</w:t>
      </w:r>
    </w:p>
    <w:p w14:paraId="66ED3A26" w14:textId="37DB9596" w:rsidR="00C152A8" w:rsidRDefault="007438CE">
      <w:pPr>
        <w:pStyle w:val="Heading1"/>
        <w:rPr>
          <w:lang w:val="en-GB"/>
        </w:rPr>
      </w:pPr>
      <w:r>
        <w:rPr>
          <w:lang w:val="en-GB"/>
        </w:rPr>
        <w:t>3</w:t>
      </w:r>
      <w:r>
        <w:rPr>
          <w:lang w:val="en-GB"/>
        </w:rPr>
        <w:tab/>
      </w:r>
      <w:r w:rsidR="00D710E2" w:rsidRPr="00965632">
        <w:rPr>
          <w:lang w:val="en-GB"/>
        </w:rPr>
        <w:t xml:space="preserve">Report on the implementation of the strategic plan and activities of the Union for 2022-2025 (Document </w:t>
      </w:r>
      <w:hyperlink r:id="rId18" w:history="1">
        <w:r w:rsidR="00D710E2" w:rsidRPr="00965632">
          <w:rPr>
            <w:rStyle w:val="Hyperlink"/>
            <w:lang w:val="en-GB"/>
          </w:rPr>
          <w:t>C26/35</w:t>
        </w:r>
      </w:hyperlink>
      <w:r w:rsidR="00D710E2" w:rsidRPr="00965632">
        <w:rPr>
          <w:lang w:val="en-GB"/>
        </w:rPr>
        <w:t>)</w:t>
      </w:r>
    </w:p>
    <w:p w14:paraId="35DCA7E9" w14:textId="77777777" w:rsidR="00C152A8" w:rsidRDefault="007438CE">
      <w:pPr>
        <w:jc w:val="both"/>
        <w:rPr>
          <w:lang w:val="en-GB"/>
        </w:rPr>
      </w:pPr>
      <w:r>
        <w:rPr>
          <w:lang w:val="en-GB"/>
        </w:rPr>
        <w:t>3.1</w:t>
      </w:r>
      <w:r>
        <w:rPr>
          <w:lang w:val="en-GB"/>
        </w:rPr>
        <w:tab/>
        <w:t>The Deputy Secretary-General introduced Document C26/35, which contained the consolidated reports on the implementation of the strategic plan and activities of the Union from October 2022 to March 2026 and which would be updated before submission to PP-26. The report was complemented by two web-based platforms, which provided information on, respectively, the implementation status of the resolutions of the Plenipotentiary Conference and the progress made towards the targets set out in the strategic plan.</w:t>
      </w:r>
    </w:p>
    <w:p w14:paraId="6D2262E5" w14:textId="77777777" w:rsidR="00C152A8" w:rsidRDefault="007438CE">
      <w:pPr>
        <w:jc w:val="both"/>
        <w:rPr>
          <w:lang w:val="en-GB"/>
        </w:rPr>
      </w:pPr>
      <w:r>
        <w:rPr>
          <w:lang w:val="en-GB"/>
        </w:rPr>
        <w:t>3.2</w:t>
      </w:r>
      <w:r>
        <w:rPr>
          <w:lang w:val="en-GB"/>
        </w:rPr>
        <w:tab/>
        <w:t>While telecommunication costs remained disproportionately high in low-income countries, and while deep structural divides in digital access persisted, ITU had made progress towards the goals of achieving universal connectivity and increasing the affordability of telecommunications. Pursuant to the vision mapped out at the statutory conferences held during the reporting period, ITU had supported developments in school connectivity, cybersecurity readiness, disaster management and early warning systems, e-waste, standards development, preparedness for 6G networks, quantum technology and the use of AI. It had also facilitated knowledge sharing through the publication of flagship reports and through initiatives such as the ITU Academy. Furthermore, the Union's membership had grown significantly, and its global platforms had remained an important convening point where international organizations and Member States could work together to overcome challenges and embrace opportunities across various areas.</w:t>
      </w:r>
    </w:p>
    <w:p w14:paraId="5B38CF72" w14:textId="77777777" w:rsidR="00C152A8" w:rsidRDefault="007438CE">
      <w:pPr>
        <w:jc w:val="both"/>
        <w:rPr>
          <w:lang w:val="en-GB"/>
        </w:rPr>
      </w:pPr>
      <w:r>
        <w:rPr>
          <w:lang w:val="en-GB"/>
        </w:rPr>
        <w:t>3.3</w:t>
      </w:r>
      <w:r>
        <w:rPr>
          <w:lang w:val="en-GB"/>
        </w:rPr>
        <w:tab/>
        <w:t xml:space="preserve">To prepare for the future, the secretariat had shifted its focus to ensuring that ITU was internally strong, by, </w:t>
      </w:r>
      <w:r>
        <w:rPr>
          <w:i/>
          <w:iCs/>
          <w:lang w:val="en-GB"/>
        </w:rPr>
        <w:t>inter alia</w:t>
      </w:r>
      <w:r>
        <w:rPr>
          <w:lang w:val="en-GB"/>
        </w:rPr>
        <w:t>, improving financial management, enhancing oversight, developing a new operational planning process and a new resource mobilization strategy, and making efficiency gains.</w:t>
      </w:r>
    </w:p>
    <w:p w14:paraId="2D7B23C1" w14:textId="77777777" w:rsidR="00C152A8" w:rsidRDefault="007438CE">
      <w:pPr>
        <w:jc w:val="both"/>
        <w:rPr>
          <w:lang w:val="en-GB"/>
        </w:rPr>
      </w:pPr>
      <w:r>
        <w:rPr>
          <w:lang w:val="en-GB"/>
        </w:rPr>
        <w:t>3.4</w:t>
      </w:r>
      <w:r>
        <w:rPr>
          <w:lang w:val="en-GB"/>
        </w:rPr>
        <w:tab/>
        <w:t>Councillors expressed appreciation for the report and applauded the progress made during the reporting period. Some councillors nonetheless noted the persistence of digital divides and called for greater international cooperation, stronger partnerships and sustained support for capacity building with a view to achieving universal connectivity. Two councillors requested the secretariat to include information in the report on challenges to the implementation of the current strategic plan and on strategies for overcoming them.</w:t>
      </w:r>
    </w:p>
    <w:p w14:paraId="681766B2" w14:textId="77777777" w:rsidR="00C152A8" w:rsidRDefault="007438CE">
      <w:pPr>
        <w:jc w:val="both"/>
        <w:rPr>
          <w:lang w:val="en-GB"/>
        </w:rPr>
      </w:pPr>
      <w:r>
        <w:rPr>
          <w:lang w:val="en-GB"/>
        </w:rPr>
        <w:t>3.5</w:t>
      </w:r>
      <w:r>
        <w:rPr>
          <w:lang w:val="en-GB"/>
        </w:rPr>
        <w:tab/>
        <w:t xml:space="preserve">One councillor expressed particular appreciation for the Union's strong focus on development initiatives, such as the Partner2Connect Digital Coalition, the Giga initiative and digital transformation centres, which facilitated national digital transformation. The councillor also praised the activities related to emerging technologies, such as AI, while emphasizing that such technologies must be governed in an inclusive and practical manner that responded to </w:t>
      </w:r>
      <w:r>
        <w:rPr>
          <w:lang w:val="en-GB"/>
        </w:rPr>
        <w:lastRenderedPageBreak/>
        <w:t>the needs of all Member States. Another councillor called for increased support for African Member States in building operational cybersecurity capabilities. A third councillor, noting the low proportion of countries that had submitted data on information and communication technology (ICT) skill levels, called for greater assistance for reporting.</w:t>
      </w:r>
    </w:p>
    <w:p w14:paraId="64CBB4B8" w14:textId="77777777" w:rsidR="00C152A8" w:rsidRDefault="007438CE">
      <w:pPr>
        <w:jc w:val="both"/>
        <w:rPr>
          <w:spacing w:val="-3"/>
          <w:lang w:val="en-GB"/>
        </w:rPr>
      </w:pPr>
      <w:r>
        <w:rPr>
          <w:spacing w:val="-3"/>
          <w:lang w:val="en-GB"/>
        </w:rPr>
        <w:t>3.6</w:t>
      </w:r>
      <w:r>
        <w:rPr>
          <w:spacing w:val="-3"/>
          <w:lang w:val="en-GB"/>
        </w:rPr>
        <w:tab/>
        <w:t>Several councillors welcomed the progress made in improving governance transparency, financial efficiency and institutional effectiveness and called for continued efforts to that end. A number of councillors called for the continued prioritization of activities, with a focus on timely implementation and measurable impact, to ensure fulfilment of the Union's mandate. Two councillors highlighted the importance of adequate indicators and targets for universal connectivity and digital transformation and encouraged further work to be done in that regard. In particular, one councillor called for such metrics to be disaggregated by region, so that structural gaps in Africa would not be masked. Another councillor encouraged the further use of results-based management and performance-based reporting, by linking outputs to the result framework of the strategic plan. The councillor also encouraged the Union's continued leadership in aligning digital transformation with broader reform priorities as part of the UN80 Initiative.</w:t>
      </w:r>
    </w:p>
    <w:p w14:paraId="75E0F2EC" w14:textId="77777777" w:rsidR="00C152A8" w:rsidRDefault="007438CE">
      <w:pPr>
        <w:jc w:val="both"/>
        <w:rPr>
          <w:lang w:val="en-GB"/>
        </w:rPr>
      </w:pPr>
      <w:r>
        <w:rPr>
          <w:lang w:val="en-GB"/>
        </w:rPr>
        <w:t>3.7</w:t>
      </w:r>
      <w:r>
        <w:rPr>
          <w:lang w:val="en-GB"/>
        </w:rPr>
        <w:tab/>
        <w:t>One councillor, noting the overly expansive range of ITU activities related to AI and quantum technology, encouraged the Union to adhere closely to the mandates set out in the relevant resolutions and reiterated that endorsement of Document C26/35 did not imply endorsement of all reported activities.</w:t>
      </w:r>
    </w:p>
    <w:p w14:paraId="51D44025" w14:textId="77777777" w:rsidR="00C152A8" w:rsidRDefault="007438CE">
      <w:pPr>
        <w:jc w:val="both"/>
        <w:rPr>
          <w:lang w:val="en-GB"/>
        </w:rPr>
      </w:pPr>
      <w:r>
        <w:rPr>
          <w:lang w:val="en-GB"/>
        </w:rPr>
        <w:t>3.8</w:t>
      </w:r>
      <w:r>
        <w:rPr>
          <w:lang w:val="en-GB"/>
        </w:rPr>
        <w:tab/>
        <w:t>The Deputy Secretary-General welcomed the compliments and comments provided by councillors regarding the report and noted the suggestions for improving the document. Responding to questions from one councillor, he said that a breakdown of ITU membership by Sector was provided in the report; the secretariat would also be happy to provide details regarding the revenue generated from new members.</w:t>
      </w:r>
    </w:p>
    <w:p w14:paraId="56ADA162" w14:textId="77777777" w:rsidR="00C152A8" w:rsidRDefault="007438CE">
      <w:pPr>
        <w:jc w:val="both"/>
        <w:rPr>
          <w:lang w:val="en-GB"/>
        </w:rPr>
      </w:pPr>
      <w:r>
        <w:rPr>
          <w:lang w:val="en-GB"/>
        </w:rPr>
        <w:t>3.9</w:t>
      </w:r>
      <w:r>
        <w:rPr>
          <w:lang w:val="en-GB"/>
        </w:rPr>
        <w:tab/>
        <w:t>The Director of the Telecommunication Development Bureau, responding to questions and comments from councillors, said that, to fund regional initiatives, ITU had raised a record CHF 65 million from a diversified range of stakeholders and development partners during the reporting period. It had also provided seed funding to encourage investment in regional initiatives. Further information on the topic would be provided to the Council at the current session under another agenda item. He also noted that ITU was working with regulators to support data collection by national statistics offices.</w:t>
      </w:r>
    </w:p>
    <w:p w14:paraId="5E15138D" w14:textId="77777777" w:rsidR="00C152A8" w:rsidRDefault="007438CE">
      <w:pPr>
        <w:jc w:val="both"/>
        <w:rPr>
          <w:spacing w:val="-2"/>
          <w:lang w:val="en-GB"/>
        </w:rPr>
      </w:pPr>
      <w:r>
        <w:rPr>
          <w:spacing w:val="-2"/>
          <w:lang w:val="en-GB"/>
        </w:rPr>
        <w:t>3.10</w:t>
      </w:r>
      <w:r>
        <w:rPr>
          <w:spacing w:val="-2"/>
          <w:lang w:val="en-GB"/>
        </w:rPr>
        <w:tab/>
        <w:t xml:space="preserve">The Council </w:t>
      </w:r>
      <w:r>
        <w:rPr>
          <w:b/>
          <w:bCs/>
          <w:spacing w:val="-2"/>
          <w:lang w:val="en-GB"/>
        </w:rPr>
        <w:t>approved</w:t>
      </w:r>
      <w:r>
        <w:rPr>
          <w:spacing w:val="-2"/>
          <w:lang w:val="en-GB"/>
        </w:rPr>
        <w:t xml:space="preserve"> the report contained in Document C26/35 and </w:t>
      </w:r>
      <w:r>
        <w:rPr>
          <w:b/>
          <w:bCs/>
          <w:spacing w:val="-2"/>
          <w:lang w:val="en-GB"/>
        </w:rPr>
        <w:t>authorized</w:t>
      </w:r>
      <w:r>
        <w:rPr>
          <w:spacing w:val="-2"/>
          <w:lang w:val="en-GB"/>
        </w:rPr>
        <w:t xml:space="preserve"> the Secretary-General, under the supervision of the Chair, to update the report in the light of the discussions and of the outcomes of upcoming events and to transmit the final report to PP-26.</w:t>
      </w:r>
    </w:p>
    <w:p w14:paraId="4BF6DEB2" w14:textId="77777777" w:rsidR="00D710E2" w:rsidRPr="00965632" w:rsidRDefault="007438CE" w:rsidP="00D710E2">
      <w:pPr>
        <w:pStyle w:val="Heading1"/>
        <w:rPr>
          <w:lang w:val="en-GB"/>
        </w:rPr>
      </w:pPr>
      <w:r>
        <w:rPr>
          <w:lang w:val="en-GB"/>
        </w:rPr>
        <w:t>4</w:t>
      </w:r>
      <w:r>
        <w:rPr>
          <w:lang w:val="en-GB"/>
        </w:rPr>
        <w:tab/>
      </w:r>
      <w:r w:rsidR="00D710E2" w:rsidRPr="00965632">
        <w:rPr>
          <w:lang w:val="en-GB"/>
        </w:rPr>
        <w:t xml:space="preserve">Impact on civilian telecommunication/ICT infrastructure in Bahrain, Kuwait, the United Arab Emirates and Jordan, and implications for regional and global connectivity (Document </w:t>
      </w:r>
      <w:hyperlink r:id="rId19" w:history="1">
        <w:r w:rsidR="00D710E2" w:rsidRPr="00965632">
          <w:rPr>
            <w:rStyle w:val="Hyperlink"/>
            <w:lang w:val="en-GB"/>
          </w:rPr>
          <w:t>C26/95(Rev.1)</w:t>
        </w:r>
      </w:hyperlink>
      <w:r w:rsidR="00D710E2" w:rsidRPr="00965632">
        <w:rPr>
          <w:lang w:val="en-GB"/>
        </w:rPr>
        <w:t>)</w:t>
      </w:r>
    </w:p>
    <w:p w14:paraId="1F896B77" w14:textId="77777777" w:rsidR="00C152A8" w:rsidRDefault="007438CE">
      <w:pPr>
        <w:jc w:val="both"/>
        <w:rPr>
          <w:lang w:val="en-GB"/>
        </w:rPr>
      </w:pPr>
      <w:r>
        <w:rPr>
          <w:lang w:val="en-GB"/>
        </w:rPr>
        <w:t>4.1</w:t>
      </w:r>
      <w:r>
        <w:rPr>
          <w:lang w:val="en-GB"/>
        </w:rPr>
        <w:tab/>
        <w:t xml:space="preserve">A councillor from the United Arab Emirates introduced Document C26/95(Rev.1), a multicountry contribution sponsored by the six member States of the Gulf Cooperation Council (GCC) and by Jordan, in which the Council was invited to support the adoption of a draft resolution. It proposed additional reporting and an assessment of the impact of attacks on telecommunication services and infrastructure in Bahrain, Kuwait, the United Arab </w:t>
      </w:r>
      <w:r>
        <w:rPr>
          <w:lang w:val="en-GB"/>
        </w:rPr>
        <w:lastRenderedPageBreak/>
        <w:t xml:space="preserve">Emirates and Jordan, as well as the provision of adequate human and financial resources. Background information was available in Document </w:t>
      </w:r>
      <w:hyperlink r:id="rId20" w:history="1">
        <w:r>
          <w:rPr>
            <w:rStyle w:val="Hyperlink"/>
            <w:rFonts w:eastAsia="Times New Roman" w:cs="Times New Roman"/>
            <w:szCs w:val="20"/>
            <w:lang w:val="en-GB"/>
          </w:rPr>
          <w:t>C26/INF/24</w:t>
        </w:r>
      </w:hyperlink>
      <w:r>
        <w:rPr>
          <w:lang w:val="en-GB"/>
        </w:rPr>
        <w:t>.</w:t>
      </w:r>
    </w:p>
    <w:p w14:paraId="75EC774A" w14:textId="77777777" w:rsidR="00C152A8" w:rsidRDefault="007438CE">
      <w:pPr>
        <w:jc w:val="both"/>
        <w:rPr>
          <w:lang w:val="en-GB"/>
        </w:rPr>
      </w:pPr>
      <w:r>
        <w:rPr>
          <w:lang w:val="en-GB"/>
        </w:rPr>
        <w:t>4.2</w:t>
      </w:r>
      <w:r>
        <w:rPr>
          <w:lang w:val="en-GB"/>
        </w:rPr>
        <w:tab/>
        <w:t>He said that, since February 2026, the Islamic Republic of Iran had been deliberately targeting civilian telecommunication and ICT infrastructure in Bahrain, Jordan, Kuwait and the United Arab Emirates. Such unlawful and unprovoked attacks had consequences for the resilience and stability of national, regional and global digital networks. Given that ensuring the protection and resilience of civilian telecommunication networks fell within the remit of ITU, the authors of the contribution invited the Council to issue a measured response on the situation and, through the adoption of the draft resolution, to instruct the General Secretariat to carry out associated monitoring, assessment and reporting.</w:t>
      </w:r>
    </w:p>
    <w:p w14:paraId="0BA94188" w14:textId="77777777" w:rsidR="00C152A8" w:rsidRDefault="007438CE">
      <w:pPr>
        <w:jc w:val="both"/>
        <w:rPr>
          <w:lang w:val="en-GB"/>
        </w:rPr>
      </w:pPr>
      <w:r>
        <w:rPr>
          <w:lang w:val="en-GB"/>
        </w:rPr>
        <w:t>4.3</w:t>
      </w:r>
      <w:r>
        <w:rPr>
          <w:lang w:val="en-GB"/>
        </w:rPr>
        <w:tab/>
        <w:t>Councillors expressed concern regarding the reported destruction and disruption of ICT and telecommunication infrastructure in the Middle East. Several councillors highlighted the associated humanitarian, economic and societal consequences for the region, while others emphasized the impact on State sovereignty. Some councillors stated that the attacks violated international humanitarian law and the ITU Constitution and called on all States to respect international law. Others emphasized that, in targeting infrastructure vital to global digital security, such as undersea cables, the Islamic Republic of Iran was attempting a form of digital blackmail.</w:t>
      </w:r>
    </w:p>
    <w:p w14:paraId="7743A464" w14:textId="77777777" w:rsidR="00C152A8" w:rsidRDefault="007438CE">
      <w:pPr>
        <w:jc w:val="both"/>
        <w:rPr>
          <w:lang w:val="en-GB"/>
        </w:rPr>
      </w:pPr>
      <w:r>
        <w:rPr>
          <w:lang w:val="en-GB"/>
        </w:rPr>
        <w:t>4.4</w:t>
      </w:r>
      <w:r>
        <w:rPr>
          <w:lang w:val="en-GB"/>
        </w:rPr>
        <w:tab/>
        <w:t>Councillors called for an end to strikes on civilian infrastructure, with one councillor emphasizing that it fell to Israel and the United States, as the initiators of the conflict, to put an end to the hostilities. Some councillors emphasized that concerns regarding the Islamic Republic of Iran could not be resolved through military means, but rather required negotiation and dialogue. One councillor expressed support for all actions taken by the GCC member States and by Jordan to respond to attacks on their infrastructure.</w:t>
      </w:r>
    </w:p>
    <w:p w14:paraId="7906940D" w14:textId="77777777" w:rsidR="00C152A8" w:rsidRDefault="007438CE">
      <w:pPr>
        <w:jc w:val="both"/>
        <w:rPr>
          <w:lang w:val="en-GB"/>
        </w:rPr>
      </w:pPr>
      <w:r>
        <w:rPr>
          <w:lang w:val="en-GB"/>
        </w:rPr>
        <w:t>4.5</w:t>
      </w:r>
      <w:r>
        <w:rPr>
          <w:lang w:val="en-GB"/>
        </w:rPr>
        <w:tab/>
        <w:t>Several councillors expressed support for the draft resolution contained in the contribution, noting that the importance of protecting civilian telecommunication/ICT infrastructure and the obligations of ITU in that regard. Two councillors reiterated the importance of ITU taking a firm stand on the matter to prevent a dangerous precedent from being set.</w:t>
      </w:r>
    </w:p>
    <w:p w14:paraId="0C6A9D27" w14:textId="77777777" w:rsidR="00C152A8" w:rsidRDefault="007438CE">
      <w:pPr>
        <w:jc w:val="both"/>
        <w:rPr>
          <w:lang w:val="en-GB"/>
        </w:rPr>
      </w:pPr>
      <w:r>
        <w:rPr>
          <w:lang w:val="en-GB"/>
        </w:rPr>
        <w:t>4.6</w:t>
      </w:r>
      <w:r>
        <w:rPr>
          <w:lang w:val="en-GB"/>
        </w:rPr>
        <w:tab/>
        <w:t>Several councillors expressed the view that both the draft resolution contained in the contribution presented by the United Arab Emirates and that contained in the contribution submitted by the Islamic Republic of Iran (Document C26/86) required further consideration to produce more balanced and objective texts that respected the technical nature of the Union's mandate.</w:t>
      </w:r>
    </w:p>
    <w:p w14:paraId="711BA054" w14:textId="77777777" w:rsidR="00C152A8" w:rsidRDefault="007438CE">
      <w:pPr>
        <w:jc w:val="both"/>
        <w:rPr>
          <w:lang w:val="en-GB"/>
        </w:rPr>
      </w:pPr>
      <w:r>
        <w:rPr>
          <w:lang w:val="en-GB"/>
        </w:rPr>
        <w:t>4.7</w:t>
      </w:r>
      <w:r>
        <w:rPr>
          <w:lang w:val="en-GB"/>
        </w:rPr>
        <w:tab/>
        <w:t>A number of councillors urged ITU to seize the opportunity presented by the proposed draft resolutions to make a statement on the critical nature of telecommunication infrastructure and the need to protect it during conflict on an equal footing with other infrastructure, such as hospitals and schools, which relied on telecommunication infrastructure to operate.</w:t>
      </w:r>
    </w:p>
    <w:p w14:paraId="4BE2BB70" w14:textId="77777777" w:rsidR="00C152A8" w:rsidRDefault="007438CE">
      <w:pPr>
        <w:jc w:val="both"/>
        <w:rPr>
          <w:lang w:val="en-GB"/>
        </w:rPr>
      </w:pPr>
      <w:r>
        <w:rPr>
          <w:lang w:val="en-GB"/>
        </w:rPr>
        <w:t>4.8</w:t>
      </w:r>
      <w:r>
        <w:rPr>
          <w:lang w:val="en-GB"/>
        </w:rPr>
        <w:tab/>
        <w:t>A councillor from the United Arab Emirates emphasized that the contribution presented and the associated draft resolution had no financial implications for ITU. Given the unique nature of the situation, where States not parties to a conflict had nonetheless been attacked, he urged the Council to give due consideration to the contribution that he had presented, in isolation from all other contributions.</w:t>
      </w:r>
    </w:p>
    <w:p w14:paraId="543D9A84" w14:textId="77777777" w:rsidR="00C152A8" w:rsidRDefault="007438CE">
      <w:pPr>
        <w:jc w:val="both"/>
        <w:rPr>
          <w:lang w:val="en-GB"/>
        </w:rPr>
      </w:pPr>
      <w:r>
        <w:rPr>
          <w:lang w:val="en-GB"/>
        </w:rPr>
        <w:lastRenderedPageBreak/>
        <w:t>4.9</w:t>
      </w:r>
      <w:r>
        <w:rPr>
          <w:lang w:val="en-GB"/>
        </w:rPr>
        <w:tab/>
        <w:t>The Chair proposed that informal consultations be conducted on the draft resolution and that the Council resume its consideration of the item subsequently.</w:t>
      </w:r>
    </w:p>
    <w:p w14:paraId="5A5DAA32" w14:textId="77777777" w:rsidR="00C152A8" w:rsidRDefault="007438CE">
      <w:pPr>
        <w:jc w:val="both"/>
        <w:rPr>
          <w:lang w:val="en-GB"/>
        </w:rPr>
      </w:pPr>
      <w:r>
        <w:rPr>
          <w:lang w:val="en-GB"/>
        </w:rPr>
        <w:t>4.10</w:t>
      </w:r>
      <w:r>
        <w:rPr>
          <w:lang w:val="en-GB"/>
        </w:rPr>
        <w:tab/>
        <w:t xml:space="preserve">It was so </w:t>
      </w:r>
      <w:r>
        <w:rPr>
          <w:b/>
          <w:bCs/>
          <w:lang w:val="en-GB"/>
        </w:rPr>
        <w:t>agreed</w:t>
      </w:r>
      <w:r>
        <w:rPr>
          <w:lang w:val="en-GB"/>
        </w:rPr>
        <w:t>.</w:t>
      </w:r>
    </w:p>
    <w:p w14:paraId="56571DC0" w14:textId="77777777" w:rsidR="00C152A8" w:rsidRDefault="007438CE">
      <w:pPr>
        <w:pStyle w:val="Heading1"/>
        <w:jc w:val="both"/>
        <w:rPr>
          <w:lang w:val="en-GB"/>
        </w:rPr>
      </w:pPr>
      <w:r>
        <w:rPr>
          <w:lang w:val="en-GB"/>
        </w:rPr>
        <w:t>5</w:t>
      </w:r>
      <w:r>
        <w:rPr>
          <w:lang w:val="en-GB"/>
        </w:rPr>
        <w:tab/>
        <w:t>Statements by councillors</w:t>
      </w:r>
    </w:p>
    <w:p w14:paraId="671D2391" w14:textId="77777777" w:rsidR="00C152A8" w:rsidRDefault="007438CE">
      <w:pPr>
        <w:jc w:val="both"/>
        <w:rPr>
          <w:lang w:val="en-GB"/>
        </w:rPr>
      </w:pPr>
      <w:r>
        <w:rPr>
          <w:lang w:val="en-GB"/>
        </w:rPr>
        <w:t>5.1</w:t>
      </w:r>
      <w:r>
        <w:rPr>
          <w:lang w:val="en-GB"/>
        </w:rPr>
        <w:tab/>
        <w:t>The councillor from Rwanda announced his country's candidature for re</w:t>
      </w:r>
      <w:r>
        <w:rPr>
          <w:lang w:val="en-GB"/>
        </w:rPr>
        <w:noBreakHyphen/>
        <w:t xml:space="preserve">election to the Council. </w:t>
      </w:r>
    </w:p>
    <w:p w14:paraId="63EA6331" w14:textId="77777777" w:rsidR="00C152A8" w:rsidRDefault="007438CE">
      <w:pPr>
        <w:tabs>
          <w:tab w:val="clear" w:pos="567"/>
          <w:tab w:val="clear" w:pos="1134"/>
          <w:tab w:val="clear" w:pos="1701"/>
          <w:tab w:val="clear" w:pos="2268"/>
          <w:tab w:val="clear" w:pos="2835"/>
          <w:tab w:val="left" w:pos="6237"/>
        </w:tabs>
        <w:spacing w:before="840"/>
        <w:jc w:val="both"/>
        <w:rPr>
          <w:szCs w:val="24"/>
          <w:lang w:val="en-GB"/>
        </w:rPr>
      </w:pPr>
      <w:r>
        <w:rPr>
          <w:szCs w:val="24"/>
          <w:lang w:val="en-GB"/>
        </w:rPr>
        <w:t>The Secretary-General:</w:t>
      </w:r>
      <w:r>
        <w:rPr>
          <w:szCs w:val="24"/>
          <w:lang w:val="en-GB"/>
        </w:rPr>
        <w:tab/>
        <w:t>The Chair:</w:t>
      </w:r>
    </w:p>
    <w:p w14:paraId="31EC2FC2" w14:textId="77777777" w:rsidR="00C152A8" w:rsidRDefault="007438CE">
      <w:pPr>
        <w:tabs>
          <w:tab w:val="clear" w:pos="567"/>
          <w:tab w:val="clear" w:pos="1134"/>
          <w:tab w:val="clear" w:pos="1701"/>
          <w:tab w:val="clear" w:pos="2268"/>
          <w:tab w:val="clear" w:pos="2835"/>
          <w:tab w:val="left" w:pos="6237"/>
        </w:tabs>
        <w:spacing w:before="0" w:after="120"/>
        <w:jc w:val="both"/>
        <w:rPr>
          <w:szCs w:val="24"/>
          <w:lang w:val="en-GB"/>
        </w:rPr>
      </w:pPr>
      <w:r>
        <w:rPr>
          <w:szCs w:val="24"/>
          <w:lang w:val="en-GB"/>
        </w:rPr>
        <w:t>D. BOGDAN-MARTIN</w:t>
      </w:r>
      <w:r>
        <w:rPr>
          <w:szCs w:val="24"/>
          <w:lang w:val="en-GB"/>
        </w:rPr>
        <w:tab/>
        <w:t>B. TIJANI</w:t>
      </w:r>
    </w:p>
    <w:p w14:paraId="2A7402AF" w14:textId="5A19DFD1" w:rsidR="00ED3CA6" w:rsidRDefault="00ED3CA6" w:rsidP="00ED3CA6">
      <w:pPr>
        <w:tabs>
          <w:tab w:val="clear" w:pos="567"/>
          <w:tab w:val="clear" w:pos="1134"/>
          <w:tab w:val="clear" w:pos="1701"/>
          <w:tab w:val="clear" w:pos="2268"/>
          <w:tab w:val="clear" w:pos="2835"/>
          <w:tab w:val="left" w:pos="6237"/>
        </w:tabs>
        <w:spacing w:before="600"/>
        <w:jc w:val="center"/>
        <w:rPr>
          <w:szCs w:val="24"/>
          <w:lang w:val="en-GB"/>
        </w:rPr>
      </w:pPr>
      <w:r>
        <w:rPr>
          <w:szCs w:val="24"/>
          <w:lang w:val="en-GB"/>
        </w:rPr>
        <w:t>__________________</w:t>
      </w:r>
    </w:p>
    <w:sectPr w:rsidR="00ED3CA6">
      <w:footerReference w:type="default" r:id="rId21"/>
      <w:headerReference w:type="first" r:id="rId22"/>
      <w:footerReference w:type="first" r:id="rId23"/>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9839B" w14:textId="77777777" w:rsidR="00342D86" w:rsidRDefault="00342D86">
      <w:pPr>
        <w:spacing w:before="0"/>
      </w:pPr>
      <w:r>
        <w:separator/>
      </w:r>
    </w:p>
  </w:endnote>
  <w:endnote w:type="continuationSeparator" w:id="0">
    <w:p w14:paraId="11B421D9" w14:textId="77777777" w:rsidR="00342D86" w:rsidRDefault="00342D8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C152A8" w14:paraId="0595B94F" w14:textId="77777777">
      <w:trPr>
        <w:jc w:val="center"/>
      </w:trPr>
      <w:tc>
        <w:tcPr>
          <w:tcW w:w="1803" w:type="dxa"/>
          <w:vAlign w:val="center"/>
        </w:tcPr>
        <w:p w14:paraId="28606BB1" w14:textId="348954F9" w:rsidR="00C152A8" w:rsidRDefault="007438CE">
          <w:pPr>
            <w:pStyle w:val="Header"/>
            <w:jc w:val="left"/>
            <w:rPr>
              <w:rFonts w:eastAsiaTheme="minorHAnsi"/>
            </w:rPr>
          </w:pPr>
          <w:proofErr w:type="spellStart"/>
          <w:r w:rsidRPr="00E533DF">
            <w:rPr>
              <w:rFonts w:eastAsiaTheme="minorHAnsi"/>
              <w:color w:val="BFBFBF" w:themeColor="background1" w:themeShade="BF"/>
            </w:rPr>
            <w:t>gDoc</w:t>
          </w:r>
          <w:proofErr w:type="spellEnd"/>
          <w:r w:rsidRPr="00E533DF">
            <w:rPr>
              <w:rFonts w:eastAsiaTheme="minorHAnsi"/>
              <w:color w:val="BFBFBF" w:themeColor="background1" w:themeShade="BF"/>
            </w:rPr>
            <w:t xml:space="preserve"> </w:t>
          </w:r>
          <w:r w:rsidR="00E533DF" w:rsidRPr="00E533DF">
            <w:rPr>
              <w:rFonts w:eastAsiaTheme="minorHAnsi"/>
              <w:color w:val="BFBFBF" w:themeColor="background1" w:themeShade="BF"/>
            </w:rPr>
            <w:t>R2601338</w:t>
          </w:r>
        </w:p>
      </w:tc>
      <w:tc>
        <w:tcPr>
          <w:tcW w:w="8261" w:type="dxa"/>
        </w:tcPr>
        <w:p w14:paraId="16102CDC" w14:textId="77777777" w:rsidR="00C152A8" w:rsidRDefault="007438CE">
          <w:pPr>
            <w:pStyle w:val="Header"/>
            <w:tabs>
              <w:tab w:val="left" w:pos="6731"/>
              <w:tab w:val="right" w:pos="8505"/>
              <w:tab w:val="right" w:pos="9639"/>
            </w:tabs>
            <w:jc w:val="left"/>
            <w:rPr>
              <w:rFonts w:ascii="Arial" w:eastAsiaTheme="minorHAnsi" w:hAnsi="Arial" w:cs="Arial"/>
              <w:b/>
              <w:bCs/>
              <w:szCs w:val="18"/>
            </w:rPr>
          </w:pPr>
          <w:r>
            <w:rPr>
              <w:rFonts w:eastAsiaTheme="minorHAnsi"/>
              <w:bCs/>
            </w:rPr>
            <w:tab/>
            <w:t>C26/118-E</w:t>
          </w:r>
          <w:r>
            <w:rPr>
              <w:rFonts w:eastAsiaTheme="minorHAnsi"/>
              <w:bCs/>
            </w:rPr>
            <w:tab/>
          </w:r>
          <w:r>
            <w:rPr>
              <w:rFonts w:eastAsiaTheme="minorHAnsi"/>
            </w:rPr>
            <w:fldChar w:fldCharType="begin"/>
          </w:r>
          <w:r>
            <w:rPr>
              <w:rFonts w:eastAsiaTheme="minorHAnsi"/>
            </w:rPr>
            <w:instrText>PAGE</w:instrText>
          </w:r>
          <w:r>
            <w:rPr>
              <w:rFonts w:eastAsiaTheme="minorHAnsi"/>
            </w:rPr>
            <w:fldChar w:fldCharType="separate"/>
          </w:r>
          <w:r>
            <w:rPr>
              <w:rFonts w:eastAsiaTheme="minorHAnsi"/>
            </w:rPr>
            <w:t>1</w:t>
          </w:r>
          <w:r>
            <w:rPr>
              <w:rFonts w:eastAsiaTheme="minorHAnsi"/>
            </w:rPr>
            <w:fldChar w:fldCharType="end"/>
          </w:r>
        </w:p>
      </w:tc>
    </w:tr>
  </w:tbl>
  <w:p w14:paraId="5BF2C6D1" w14:textId="77777777" w:rsidR="00C152A8" w:rsidRDefault="00C152A8">
    <w:pPr>
      <w:pStyle w:val="Header"/>
      <w:tabs>
        <w:tab w:val="left" w:pos="8080"/>
        <w:tab w:val="right" w:pos="9072"/>
      </w:tabs>
      <w:jc w:val="left"/>
      <w:rPr>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8261"/>
    </w:tblGrid>
    <w:tr w:rsidR="00C152A8" w14:paraId="1A81D366" w14:textId="77777777">
      <w:trPr>
        <w:jc w:val="center"/>
      </w:trPr>
      <w:tc>
        <w:tcPr>
          <w:tcW w:w="1803" w:type="dxa"/>
          <w:vAlign w:val="center"/>
        </w:tcPr>
        <w:p w14:paraId="34A34D13" w14:textId="77777777" w:rsidR="00C152A8" w:rsidRDefault="007438CE">
          <w:pPr>
            <w:pStyle w:val="Header"/>
            <w:jc w:val="left"/>
            <w:rPr>
              <w:rFonts w:eastAsiaTheme="minorHAnsi"/>
            </w:rPr>
          </w:pPr>
          <w:hyperlink r:id="rId1" w:history="1">
            <w:r>
              <w:rPr>
                <w:rStyle w:val="Hyperlink"/>
              </w:rPr>
              <w:t>council.itu.int/2026</w:t>
            </w:r>
          </w:hyperlink>
        </w:p>
      </w:tc>
      <w:tc>
        <w:tcPr>
          <w:tcW w:w="8261" w:type="dxa"/>
        </w:tcPr>
        <w:p w14:paraId="77D0A61E" w14:textId="77777777" w:rsidR="00C152A8" w:rsidRDefault="007438CE">
          <w:pPr>
            <w:pStyle w:val="Header"/>
            <w:tabs>
              <w:tab w:val="left" w:pos="6731"/>
              <w:tab w:val="right" w:pos="8505"/>
              <w:tab w:val="right" w:pos="9639"/>
            </w:tabs>
            <w:jc w:val="left"/>
            <w:rPr>
              <w:rFonts w:ascii="Arial" w:eastAsiaTheme="minorHAnsi" w:hAnsi="Arial" w:cs="Arial"/>
              <w:b/>
              <w:bCs/>
              <w:szCs w:val="18"/>
            </w:rPr>
          </w:pPr>
          <w:r>
            <w:rPr>
              <w:rFonts w:eastAsiaTheme="minorHAnsi"/>
              <w:bCs/>
            </w:rPr>
            <w:tab/>
            <w:t>C26/118-E</w:t>
          </w:r>
          <w:r>
            <w:rPr>
              <w:rFonts w:eastAsiaTheme="minorHAnsi"/>
              <w:bCs/>
            </w:rPr>
            <w:tab/>
          </w:r>
          <w:r>
            <w:rPr>
              <w:rFonts w:eastAsiaTheme="minorHAnsi"/>
            </w:rPr>
            <w:fldChar w:fldCharType="begin"/>
          </w:r>
          <w:r>
            <w:rPr>
              <w:rFonts w:eastAsiaTheme="minorHAnsi"/>
            </w:rPr>
            <w:instrText>PAGE</w:instrText>
          </w:r>
          <w:r>
            <w:rPr>
              <w:rFonts w:eastAsiaTheme="minorHAnsi"/>
            </w:rPr>
            <w:fldChar w:fldCharType="separate"/>
          </w:r>
          <w:r>
            <w:rPr>
              <w:rFonts w:eastAsiaTheme="minorHAnsi"/>
            </w:rPr>
            <w:t>1</w:t>
          </w:r>
          <w:r>
            <w:rPr>
              <w:rFonts w:eastAsiaTheme="minorHAnsi"/>
            </w:rPr>
            <w:fldChar w:fldCharType="end"/>
          </w:r>
        </w:p>
      </w:tc>
    </w:tr>
  </w:tbl>
  <w:p w14:paraId="0197A555" w14:textId="77777777" w:rsidR="00C152A8" w:rsidRDefault="00C152A8">
    <w:pPr>
      <w:pStyle w:val="Header"/>
      <w:tabs>
        <w:tab w:val="left" w:pos="8080"/>
        <w:tab w:val="right" w:pos="9072"/>
      </w:tabs>
      <w:jc w:val="right"/>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B6BFF" w14:textId="77777777" w:rsidR="00342D86" w:rsidRDefault="00342D86">
      <w:pPr>
        <w:spacing w:before="0"/>
      </w:pPr>
      <w:r>
        <w:separator/>
      </w:r>
    </w:p>
  </w:footnote>
  <w:footnote w:type="continuationSeparator" w:id="0">
    <w:p w14:paraId="71876644" w14:textId="77777777" w:rsidR="00342D86" w:rsidRDefault="00342D86">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2110E" w14:textId="77777777" w:rsidR="00C152A8" w:rsidRDefault="007438CE">
    <w:pPr>
      <w:pStyle w:val="Header"/>
    </w:pPr>
    <w:r>
      <w:rPr>
        <w:noProof/>
      </w:rPr>
      <w:drawing>
        <wp:inline distT="0" distB="0" distL="0" distR="0" wp14:anchorId="4E253DA0" wp14:editId="05B9F5BD">
          <wp:extent cx="5760085" cy="840740"/>
          <wp:effectExtent l="0" t="0" r="0" b="0"/>
          <wp:docPr id="99879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91133"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doNotHyphenateCaps/>
  <w:drawingGridHorizontalSpacing w:val="120"/>
  <w:drawingGridVerticalSpacing w:val="120"/>
  <w:doNotUseMarginsForDrawingGridOrigin/>
  <w:drawingGridHorizontalOrigin w:val="1800"/>
  <w:drawingGridVerticalOrigin w:val="1440"/>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ZjODNkYjgzYjc4NTVlMTcyNThmYWNlMTIzYTI4YmUifQ=="/>
  </w:docVars>
  <w:rsids>
    <w:rsidRoot w:val="00176CF6"/>
    <w:rsid w:val="000007F8"/>
    <w:rsid w:val="00000AF1"/>
    <w:rsid w:val="00005317"/>
    <w:rsid w:val="00014E38"/>
    <w:rsid w:val="000210D4"/>
    <w:rsid w:val="000262F7"/>
    <w:rsid w:val="0003789B"/>
    <w:rsid w:val="00040760"/>
    <w:rsid w:val="00044AF2"/>
    <w:rsid w:val="000552AC"/>
    <w:rsid w:val="0006007D"/>
    <w:rsid w:val="00060885"/>
    <w:rsid w:val="00063016"/>
    <w:rsid w:val="00066795"/>
    <w:rsid w:val="00066E7D"/>
    <w:rsid w:val="0007557F"/>
    <w:rsid w:val="00076AF6"/>
    <w:rsid w:val="00076D4A"/>
    <w:rsid w:val="00085581"/>
    <w:rsid w:val="00085CF2"/>
    <w:rsid w:val="00091D84"/>
    <w:rsid w:val="000B1705"/>
    <w:rsid w:val="000B71C4"/>
    <w:rsid w:val="000C0443"/>
    <w:rsid w:val="000D524F"/>
    <w:rsid w:val="000D75B2"/>
    <w:rsid w:val="000E372C"/>
    <w:rsid w:val="000E4101"/>
    <w:rsid w:val="000E693F"/>
    <w:rsid w:val="000F5DDB"/>
    <w:rsid w:val="00103C56"/>
    <w:rsid w:val="001121F5"/>
    <w:rsid w:val="0011224B"/>
    <w:rsid w:val="00114E30"/>
    <w:rsid w:val="0011771A"/>
    <w:rsid w:val="00122CDC"/>
    <w:rsid w:val="00123164"/>
    <w:rsid w:val="0012394A"/>
    <w:rsid w:val="00125377"/>
    <w:rsid w:val="001400DC"/>
    <w:rsid w:val="00140CE1"/>
    <w:rsid w:val="001439A3"/>
    <w:rsid w:val="0015189A"/>
    <w:rsid w:val="0017539C"/>
    <w:rsid w:val="00175AC2"/>
    <w:rsid w:val="0017609F"/>
    <w:rsid w:val="00176CF6"/>
    <w:rsid w:val="00176F47"/>
    <w:rsid w:val="00186C4B"/>
    <w:rsid w:val="00190F26"/>
    <w:rsid w:val="001A3154"/>
    <w:rsid w:val="001A74B5"/>
    <w:rsid w:val="001A7D1D"/>
    <w:rsid w:val="001B51DD"/>
    <w:rsid w:val="001C628E"/>
    <w:rsid w:val="001C7C8F"/>
    <w:rsid w:val="001E0F7B"/>
    <w:rsid w:val="001F5569"/>
    <w:rsid w:val="001F7C9B"/>
    <w:rsid w:val="00201AB2"/>
    <w:rsid w:val="0020487B"/>
    <w:rsid w:val="002119FD"/>
    <w:rsid w:val="002130E0"/>
    <w:rsid w:val="002148ED"/>
    <w:rsid w:val="00221F46"/>
    <w:rsid w:val="0022251B"/>
    <w:rsid w:val="0022497F"/>
    <w:rsid w:val="00232284"/>
    <w:rsid w:val="00234434"/>
    <w:rsid w:val="0026355B"/>
    <w:rsid w:val="00264425"/>
    <w:rsid w:val="00265875"/>
    <w:rsid w:val="0027303B"/>
    <w:rsid w:val="00273836"/>
    <w:rsid w:val="00277DEA"/>
    <w:rsid w:val="0028109B"/>
    <w:rsid w:val="00287B82"/>
    <w:rsid w:val="002916B4"/>
    <w:rsid w:val="00294642"/>
    <w:rsid w:val="002A0615"/>
    <w:rsid w:val="002A133E"/>
    <w:rsid w:val="002A2188"/>
    <w:rsid w:val="002B1F58"/>
    <w:rsid w:val="002C1C7A"/>
    <w:rsid w:val="002C3F32"/>
    <w:rsid w:val="002C54E2"/>
    <w:rsid w:val="002D4E45"/>
    <w:rsid w:val="0030160F"/>
    <w:rsid w:val="00303E66"/>
    <w:rsid w:val="00311999"/>
    <w:rsid w:val="003147B6"/>
    <w:rsid w:val="00320223"/>
    <w:rsid w:val="00322985"/>
    <w:rsid w:val="00322D0D"/>
    <w:rsid w:val="003417C8"/>
    <w:rsid w:val="00342D86"/>
    <w:rsid w:val="00361465"/>
    <w:rsid w:val="00362F29"/>
    <w:rsid w:val="003761E4"/>
    <w:rsid w:val="003877F5"/>
    <w:rsid w:val="00392295"/>
    <w:rsid w:val="003936D3"/>
    <w:rsid w:val="003942D4"/>
    <w:rsid w:val="003958A8"/>
    <w:rsid w:val="003958D6"/>
    <w:rsid w:val="003A2C00"/>
    <w:rsid w:val="003A43EB"/>
    <w:rsid w:val="003B29C2"/>
    <w:rsid w:val="003B4FAF"/>
    <w:rsid w:val="003B6D12"/>
    <w:rsid w:val="003C2533"/>
    <w:rsid w:val="003D5A7F"/>
    <w:rsid w:val="003E6012"/>
    <w:rsid w:val="003E7690"/>
    <w:rsid w:val="003F0228"/>
    <w:rsid w:val="0040435A"/>
    <w:rsid w:val="00406817"/>
    <w:rsid w:val="00416A24"/>
    <w:rsid w:val="00420A1A"/>
    <w:rsid w:val="00431D9E"/>
    <w:rsid w:val="00433CE8"/>
    <w:rsid w:val="00434A5C"/>
    <w:rsid w:val="0045219B"/>
    <w:rsid w:val="00453079"/>
    <w:rsid w:val="004542FC"/>
    <w:rsid w:val="004544D9"/>
    <w:rsid w:val="004626AE"/>
    <w:rsid w:val="00465C35"/>
    <w:rsid w:val="00472BAD"/>
    <w:rsid w:val="00484009"/>
    <w:rsid w:val="00490E72"/>
    <w:rsid w:val="00491157"/>
    <w:rsid w:val="00491BA9"/>
    <w:rsid w:val="004921C8"/>
    <w:rsid w:val="00492C68"/>
    <w:rsid w:val="0049369C"/>
    <w:rsid w:val="00494813"/>
    <w:rsid w:val="0049544E"/>
    <w:rsid w:val="00495615"/>
    <w:rsid w:val="00495B0B"/>
    <w:rsid w:val="0049681E"/>
    <w:rsid w:val="004973B9"/>
    <w:rsid w:val="004A1B8B"/>
    <w:rsid w:val="004A42FF"/>
    <w:rsid w:val="004C0E9E"/>
    <w:rsid w:val="004D1851"/>
    <w:rsid w:val="004D599D"/>
    <w:rsid w:val="004E2EA5"/>
    <w:rsid w:val="004E3676"/>
    <w:rsid w:val="004E3AEB"/>
    <w:rsid w:val="004F1DDA"/>
    <w:rsid w:val="004F402B"/>
    <w:rsid w:val="004F7E8A"/>
    <w:rsid w:val="0050223C"/>
    <w:rsid w:val="00512087"/>
    <w:rsid w:val="00512274"/>
    <w:rsid w:val="00513D7E"/>
    <w:rsid w:val="0051755B"/>
    <w:rsid w:val="005243FF"/>
    <w:rsid w:val="005269EF"/>
    <w:rsid w:val="00533FAA"/>
    <w:rsid w:val="00547858"/>
    <w:rsid w:val="0056467F"/>
    <w:rsid w:val="00564FBC"/>
    <w:rsid w:val="00575D07"/>
    <w:rsid w:val="005800BC"/>
    <w:rsid w:val="00582442"/>
    <w:rsid w:val="00587D8F"/>
    <w:rsid w:val="005A2D36"/>
    <w:rsid w:val="005B24DB"/>
    <w:rsid w:val="005C60CA"/>
    <w:rsid w:val="005C72B9"/>
    <w:rsid w:val="005D597A"/>
    <w:rsid w:val="005E0A43"/>
    <w:rsid w:val="005E130B"/>
    <w:rsid w:val="005E19A6"/>
    <w:rsid w:val="005E3671"/>
    <w:rsid w:val="005E4C1A"/>
    <w:rsid w:val="005F3269"/>
    <w:rsid w:val="00601311"/>
    <w:rsid w:val="006064C3"/>
    <w:rsid w:val="0061071E"/>
    <w:rsid w:val="00612DCF"/>
    <w:rsid w:val="00614DA3"/>
    <w:rsid w:val="006237CF"/>
    <w:rsid w:val="00623AE3"/>
    <w:rsid w:val="00625A7D"/>
    <w:rsid w:val="0064009D"/>
    <w:rsid w:val="00646046"/>
    <w:rsid w:val="0064737F"/>
    <w:rsid w:val="00650D77"/>
    <w:rsid w:val="006535F1"/>
    <w:rsid w:val="0065557D"/>
    <w:rsid w:val="00660D50"/>
    <w:rsid w:val="00662984"/>
    <w:rsid w:val="00665D40"/>
    <w:rsid w:val="006716BB"/>
    <w:rsid w:val="00680E2C"/>
    <w:rsid w:val="00687736"/>
    <w:rsid w:val="00692CA0"/>
    <w:rsid w:val="0069381D"/>
    <w:rsid w:val="006A0A17"/>
    <w:rsid w:val="006A252E"/>
    <w:rsid w:val="006A2D45"/>
    <w:rsid w:val="006A2F4B"/>
    <w:rsid w:val="006A5318"/>
    <w:rsid w:val="006A70C1"/>
    <w:rsid w:val="006B17DA"/>
    <w:rsid w:val="006B1859"/>
    <w:rsid w:val="006B554B"/>
    <w:rsid w:val="006B6680"/>
    <w:rsid w:val="006B6DCC"/>
    <w:rsid w:val="006B77F1"/>
    <w:rsid w:val="006C08AC"/>
    <w:rsid w:val="006D31AF"/>
    <w:rsid w:val="006D6F09"/>
    <w:rsid w:val="006F50F0"/>
    <w:rsid w:val="00702DEF"/>
    <w:rsid w:val="00706861"/>
    <w:rsid w:val="00714A04"/>
    <w:rsid w:val="0072150A"/>
    <w:rsid w:val="00722551"/>
    <w:rsid w:val="00726C3E"/>
    <w:rsid w:val="007300B6"/>
    <w:rsid w:val="00733278"/>
    <w:rsid w:val="007438CE"/>
    <w:rsid w:val="0075051B"/>
    <w:rsid w:val="007571E0"/>
    <w:rsid w:val="00762C9B"/>
    <w:rsid w:val="00763175"/>
    <w:rsid w:val="00765812"/>
    <w:rsid w:val="00765C89"/>
    <w:rsid w:val="0077110E"/>
    <w:rsid w:val="007841CD"/>
    <w:rsid w:val="00787E70"/>
    <w:rsid w:val="00793188"/>
    <w:rsid w:val="00794D34"/>
    <w:rsid w:val="00796266"/>
    <w:rsid w:val="007A3FCD"/>
    <w:rsid w:val="007A4312"/>
    <w:rsid w:val="007A4E76"/>
    <w:rsid w:val="007B19CF"/>
    <w:rsid w:val="007B30B1"/>
    <w:rsid w:val="007C0020"/>
    <w:rsid w:val="007D01AF"/>
    <w:rsid w:val="007D44F1"/>
    <w:rsid w:val="00805B44"/>
    <w:rsid w:val="00806C54"/>
    <w:rsid w:val="00813E5E"/>
    <w:rsid w:val="00814A67"/>
    <w:rsid w:val="008153FA"/>
    <w:rsid w:val="0082091D"/>
    <w:rsid w:val="00826C2C"/>
    <w:rsid w:val="0083581B"/>
    <w:rsid w:val="00835FD2"/>
    <w:rsid w:val="00837356"/>
    <w:rsid w:val="00841F07"/>
    <w:rsid w:val="0084546D"/>
    <w:rsid w:val="00846B7F"/>
    <w:rsid w:val="00853E5D"/>
    <w:rsid w:val="00863874"/>
    <w:rsid w:val="00864AFF"/>
    <w:rsid w:val="00865925"/>
    <w:rsid w:val="008720B8"/>
    <w:rsid w:val="00890068"/>
    <w:rsid w:val="008926A5"/>
    <w:rsid w:val="00896EF8"/>
    <w:rsid w:val="008B4A6A"/>
    <w:rsid w:val="008B70F3"/>
    <w:rsid w:val="008C108E"/>
    <w:rsid w:val="008C1B39"/>
    <w:rsid w:val="008C4240"/>
    <w:rsid w:val="008C7E27"/>
    <w:rsid w:val="008E0283"/>
    <w:rsid w:val="008E4BC2"/>
    <w:rsid w:val="008F07AB"/>
    <w:rsid w:val="008F40FE"/>
    <w:rsid w:val="008F6CD2"/>
    <w:rsid w:val="008F7448"/>
    <w:rsid w:val="0090147A"/>
    <w:rsid w:val="009173EF"/>
    <w:rsid w:val="009216FA"/>
    <w:rsid w:val="00921A38"/>
    <w:rsid w:val="0093225D"/>
    <w:rsid w:val="00932906"/>
    <w:rsid w:val="00953A1A"/>
    <w:rsid w:val="00954C49"/>
    <w:rsid w:val="00955B28"/>
    <w:rsid w:val="00961B0B"/>
    <w:rsid w:val="00962D33"/>
    <w:rsid w:val="00965632"/>
    <w:rsid w:val="00965AF2"/>
    <w:rsid w:val="00970029"/>
    <w:rsid w:val="00972CA5"/>
    <w:rsid w:val="00983049"/>
    <w:rsid w:val="009842A1"/>
    <w:rsid w:val="00986610"/>
    <w:rsid w:val="00986BFF"/>
    <w:rsid w:val="0099729B"/>
    <w:rsid w:val="009A76A8"/>
    <w:rsid w:val="009A7A1F"/>
    <w:rsid w:val="009B38C3"/>
    <w:rsid w:val="009E07D1"/>
    <w:rsid w:val="009E1785"/>
    <w:rsid w:val="009E17BD"/>
    <w:rsid w:val="009E485A"/>
    <w:rsid w:val="009E7FC2"/>
    <w:rsid w:val="009F6817"/>
    <w:rsid w:val="00A01F4F"/>
    <w:rsid w:val="00A04CEC"/>
    <w:rsid w:val="00A109AF"/>
    <w:rsid w:val="00A226FB"/>
    <w:rsid w:val="00A25B02"/>
    <w:rsid w:val="00A27F92"/>
    <w:rsid w:val="00A32257"/>
    <w:rsid w:val="00A36D20"/>
    <w:rsid w:val="00A514A4"/>
    <w:rsid w:val="00A55622"/>
    <w:rsid w:val="00A63020"/>
    <w:rsid w:val="00A80ADC"/>
    <w:rsid w:val="00A83502"/>
    <w:rsid w:val="00A876A7"/>
    <w:rsid w:val="00A94BAB"/>
    <w:rsid w:val="00A956B3"/>
    <w:rsid w:val="00AA054C"/>
    <w:rsid w:val="00AA42AA"/>
    <w:rsid w:val="00AB69D9"/>
    <w:rsid w:val="00AC40C3"/>
    <w:rsid w:val="00AD15B3"/>
    <w:rsid w:val="00AD3606"/>
    <w:rsid w:val="00AD4A3D"/>
    <w:rsid w:val="00AD7215"/>
    <w:rsid w:val="00AE000C"/>
    <w:rsid w:val="00AE7782"/>
    <w:rsid w:val="00AF4C7F"/>
    <w:rsid w:val="00AF668B"/>
    <w:rsid w:val="00AF6E49"/>
    <w:rsid w:val="00B04A67"/>
    <w:rsid w:val="00B05496"/>
    <w:rsid w:val="00B0583C"/>
    <w:rsid w:val="00B11532"/>
    <w:rsid w:val="00B2489E"/>
    <w:rsid w:val="00B24945"/>
    <w:rsid w:val="00B35F8E"/>
    <w:rsid w:val="00B40A81"/>
    <w:rsid w:val="00B44910"/>
    <w:rsid w:val="00B72267"/>
    <w:rsid w:val="00B76EB6"/>
    <w:rsid w:val="00B7737B"/>
    <w:rsid w:val="00B824C8"/>
    <w:rsid w:val="00B84B9D"/>
    <w:rsid w:val="00B857C2"/>
    <w:rsid w:val="00B9131F"/>
    <w:rsid w:val="00B935BC"/>
    <w:rsid w:val="00BA683D"/>
    <w:rsid w:val="00BB0646"/>
    <w:rsid w:val="00BB5F75"/>
    <w:rsid w:val="00BC251A"/>
    <w:rsid w:val="00BC4508"/>
    <w:rsid w:val="00BC4A20"/>
    <w:rsid w:val="00BD032B"/>
    <w:rsid w:val="00BE01C6"/>
    <w:rsid w:val="00BE101B"/>
    <w:rsid w:val="00BE2640"/>
    <w:rsid w:val="00BF1338"/>
    <w:rsid w:val="00BF1FDE"/>
    <w:rsid w:val="00BF56B8"/>
    <w:rsid w:val="00C01189"/>
    <w:rsid w:val="00C0458D"/>
    <w:rsid w:val="00C05157"/>
    <w:rsid w:val="00C06A60"/>
    <w:rsid w:val="00C152A8"/>
    <w:rsid w:val="00C27B04"/>
    <w:rsid w:val="00C27E63"/>
    <w:rsid w:val="00C374DE"/>
    <w:rsid w:val="00C4420A"/>
    <w:rsid w:val="00C47AD4"/>
    <w:rsid w:val="00C506AB"/>
    <w:rsid w:val="00C512E5"/>
    <w:rsid w:val="00C52D81"/>
    <w:rsid w:val="00C55198"/>
    <w:rsid w:val="00C5605F"/>
    <w:rsid w:val="00C6520B"/>
    <w:rsid w:val="00C908BD"/>
    <w:rsid w:val="00CA6393"/>
    <w:rsid w:val="00CA7248"/>
    <w:rsid w:val="00CA7995"/>
    <w:rsid w:val="00CB18FF"/>
    <w:rsid w:val="00CB243E"/>
    <w:rsid w:val="00CB47AB"/>
    <w:rsid w:val="00CB5A00"/>
    <w:rsid w:val="00CD0C08"/>
    <w:rsid w:val="00CD1C5B"/>
    <w:rsid w:val="00CD2049"/>
    <w:rsid w:val="00CE03FB"/>
    <w:rsid w:val="00CE433C"/>
    <w:rsid w:val="00CE7A00"/>
    <w:rsid w:val="00CF0161"/>
    <w:rsid w:val="00CF33F3"/>
    <w:rsid w:val="00CF4A2B"/>
    <w:rsid w:val="00D024CA"/>
    <w:rsid w:val="00D02D5E"/>
    <w:rsid w:val="00D0420D"/>
    <w:rsid w:val="00D06183"/>
    <w:rsid w:val="00D1782E"/>
    <w:rsid w:val="00D22C42"/>
    <w:rsid w:val="00D25CE4"/>
    <w:rsid w:val="00D431F8"/>
    <w:rsid w:val="00D43E26"/>
    <w:rsid w:val="00D64200"/>
    <w:rsid w:val="00D65041"/>
    <w:rsid w:val="00D710E2"/>
    <w:rsid w:val="00D92583"/>
    <w:rsid w:val="00D92C86"/>
    <w:rsid w:val="00DA17BC"/>
    <w:rsid w:val="00DA6D98"/>
    <w:rsid w:val="00DB07CD"/>
    <w:rsid w:val="00DB1936"/>
    <w:rsid w:val="00DB23AF"/>
    <w:rsid w:val="00DB384B"/>
    <w:rsid w:val="00DB5439"/>
    <w:rsid w:val="00DD221B"/>
    <w:rsid w:val="00DD5628"/>
    <w:rsid w:val="00DE532B"/>
    <w:rsid w:val="00DF0189"/>
    <w:rsid w:val="00E06FD5"/>
    <w:rsid w:val="00E10E80"/>
    <w:rsid w:val="00E124F0"/>
    <w:rsid w:val="00E227F3"/>
    <w:rsid w:val="00E30F3D"/>
    <w:rsid w:val="00E325EF"/>
    <w:rsid w:val="00E36F09"/>
    <w:rsid w:val="00E376D6"/>
    <w:rsid w:val="00E527C8"/>
    <w:rsid w:val="00E533DF"/>
    <w:rsid w:val="00E545C6"/>
    <w:rsid w:val="00E54D00"/>
    <w:rsid w:val="00E57AB5"/>
    <w:rsid w:val="00E60F04"/>
    <w:rsid w:val="00E62797"/>
    <w:rsid w:val="00E65B24"/>
    <w:rsid w:val="00E8393C"/>
    <w:rsid w:val="00E854E4"/>
    <w:rsid w:val="00E86DBF"/>
    <w:rsid w:val="00E969AF"/>
    <w:rsid w:val="00E96A4A"/>
    <w:rsid w:val="00EA6952"/>
    <w:rsid w:val="00EB0D6F"/>
    <w:rsid w:val="00EB2232"/>
    <w:rsid w:val="00EB407C"/>
    <w:rsid w:val="00EC48E2"/>
    <w:rsid w:val="00EC5337"/>
    <w:rsid w:val="00ED1654"/>
    <w:rsid w:val="00ED3595"/>
    <w:rsid w:val="00ED3CA6"/>
    <w:rsid w:val="00EE3169"/>
    <w:rsid w:val="00EE49E8"/>
    <w:rsid w:val="00EF7BCB"/>
    <w:rsid w:val="00F16BAB"/>
    <w:rsid w:val="00F211FA"/>
    <w:rsid w:val="00F2150A"/>
    <w:rsid w:val="00F231AA"/>
    <w:rsid w:val="00F231D8"/>
    <w:rsid w:val="00F27A2A"/>
    <w:rsid w:val="00F31852"/>
    <w:rsid w:val="00F36304"/>
    <w:rsid w:val="00F44C00"/>
    <w:rsid w:val="00F4588B"/>
    <w:rsid w:val="00F45D2C"/>
    <w:rsid w:val="00F46C5F"/>
    <w:rsid w:val="00F559C1"/>
    <w:rsid w:val="00F632C0"/>
    <w:rsid w:val="00F641E1"/>
    <w:rsid w:val="00F66E31"/>
    <w:rsid w:val="00F86999"/>
    <w:rsid w:val="00F94A63"/>
    <w:rsid w:val="00FA0F8E"/>
    <w:rsid w:val="00FA1C28"/>
    <w:rsid w:val="00FA4C2A"/>
    <w:rsid w:val="00FB0C64"/>
    <w:rsid w:val="00FB1279"/>
    <w:rsid w:val="00FB35B5"/>
    <w:rsid w:val="00FB6B76"/>
    <w:rsid w:val="00FB7596"/>
    <w:rsid w:val="00FC300F"/>
    <w:rsid w:val="00FC33DD"/>
    <w:rsid w:val="00FC68EF"/>
    <w:rsid w:val="00FE4077"/>
    <w:rsid w:val="00FE500D"/>
    <w:rsid w:val="00FE77D2"/>
    <w:rsid w:val="00FF39B1"/>
    <w:rsid w:val="1AFF2228"/>
    <w:rsid w:val="3FAA00AE"/>
    <w:rsid w:val="4C8F0B00"/>
    <w:rsid w:val="58DCDBF2"/>
    <w:rsid w:val="5DB8084B"/>
    <w:rsid w:val="737B0183"/>
    <w:rsid w:val="76FF03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82E58"/>
  <w15:docId w15:val="{9C0FC24C-853E-4BDC-8B5A-4DC161B4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qFormat="1"/>
    <w:lsdException w:name="index 3" w:qFormat="1"/>
    <w:lsdException w:name="index 4" w:qFormat="1"/>
    <w:lsdException w:name="index 5" w:qFormat="1"/>
    <w:lsdException w:name="index 6" w:qFormat="1"/>
    <w:lsdException w:name="index 8" w:semiHidden="1" w:unhideWhenUsed="1"/>
    <w:lsdException w:name="index 9" w:semiHidden="1" w:unhideWhenUsed="1"/>
    <w:lsdException w:name="toc 3" w:qFormat="1"/>
    <w:lsdException w:name="toc 4" w:qFormat="1"/>
    <w:lsdException w:name="toc 5" w:qFormat="1"/>
    <w:lsdException w:name="toc 6" w:qFormat="1"/>
    <w:lsdException w:name="toc 7" w:qFormat="1"/>
    <w:lsdException w:name="toc 9" w:qFormat="1"/>
    <w:lsdException w:name="Normal Indent" w:qFormat="1"/>
    <w:lsdException w:name="footnote text" w:qFormat="1"/>
    <w:lsdException w:name="annotation text" w:uiPriority="99" w:unhideWhenUsed="1" w:qFormat="1"/>
    <w:lsdException w:name="header" w:uiPriority="99" w:qFormat="1"/>
    <w:lsdException w:name="index heading"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iPriority="99"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eastAsia="Times New Roman" w:hAnsi="Calibri"/>
      <w:sz w:val="24"/>
      <w:lang w:val="fr-FR" w:eastAsia="en-US"/>
    </w:rPr>
  </w:style>
  <w:style w:type="paragraph" w:styleId="Heading1">
    <w:name w:val="heading 1"/>
    <w:basedOn w:val="Normal"/>
    <w:next w:val="Normal"/>
    <w:qFormat/>
    <w:pPr>
      <w:keepNext/>
      <w:keepLines/>
      <w:spacing w:before="360"/>
      <w:ind w:left="567" w:hanging="567"/>
      <w:outlineLvl w:val="0"/>
    </w:pPr>
    <w:rPr>
      <w:b/>
      <w:sz w:val="28"/>
    </w:rPr>
  </w:style>
  <w:style w:type="paragraph" w:styleId="Heading2">
    <w:name w:val="heading 2"/>
    <w:basedOn w:val="Heading1"/>
    <w:next w:val="Normal"/>
    <w:qFormat/>
    <w:pPr>
      <w:spacing w:before="200"/>
      <w:outlineLvl w:val="1"/>
    </w:pPr>
    <w:rPr>
      <w:sz w:val="24"/>
    </w:rPr>
  </w:style>
  <w:style w:type="paragraph" w:styleId="Heading3">
    <w:name w:val="heading 3"/>
    <w:basedOn w:val="Heading1"/>
    <w:next w:val="Normal"/>
    <w:qFormat/>
    <w:pPr>
      <w:spacing w:before="200"/>
      <w:outlineLvl w:val="2"/>
    </w:pPr>
    <w:rPr>
      <w:sz w:val="24"/>
    </w:rPr>
  </w:style>
  <w:style w:type="paragraph" w:styleId="Heading4">
    <w:name w:val="heading 4"/>
    <w:basedOn w:val="Heading3"/>
    <w:next w:val="Normal"/>
    <w:qFormat/>
    <w:pPr>
      <w:ind w:left="1134" w:hanging="1134"/>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4"/>
    <w:next w:val="Normal"/>
    <w:qFormat/>
    <w:pPr>
      <w:ind w:left="1701" w:hanging="1701"/>
      <w:outlineLvl w:val="6"/>
    </w:pPr>
  </w:style>
  <w:style w:type="paragraph" w:styleId="Heading8">
    <w:name w:val="heading 8"/>
    <w:basedOn w:val="Heading4"/>
    <w:next w:val="Normal"/>
    <w:qFormat/>
    <w:pPr>
      <w:ind w:left="1701" w:hanging="1701"/>
      <w:outlineLvl w:val="7"/>
    </w:pPr>
  </w:style>
  <w:style w:type="paragraph" w:styleId="Heading9">
    <w:name w:val="heading 9"/>
    <w:basedOn w:val="Heading4"/>
    <w:next w:val="Normal"/>
    <w:qFormat/>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TOC6"/>
    <w:next w:val="Normal"/>
    <w:qFormat/>
  </w:style>
  <w:style w:type="paragraph" w:styleId="TOC6">
    <w:name w:val="toc 6"/>
    <w:basedOn w:val="TOC5"/>
    <w:next w:val="Normal"/>
    <w:qFormat/>
  </w:style>
  <w:style w:type="paragraph" w:styleId="TOC5">
    <w:name w:val="toc 5"/>
    <w:basedOn w:val="TOC4"/>
    <w:next w:val="Normal"/>
    <w:qFormat/>
    <w:rPr>
      <w:lang w:val="fr-CH"/>
    </w:rPr>
  </w:style>
  <w:style w:type="paragraph" w:styleId="TOC4">
    <w:name w:val="toc 4"/>
    <w:basedOn w:val="TOC1"/>
    <w:next w:val="Normal"/>
    <w:qFormat/>
  </w:style>
  <w:style w:type="paragraph" w:styleId="TOC1">
    <w:name w:val="toc 1"/>
    <w:basedOn w:val="Normal"/>
    <w:pPr>
      <w:tabs>
        <w:tab w:val="clear" w:pos="567"/>
        <w:tab w:val="clear" w:pos="1134"/>
        <w:tab w:val="clear" w:pos="1701"/>
        <w:tab w:val="clear" w:pos="2268"/>
        <w:tab w:val="clear" w:pos="2835"/>
        <w:tab w:val="left" w:pos="964"/>
        <w:tab w:val="left" w:leader="dot" w:pos="7938"/>
        <w:tab w:val="right" w:pos="9072"/>
      </w:tabs>
      <w:spacing w:before="200"/>
      <w:ind w:left="964" w:hanging="964"/>
    </w:pPr>
  </w:style>
  <w:style w:type="paragraph" w:styleId="NormalIndent">
    <w:name w:val="Normal Indent"/>
    <w:basedOn w:val="Normal"/>
    <w:qFormat/>
    <w:pPr>
      <w:ind w:left="567"/>
    </w:pPr>
  </w:style>
  <w:style w:type="paragraph" w:styleId="Index5">
    <w:name w:val="index 5"/>
    <w:basedOn w:val="Normal"/>
    <w:next w:val="Normal"/>
    <w:qFormat/>
    <w:pPr>
      <w:ind w:left="1132"/>
    </w:pPr>
  </w:style>
  <w:style w:type="paragraph" w:styleId="CommentText">
    <w:name w:val="annotation text"/>
    <w:basedOn w:val="Normal"/>
    <w:link w:val="CommentTextChar"/>
    <w:uiPriority w:val="99"/>
    <w:unhideWhenUsed/>
    <w:qFormat/>
    <w:pPr>
      <w:tabs>
        <w:tab w:val="clear" w:pos="567"/>
        <w:tab w:val="clear" w:pos="1134"/>
        <w:tab w:val="clear" w:pos="1701"/>
        <w:tab w:val="clear" w:pos="2268"/>
        <w:tab w:val="clear" w:pos="2835"/>
      </w:tabs>
      <w:overflowPunct/>
      <w:autoSpaceDE/>
      <w:autoSpaceDN/>
      <w:adjustRightInd/>
      <w:spacing w:before="0" w:after="160"/>
      <w:textAlignment w:val="auto"/>
    </w:pPr>
    <w:rPr>
      <w:rFonts w:asciiTheme="minorHAnsi" w:eastAsiaTheme="minorHAnsi" w:hAnsiTheme="minorHAnsi" w:cstheme="minorBidi"/>
      <w:kern w:val="2"/>
      <w:sz w:val="20"/>
      <w:lang w:val="en-GB"/>
      <w14:ligatures w14:val="standardContextual"/>
    </w:rPr>
  </w:style>
  <w:style w:type="paragraph" w:styleId="Index6">
    <w:name w:val="index 6"/>
    <w:basedOn w:val="Normal"/>
    <w:next w:val="Normal"/>
    <w:qFormat/>
    <w:pPr>
      <w:ind w:left="1415"/>
    </w:pPr>
  </w:style>
  <w:style w:type="paragraph" w:styleId="Index4">
    <w:name w:val="index 4"/>
    <w:basedOn w:val="Normal"/>
    <w:next w:val="Normal"/>
    <w:qFormat/>
    <w:pPr>
      <w:ind w:left="849"/>
    </w:pPr>
  </w:style>
  <w:style w:type="paragraph" w:styleId="TOC3">
    <w:name w:val="toc 3"/>
    <w:basedOn w:val="TOC1"/>
    <w:next w:val="Normal"/>
    <w:qFormat/>
  </w:style>
  <w:style w:type="paragraph" w:styleId="TOC8">
    <w:name w:val="toc 8"/>
    <w:basedOn w:val="TOC7"/>
    <w:next w:val="Normal"/>
  </w:style>
  <w:style w:type="paragraph" w:styleId="Index3">
    <w:name w:val="index 3"/>
    <w:basedOn w:val="Normal"/>
    <w:next w:val="Normal"/>
    <w:qFormat/>
    <w:pPr>
      <w:ind w:left="566"/>
    </w:pPr>
  </w:style>
  <w:style w:type="paragraph" w:styleId="Footer">
    <w:name w:val="footer"/>
    <w:basedOn w:val="Normal"/>
    <w:pPr>
      <w:tabs>
        <w:tab w:val="clear" w:pos="567"/>
        <w:tab w:val="clear" w:pos="1134"/>
        <w:tab w:val="clear" w:pos="1701"/>
        <w:tab w:val="clear" w:pos="2268"/>
        <w:tab w:val="clear" w:pos="2835"/>
        <w:tab w:val="left" w:pos="5954"/>
        <w:tab w:val="right" w:pos="9639"/>
      </w:tabs>
      <w:spacing w:before="0"/>
    </w:pPr>
    <w:rPr>
      <w:caps/>
      <w:sz w:val="16"/>
    </w:rPr>
  </w:style>
  <w:style w:type="paragraph" w:styleId="Header">
    <w:name w:val="header"/>
    <w:basedOn w:val="Normal"/>
    <w:link w:val="HeaderChar"/>
    <w:uiPriority w:val="99"/>
    <w:qFormat/>
    <w:pPr>
      <w:tabs>
        <w:tab w:val="clear" w:pos="567"/>
        <w:tab w:val="clear" w:pos="1134"/>
        <w:tab w:val="clear" w:pos="1701"/>
        <w:tab w:val="clear" w:pos="2268"/>
        <w:tab w:val="clear" w:pos="2835"/>
      </w:tabs>
      <w:spacing w:before="0"/>
      <w:jc w:val="center"/>
    </w:pPr>
    <w:rPr>
      <w:sz w:val="18"/>
    </w:rPr>
  </w:style>
  <w:style w:type="paragraph" w:styleId="IndexHeading">
    <w:name w:val="index heading"/>
    <w:basedOn w:val="Normal"/>
    <w:next w:val="Index1"/>
    <w:qFormat/>
  </w:style>
  <w:style w:type="paragraph" w:styleId="Index1">
    <w:name w:val="index 1"/>
    <w:basedOn w:val="Normal"/>
    <w:next w:val="Normal"/>
  </w:style>
  <w:style w:type="paragraph" w:styleId="List">
    <w:name w:val="List"/>
    <w:basedOn w:val="Normal"/>
    <w:pPr>
      <w:tabs>
        <w:tab w:val="left" w:pos="2127"/>
      </w:tabs>
      <w:ind w:left="2127" w:hanging="2127"/>
    </w:pPr>
  </w:style>
  <w:style w:type="paragraph" w:styleId="FootnoteText">
    <w:name w:val="footnote text"/>
    <w:basedOn w:val="Normal"/>
    <w:qFormat/>
    <w:pPr>
      <w:keepLines/>
      <w:tabs>
        <w:tab w:val="left" w:pos="256"/>
      </w:tabs>
      <w:ind w:left="256" w:hanging="256"/>
    </w:pPr>
    <w:rPr>
      <w:sz w:val="22"/>
    </w:rPr>
  </w:style>
  <w:style w:type="paragraph" w:styleId="Index7">
    <w:name w:val="index 7"/>
    <w:basedOn w:val="Normal"/>
    <w:next w:val="Normal"/>
    <w:pPr>
      <w:ind w:left="1698"/>
    </w:pPr>
  </w:style>
  <w:style w:type="paragraph" w:styleId="TOC2">
    <w:name w:val="toc 2"/>
    <w:basedOn w:val="TOC1"/>
    <w:next w:val="Normal"/>
    <w:pPr>
      <w:spacing w:before="160"/>
    </w:pPr>
  </w:style>
  <w:style w:type="paragraph" w:styleId="TOC9">
    <w:name w:val="toc 9"/>
    <w:basedOn w:val="Normal"/>
    <w:next w:val="Normal"/>
    <w:qFormat/>
    <w:pPr>
      <w:tabs>
        <w:tab w:val="clear" w:pos="567"/>
        <w:tab w:val="clear" w:pos="1134"/>
        <w:tab w:val="clear" w:pos="1701"/>
        <w:tab w:val="clear" w:pos="2268"/>
        <w:tab w:val="clear" w:pos="2835"/>
        <w:tab w:val="right" w:leader="dot" w:pos="9645"/>
      </w:tabs>
      <w:ind w:left="1920"/>
    </w:pPr>
  </w:style>
  <w:style w:type="paragraph" w:styleId="Index2">
    <w:name w:val="index 2"/>
    <w:basedOn w:val="Normal"/>
    <w:next w:val="Normal"/>
    <w:qFormat/>
    <w:pPr>
      <w:ind w:left="283"/>
    </w:pPr>
  </w:style>
  <w:style w:type="paragraph" w:styleId="CommentSubject">
    <w:name w:val="annotation subject"/>
    <w:basedOn w:val="CommentText"/>
    <w:next w:val="CommentText"/>
    <w:link w:val="CommentSubjectChar"/>
    <w:semiHidden/>
    <w:unhideWhenUsed/>
    <w:qFormat/>
    <w:pPr>
      <w:tabs>
        <w:tab w:val="left" w:pos="567"/>
        <w:tab w:val="left" w:pos="1134"/>
        <w:tab w:val="left" w:pos="1701"/>
        <w:tab w:val="left" w:pos="2268"/>
        <w:tab w:val="left" w:pos="2835"/>
      </w:tabs>
      <w:overflowPunct w:val="0"/>
      <w:autoSpaceDE w:val="0"/>
      <w:autoSpaceDN w:val="0"/>
      <w:adjustRightInd w:val="0"/>
      <w:spacing w:before="120" w:after="0"/>
      <w:textAlignment w:val="baseline"/>
    </w:pPr>
    <w:rPr>
      <w:rFonts w:ascii="Calibri" w:eastAsia="Times New Roman" w:hAnsi="Calibri" w:cs="Times New Roman"/>
      <w:b/>
      <w:bCs/>
      <w:kern w:val="0"/>
      <w:lang w:val="fr-FR"/>
      <w14:ligatures w14:val="none"/>
    </w:rPr>
  </w:style>
  <w:style w:type="table" w:styleId="TableGrid">
    <w:name w:val="Table Grid"/>
    <w:basedOn w:val="TableNormal"/>
    <w:uiPriority w:val="39"/>
    <w:qFormat/>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Pr>
      <w:rFonts w:ascii="Calibri" w:hAnsi="Calibri"/>
    </w:rPr>
  </w:style>
  <w:style w:type="character" w:styleId="FollowedHyperlink">
    <w:name w:val="FollowedHyperlink"/>
    <w:basedOn w:val="DefaultParagraphFont"/>
    <w:rPr>
      <w:color w:val="800080"/>
      <w:u w:val="single"/>
    </w:rPr>
  </w:style>
  <w:style w:type="character" w:styleId="LineNumber">
    <w:name w:val="line number"/>
    <w:basedOn w:val="DefaultParagraphFont"/>
  </w:style>
  <w:style w:type="character" w:styleId="Hyperlink">
    <w:name w:val="Hyperlink"/>
    <w:basedOn w:val="DefaultParagraphFont"/>
    <w:rPr>
      <w:rFonts w:eastAsiaTheme="minorHAnsi" w:cstheme="minorBidi"/>
      <w:color w:val="4F81BD" w:themeColor="accent1"/>
      <w:szCs w:val="22"/>
      <w:u w:val="single"/>
    </w:rPr>
  </w:style>
  <w:style w:type="character" w:styleId="CommentReference">
    <w:name w:val="annotation reference"/>
    <w:basedOn w:val="DefaultParagraphFont"/>
    <w:uiPriority w:val="99"/>
    <w:semiHidden/>
    <w:unhideWhenUsed/>
    <w:qFormat/>
    <w:rPr>
      <w:sz w:val="16"/>
      <w:szCs w:val="16"/>
    </w:rPr>
  </w:style>
  <w:style w:type="character" w:styleId="FootnoteReference">
    <w:name w:val="footnote reference"/>
    <w:basedOn w:val="DefaultParagraphFont"/>
    <w:qFormat/>
    <w:rPr>
      <w:rFonts w:ascii="Calibri" w:hAnsi="Calibri"/>
      <w:position w:val="6"/>
      <w:sz w:val="16"/>
    </w:rPr>
  </w:style>
  <w:style w:type="paragraph" w:customStyle="1" w:styleId="enumlev1">
    <w:name w:val="enumlev1"/>
    <w:basedOn w:val="Normal"/>
    <w:pPr>
      <w:spacing w:before="80"/>
      <w:ind w:left="567" w:hanging="567"/>
    </w:pPr>
  </w:style>
  <w:style w:type="paragraph" w:customStyle="1" w:styleId="enumlev2">
    <w:name w:val="enumlev2"/>
    <w:basedOn w:val="enumlev1"/>
    <w:qFormat/>
    <w:pPr>
      <w:ind w:left="1134"/>
    </w:pPr>
  </w:style>
  <w:style w:type="paragraph" w:customStyle="1" w:styleId="enumlev3">
    <w:name w:val="enumlev3"/>
    <w:basedOn w:val="enumlev2"/>
    <w:qFormat/>
    <w:pPr>
      <w:ind w:left="1701"/>
    </w:pPr>
  </w:style>
  <w:style w:type="paragraph" w:customStyle="1" w:styleId="Normalaftertitle">
    <w:name w:val="Normal after title"/>
    <w:basedOn w:val="Normal"/>
    <w:next w:val="Normal"/>
    <w:qFormat/>
    <w:pPr>
      <w:spacing w:before="240"/>
    </w:pPr>
  </w:style>
  <w:style w:type="character" w:customStyle="1" w:styleId="HeaderChar">
    <w:name w:val="Header Char"/>
    <w:basedOn w:val="DefaultParagraphFont"/>
    <w:link w:val="Header"/>
    <w:uiPriority w:val="99"/>
    <w:rPr>
      <w:rFonts w:ascii="Calibri" w:hAnsi="Calibri"/>
      <w:sz w:val="18"/>
      <w:lang w:val="fr-FR" w:eastAsia="en-US"/>
    </w:rPr>
  </w:style>
  <w:style w:type="paragraph" w:customStyle="1" w:styleId="Head">
    <w:name w:val="Head"/>
    <w:basedOn w:val="Normal"/>
    <w:pPr>
      <w:tabs>
        <w:tab w:val="left" w:pos="6663"/>
      </w:tabs>
      <w:overflowPunct/>
      <w:autoSpaceDE/>
      <w:autoSpaceDN/>
      <w:adjustRightInd/>
      <w:spacing w:before="0"/>
      <w:textAlignment w:val="auto"/>
    </w:pPr>
  </w:style>
  <w:style w:type="paragraph" w:customStyle="1" w:styleId="toc0">
    <w:name w:val="toc 0"/>
    <w:basedOn w:val="Normal"/>
    <w:next w:val="TOC1"/>
    <w:pPr>
      <w:tabs>
        <w:tab w:val="clear" w:pos="567"/>
        <w:tab w:val="clear" w:pos="1134"/>
        <w:tab w:val="clear" w:pos="1701"/>
        <w:tab w:val="clear" w:pos="2268"/>
        <w:tab w:val="clear" w:pos="2835"/>
        <w:tab w:val="right" w:pos="9781"/>
      </w:tabs>
    </w:pPr>
    <w:rPr>
      <w:b/>
    </w:rPr>
  </w:style>
  <w:style w:type="paragraph" w:customStyle="1" w:styleId="Part">
    <w:name w:val="Part"/>
    <w:basedOn w:val="Normal"/>
    <w:qFormat/>
    <w:pPr>
      <w:tabs>
        <w:tab w:val="left" w:pos="1276"/>
      </w:tabs>
      <w:spacing w:before="199"/>
      <w:ind w:left="1701" w:hanging="1701"/>
    </w:pPr>
    <w:rPr>
      <w:caps/>
    </w:rPr>
  </w:style>
  <w:style w:type="paragraph" w:customStyle="1" w:styleId="Source">
    <w:name w:val="Source"/>
    <w:basedOn w:val="Normal"/>
    <w:next w:val="Title1"/>
    <w:pPr>
      <w:spacing w:before="840"/>
      <w:jc w:val="center"/>
    </w:pPr>
    <w:rPr>
      <w:b/>
      <w:sz w:val="28"/>
    </w:rPr>
  </w:style>
  <w:style w:type="paragraph" w:customStyle="1" w:styleId="Title1">
    <w:name w:val="Title 1"/>
    <w:basedOn w:val="Normal"/>
    <w:next w:val="Normalaftertitle"/>
    <w:pPr>
      <w:spacing w:before="360"/>
      <w:jc w:val="center"/>
    </w:pPr>
    <w:rPr>
      <w:caps/>
    </w:rPr>
  </w:style>
  <w:style w:type="paragraph" w:customStyle="1" w:styleId="meeting">
    <w:name w:val="meeting"/>
    <w:basedOn w:val="Head"/>
    <w:next w:val="Head"/>
    <w:pPr>
      <w:tabs>
        <w:tab w:val="left" w:pos="7371"/>
      </w:tabs>
      <w:spacing w:after="567"/>
    </w:pPr>
  </w:style>
  <w:style w:type="paragraph" w:customStyle="1" w:styleId="Subject">
    <w:name w:val="Subject"/>
    <w:basedOn w:val="Normal"/>
    <w:next w:val="Source"/>
    <w:qFormat/>
    <w:pPr>
      <w:tabs>
        <w:tab w:val="left" w:pos="709"/>
      </w:tabs>
      <w:spacing w:before="0"/>
      <w:ind w:left="709" w:hanging="709"/>
    </w:pPr>
  </w:style>
  <w:style w:type="paragraph" w:customStyle="1" w:styleId="Object">
    <w:name w:val="Object"/>
    <w:basedOn w:val="Subject"/>
    <w:next w:val="Subject"/>
    <w:qFormat/>
  </w:style>
  <w:style w:type="paragraph" w:customStyle="1" w:styleId="Data">
    <w:name w:val="Data"/>
    <w:basedOn w:val="Subject"/>
    <w:next w:val="Subject"/>
  </w:style>
  <w:style w:type="paragraph" w:customStyle="1" w:styleId="FirstFooter">
    <w:name w:val="FirstFooter"/>
    <w:basedOn w:val="Footer"/>
    <w:qFormat/>
    <w:rPr>
      <w:caps w:val="0"/>
    </w:rPr>
  </w:style>
  <w:style w:type="paragraph" w:customStyle="1" w:styleId="Note">
    <w:name w:val="Note"/>
    <w:basedOn w:val="Normal"/>
    <w:qFormat/>
    <w:pPr>
      <w:spacing w:before="80"/>
    </w:pPr>
    <w:rPr>
      <w:sz w:val="22"/>
    </w:rPr>
  </w:style>
  <w:style w:type="paragraph" w:customStyle="1" w:styleId="Headingb">
    <w:name w:val="Heading_b"/>
    <w:basedOn w:val="Heading3"/>
    <w:next w:val="Normal"/>
    <w:qFormat/>
    <w:pPr>
      <w:spacing w:before="160"/>
      <w:ind w:left="0" w:firstLine="0"/>
      <w:outlineLvl w:val="0"/>
    </w:pPr>
  </w:style>
  <w:style w:type="paragraph" w:customStyle="1" w:styleId="Title2">
    <w:name w:val="Title 2"/>
    <w:basedOn w:val="Title1"/>
    <w:next w:val="Normalaftertitle"/>
    <w:qFormat/>
    <w:pPr>
      <w:keepNext/>
      <w:keepLines/>
      <w:spacing w:before="240"/>
    </w:pPr>
    <w:rPr>
      <w:b/>
      <w:caps w:val="0"/>
    </w:rPr>
  </w:style>
  <w:style w:type="paragraph" w:customStyle="1" w:styleId="Title3">
    <w:name w:val="Title 3"/>
    <w:basedOn w:val="Title2"/>
    <w:next w:val="Normalaftertitle"/>
    <w:rPr>
      <w:b w:val="0"/>
      <w:caps/>
    </w:rPr>
  </w:style>
  <w:style w:type="paragraph" w:customStyle="1" w:styleId="Title4">
    <w:name w:val="Title 4"/>
    <w:basedOn w:val="Annextitle"/>
    <w:next w:val="Normal"/>
    <w:pPr>
      <w:spacing w:after="120"/>
    </w:pPr>
    <w:rPr>
      <w:b w:val="0"/>
    </w:rPr>
  </w:style>
  <w:style w:type="paragraph" w:customStyle="1" w:styleId="Annextitle">
    <w:name w:val="Annex_title"/>
    <w:basedOn w:val="Normal"/>
    <w:next w:val="Normalaftertitle"/>
    <w:qFormat/>
    <w:pPr>
      <w:keepNext/>
      <w:keepLines/>
      <w:spacing w:before="240" w:after="240"/>
      <w:jc w:val="center"/>
    </w:pPr>
    <w:rPr>
      <w:b/>
      <w:sz w:val="28"/>
    </w:rPr>
  </w:style>
  <w:style w:type="paragraph" w:customStyle="1" w:styleId="dnum">
    <w:name w:val="dnum"/>
    <w:basedOn w:val="Normal"/>
    <w:qFormat/>
    <w:pPr>
      <w:framePr w:hSpace="181" w:wrap="notBeside" w:vAnchor="page" w:hAnchor="margin" w:y="852"/>
      <w:shd w:val="solid" w:color="FFFFFF" w:fill="FFFFFF"/>
      <w:tabs>
        <w:tab w:val="left" w:pos="1871"/>
      </w:tabs>
    </w:pPr>
    <w:rPr>
      <w:b/>
      <w:bCs/>
    </w:rPr>
  </w:style>
  <w:style w:type="paragraph" w:customStyle="1" w:styleId="ddate">
    <w:name w:val="ddate"/>
    <w:basedOn w:val="Normal"/>
    <w:qFormat/>
    <w:pPr>
      <w:framePr w:hSpace="181" w:wrap="notBeside" w:vAnchor="page" w:hAnchor="margin" w:y="852"/>
      <w:shd w:val="solid" w:color="FFFFFF" w:fill="FFFFFF"/>
      <w:tabs>
        <w:tab w:val="left" w:pos="1871"/>
      </w:tabs>
      <w:spacing w:before="0"/>
    </w:pPr>
    <w:rPr>
      <w:b/>
      <w:bCs/>
    </w:rPr>
  </w:style>
  <w:style w:type="paragraph" w:customStyle="1" w:styleId="dorlang">
    <w:name w:val="dorlang"/>
    <w:basedOn w:val="Normal"/>
    <w:pPr>
      <w:framePr w:hSpace="181" w:wrap="notBeside" w:vAnchor="page" w:hAnchor="margin" w:y="852"/>
      <w:shd w:val="solid" w:color="FFFFFF" w:fill="FFFFFF"/>
      <w:tabs>
        <w:tab w:val="left" w:pos="1871"/>
      </w:tabs>
      <w:spacing w:before="0"/>
    </w:pPr>
    <w:rPr>
      <w:b/>
      <w:bCs/>
    </w:rPr>
  </w:style>
  <w:style w:type="paragraph" w:customStyle="1" w:styleId="AnnexNo">
    <w:name w:val="Annex_No"/>
    <w:basedOn w:val="Normal"/>
    <w:next w:val="Annexref"/>
    <w:pPr>
      <w:keepNext/>
      <w:keepLines/>
      <w:spacing w:before="720"/>
      <w:jc w:val="center"/>
    </w:pPr>
    <w:rPr>
      <w:caps/>
      <w:sz w:val="28"/>
    </w:rPr>
  </w:style>
  <w:style w:type="paragraph" w:customStyle="1" w:styleId="Annexref">
    <w:name w:val="Annex_ref"/>
    <w:basedOn w:val="Normal"/>
    <w:next w:val="Annextitle"/>
    <w:pPr>
      <w:keepNext/>
      <w:keepLines/>
      <w:jc w:val="center"/>
    </w:pPr>
    <w:rPr>
      <w:sz w:val="28"/>
    </w:rPr>
  </w:style>
  <w:style w:type="paragraph" w:customStyle="1" w:styleId="Call">
    <w:name w:val="Call"/>
    <w:basedOn w:val="Normal"/>
    <w:next w:val="Normal"/>
    <w:pPr>
      <w:keepNext/>
      <w:keepLines/>
      <w:tabs>
        <w:tab w:val="clear" w:pos="1134"/>
        <w:tab w:val="clear" w:pos="1701"/>
        <w:tab w:val="clear" w:pos="2268"/>
        <w:tab w:val="clear" w:pos="2835"/>
      </w:tabs>
      <w:spacing w:before="160"/>
      <w:ind w:left="567"/>
    </w:pPr>
    <w:rPr>
      <w:i/>
    </w:rPr>
  </w:style>
  <w:style w:type="paragraph" w:customStyle="1" w:styleId="Subtitle">
    <w:name w:val="Sub_title"/>
    <w:basedOn w:val="Normal"/>
    <w:qFormat/>
    <w:pPr>
      <w:framePr w:hSpace="180" w:wrap="around" w:hAnchor="page" w:x="1821" w:y="2317"/>
      <w:spacing w:after="160"/>
    </w:pPr>
    <w:rPr>
      <w:sz w:val="34"/>
      <w:lang w:val="en-GB"/>
    </w:rPr>
  </w:style>
  <w:style w:type="paragraph" w:customStyle="1" w:styleId="Figure">
    <w:name w:val="Figure"/>
    <w:basedOn w:val="Normal"/>
    <w:next w:val="Normal"/>
    <w:qFormat/>
    <w:pPr>
      <w:spacing w:after="240"/>
      <w:jc w:val="center"/>
    </w:pPr>
  </w:style>
  <w:style w:type="paragraph" w:customStyle="1" w:styleId="Figuretitle">
    <w:name w:val="Figure_title"/>
    <w:basedOn w:val="Tabletitle"/>
    <w:next w:val="Normalaftertitle"/>
    <w:qFormat/>
    <w:pPr>
      <w:spacing w:before="120" w:after="0"/>
    </w:pPr>
  </w:style>
  <w:style w:type="paragraph" w:customStyle="1" w:styleId="Tabletitle">
    <w:name w:val="Table_title"/>
    <w:basedOn w:val="TableNo"/>
    <w:next w:val="Tabletext"/>
    <w:qFormat/>
    <w:pPr>
      <w:tabs>
        <w:tab w:val="left" w:pos="2948"/>
        <w:tab w:val="left" w:pos="4082"/>
      </w:tabs>
      <w:spacing w:before="0"/>
    </w:pPr>
    <w:rPr>
      <w:b/>
      <w:caps w:val="0"/>
    </w:rPr>
  </w:style>
  <w:style w:type="paragraph" w:customStyle="1" w:styleId="TableNo">
    <w:name w:val="Table_No"/>
    <w:basedOn w:val="Normal"/>
    <w:next w:val="Tabletitle"/>
    <w:qFormat/>
    <w:pPr>
      <w:keepNext/>
      <w:keepLines/>
      <w:spacing w:before="480" w:after="120"/>
      <w:jc w:val="center"/>
    </w:pPr>
    <w:rPr>
      <w:caps/>
    </w:rPr>
  </w:style>
  <w:style w:type="paragraph" w:customStyle="1" w:styleId="Tabletext">
    <w:name w:val="Table_text"/>
    <w:basedOn w:val="Normal"/>
    <w:qFormat/>
    <w:pPr>
      <w:tabs>
        <w:tab w:val="clear" w:pos="1134"/>
        <w:tab w:val="clear" w:pos="1701"/>
        <w:tab w:val="clear" w:pos="2268"/>
        <w:tab w:val="clear" w:pos="2835"/>
        <w:tab w:val="left" w:pos="284"/>
        <w:tab w:val="left" w:pos="851"/>
      </w:tabs>
      <w:spacing w:before="40" w:after="40"/>
    </w:pPr>
    <w:rPr>
      <w:sz w:val="22"/>
    </w:rPr>
  </w:style>
  <w:style w:type="paragraph" w:customStyle="1" w:styleId="Figurelegend">
    <w:name w:val="Figure_legend"/>
    <w:basedOn w:val="Normal"/>
    <w:next w:val="Normal"/>
    <w:qFormat/>
    <w:pPr>
      <w:spacing w:before="20" w:after="240"/>
    </w:pPr>
    <w:rPr>
      <w:sz w:val="18"/>
    </w:rPr>
  </w:style>
  <w:style w:type="paragraph" w:customStyle="1" w:styleId="FigureNo">
    <w:name w:val="Figure_No"/>
    <w:basedOn w:val="Normal"/>
    <w:next w:val="Figuretitle"/>
    <w:qFormat/>
    <w:pPr>
      <w:keepNext/>
      <w:keepLines/>
      <w:spacing w:before="480" w:after="120"/>
      <w:jc w:val="center"/>
    </w:pPr>
    <w:rPr>
      <w:caps/>
    </w:rPr>
  </w:style>
  <w:style w:type="paragraph" w:customStyle="1" w:styleId="Figurewithouttitle">
    <w:name w:val="Figure_without_title"/>
    <w:basedOn w:val="Figure"/>
    <w:next w:val="Normal"/>
  </w:style>
  <w:style w:type="paragraph" w:customStyle="1" w:styleId="Headingi">
    <w:name w:val="Heading_i"/>
    <w:basedOn w:val="Heading3"/>
    <w:next w:val="Normal"/>
    <w:pPr>
      <w:spacing w:before="160"/>
      <w:ind w:left="0" w:firstLine="0"/>
      <w:outlineLvl w:val="0"/>
    </w:pPr>
    <w:rPr>
      <w:b w:val="0"/>
      <w:i/>
    </w:rPr>
  </w:style>
  <w:style w:type="paragraph" w:customStyle="1" w:styleId="PartNo">
    <w:name w:val="Part_No"/>
    <w:basedOn w:val="AnnexNo"/>
    <w:next w:val="Parttitle"/>
    <w:qFormat/>
  </w:style>
  <w:style w:type="paragraph" w:customStyle="1" w:styleId="Parttitle">
    <w:name w:val="Part_title"/>
    <w:basedOn w:val="Annextitle"/>
    <w:next w:val="Partref"/>
    <w:qFormat/>
  </w:style>
  <w:style w:type="paragraph" w:customStyle="1" w:styleId="Partref">
    <w:name w:val="Part_ref"/>
    <w:basedOn w:val="Annexref"/>
    <w:next w:val="Normalaftertitle"/>
    <w:qFormat/>
  </w:style>
  <w:style w:type="paragraph" w:customStyle="1" w:styleId="RecNo">
    <w:name w:val="Rec_No"/>
    <w:basedOn w:val="Normal"/>
    <w:next w:val="Rectitle"/>
    <w:qFormat/>
    <w:pPr>
      <w:keepNext/>
      <w:keepLines/>
      <w:spacing w:before="720"/>
      <w:jc w:val="center"/>
    </w:pPr>
    <w:rPr>
      <w:caps/>
      <w:sz w:val="28"/>
    </w:rPr>
  </w:style>
  <w:style w:type="paragraph" w:customStyle="1" w:styleId="Rectitle">
    <w:name w:val="Rec_title"/>
    <w:basedOn w:val="Normal"/>
    <w:next w:val="Heading1"/>
    <w:qFormat/>
    <w:pPr>
      <w:keepNext/>
      <w:keepLines/>
      <w:jc w:val="center"/>
    </w:pPr>
    <w:rPr>
      <w:b/>
      <w:sz w:val="28"/>
    </w:rPr>
  </w:style>
  <w:style w:type="paragraph" w:customStyle="1" w:styleId="Recref">
    <w:name w:val="Rec_ref"/>
    <w:basedOn w:val="Rectitle"/>
    <w:next w:val="Recdate"/>
    <w:qFormat/>
    <w:rPr>
      <w:rFonts w:ascii="Times New Roman" w:hAnsi="Times New Roman"/>
      <w:b w:val="0"/>
      <w:sz w:val="24"/>
    </w:rPr>
  </w:style>
  <w:style w:type="paragraph" w:customStyle="1" w:styleId="Recdate">
    <w:name w:val="Rec_date"/>
    <w:basedOn w:val="Recref"/>
    <w:next w:val="Normalaftertitle"/>
    <w:qFormat/>
    <w:pPr>
      <w:jc w:val="right"/>
    </w:pPr>
    <w:rPr>
      <w:sz w:val="22"/>
    </w:rPr>
  </w:style>
  <w:style w:type="paragraph" w:customStyle="1" w:styleId="Questiondate">
    <w:name w:val="Question_date"/>
    <w:basedOn w:val="Recdate"/>
    <w:next w:val="Normalaftertitle"/>
  </w:style>
  <w:style w:type="paragraph" w:customStyle="1" w:styleId="QuestionNo">
    <w:name w:val="Question_No"/>
    <w:basedOn w:val="RecNo"/>
    <w:next w:val="Questiontitle"/>
  </w:style>
  <w:style w:type="paragraph" w:customStyle="1" w:styleId="Questiontitle">
    <w:name w:val="Question_title"/>
    <w:basedOn w:val="Rectitle"/>
    <w:next w:val="Questionref"/>
  </w:style>
  <w:style w:type="paragraph" w:customStyle="1" w:styleId="Questionref">
    <w:name w:val="Question_ref"/>
    <w:basedOn w:val="Recref"/>
    <w:next w:val="Questiondate"/>
  </w:style>
  <w:style w:type="paragraph" w:customStyle="1" w:styleId="Reftext">
    <w:name w:val="Ref_text"/>
    <w:basedOn w:val="Normal"/>
    <w:qFormat/>
    <w:pPr>
      <w:ind w:left="567" w:hanging="567"/>
    </w:pPr>
  </w:style>
  <w:style w:type="paragraph" w:customStyle="1" w:styleId="Reftitle">
    <w:name w:val="Ref_title"/>
    <w:basedOn w:val="Normal"/>
    <w:next w:val="Reftext"/>
    <w:qFormat/>
    <w:pPr>
      <w:spacing w:before="480"/>
      <w:jc w:val="center"/>
    </w:pPr>
    <w:rPr>
      <w:caps/>
      <w:sz w:val="28"/>
    </w:rPr>
  </w:style>
  <w:style w:type="paragraph" w:customStyle="1" w:styleId="Resdate">
    <w:name w:val="Res_date"/>
    <w:basedOn w:val="Recdate"/>
    <w:next w:val="Normalaftertitle"/>
  </w:style>
  <w:style w:type="paragraph" w:customStyle="1" w:styleId="ResNo">
    <w:name w:val="Res_No"/>
    <w:basedOn w:val="AnnexNo"/>
    <w:next w:val="Restitle"/>
  </w:style>
  <w:style w:type="paragraph" w:customStyle="1" w:styleId="Restitle">
    <w:name w:val="Res_title"/>
    <w:basedOn w:val="Annextitle"/>
    <w:next w:val="Normal"/>
    <w:qFormat/>
  </w:style>
  <w:style w:type="paragraph" w:customStyle="1" w:styleId="Resref">
    <w:name w:val="Res_ref"/>
    <w:basedOn w:val="Recref"/>
    <w:next w:val="Resdate"/>
    <w:qFormat/>
  </w:style>
  <w:style w:type="paragraph" w:customStyle="1" w:styleId="SectionNo">
    <w:name w:val="Section_No"/>
    <w:basedOn w:val="AnnexNo"/>
    <w:next w:val="Sectiontitle"/>
    <w:qFormat/>
  </w:style>
  <w:style w:type="paragraph" w:customStyle="1" w:styleId="Sectiontitle">
    <w:name w:val="Section_title"/>
    <w:basedOn w:val="Normal"/>
    <w:next w:val="Normalaftertitle"/>
    <w:rPr>
      <w:sz w:val="28"/>
    </w:rPr>
  </w:style>
  <w:style w:type="paragraph" w:customStyle="1" w:styleId="Tablehead">
    <w:name w:val="Table_head"/>
    <w:basedOn w:val="Tabletext"/>
    <w:qFormat/>
    <w:pPr>
      <w:keepNext/>
      <w:keepLines/>
      <w:spacing w:before="80" w:after="80"/>
      <w:jc w:val="center"/>
    </w:pPr>
    <w:rPr>
      <w:b/>
    </w:rPr>
  </w:style>
  <w:style w:type="paragraph" w:customStyle="1" w:styleId="Tablelegend">
    <w:name w:val="Table_legend"/>
    <w:basedOn w:val="Tabletext"/>
    <w:qFormat/>
    <w:pPr>
      <w:ind w:left="284" w:hanging="284"/>
    </w:pPr>
    <w:rPr>
      <w:sz w:val="20"/>
    </w:rPr>
  </w:style>
  <w:style w:type="paragraph" w:customStyle="1" w:styleId="Tableref">
    <w:name w:val="Table_ref"/>
    <w:basedOn w:val="Normal"/>
    <w:next w:val="Tabletitle"/>
    <w:qFormat/>
    <w:pPr>
      <w:keepNext/>
      <w:keepLines/>
      <w:jc w:val="center"/>
    </w:pPr>
    <w:rPr>
      <w:sz w:val="20"/>
    </w:rPr>
  </w:style>
  <w:style w:type="paragraph" w:customStyle="1" w:styleId="Artheading">
    <w:name w:val="Art_heading"/>
    <w:basedOn w:val="Normal"/>
    <w:next w:val="Normalaftertitle"/>
    <w:qFormat/>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qFormat/>
    <w:pPr>
      <w:keepNext/>
      <w:keepLines/>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qFormat/>
    <w:pPr>
      <w:keepNext/>
      <w:keepLines/>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qFormat/>
  </w:style>
  <w:style w:type="paragraph" w:customStyle="1" w:styleId="Chaptitle">
    <w:name w:val="Chap_title"/>
    <w:basedOn w:val="Arttitle"/>
    <w:next w:val="Normalaftertitle"/>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PlaceholderText">
    <w:name w:val="Placeholder Text"/>
    <w:basedOn w:val="DefaultParagraphFont"/>
    <w:uiPriority w:val="99"/>
    <w:semiHidden/>
    <w:qFormat/>
    <w:rPr>
      <w:color w:val="666666"/>
    </w:rPr>
  </w:style>
  <w:style w:type="paragraph" w:customStyle="1" w:styleId="Reasons">
    <w:name w:val="Reasons"/>
    <w:basedOn w:val="Normal"/>
    <w:qFormat/>
  </w:style>
  <w:style w:type="paragraph" w:customStyle="1" w:styleId="AppendixNo">
    <w:name w:val="Appendix_No"/>
    <w:basedOn w:val="AnnexNo"/>
    <w:next w:val="Normal"/>
    <w:qFormat/>
  </w:style>
  <w:style w:type="paragraph" w:customStyle="1" w:styleId="Appendixref">
    <w:name w:val="Appendix_ref"/>
    <w:basedOn w:val="Annexref"/>
    <w:next w:val="Normal"/>
    <w:qFormat/>
  </w:style>
  <w:style w:type="paragraph" w:customStyle="1" w:styleId="Appendixtitle">
    <w:name w:val="Appendix_title"/>
    <w:basedOn w:val="Annextitle"/>
    <w:next w:val="Normalaftertitle"/>
    <w:qFormat/>
  </w:style>
  <w:style w:type="paragraph" w:customStyle="1" w:styleId="Equation">
    <w:name w:val="Equation"/>
    <w:basedOn w:val="Normal"/>
    <w:qFormat/>
    <w:pPr>
      <w:tabs>
        <w:tab w:val="center" w:pos="4820"/>
        <w:tab w:val="right" w:pos="9639"/>
      </w:tabs>
    </w:pPr>
  </w:style>
  <w:style w:type="paragraph" w:customStyle="1" w:styleId="Equationlegend">
    <w:name w:val="Equation_legend"/>
    <w:basedOn w:val="NormalIndent"/>
    <w:qFormat/>
    <w:pPr>
      <w:tabs>
        <w:tab w:val="right" w:pos="1531"/>
      </w:tabs>
      <w:spacing w:before="80"/>
      <w:ind w:left="1701" w:hanging="1701"/>
    </w:pPr>
  </w:style>
  <w:style w:type="paragraph" w:customStyle="1" w:styleId="firstfooter0">
    <w:name w:val="firstfooter"/>
    <w:basedOn w:val="Normal"/>
    <w:qFormat/>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Referencetext">
    <w:name w:val="Reference_text"/>
    <w:basedOn w:val="Normal"/>
    <w:qFormat/>
    <w:pPr>
      <w:framePr w:hSpace="181" w:wrap="around" w:vAnchor="page" w:hAnchor="page" w:x="1589" w:y="2314"/>
      <w:spacing w:after="160"/>
    </w:pPr>
    <w:rPr>
      <w:i/>
      <w:iCs/>
      <w:sz w:val="22"/>
      <w:szCs w:val="22"/>
    </w:rPr>
  </w:style>
  <w:style w:type="paragraph" w:customStyle="1" w:styleId="Repdate">
    <w:name w:val="Rep_date"/>
    <w:basedOn w:val="Recdate"/>
    <w:next w:val="Normalaftertitle"/>
    <w:qFormat/>
  </w:style>
  <w:style w:type="paragraph" w:customStyle="1" w:styleId="RepNo">
    <w:name w:val="Rep_No"/>
    <w:basedOn w:val="RecNo"/>
    <w:next w:val="Normal"/>
    <w:qFormat/>
  </w:style>
  <w:style w:type="paragraph" w:customStyle="1" w:styleId="Repref">
    <w:name w:val="Rep_ref"/>
    <w:basedOn w:val="Recref"/>
    <w:next w:val="Repdate"/>
    <w:qFormat/>
  </w:style>
  <w:style w:type="paragraph" w:customStyle="1" w:styleId="Reptitle">
    <w:name w:val="Rep_title"/>
    <w:basedOn w:val="Rectitle"/>
    <w:next w:val="Repref"/>
    <w:qFormat/>
  </w:style>
  <w:style w:type="paragraph" w:customStyle="1" w:styleId="SpecialFooter">
    <w:name w:val="Special Footer"/>
    <w:basedOn w:val="Footer"/>
    <w:qFormat/>
    <w:pPr>
      <w:tabs>
        <w:tab w:val="left" w:pos="567"/>
        <w:tab w:val="left" w:pos="1134"/>
        <w:tab w:val="left" w:pos="1701"/>
        <w:tab w:val="left" w:pos="2268"/>
        <w:tab w:val="left" w:pos="2835"/>
      </w:tabs>
      <w:jc w:val="both"/>
    </w:pPr>
    <w:rPr>
      <w:caps w:val="0"/>
    </w:rPr>
  </w:style>
  <w:style w:type="character" w:customStyle="1" w:styleId="normaltextrun">
    <w:name w:val="normaltextrun"/>
    <w:basedOn w:val="DefaultParagraphFont"/>
    <w:qFormat/>
  </w:style>
  <w:style w:type="character" w:customStyle="1" w:styleId="CommentTextChar">
    <w:name w:val="Comment Text Char"/>
    <w:basedOn w:val="DefaultParagraphFont"/>
    <w:link w:val="CommentText"/>
    <w:uiPriority w:val="99"/>
    <w:qFormat/>
    <w:rPr>
      <w:rFonts w:asciiTheme="minorHAnsi" w:eastAsiaTheme="minorHAnsi" w:hAnsiTheme="minorHAnsi" w:cstheme="minorBidi"/>
      <w:kern w:val="2"/>
      <w:lang w:val="en-GB" w:eastAsia="en-US"/>
      <w14:ligatures w14:val="standardContextual"/>
    </w:rPr>
  </w:style>
  <w:style w:type="paragraph" w:customStyle="1" w:styleId="paragraph">
    <w:name w:val="paragraph"/>
    <w:basedOn w:val="Normal"/>
    <w:qFormat/>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ascii="Times New Roman" w:hAnsi="Times New Roman"/>
      <w:szCs w:val="24"/>
      <w:lang w:val="en-GB" w:eastAsia="en-GB"/>
    </w:rPr>
  </w:style>
  <w:style w:type="character" w:customStyle="1" w:styleId="eop">
    <w:name w:val="eop"/>
    <w:basedOn w:val="DefaultParagraphFont"/>
    <w:qFormat/>
  </w:style>
  <w:style w:type="character" w:customStyle="1" w:styleId="tabchar">
    <w:name w:val="tabchar"/>
    <w:basedOn w:val="DefaultParagraphFont"/>
    <w:qFormat/>
  </w:style>
  <w:style w:type="paragraph" w:customStyle="1" w:styleId="Revision1">
    <w:name w:val="Revision1"/>
    <w:hidden/>
    <w:uiPriority w:val="99"/>
    <w:semiHidden/>
    <w:qFormat/>
    <w:rPr>
      <w:rFonts w:ascii="Calibri" w:eastAsia="Times New Roman" w:hAnsi="Calibri"/>
      <w:sz w:val="24"/>
      <w:lang w:val="fr-FR" w:eastAsia="en-US"/>
    </w:rPr>
  </w:style>
  <w:style w:type="paragraph" w:customStyle="1" w:styleId="Summary-Record">
    <w:name w:val="Summary-Record"/>
    <w:basedOn w:val="Source"/>
    <w:qFormat/>
    <w:pPr>
      <w:framePr w:hSpace="181" w:wrap="around" w:vAnchor="page" w:hAnchor="page" w:x="1589" w:y="2314"/>
      <w:spacing w:before="240" w:after="120"/>
    </w:pPr>
    <w:rPr>
      <w:sz w:val="34"/>
      <w:szCs w:val="34"/>
      <w:lang w:val="en-GB"/>
    </w:rPr>
  </w:style>
  <w:style w:type="character" w:customStyle="1" w:styleId="CommentSubjectChar">
    <w:name w:val="Comment Subject Char"/>
    <w:basedOn w:val="CommentTextChar"/>
    <w:link w:val="CommentSubject"/>
    <w:semiHidden/>
    <w:qFormat/>
    <w:rPr>
      <w:rFonts w:ascii="Calibri" w:eastAsiaTheme="minorHAnsi" w:hAnsi="Calibri" w:cstheme="minorBidi"/>
      <w:b/>
      <w:bCs/>
      <w:kern w:val="2"/>
      <w:lang w:val="fr-FR" w:eastAsia="en-US"/>
      <w14:ligatures w14:val="standardContextual"/>
    </w:rPr>
  </w:style>
  <w:style w:type="character" w:customStyle="1" w:styleId="Mention1">
    <w:name w:val="Mention1"/>
    <w:basedOn w:val="DefaultParagraphFont"/>
    <w:uiPriority w:val="99"/>
    <w:unhideWhenUsed/>
    <w:qFormat/>
    <w:rPr>
      <w:color w:val="2B579A"/>
      <w:shd w:val="clear" w:color="auto" w:fill="E1DFDD"/>
    </w:rPr>
  </w:style>
  <w:style w:type="paragraph" w:styleId="Revision">
    <w:name w:val="Revision"/>
    <w:hidden/>
    <w:uiPriority w:val="99"/>
    <w:unhideWhenUsed/>
    <w:rsid w:val="008F40FE"/>
    <w:rPr>
      <w:rFonts w:ascii="Calibri" w:eastAsia="Times New Roman" w:hAnsi="Calibri"/>
      <w:sz w:val="24"/>
      <w:lang w:val="fr-FR" w:eastAsia="en-US"/>
    </w:rPr>
  </w:style>
  <w:style w:type="character" w:styleId="UnresolvedMention">
    <w:name w:val="Unresolved Mention"/>
    <w:basedOn w:val="DefaultParagraphFont"/>
    <w:uiPriority w:val="99"/>
    <w:semiHidden/>
    <w:unhideWhenUsed/>
    <w:rsid w:val="00787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tu.int/md/S26-CL-C-0035/en" TargetMode="External"/><Relationship Id="rId18" Type="http://schemas.openxmlformats.org/officeDocument/2006/relationships/hyperlink" Target="https://www.itu.int/md/S26-CL-C-0035/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itu.int/md/S26-CL-C-0082/en" TargetMode="External"/><Relationship Id="rId17" Type="http://schemas.openxmlformats.org/officeDocument/2006/relationships/hyperlink" Target="https://www.itu.int/md/S26-CL-C-0082/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tu.int/md/S26-CL-C-0055/en" TargetMode="External"/><Relationship Id="rId20" Type="http://schemas.openxmlformats.org/officeDocument/2006/relationships/hyperlink" Target="https://www.itu.int/md/S26-CL-INF-0024/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tu.int/md/S26-CL-C-0055/en"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itu.int/md/S26-CL-C-0028/en" TargetMode="External"/><Relationship Id="rId23" Type="http://schemas.openxmlformats.org/officeDocument/2006/relationships/footer" Target="footer2.xml"/><Relationship Id="rId10" Type="http://schemas.openxmlformats.org/officeDocument/2006/relationships/hyperlink" Target="https://www.itu.int/md/S26-CL-C-0028/en" TargetMode="External"/><Relationship Id="rId19" Type="http://schemas.openxmlformats.org/officeDocument/2006/relationships/hyperlink" Target="https://www.itu.int/md/S26-CL-C-0095/e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itu.int/md/S26-CL-C-0095/en"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vino\AppData\Roaming\Microsoft\Templates\PE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4E447ED7B9DA4C9F10BB2808D9DCA9" ma:contentTypeVersion="8" ma:contentTypeDescription="Create a new document." ma:contentTypeScope="" ma:versionID="a0b38ed13965c2144e991bf474a47057">
  <xsd:schema xmlns:xsd="http://www.w3.org/2001/XMLSchema" xmlns:xs="http://www.w3.org/2001/XMLSchema" xmlns:p="http://schemas.microsoft.com/office/2006/metadata/properties" xmlns:ns2="a4c22657-7647-457b-a399-8471255bb166" targetNamespace="http://schemas.microsoft.com/office/2006/metadata/properties" ma:root="true" ma:fieldsID="e0587f8bedd9841da62e2c0c0da53b53" ns2:_="">
    <xsd:import namespace="a4c22657-7647-457b-a399-8471255bb1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c22657-7647-457b-a399-8471255bb1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1478A6-E7C2-4F49-A052-34BE7261C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c22657-7647-457b-a399-8471255bb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02B4DE-FC73-46C6-BFF6-6457901D364E}">
  <ds:schemaRefs>
    <ds:schemaRef ds:uri="http://schemas.openxmlformats.org/officeDocument/2006/bibliography"/>
  </ds:schemaRefs>
</ds:datastoreItem>
</file>

<file path=customXml/itemProps3.xml><?xml version="1.0" encoding="utf-8"?>
<ds:datastoreItem xmlns:ds="http://schemas.openxmlformats.org/officeDocument/2006/customXml" ds:itemID="{C862EEE9-E421-451C-9933-41C8CE0637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47BCA7-3D69-4FA5-9D96-45B810F15A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PE_Council26.dotx</Template>
  <TotalTime>18</TotalTime>
  <Pages>8</Pages>
  <Words>3431</Words>
  <Characters>20074</Characters>
  <Application>Microsoft Office Word</Application>
  <DocSecurity>0</DocSecurity>
  <Lines>313</Lines>
  <Paragraphs>78</Paragraphs>
  <ScaleCrop>false</ScaleCrop>
  <HeadingPairs>
    <vt:vector size="2" baseType="variant">
      <vt:variant>
        <vt:lpstr>Title</vt:lpstr>
      </vt:variant>
      <vt:variant>
        <vt:i4>1</vt:i4>
      </vt:variant>
    </vt:vector>
  </HeadingPairs>
  <TitlesOfParts>
    <vt:vector size="1" baseType="lpstr">
      <vt:lpstr>Summary record of the first Plenary Meeting</vt:lpstr>
    </vt:vector>
  </TitlesOfParts>
  <Manager>General Secretariat</Manager>
  <Company>International Telecommunication Union (ITU)</Company>
  <LinksUpToDate>false</LinksUpToDate>
  <CharactersWithSpaces>23427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record of the first Plenary Meeting</dc:title>
  <dc:subject>ITU Council 2026</dc:subject>
  <dc:creator>msyao</dc:creator>
  <cp:keywords>C26; C2026; Council 2026; PP26</cp:keywords>
  <cp:lastModifiedBy>ITUGBS</cp:lastModifiedBy>
  <cp:revision>5</cp:revision>
  <cp:lastPrinted>2000-07-18T13:30:00Z</cp:lastPrinted>
  <dcterms:created xsi:type="dcterms:W3CDTF">2026-09-02T22:02:00Z</dcterms:created>
  <dcterms:modified xsi:type="dcterms:W3CDTF">2026-09-02T22:23:00Z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PE_C08.DOT</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caebc3b039d2086fae139bdca98a6c61c028c4ec16ce6ef236d196610d84ef77</vt:lpwstr>
  </property>
  <property fmtid="{D5CDD505-2E9C-101B-9397-08002B2CF9AE}" pid="9" name="ContentTypeId">
    <vt:lpwstr>0x010100814E447ED7B9DA4C9F10BB2808D9DCA9</vt:lpwstr>
  </property>
  <property fmtid="{D5CDD505-2E9C-101B-9397-08002B2CF9AE}" pid="10" name="KSOProductBuildVer">
    <vt:lpwstr>2052-12.1.0.18276</vt:lpwstr>
  </property>
  <property fmtid="{D5CDD505-2E9C-101B-9397-08002B2CF9AE}" pid="11" name="ICV">
    <vt:lpwstr>089DFDC24631490AAF23D3FE83B4FDB2_13</vt:lpwstr>
  </property>
</Properties>
</file>