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66DFBC0A" w14:textId="77777777" w:rsidTr="00555C29">
        <w:trPr>
          <w:cantSplit/>
          <w:trHeight w:val="23"/>
        </w:trPr>
        <w:tc>
          <w:tcPr>
            <w:tcW w:w="3969" w:type="dxa"/>
            <w:vMerge w:val="restart"/>
            <w:tcMar>
              <w:left w:w="0" w:type="dxa"/>
            </w:tcMar>
          </w:tcPr>
          <w:p w14:paraId="09B0E0BE" w14:textId="6E491FDB"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61AA8C93" w14:textId="4C746BDD"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A67613">
              <w:rPr>
                <w:b/>
                <w:lang w:val="fr-CH"/>
              </w:rPr>
              <w:t>118</w:t>
            </w:r>
            <w:r w:rsidRPr="00E24D59">
              <w:rPr>
                <w:b/>
                <w:lang w:val="fr-CH"/>
              </w:rPr>
              <w:t>-C</w:t>
            </w:r>
          </w:p>
        </w:tc>
      </w:tr>
      <w:tr w:rsidR="00E24D59" w:rsidRPr="00813E5E" w14:paraId="51B95A91" w14:textId="77777777" w:rsidTr="00555C29">
        <w:trPr>
          <w:cantSplit/>
        </w:trPr>
        <w:tc>
          <w:tcPr>
            <w:tcW w:w="3969" w:type="dxa"/>
            <w:vMerge/>
          </w:tcPr>
          <w:p w14:paraId="303DC744"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4D124A4D" w14:textId="63FA271E" w:rsidR="00E24D59" w:rsidRPr="00E85629" w:rsidRDefault="00A67613" w:rsidP="00555C29">
            <w:pPr>
              <w:tabs>
                <w:tab w:val="left" w:pos="851"/>
              </w:tabs>
              <w:spacing w:before="0"/>
              <w:jc w:val="right"/>
              <w:rPr>
                <w:b/>
              </w:rPr>
            </w:pPr>
            <w:r>
              <w:rPr>
                <w:rFonts w:hint="eastAsia"/>
                <w:b/>
                <w:lang w:eastAsia="zh-CN"/>
              </w:rPr>
              <w:t>2026</w:t>
            </w:r>
            <w:r>
              <w:rPr>
                <w:rFonts w:hint="eastAsia"/>
                <w:b/>
                <w:lang w:eastAsia="zh-CN"/>
              </w:rPr>
              <w:t>年</w:t>
            </w:r>
            <w:r w:rsidR="007A0925">
              <w:rPr>
                <w:rFonts w:hint="eastAsia"/>
                <w:b/>
                <w:lang w:eastAsia="zh-CN"/>
              </w:rPr>
              <w:t>9</w:t>
            </w:r>
            <w:r>
              <w:rPr>
                <w:rFonts w:hint="eastAsia"/>
                <w:b/>
                <w:lang w:eastAsia="zh-CN"/>
              </w:rPr>
              <w:t>月</w:t>
            </w:r>
            <w:r w:rsidR="007A0925">
              <w:rPr>
                <w:rFonts w:hint="eastAsia"/>
                <w:b/>
                <w:lang w:eastAsia="zh-CN"/>
              </w:rPr>
              <w:t>2</w:t>
            </w:r>
            <w:r>
              <w:rPr>
                <w:rFonts w:hint="eastAsia"/>
                <w:b/>
                <w:lang w:eastAsia="zh-CN"/>
              </w:rPr>
              <w:t>日</w:t>
            </w:r>
          </w:p>
        </w:tc>
      </w:tr>
      <w:tr w:rsidR="00E24D59" w:rsidRPr="00813E5E" w14:paraId="0958E0D5" w14:textId="77777777" w:rsidTr="00555C29">
        <w:trPr>
          <w:cantSplit/>
          <w:trHeight w:val="23"/>
        </w:trPr>
        <w:tc>
          <w:tcPr>
            <w:tcW w:w="3969" w:type="dxa"/>
            <w:vMerge/>
          </w:tcPr>
          <w:p w14:paraId="4ED44A69"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413780E6" w14:textId="0A39A69B"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r w:rsidR="00A67613">
              <w:rPr>
                <w:b/>
                <w:bCs/>
                <w:color w:val="000000"/>
                <w:lang w:val="zh-CN"/>
              </w:rPr>
              <w:t>英文</w:t>
            </w:r>
            <w:proofErr w:type="spellEnd"/>
          </w:p>
        </w:tc>
      </w:tr>
      <w:tr w:rsidR="00E24D59" w:rsidRPr="00813E5E" w14:paraId="6227C457" w14:textId="77777777" w:rsidTr="00555C29">
        <w:trPr>
          <w:cantSplit/>
          <w:trHeight w:val="23"/>
        </w:trPr>
        <w:tc>
          <w:tcPr>
            <w:tcW w:w="3969" w:type="dxa"/>
          </w:tcPr>
          <w:p w14:paraId="31B606B9" w14:textId="77777777" w:rsidR="00E24D59" w:rsidRPr="00813E5E" w:rsidRDefault="00E24D59" w:rsidP="00555C29">
            <w:pPr>
              <w:tabs>
                <w:tab w:val="left" w:pos="851"/>
              </w:tabs>
              <w:spacing w:line="240" w:lineRule="atLeast"/>
              <w:rPr>
                <w:b/>
              </w:rPr>
            </w:pPr>
          </w:p>
        </w:tc>
        <w:tc>
          <w:tcPr>
            <w:tcW w:w="5245" w:type="dxa"/>
          </w:tcPr>
          <w:p w14:paraId="2F2CBBA7" w14:textId="77777777" w:rsidR="00E24D59" w:rsidRDefault="00E24D59" w:rsidP="00555C29">
            <w:pPr>
              <w:tabs>
                <w:tab w:val="left" w:pos="851"/>
              </w:tabs>
              <w:spacing w:before="0" w:line="240" w:lineRule="atLeast"/>
              <w:jc w:val="right"/>
              <w:rPr>
                <w:b/>
              </w:rPr>
            </w:pPr>
          </w:p>
        </w:tc>
      </w:tr>
      <w:bookmarkEnd w:id="2"/>
      <w:bookmarkEnd w:id="4"/>
    </w:tbl>
    <w:p w14:paraId="44AE3F76" w14:textId="77777777" w:rsidR="00E24D59" w:rsidRDefault="00E24D59">
      <w:pPr>
        <w:tabs>
          <w:tab w:val="clear" w:pos="794"/>
          <w:tab w:val="clear" w:pos="1191"/>
          <w:tab w:val="clear" w:pos="1588"/>
          <w:tab w:val="clear" w:pos="1985"/>
        </w:tabs>
        <w:overflowPunct/>
        <w:autoSpaceDE/>
        <w:autoSpaceDN/>
        <w:adjustRightInd/>
        <w:spacing w:before="0"/>
        <w:textAlignment w:val="auto"/>
      </w:pPr>
    </w:p>
    <w:tbl>
      <w:tblPr>
        <w:tblW w:w="9214" w:type="dxa"/>
        <w:tblInd w:w="142" w:type="dxa"/>
        <w:tblLayout w:type="fixed"/>
        <w:tblLook w:val="0000" w:firstRow="0" w:lastRow="0" w:firstColumn="0" w:lastColumn="0" w:noHBand="0" w:noVBand="0"/>
      </w:tblPr>
      <w:tblGrid>
        <w:gridCol w:w="425"/>
        <w:gridCol w:w="6521"/>
        <w:gridCol w:w="2268"/>
      </w:tblGrid>
      <w:tr w:rsidR="00A67613" w:rsidRPr="00A67613" w14:paraId="0A3EE6A7" w14:textId="77777777" w:rsidTr="00371AC0">
        <w:trPr>
          <w:cantSplit/>
          <w:trHeight w:val="23"/>
        </w:trPr>
        <w:tc>
          <w:tcPr>
            <w:tcW w:w="9214" w:type="dxa"/>
            <w:gridSpan w:val="3"/>
          </w:tcPr>
          <w:p w14:paraId="7C2DF5E2" w14:textId="561CDCB9" w:rsidR="00A67613" w:rsidRPr="00A67613" w:rsidRDefault="00A67613" w:rsidP="00571EDD">
            <w:pPr>
              <w:pStyle w:val="Summary"/>
              <w:spacing w:line="240" w:lineRule="auto"/>
            </w:pPr>
            <w:bookmarkStart w:id="5" w:name="_Hlk133421428"/>
            <w:r w:rsidRPr="00A67613">
              <w:t>第一次全体会议</w:t>
            </w:r>
            <w:r w:rsidR="00571EDD">
              <w:br/>
            </w:r>
            <w:r w:rsidR="00571EDD">
              <w:br/>
            </w:r>
            <w:r w:rsidRPr="00A67613">
              <w:t>摘要记录</w:t>
            </w:r>
          </w:p>
        </w:tc>
      </w:tr>
      <w:tr w:rsidR="00A67613" w:rsidRPr="00A67613" w14:paraId="0EA3A5E4" w14:textId="77777777" w:rsidTr="00371AC0">
        <w:trPr>
          <w:cantSplit/>
          <w:trHeight w:val="23"/>
        </w:trPr>
        <w:tc>
          <w:tcPr>
            <w:tcW w:w="9214" w:type="dxa"/>
            <w:gridSpan w:val="3"/>
          </w:tcPr>
          <w:p w14:paraId="2A233869" w14:textId="77777777" w:rsidR="00A67613" w:rsidRPr="00571EDD" w:rsidRDefault="00A67613" w:rsidP="00A67613">
            <w:pPr>
              <w:tabs>
                <w:tab w:val="clear" w:pos="794"/>
                <w:tab w:val="clear" w:pos="1191"/>
                <w:tab w:val="clear" w:pos="1588"/>
                <w:tab w:val="clear" w:pos="1985"/>
              </w:tabs>
              <w:overflowPunct/>
              <w:autoSpaceDE/>
              <w:autoSpaceDN/>
              <w:adjustRightInd/>
              <w:spacing w:after="240" w:line="280" w:lineRule="exact"/>
              <w:jc w:val="center"/>
              <w:textAlignment w:val="auto"/>
              <w:rPr>
                <w:szCs w:val="24"/>
                <w:lang w:val="en-US" w:eastAsia="zh-CN"/>
              </w:rPr>
            </w:pPr>
            <w:r w:rsidRPr="00571EDD">
              <w:rPr>
                <w:color w:val="000000"/>
                <w:szCs w:val="24"/>
                <w:lang w:val="en-US" w:eastAsia="zh-CN"/>
              </w:rPr>
              <w:t>2026</w:t>
            </w:r>
            <w:r w:rsidRPr="00571EDD">
              <w:rPr>
                <w:color w:val="000000"/>
                <w:szCs w:val="24"/>
                <w:lang w:val="zh-CN" w:eastAsia="zh-CN"/>
              </w:rPr>
              <w:t>年</w:t>
            </w:r>
            <w:r w:rsidRPr="00571EDD">
              <w:rPr>
                <w:color w:val="000000"/>
                <w:szCs w:val="24"/>
                <w:lang w:val="en-US" w:eastAsia="zh-CN"/>
              </w:rPr>
              <w:t>4</w:t>
            </w:r>
            <w:r w:rsidRPr="00571EDD">
              <w:rPr>
                <w:color w:val="000000"/>
                <w:szCs w:val="24"/>
                <w:lang w:val="zh-CN" w:eastAsia="zh-CN"/>
              </w:rPr>
              <w:t>月</w:t>
            </w:r>
            <w:r w:rsidRPr="00571EDD">
              <w:rPr>
                <w:color w:val="000000"/>
                <w:szCs w:val="24"/>
                <w:lang w:val="en-US" w:eastAsia="zh-CN"/>
              </w:rPr>
              <w:t>28</w:t>
            </w:r>
            <w:r w:rsidRPr="00571EDD">
              <w:rPr>
                <w:color w:val="000000"/>
                <w:szCs w:val="24"/>
                <w:lang w:val="zh-CN" w:eastAsia="zh-CN"/>
              </w:rPr>
              <w:t>日</w:t>
            </w:r>
            <w:r w:rsidRPr="00571EDD">
              <w:rPr>
                <w:color w:val="000000"/>
                <w:szCs w:val="24"/>
                <w:lang w:val="en-US" w:eastAsia="zh-CN"/>
              </w:rPr>
              <w:t>（</w:t>
            </w:r>
            <w:r w:rsidRPr="00571EDD">
              <w:rPr>
                <w:color w:val="000000"/>
                <w:szCs w:val="24"/>
                <w:lang w:val="zh-CN" w:eastAsia="zh-CN"/>
              </w:rPr>
              <w:t>星期二</w:t>
            </w:r>
            <w:r w:rsidRPr="00571EDD">
              <w:rPr>
                <w:color w:val="000000"/>
                <w:szCs w:val="24"/>
                <w:lang w:val="en-US" w:eastAsia="zh-CN"/>
              </w:rPr>
              <w:t>），</w:t>
            </w:r>
            <w:r w:rsidRPr="00571EDD">
              <w:rPr>
                <w:color w:val="000000"/>
                <w:szCs w:val="24"/>
                <w:lang w:val="en-US" w:eastAsia="zh-CN"/>
              </w:rPr>
              <w:t>14:35</w:t>
            </w:r>
            <w:r w:rsidRPr="00571EDD">
              <w:rPr>
                <w:color w:val="000000"/>
                <w:szCs w:val="24"/>
                <w:lang w:val="zh-CN" w:eastAsia="zh-CN"/>
              </w:rPr>
              <w:t>至</w:t>
            </w:r>
            <w:r w:rsidRPr="00571EDD">
              <w:rPr>
                <w:color w:val="000000"/>
                <w:szCs w:val="24"/>
                <w:lang w:val="en-US" w:eastAsia="zh-CN"/>
              </w:rPr>
              <w:t>17:45</w:t>
            </w:r>
          </w:p>
          <w:p w14:paraId="2437E046" w14:textId="77777777" w:rsidR="00A67613" w:rsidRPr="00A67613" w:rsidRDefault="00A67613" w:rsidP="00A67613">
            <w:pPr>
              <w:tabs>
                <w:tab w:val="clear" w:pos="794"/>
                <w:tab w:val="clear" w:pos="1191"/>
                <w:tab w:val="clear" w:pos="1588"/>
                <w:tab w:val="clear" w:pos="1985"/>
                <w:tab w:val="left" w:pos="567"/>
                <w:tab w:val="left" w:pos="851"/>
                <w:tab w:val="left" w:pos="1134"/>
                <w:tab w:val="left" w:pos="1701"/>
                <w:tab w:val="left" w:pos="2268"/>
                <w:tab w:val="left" w:pos="2835"/>
              </w:tabs>
              <w:spacing w:after="240" w:line="240" w:lineRule="atLeast"/>
              <w:jc w:val="center"/>
              <w:rPr>
                <w:bCs/>
                <w:sz w:val="21"/>
                <w:szCs w:val="10"/>
                <w:lang w:val="en-US" w:eastAsia="zh-CN"/>
              </w:rPr>
            </w:pPr>
            <w:r w:rsidRPr="00571EDD">
              <w:rPr>
                <w:b/>
                <w:bCs/>
                <w:color w:val="000000"/>
                <w:szCs w:val="24"/>
                <w:lang w:val="zh-CN" w:eastAsia="zh-CN"/>
              </w:rPr>
              <w:t>主席</w:t>
            </w:r>
            <w:r w:rsidRPr="00571EDD">
              <w:rPr>
                <w:color w:val="000000"/>
                <w:szCs w:val="24"/>
                <w:lang w:val="zh-CN" w:eastAsia="zh-CN"/>
              </w:rPr>
              <w:t>：</w:t>
            </w:r>
            <w:r w:rsidRPr="00571EDD">
              <w:rPr>
                <w:color w:val="000000"/>
                <w:szCs w:val="24"/>
                <w:lang w:val="zh-CN" w:eastAsia="zh-CN"/>
              </w:rPr>
              <w:t>B Tijani</w:t>
            </w:r>
            <w:r w:rsidRPr="00571EDD">
              <w:rPr>
                <w:color w:val="000000"/>
                <w:szCs w:val="24"/>
                <w:lang w:val="zh-CN" w:eastAsia="zh-CN"/>
              </w:rPr>
              <w:t>先生（尼日利亚）</w:t>
            </w:r>
          </w:p>
        </w:tc>
      </w:tr>
      <w:tr w:rsidR="00A67613" w:rsidRPr="00A67613" w14:paraId="7416836C" w14:textId="77777777" w:rsidTr="00571EDD">
        <w:tblPrEx>
          <w:tblLook w:val="04A0" w:firstRow="1" w:lastRow="0" w:firstColumn="1" w:lastColumn="0" w:noHBand="0" w:noVBand="1"/>
        </w:tblPrEx>
        <w:tc>
          <w:tcPr>
            <w:tcW w:w="425" w:type="dxa"/>
          </w:tcPr>
          <w:p w14:paraId="371FC1BE"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480" w:after="120" w:line="280" w:lineRule="exact"/>
              <w:jc w:val="both"/>
              <w:rPr>
                <w:b/>
                <w:bCs/>
                <w:szCs w:val="24"/>
                <w:lang w:eastAsia="zh-CN"/>
              </w:rPr>
            </w:pPr>
            <w:bookmarkStart w:id="6" w:name="_Hlk141438382"/>
            <w:r w:rsidRPr="00571EDD">
              <w:rPr>
                <w:b/>
                <w:bCs/>
                <w:color w:val="000000"/>
                <w:szCs w:val="24"/>
                <w:lang w:eastAsia="zh-CN"/>
              </w:rPr>
              <w:br w:type="page"/>
            </w:r>
            <w:r w:rsidRPr="00571EDD">
              <w:rPr>
                <w:b/>
                <w:bCs/>
                <w:color w:val="000000"/>
                <w:szCs w:val="24"/>
                <w:lang w:eastAsia="zh-CN"/>
              </w:rPr>
              <w:br w:type="page"/>
            </w:r>
          </w:p>
        </w:tc>
        <w:tc>
          <w:tcPr>
            <w:tcW w:w="6521" w:type="dxa"/>
            <w:hideMark/>
          </w:tcPr>
          <w:p w14:paraId="58586C6A"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480" w:after="120" w:line="280" w:lineRule="exact"/>
              <w:jc w:val="both"/>
              <w:rPr>
                <w:b/>
                <w:bCs/>
                <w:szCs w:val="24"/>
                <w:lang w:val="en-US" w:eastAsia="zh-CN"/>
              </w:rPr>
            </w:pPr>
            <w:r w:rsidRPr="00571EDD">
              <w:rPr>
                <w:b/>
                <w:bCs/>
                <w:color w:val="000000"/>
                <w:szCs w:val="24"/>
                <w:lang w:val="zh-CN" w:eastAsia="zh-CN"/>
              </w:rPr>
              <w:t>讨论的议题</w:t>
            </w:r>
          </w:p>
        </w:tc>
        <w:tc>
          <w:tcPr>
            <w:tcW w:w="2268" w:type="dxa"/>
            <w:hideMark/>
          </w:tcPr>
          <w:p w14:paraId="534408E8"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480" w:after="120" w:line="280" w:lineRule="exact"/>
              <w:jc w:val="center"/>
              <w:rPr>
                <w:b/>
                <w:bCs/>
                <w:szCs w:val="24"/>
                <w:lang w:val="en-US" w:eastAsia="zh-CN"/>
              </w:rPr>
            </w:pPr>
            <w:r w:rsidRPr="00571EDD">
              <w:rPr>
                <w:b/>
                <w:bCs/>
                <w:color w:val="000000"/>
                <w:szCs w:val="24"/>
                <w:lang w:val="zh-CN" w:eastAsia="zh-CN"/>
              </w:rPr>
              <w:t>文件</w:t>
            </w:r>
          </w:p>
        </w:tc>
      </w:tr>
      <w:tr w:rsidR="00A67613" w:rsidRPr="00A67613" w14:paraId="1FFCD182" w14:textId="77777777" w:rsidTr="00571EDD">
        <w:tblPrEx>
          <w:tblLook w:val="04A0" w:firstRow="1" w:lastRow="0" w:firstColumn="1" w:lastColumn="0" w:noHBand="0" w:noVBand="1"/>
        </w:tblPrEx>
        <w:trPr>
          <w:trHeight w:val="20"/>
        </w:trPr>
        <w:tc>
          <w:tcPr>
            <w:tcW w:w="425" w:type="dxa"/>
            <w:hideMark/>
          </w:tcPr>
          <w:p w14:paraId="1EBCA997"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1</w:t>
            </w:r>
          </w:p>
        </w:tc>
        <w:tc>
          <w:tcPr>
            <w:tcW w:w="6521" w:type="dxa"/>
          </w:tcPr>
          <w:p w14:paraId="46C2DA4D"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国际电联</w:t>
            </w:r>
            <w:r w:rsidRPr="00571EDD">
              <w:rPr>
                <w:color w:val="000000"/>
                <w:szCs w:val="24"/>
                <w:lang w:val="zh-CN" w:eastAsia="zh-CN"/>
              </w:rPr>
              <w:t>2027-2030</w:t>
            </w:r>
            <w:r w:rsidRPr="00571EDD">
              <w:rPr>
                <w:color w:val="000000"/>
                <w:szCs w:val="24"/>
                <w:lang w:val="zh-CN" w:eastAsia="zh-CN"/>
              </w:rPr>
              <w:t>年四年期滚动式运作规划草案</w:t>
            </w:r>
            <w:r w:rsidRPr="00571EDD">
              <w:rPr>
                <w:rFonts w:ascii="STKaiti" w:eastAsia="STKaiti" w:hAnsi="STKaiti"/>
                <w:color w:val="000000"/>
                <w:szCs w:val="24"/>
                <w:lang w:val="zh-CN" w:eastAsia="zh-CN"/>
              </w:rPr>
              <w:t>（续）</w:t>
            </w:r>
          </w:p>
        </w:tc>
        <w:tc>
          <w:tcPr>
            <w:tcW w:w="2268" w:type="dxa"/>
          </w:tcPr>
          <w:p w14:paraId="3C3D8AA6"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center"/>
              <w:rPr>
                <w:szCs w:val="24"/>
                <w:lang w:val="en-US" w:eastAsia="zh-CN"/>
              </w:rPr>
            </w:pPr>
            <w:hyperlink r:id="rId8" w:history="1">
              <w:r w:rsidRPr="00571EDD">
                <w:rPr>
                  <w:rFonts w:eastAsiaTheme="minorHAnsi" w:cs="Calibri"/>
                  <w:color w:val="4F81BD" w:themeColor="accent1"/>
                  <w:szCs w:val="24"/>
                  <w:u w:val="single"/>
                  <w:lang w:eastAsia="zh-CN"/>
                </w:rPr>
                <w:t>C26/28</w:t>
              </w:r>
            </w:hyperlink>
          </w:p>
        </w:tc>
      </w:tr>
      <w:tr w:rsidR="00A67613" w:rsidRPr="00A67613" w14:paraId="5C3F75A8" w14:textId="77777777" w:rsidTr="00571EDD">
        <w:tblPrEx>
          <w:tblLook w:val="04A0" w:firstRow="1" w:lastRow="0" w:firstColumn="1" w:lastColumn="0" w:noHBand="0" w:noVBand="1"/>
        </w:tblPrEx>
        <w:trPr>
          <w:trHeight w:val="20"/>
        </w:trPr>
        <w:tc>
          <w:tcPr>
            <w:tcW w:w="425" w:type="dxa"/>
          </w:tcPr>
          <w:p w14:paraId="40FE1B7A"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2</w:t>
            </w:r>
          </w:p>
        </w:tc>
        <w:tc>
          <w:tcPr>
            <w:tcW w:w="6521" w:type="dxa"/>
          </w:tcPr>
          <w:p w14:paraId="6F70FA73"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rFonts w:asciiTheme="minorHAnsi" w:hAnsiTheme="minorHAnsi" w:cstheme="minorHAnsi"/>
                <w:color w:val="2F2F2F"/>
                <w:szCs w:val="24"/>
                <w:shd w:val="clear" w:color="auto" w:fill="FFFFFF"/>
                <w:lang w:val="en-US" w:eastAsia="zh-CN"/>
              </w:rPr>
            </w:pPr>
            <w:r w:rsidRPr="00571EDD">
              <w:rPr>
                <w:color w:val="000000"/>
                <w:szCs w:val="24"/>
                <w:lang w:val="zh-CN" w:eastAsia="zh-CN"/>
              </w:rPr>
              <w:t>国际电联转型的最新情况</w:t>
            </w:r>
            <w:r w:rsidRPr="00571EDD">
              <w:rPr>
                <w:color w:val="000000"/>
                <w:szCs w:val="24"/>
                <w:lang w:val="zh-CN" w:eastAsia="zh-CN"/>
              </w:rPr>
              <w:t xml:space="preserve"> – </w:t>
            </w:r>
            <w:r w:rsidRPr="00571EDD">
              <w:rPr>
                <w:color w:val="000000"/>
                <w:szCs w:val="24"/>
                <w:lang w:val="zh-CN" w:eastAsia="zh-CN"/>
              </w:rPr>
              <w:t>建设高效、敏捷和适应未来的国际电联</w:t>
            </w:r>
          </w:p>
        </w:tc>
        <w:tc>
          <w:tcPr>
            <w:tcW w:w="2268" w:type="dxa"/>
            <w:vAlign w:val="center"/>
          </w:tcPr>
          <w:p w14:paraId="5C44F387" w14:textId="0FAA89D3"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center"/>
              <w:rPr>
                <w:szCs w:val="24"/>
                <w:lang w:val="en-US" w:eastAsia="zh-CN"/>
              </w:rPr>
            </w:pPr>
            <w:hyperlink r:id="rId9" w:history="1">
              <w:r w:rsidRPr="00571EDD">
                <w:rPr>
                  <w:rFonts w:eastAsiaTheme="minorHAnsi" w:cs="Calibri"/>
                  <w:color w:val="4F81BD" w:themeColor="accent1"/>
                  <w:szCs w:val="24"/>
                  <w:u w:val="single"/>
                  <w:lang w:eastAsia="zh-CN"/>
                </w:rPr>
                <w:t>C26/55</w:t>
              </w:r>
            </w:hyperlink>
            <w:r w:rsidR="004D5D6C" w:rsidRPr="00571EDD">
              <w:rPr>
                <w:rFonts w:hint="eastAsia"/>
                <w:szCs w:val="24"/>
                <w:lang w:eastAsia="zh-CN"/>
              </w:rPr>
              <w:t>、</w:t>
            </w:r>
            <w:hyperlink r:id="rId10" w:history="1">
              <w:r w:rsidRPr="00571EDD">
                <w:rPr>
                  <w:rFonts w:eastAsiaTheme="minorHAnsi" w:cstheme="minorBidi"/>
                  <w:color w:val="4F81BD" w:themeColor="accent1"/>
                  <w:szCs w:val="24"/>
                  <w:u w:val="single"/>
                  <w:lang w:eastAsia="zh-CN"/>
                </w:rPr>
                <w:t>C26/82</w:t>
              </w:r>
            </w:hyperlink>
          </w:p>
        </w:tc>
      </w:tr>
      <w:tr w:rsidR="00A67613" w:rsidRPr="00A67613" w14:paraId="7367A723" w14:textId="77777777" w:rsidTr="00571EDD">
        <w:tblPrEx>
          <w:tblLook w:val="04A0" w:firstRow="1" w:lastRow="0" w:firstColumn="1" w:lastColumn="0" w:noHBand="0" w:noVBand="1"/>
        </w:tblPrEx>
        <w:trPr>
          <w:trHeight w:val="20"/>
        </w:trPr>
        <w:tc>
          <w:tcPr>
            <w:tcW w:w="425" w:type="dxa"/>
          </w:tcPr>
          <w:p w14:paraId="0991924A"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3</w:t>
            </w:r>
          </w:p>
        </w:tc>
        <w:tc>
          <w:tcPr>
            <w:tcW w:w="6521" w:type="dxa"/>
          </w:tcPr>
          <w:p w14:paraId="30A5D5B5"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关于</w:t>
            </w:r>
            <w:r w:rsidRPr="00571EDD">
              <w:rPr>
                <w:color w:val="000000"/>
                <w:szCs w:val="24"/>
                <w:lang w:val="zh-CN" w:eastAsia="zh-CN"/>
              </w:rPr>
              <w:t>2022-202</w:t>
            </w:r>
            <w:r w:rsidRPr="00571EDD">
              <w:rPr>
                <w:color w:val="000000"/>
                <w:szCs w:val="24"/>
                <w:lang w:val="en-US" w:eastAsia="zh-CN"/>
              </w:rPr>
              <w:t>5</w:t>
            </w:r>
            <w:r w:rsidRPr="00571EDD">
              <w:rPr>
                <w:color w:val="000000"/>
                <w:szCs w:val="24"/>
                <w:lang w:val="zh-CN" w:eastAsia="zh-CN"/>
              </w:rPr>
              <w:t>年国际电联战略规划的落实和所开展活动的报告</w:t>
            </w:r>
          </w:p>
        </w:tc>
        <w:tc>
          <w:tcPr>
            <w:tcW w:w="2268" w:type="dxa"/>
          </w:tcPr>
          <w:p w14:paraId="65045CC4"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center"/>
              <w:rPr>
                <w:szCs w:val="24"/>
                <w:lang w:val="en-US" w:eastAsia="zh-CN"/>
              </w:rPr>
            </w:pPr>
            <w:hyperlink r:id="rId11" w:history="1">
              <w:r w:rsidRPr="00571EDD">
                <w:rPr>
                  <w:rFonts w:eastAsiaTheme="minorHAnsi" w:cs="Calibri"/>
                  <w:color w:val="4F81BD" w:themeColor="accent1"/>
                  <w:szCs w:val="24"/>
                  <w:u w:val="single"/>
                  <w:lang w:eastAsia="zh-CN"/>
                </w:rPr>
                <w:t>C26/35</w:t>
              </w:r>
            </w:hyperlink>
          </w:p>
        </w:tc>
      </w:tr>
      <w:tr w:rsidR="00A67613" w:rsidRPr="00A67613" w14:paraId="505DDBCA" w14:textId="77777777" w:rsidTr="00571EDD">
        <w:tblPrEx>
          <w:tblLook w:val="04A0" w:firstRow="1" w:lastRow="0" w:firstColumn="1" w:lastColumn="0" w:noHBand="0" w:noVBand="1"/>
        </w:tblPrEx>
        <w:trPr>
          <w:trHeight w:val="20"/>
        </w:trPr>
        <w:tc>
          <w:tcPr>
            <w:tcW w:w="425" w:type="dxa"/>
          </w:tcPr>
          <w:p w14:paraId="6A83E50B"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4</w:t>
            </w:r>
          </w:p>
        </w:tc>
        <w:tc>
          <w:tcPr>
            <w:tcW w:w="6521" w:type="dxa"/>
          </w:tcPr>
          <w:p w14:paraId="60F6D699"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对巴林、科威特、阿拉伯联合酋长国和约旦民用电信</w:t>
            </w:r>
            <w:r w:rsidRPr="00571EDD">
              <w:rPr>
                <w:color w:val="000000"/>
                <w:szCs w:val="24"/>
                <w:lang w:val="zh-CN" w:eastAsia="zh-CN"/>
              </w:rPr>
              <w:t>/ICT</w:t>
            </w:r>
            <w:r w:rsidRPr="00571EDD">
              <w:rPr>
                <w:color w:val="000000"/>
                <w:szCs w:val="24"/>
                <w:lang w:val="zh-CN" w:eastAsia="zh-CN"/>
              </w:rPr>
              <w:t>基础设施的影响，以及对区域和全球连通性的潜在影响</w:t>
            </w:r>
          </w:p>
        </w:tc>
        <w:tc>
          <w:tcPr>
            <w:tcW w:w="2268" w:type="dxa"/>
          </w:tcPr>
          <w:p w14:paraId="7893923B"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center"/>
              <w:rPr>
                <w:szCs w:val="24"/>
                <w:lang w:val="en-US" w:eastAsia="zh-CN"/>
              </w:rPr>
            </w:pPr>
            <w:hyperlink r:id="rId12" w:history="1">
              <w:r w:rsidRPr="00571EDD">
                <w:rPr>
                  <w:rFonts w:eastAsia="Times New Roman"/>
                  <w:color w:val="4F81BD" w:themeColor="accent1"/>
                  <w:szCs w:val="24"/>
                  <w:u w:val="single"/>
                  <w:lang w:eastAsia="zh-CN"/>
                </w:rPr>
                <w:t>C26/95(Rev.1)</w:t>
              </w:r>
            </w:hyperlink>
          </w:p>
        </w:tc>
      </w:tr>
      <w:tr w:rsidR="00A67613" w:rsidRPr="00A67613" w14:paraId="4EECCB31" w14:textId="77777777" w:rsidTr="00571EDD">
        <w:tblPrEx>
          <w:tblLook w:val="04A0" w:firstRow="1" w:lastRow="0" w:firstColumn="1" w:lastColumn="0" w:noHBand="0" w:noVBand="1"/>
        </w:tblPrEx>
        <w:trPr>
          <w:trHeight w:val="20"/>
        </w:trPr>
        <w:tc>
          <w:tcPr>
            <w:tcW w:w="425" w:type="dxa"/>
          </w:tcPr>
          <w:p w14:paraId="3BC5C60D"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5</w:t>
            </w:r>
          </w:p>
        </w:tc>
        <w:tc>
          <w:tcPr>
            <w:tcW w:w="6521" w:type="dxa"/>
          </w:tcPr>
          <w:p w14:paraId="2D4BA941"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both"/>
              <w:rPr>
                <w:szCs w:val="24"/>
                <w:lang w:val="en-US" w:eastAsia="zh-CN"/>
              </w:rPr>
            </w:pPr>
            <w:r w:rsidRPr="00571EDD">
              <w:rPr>
                <w:color w:val="000000"/>
                <w:szCs w:val="24"/>
                <w:lang w:val="zh-CN" w:eastAsia="zh-CN"/>
              </w:rPr>
              <w:t>理事的声明</w:t>
            </w:r>
          </w:p>
        </w:tc>
        <w:tc>
          <w:tcPr>
            <w:tcW w:w="2268" w:type="dxa"/>
          </w:tcPr>
          <w:p w14:paraId="4AA8F5DC" w14:textId="77777777" w:rsidR="00A67613" w:rsidRPr="00571EDD" w:rsidRDefault="00A67613" w:rsidP="00A67613">
            <w:pPr>
              <w:tabs>
                <w:tab w:val="clear" w:pos="794"/>
                <w:tab w:val="clear" w:pos="1191"/>
                <w:tab w:val="clear" w:pos="1588"/>
                <w:tab w:val="clear" w:pos="1985"/>
                <w:tab w:val="left" w:pos="567"/>
                <w:tab w:val="left" w:pos="1134"/>
                <w:tab w:val="left" w:pos="1701"/>
                <w:tab w:val="left" w:pos="2268"/>
                <w:tab w:val="left" w:pos="2835"/>
              </w:tabs>
              <w:spacing w:before="80" w:after="80" w:line="280" w:lineRule="exact"/>
              <w:jc w:val="center"/>
              <w:rPr>
                <w:szCs w:val="24"/>
                <w:lang w:val="en-US" w:eastAsia="zh-CN"/>
              </w:rPr>
            </w:pPr>
            <w:r w:rsidRPr="00571EDD">
              <w:rPr>
                <w:color w:val="000000"/>
                <w:szCs w:val="24"/>
                <w:lang w:val="zh-CN" w:eastAsia="zh-CN"/>
              </w:rPr>
              <w:t>–</w:t>
            </w:r>
          </w:p>
        </w:tc>
      </w:tr>
      <w:bookmarkEnd w:id="5"/>
      <w:bookmarkEnd w:id="6"/>
    </w:tbl>
    <w:p w14:paraId="4B957026" w14:textId="77777777" w:rsidR="00A67613" w:rsidRDefault="00A67613">
      <w:pPr>
        <w:tabs>
          <w:tab w:val="clear" w:pos="794"/>
          <w:tab w:val="clear" w:pos="1191"/>
          <w:tab w:val="clear" w:pos="1588"/>
          <w:tab w:val="clear" w:pos="1985"/>
        </w:tabs>
        <w:overflowPunct/>
        <w:autoSpaceDE/>
        <w:autoSpaceDN/>
        <w:adjustRightInd/>
        <w:spacing w:before="0"/>
        <w:textAlignment w:val="auto"/>
      </w:pPr>
    </w:p>
    <w:p w14:paraId="6BC575BF"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p w14:paraId="1C12CB9A" w14:textId="77777777" w:rsidR="00A67613" w:rsidRPr="00BC4508" w:rsidRDefault="00A67613" w:rsidP="00A67613">
      <w:pPr>
        <w:pStyle w:val="Heading1"/>
        <w:rPr>
          <w:lang w:eastAsia="zh-CN"/>
        </w:rPr>
      </w:pPr>
      <w:r>
        <w:rPr>
          <w:bCs/>
          <w:lang w:val="zh-CN" w:eastAsia="zh-CN"/>
        </w:rPr>
        <w:lastRenderedPageBreak/>
        <w:t>1</w:t>
      </w:r>
      <w:r>
        <w:rPr>
          <w:bCs/>
          <w:lang w:val="zh-CN" w:eastAsia="zh-CN"/>
        </w:rPr>
        <w:tab/>
      </w:r>
      <w:r w:rsidRPr="005D22FB">
        <w:rPr>
          <w:lang w:val="zh-CN" w:eastAsia="zh-CN"/>
        </w:rPr>
        <w:t>国际电联</w:t>
      </w:r>
      <w:r w:rsidRPr="005D22FB">
        <w:rPr>
          <w:lang w:val="zh-CN" w:eastAsia="zh-CN"/>
        </w:rPr>
        <w:t>2027-2030</w:t>
      </w:r>
      <w:r w:rsidRPr="005D22FB">
        <w:rPr>
          <w:lang w:val="zh-CN" w:eastAsia="zh-CN"/>
        </w:rPr>
        <w:t>年四年期滚动式运作规划草案</w:t>
      </w:r>
      <w:r w:rsidRPr="005D22FB">
        <w:rPr>
          <w:rFonts w:ascii="STKaiti" w:eastAsia="STKaiti" w:hAnsi="STKaiti" w:hint="eastAsia"/>
          <w:lang w:val="zh-CN" w:eastAsia="zh-CN"/>
        </w:rPr>
        <w:t>（续）</w:t>
      </w:r>
      <w:r>
        <w:rPr>
          <w:lang w:val="zh-CN" w:eastAsia="zh-CN"/>
        </w:rPr>
        <w:t>（</w:t>
      </w:r>
      <w:hyperlink r:id="rId13" w:history="1">
        <w:r w:rsidRPr="00BC4508">
          <w:rPr>
            <w:rStyle w:val="Hyperlink"/>
            <w:rFonts w:eastAsia="SimSun" w:cs="Calibri"/>
            <w:szCs w:val="24"/>
            <w:lang w:eastAsia="zh-CN"/>
          </w:rPr>
          <w:t>C26/28</w:t>
        </w:r>
      </w:hyperlink>
      <w:r>
        <w:rPr>
          <w:lang w:val="zh-CN" w:eastAsia="zh-CN"/>
        </w:rPr>
        <w:t>号文件）</w:t>
      </w:r>
      <w:hyperlink r:id="rId14" w:history="1"/>
    </w:p>
    <w:p w14:paraId="1819A18C" w14:textId="77777777" w:rsidR="00A67613" w:rsidRDefault="00A67613" w:rsidP="00A67613">
      <w:pPr>
        <w:rPr>
          <w:lang w:val="zh-CN" w:eastAsia="zh-CN"/>
        </w:rPr>
      </w:pPr>
      <w:bookmarkStart w:id="7" w:name="_Hlk201404443"/>
      <w:r>
        <w:rPr>
          <w:lang w:val="zh-CN" w:eastAsia="zh-CN"/>
        </w:rPr>
        <w:t>1.1</w:t>
      </w:r>
      <w:r>
        <w:rPr>
          <w:lang w:val="zh-CN" w:eastAsia="zh-CN"/>
        </w:rPr>
        <w:tab/>
      </w:r>
      <w:r>
        <w:rPr>
          <w:lang w:val="zh-CN" w:eastAsia="zh-CN"/>
        </w:rPr>
        <w:t>在</w:t>
      </w:r>
      <w:r>
        <w:rPr>
          <w:lang w:eastAsia="zh-CN"/>
        </w:rPr>
        <w:t>延</w:t>
      </w:r>
      <w:r>
        <w:rPr>
          <w:lang w:val="zh-CN" w:eastAsia="zh-CN"/>
        </w:rPr>
        <w:t>续开幕全体会议的讨论时，几位理事强调，国际电联</w:t>
      </w:r>
      <w:r>
        <w:rPr>
          <w:lang w:val="zh-CN" w:eastAsia="zh-CN"/>
        </w:rPr>
        <w:t>2028-2030</w:t>
      </w:r>
      <w:r>
        <w:rPr>
          <w:lang w:val="zh-CN" w:eastAsia="zh-CN"/>
        </w:rPr>
        <w:t>年运作规划大纲以国际电联</w:t>
      </w:r>
      <w:r>
        <w:rPr>
          <w:lang w:val="zh-CN" w:eastAsia="zh-CN"/>
        </w:rPr>
        <w:t>2028-2031</w:t>
      </w:r>
      <w:r>
        <w:rPr>
          <w:lang w:val="zh-CN" w:eastAsia="zh-CN"/>
        </w:rPr>
        <w:t>年战略和财务规划草案为基础，该草案尚有待全权代表大会批准，需要进一步讨论。一位理事询问</w:t>
      </w:r>
      <w:r>
        <w:rPr>
          <w:lang w:eastAsia="zh-CN"/>
        </w:rPr>
        <w:t>为何</w:t>
      </w:r>
      <w:r>
        <w:rPr>
          <w:lang w:val="zh-CN" w:eastAsia="zh-CN"/>
        </w:rPr>
        <w:t>将资源筹措作为一项成本而非创收活动纳入</w:t>
      </w:r>
      <w:r>
        <w:rPr>
          <w:lang w:val="zh-CN" w:eastAsia="zh-CN"/>
        </w:rPr>
        <w:t>C26/28</w:t>
      </w:r>
      <w:r>
        <w:rPr>
          <w:lang w:val="zh-CN" w:eastAsia="zh-CN"/>
        </w:rPr>
        <w:t>号文件表</w:t>
      </w:r>
      <w:r>
        <w:rPr>
          <w:lang w:val="zh-CN" w:eastAsia="zh-CN"/>
        </w:rPr>
        <w:t>2</w:t>
      </w:r>
      <w:r>
        <w:rPr>
          <w:lang w:val="zh-CN" w:eastAsia="zh-CN"/>
        </w:rPr>
        <w:t>，</w:t>
      </w:r>
      <w:r>
        <w:rPr>
          <w:lang w:eastAsia="zh-CN"/>
        </w:rPr>
        <w:t>并询问了</w:t>
      </w:r>
      <w:r>
        <w:rPr>
          <w:lang w:val="zh-CN" w:eastAsia="zh-CN"/>
        </w:rPr>
        <w:t>附件</w:t>
      </w:r>
      <w:r>
        <w:rPr>
          <w:lang w:val="zh-CN" w:eastAsia="zh-CN"/>
        </w:rPr>
        <w:t>B</w:t>
      </w:r>
      <w:r>
        <w:rPr>
          <w:lang w:val="zh-CN" w:eastAsia="zh-CN"/>
        </w:rPr>
        <w:t>中列出的优先事项和指标，这些</w:t>
      </w:r>
      <w:r>
        <w:rPr>
          <w:lang w:eastAsia="zh-CN"/>
        </w:rPr>
        <w:t>内容</w:t>
      </w:r>
      <w:r>
        <w:rPr>
          <w:lang w:val="zh-CN" w:eastAsia="zh-CN"/>
        </w:rPr>
        <w:t>尚未达成共识。另一位理事希望了解作为制定各种规划草案基础的预算</w:t>
      </w:r>
      <w:r>
        <w:rPr>
          <w:lang w:eastAsia="zh-CN"/>
        </w:rPr>
        <w:t>编制</w:t>
      </w:r>
      <w:r>
        <w:rPr>
          <w:lang w:val="zh-CN" w:eastAsia="zh-CN"/>
        </w:rPr>
        <w:t>概念及其对进一步批准程序的影响，要求澄清文件中</w:t>
      </w:r>
      <w:r>
        <w:rPr>
          <w:lang w:eastAsia="zh-CN"/>
        </w:rPr>
        <w:t>列出的各项</w:t>
      </w:r>
      <w:r>
        <w:rPr>
          <w:lang w:val="zh-CN" w:eastAsia="zh-CN"/>
        </w:rPr>
        <w:t>百分比，并强调有必要在国际电联的战略规划、财务规划和运作规划之间建立明确的联系，以实现有效的基于结果的管理。第三位理事询问了项目直接交付成本与分配的中央支持成本的相对比例，以及区域交付工作是如何在规划草案中得到反映的。一位观察员提请注意独立管理顾问委员会（</w:t>
      </w:r>
      <w:r>
        <w:rPr>
          <w:lang w:val="zh-CN" w:eastAsia="zh-CN"/>
        </w:rPr>
        <w:t>IMAC</w:t>
      </w:r>
      <w:r>
        <w:rPr>
          <w:lang w:val="zh-CN" w:eastAsia="zh-CN"/>
        </w:rPr>
        <w:t>）的第</w:t>
      </w:r>
      <w:r>
        <w:rPr>
          <w:lang w:val="zh-CN" w:eastAsia="zh-CN"/>
        </w:rPr>
        <w:t>2026/2</w:t>
      </w:r>
      <w:r>
        <w:rPr>
          <w:lang w:val="zh-CN" w:eastAsia="zh-CN"/>
        </w:rPr>
        <w:t>号建议，建议国际电联的预算文件总体上</w:t>
      </w:r>
      <w:r>
        <w:rPr>
          <w:rFonts w:hint="eastAsia"/>
          <w:lang w:val="zh-CN" w:eastAsia="zh-CN"/>
        </w:rPr>
        <w:t>、</w:t>
      </w:r>
      <w:r>
        <w:rPr>
          <w:lang w:val="zh-CN" w:eastAsia="zh-CN"/>
        </w:rPr>
        <w:t>特别是运作规划草案需要更加清晰，并询问表</w:t>
      </w:r>
      <w:r>
        <w:rPr>
          <w:lang w:val="zh-CN" w:eastAsia="zh-CN"/>
        </w:rPr>
        <w:t>1</w:t>
      </w:r>
      <w:r>
        <w:rPr>
          <w:lang w:val="zh-CN" w:eastAsia="zh-CN"/>
        </w:rPr>
        <w:t>中列出的按主题重点和部门划分的</w:t>
      </w:r>
      <w:r>
        <w:rPr>
          <w:lang w:val="zh-CN" w:eastAsia="zh-CN"/>
        </w:rPr>
        <w:t>2027</w:t>
      </w:r>
      <w:r>
        <w:rPr>
          <w:lang w:val="zh-CN" w:eastAsia="zh-CN"/>
        </w:rPr>
        <w:t>年成本明细。在一些情况下，列出的总秘书处费用超过了同一主题优先事项下一个或多个局的费用。</w:t>
      </w:r>
    </w:p>
    <w:p w14:paraId="2A574018" w14:textId="77777777" w:rsidR="00A67613" w:rsidRPr="00BC4508" w:rsidRDefault="00A67613" w:rsidP="00A67613">
      <w:pPr>
        <w:rPr>
          <w:lang w:eastAsia="zh-CN"/>
        </w:rPr>
      </w:pPr>
      <w:r>
        <w:rPr>
          <w:lang w:val="zh-CN" w:eastAsia="zh-CN"/>
        </w:rPr>
        <w:t>1.2</w:t>
      </w:r>
      <w:r>
        <w:rPr>
          <w:lang w:val="zh-CN" w:eastAsia="zh-CN"/>
        </w:rPr>
        <w:tab/>
      </w:r>
      <w:r>
        <w:rPr>
          <w:lang w:val="zh-CN" w:eastAsia="zh-CN"/>
        </w:rPr>
        <w:t>财务资源管理部（</w:t>
      </w:r>
      <w:r>
        <w:rPr>
          <w:lang w:val="zh-CN" w:eastAsia="zh-CN"/>
        </w:rPr>
        <w:t>FRMD</w:t>
      </w:r>
      <w:r>
        <w:rPr>
          <w:lang w:val="zh-CN" w:eastAsia="zh-CN"/>
        </w:rPr>
        <w:t>）主任在回答问题时说，世界电信</w:t>
      </w:r>
      <w:r>
        <w:rPr>
          <w:lang w:val="zh-CN" w:eastAsia="zh-CN"/>
        </w:rPr>
        <w:t>/ICT</w:t>
      </w:r>
      <w:r>
        <w:rPr>
          <w:lang w:val="zh-CN" w:eastAsia="zh-CN"/>
        </w:rPr>
        <w:t>政策论坛拨款</w:t>
      </w:r>
      <w:r>
        <w:rPr>
          <w:lang w:val="zh-CN" w:eastAsia="zh-CN"/>
        </w:rPr>
        <w:t>779 000</w:t>
      </w:r>
      <w:r>
        <w:rPr>
          <w:lang w:val="zh-CN" w:eastAsia="zh-CN"/>
        </w:rPr>
        <w:t>瑞郎既包括直接费用，也包括间接费用。表</w:t>
      </w:r>
      <w:r>
        <w:rPr>
          <w:lang w:val="zh-CN" w:eastAsia="zh-CN"/>
        </w:rPr>
        <w:t>1</w:t>
      </w:r>
      <w:r>
        <w:rPr>
          <w:lang w:val="zh-CN" w:eastAsia="zh-CN"/>
        </w:rPr>
        <w:t>中列出的</w:t>
      </w:r>
      <w:r>
        <w:rPr>
          <w:lang w:val="zh-CN" w:eastAsia="zh-CN"/>
        </w:rPr>
        <w:t>2027</w:t>
      </w:r>
      <w:r>
        <w:rPr>
          <w:lang w:val="zh-CN" w:eastAsia="zh-CN"/>
        </w:rPr>
        <w:t>年成本估算也是如此。表</w:t>
      </w:r>
      <w:r>
        <w:rPr>
          <w:lang w:val="zh-CN" w:eastAsia="zh-CN"/>
        </w:rPr>
        <w:t>2</w:t>
      </w:r>
      <w:r>
        <w:rPr>
          <w:lang w:val="zh-CN" w:eastAsia="zh-CN"/>
        </w:rPr>
        <w:t>中资源筹措和伙伴关系的数字代表开展此类活动的成本，而不是产生的收入。提交理事会的运作规划草案反映了基于结果的管理和财务规划方法，同时</w:t>
      </w:r>
      <w:r>
        <w:rPr>
          <w:rFonts w:hint="eastAsia"/>
          <w:lang w:val="zh-CN" w:eastAsia="zh-CN"/>
        </w:rPr>
        <w:t>兼顾了</w:t>
      </w:r>
      <w:r>
        <w:rPr>
          <w:lang w:val="zh-CN" w:eastAsia="zh-CN"/>
        </w:rPr>
        <w:t>全权代表大会（</w:t>
      </w:r>
      <w:r>
        <w:rPr>
          <w:lang w:val="zh-CN" w:eastAsia="zh-CN"/>
        </w:rPr>
        <w:t>2022</w:t>
      </w:r>
      <w:r>
        <w:rPr>
          <w:lang w:val="zh-CN" w:eastAsia="zh-CN"/>
        </w:rPr>
        <w:t>年，布加勒斯特）（</w:t>
      </w:r>
      <w:r>
        <w:rPr>
          <w:lang w:val="zh-CN" w:eastAsia="zh-CN"/>
        </w:rPr>
        <w:t>PP-22</w:t>
      </w:r>
      <w:r>
        <w:rPr>
          <w:lang w:val="zh-CN" w:eastAsia="zh-CN"/>
        </w:rPr>
        <w:t>）批准的</w:t>
      </w:r>
      <w:r>
        <w:rPr>
          <w:lang w:val="zh-CN" w:eastAsia="zh-CN"/>
        </w:rPr>
        <w:t>2024-2027</w:t>
      </w:r>
      <w:r>
        <w:rPr>
          <w:lang w:val="zh-CN" w:eastAsia="zh-CN"/>
        </w:rPr>
        <w:t>年期间的五个主题重点工作以及国际电联各监督机构，特别是</w:t>
      </w:r>
      <w:r>
        <w:rPr>
          <w:lang w:val="zh-CN" w:eastAsia="zh-CN"/>
        </w:rPr>
        <w:t>IMAC</w:t>
      </w:r>
      <w:r>
        <w:rPr>
          <w:lang w:val="zh-CN" w:eastAsia="zh-CN"/>
        </w:rPr>
        <w:t>的建议。</w:t>
      </w:r>
      <w:r w:rsidRPr="00190D5B">
        <w:rPr>
          <w:lang w:val="zh-CN" w:eastAsia="zh-CN"/>
        </w:rPr>
        <w:t>关于风险及其管理的问题，已在提交理事会的其他文件中进行了详细论述，但这些内容也为所有战略、财务和运营</w:t>
      </w:r>
      <w:r>
        <w:rPr>
          <w:rFonts w:hint="eastAsia"/>
          <w:lang w:val="zh-CN" w:eastAsia="zh-CN"/>
        </w:rPr>
        <w:t>规划</w:t>
      </w:r>
      <w:r w:rsidRPr="00190D5B">
        <w:rPr>
          <w:lang w:val="zh-CN" w:eastAsia="zh-CN"/>
        </w:rPr>
        <w:t>的制定提供了依据。</w:t>
      </w:r>
      <w:r>
        <w:rPr>
          <w:lang w:val="zh-CN" w:eastAsia="zh-CN"/>
        </w:rPr>
        <w:t>虽然要求秘书处提交一份四年期滚动式规划，但</w:t>
      </w:r>
      <w:r>
        <w:rPr>
          <w:lang w:val="zh-CN" w:eastAsia="zh-CN"/>
        </w:rPr>
        <w:t>C26/28</w:t>
      </w:r>
      <w:r>
        <w:rPr>
          <w:lang w:val="zh-CN" w:eastAsia="zh-CN"/>
        </w:rPr>
        <w:t>号文件附件</w:t>
      </w:r>
      <w:r>
        <w:rPr>
          <w:lang w:val="zh-CN" w:eastAsia="zh-CN"/>
        </w:rPr>
        <w:t>A</w:t>
      </w:r>
      <w:r>
        <w:rPr>
          <w:lang w:val="zh-CN" w:eastAsia="zh-CN"/>
        </w:rPr>
        <w:t>所载的决议草案仅涉及</w:t>
      </w:r>
      <w:r>
        <w:rPr>
          <w:lang w:val="zh-CN" w:eastAsia="zh-CN"/>
        </w:rPr>
        <w:t>2027</w:t>
      </w:r>
      <w:r>
        <w:rPr>
          <w:lang w:val="zh-CN" w:eastAsia="zh-CN"/>
        </w:rPr>
        <w:t>年，而</w:t>
      </w:r>
      <w:r>
        <w:rPr>
          <w:lang w:val="zh-CN" w:eastAsia="zh-CN"/>
        </w:rPr>
        <w:t>2022</w:t>
      </w:r>
      <w:r>
        <w:rPr>
          <w:lang w:val="zh-CN" w:eastAsia="zh-CN"/>
        </w:rPr>
        <w:t>年全权代表大会（</w:t>
      </w:r>
      <w:r>
        <w:rPr>
          <w:lang w:val="zh-CN" w:eastAsia="zh-CN"/>
        </w:rPr>
        <w:t>PP-22</w:t>
      </w:r>
      <w:r>
        <w:rPr>
          <w:lang w:val="zh-CN" w:eastAsia="zh-CN"/>
        </w:rPr>
        <w:t>）批准的战略规划和财务规划涵盖了</w:t>
      </w:r>
      <w:r>
        <w:rPr>
          <w:lang w:val="zh-CN" w:eastAsia="zh-CN"/>
        </w:rPr>
        <w:t>2027</w:t>
      </w:r>
      <w:r>
        <w:rPr>
          <w:lang w:val="zh-CN" w:eastAsia="zh-CN"/>
        </w:rPr>
        <w:t>年。</w:t>
      </w:r>
    </w:p>
    <w:bookmarkEnd w:id="7"/>
    <w:p w14:paraId="70429017" w14:textId="77777777" w:rsidR="00A67613" w:rsidRPr="00BC4508" w:rsidRDefault="00A67613" w:rsidP="00A67613">
      <w:pPr>
        <w:rPr>
          <w:lang w:eastAsia="zh-CN"/>
        </w:rPr>
      </w:pPr>
      <w:r>
        <w:rPr>
          <w:lang w:val="zh-CN" w:eastAsia="zh-CN"/>
        </w:rPr>
        <w:t>1.3</w:t>
      </w:r>
      <w:r>
        <w:rPr>
          <w:lang w:val="zh-CN" w:eastAsia="zh-CN"/>
        </w:rPr>
        <w:tab/>
      </w:r>
      <w:r>
        <w:rPr>
          <w:lang w:val="zh-CN" w:eastAsia="zh-CN"/>
        </w:rPr>
        <w:t>行政和财务主任补充说，根据批准的优先事项和关键绩效指标（</w:t>
      </w:r>
      <w:r>
        <w:rPr>
          <w:lang w:val="zh-CN" w:eastAsia="zh-CN"/>
        </w:rPr>
        <w:t>KPI</w:t>
      </w:r>
      <w:r>
        <w:rPr>
          <w:lang w:val="zh-CN" w:eastAsia="zh-CN"/>
        </w:rPr>
        <w:t>），仅提供了</w:t>
      </w:r>
      <w:r>
        <w:rPr>
          <w:lang w:val="zh-CN" w:eastAsia="zh-CN"/>
        </w:rPr>
        <w:t>2027</w:t>
      </w:r>
      <w:r>
        <w:rPr>
          <w:lang w:val="zh-CN" w:eastAsia="zh-CN"/>
        </w:rPr>
        <w:t>年的详细和具体数字。</w:t>
      </w:r>
      <w:r>
        <w:rPr>
          <w:lang w:val="zh-CN" w:eastAsia="zh-CN"/>
        </w:rPr>
        <w:t>2028-2030</w:t>
      </w:r>
      <w:r>
        <w:rPr>
          <w:lang w:val="zh-CN" w:eastAsia="zh-CN"/>
        </w:rPr>
        <w:t>年运作规划大纲是基于仍在讨论中的</w:t>
      </w:r>
      <w:r>
        <w:rPr>
          <w:lang w:val="zh-CN" w:eastAsia="zh-CN"/>
        </w:rPr>
        <w:t>2028-2031</w:t>
      </w:r>
      <w:r>
        <w:rPr>
          <w:lang w:val="zh-CN" w:eastAsia="zh-CN"/>
        </w:rPr>
        <w:t>年战略</w:t>
      </w:r>
      <w:r>
        <w:rPr>
          <w:rFonts w:hint="eastAsia"/>
          <w:lang w:val="zh-CN" w:eastAsia="zh-CN"/>
        </w:rPr>
        <w:t>规划</w:t>
      </w:r>
      <w:r>
        <w:rPr>
          <w:lang w:val="zh-CN" w:eastAsia="zh-CN"/>
        </w:rPr>
        <w:t>和财务规划草案，需要根据未来的管理机构决定进行更新。</w:t>
      </w:r>
    </w:p>
    <w:p w14:paraId="449EA51C" w14:textId="77777777" w:rsidR="00A67613" w:rsidRPr="00BC4508" w:rsidRDefault="00A67613" w:rsidP="00A67613">
      <w:pPr>
        <w:rPr>
          <w:lang w:eastAsia="zh-CN"/>
        </w:rPr>
      </w:pPr>
      <w:r>
        <w:rPr>
          <w:lang w:val="zh-CN" w:eastAsia="zh-CN"/>
        </w:rPr>
        <w:t>1.4</w:t>
      </w:r>
      <w:r>
        <w:rPr>
          <w:lang w:val="zh-CN" w:eastAsia="zh-CN"/>
        </w:rPr>
        <w:tab/>
      </w:r>
      <w:r>
        <w:rPr>
          <w:lang w:val="zh-CN" w:eastAsia="zh-CN"/>
        </w:rPr>
        <w:t>一位理事建议，修正附件</w:t>
      </w:r>
      <w:r>
        <w:rPr>
          <w:lang w:val="zh-CN" w:eastAsia="zh-CN"/>
        </w:rPr>
        <w:t>A</w:t>
      </w:r>
      <w:r>
        <w:rPr>
          <w:lang w:val="zh-CN" w:eastAsia="zh-CN"/>
        </w:rPr>
        <w:t>中的决议草案，仅提及</w:t>
      </w:r>
      <w:r>
        <w:rPr>
          <w:lang w:val="zh-CN" w:eastAsia="zh-CN"/>
        </w:rPr>
        <w:t>2027</w:t>
      </w:r>
      <w:r>
        <w:rPr>
          <w:lang w:val="zh-CN" w:eastAsia="zh-CN"/>
        </w:rPr>
        <w:t>年运作规划</w:t>
      </w:r>
      <w:r>
        <w:rPr>
          <w:rFonts w:hint="eastAsia"/>
          <w:lang w:val="zh-CN" w:eastAsia="zh-CN"/>
        </w:rPr>
        <w:t>，</w:t>
      </w:r>
      <w:r>
        <w:rPr>
          <w:lang w:val="zh-CN" w:eastAsia="zh-CN"/>
        </w:rPr>
        <w:t>可能会澄清问题。</w:t>
      </w:r>
    </w:p>
    <w:p w14:paraId="15310C99" w14:textId="77777777" w:rsidR="00A67613" w:rsidRPr="00BC4508" w:rsidRDefault="00A67613" w:rsidP="00A67613">
      <w:pPr>
        <w:rPr>
          <w:lang w:eastAsia="zh-CN"/>
        </w:rPr>
      </w:pPr>
      <w:r>
        <w:rPr>
          <w:lang w:val="zh-CN" w:eastAsia="zh-CN"/>
        </w:rPr>
        <w:t>1.5</w:t>
      </w:r>
      <w:r>
        <w:rPr>
          <w:lang w:val="zh-CN" w:eastAsia="zh-CN"/>
        </w:rPr>
        <w:tab/>
        <w:t>FRMD</w:t>
      </w:r>
      <w:r>
        <w:rPr>
          <w:lang w:val="zh-CN" w:eastAsia="zh-CN"/>
        </w:rPr>
        <w:t>主任说，可为此对决议草案进行修正。</w:t>
      </w:r>
    </w:p>
    <w:p w14:paraId="15BD12DD" w14:textId="77777777" w:rsidR="00A67613" w:rsidRPr="00BC4508" w:rsidRDefault="00A67613" w:rsidP="00A67613">
      <w:pPr>
        <w:rPr>
          <w:lang w:eastAsia="zh-CN"/>
        </w:rPr>
      </w:pPr>
      <w:r>
        <w:rPr>
          <w:lang w:val="zh-CN" w:eastAsia="zh-CN"/>
        </w:rPr>
        <w:t>1.6</w:t>
      </w:r>
      <w:r>
        <w:rPr>
          <w:lang w:val="zh-CN" w:eastAsia="zh-CN"/>
        </w:rPr>
        <w:tab/>
      </w:r>
      <w:r>
        <w:rPr>
          <w:lang w:val="zh-CN" w:eastAsia="zh-CN"/>
        </w:rPr>
        <w:t>理事会</w:t>
      </w:r>
      <w:r w:rsidRPr="00190D5B">
        <w:rPr>
          <w:b/>
          <w:bCs/>
          <w:lang w:val="zh-CN" w:eastAsia="zh-CN"/>
        </w:rPr>
        <w:t>同意</w:t>
      </w:r>
      <w:r>
        <w:rPr>
          <w:lang w:val="zh-CN" w:eastAsia="zh-CN"/>
        </w:rPr>
        <w:t>请秘书处编写</w:t>
      </w:r>
      <w:r>
        <w:rPr>
          <w:lang w:val="zh-CN" w:eastAsia="zh-CN"/>
        </w:rPr>
        <w:t>C26/28</w:t>
      </w:r>
      <w:r>
        <w:rPr>
          <w:lang w:val="zh-CN" w:eastAsia="zh-CN"/>
        </w:rPr>
        <w:t>号文件的修订版，供会议晚些时候讨论。</w:t>
      </w:r>
    </w:p>
    <w:p w14:paraId="1189747E" w14:textId="77777777" w:rsidR="00A67613" w:rsidRPr="00BC4508" w:rsidRDefault="00A67613" w:rsidP="00A67613">
      <w:pPr>
        <w:pStyle w:val="Heading1"/>
        <w:rPr>
          <w:szCs w:val="28"/>
          <w:lang w:eastAsia="zh-CN"/>
        </w:rPr>
      </w:pPr>
      <w:r>
        <w:rPr>
          <w:bCs/>
          <w:lang w:val="zh-CN" w:eastAsia="zh-CN"/>
        </w:rPr>
        <w:t>2</w:t>
      </w:r>
      <w:r>
        <w:rPr>
          <w:lang w:val="zh-CN" w:eastAsia="zh-CN"/>
        </w:rPr>
        <w:tab/>
      </w:r>
      <w:r w:rsidRPr="005D22FB">
        <w:rPr>
          <w:lang w:val="zh-CN" w:eastAsia="zh-CN"/>
        </w:rPr>
        <w:t>国际电联转型的最新情况</w:t>
      </w:r>
      <w:r w:rsidRPr="005D22FB">
        <w:rPr>
          <w:lang w:val="zh-CN" w:eastAsia="zh-CN"/>
        </w:rPr>
        <w:t xml:space="preserve"> – </w:t>
      </w:r>
      <w:r w:rsidRPr="005D22FB">
        <w:rPr>
          <w:lang w:val="zh-CN" w:eastAsia="zh-CN"/>
        </w:rPr>
        <w:t>建设高效、敏捷和适应未来的国际电联</w:t>
      </w:r>
      <w:r>
        <w:rPr>
          <w:rFonts w:hint="eastAsia"/>
          <w:lang w:val="zh-CN" w:eastAsia="zh-CN"/>
        </w:rPr>
        <w:t>（</w:t>
      </w:r>
      <w:hyperlink r:id="rId15" w:history="1">
        <w:r w:rsidRPr="00BC4508">
          <w:rPr>
            <w:rStyle w:val="Hyperlink"/>
            <w:rFonts w:eastAsia="SimSun"/>
            <w:lang w:eastAsia="zh-CN"/>
          </w:rPr>
          <w:t>C26/55</w:t>
        </w:r>
      </w:hyperlink>
      <w:r>
        <w:rPr>
          <w:rFonts w:hint="eastAsia"/>
          <w:lang w:val="zh-CN" w:eastAsia="zh-CN"/>
        </w:rPr>
        <w:t>和</w:t>
      </w:r>
      <w:hyperlink r:id="rId16" w:history="1">
        <w:r w:rsidRPr="00BC4508">
          <w:rPr>
            <w:rStyle w:val="Hyperlink"/>
            <w:rFonts w:eastAsia="SimSun"/>
            <w:lang w:eastAsia="zh-CN"/>
          </w:rPr>
          <w:t>C26/82</w:t>
        </w:r>
      </w:hyperlink>
      <w:r>
        <w:rPr>
          <w:rFonts w:hint="eastAsia"/>
          <w:lang w:val="zh-CN" w:eastAsia="zh-CN"/>
        </w:rPr>
        <w:t>号文件）</w:t>
      </w:r>
      <w:hyperlink r:id="rId17" w:history="1"/>
      <w:hyperlink r:id="rId18" w:history="1"/>
    </w:p>
    <w:p w14:paraId="6146AED5" w14:textId="3DB01D57" w:rsidR="00A67613" w:rsidRPr="00BC4508" w:rsidRDefault="00A67613" w:rsidP="00A67613">
      <w:pPr>
        <w:rPr>
          <w:lang w:eastAsia="zh-CN"/>
        </w:rPr>
      </w:pPr>
      <w:r>
        <w:rPr>
          <w:lang w:val="zh-CN" w:eastAsia="zh-CN"/>
        </w:rPr>
        <w:t>2.1</w:t>
      </w:r>
      <w:r>
        <w:rPr>
          <w:lang w:val="zh-CN" w:eastAsia="zh-CN"/>
        </w:rPr>
        <w:tab/>
      </w:r>
      <w:r>
        <w:rPr>
          <w:lang w:val="zh-CN" w:eastAsia="zh-CN"/>
        </w:rPr>
        <w:t>转型</w:t>
      </w:r>
      <w:r>
        <w:rPr>
          <w:rFonts w:hint="eastAsia"/>
          <w:lang w:val="zh-CN" w:eastAsia="zh-CN"/>
        </w:rPr>
        <w:t>负责</w:t>
      </w:r>
      <w:r>
        <w:rPr>
          <w:lang w:val="zh-CN" w:eastAsia="zh-CN"/>
        </w:rPr>
        <w:t>人介绍了</w:t>
      </w:r>
      <w:r>
        <w:rPr>
          <w:lang w:val="zh-CN" w:eastAsia="zh-CN"/>
        </w:rPr>
        <w:t>C26/55</w:t>
      </w:r>
      <w:r>
        <w:rPr>
          <w:lang w:val="zh-CN" w:eastAsia="zh-CN"/>
        </w:rPr>
        <w:t>号文件，概述了国际电联转型工作迈向实施阶段所取得的进展，</w:t>
      </w:r>
      <w:r>
        <w:rPr>
          <w:rFonts w:hint="eastAsia"/>
          <w:lang w:val="zh-CN" w:eastAsia="zh-CN"/>
        </w:rPr>
        <w:t>该项工作</w:t>
      </w:r>
      <w:r>
        <w:rPr>
          <w:lang w:val="zh-CN" w:eastAsia="zh-CN"/>
        </w:rPr>
        <w:t>围绕五大支柱</w:t>
      </w:r>
      <w:r>
        <w:rPr>
          <w:rFonts w:hint="eastAsia"/>
          <w:lang w:val="zh-CN" w:eastAsia="zh-CN"/>
        </w:rPr>
        <w:t>进行</w:t>
      </w:r>
      <w:r>
        <w:rPr>
          <w:lang w:val="zh-CN" w:eastAsia="zh-CN"/>
        </w:rPr>
        <w:t>：治理</w:t>
      </w:r>
      <w:r>
        <w:rPr>
          <w:rFonts w:hint="eastAsia"/>
          <w:lang w:val="zh-CN" w:eastAsia="zh-CN"/>
        </w:rPr>
        <w:t>；</w:t>
      </w:r>
      <w:r>
        <w:rPr>
          <w:lang w:val="zh-CN" w:eastAsia="zh-CN"/>
        </w:rPr>
        <w:t>成员和合作伙伴</w:t>
      </w:r>
      <w:r>
        <w:rPr>
          <w:rFonts w:hint="eastAsia"/>
          <w:lang w:val="zh-CN" w:eastAsia="zh-CN"/>
        </w:rPr>
        <w:t>；</w:t>
      </w:r>
      <w:r>
        <w:rPr>
          <w:lang w:val="zh-CN" w:eastAsia="zh-CN"/>
        </w:rPr>
        <w:t>人员和文化；资源优化和系统</w:t>
      </w:r>
      <w:r>
        <w:rPr>
          <w:rFonts w:hint="eastAsia"/>
          <w:lang w:val="zh-CN" w:eastAsia="zh-CN"/>
        </w:rPr>
        <w:t>；及</w:t>
      </w:r>
      <w:r>
        <w:rPr>
          <w:lang w:val="zh-CN" w:eastAsia="zh-CN"/>
        </w:rPr>
        <w:t>流程和工具</w:t>
      </w:r>
      <w:r>
        <w:rPr>
          <w:rFonts w:hint="eastAsia"/>
          <w:lang w:val="zh-CN" w:eastAsia="zh-CN"/>
        </w:rPr>
        <w:t>。</w:t>
      </w:r>
      <w:r>
        <w:rPr>
          <w:lang w:val="zh-CN" w:eastAsia="zh-CN"/>
        </w:rPr>
        <w:t>根据理事会和</w:t>
      </w:r>
      <w:r>
        <w:rPr>
          <w:lang w:val="zh-CN" w:eastAsia="zh-CN"/>
        </w:rPr>
        <w:t>IMAC</w:t>
      </w:r>
      <w:r>
        <w:rPr>
          <w:lang w:val="zh-CN" w:eastAsia="zh-CN"/>
        </w:rPr>
        <w:t>的反馈，更新了转型信息概览，增加了有关</w:t>
      </w:r>
      <w:r>
        <w:rPr>
          <w:lang w:val="zh-CN" w:eastAsia="zh-CN"/>
        </w:rPr>
        <w:t>2026</w:t>
      </w:r>
      <w:r>
        <w:rPr>
          <w:lang w:val="zh-CN" w:eastAsia="zh-CN"/>
        </w:rPr>
        <w:t>年可交付成果、</w:t>
      </w:r>
      <w:r>
        <w:rPr>
          <w:rFonts w:hint="eastAsia"/>
          <w:lang w:val="zh-CN" w:eastAsia="zh-CN"/>
        </w:rPr>
        <w:t>各项</w:t>
      </w:r>
      <w:r>
        <w:rPr>
          <w:lang w:val="zh-CN" w:eastAsia="zh-CN"/>
        </w:rPr>
        <w:t>举措</w:t>
      </w:r>
      <w:r>
        <w:rPr>
          <w:rFonts w:hint="eastAsia"/>
          <w:lang w:val="zh-CN" w:eastAsia="zh-CN"/>
        </w:rPr>
        <w:t>的</w:t>
      </w:r>
      <w:r>
        <w:rPr>
          <w:lang w:val="zh-CN" w:eastAsia="zh-CN"/>
        </w:rPr>
        <w:t>状况、总秘书处员工在转型方面投入的预计时间以及效率的信息。</w:t>
      </w:r>
      <w:r>
        <w:rPr>
          <w:lang w:val="zh-CN" w:eastAsia="zh-CN"/>
        </w:rPr>
        <w:t>2026</w:t>
      </w:r>
      <w:r>
        <w:rPr>
          <w:lang w:val="zh-CN" w:eastAsia="zh-CN"/>
        </w:rPr>
        <w:t>年的活动将侧重于提升成员体验</w:t>
      </w:r>
      <w:r>
        <w:rPr>
          <w:rFonts w:hint="eastAsia"/>
          <w:lang w:val="zh-CN" w:eastAsia="zh-CN"/>
        </w:rPr>
        <w:t>、</w:t>
      </w:r>
      <w:r>
        <w:rPr>
          <w:lang w:val="zh-CN" w:eastAsia="zh-CN"/>
        </w:rPr>
        <w:t>运作效率和影响</w:t>
      </w:r>
      <w:r>
        <w:rPr>
          <w:rFonts w:hint="eastAsia"/>
          <w:lang w:val="zh-CN" w:eastAsia="zh-CN"/>
        </w:rPr>
        <w:t>、</w:t>
      </w:r>
      <w:r>
        <w:rPr>
          <w:lang w:val="zh-CN" w:eastAsia="zh-CN"/>
        </w:rPr>
        <w:t>职员赋能和创新文化</w:t>
      </w:r>
      <w:r>
        <w:rPr>
          <w:rFonts w:hint="eastAsia"/>
          <w:lang w:val="zh-CN" w:eastAsia="zh-CN"/>
        </w:rPr>
        <w:t>。</w:t>
      </w:r>
      <w:r>
        <w:rPr>
          <w:lang w:val="zh-CN" w:eastAsia="zh-CN"/>
        </w:rPr>
        <w:t>转型团队认识到，需要在</w:t>
      </w:r>
      <w:r>
        <w:rPr>
          <w:lang w:val="zh-CN" w:eastAsia="zh-CN"/>
        </w:rPr>
        <w:t>KPI</w:t>
      </w:r>
      <w:r>
        <w:rPr>
          <w:lang w:val="zh-CN" w:eastAsia="zh-CN"/>
        </w:rPr>
        <w:t>方面开展更多工作，以衡量其报告中的影</w:t>
      </w:r>
      <w:r>
        <w:rPr>
          <w:lang w:val="zh-CN" w:eastAsia="zh-CN"/>
        </w:rPr>
        <w:lastRenderedPageBreak/>
        <w:t>响，并为此与战略规划和管理部以及</w:t>
      </w:r>
      <w:r>
        <w:rPr>
          <w:rFonts w:hint="eastAsia"/>
          <w:lang w:val="zh-CN" w:eastAsia="zh-CN"/>
        </w:rPr>
        <w:t>业务负责方开展</w:t>
      </w:r>
      <w:r>
        <w:rPr>
          <w:lang w:val="zh-CN" w:eastAsia="zh-CN"/>
        </w:rPr>
        <w:t>合作。</w:t>
      </w:r>
      <w:r>
        <w:rPr>
          <w:lang w:eastAsia="zh-CN"/>
        </w:rPr>
        <w:t>目前正在推进的大部分转型举措都得到了战略性数字化和人工智能（</w:t>
      </w:r>
      <w:r>
        <w:rPr>
          <w:lang w:eastAsia="zh-CN"/>
        </w:rPr>
        <w:t>AI</w:t>
      </w:r>
      <w:r>
        <w:rPr>
          <w:lang w:eastAsia="zh-CN"/>
        </w:rPr>
        <w:t>）应用的支持。一个以目标和关键成果为基础的明确战略框架，将有助于加强所有数字化举措中</w:t>
      </w:r>
      <w:r>
        <w:rPr>
          <w:lang w:eastAsia="zh-CN"/>
        </w:rPr>
        <w:t>KPI</w:t>
      </w:r>
      <w:r>
        <w:rPr>
          <w:lang w:eastAsia="zh-CN"/>
        </w:rPr>
        <w:t>的制定、跟踪和协调</w:t>
      </w:r>
      <w:r>
        <w:rPr>
          <w:rFonts w:ascii="SimSun" w:hAnsi="SimSun" w:cs="SimSun" w:hint="eastAsia"/>
          <w:lang w:eastAsia="zh-CN"/>
        </w:rPr>
        <w:t>。</w:t>
      </w:r>
      <w:r w:rsidR="007A0925" w:rsidRPr="007A0925">
        <w:rPr>
          <w:rFonts w:ascii="SimSun" w:hAnsi="SimSun" w:cs="SimSun"/>
          <w:lang w:eastAsia="zh-CN"/>
        </w:rPr>
        <w:t>秘书处补充指出，将国际电联建设成为一个更加敏捷和现代化的组织，需要更加重视学习、试验创新以及员工赋能与发展。</w:t>
      </w:r>
    </w:p>
    <w:p w14:paraId="6FAE0FE5" w14:textId="77777777" w:rsidR="00A67613" w:rsidRPr="00BC4508" w:rsidRDefault="00A67613" w:rsidP="00A67613">
      <w:pPr>
        <w:rPr>
          <w:lang w:eastAsia="zh-CN"/>
        </w:rPr>
      </w:pPr>
      <w:r>
        <w:rPr>
          <w:lang w:val="zh-CN" w:eastAsia="zh-CN"/>
        </w:rPr>
        <w:t>2.2</w:t>
      </w:r>
      <w:r>
        <w:rPr>
          <w:lang w:val="zh-CN" w:eastAsia="zh-CN"/>
        </w:rPr>
        <w:tab/>
      </w:r>
      <w:r>
        <w:rPr>
          <w:lang w:val="zh-CN" w:eastAsia="zh-CN"/>
        </w:rPr>
        <w:t>中国理事代表</w:t>
      </w:r>
      <w:r>
        <w:rPr>
          <w:rFonts w:hint="eastAsia"/>
          <w:lang w:val="zh-CN" w:eastAsia="zh-CN"/>
        </w:rPr>
        <w:t>中国</w:t>
      </w:r>
      <w:r>
        <w:rPr>
          <w:lang w:val="zh-CN" w:eastAsia="zh-CN"/>
        </w:rPr>
        <w:t>和古巴介绍了</w:t>
      </w:r>
      <w:r>
        <w:rPr>
          <w:lang w:val="zh-CN" w:eastAsia="zh-CN"/>
        </w:rPr>
        <w:t>C26/82</w:t>
      </w:r>
      <w:r>
        <w:rPr>
          <w:lang w:val="zh-CN" w:eastAsia="zh-CN"/>
        </w:rPr>
        <w:t>号文件所载的文稿，该文稿提出了关于在国际电联参与联合国</w:t>
      </w:r>
      <w:r>
        <w:rPr>
          <w:lang w:val="zh-CN" w:eastAsia="zh-CN"/>
        </w:rPr>
        <w:t>80</w:t>
      </w:r>
      <w:r>
        <w:rPr>
          <w:lang w:val="zh-CN" w:eastAsia="zh-CN"/>
        </w:rPr>
        <w:t>周年举措的背景下加强国际电联转型的建议。</w:t>
      </w:r>
    </w:p>
    <w:p w14:paraId="03A4C153" w14:textId="68F78079" w:rsidR="00A67613" w:rsidRDefault="00A67613" w:rsidP="00A67613">
      <w:pPr>
        <w:rPr>
          <w:lang w:val="zh-CN" w:eastAsia="zh-CN"/>
        </w:rPr>
      </w:pPr>
      <w:r>
        <w:rPr>
          <w:lang w:val="zh-CN" w:eastAsia="zh-CN"/>
        </w:rPr>
        <w:t>2.3</w:t>
      </w:r>
      <w:r>
        <w:rPr>
          <w:lang w:val="zh-CN" w:eastAsia="zh-CN"/>
        </w:rPr>
        <w:tab/>
      </w:r>
      <w:r>
        <w:rPr>
          <w:lang w:val="zh-CN" w:eastAsia="zh-CN"/>
        </w:rPr>
        <w:t>理事们对国际电联转型计划从规划和设计到实施过程中取得的可衡量进展表示欢迎。</w:t>
      </w:r>
      <w:r w:rsidR="007A0925">
        <w:rPr>
          <w:rFonts w:hint="eastAsia"/>
          <w:lang w:val="zh-CN" w:eastAsia="zh-CN"/>
        </w:rPr>
        <w:t>他们还注意到</w:t>
      </w:r>
      <w:r>
        <w:rPr>
          <w:lang w:val="zh-CN" w:eastAsia="zh-CN"/>
        </w:rPr>
        <w:t>在问责制、透明度和机构成熟度方面取得了进展，战略一致性和运作效率</w:t>
      </w:r>
      <w:r w:rsidR="007A0925">
        <w:rPr>
          <w:rFonts w:hint="eastAsia"/>
          <w:lang w:val="zh-CN" w:eastAsia="zh-CN"/>
        </w:rPr>
        <w:t>有所</w:t>
      </w:r>
      <w:r>
        <w:rPr>
          <w:lang w:val="zh-CN" w:eastAsia="zh-CN"/>
        </w:rPr>
        <w:t>提高。</w:t>
      </w:r>
      <w:r w:rsidR="007A0925">
        <w:rPr>
          <w:rFonts w:hint="eastAsia"/>
          <w:lang w:val="zh-CN" w:eastAsia="zh-CN"/>
        </w:rPr>
        <w:t>理事会对</w:t>
      </w:r>
      <w:r>
        <w:rPr>
          <w:lang w:val="zh-CN" w:eastAsia="zh-CN"/>
        </w:rPr>
        <w:t>迄今为止取得的具体成就</w:t>
      </w:r>
      <w:r w:rsidR="007A0925">
        <w:rPr>
          <w:rFonts w:hint="eastAsia"/>
          <w:lang w:val="zh-CN" w:eastAsia="zh-CN"/>
        </w:rPr>
        <w:t>表示欢迎</w:t>
      </w:r>
      <w:r>
        <w:rPr>
          <w:lang w:val="zh-CN" w:eastAsia="zh-CN"/>
        </w:rPr>
        <w:t>，</w:t>
      </w:r>
      <w:r w:rsidR="007A0925">
        <w:rPr>
          <w:rFonts w:hint="eastAsia"/>
          <w:lang w:val="zh-CN" w:eastAsia="zh-CN"/>
        </w:rPr>
        <w:t>这其中包括</w:t>
      </w:r>
      <w:r>
        <w:rPr>
          <w:lang w:val="zh-CN" w:eastAsia="zh-CN"/>
        </w:rPr>
        <w:t>设立监督处和监察员职能、引入和更新转型信息概览、建立创新中心以及改进运作和财务规划及采购。</w:t>
      </w:r>
      <w:r>
        <w:rPr>
          <w:lang w:eastAsia="zh-CN"/>
        </w:rPr>
        <w:t>有建议认为，</w:t>
      </w:r>
      <w:r>
        <w:rPr>
          <w:lang w:val="zh-CN" w:eastAsia="zh-CN"/>
        </w:rPr>
        <w:t>未来提交理事会的报告</w:t>
      </w:r>
      <w:r>
        <w:rPr>
          <w:lang w:eastAsia="zh-CN"/>
        </w:rPr>
        <w:t>若能提供</w:t>
      </w:r>
      <w:r>
        <w:rPr>
          <w:lang w:val="zh-CN" w:eastAsia="zh-CN"/>
        </w:rPr>
        <w:t>更多的运作细节将</w:t>
      </w:r>
      <w:r>
        <w:rPr>
          <w:lang w:eastAsia="zh-CN"/>
        </w:rPr>
        <w:t>更有助益</w:t>
      </w:r>
      <w:r>
        <w:rPr>
          <w:lang w:val="zh-CN" w:eastAsia="zh-CN"/>
        </w:rPr>
        <w:t>，更明确地承认风险、权衡取舍和挑战将有助于理解这一过程。几位理事强调，有必要制定明确的业绩指标和可衡量的基准，从而超越单纯基于活动的报告，客观跟踪进展情况。了解秘书处如何管理转型活动对核心服务交付的累积影响将是</w:t>
      </w:r>
      <w:r>
        <w:rPr>
          <w:rFonts w:hint="eastAsia"/>
          <w:lang w:val="zh-CN" w:eastAsia="zh-CN"/>
        </w:rPr>
        <w:t>大有裨益</w:t>
      </w:r>
      <w:r>
        <w:rPr>
          <w:lang w:val="zh-CN" w:eastAsia="zh-CN"/>
        </w:rPr>
        <w:t>，</w:t>
      </w:r>
      <w:r>
        <w:rPr>
          <w:lang w:eastAsia="zh-CN"/>
        </w:rPr>
        <w:t>但同时也提醒注意，</w:t>
      </w:r>
      <w:r>
        <w:rPr>
          <w:lang w:val="zh-CN" w:eastAsia="zh-CN"/>
        </w:rPr>
        <w:t>不要不必要地增加秘书处的监督负担。</w:t>
      </w:r>
    </w:p>
    <w:p w14:paraId="62994DD0" w14:textId="0EE70DE5" w:rsidR="00A67613" w:rsidRPr="00F211FA" w:rsidRDefault="00A67613" w:rsidP="00A67613">
      <w:pPr>
        <w:rPr>
          <w:spacing w:val="-2"/>
          <w:lang w:eastAsia="zh-CN"/>
        </w:rPr>
      </w:pPr>
      <w:r>
        <w:rPr>
          <w:lang w:val="zh-CN" w:eastAsia="zh-CN"/>
        </w:rPr>
        <w:t>2.4</w:t>
      </w:r>
      <w:r>
        <w:rPr>
          <w:lang w:val="zh-CN" w:eastAsia="zh-CN"/>
        </w:rPr>
        <w:tab/>
      </w:r>
      <w:r>
        <w:rPr>
          <w:lang w:val="zh-CN" w:eastAsia="zh-CN"/>
        </w:rPr>
        <w:t>几位理事强调，需要可持续地</w:t>
      </w:r>
      <w:r>
        <w:rPr>
          <w:lang w:eastAsia="zh-CN"/>
        </w:rPr>
        <w:t>利</w:t>
      </w:r>
      <w:r>
        <w:rPr>
          <w:lang w:val="zh-CN" w:eastAsia="zh-CN"/>
        </w:rPr>
        <w:t>用资源，以确保长期现代化和</w:t>
      </w:r>
      <w:r>
        <w:rPr>
          <w:lang w:eastAsia="zh-CN"/>
        </w:rPr>
        <w:t>产生长远</w:t>
      </w:r>
      <w:r>
        <w:rPr>
          <w:lang w:val="zh-CN" w:eastAsia="zh-CN"/>
        </w:rPr>
        <w:t>影响，特别是在预算有限的</w:t>
      </w:r>
      <w:r>
        <w:rPr>
          <w:lang w:eastAsia="zh-CN"/>
        </w:rPr>
        <w:t>情况下；</w:t>
      </w:r>
      <w:r>
        <w:rPr>
          <w:lang w:val="zh-CN" w:eastAsia="zh-CN"/>
        </w:rPr>
        <w:t>一位理事建议，应采取措施，促进各局之间采取一致的方法并管理风险，而其他</w:t>
      </w:r>
      <w:r>
        <w:rPr>
          <w:lang w:eastAsia="zh-CN"/>
        </w:rPr>
        <w:t>理事</w:t>
      </w:r>
      <w:r>
        <w:rPr>
          <w:lang w:val="zh-CN" w:eastAsia="zh-CN"/>
        </w:rPr>
        <w:t>则指出，</w:t>
      </w:r>
      <w:r>
        <w:rPr>
          <w:lang w:eastAsia="zh-CN"/>
        </w:rPr>
        <w:t>特别需要应对</w:t>
      </w:r>
      <w:r>
        <w:rPr>
          <w:lang w:val="zh-CN" w:eastAsia="zh-CN"/>
        </w:rPr>
        <w:t>与货币波动相关的风险。</w:t>
      </w:r>
      <w:r>
        <w:rPr>
          <w:lang w:eastAsia="zh-CN"/>
        </w:rPr>
        <w:t>还有</w:t>
      </w:r>
      <w:r>
        <w:rPr>
          <w:lang w:val="zh-CN" w:eastAsia="zh-CN"/>
        </w:rPr>
        <w:t>理事则呼吁</w:t>
      </w:r>
      <w:r>
        <w:rPr>
          <w:rFonts w:hint="eastAsia"/>
          <w:lang w:val="zh-CN" w:eastAsia="zh-CN"/>
        </w:rPr>
        <w:t>，</w:t>
      </w:r>
      <w:r>
        <w:rPr>
          <w:lang w:val="zh-CN" w:eastAsia="zh-CN"/>
        </w:rPr>
        <w:t>在决定如何最好地推进落实工作</w:t>
      </w:r>
      <w:r>
        <w:rPr>
          <w:lang w:eastAsia="zh-CN"/>
        </w:rPr>
        <w:t>时，应给予秘书处</w:t>
      </w:r>
      <w:r>
        <w:rPr>
          <w:lang w:val="zh-CN" w:eastAsia="zh-CN"/>
        </w:rPr>
        <w:t>一定程度的灵活性。</w:t>
      </w:r>
    </w:p>
    <w:p w14:paraId="2E4B1B66" w14:textId="510CBCC4" w:rsidR="00A67613" w:rsidRPr="00BC4508" w:rsidRDefault="00A67613" w:rsidP="00A67613">
      <w:pPr>
        <w:widowControl w:val="0"/>
        <w:rPr>
          <w:lang w:eastAsia="zh-CN"/>
        </w:rPr>
      </w:pPr>
      <w:r>
        <w:rPr>
          <w:lang w:val="zh-CN" w:eastAsia="zh-CN"/>
        </w:rPr>
        <w:t>2.5</w:t>
      </w:r>
      <w:r>
        <w:rPr>
          <w:lang w:val="zh-CN" w:eastAsia="zh-CN"/>
        </w:rPr>
        <w:tab/>
      </w:r>
      <w:r>
        <w:rPr>
          <w:lang w:val="zh-CN" w:eastAsia="zh-CN"/>
        </w:rPr>
        <w:t>虽然利用人工智能提高生产力受到普遍欢迎，但一位理事警告说，人工智能</w:t>
      </w:r>
      <w:r>
        <w:rPr>
          <w:rFonts w:hint="eastAsia"/>
          <w:lang w:val="zh-CN" w:eastAsia="zh-CN"/>
        </w:rPr>
        <w:t>虚构</w:t>
      </w:r>
      <w:r>
        <w:rPr>
          <w:lang w:val="zh-CN" w:eastAsia="zh-CN"/>
        </w:rPr>
        <w:t>等已知问题可能产生潜在后果，并告诫不要在不受监督的情况下使用人工智能。有</w:t>
      </w:r>
      <w:r>
        <w:rPr>
          <w:rFonts w:hint="eastAsia"/>
          <w:lang w:val="zh-CN" w:eastAsia="zh-CN"/>
        </w:rPr>
        <w:t>理事</w:t>
      </w:r>
      <w:r>
        <w:rPr>
          <w:lang w:val="zh-CN" w:eastAsia="zh-CN"/>
        </w:rPr>
        <w:t>表示支持利用</w:t>
      </w:r>
      <w:r>
        <w:rPr>
          <w:lang w:val="zh-CN" w:eastAsia="zh-CN"/>
        </w:rPr>
        <w:t>2025</w:t>
      </w:r>
      <w:r>
        <w:rPr>
          <w:lang w:val="zh-CN" w:eastAsia="zh-CN"/>
        </w:rPr>
        <w:t>年预算的节余来支持人工智能和数字系统所需的额外投资，以及技能发展，以实现业务流程的现代化和简化。</w:t>
      </w:r>
    </w:p>
    <w:p w14:paraId="1266F50B" w14:textId="77777777" w:rsidR="00A67613" w:rsidRPr="00BC4508" w:rsidRDefault="00A67613" w:rsidP="00A67613">
      <w:pPr>
        <w:rPr>
          <w:lang w:eastAsia="zh-CN"/>
        </w:rPr>
      </w:pPr>
      <w:r>
        <w:rPr>
          <w:lang w:val="zh-CN" w:eastAsia="zh-CN"/>
        </w:rPr>
        <w:t>2.6</w:t>
      </w:r>
      <w:r>
        <w:rPr>
          <w:lang w:val="zh-CN" w:eastAsia="zh-CN"/>
        </w:rPr>
        <w:tab/>
      </w:r>
      <w:r>
        <w:rPr>
          <w:lang w:val="zh-CN" w:eastAsia="zh-CN"/>
        </w:rPr>
        <w:t>一些理事对在</w:t>
      </w:r>
      <w:r>
        <w:rPr>
          <w:lang w:val="zh-CN" w:eastAsia="zh-CN"/>
        </w:rPr>
        <w:t>2026</w:t>
      </w:r>
      <w:r>
        <w:rPr>
          <w:lang w:val="zh-CN" w:eastAsia="zh-CN"/>
        </w:rPr>
        <w:t>年全权代表大会（</w:t>
      </w:r>
      <w:r>
        <w:rPr>
          <w:lang w:val="zh-CN" w:eastAsia="zh-CN"/>
        </w:rPr>
        <w:t>PP-26</w:t>
      </w:r>
      <w:r>
        <w:rPr>
          <w:lang w:val="zh-CN" w:eastAsia="zh-CN"/>
        </w:rPr>
        <w:t>）之前推出国际电联新网站的雄心表示欢迎</w:t>
      </w:r>
      <w:r>
        <w:rPr>
          <w:rFonts w:hint="eastAsia"/>
          <w:lang w:val="zh-CN" w:eastAsia="zh-CN"/>
        </w:rPr>
        <w:t>；</w:t>
      </w:r>
      <w:r>
        <w:rPr>
          <w:lang w:val="zh-CN" w:eastAsia="zh-CN"/>
        </w:rPr>
        <w:t>然而，一位理事询问该计划的可行性，另一位理事则敦促采取措施，</w:t>
      </w:r>
      <w:r w:rsidRPr="003C4D90">
        <w:rPr>
          <w:lang w:val="zh-CN" w:eastAsia="zh-CN"/>
        </w:rPr>
        <w:t>确保用户能够继续使用现有平台，并设定适当的过渡期，以便代表能够顺利适应。</w:t>
      </w:r>
    </w:p>
    <w:p w14:paraId="12D36A6F" w14:textId="77777777" w:rsidR="00A67613" w:rsidRPr="00BC4508" w:rsidRDefault="00A67613" w:rsidP="00A67613">
      <w:pPr>
        <w:rPr>
          <w:lang w:eastAsia="zh-CN"/>
        </w:rPr>
      </w:pPr>
      <w:r>
        <w:rPr>
          <w:lang w:val="zh-CN" w:eastAsia="zh-CN"/>
        </w:rPr>
        <w:t>2.7</w:t>
      </w:r>
      <w:r>
        <w:rPr>
          <w:lang w:val="zh-CN" w:eastAsia="zh-CN"/>
        </w:rPr>
        <w:tab/>
      </w:r>
      <w:r>
        <w:rPr>
          <w:lang w:val="zh-CN" w:eastAsia="zh-CN"/>
        </w:rPr>
        <w:t>几位理事表示支持</w:t>
      </w:r>
      <w:r>
        <w:rPr>
          <w:lang w:val="zh-CN" w:eastAsia="zh-CN"/>
        </w:rPr>
        <w:t>C26/82</w:t>
      </w:r>
      <w:r>
        <w:rPr>
          <w:lang w:val="zh-CN" w:eastAsia="zh-CN"/>
        </w:rPr>
        <w:t>号文件中提出的建议，这些建议将加强转型过程中的纪律、问责制和影响力，确保投入的大量人力和财务资源</w:t>
      </w:r>
      <w:r>
        <w:rPr>
          <w:rFonts w:hint="eastAsia"/>
          <w:lang w:val="zh-CN" w:eastAsia="zh-CN"/>
        </w:rPr>
        <w:t>能够真正为</w:t>
      </w:r>
      <w:r>
        <w:rPr>
          <w:lang w:val="zh-CN" w:eastAsia="zh-CN"/>
        </w:rPr>
        <w:t>国际电联及其成员</w:t>
      </w:r>
      <w:r>
        <w:rPr>
          <w:rFonts w:hint="eastAsia"/>
          <w:lang w:val="zh-CN" w:eastAsia="zh-CN"/>
        </w:rPr>
        <w:t>带来改善</w:t>
      </w:r>
      <w:r>
        <w:rPr>
          <w:lang w:val="zh-CN" w:eastAsia="zh-CN"/>
        </w:rPr>
        <w:t>，同时避免</w:t>
      </w:r>
      <w:r>
        <w:rPr>
          <w:lang w:eastAsia="zh-CN"/>
        </w:rPr>
        <w:t>出现</w:t>
      </w:r>
      <w:r>
        <w:rPr>
          <w:lang w:val="zh-CN" w:eastAsia="zh-CN"/>
        </w:rPr>
        <w:t>分裂的风险。一位理事对其中一些建议可能会对资源施加不适当的限制和风险表示关切，暗示内部改革</w:t>
      </w:r>
      <w:r>
        <w:rPr>
          <w:lang w:eastAsia="zh-CN"/>
        </w:rPr>
        <w:t>并非</w:t>
      </w:r>
      <w:r>
        <w:rPr>
          <w:lang w:val="zh-CN" w:eastAsia="zh-CN"/>
        </w:rPr>
        <w:t>优先事项。</w:t>
      </w:r>
    </w:p>
    <w:p w14:paraId="0F24C073" w14:textId="77777777" w:rsidR="007A0925" w:rsidRDefault="00A67613" w:rsidP="00A67613">
      <w:pPr>
        <w:rPr>
          <w:lang w:val="zh-CN" w:eastAsia="zh-CN"/>
        </w:rPr>
      </w:pPr>
      <w:r>
        <w:rPr>
          <w:lang w:val="zh-CN" w:eastAsia="zh-CN"/>
        </w:rPr>
        <w:t>2.8</w:t>
      </w:r>
      <w:r>
        <w:rPr>
          <w:lang w:val="zh-CN" w:eastAsia="zh-CN"/>
        </w:rPr>
        <w:tab/>
      </w:r>
      <w:r w:rsidRPr="00A41C6A">
        <w:rPr>
          <w:lang w:val="zh-CN" w:eastAsia="zh-CN"/>
        </w:rPr>
        <w:t>一位理事</w:t>
      </w:r>
      <w:r>
        <w:rPr>
          <w:lang w:val="zh-CN" w:eastAsia="zh-CN"/>
        </w:rPr>
        <w:t>要求澄清雇用定期职员和顾问的新政策，特别提到</w:t>
      </w:r>
      <w:r>
        <w:rPr>
          <w:rFonts w:hint="eastAsia"/>
          <w:lang w:val="zh-CN" w:eastAsia="zh-CN"/>
        </w:rPr>
        <w:t>应</w:t>
      </w:r>
      <w:r>
        <w:rPr>
          <w:lang w:val="zh-CN" w:eastAsia="zh-CN"/>
        </w:rPr>
        <w:t>避免重复工作和确保问责制</w:t>
      </w:r>
      <w:r>
        <w:rPr>
          <w:lang w:eastAsia="zh-CN"/>
        </w:rPr>
        <w:t>的问题</w:t>
      </w:r>
      <w:r>
        <w:rPr>
          <w:lang w:val="zh-CN" w:eastAsia="zh-CN"/>
        </w:rPr>
        <w:t>，并询问为</w:t>
      </w:r>
      <w:r>
        <w:rPr>
          <w:lang w:eastAsia="zh-CN"/>
        </w:rPr>
        <w:t>明</w:t>
      </w:r>
      <w:r>
        <w:rPr>
          <w:lang w:val="zh-CN" w:eastAsia="zh-CN"/>
        </w:rPr>
        <w:t>确整个国际电联范围内因使用和潜在滥用人工智能所产生后果的责任</w:t>
      </w:r>
      <w:r>
        <w:rPr>
          <w:lang w:eastAsia="zh-CN"/>
        </w:rPr>
        <w:t>归属</w:t>
      </w:r>
      <w:r>
        <w:rPr>
          <w:rFonts w:hint="eastAsia"/>
          <w:lang w:eastAsia="zh-CN"/>
        </w:rPr>
        <w:t>做出了哪些</w:t>
      </w:r>
      <w:r>
        <w:rPr>
          <w:lang w:val="zh-CN" w:eastAsia="zh-CN"/>
        </w:rPr>
        <w:t>努力。</w:t>
      </w:r>
    </w:p>
    <w:p w14:paraId="46552B1A" w14:textId="77777777" w:rsidR="007A0925" w:rsidRDefault="007A0925" w:rsidP="00A67613">
      <w:pPr>
        <w:rPr>
          <w:lang w:val="zh-CN" w:eastAsia="zh-CN"/>
        </w:rPr>
      </w:pPr>
      <w:r>
        <w:rPr>
          <w:rFonts w:hint="eastAsia"/>
          <w:lang w:val="zh-CN" w:eastAsia="zh-CN"/>
        </w:rPr>
        <w:t>2.9</w:t>
      </w:r>
      <w:r>
        <w:rPr>
          <w:lang w:val="zh-CN" w:eastAsia="zh-CN"/>
        </w:rPr>
        <w:tab/>
      </w:r>
      <w:r w:rsidR="00A67613">
        <w:rPr>
          <w:lang w:val="zh-CN" w:eastAsia="zh-CN"/>
        </w:rPr>
        <w:t>其他</w:t>
      </w:r>
      <w:r w:rsidR="00A67613" w:rsidRPr="00A41C6A">
        <w:rPr>
          <w:lang w:val="zh-CN" w:eastAsia="zh-CN"/>
        </w:rPr>
        <w:t>理事</w:t>
      </w:r>
      <w:r w:rsidR="00A67613">
        <w:rPr>
          <w:lang w:val="zh-CN" w:eastAsia="zh-CN"/>
        </w:rPr>
        <w:t>询问是否划拨了足够的资金，以便在</w:t>
      </w:r>
      <w:r w:rsidR="00A67613">
        <w:rPr>
          <w:lang w:val="zh-CN" w:eastAsia="zh-CN"/>
        </w:rPr>
        <w:t>2026</w:t>
      </w:r>
      <w:r w:rsidR="00A67613">
        <w:rPr>
          <w:lang w:val="zh-CN" w:eastAsia="zh-CN"/>
        </w:rPr>
        <w:t>年底前开展转型信息概览上确定的目标活动。</w:t>
      </w:r>
    </w:p>
    <w:p w14:paraId="2AF0DE6F" w14:textId="2D12BC22" w:rsidR="007A0925" w:rsidRDefault="007A0925" w:rsidP="00A67613">
      <w:pPr>
        <w:rPr>
          <w:lang w:eastAsia="zh-CN"/>
        </w:rPr>
      </w:pPr>
      <w:r>
        <w:rPr>
          <w:rFonts w:hint="eastAsia"/>
          <w:lang w:val="zh-CN" w:eastAsia="zh-CN"/>
        </w:rPr>
        <w:t>2.10</w:t>
      </w:r>
      <w:r>
        <w:rPr>
          <w:lang w:val="zh-CN" w:eastAsia="zh-CN"/>
        </w:rPr>
        <w:tab/>
      </w:r>
      <w:r w:rsidR="00A67613">
        <w:rPr>
          <w:lang w:val="zh-CN" w:eastAsia="zh-CN"/>
        </w:rPr>
        <w:t>一位理事强调需要更加关注内部司法系统和</w:t>
      </w:r>
      <w:r w:rsidR="00A67613">
        <w:rPr>
          <w:rFonts w:hint="eastAsia"/>
          <w:lang w:val="zh-CN" w:eastAsia="zh-CN"/>
        </w:rPr>
        <w:t>职员的</w:t>
      </w:r>
      <w:r w:rsidR="00A67613">
        <w:rPr>
          <w:lang w:val="zh-CN" w:eastAsia="zh-CN"/>
        </w:rPr>
        <w:t>福祉，询问包括总秘书处重组在内的转型工作如何为成员和其他利益攸关方带来价值，</w:t>
      </w:r>
      <w:r w:rsidR="00A67613">
        <w:rPr>
          <w:lang w:eastAsia="zh-CN"/>
        </w:rPr>
        <w:t>并要求就监察员职能的活动提交具体报告。</w:t>
      </w:r>
    </w:p>
    <w:p w14:paraId="53A6EA15" w14:textId="1F60D96B" w:rsidR="00A67613" w:rsidRDefault="007A0925" w:rsidP="00A67613">
      <w:pPr>
        <w:rPr>
          <w:lang w:val="zh-CN" w:eastAsia="zh-CN"/>
        </w:rPr>
      </w:pPr>
      <w:r>
        <w:rPr>
          <w:rFonts w:hint="eastAsia"/>
          <w:lang w:eastAsia="zh-CN"/>
        </w:rPr>
        <w:lastRenderedPageBreak/>
        <w:t>2.11</w:t>
      </w:r>
      <w:r>
        <w:rPr>
          <w:lang w:eastAsia="zh-CN"/>
        </w:rPr>
        <w:tab/>
      </w:r>
      <w:r w:rsidR="00A67613">
        <w:rPr>
          <w:lang w:val="zh-CN" w:eastAsia="zh-CN"/>
        </w:rPr>
        <w:t>一位观察员强调，必须及时对转型进程进行独立评估，并由总秘书处进行全面的成本效益分析，特别是考虑到计划在采购和管理的各个方面使用人工智能，以及</w:t>
      </w:r>
      <w:r w:rsidR="00A67613">
        <w:rPr>
          <w:lang w:eastAsia="zh-CN"/>
        </w:rPr>
        <w:t>其中</w:t>
      </w:r>
      <w:r w:rsidR="00A67613">
        <w:rPr>
          <w:lang w:val="zh-CN" w:eastAsia="zh-CN"/>
        </w:rPr>
        <w:t>涉及的潜在网络安全和欺诈风险。</w:t>
      </w:r>
    </w:p>
    <w:p w14:paraId="456F0597" w14:textId="72EF81F6" w:rsidR="00A67613" w:rsidRPr="00BC4508" w:rsidRDefault="00A67613" w:rsidP="00A67613">
      <w:pPr>
        <w:rPr>
          <w:lang w:eastAsia="zh-CN"/>
        </w:rPr>
      </w:pPr>
      <w:r>
        <w:rPr>
          <w:lang w:val="zh-CN" w:eastAsia="zh-CN"/>
        </w:rPr>
        <w:t>2.</w:t>
      </w:r>
      <w:r w:rsidR="007A0925">
        <w:rPr>
          <w:rFonts w:hint="eastAsia"/>
          <w:lang w:val="zh-CN" w:eastAsia="zh-CN"/>
        </w:rPr>
        <w:t>1</w:t>
      </w:r>
      <w:r w:rsidR="00094E04">
        <w:rPr>
          <w:rFonts w:hint="eastAsia"/>
          <w:lang w:val="zh-CN" w:eastAsia="zh-CN"/>
        </w:rPr>
        <w:t>2</w:t>
      </w:r>
      <w:r>
        <w:rPr>
          <w:lang w:val="zh-CN" w:eastAsia="zh-CN"/>
        </w:rPr>
        <w:tab/>
      </w:r>
      <w:r>
        <w:rPr>
          <w:lang w:val="zh-CN" w:eastAsia="zh-CN"/>
        </w:rPr>
        <w:t>转型负责人对讨论期间收到的反馈和</w:t>
      </w:r>
      <w:r>
        <w:rPr>
          <w:lang w:val="zh-CN" w:eastAsia="zh-CN"/>
        </w:rPr>
        <w:t>C26/82</w:t>
      </w:r>
      <w:r>
        <w:rPr>
          <w:lang w:val="zh-CN" w:eastAsia="zh-CN"/>
        </w:rPr>
        <w:t>号文件所载的</w:t>
      </w:r>
      <w:r>
        <w:rPr>
          <w:rFonts w:hint="eastAsia"/>
          <w:lang w:val="zh-CN" w:eastAsia="zh-CN"/>
        </w:rPr>
        <w:t>指引</w:t>
      </w:r>
      <w:r>
        <w:rPr>
          <w:lang w:val="zh-CN" w:eastAsia="zh-CN"/>
        </w:rPr>
        <w:t>表示欢迎。自</w:t>
      </w:r>
      <w:r>
        <w:rPr>
          <w:lang w:val="zh-CN" w:eastAsia="zh-CN"/>
        </w:rPr>
        <w:t>2023</w:t>
      </w:r>
      <w:r>
        <w:rPr>
          <w:lang w:val="zh-CN" w:eastAsia="zh-CN"/>
        </w:rPr>
        <w:t>年转型进程开始以来，转型过程中团队和方法的变化不仅反映了适应和学习的愿望，也反映了外部发展</w:t>
      </w:r>
      <w:r>
        <w:rPr>
          <w:lang w:eastAsia="zh-CN"/>
        </w:rPr>
        <w:t>态势</w:t>
      </w:r>
      <w:r>
        <w:rPr>
          <w:lang w:val="zh-CN" w:eastAsia="zh-CN"/>
        </w:rPr>
        <w:t>，如人工智能技术</w:t>
      </w:r>
      <w:r>
        <w:rPr>
          <w:lang w:eastAsia="zh-CN"/>
        </w:rPr>
        <w:t>取得的</w:t>
      </w:r>
      <w:r>
        <w:rPr>
          <w:lang w:val="zh-CN" w:eastAsia="zh-CN"/>
        </w:rPr>
        <w:t>前所未有的进步。</w:t>
      </w:r>
      <w:r>
        <w:rPr>
          <w:lang w:eastAsia="zh-CN"/>
        </w:rPr>
        <w:t>目前</w:t>
      </w:r>
      <w:r>
        <w:rPr>
          <w:lang w:val="zh-CN" w:eastAsia="zh-CN"/>
        </w:rPr>
        <w:t>正在努力确保稳定性和领导力，</w:t>
      </w:r>
      <w:r>
        <w:rPr>
          <w:lang w:eastAsia="zh-CN"/>
        </w:rPr>
        <w:t>重点在于保持一致性、确定优先级并避免工作分散。</w:t>
      </w:r>
      <w:r>
        <w:rPr>
          <w:lang w:val="zh-CN" w:eastAsia="zh-CN"/>
        </w:rPr>
        <w:t>转型</w:t>
      </w:r>
      <w:r>
        <w:rPr>
          <w:rFonts w:hint="eastAsia"/>
          <w:lang w:val="zh-CN" w:eastAsia="zh-CN"/>
        </w:rPr>
        <w:t>团队</w:t>
      </w:r>
      <w:r>
        <w:rPr>
          <w:lang w:val="zh-CN" w:eastAsia="zh-CN"/>
        </w:rPr>
        <w:t>正在与其他部门密切合作，使其活动与国际电联的运作和战略规划保持一致，并完善其报告方法。使用</w:t>
      </w:r>
      <w:r>
        <w:rPr>
          <w:lang w:val="zh-CN" w:eastAsia="zh-CN"/>
        </w:rPr>
        <w:t>KPI</w:t>
      </w:r>
      <w:r>
        <w:rPr>
          <w:lang w:val="zh-CN" w:eastAsia="zh-CN"/>
        </w:rPr>
        <w:t>进行的影响</w:t>
      </w:r>
      <w:r>
        <w:rPr>
          <w:rFonts w:hint="eastAsia"/>
          <w:lang w:val="zh-CN" w:eastAsia="zh-CN"/>
        </w:rPr>
        <w:t>力</w:t>
      </w:r>
      <w:r>
        <w:rPr>
          <w:lang w:val="zh-CN" w:eastAsia="zh-CN"/>
        </w:rPr>
        <w:t>衡量正在各个层面进行整合，随着转型进程的继续，该团队将努力进一步改进其报告，包括考虑纳入风险评估考虑因素的建议。制定了人工智能使用导则，并</w:t>
      </w:r>
      <w:r>
        <w:rPr>
          <w:lang w:eastAsia="zh-CN"/>
        </w:rPr>
        <w:t>计划编制</w:t>
      </w:r>
      <w:r>
        <w:rPr>
          <w:lang w:val="zh-CN" w:eastAsia="zh-CN"/>
        </w:rPr>
        <w:t>快速参考资料。所有</w:t>
      </w:r>
      <w:r>
        <w:rPr>
          <w:rFonts w:hint="eastAsia"/>
          <w:lang w:val="zh-CN" w:eastAsia="zh-CN"/>
        </w:rPr>
        <w:t>职员</w:t>
      </w:r>
      <w:r>
        <w:rPr>
          <w:lang w:val="zh-CN" w:eastAsia="zh-CN"/>
        </w:rPr>
        <w:t>都获得了在其计算机上访问嵌入式人工智能的许可。</w:t>
      </w:r>
      <w:r>
        <w:rPr>
          <w:lang w:eastAsia="zh-CN"/>
        </w:rPr>
        <w:t>未来数月内将开展相关培训</w:t>
      </w:r>
      <w:r>
        <w:rPr>
          <w:rFonts w:ascii="SimSun" w:hAnsi="SimSun" w:cs="SimSun" w:hint="eastAsia"/>
          <w:lang w:eastAsia="zh-CN"/>
        </w:rPr>
        <w:t>。</w:t>
      </w:r>
    </w:p>
    <w:p w14:paraId="4F364327" w14:textId="2F97048C" w:rsidR="00A67613" w:rsidRPr="00BC4508" w:rsidRDefault="00A67613" w:rsidP="00A67613">
      <w:pPr>
        <w:rPr>
          <w:lang w:eastAsia="zh-CN"/>
        </w:rPr>
      </w:pPr>
      <w:r>
        <w:rPr>
          <w:lang w:val="zh-CN" w:eastAsia="zh-CN"/>
        </w:rPr>
        <w:t>2.1</w:t>
      </w:r>
      <w:r w:rsidR="00094E04">
        <w:rPr>
          <w:rFonts w:hint="eastAsia"/>
          <w:lang w:val="zh-CN" w:eastAsia="zh-CN"/>
        </w:rPr>
        <w:t>3</w:t>
      </w:r>
      <w:r>
        <w:rPr>
          <w:lang w:val="zh-CN" w:eastAsia="zh-CN"/>
        </w:rPr>
        <w:tab/>
        <w:t>HRMD</w:t>
      </w:r>
      <w:r>
        <w:rPr>
          <w:lang w:val="zh-CN" w:eastAsia="zh-CN"/>
        </w:rPr>
        <w:t>主任说，聘用顾问的政策包含一些保障措施，以确保顾问用于满足短期、</w:t>
      </w:r>
      <w:r>
        <w:rPr>
          <w:lang w:eastAsia="zh-CN"/>
        </w:rPr>
        <w:t>以</w:t>
      </w:r>
      <w:r>
        <w:rPr>
          <w:rFonts w:hint="eastAsia"/>
          <w:lang w:val="zh-CN" w:eastAsia="zh-CN"/>
        </w:rPr>
        <w:t>可交付</w:t>
      </w:r>
      <w:r>
        <w:rPr>
          <w:lang w:val="zh-CN" w:eastAsia="zh-CN"/>
        </w:rPr>
        <w:t>成果</w:t>
      </w:r>
      <w:r>
        <w:rPr>
          <w:lang w:eastAsia="zh-CN"/>
        </w:rPr>
        <w:t>为导向</w:t>
      </w:r>
      <w:r>
        <w:rPr>
          <w:lang w:val="zh-CN" w:eastAsia="zh-CN"/>
        </w:rPr>
        <w:t>的需求，且不履行职员职能。</w:t>
      </w:r>
      <w:r>
        <w:rPr>
          <w:lang w:eastAsia="zh-CN"/>
        </w:rPr>
        <w:t>该政策</w:t>
      </w:r>
      <w:r>
        <w:rPr>
          <w:lang w:val="zh-CN" w:eastAsia="zh-CN"/>
        </w:rPr>
        <w:t>还规定</w:t>
      </w:r>
      <w:r>
        <w:rPr>
          <w:lang w:eastAsia="zh-CN"/>
        </w:rPr>
        <w:t>由</w:t>
      </w:r>
      <w:r>
        <w:rPr>
          <w:lang w:val="zh-CN" w:eastAsia="zh-CN"/>
        </w:rPr>
        <w:t>管理人员进行绩效评估，</w:t>
      </w:r>
      <w:r>
        <w:rPr>
          <w:lang w:eastAsia="zh-CN"/>
        </w:rPr>
        <w:t>只有在</w:t>
      </w:r>
      <w:r>
        <w:rPr>
          <w:lang w:val="zh-CN" w:eastAsia="zh-CN"/>
        </w:rPr>
        <w:t>管理人员确认输出成果已圆满完成</w:t>
      </w:r>
      <w:r>
        <w:rPr>
          <w:lang w:eastAsia="zh-CN"/>
        </w:rPr>
        <w:t>之后，方可支付报酬。</w:t>
      </w:r>
      <w:r>
        <w:rPr>
          <w:lang w:val="zh-CN" w:eastAsia="zh-CN"/>
        </w:rPr>
        <w:t>HRMD</w:t>
      </w:r>
      <w:r>
        <w:rPr>
          <w:lang w:val="zh-CN" w:eastAsia="zh-CN"/>
        </w:rPr>
        <w:t>负责监督这一</w:t>
      </w:r>
      <w:r>
        <w:rPr>
          <w:lang w:eastAsia="zh-CN"/>
        </w:rPr>
        <w:t>流程</w:t>
      </w:r>
      <w:r>
        <w:rPr>
          <w:rFonts w:ascii="SimSun" w:hAnsi="SimSun" w:cs="SimSun" w:hint="eastAsia"/>
          <w:lang w:eastAsia="zh-CN"/>
        </w:rPr>
        <w:t>。</w:t>
      </w:r>
    </w:p>
    <w:p w14:paraId="6FBB0C14" w14:textId="518A028E" w:rsidR="00A67613" w:rsidRPr="00BC4508" w:rsidRDefault="00A67613" w:rsidP="00A67613">
      <w:pPr>
        <w:rPr>
          <w:lang w:eastAsia="zh-CN"/>
        </w:rPr>
      </w:pPr>
      <w:r>
        <w:rPr>
          <w:lang w:val="zh-CN" w:eastAsia="zh-CN"/>
        </w:rPr>
        <w:t>2.1</w:t>
      </w:r>
      <w:r w:rsidR="00094E04">
        <w:rPr>
          <w:rFonts w:hint="eastAsia"/>
          <w:lang w:val="zh-CN" w:eastAsia="zh-CN"/>
        </w:rPr>
        <w:t>4</w:t>
      </w:r>
      <w:r>
        <w:rPr>
          <w:lang w:val="zh-CN" w:eastAsia="zh-CN"/>
        </w:rPr>
        <w:tab/>
      </w:r>
      <w:r>
        <w:rPr>
          <w:lang w:val="zh-CN" w:eastAsia="zh-CN"/>
        </w:rPr>
        <w:t>理事会</w:t>
      </w:r>
      <w:r w:rsidRPr="0024221C">
        <w:rPr>
          <w:b/>
          <w:bCs/>
          <w:lang w:val="zh-CN" w:eastAsia="zh-CN"/>
        </w:rPr>
        <w:t>注意到</w:t>
      </w:r>
      <w:r>
        <w:rPr>
          <w:lang w:val="zh-CN" w:eastAsia="zh-CN"/>
        </w:rPr>
        <w:t>迄今为止取得的进展，将</w:t>
      </w:r>
      <w:r>
        <w:rPr>
          <w:lang w:val="zh-CN" w:eastAsia="zh-CN"/>
        </w:rPr>
        <w:t>C26/82</w:t>
      </w:r>
      <w:r>
        <w:rPr>
          <w:lang w:val="zh-CN" w:eastAsia="zh-CN"/>
        </w:rPr>
        <w:t>号文件中提出的建议</w:t>
      </w:r>
      <w:r w:rsidRPr="0024221C">
        <w:rPr>
          <w:b/>
          <w:bCs/>
          <w:lang w:val="zh-CN" w:eastAsia="zh-CN"/>
        </w:rPr>
        <w:t>记录在案</w:t>
      </w:r>
      <w:r>
        <w:rPr>
          <w:lang w:val="zh-CN" w:eastAsia="zh-CN"/>
        </w:rPr>
        <w:t>，并</w:t>
      </w:r>
      <w:r w:rsidRPr="0024221C">
        <w:rPr>
          <w:b/>
          <w:bCs/>
          <w:lang w:val="zh-CN" w:eastAsia="zh-CN"/>
        </w:rPr>
        <w:t>请</w:t>
      </w:r>
      <w:r>
        <w:rPr>
          <w:lang w:val="zh-CN" w:eastAsia="zh-CN"/>
        </w:rPr>
        <w:t>秘书处</w:t>
      </w:r>
      <w:r w:rsidRPr="0024221C">
        <w:rPr>
          <w:lang w:val="zh-CN" w:eastAsia="zh-CN"/>
        </w:rPr>
        <w:t>在</w:t>
      </w:r>
      <w:r w:rsidRPr="0024221C">
        <w:rPr>
          <w:lang w:val="zh-CN" w:eastAsia="zh-CN"/>
        </w:rPr>
        <w:t>2026</w:t>
      </w:r>
      <w:r w:rsidRPr="0024221C">
        <w:rPr>
          <w:lang w:val="zh-CN" w:eastAsia="zh-CN"/>
        </w:rPr>
        <w:t>年实施工作推进过程中，继续通过</w:t>
      </w:r>
      <w:r>
        <w:rPr>
          <w:lang w:val="zh-CN" w:eastAsia="zh-CN"/>
        </w:rPr>
        <w:t>转型仪表板</w:t>
      </w:r>
      <w:r w:rsidRPr="0024221C">
        <w:rPr>
          <w:lang w:val="zh-CN" w:eastAsia="zh-CN"/>
        </w:rPr>
        <w:t>提交报告。</w:t>
      </w:r>
    </w:p>
    <w:p w14:paraId="75CB3E18" w14:textId="77777777" w:rsidR="00A67613" w:rsidRPr="00BC4508" w:rsidRDefault="00A67613" w:rsidP="00A67613">
      <w:pPr>
        <w:pStyle w:val="Heading1"/>
        <w:rPr>
          <w:lang w:eastAsia="zh-CN"/>
        </w:rPr>
      </w:pPr>
      <w:r>
        <w:rPr>
          <w:bCs/>
          <w:lang w:val="zh-CN" w:eastAsia="zh-CN"/>
        </w:rPr>
        <w:t>3</w:t>
      </w:r>
      <w:r>
        <w:rPr>
          <w:lang w:val="zh-CN" w:eastAsia="zh-CN"/>
        </w:rPr>
        <w:tab/>
      </w:r>
      <w:r w:rsidRPr="005D22FB">
        <w:rPr>
          <w:lang w:val="zh-CN" w:eastAsia="zh-CN"/>
        </w:rPr>
        <w:t>关于</w:t>
      </w:r>
      <w:r w:rsidRPr="005D22FB">
        <w:rPr>
          <w:lang w:val="zh-CN" w:eastAsia="zh-CN"/>
        </w:rPr>
        <w:t>2022-2025</w:t>
      </w:r>
      <w:r w:rsidRPr="005D22FB">
        <w:rPr>
          <w:lang w:val="zh-CN" w:eastAsia="zh-CN"/>
        </w:rPr>
        <w:t>年国际电联战略规划的落实和所开展活动的报告</w:t>
      </w:r>
      <w:r>
        <w:rPr>
          <w:lang w:val="zh-CN" w:eastAsia="zh-CN"/>
        </w:rPr>
        <w:t>（</w:t>
      </w:r>
      <w:hyperlink r:id="rId19" w:history="1">
        <w:r w:rsidRPr="00BC4508">
          <w:rPr>
            <w:rStyle w:val="Hyperlink"/>
            <w:rFonts w:eastAsia="SimSun"/>
            <w:lang w:eastAsia="zh-CN"/>
          </w:rPr>
          <w:t>C26/35</w:t>
        </w:r>
      </w:hyperlink>
      <w:r>
        <w:rPr>
          <w:lang w:val="zh-CN" w:eastAsia="zh-CN"/>
        </w:rPr>
        <w:t>号文件）</w:t>
      </w:r>
      <w:hyperlink r:id="rId20" w:history="1"/>
    </w:p>
    <w:p w14:paraId="111A0F0A" w14:textId="77777777" w:rsidR="00A67613" w:rsidRPr="00BC4508" w:rsidRDefault="00A67613" w:rsidP="00A67613">
      <w:pPr>
        <w:rPr>
          <w:lang w:eastAsia="zh-CN"/>
        </w:rPr>
      </w:pPr>
      <w:r>
        <w:rPr>
          <w:lang w:val="zh-CN" w:eastAsia="zh-CN"/>
        </w:rPr>
        <w:t>3.1</w:t>
      </w:r>
      <w:r>
        <w:rPr>
          <w:lang w:val="zh-CN" w:eastAsia="zh-CN"/>
        </w:rPr>
        <w:tab/>
      </w:r>
      <w:r>
        <w:rPr>
          <w:lang w:val="zh-CN" w:eastAsia="zh-CN"/>
        </w:rPr>
        <w:t>副秘书长介绍了</w:t>
      </w:r>
      <w:r>
        <w:rPr>
          <w:lang w:val="zh-CN" w:eastAsia="zh-CN"/>
        </w:rPr>
        <w:t>C26/35</w:t>
      </w:r>
      <w:r>
        <w:rPr>
          <w:lang w:val="zh-CN" w:eastAsia="zh-CN"/>
        </w:rPr>
        <w:t>号文件，其中载有关于</w:t>
      </w:r>
      <w:r>
        <w:rPr>
          <w:lang w:val="zh-CN" w:eastAsia="zh-CN"/>
        </w:rPr>
        <w:t>2022</w:t>
      </w:r>
      <w:r>
        <w:rPr>
          <w:lang w:val="zh-CN" w:eastAsia="zh-CN"/>
        </w:rPr>
        <w:t>年</w:t>
      </w:r>
      <w:r>
        <w:rPr>
          <w:lang w:val="zh-CN" w:eastAsia="zh-CN"/>
        </w:rPr>
        <w:t>10</w:t>
      </w:r>
      <w:r>
        <w:rPr>
          <w:lang w:val="zh-CN" w:eastAsia="zh-CN"/>
        </w:rPr>
        <w:t>月至</w:t>
      </w:r>
      <w:r>
        <w:rPr>
          <w:lang w:val="zh-CN" w:eastAsia="zh-CN"/>
        </w:rPr>
        <w:t>2026</w:t>
      </w:r>
      <w:r>
        <w:rPr>
          <w:lang w:val="zh-CN" w:eastAsia="zh-CN"/>
        </w:rPr>
        <w:t>年</w:t>
      </w:r>
      <w:r>
        <w:rPr>
          <w:lang w:val="zh-CN" w:eastAsia="zh-CN"/>
        </w:rPr>
        <w:t>3</w:t>
      </w:r>
      <w:r>
        <w:rPr>
          <w:lang w:val="zh-CN" w:eastAsia="zh-CN"/>
        </w:rPr>
        <w:t>月国际电联战略规划落实情况和活动的综合报告，这些报告将在提交给</w:t>
      </w:r>
      <w:r>
        <w:rPr>
          <w:lang w:val="zh-CN" w:eastAsia="zh-CN"/>
        </w:rPr>
        <w:t>PP-26</w:t>
      </w:r>
      <w:r>
        <w:rPr>
          <w:lang w:val="zh-CN" w:eastAsia="zh-CN"/>
        </w:rPr>
        <w:t>之前进行更新。</w:t>
      </w:r>
      <w:r>
        <w:rPr>
          <w:lang w:eastAsia="zh-CN"/>
        </w:rPr>
        <w:t>该报告还辅以两个网络平台，</w:t>
      </w:r>
      <w:r>
        <w:rPr>
          <w:lang w:val="zh-CN" w:eastAsia="zh-CN"/>
        </w:rPr>
        <w:t>分别提供了关于全权代表大会各项决议落实情况和实现战略规划所定目标的进展情况的信息。</w:t>
      </w:r>
    </w:p>
    <w:p w14:paraId="2FBFB0E6" w14:textId="77777777" w:rsidR="00A67613" w:rsidRPr="00BC4508" w:rsidRDefault="00A67613" w:rsidP="00A67613">
      <w:pPr>
        <w:rPr>
          <w:lang w:eastAsia="zh-CN"/>
        </w:rPr>
      </w:pPr>
      <w:r>
        <w:rPr>
          <w:lang w:val="zh-CN" w:eastAsia="zh-CN"/>
        </w:rPr>
        <w:t>3.2</w:t>
      </w:r>
      <w:r>
        <w:rPr>
          <w:lang w:val="zh-CN" w:eastAsia="zh-CN"/>
        </w:rPr>
        <w:tab/>
      </w:r>
      <w:r>
        <w:rPr>
          <w:lang w:val="zh-CN" w:eastAsia="zh-CN"/>
        </w:rPr>
        <w:t>尽管低收入国家的电信成本仍然高得不成比例，而且在数字接入方面仍然存在巨大的结构性鸿沟，但国际电联在实现普遍连接和提高电信价格可承受性的目标方面取得了进展。根据在本报告所述期间举行的法定大会上</w:t>
      </w:r>
      <w:r>
        <w:rPr>
          <w:lang w:eastAsia="zh-CN"/>
        </w:rPr>
        <w:t>所勾勒</w:t>
      </w:r>
      <w:r>
        <w:rPr>
          <w:lang w:val="zh-CN" w:eastAsia="zh-CN"/>
        </w:rPr>
        <w:t>的愿景，国际电联支持学校连通性、网络安全就绪、灾害管理和早期预警系统、电子废弃物、标准制定、</w:t>
      </w:r>
      <w:r>
        <w:rPr>
          <w:lang w:val="zh-CN" w:eastAsia="zh-CN"/>
        </w:rPr>
        <w:t>6G</w:t>
      </w:r>
      <w:r>
        <w:rPr>
          <w:lang w:val="zh-CN" w:eastAsia="zh-CN"/>
        </w:rPr>
        <w:t>网络准备、量子技术和人工智能</w:t>
      </w:r>
      <w:r>
        <w:rPr>
          <w:lang w:eastAsia="zh-CN"/>
        </w:rPr>
        <w:t>应用等领域</w:t>
      </w:r>
      <w:r>
        <w:rPr>
          <w:rFonts w:hint="eastAsia"/>
          <w:lang w:eastAsia="zh-CN"/>
        </w:rPr>
        <w:t>的</w:t>
      </w:r>
      <w:r>
        <w:rPr>
          <w:lang w:val="zh-CN" w:eastAsia="zh-CN"/>
        </w:rPr>
        <w:t>发展。</w:t>
      </w:r>
      <w:r>
        <w:rPr>
          <w:lang w:eastAsia="zh-CN"/>
        </w:rPr>
        <w:t>国际电联</w:t>
      </w:r>
      <w:r>
        <w:rPr>
          <w:lang w:val="zh-CN" w:eastAsia="zh-CN"/>
        </w:rPr>
        <w:t>还通过发布旗舰报告和诸如国际电联学院等举措促进了知识共享。此外，国际电联的成员数量显著增加，其全球平台</w:t>
      </w:r>
      <w:r>
        <w:rPr>
          <w:lang w:eastAsia="zh-CN"/>
        </w:rPr>
        <w:t>始终</w:t>
      </w:r>
      <w:r>
        <w:rPr>
          <w:lang w:val="zh-CN" w:eastAsia="zh-CN"/>
        </w:rPr>
        <w:t>是国际组织和成员国共同努力克服挑战并抓住各个领域机遇的重要汇聚点。</w:t>
      </w:r>
    </w:p>
    <w:p w14:paraId="67F23F38" w14:textId="77777777" w:rsidR="00A67613" w:rsidRPr="00BC4508" w:rsidRDefault="00A67613" w:rsidP="00A67613">
      <w:pPr>
        <w:rPr>
          <w:lang w:eastAsia="zh-CN"/>
        </w:rPr>
      </w:pPr>
      <w:r>
        <w:rPr>
          <w:lang w:val="zh-CN" w:eastAsia="zh-CN"/>
        </w:rPr>
        <w:t>3.3</w:t>
      </w:r>
      <w:r>
        <w:rPr>
          <w:lang w:val="zh-CN" w:eastAsia="zh-CN"/>
        </w:rPr>
        <w:tab/>
      </w:r>
      <w:r>
        <w:rPr>
          <w:lang w:val="zh-CN" w:eastAsia="zh-CN"/>
        </w:rPr>
        <w:t>为</w:t>
      </w:r>
      <w:r>
        <w:rPr>
          <w:lang w:eastAsia="zh-CN"/>
        </w:rPr>
        <w:t>应对</w:t>
      </w:r>
      <w:r>
        <w:rPr>
          <w:lang w:val="zh-CN" w:eastAsia="zh-CN"/>
        </w:rPr>
        <w:t>未来，秘书处已将</w:t>
      </w:r>
      <w:r>
        <w:rPr>
          <w:lang w:eastAsia="zh-CN"/>
        </w:rPr>
        <w:t>工作</w:t>
      </w:r>
      <w:r>
        <w:rPr>
          <w:lang w:val="zh-CN" w:eastAsia="zh-CN"/>
        </w:rPr>
        <w:t>重点转移到确保国际电联内部</w:t>
      </w:r>
      <w:r>
        <w:rPr>
          <w:lang w:eastAsia="zh-CN"/>
        </w:rPr>
        <w:t>实力雄厚，具体措施包括：</w:t>
      </w:r>
      <w:r>
        <w:rPr>
          <w:lang w:val="zh-CN" w:eastAsia="zh-CN"/>
        </w:rPr>
        <w:t>改善财务管理、加强监督、制定新的运作规划</w:t>
      </w:r>
      <w:r>
        <w:rPr>
          <w:rFonts w:hint="eastAsia"/>
          <w:lang w:val="zh-CN" w:eastAsia="zh-CN"/>
        </w:rPr>
        <w:t>流程</w:t>
      </w:r>
      <w:r>
        <w:rPr>
          <w:lang w:val="zh-CN" w:eastAsia="zh-CN"/>
        </w:rPr>
        <w:t>和新的资源筹措战略以及提高效率。</w:t>
      </w:r>
    </w:p>
    <w:p w14:paraId="5370351D" w14:textId="77777777" w:rsidR="00A67613" w:rsidRPr="00BC4508" w:rsidRDefault="00A67613" w:rsidP="00A67613">
      <w:pPr>
        <w:rPr>
          <w:lang w:eastAsia="zh-CN"/>
        </w:rPr>
      </w:pPr>
      <w:r>
        <w:rPr>
          <w:lang w:val="zh-CN" w:eastAsia="zh-CN"/>
        </w:rPr>
        <w:t>3.4</w:t>
      </w:r>
      <w:r>
        <w:rPr>
          <w:lang w:val="zh-CN" w:eastAsia="zh-CN"/>
        </w:rPr>
        <w:tab/>
      </w:r>
      <w:r>
        <w:rPr>
          <w:lang w:val="zh-CN" w:eastAsia="zh-CN"/>
        </w:rPr>
        <w:t>理事们对报告表示赞赏，并</w:t>
      </w:r>
      <w:r>
        <w:rPr>
          <w:rFonts w:hint="eastAsia"/>
          <w:lang w:val="zh-CN" w:eastAsia="zh-CN"/>
        </w:rPr>
        <w:t>赞扬了</w:t>
      </w:r>
      <w:r>
        <w:rPr>
          <w:lang w:val="zh-CN" w:eastAsia="zh-CN"/>
        </w:rPr>
        <w:t>报告期内取得的进展。然而，一些理事指出，数字鸿沟持续存在，并呼吁加强国际合作，加强伙伴关系，持续支持能力建设，以实现普遍连接。两位理事请秘书处在报告中纳入有关落实当前战略规划面临的挑战以及克服</w:t>
      </w:r>
      <w:r>
        <w:rPr>
          <w:rFonts w:hint="eastAsia"/>
          <w:lang w:val="zh-CN" w:eastAsia="zh-CN"/>
        </w:rPr>
        <w:t>这些</w:t>
      </w:r>
      <w:r>
        <w:rPr>
          <w:lang w:val="zh-CN" w:eastAsia="zh-CN"/>
        </w:rPr>
        <w:t>挑战的战略的信息。</w:t>
      </w:r>
    </w:p>
    <w:p w14:paraId="12B27759" w14:textId="77777777" w:rsidR="00A67613" w:rsidRPr="00BC4508" w:rsidRDefault="00A67613" w:rsidP="00A67613">
      <w:pPr>
        <w:rPr>
          <w:lang w:eastAsia="zh-CN"/>
        </w:rPr>
      </w:pPr>
      <w:r>
        <w:rPr>
          <w:lang w:val="zh-CN" w:eastAsia="zh-CN"/>
        </w:rPr>
        <w:lastRenderedPageBreak/>
        <w:t>3.5</w:t>
      </w:r>
      <w:r>
        <w:rPr>
          <w:lang w:val="zh-CN" w:eastAsia="zh-CN"/>
        </w:rPr>
        <w:tab/>
      </w:r>
      <w:r>
        <w:rPr>
          <w:lang w:val="zh-CN" w:eastAsia="zh-CN"/>
        </w:rPr>
        <w:t>一位理事特别赞赏国际电联高度重视发展举措，例如</w:t>
      </w:r>
      <w:r>
        <w:rPr>
          <w:lang w:val="zh-CN" w:eastAsia="zh-CN"/>
        </w:rPr>
        <w:t>Partner2Connect</w:t>
      </w:r>
      <w:r>
        <w:rPr>
          <w:lang w:val="zh-CN" w:eastAsia="zh-CN"/>
        </w:rPr>
        <w:t>数字联盟、</w:t>
      </w:r>
      <w:r>
        <w:rPr>
          <w:lang w:val="zh-CN" w:eastAsia="zh-CN"/>
        </w:rPr>
        <w:t>Giga</w:t>
      </w:r>
      <w:r>
        <w:rPr>
          <w:lang w:val="zh-CN" w:eastAsia="zh-CN"/>
        </w:rPr>
        <w:t>举措和数字化转型中心，这些举措</w:t>
      </w:r>
      <w:r>
        <w:rPr>
          <w:rFonts w:hint="eastAsia"/>
          <w:lang w:val="zh-CN" w:eastAsia="zh-CN"/>
        </w:rPr>
        <w:t>推</w:t>
      </w:r>
      <w:r>
        <w:rPr>
          <w:lang w:val="zh-CN" w:eastAsia="zh-CN"/>
        </w:rPr>
        <w:t>进了国家数字化转型。这位理事还赞扬了与人工智能等新兴技术有关的活动，同时强调必须以包容和务实的方式管理这些技术，以满足所有成员国的需求。另一位理事呼吁加大对非洲成员国建设网络安全</w:t>
      </w:r>
      <w:r w:rsidRPr="007375EC">
        <w:rPr>
          <w:lang w:val="zh-CN" w:eastAsia="zh-CN"/>
        </w:rPr>
        <w:t>运营</w:t>
      </w:r>
      <w:r>
        <w:rPr>
          <w:lang w:val="zh-CN" w:eastAsia="zh-CN"/>
        </w:rPr>
        <w:t>能力的支持力度。第三位理事注意到提交信息通信技术（</w:t>
      </w:r>
      <w:r>
        <w:rPr>
          <w:lang w:val="zh-CN" w:eastAsia="zh-CN"/>
        </w:rPr>
        <w:t>ICT</w:t>
      </w:r>
      <w:r>
        <w:rPr>
          <w:lang w:val="zh-CN" w:eastAsia="zh-CN"/>
        </w:rPr>
        <w:t>）技能水平数据的国家比例很低，因此呼吁在报告方面提供更多</w:t>
      </w:r>
      <w:r w:rsidRPr="007375EC">
        <w:rPr>
          <w:lang w:val="zh-CN" w:eastAsia="zh-CN"/>
        </w:rPr>
        <w:t>协助。</w:t>
      </w:r>
    </w:p>
    <w:p w14:paraId="639954B1" w14:textId="77777777" w:rsidR="00A67613" w:rsidRPr="005C72B9" w:rsidRDefault="00A67613" w:rsidP="00A67613">
      <w:pPr>
        <w:rPr>
          <w:spacing w:val="-3"/>
          <w:lang w:eastAsia="zh-CN"/>
        </w:rPr>
      </w:pPr>
      <w:r>
        <w:rPr>
          <w:lang w:val="zh-CN" w:eastAsia="zh-CN"/>
        </w:rPr>
        <w:t>3.6</w:t>
      </w:r>
      <w:r>
        <w:rPr>
          <w:lang w:val="zh-CN" w:eastAsia="zh-CN"/>
        </w:rPr>
        <w:tab/>
      </w:r>
      <w:r>
        <w:rPr>
          <w:lang w:val="zh-CN" w:eastAsia="zh-CN"/>
        </w:rPr>
        <w:t>几位理事对在提高治理透明度、财务效率和机构效率方面取得的进展表示欢迎，并呼吁继续为此做出努力。一些理事呼吁继续确定活动的轻重缓急，重点</w:t>
      </w:r>
      <w:r>
        <w:rPr>
          <w:rFonts w:hint="eastAsia"/>
          <w:lang w:val="zh-CN" w:eastAsia="zh-CN"/>
        </w:rPr>
        <w:t>关注</w:t>
      </w:r>
      <w:r>
        <w:rPr>
          <w:lang w:val="zh-CN" w:eastAsia="zh-CN"/>
        </w:rPr>
        <w:t>及时落实</w:t>
      </w:r>
      <w:r>
        <w:rPr>
          <w:lang w:eastAsia="zh-CN"/>
        </w:rPr>
        <w:t>并产生</w:t>
      </w:r>
      <w:r>
        <w:rPr>
          <w:lang w:val="zh-CN" w:eastAsia="zh-CN"/>
        </w:rPr>
        <w:t>可衡量的影响，以确保国际电联履行职责。两位理事强调了充分的指标和目标对普遍连接和数字化转型的重要性，并鼓励在这方面进一步开展工作。一位理事特别呼吁按区域</w:t>
      </w:r>
      <w:r>
        <w:rPr>
          <w:rFonts w:hint="eastAsia"/>
          <w:lang w:val="zh-CN" w:eastAsia="zh-CN"/>
        </w:rPr>
        <w:t>对</w:t>
      </w:r>
      <w:r>
        <w:rPr>
          <w:lang w:val="zh-CN" w:eastAsia="zh-CN"/>
        </w:rPr>
        <w:t>此类指标</w:t>
      </w:r>
      <w:r>
        <w:rPr>
          <w:rFonts w:hint="eastAsia"/>
          <w:lang w:val="zh-CN" w:eastAsia="zh-CN"/>
        </w:rPr>
        <w:t>进行</w:t>
      </w:r>
      <w:r>
        <w:rPr>
          <w:lang w:val="zh-CN" w:eastAsia="zh-CN"/>
        </w:rPr>
        <w:t>分类，以免掩盖非洲的结构性差距。另一位理事鼓励进一步使用基于结果的管理和基于绩效的报告</w:t>
      </w:r>
      <w:r>
        <w:rPr>
          <w:lang w:eastAsia="zh-CN"/>
        </w:rPr>
        <w:t>机制</w:t>
      </w:r>
      <w:r>
        <w:rPr>
          <w:lang w:val="zh-CN" w:eastAsia="zh-CN"/>
        </w:rPr>
        <w:t>，将输出成果与战略规划的结果框架</w:t>
      </w:r>
      <w:r>
        <w:rPr>
          <w:lang w:eastAsia="zh-CN"/>
        </w:rPr>
        <w:t>挂钩</w:t>
      </w:r>
      <w:r>
        <w:rPr>
          <w:lang w:val="zh-CN" w:eastAsia="zh-CN"/>
        </w:rPr>
        <w:t>。这位理事还鼓励国际电联继续发挥领导作用，将数字化转型与更广泛的改革优先事项</w:t>
      </w:r>
      <w:r>
        <w:rPr>
          <w:lang w:eastAsia="zh-CN"/>
        </w:rPr>
        <w:t>相协调</w:t>
      </w:r>
      <w:r>
        <w:rPr>
          <w:lang w:val="zh-CN" w:eastAsia="zh-CN"/>
        </w:rPr>
        <w:t>，作为联合国</w:t>
      </w:r>
      <w:r>
        <w:rPr>
          <w:lang w:val="zh-CN" w:eastAsia="zh-CN"/>
        </w:rPr>
        <w:t>80</w:t>
      </w:r>
      <w:r>
        <w:rPr>
          <w:lang w:val="zh-CN" w:eastAsia="zh-CN"/>
        </w:rPr>
        <w:t>倡议的一部分。</w:t>
      </w:r>
    </w:p>
    <w:p w14:paraId="0C52EF75" w14:textId="77777777" w:rsidR="00A67613" w:rsidRPr="00BC4508" w:rsidRDefault="00A67613" w:rsidP="00A67613">
      <w:pPr>
        <w:rPr>
          <w:lang w:eastAsia="zh-CN"/>
        </w:rPr>
      </w:pPr>
      <w:r>
        <w:rPr>
          <w:lang w:val="zh-CN" w:eastAsia="zh-CN"/>
        </w:rPr>
        <w:t>3.7</w:t>
      </w:r>
      <w:r>
        <w:rPr>
          <w:lang w:val="zh-CN" w:eastAsia="zh-CN"/>
        </w:rPr>
        <w:tab/>
      </w:r>
      <w:r>
        <w:rPr>
          <w:lang w:val="zh-CN" w:eastAsia="zh-CN"/>
        </w:rPr>
        <w:t>一位理事注意到国际电联与人工智能和量子技术有关的活动范围过于</w:t>
      </w:r>
      <w:r>
        <w:rPr>
          <w:lang w:eastAsia="zh-CN"/>
        </w:rPr>
        <w:t>宽</w:t>
      </w:r>
      <w:r>
        <w:rPr>
          <w:lang w:val="zh-CN" w:eastAsia="zh-CN"/>
        </w:rPr>
        <w:t>泛，鼓励国际电联</w:t>
      </w:r>
      <w:r>
        <w:rPr>
          <w:lang w:eastAsia="zh-CN"/>
        </w:rPr>
        <w:t>严格遵守</w:t>
      </w:r>
      <w:r>
        <w:rPr>
          <w:lang w:val="zh-CN" w:eastAsia="zh-CN"/>
        </w:rPr>
        <w:t>相关决议中规定的</w:t>
      </w:r>
      <w:r>
        <w:rPr>
          <w:rFonts w:hint="eastAsia"/>
          <w:lang w:val="zh-CN" w:eastAsia="zh-CN"/>
        </w:rPr>
        <w:t>职权</w:t>
      </w:r>
      <w:r>
        <w:rPr>
          <w:lang w:val="zh-CN" w:eastAsia="zh-CN"/>
        </w:rPr>
        <w:t>，并重申赞同</w:t>
      </w:r>
      <w:r>
        <w:rPr>
          <w:lang w:val="zh-CN" w:eastAsia="zh-CN"/>
        </w:rPr>
        <w:t>C26/35</w:t>
      </w:r>
      <w:r>
        <w:rPr>
          <w:lang w:val="zh-CN" w:eastAsia="zh-CN"/>
        </w:rPr>
        <w:t>号文件并不意味着赞同所有报告的活动。</w:t>
      </w:r>
    </w:p>
    <w:p w14:paraId="64B91738" w14:textId="77777777" w:rsidR="00A67613" w:rsidRPr="00BC4508" w:rsidRDefault="00A67613" w:rsidP="00A67613">
      <w:pPr>
        <w:rPr>
          <w:lang w:eastAsia="zh-CN"/>
        </w:rPr>
      </w:pPr>
      <w:r>
        <w:rPr>
          <w:lang w:val="zh-CN" w:eastAsia="zh-CN"/>
        </w:rPr>
        <w:t>3.8</w:t>
      </w:r>
      <w:r>
        <w:rPr>
          <w:lang w:val="zh-CN" w:eastAsia="zh-CN"/>
        </w:rPr>
        <w:tab/>
      </w:r>
      <w:r>
        <w:rPr>
          <w:lang w:val="zh-CN" w:eastAsia="zh-CN"/>
        </w:rPr>
        <w:t>副秘书长</w:t>
      </w:r>
      <w:r>
        <w:rPr>
          <w:lang w:eastAsia="zh-CN"/>
        </w:rPr>
        <w:t>对各位</w:t>
      </w:r>
      <w:r>
        <w:rPr>
          <w:lang w:val="zh-CN" w:eastAsia="zh-CN"/>
        </w:rPr>
        <w:t>理事</w:t>
      </w:r>
      <w:r>
        <w:rPr>
          <w:lang w:eastAsia="zh-CN"/>
        </w:rPr>
        <w:t>就</w:t>
      </w:r>
      <w:r>
        <w:rPr>
          <w:lang w:val="zh-CN" w:eastAsia="zh-CN"/>
        </w:rPr>
        <w:t>报告</w:t>
      </w:r>
      <w:r>
        <w:rPr>
          <w:lang w:eastAsia="zh-CN"/>
        </w:rPr>
        <w:t>提出的</w:t>
      </w:r>
      <w:r>
        <w:rPr>
          <w:lang w:val="zh-CN" w:eastAsia="zh-CN"/>
        </w:rPr>
        <w:t>赞赏和评论</w:t>
      </w:r>
      <w:r>
        <w:rPr>
          <w:lang w:eastAsia="zh-CN"/>
        </w:rPr>
        <w:t>意见表示</w:t>
      </w:r>
      <w:r>
        <w:rPr>
          <w:lang w:val="zh-CN" w:eastAsia="zh-CN"/>
        </w:rPr>
        <w:t>欢迎，并</w:t>
      </w:r>
      <w:r>
        <w:rPr>
          <w:lang w:eastAsia="zh-CN"/>
        </w:rPr>
        <w:t>注意到关于</w:t>
      </w:r>
      <w:r>
        <w:rPr>
          <w:lang w:val="zh-CN" w:eastAsia="zh-CN"/>
        </w:rPr>
        <w:t>改进</w:t>
      </w:r>
      <w:r>
        <w:rPr>
          <w:lang w:eastAsia="zh-CN"/>
        </w:rPr>
        <w:t>该</w:t>
      </w:r>
      <w:r>
        <w:rPr>
          <w:lang w:val="zh-CN" w:eastAsia="zh-CN"/>
        </w:rPr>
        <w:t>文件的建议。在回答一位理事的问题时，他</w:t>
      </w:r>
      <w:r>
        <w:rPr>
          <w:lang w:eastAsia="zh-CN"/>
        </w:rPr>
        <w:t>表示</w:t>
      </w:r>
      <w:r>
        <w:rPr>
          <w:lang w:val="zh-CN" w:eastAsia="zh-CN"/>
        </w:rPr>
        <w:t>，报告中提供了国际电联成员按部门划分的细分情况</w:t>
      </w:r>
      <w:r>
        <w:rPr>
          <w:rFonts w:hint="eastAsia"/>
          <w:lang w:val="zh-CN" w:eastAsia="zh-CN"/>
        </w:rPr>
        <w:t>；</w:t>
      </w:r>
      <w:r>
        <w:rPr>
          <w:lang w:val="zh-CN" w:eastAsia="zh-CN"/>
        </w:rPr>
        <w:t>秘书处也很乐意提供有关新成员创收的详细信息。</w:t>
      </w:r>
    </w:p>
    <w:p w14:paraId="2BBCB6A2" w14:textId="1E867924" w:rsidR="00A67613" w:rsidRPr="00BC4508" w:rsidRDefault="00A67613" w:rsidP="00A67613">
      <w:pPr>
        <w:rPr>
          <w:lang w:eastAsia="zh-CN"/>
        </w:rPr>
      </w:pPr>
      <w:r>
        <w:rPr>
          <w:lang w:val="zh-CN" w:eastAsia="zh-CN"/>
        </w:rPr>
        <w:t>3.9</w:t>
      </w:r>
      <w:r>
        <w:rPr>
          <w:lang w:val="zh-CN" w:eastAsia="zh-CN"/>
        </w:rPr>
        <w:tab/>
      </w:r>
      <w:r>
        <w:rPr>
          <w:lang w:val="zh-CN" w:eastAsia="zh-CN"/>
        </w:rPr>
        <w:t>电信发展局主任在回答理事们的</w:t>
      </w:r>
      <w:r>
        <w:rPr>
          <w:rFonts w:hint="eastAsia"/>
          <w:lang w:val="zh-CN" w:eastAsia="zh-CN"/>
        </w:rPr>
        <w:t>提问</w:t>
      </w:r>
      <w:r>
        <w:rPr>
          <w:lang w:val="zh-CN" w:eastAsia="zh-CN"/>
        </w:rPr>
        <w:t>和评论时说，为资助</w:t>
      </w:r>
      <w:r>
        <w:rPr>
          <w:rFonts w:hint="eastAsia"/>
          <w:lang w:val="zh-CN" w:eastAsia="zh-CN"/>
        </w:rPr>
        <w:t>各项</w:t>
      </w:r>
      <w:r>
        <w:rPr>
          <w:lang w:val="zh-CN" w:eastAsia="zh-CN"/>
        </w:rPr>
        <w:t>区域性举措，国际电联在本报告所述期间从广泛的利益攸关方和发展伙伴那里筹集了创纪录的</w:t>
      </w:r>
      <w:r>
        <w:rPr>
          <w:lang w:val="zh-CN" w:eastAsia="zh-CN"/>
        </w:rPr>
        <w:t>6</w:t>
      </w:r>
      <w:r w:rsidR="002A60C6">
        <w:rPr>
          <w:rFonts w:hint="eastAsia"/>
          <w:lang w:val="zh-CN" w:eastAsia="zh-CN"/>
        </w:rPr>
        <w:t xml:space="preserve"> </w:t>
      </w:r>
      <w:r>
        <w:rPr>
          <w:lang w:val="zh-CN" w:eastAsia="zh-CN"/>
        </w:rPr>
        <w:t>500</w:t>
      </w:r>
      <w:r>
        <w:rPr>
          <w:lang w:val="zh-CN" w:eastAsia="zh-CN"/>
        </w:rPr>
        <w:t>万瑞郎。国际电联还提供了种子资金，以鼓励对区域性举措的投资。有关该议题的进一步信息将在理事会本届会议的另一议项下提供。他还指出，国际电联正在与监管机构合作，支持</w:t>
      </w:r>
      <w:r>
        <w:rPr>
          <w:rFonts w:hint="eastAsia"/>
          <w:lang w:val="zh-CN" w:eastAsia="zh-CN"/>
        </w:rPr>
        <w:t>各</w:t>
      </w:r>
      <w:r>
        <w:rPr>
          <w:lang w:val="zh-CN" w:eastAsia="zh-CN"/>
        </w:rPr>
        <w:t>国家统计局收集数据。</w:t>
      </w:r>
    </w:p>
    <w:p w14:paraId="01B71EED" w14:textId="77777777" w:rsidR="00A67613" w:rsidRPr="003A2C00" w:rsidRDefault="00A67613" w:rsidP="00A67613">
      <w:pPr>
        <w:rPr>
          <w:spacing w:val="-2"/>
          <w:lang w:eastAsia="zh-CN"/>
        </w:rPr>
      </w:pPr>
      <w:r>
        <w:rPr>
          <w:lang w:val="zh-CN" w:eastAsia="zh-CN"/>
        </w:rPr>
        <w:t>3.10</w:t>
      </w:r>
      <w:r>
        <w:rPr>
          <w:lang w:val="zh-CN" w:eastAsia="zh-CN"/>
        </w:rPr>
        <w:tab/>
      </w:r>
      <w:r>
        <w:rPr>
          <w:lang w:val="zh-CN" w:eastAsia="zh-CN"/>
        </w:rPr>
        <w:t>理事会</w:t>
      </w:r>
      <w:r w:rsidRPr="00FC0161">
        <w:rPr>
          <w:b/>
          <w:bCs/>
          <w:lang w:val="zh-CN" w:eastAsia="zh-CN"/>
        </w:rPr>
        <w:t>批准</w:t>
      </w:r>
      <w:r>
        <w:rPr>
          <w:lang w:val="zh-CN" w:eastAsia="zh-CN"/>
        </w:rPr>
        <w:t>了</w:t>
      </w:r>
      <w:r>
        <w:rPr>
          <w:lang w:val="zh-CN" w:eastAsia="zh-CN"/>
        </w:rPr>
        <w:t>C26/35</w:t>
      </w:r>
      <w:r>
        <w:rPr>
          <w:lang w:val="zh-CN" w:eastAsia="zh-CN"/>
        </w:rPr>
        <w:t>号文件中</w:t>
      </w:r>
      <w:r>
        <w:rPr>
          <w:rFonts w:hint="eastAsia"/>
          <w:lang w:val="zh-CN" w:eastAsia="zh-CN"/>
        </w:rPr>
        <w:t>所载</w:t>
      </w:r>
      <w:r>
        <w:rPr>
          <w:lang w:val="zh-CN" w:eastAsia="zh-CN"/>
        </w:rPr>
        <w:t>报告，并</w:t>
      </w:r>
      <w:r w:rsidRPr="00FC0161">
        <w:rPr>
          <w:b/>
          <w:bCs/>
          <w:lang w:val="zh-CN" w:eastAsia="zh-CN"/>
        </w:rPr>
        <w:t>授权</w:t>
      </w:r>
      <w:r>
        <w:rPr>
          <w:lang w:val="zh-CN" w:eastAsia="zh-CN"/>
        </w:rPr>
        <w:t>秘书长在主席的监督下，根据讨论</w:t>
      </w:r>
      <w:r>
        <w:rPr>
          <w:rFonts w:hint="eastAsia"/>
          <w:lang w:val="zh-CN" w:eastAsia="zh-CN"/>
        </w:rPr>
        <w:t>内容</w:t>
      </w:r>
      <w:r>
        <w:rPr>
          <w:lang w:val="zh-CN" w:eastAsia="zh-CN"/>
        </w:rPr>
        <w:t>和即将举行的活动的成果</w:t>
      </w:r>
      <w:r>
        <w:rPr>
          <w:rFonts w:hint="eastAsia"/>
          <w:lang w:val="zh-CN" w:eastAsia="zh-CN"/>
        </w:rPr>
        <w:t>对</w:t>
      </w:r>
      <w:r>
        <w:rPr>
          <w:lang w:val="zh-CN" w:eastAsia="zh-CN"/>
        </w:rPr>
        <w:t>报告</w:t>
      </w:r>
      <w:r>
        <w:rPr>
          <w:rFonts w:hint="eastAsia"/>
          <w:lang w:val="zh-CN" w:eastAsia="zh-CN"/>
        </w:rPr>
        <w:t>进行更新</w:t>
      </w:r>
      <w:r>
        <w:rPr>
          <w:lang w:val="zh-CN" w:eastAsia="zh-CN"/>
        </w:rPr>
        <w:t>，并将最后报告转呈</w:t>
      </w:r>
      <w:r>
        <w:rPr>
          <w:lang w:val="zh-CN" w:eastAsia="zh-CN"/>
        </w:rPr>
        <w:t>PP-26</w:t>
      </w:r>
      <w:r>
        <w:rPr>
          <w:lang w:val="zh-CN" w:eastAsia="zh-CN"/>
        </w:rPr>
        <w:t>。</w:t>
      </w:r>
    </w:p>
    <w:p w14:paraId="692A14CE" w14:textId="77777777" w:rsidR="00A67613" w:rsidRPr="00BC4508" w:rsidRDefault="00A67613" w:rsidP="00A67613">
      <w:pPr>
        <w:pStyle w:val="Heading1"/>
        <w:rPr>
          <w:lang w:eastAsia="zh-CN"/>
        </w:rPr>
      </w:pPr>
      <w:r>
        <w:rPr>
          <w:bCs/>
          <w:lang w:val="zh-CN" w:eastAsia="zh-CN"/>
        </w:rPr>
        <w:t>4</w:t>
      </w:r>
      <w:r>
        <w:rPr>
          <w:lang w:val="zh-CN" w:eastAsia="zh-CN"/>
        </w:rPr>
        <w:tab/>
      </w:r>
      <w:r w:rsidRPr="005D22FB">
        <w:rPr>
          <w:lang w:val="zh-CN" w:eastAsia="zh-CN"/>
        </w:rPr>
        <w:t>对巴林、科威特、阿拉伯联合酋长国和约旦民用电信</w:t>
      </w:r>
      <w:r w:rsidRPr="005D22FB">
        <w:rPr>
          <w:lang w:val="zh-CN" w:eastAsia="zh-CN"/>
        </w:rPr>
        <w:t>/ICT</w:t>
      </w:r>
      <w:r w:rsidRPr="005D22FB">
        <w:rPr>
          <w:lang w:val="zh-CN" w:eastAsia="zh-CN"/>
        </w:rPr>
        <w:t>基础设施的影响，以及对区域和全球连通性的潜在影响</w:t>
      </w:r>
      <w:r>
        <w:rPr>
          <w:lang w:val="zh-CN" w:eastAsia="zh-CN"/>
        </w:rPr>
        <w:t>（</w:t>
      </w:r>
      <w:hyperlink r:id="rId21" w:history="1">
        <w:r w:rsidRPr="00BC4508">
          <w:rPr>
            <w:rStyle w:val="Hyperlink"/>
            <w:rFonts w:eastAsia="SimSun"/>
            <w:lang w:eastAsia="zh-CN"/>
          </w:rPr>
          <w:t>C26/95(Rev.1)</w:t>
        </w:r>
      </w:hyperlink>
      <w:r>
        <w:rPr>
          <w:lang w:val="zh-CN" w:eastAsia="zh-CN"/>
        </w:rPr>
        <w:t>号文件）</w:t>
      </w:r>
      <w:hyperlink r:id="rId22" w:history="1"/>
    </w:p>
    <w:p w14:paraId="0E6D1136" w14:textId="414A1B64" w:rsidR="00A67613" w:rsidRPr="00BC4508" w:rsidRDefault="00A67613" w:rsidP="00A67613">
      <w:pPr>
        <w:rPr>
          <w:lang w:eastAsia="zh-CN"/>
        </w:rPr>
      </w:pPr>
      <w:r>
        <w:rPr>
          <w:lang w:val="zh-CN" w:eastAsia="zh-CN"/>
        </w:rPr>
        <w:t>4.1</w:t>
      </w:r>
      <w:r>
        <w:rPr>
          <w:lang w:val="zh-CN" w:eastAsia="zh-CN"/>
        </w:rPr>
        <w:tab/>
      </w:r>
      <w:r>
        <w:rPr>
          <w:lang w:val="zh-CN" w:eastAsia="zh-CN"/>
        </w:rPr>
        <w:t>阿拉伯联合酋长国的</w:t>
      </w:r>
      <w:r>
        <w:rPr>
          <w:lang w:eastAsia="zh-CN"/>
        </w:rPr>
        <w:t>一位</w:t>
      </w:r>
      <w:r>
        <w:rPr>
          <w:lang w:val="zh-CN" w:eastAsia="zh-CN"/>
        </w:rPr>
        <w:t>理事介绍了</w:t>
      </w:r>
      <w:r>
        <w:rPr>
          <w:lang w:val="zh-CN" w:eastAsia="zh-CN"/>
        </w:rPr>
        <w:t>C26/95</w:t>
      </w:r>
      <w:r w:rsidR="00B2748A">
        <w:rPr>
          <w:rFonts w:hint="eastAsia"/>
          <w:lang w:val="zh-CN" w:eastAsia="zh-CN"/>
        </w:rPr>
        <w:t xml:space="preserve"> (</w:t>
      </w:r>
      <w:r>
        <w:rPr>
          <w:lang w:val="zh-CN" w:eastAsia="zh-CN"/>
        </w:rPr>
        <w:t>Rev.1</w:t>
      </w:r>
      <w:r w:rsidR="00B2748A">
        <w:rPr>
          <w:rFonts w:hint="eastAsia"/>
          <w:lang w:val="zh-CN" w:eastAsia="zh-CN"/>
        </w:rPr>
        <w:t>)</w:t>
      </w:r>
      <w:r>
        <w:rPr>
          <w:lang w:val="zh-CN" w:eastAsia="zh-CN"/>
        </w:rPr>
        <w:t>号文件，这是一份由海湾合作委员会（</w:t>
      </w:r>
      <w:r>
        <w:rPr>
          <w:lang w:val="zh-CN" w:eastAsia="zh-CN"/>
        </w:rPr>
        <w:t>GCC</w:t>
      </w:r>
      <w:r>
        <w:rPr>
          <w:lang w:val="zh-CN" w:eastAsia="zh-CN"/>
        </w:rPr>
        <w:t>）六个成员国和约旦发起的多国文稿，请理事会支持通过一项决议草案。</w:t>
      </w:r>
      <w:r>
        <w:rPr>
          <w:lang w:eastAsia="zh-CN"/>
        </w:rPr>
        <w:t>该文</w:t>
      </w:r>
      <w:r>
        <w:rPr>
          <w:rFonts w:hint="eastAsia"/>
          <w:lang w:eastAsia="zh-CN"/>
        </w:rPr>
        <w:t>稿</w:t>
      </w:r>
      <w:r>
        <w:rPr>
          <w:lang w:eastAsia="zh-CN"/>
        </w:rPr>
        <w:t>提议就巴林、科威特、阿拉伯联合酋长国和约旦的电信</w:t>
      </w:r>
      <w:r>
        <w:rPr>
          <w:rFonts w:hint="eastAsia"/>
          <w:lang w:eastAsia="zh-CN"/>
        </w:rPr>
        <w:t>业务</w:t>
      </w:r>
      <w:r>
        <w:rPr>
          <w:lang w:eastAsia="zh-CN"/>
        </w:rPr>
        <w:t>及基础设施遭受袭击的影响提交补充报告并进行评估，</w:t>
      </w:r>
      <w:r>
        <w:rPr>
          <w:lang w:val="zh-CN" w:eastAsia="zh-CN"/>
        </w:rPr>
        <w:t>并提供足够的人力和财务资源。</w:t>
      </w:r>
      <w:r>
        <w:rPr>
          <w:lang w:eastAsia="zh-CN"/>
        </w:rPr>
        <w:t>背景资料见</w:t>
      </w:r>
      <w:hyperlink r:id="rId23" w:history="1">
        <w:r w:rsidRPr="0056467F">
          <w:rPr>
            <w:rStyle w:val="Hyperlink"/>
            <w:rFonts w:eastAsia="SimSun"/>
            <w:lang w:eastAsia="zh-CN"/>
          </w:rPr>
          <w:t>C26/INF/24</w:t>
        </w:r>
      </w:hyperlink>
      <w:r>
        <w:rPr>
          <w:lang w:val="zh-CN" w:eastAsia="zh-CN"/>
        </w:rPr>
        <w:t>号文件。</w:t>
      </w:r>
      <w:hyperlink r:id="rId24" w:history="1"/>
    </w:p>
    <w:p w14:paraId="0939FE17" w14:textId="77777777" w:rsidR="00A67613" w:rsidRPr="00BC4508" w:rsidRDefault="00A67613" w:rsidP="00A67613">
      <w:pPr>
        <w:rPr>
          <w:lang w:eastAsia="zh-CN"/>
        </w:rPr>
      </w:pPr>
      <w:r>
        <w:rPr>
          <w:lang w:val="zh-CN" w:eastAsia="zh-CN"/>
        </w:rPr>
        <w:t>4.2</w:t>
      </w:r>
      <w:r>
        <w:rPr>
          <w:lang w:val="zh-CN" w:eastAsia="zh-CN"/>
        </w:rPr>
        <w:tab/>
      </w:r>
      <w:r>
        <w:rPr>
          <w:lang w:val="zh-CN" w:eastAsia="zh-CN"/>
        </w:rPr>
        <w:t>他说，自</w:t>
      </w:r>
      <w:r>
        <w:rPr>
          <w:lang w:val="zh-CN" w:eastAsia="zh-CN"/>
        </w:rPr>
        <w:t>2026</w:t>
      </w:r>
      <w:r>
        <w:rPr>
          <w:lang w:val="zh-CN" w:eastAsia="zh-CN"/>
        </w:rPr>
        <w:t>年</w:t>
      </w:r>
      <w:r>
        <w:rPr>
          <w:lang w:val="zh-CN" w:eastAsia="zh-CN"/>
        </w:rPr>
        <w:t>2</w:t>
      </w:r>
      <w:r>
        <w:rPr>
          <w:lang w:val="zh-CN" w:eastAsia="zh-CN"/>
        </w:rPr>
        <w:t>月以来，伊朗伊斯兰共和国一直在蓄意</w:t>
      </w:r>
      <w:r>
        <w:rPr>
          <w:rFonts w:hint="eastAsia"/>
          <w:lang w:val="zh-CN" w:eastAsia="zh-CN"/>
        </w:rPr>
        <w:t>针对</w:t>
      </w:r>
      <w:r>
        <w:rPr>
          <w:lang w:val="zh-CN" w:eastAsia="zh-CN"/>
        </w:rPr>
        <w:t>巴林、约旦、科威特和阿拉伯联合酋长国的民用电信和</w:t>
      </w:r>
      <w:r>
        <w:rPr>
          <w:lang w:val="zh-CN" w:eastAsia="zh-CN"/>
        </w:rPr>
        <w:t>ICT</w:t>
      </w:r>
      <w:r>
        <w:rPr>
          <w:lang w:val="zh-CN" w:eastAsia="zh-CN"/>
        </w:rPr>
        <w:t>基础设施。这种非法和无端攻击对国家、区域和全球数字网络的</w:t>
      </w:r>
      <w:r>
        <w:rPr>
          <w:rFonts w:hint="eastAsia"/>
          <w:lang w:val="zh-CN" w:eastAsia="zh-CN"/>
        </w:rPr>
        <w:t>韧性</w:t>
      </w:r>
      <w:r>
        <w:rPr>
          <w:lang w:val="zh-CN" w:eastAsia="zh-CN"/>
        </w:rPr>
        <w:t>和稳定性产生了影响。鉴于确保民用电信网络</w:t>
      </w:r>
      <w:r>
        <w:rPr>
          <w:rFonts w:hint="eastAsia"/>
          <w:lang w:val="zh-CN" w:eastAsia="zh-CN"/>
        </w:rPr>
        <w:t>的安全</w:t>
      </w:r>
      <w:r>
        <w:rPr>
          <w:lang w:val="zh-CN" w:eastAsia="zh-CN"/>
        </w:rPr>
        <w:t>及</w:t>
      </w:r>
      <w:r>
        <w:rPr>
          <w:rFonts w:hint="eastAsia"/>
          <w:lang w:val="zh-CN" w:eastAsia="zh-CN"/>
        </w:rPr>
        <w:t>韧性</w:t>
      </w:r>
      <w:r>
        <w:rPr>
          <w:lang w:val="zh-CN" w:eastAsia="zh-CN"/>
        </w:rPr>
        <w:t>属于国际电联的职责范围，该文稿的作者请理事会对当前局势做出慎重的回应，并通过决议草案，责成总秘书处开展相关的监测、评估和报告。</w:t>
      </w:r>
    </w:p>
    <w:p w14:paraId="10D5780C" w14:textId="77777777" w:rsidR="00A67613" w:rsidRPr="00BC4508" w:rsidRDefault="00A67613" w:rsidP="00A67613">
      <w:pPr>
        <w:rPr>
          <w:lang w:eastAsia="zh-CN"/>
        </w:rPr>
      </w:pPr>
      <w:r>
        <w:rPr>
          <w:lang w:val="zh-CN" w:eastAsia="zh-CN"/>
        </w:rPr>
        <w:lastRenderedPageBreak/>
        <w:t>4.3</w:t>
      </w:r>
      <w:r>
        <w:rPr>
          <w:lang w:val="zh-CN" w:eastAsia="zh-CN"/>
        </w:rPr>
        <w:tab/>
      </w:r>
      <w:r>
        <w:rPr>
          <w:lang w:val="zh-CN" w:eastAsia="zh-CN"/>
        </w:rPr>
        <w:t>理事们对所报告的中东地区</w:t>
      </w:r>
      <w:r>
        <w:rPr>
          <w:lang w:val="zh-CN" w:eastAsia="zh-CN"/>
        </w:rPr>
        <w:t>ICT</w:t>
      </w:r>
      <w:r>
        <w:rPr>
          <w:lang w:val="zh-CN" w:eastAsia="zh-CN"/>
        </w:rPr>
        <w:t>和电信基础设施遭到破坏和</w:t>
      </w:r>
      <w:r>
        <w:rPr>
          <w:rFonts w:hint="eastAsia"/>
          <w:lang w:val="zh-CN" w:eastAsia="zh-CN"/>
        </w:rPr>
        <w:t>中断</w:t>
      </w:r>
      <w:r>
        <w:rPr>
          <w:lang w:val="zh-CN" w:eastAsia="zh-CN"/>
        </w:rPr>
        <w:t>的情况表示关切。几位理事强调了</w:t>
      </w:r>
      <w:r>
        <w:rPr>
          <w:lang w:eastAsia="zh-CN"/>
        </w:rPr>
        <w:t>此事</w:t>
      </w:r>
      <w:r>
        <w:rPr>
          <w:lang w:val="zh-CN" w:eastAsia="zh-CN"/>
        </w:rPr>
        <w:t>对该地区</w:t>
      </w:r>
      <w:r>
        <w:rPr>
          <w:lang w:eastAsia="zh-CN"/>
        </w:rPr>
        <w:t>造成</w:t>
      </w:r>
      <w:r>
        <w:rPr>
          <w:lang w:val="zh-CN" w:eastAsia="zh-CN"/>
        </w:rPr>
        <w:t>的人道主义、经济和社会</w:t>
      </w:r>
      <w:r>
        <w:rPr>
          <w:lang w:eastAsia="zh-CN"/>
        </w:rPr>
        <w:t>后果</w:t>
      </w:r>
      <w:r>
        <w:rPr>
          <w:lang w:val="zh-CN" w:eastAsia="zh-CN"/>
        </w:rPr>
        <w:t>，而</w:t>
      </w:r>
      <w:r>
        <w:rPr>
          <w:rFonts w:hint="eastAsia"/>
          <w:lang w:val="zh-CN" w:eastAsia="zh-CN"/>
        </w:rPr>
        <w:t>另</w:t>
      </w:r>
      <w:r>
        <w:rPr>
          <w:lang w:eastAsia="zh-CN"/>
        </w:rPr>
        <w:t>一些</w:t>
      </w:r>
      <w:r>
        <w:rPr>
          <w:lang w:val="zh-CN" w:eastAsia="zh-CN"/>
        </w:rPr>
        <w:t>理事则强调了</w:t>
      </w:r>
      <w:r>
        <w:rPr>
          <w:lang w:eastAsia="zh-CN"/>
        </w:rPr>
        <w:t>此事</w:t>
      </w:r>
      <w:r>
        <w:rPr>
          <w:lang w:val="zh-CN" w:eastAsia="zh-CN"/>
        </w:rPr>
        <w:t>对国家主权的影响。一些理事表示，这些袭击违反了国际人道主义法和国际电联《组织法》，并呼吁所有国家尊重国际法。其他</w:t>
      </w:r>
      <w:r>
        <w:rPr>
          <w:rFonts w:hint="eastAsia"/>
          <w:lang w:val="zh-CN" w:eastAsia="zh-CN"/>
        </w:rPr>
        <w:t>理事</w:t>
      </w:r>
      <w:r>
        <w:rPr>
          <w:lang w:val="zh-CN" w:eastAsia="zh-CN"/>
        </w:rPr>
        <w:t>则强调，</w:t>
      </w:r>
      <w:r>
        <w:rPr>
          <w:lang w:eastAsia="zh-CN"/>
        </w:rPr>
        <w:t>伊朗伊斯兰共和国将海底电缆等对全球数字安全至关重要的基础设施作为袭击目标，实则是在进行一种数字勒索</w:t>
      </w:r>
      <w:r>
        <w:rPr>
          <w:rFonts w:ascii="SimSun" w:hAnsi="SimSun" w:cs="SimSun" w:hint="eastAsia"/>
          <w:lang w:eastAsia="zh-CN"/>
        </w:rPr>
        <w:t>。</w:t>
      </w:r>
    </w:p>
    <w:p w14:paraId="686B26F8" w14:textId="77777777" w:rsidR="00A67613" w:rsidRPr="00BC4508" w:rsidRDefault="00A67613" w:rsidP="00A67613">
      <w:pPr>
        <w:rPr>
          <w:lang w:eastAsia="zh-CN"/>
        </w:rPr>
      </w:pPr>
      <w:r>
        <w:rPr>
          <w:lang w:val="zh-CN" w:eastAsia="zh-CN"/>
        </w:rPr>
        <w:t>4.4</w:t>
      </w:r>
      <w:r>
        <w:rPr>
          <w:lang w:val="zh-CN" w:eastAsia="zh-CN"/>
        </w:rPr>
        <w:tab/>
      </w:r>
      <w:r>
        <w:rPr>
          <w:lang w:val="zh-CN" w:eastAsia="zh-CN"/>
        </w:rPr>
        <w:t>理事们呼吁停止对民用基础设施的袭击，一位理事强调，以色列和美国作为冲突的</w:t>
      </w:r>
      <w:r>
        <w:rPr>
          <w:lang w:eastAsia="zh-CN"/>
        </w:rPr>
        <w:t>发起</w:t>
      </w:r>
      <w:r>
        <w:rPr>
          <w:rFonts w:hint="eastAsia"/>
          <w:lang w:eastAsia="zh-CN"/>
        </w:rPr>
        <w:t>方</w:t>
      </w:r>
      <w:r>
        <w:rPr>
          <w:lang w:val="zh-CN" w:eastAsia="zh-CN"/>
        </w:rPr>
        <w:t>，</w:t>
      </w:r>
      <w:r>
        <w:rPr>
          <w:rFonts w:hint="eastAsia"/>
          <w:lang w:val="zh-CN" w:eastAsia="zh-CN"/>
        </w:rPr>
        <w:t>有责任</w:t>
      </w:r>
      <w:r>
        <w:rPr>
          <w:lang w:val="zh-CN" w:eastAsia="zh-CN"/>
        </w:rPr>
        <w:t>结束敌对行动。一些理事强调，有关伊朗伊斯兰共和国的关切无法通过军事手段解决，需要谈判和对话。一位理事表示支持海湾合作委员会成员国和约旦为应对</w:t>
      </w:r>
      <w:r>
        <w:rPr>
          <w:lang w:eastAsia="zh-CN"/>
        </w:rPr>
        <w:t>针</w:t>
      </w:r>
      <w:r>
        <w:rPr>
          <w:lang w:val="zh-CN" w:eastAsia="zh-CN"/>
        </w:rPr>
        <w:t>对其基础设施</w:t>
      </w:r>
      <w:r>
        <w:rPr>
          <w:rFonts w:hint="eastAsia"/>
          <w:lang w:val="zh-CN" w:eastAsia="zh-CN"/>
        </w:rPr>
        <w:t>的</w:t>
      </w:r>
      <w:r>
        <w:rPr>
          <w:lang w:val="zh-CN" w:eastAsia="zh-CN"/>
        </w:rPr>
        <w:t>攻击而采取的</w:t>
      </w:r>
      <w:r>
        <w:rPr>
          <w:lang w:eastAsia="zh-CN"/>
        </w:rPr>
        <w:t>一切</w:t>
      </w:r>
      <w:r>
        <w:rPr>
          <w:lang w:val="zh-CN" w:eastAsia="zh-CN"/>
        </w:rPr>
        <w:t>行动。</w:t>
      </w:r>
    </w:p>
    <w:p w14:paraId="71C2E44A" w14:textId="77777777" w:rsidR="00A67613" w:rsidRPr="00BC4508" w:rsidRDefault="00A67613" w:rsidP="00A67613">
      <w:pPr>
        <w:rPr>
          <w:lang w:eastAsia="zh-CN"/>
        </w:rPr>
      </w:pPr>
      <w:r>
        <w:rPr>
          <w:lang w:val="zh-CN" w:eastAsia="zh-CN"/>
        </w:rPr>
        <w:t>4.5</w:t>
      </w:r>
      <w:r>
        <w:rPr>
          <w:lang w:val="zh-CN" w:eastAsia="zh-CN"/>
        </w:rPr>
        <w:tab/>
      </w:r>
      <w:r>
        <w:rPr>
          <w:lang w:val="zh-CN" w:eastAsia="zh-CN"/>
        </w:rPr>
        <w:t>几位理事表示支持文稿中所载的决议草案，指出保护民用电信</w:t>
      </w:r>
      <w:r>
        <w:rPr>
          <w:lang w:val="zh-CN" w:eastAsia="zh-CN"/>
        </w:rPr>
        <w:t>/ICT</w:t>
      </w:r>
      <w:r>
        <w:rPr>
          <w:lang w:val="zh-CN" w:eastAsia="zh-CN"/>
        </w:rPr>
        <w:t>基础设施的重要性以及国际电联在这方面的义务。两位理事重申</w:t>
      </w:r>
      <w:r>
        <w:rPr>
          <w:rFonts w:hint="eastAsia"/>
          <w:lang w:val="zh-CN" w:eastAsia="zh-CN"/>
        </w:rPr>
        <w:t>，</w:t>
      </w:r>
      <w:r>
        <w:rPr>
          <w:lang w:val="zh-CN" w:eastAsia="zh-CN"/>
        </w:rPr>
        <w:t>国际电联在此问题上</w:t>
      </w:r>
      <w:r>
        <w:rPr>
          <w:lang w:eastAsia="zh-CN"/>
        </w:rPr>
        <w:t>必须</w:t>
      </w:r>
      <w:r>
        <w:rPr>
          <w:lang w:val="zh-CN" w:eastAsia="zh-CN"/>
        </w:rPr>
        <w:t>采取坚定立场，以防止</w:t>
      </w:r>
      <w:r>
        <w:rPr>
          <w:lang w:eastAsia="zh-CN"/>
        </w:rPr>
        <w:t>树立一个</w:t>
      </w:r>
      <w:r>
        <w:rPr>
          <w:lang w:val="zh-CN" w:eastAsia="zh-CN"/>
        </w:rPr>
        <w:t>危险的先例。</w:t>
      </w:r>
    </w:p>
    <w:p w14:paraId="5CBCCFCF" w14:textId="77777777" w:rsidR="00A67613" w:rsidRPr="00BC4508" w:rsidRDefault="00A67613" w:rsidP="00A67613">
      <w:pPr>
        <w:rPr>
          <w:lang w:eastAsia="zh-CN"/>
        </w:rPr>
      </w:pPr>
      <w:r>
        <w:rPr>
          <w:lang w:val="zh-CN" w:eastAsia="zh-CN"/>
        </w:rPr>
        <w:t>4.6</w:t>
      </w:r>
      <w:r>
        <w:rPr>
          <w:lang w:val="zh-CN" w:eastAsia="zh-CN"/>
        </w:rPr>
        <w:tab/>
      </w:r>
      <w:r>
        <w:rPr>
          <w:lang w:val="zh-CN" w:eastAsia="zh-CN"/>
        </w:rPr>
        <w:t>几位理事表示，阿拉伯联合酋长国介绍的文稿中所载的决议草案和伊朗伊斯兰共和国提交的文稿（</w:t>
      </w:r>
      <w:r>
        <w:rPr>
          <w:lang w:val="zh-CN" w:eastAsia="zh-CN"/>
        </w:rPr>
        <w:t>C26/86</w:t>
      </w:r>
      <w:r>
        <w:rPr>
          <w:lang w:val="zh-CN" w:eastAsia="zh-CN"/>
        </w:rPr>
        <w:t>号文件）中所载的决议草案都需要进一步审议，以</w:t>
      </w:r>
      <w:r w:rsidRPr="008E1B57">
        <w:rPr>
          <w:lang w:val="zh-CN" w:eastAsia="zh-CN"/>
        </w:rPr>
        <w:t>制定出</w:t>
      </w:r>
      <w:r>
        <w:rPr>
          <w:lang w:val="zh-CN" w:eastAsia="zh-CN"/>
        </w:rPr>
        <w:t>更加平衡和客观的案文，并尊重国际电联职权的技术性质。</w:t>
      </w:r>
    </w:p>
    <w:p w14:paraId="527D2BD0" w14:textId="2202EDFC" w:rsidR="00A67613" w:rsidRPr="00BC4508" w:rsidRDefault="00A67613" w:rsidP="00A67613">
      <w:pPr>
        <w:rPr>
          <w:lang w:eastAsia="zh-CN"/>
        </w:rPr>
      </w:pPr>
      <w:r>
        <w:rPr>
          <w:lang w:val="zh-CN" w:eastAsia="zh-CN"/>
        </w:rPr>
        <w:t>4.7</w:t>
      </w:r>
      <w:r>
        <w:rPr>
          <w:lang w:val="zh-CN" w:eastAsia="zh-CN"/>
        </w:rPr>
        <w:tab/>
      </w:r>
      <w:r>
        <w:rPr>
          <w:lang w:val="zh-CN" w:eastAsia="zh-CN"/>
        </w:rPr>
        <w:t>一些理事敦促国际电联抓住拟议决议草案</w:t>
      </w:r>
      <w:r>
        <w:rPr>
          <w:rFonts w:hint="eastAsia"/>
          <w:lang w:val="zh-CN" w:eastAsia="zh-CN"/>
        </w:rPr>
        <w:t>所</w:t>
      </w:r>
      <w:r>
        <w:rPr>
          <w:lang w:val="zh-CN" w:eastAsia="zh-CN"/>
        </w:rPr>
        <w:t>提供的</w:t>
      </w:r>
      <w:r w:rsidRPr="008E1B57">
        <w:rPr>
          <w:lang w:val="zh-CN" w:eastAsia="zh-CN"/>
        </w:rPr>
        <w:t>契</w:t>
      </w:r>
      <w:r>
        <w:rPr>
          <w:lang w:val="zh-CN" w:eastAsia="zh-CN"/>
        </w:rPr>
        <w:t>机，就电信基础设施的关键性以及在冲突期间</w:t>
      </w:r>
      <w:r w:rsidRPr="008E1B57">
        <w:rPr>
          <w:lang w:val="zh-CN" w:eastAsia="zh-CN"/>
        </w:rPr>
        <w:t>将其与医院和学校等其他基础设施同等对待并予以保护</w:t>
      </w:r>
      <w:r>
        <w:rPr>
          <w:lang w:val="zh-CN" w:eastAsia="zh-CN"/>
        </w:rPr>
        <w:t>的必要性发表声明，</w:t>
      </w:r>
      <w:r w:rsidRPr="008E1B57">
        <w:rPr>
          <w:lang w:val="zh-CN" w:eastAsia="zh-CN"/>
        </w:rPr>
        <w:t>因为</w:t>
      </w:r>
      <w:r>
        <w:rPr>
          <w:lang w:val="zh-CN" w:eastAsia="zh-CN"/>
        </w:rPr>
        <w:t>这些基础设施的运营依赖于电信基础设施</w:t>
      </w:r>
      <w:r>
        <w:rPr>
          <w:rFonts w:hint="eastAsia"/>
          <w:lang w:val="zh-CN" w:eastAsia="zh-CN"/>
        </w:rPr>
        <w:t>。</w:t>
      </w:r>
    </w:p>
    <w:p w14:paraId="2706AED2" w14:textId="77777777" w:rsidR="00A67613" w:rsidRPr="00BC4508" w:rsidRDefault="00A67613" w:rsidP="00A67613">
      <w:pPr>
        <w:rPr>
          <w:lang w:eastAsia="zh-CN"/>
        </w:rPr>
      </w:pPr>
      <w:r>
        <w:rPr>
          <w:lang w:val="zh-CN" w:eastAsia="zh-CN"/>
        </w:rPr>
        <w:t>4.8</w:t>
      </w:r>
      <w:r>
        <w:rPr>
          <w:lang w:val="zh-CN" w:eastAsia="zh-CN"/>
        </w:rPr>
        <w:tab/>
      </w:r>
      <w:r>
        <w:rPr>
          <w:lang w:val="zh-CN" w:eastAsia="zh-CN"/>
        </w:rPr>
        <w:t>阿拉伯联合酋长国的</w:t>
      </w:r>
      <w:r>
        <w:rPr>
          <w:rFonts w:hint="eastAsia"/>
          <w:lang w:val="zh-CN" w:eastAsia="zh-CN"/>
        </w:rPr>
        <w:t>一位</w:t>
      </w:r>
      <w:r>
        <w:rPr>
          <w:lang w:val="zh-CN" w:eastAsia="zh-CN"/>
        </w:rPr>
        <w:t>理事强调，所介绍的文稿和相关决议草案对国际电联没有财务影响。鉴于非冲突方国家</w:t>
      </w:r>
      <w:r>
        <w:rPr>
          <w:lang w:eastAsia="zh-CN"/>
        </w:rPr>
        <w:t>却</w:t>
      </w:r>
      <w:r>
        <w:rPr>
          <w:lang w:val="zh-CN" w:eastAsia="zh-CN"/>
        </w:rPr>
        <w:t>受到攻击的</w:t>
      </w:r>
      <w:r>
        <w:rPr>
          <w:lang w:eastAsia="zh-CN"/>
        </w:rPr>
        <w:t>特殊</w:t>
      </w:r>
      <w:r>
        <w:rPr>
          <w:lang w:val="zh-CN" w:eastAsia="zh-CN"/>
        </w:rPr>
        <w:t>性，他敦促理事会</w:t>
      </w:r>
      <w:r>
        <w:rPr>
          <w:lang w:eastAsia="zh-CN"/>
        </w:rPr>
        <w:t>将</w:t>
      </w:r>
      <w:r>
        <w:rPr>
          <w:lang w:val="zh-CN" w:eastAsia="zh-CN"/>
        </w:rPr>
        <w:t>他所介绍的文稿</w:t>
      </w:r>
      <w:r>
        <w:rPr>
          <w:lang w:eastAsia="zh-CN"/>
        </w:rPr>
        <w:t>与其他所有</w:t>
      </w:r>
      <w:r>
        <w:rPr>
          <w:lang w:val="zh-CN" w:eastAsia="zh-CN"/>
        </w:rPr>
        <w:t>文稿</w:t>
      </w:r>
      <w:r>
        <w:rPr>
          <w:lang w:eastAsia="zh-CN"/>
        </w:rPr>
        <w:t>区分开来，予以充分考虑</w:t>
      </w:r>
      <w:r>
        <w:rPr>
          <w:rFonts w:ascii="SimSun" w:hAnsi="SimSun" w:cs="SimSun" w:hint="eastAsia"/>
          <w:lang w:eastAsia="zh-CN"/>
        </w:rPr>
        <w:t>。</w:t>
      </w:r>
    </w:p>
    <w:p w14:paraId="466D631D" w14:textId="48555041" w:rsidR="00A67613" w:rsidRPr="00BC4508" w:rsidRDefault="00A67613" w:rsidP="00A67613">
      <w:pPr>
        <w:rPr>
          <w:lang w:eastAsia="zh-CN"/>
        </w:rPr>
      </w:pPr>
      <w:r>
        <w:rPr>
          <w:lang w:val="zh-CN" w:eastAsia="zh-CN"/>
        </w:rPr>
        <w:t>4.9</w:t>
      </w:r>
      <w:r>
        <w:rPr>
          <w:lang w:val="zh-CN" w:eastAsia="zh-CN"/>
        </w:rPr>
        <w:tab/>
      </w:r>
      <w:r>
        <w:rPr>
          <w:lang w:val="zh-CN" w:eastAsia="zh-CN"/>
        </w:rPr>
        <w:t>主席</w:t>
      </w:r>
      <w:r>
        <w:rPr>
          <w:rFonts w:hint="eastAsia"/>
          <w:lang w:val="zh-CN" w:eastAsia="zh-CN"/>
        </w:rPr>
        <w:t>提议</w:t>
      </w:r>
      <w:r>
        <w:rPr>
          <w:lang w:val="zh-CN" w:eastAsia="zh-CN"/>
        </w:rPr>
        <w:t>就</w:t>
      </w:r>
      <w:r w:rsidR="00BF49BB">
        <w:rPr>
          <w:rFonts w:hint="eastAsia"/>
          <w:lang w:val="zh-CN" w:eastAsia="zh-CN"/>
        </w:rPr>
        <w:t>该</w:t>
      </w:r>
      <w:r>
        <w:rPr>
          <w:lang w:val="zh-CN" w:eastAsia="zh-CN"/>
        </w:rPr>
        <w:t>决议草案进行非正式磋商，理事会随后</w:t>
      </w:r>
      <w:r>
        <w:rPr>
          <w:rFonts w:hint="eastAsia"/>
          <w:lang w:val="zh-CN" w:eastAsia="zh-CN"/>
        </w:rPr>
        <w:t>再</w:t>
      </w:r>
      <w:r>
        <w:rPr>
          <w:lang w:val="zh-CN" w:eastAsia="zh-CN"/>
        </w:rPr>
        <w:t>恢复审议该议项。</w:t>
      </w:r>
    </w:p>
    <w:p w14:paraId="6D802B8B" w14:textId="77777777" w:rsidR="00A67613" w:rsidRPr="00BC4508" w:rsidRDefault="00A67613" w:rsidP="00A67613">
      <w:pPr>
        <w:rPr>
          <w:lang w:eastAsia="zh-CN"/>
        </w:rPr>
      </w:pPr>
      <w:r>
        <w:rPr>
          <w:lang w:val="zh-CN" w:eastAsia="zh-CN"/>
        </w:rPr>
        <w:t>4.10</w:t>
      </w:r>
      <w:r>
        <w:rPr>
          <w:lang w:val="zh-CN" w:eastAsia="zh-CN"/>
        </w:rPr>
        <w:tab/>
      </w:r>
      <w:r>
        <w:rPr>
          <w:lang w:val="zh-CN" w:eastAsia="zh-CN"/>
        </w:rPr>
        <w:t>会议对此表示</w:t>
      </w:r>
      <w:r w:rsidRPr="00941108">
        <w:rPr>
          <w:b/>
          <w:bCs/>
          <w:lang w:val="zh-CN" w:eastAsia="zh-CN"/>
        </w:rPr>
        <w:t>同意</w:t>
      </w:r>
      <w:r>
        <w:rPr>
          <w:lang w:val="zh-CN" w:eastAsia="zh-CN"/>
        </w:rPr>
        <w:t>。</w:t>
      </w:r>
    </w:p>
    <w:p w14:paraId="691375CB" w14:textId="77777777" w:rsidR="00A67613" w:rsidRPr="00D71AA5" w:rsidRDefault="00A67613" w:rsidP="00A67613">
      <w:pPr>
        <w:pStyle w:val="Heading1"/>
        <w:rPr>
          <w:lang w:eastAsia="zh-CN"/>
        </w:rPr>
      </w:pPr>
      <w:r>
        <w:rPr>
          <w:bCs/>
          <w:lang w:val="zh-CN" w:eastAsia="zh-CN"/>
        </w:rPr>
        <w:t>5</w:t>
      </w:r>
      <w:r>
        <w:rPr>
          <w:bCs/>
          <w:lang w:val="zh-CN" w:eastAsia="zh-CN"/>
        </w:rPr>
        <w:tab/>
      </w:r>
      <w:r>
        <w:rPr>
          <w:rFonts w:hint="eastAsia"/>
          <w:bCs/>
          <w:lang w:val="zh-CN" w:eastAsia="zh-CN"/>
        </w:rPr>
        <w:t>理事的声明</w:t>
      </w:r>
    </w:p>
    <w:p w14:paraId="2A9AE828" w14:textId="77777777" w:rsidR="00A67613" w:rsidRPr="00BC4508" w:rsidRDefault="00A67613" w:rsidP="00A67613">
      <w:pPr>
        <w:rPr>
          <w:lang w:eastAsia="zh-CN"/>
        </w:rPr>
      </w:pPr>
      <w:r>
        <w:rPr>
          <w:lang w:val="zh-CN" w:eastAsia="zh-CN"/>
        </w:rPr>
        <w:t>5.1</w:t>
      </w:r>
      <w:r>
        <w:rPr>
          <w:lang w:val="zh-CN" w:eastAsia="zh-CN"/>
        </w:rPr>
        <w:tab/>
      </w:r>
      <w:r>
        <w:rPr>
          <w:rFonts w:hint="eastAsia"/>
          <w:lang w:val="zh-CN" w:eastAsia="zh-CN"/>
        </w:rPr>
        <w:t>卢旺达理事</w:t>
      </w:r>
      <w:r>
        <w:rPr>
          <w:lang w:val="zh-CN" w:eastAsia="zh-CN"/>
        </w:rPr>
        <w:t>宣布</w:t>
      </w:r>
      <w:r>
        <w:rPr>
          <w:rFonts w:hint="eastAsia"/>
          <w:lang w:val="zh-CN" w:eastAsia="zh-CN"/>
        </w:rPr>
        <w:t>该国</w:t>
      </w:r>
      <w:r>
        <w:rPr>
          <w:lang w:val="zh-CN" w:eastAsia="zh-CN"/>
        </w:rPr>
        <w:t>竞选</w:t>
      </w:r>
      <w:r>
        <w:rPr>
          <w:rFonts w:hint="eastAsia"/>
          <w:lang w:val="zh-CN" w:eastAsia="zh-CN"/>
        </w:rPr>
        <w:t>连任</w:t>
      </w:r>
      <w:r>
        <w:rPr>
          <w:lang w:val="zh-CN" w:eastAsia="zh-CN"/>
        </w:rPr>
        <w:t>理事国。</w:t>
      </w:r>
    </w:p>
    <w:p w14:paraId="13C9003B" w14:textId="77777777" w:rsidR="00A67613" w:rsidRDefault="00A67613" w:rsidP="00371AC0">
      <w:pPr>
        <w:tabs>
          <w:tab w:val="clear" w:pos="794"/>
          <w:tab w:val="clear" w:pos="1191"/>
          <w:tab w:val="clear" w:pos="1588"/>
          <w:tab w:val="clear" w:pos="1985"/>
          <w:tab w:val="left" w:pos="6237"/>
        </w:tabs>
        <w:spacing w:before="840"/>
        <w:rPr>
          <w:lang w:val="zh-CN" w:eastAsia="zh-CN"/>
        </w:rPr>
      </w:pPr>
      <w:r>
        <w:rPr>
          <w:lang w:val="zh-CN" w:eastAsia="zh-CN"/>
        </w:rPr>
        <w:t>秘书长：</w:t>
      </w:r>
      <w:r>
        <w:rPr>
          <w:lang w:val="zh-CN" w:eastAsia="zh-CN"/>
        </w:rPr>
        <w:tab/>
      </w:r>
      <w:r>
        <w:rPr>
          <w:rFonts w:hint="eastAsia"/>
          <w:lang w:val="zh-CN" w:eastAsia="zh-CN"/>
        </w:rPr>
        <w:t>主席：</w:t>
      </w:r>
    </w:p>
    <w:p w14:paraId="211A85AB" w14:textId="77777777" w:rsidR="00A67613" w:rsidRPr="00BC4508" w:rsidRDefault="00A67613" w:rsidP="00371AC0">
      <w:pPr>
        <w:tabs>
          <w:tab w:val="clear" w:pos="794"/>
          <w:tab w:val="clear" w:pos="1191"/>
          <w:tab w:val="clear" w:pos="1588"/>
          <w:tab w:val="clear" w:pos="1985"/>
          <w:tab w:val="left" w:pos="6237"/>
        </w:tabs>
        <w:spacing w:before="0"/>
        <w:rPr>
          <w:szCs w:val="24"/>
          <w:lang w:eastAsia="zh-CN"/>
        </w:rPr>
      </w:pPr>
      <w:r>
        <w:rPr>
          <w:lang w:val="zh-CN" w:eastAsia="zh-CN"/>
        </w:rPr>
        <w:t>多琳</w:t>
      </w:r>
      <w:r>
        <w:rPr>
          <w:lang w:val="zh-CN" w:eastAsia="zh-CN"/>
        </w:rPr>
        <w:t>·</w:t>
      </w:r>
      <w:r>
        <w:rPr>
          <w:lang w:val="zh-CN" w:eastAsia="zh-CN"/>
        </w:rPr>
        <w:t>伯格丹</w:t>
      </w:r>
      <w:r>
        <w:rPr>
          <w:lang w:val="zh-CN" w:eastAsia="zh-CN"/>
        </w:rPr>
        <w:t>-</w:t>
      </w:r>
      <w:r>
        <w:rPr>
          <w:lang w:val="zh-CN" w:eastAsia="zh-CN"/>
        </w:rPr>
        <w:t>马丁</w:t>
      </w:r>
      <w:r>
        <w:rPr>
          <w:lang w:val="zh-CN" w:eastAsia="zh-CN"/>
        </w:rPr>
        <w:tab/>
      </w:r>
      <w:r w:rsidRPr="00BC4508">
        <w:rPr>
          <w:szCs w:val="24"/>
          <w:lang w:eastAsia="zh-CN"/>
        </w:rPr>
        <w:t>B. TIJANI</w:t>
      </w:r>
    </w:p>
    <w:sectPr w:rsidR="00A67613" w:rsidRPr="00BC4508" w:rsidSect="00E24D59">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654F" w14:textId="77777777" w:rsidR="00E61A32" w:rsidRDefault="00E61A32">
      <w:r>
        <w:separator/>
      </w:r>
    </w:p>
  </w:endnote>
  <w:endnote w:type="continuationSeparator" w:id="0">
    <w:p w14:paraId="3450478E" w14:textId="77777777" w:rsidR="00E61A32" w:rsidRDefault="00E6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3758176C" w14:textId="77777777" w:rsidTr="00E31DCE">
      <w:trPr>
        <w:jc w:val="center"/>
      </w:trPr>
      <w:tc>
        <w:tcPr>
          <w:tcW w:w="1803" w:type="dxa"/>
          <w:vAlign w:val="center"/>
        </w:tcPr>
        <w:p w14:paraId="70AC714F" w14:textId="52D28655" w:rsidR="00E24D59" w:rsidRPr="00A13406" w:rsidRDefault="00A13406" w:rsidP="00E24D59">
          <w:pPr>
            <w:pStyle w:val="Header"/>
            <w:jc w:val="left"/>
            <w:rPr>
              <w:noProof/>
              <w:color w:val="808080" w:themeColor="background1" w:themeShade="80"/>
            </w:rPr>
          </w:pPr>
          <w:r w:rsidRPr="00A13406">
            <w:rPr>
              <w:noProof/>
              <w:color w:val="808080" w:themeColor="background1" w:themeShade="80"/>
            </w:rPr>
            <w:t>gDoc</w:t>
          </w:r>
          <w:r w:rsidR="00A67613">
            <w:rPr>
              <w:noProof/>
              <w:color w:val="808080" w:themeColor="background1" w:themeShade="80"/>
            </w:rPr>
            <w:t xml:space="preserve"> 2601338</w:t>
          </w:r>
        </w:p>
      </w:tc>
      <w:tc>
        <w:tcPr>
          <w:tcW w:w="8261" w:type="dxa"/>
        </w:tcPr>
        <w:p w14:paraId="2283DA3D" w14:textId="25E3312B"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A67613">
            <w:rPr>
              <w:bCs/>
              <w:color w:val="808080" w:themeColor="background1" w:themeShade="80"/>
            </w:rPr>
            <w:t>118</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49876C17"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6EE68EA0" w14:textId="77777777" w:rsidTr="00E31DCE">
      <w:trPr>
        <w:jc w:val="center"/>
      </w:trPr>
      <w:tc>
        <w:tcPr>
          <w:tcW w:w="1803" w:type="dxa"/>
          <w:vAlign w:val="center"/>
        </w:tcPr>
        <w:p w14:paraId="3A3AABB1"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77D98595" w14:textId="2B65D745"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A67613">
            <w:rPr>
              <w:bCs/>
              <w:color w:val="808080" w:themeColor="background1" w:themeShade="80"/>
            </w:rPr>
            <w:t>118</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1DFA86BD"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A40A" w14:textId="77777777" w:rsidR="00E61A32" w:rsidRDefault="00E61A32">
      <w:r>
        <w:t>____________________</w:t>
      </w:r>
    </w:p>
  </w:footnote>
  <w:footnote w:type="continuationSeparator" w:id="0">
    <w:p w14:paraId="2F7AE219" w14:textId="77777777" w:rsidR="00E61A32" w:rsidRDefault="00E6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6918"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7CBD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8829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B6B5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1AB4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A24F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64DD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B028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369A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F216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60E9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9"/>
  </w:num>
  <w:num w:numId="2" w16cid:durableId="501241818">
    <w:abstractNumId w:val="11"/>
  </w:num>
  <w:num w:numId="3" w16cid:durableId="371539808">
    <w:abstractNumId w:val="12"/>
  </w:num>
  <w:num w:numId="4" w16cid:durableId="1525828948">
    <w:abstractNumId w:val="13"/>
  </w:num>
  <w:num w:numId="5" w16cid:durableId="2033219779">
    <w:abstractNumId w:val="15"/>
  </w:num>
  <w:num w:numId="6" w16cid:durableId="349645790">
    <w:abstractNumId w:val="14"/>
  </w:num>
  <w:num w:numId="7" w16cid:durableId="1451586466">
    <w:abstractNumId w:val="10"/>
  </w:num>
  <w:num w:numId="8" w16cid:durableId="318119916">
    <w:abstractNumId w:val="7"/>
  </w:num>
  <w:num w:numId="9" w16cid:durableId="930621264">
    <w:abstractNumId w:val="6"/>
  </w:num>
  <w:num w:numId="10" w16cid:durableId="1746217587">
    <w:abstractNumId w:val="5"/>
  </w:num>
  <w:num w:numId="11" w16cid:durableId="912547127">
    <w:abstractNumId w:val="4"/>
  </w:num>
  <w:num w:numId="12" w16cid:durableId="1504666972">
    <w:abstractNumId w:val="8"/>
  </w:num>
  <w:num w:numId="13" w16cid:durableId="759521865">
    <w:abstractNumId w:val="3"/>
  </w:num>
  <w:num w:numId="14" w16cid:durableId="1967159353">
    <w:abstractNumId w:val="2"/>
  </w:num>
  <w:num w:numId="15" w16cid:durableId="1244145829">
    <w:abstractNumId w:val="1"/>
  </w:num>
  <w:num w:numId="16" w16cid:durableId="1277058390">
    <w:abstractNumId w:val="0"/>
  </w:num>
  <w:num w:numId="17" w16cid:durableId="683441941">
    <w:abstractNumId w:val="8"/>
  </w:num>
  <w:num w:numId="18" w16cid:durableId="865749911">
    <w:abstractNumId w:val="3"/>
  </w:num>
  <w:num w:numId="19" w16cid:durableId="593444171">
    <w:abstractNumId w:val="2"/>
  </w:num>
  <w:num w:numId="20" w16cid:durableId="1672877612">
    <w:abstractNumId w:val="1"/>
  </w:num>
  <w:num w:numId="21" w16cid:durableId="116073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13"/>
    <w:rsid w:val="00001B77"/>
    <w:rsid w:val="0000517A"/>
    <w:rsid w:val="0000538F"/>
    <w:rsid w:val="00031E72"/>
    <w:rsid w:val="000404D2"/>
    <w:rsid w:val="000646BD"/>
    <w:rsid w:val="000853C0"/>
    <w:rsid w:val="00093DD9"/>
    <w:rsid w:val="0009409E"/>
    <w:rsid w:val="00094E04"/>
    <w:rsid w:val="000A1C21"/>
    <w:rsid w:val="000C0BC5"/>
    <w:rsid w:val="000D15EA"/>
    <w:rsid w:val="000D7012"/>
    <w:rsid w:val="00100D84"/>
    <w:rsid w:val="00124C9D"/>
    <w:rsid w:val="001305DE"/>
    <w:rsid w:val="0015333E"/>
    <w:rsid w:val="00157773"/>
    <w:rsid w:val="0018251A"/>
    <w:rsid w:val="00190272"/>
    <w:rsid w:val="001928F2"/>
    <w:rsid w:val="00193244"/>
    <w:rsid w:val="00195C6C"/>
    <w:rsid w:val="00195FED"/>
    <w:rsid w:val="001A4BD6"/>
    <w:rsid w:val="001B6E2B"/>
    <w:rsid w:val="001C1277"/>
    <w:rsid w:val="001D5A18"/>
    <w:rsid w:val="00215132"/>
    <w:rsid w:val="00220C45"/>
    <w:rsid w:val="00224449"/>
    <w:rsid w:val="00277DEA"/>
    <w:rsid w:val="00280EB8"/>
    <w:rsid w:val="002916B4"/>
    <w:rsid w:val="002A1D39"/>
    <w:rsid w:val="002A60C6"/>
    <w:rsid w:val="002A6670"/>
    <w:rsid w:val="002C3F32"/>
    <w:rsid w:val="00303502"/>
    <w:rsid w:val="00325C25"/>
    <w:rsid w:val="00371AC0"/>
    <w:rsid w:val="00372C8F"/>
    <w:rsid w:val="00380ECE"/>
    <w:rsid w:val="00393DDF"/>
    <w:rsid w:val="00397F55"/>
    <w:rsid w:val="003B4454"/>
    <w:rsid w:val="003C2E37"/>
    <w:rsid w:val="003F086E"/>
    <w:rsid w:val="003F1415"/>
    <w:rsid w:val="0040144C"/>
    <w:rsid w:val="00403EB7"/>
    <w:rsid w:val="004178E6"/>
    <w:rsid w:val="00430BF0"/>
    <w:rsid w:val="00465C35"/>
    <w:rsid w:val="004672E6"/>
    <w:rsid w:val="00474ED1"/>
    <w:rsid w:val="00477D57"/>
    <w:rsid w:val="00491BA9"/>
    <w:rsid w:val="00493085"/>
    <w:rsid w:val="004A15CC"/>
    <w:rsid w:val="004A36EC"/>
    <w:rsid w:val="004D163F"/>
    <w:rsid w:val="004D5D6C"/>
    <w:rsid w:val="004E4BFF"/>
    <w:rsid w:val="004F2598"/>
    <w:rsid w:val="005403F7"/>
    <w:rsid w:val="00540632"/>
    <w:rsid w:val="00541CF4"/>
    <w:rsid w:val="005451E8"/>
    <w:rsid w:val="005507F2"/>
    <w:rsid w:val="00555C29"/>
    <w:rsid w:val="00571EDD"/>
    <w:rsid w:val="0057546C"/>
    <w:rsid w:val="005759CC"/>
    <w:rsid w:val="00576C08"/>
    <w:rsid w:val="005A6F60"/>
    <w:rsid w:val="005A72E1"/>
    <w:rsid w:val="005C6632"/>
    <w:rsid w:val="005D1C9E"/>
    <w:rsid w:val="00602842"/>
    <w:rsid w:val="00627357"/>
    <w:rsid w:val="00630DD5"/>
    <w:rsid w:val="00637584"/>
    <w:rsid w:val="00654257"/>
    <w:rsid w:val="0065435A"/>
    <w:rsid w:val="00670D8A"/>
    <w:rsid w:val="006A2DD3"/>
    <w:rsid w:val="006A5113"/>
    <w:rsid w:val="006A5AF8"/>
    <w:rsid w:val="006B5758"/>
    <w:rsid w:val="006C36CD"/>
    <w:rsid w:val="00700D1F"/>
    <w:rsid w:val="007205CB"/>
    <w:rsid w:val="0072138B"/>
    <w:rsid w:val="00726073"/>
    <w:rsid w:val="00730F64"/>
    <w:rsid w:val="00734FE8"/>
    <w:rsid w:val="007360CE"/>
    <w:rsid w:val="0077110E"/>
    <w:rsid w:val="00772315"/>
    <w:rsid w:val="00775157"/>
    <w:rsid w:val="007813AE"/>
    <w:rsid w:val="007A0925"/>
    <w:rsid w:val="007A37DB"/>
    <w:rsid w:val="007E189D"/>
    <w:rsid w:val="007F0210"/>
    <w:rsid w:val="00806E3F"/>
    <w:rsid w:val="00811259"/>
    <w:rsid w:val="00813AA2"/>
    <w:rsid w:val="008173A3"/>
    <w:rsid w:val="008418F5"/>
    <w:rsid w:val="0084546D"/>
    <w:rsid w:val="0086059C"/>
    <w:rsid w:val="00864589"/>
    <w:rsid w:val="00874C82"/>
    <w:rsid w:val="00890AFB"/>
    <w:rsid w:val="00890FC4"/>
    <w:rsid w:val="00895905"/>
    <w:rsid w:val="008F64AD"/>
    <w:rsid w:val="00911230"/>
    <w:rsid w:val="00911867"/>
    <w:rsid w:val="009164A9"/>
    <w:rsid w:val="009258CB"/>
    <w:rsid w:val="0093362E"/>
    <w:rsid w:val="00935FEE"/>
    <w:rsid w:val="00944563"/>
    <w:rsid w:val="00953160"/>
    <w:rsid w:val="009625D8"/>
    <w:rsid w:val="00983878"/>
    <w:rsid w:val="0098459B"/>
    <w:rsid w:val="00997185"/>
    <w:rsid w:val="009A3456"/>
    <w:rsid w:val="009A76A8"/>
    <w:rsid w:val="009C2458"/>
    <w:rsid w:val="009C4A7B"/>
    <w:rsid w:val="009C6123"/>
    <w:rsid w:val="009F1E3E"/>
    <w:rsid w:val="00A01F4F"/>
    <w:rsid w:val="00A109AF"/>
    <w:rsid w:val="00A1213C"/>
    <w:rsid w:val="00A13406"/>
    <w:rsid w:val="00A269BA"/>
    <w:rsid w:val="00A272FF"/>
    <w:rsid w:val="00A5354B"/>
    <w:rsid w:val="00A67613"/>
    <w:rsid w:val="00A71B57"/>
    <w:rsid w:val="00AA2E08"/>
    <w:rsid w:val="00AB42C1"/>
    <w:rsid w:val="00AC516F"/>
    <w:rsid w:val="00AE195F"/>
    <w:rsid w:val="00AE2926"/>
    <w:rsid w:val="00B0184B"/>
    <w:rsid w:val="00B035CD"/>
    <w:rsid w:val="00B0769D"/>
    <w:rsid w:val="00B17507"/>
    <w:rsid w:val="00B217F8"/>
    <w:rsid w:val="00B2748A"/>
    <w:rsid w:val="00B326AA"/>
    <w:rsid w:val="00B332EA"/>
    <w:rsid w:val="00B40A53"/>
    <w:rsid w:val="00B45365"/>
    <w:rsid w:val="00B46A65"/>
    <w:rsid w:val="00B60184"/>
    <w:rsid w:val="00B62D20"/>
    <w:rsid w:val="00B81E75"/>
    <w:rsid w:val="00B91673"/>
    <w:rsid w:val="00B93453"/>
    <w:rsid w:val="00B9445B"/>
    <w:rsid w:val="00BD0954"/>
    <w:rsid w:val="00BD1A5A"/>
    <w:rsid w:val="00BD7A9B"/>
    <w:rsid w:val="00BD7BE1"/>
    <w:rsid w:val="00BF416B"/>
    <w:rsid w:val="00BF49BB"/>
    <w:rsid w:val="00C24DAC"/>
    <w:rsid w:val="00C45EB2"/>
    <w:rsid w:val="00C63BAC"/>
    <w:rsid w:val="00C64E4E"/>
    <w:rsid w:val="00C66E64"/>
    <w:rsid w:val="00C761A0"/>
    <w:rsid w:val="00C85F7E"/>
    <w:rsid w:val="00C90D53"/>
    <w:rsid w:val="00CA0B2E"/>
    <w:rsid w:val="00CA260A"/>
    <w:rsid w:val="00CA6EF7"/>
    <w:rsid w:val="00CD47F0"/>
    <w:rsid w:val="00CD5566"/>
    <w:rsid w:val="00CD64D7"/>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6427"/>
    <w:rsid w:val="00DD62F5"/>
    <w:rsid w:val="00DD66A1"/>
    <w:rsid w:val="00DE196D"/>
    <w:rsid w:val="00DF6B49"/>
    <w:rsid w:val="00E067C5"/>
    <w:rsid w:val="00E24D59"/>
    <w:rsid w:val="00E265BF"/>
    <w:rsid w:val="00E323D0"/>
    <w:rsid w:val="00E34C96"/>
    <w:rsid w:val="00E378D8"/>
    <w:rsid w:val="00E43A12"/>
    <w:rsid w:val="00E61A32"/>
    <w:rsid w:val="00E67C67"/>
    <w:rsid w:val="00E77476"/>
    <w:rsid w:val="00E8228B"/>
    <w:rsid w:val="00E95E11"/>
    <w:rsid w:val="00EB6706"/>
    <w:rsid w:val="00EE5706"/>
    <w:rsid w:val="00EF373D"/>
    <w:rsid w:val="00F11595"/>
    <w:rsid w:val="00F13BC9"/>
    <w:rsid w:val="00F151DB"/>
    <w:rsid w:val="00F357B2"/>
    <w:rsid w:val="00F36556"/>
    <w:rsid w:val="00F6736A"/>
    <w:rsid w:val="00F705DF"/>
    <w:rsid w:val="00F70622"/>
    <w:rsid w:val="00F85624"/>
    <w:rsid w:val="00F87C05"/>
    <w:rsid w:val="00F93191"/>
    <w:rsid w:val="00F93A17"/>
    <w:rsid w:val="00FA2AF6"/>
    <w:rsid w:val="00FB073D"/>
    <w:rsid w:val="00FB1730"/>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69040"/>
  <w15:docId w15:val="{BFF1E3B9-FF4D-4D5C-BCAC-EB867246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mmary">
    <w:name w:val="Summary"/>
    <w:basedOn w:val="Normal"/>
    <w:rsid w:val="002A60C6"/>
    <w:pPr>
      <w:tabs>
        <w:tab w:val="clear" w:pos="794"/>
        <w:tab w:val="clear" w:pos="1191"/>
        <w:tab w:val="clear" w:pos="1588"/>
        <w:tab w:val="clear" w:pos="1985"/>
        <w:tab w:val="left" w:pos="567"/>
        <w:tab w:val="left" w:pos="1134"/>
        <w:tab w:val="left" w:pos="1701"/>
        <w:tab w:val="left" w:pos="2268"/>
        <w:tab w:val="left" w:pos="2835"/>
      </w:tabs>
      <w:spacing w:before="240" w:after="120" w:line="280" w:lineRule="exact"/>
      <w:jc w:val="center"/>
    </w:pPr>
    <w:rPr>
      <w:b/>
      <w:bCs/>
      <w:color w:val="000000"/>
      <w:sz w:val="34"/>
      <w:szCs w:val="3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28/en" TargetMode="External"/><Relationship Id="rId13" Type="http://schemas.openxmlformats.org/officeDocument/2006/relationships/hyperlink" Target="https://www.itu.int/md/S26-CL-C-0028/en" TargetMode="External"/><Relationship Id="rId18" Type="http://schemas.openxmlformats.org/officeDocument/2006/relationships/hyperlink" Target="https://www.itu.int/md/S26-CL-C-0082/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tu.int/md/S26-CL-C-0095/en" TargetMode="External"/><Relationship Id="rId7" Type="http://schemas.openxmlformats.org/officeDocument/2006/relationships/endnotes" Target="endnotes.xml"/><Relationship Id="rId12" Type="http://schemas.openxmlformats.org/officeDocument/2006/relationships/hyperlink" Target="https://www.itu.int/md/S26-CL-C-0095/en" TargetMode="External"/><Relationship Id="rId17" Type="http://schemas.openxmlformats.org/officeDocument/2006/relationships/hyperlink" Target="https://www.itu.int/md/S26-CL-C-0055/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u.int/md/S26-CL-C-0082/en" TargetMode="External"/><Relationship Id="rId20" Type="http://schemas.openxmlformats.org/officeDocument/2006/relationships/hyperlink" Target="https://www.itu.int/md/S26-CL-C-0035/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35/en" TargetMode="External"/><Relationship Id="rId24" Type="http://schemas.openxmlformats.org/officeDocument/2006/relationships/hyperlink" Target="https://www.itu.int/md/S26-CL-INF-0024/en" TargetMode="External"/><Relationship Id="rId5" Type="http://schemas.openxmlformats.org/officeDocument/2006/relationships/webSettings" Target="webSettings.xml"/><Relationship Id="rId15" Type="http://schemas.openxmlformats.org/officeDocument/2006/relationships/hyperlink" Target="https://www.itu.int/md/S26-CL-C-0055/en" TargetMode="External"/><Relationship Id="rId23" Type="http://schemas.openxmlformats.org/officeDocument/2006/relationships/hyperlink" Target="https://www.itu.int/md/S26-CL-INF-0024/en" TargetMode="External"/><Relationship Id="rId28" Type="http://schemas.openxmlformats.org/officeDocument/2006/relationships/fontTable" Target="fontTable.xml"/><Relationship Id="rId10" Type="http://schemas.openxmlformats.org/officeDocument/2006/relationships/hyperlink" Target="https://www.itu.int/md/S26-CL-C-0082/en" TargetMode="External"/><Relationship Id="rId19" Type="http://schemas.openxmlformats.org/officeDocument/2006/relationships/hyperlink" Target="https://www.itu.int/md/S26-CL-C-0035/en" TargetMode="External"/><Relationship Id="rId4" Type="http://schemas.openxmlformats.org/officeDocument/2006/relationships/settings" Target="settings.xml"/><Relationship Id="rId9" Type="http://schemas.openxmlformats.org/officeDocument/2006/relationships/hyperlink" Target="https://www.itu.int/md/S26-CL-C-0055/en" TargetMode="External"/><Relationship Id="rId14" Type="http://schemas.openxmlformats.org/officeDocument/2006/relationships/hyperlink" Target="https://www.itu.int/md/S26-CL-C-0028/en" TargetMode="External"/><Relationship Id="rId22" Type="http://schemas.openxmlformats.org/officeDocument/2006/relationships/hyperlink" Target="https://www.itu.int/md/S26-CL-C-0095/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GS\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0</TotalTime>
  <Pages>6</Pages>
  <Words>1120</Words>
  <Characters>6385</Characters>
  <Application>Microsoft Office Word</Application>
  <DocSecurity>0</DocSecurity>
  <Lines>99</Lines>
  <Paragraphs>22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7483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first Plenary meeting</dc:title>
  <dc:subject>ITU Council 2026</dc:subject>
  <dc:creator>ITUGBS</dc:creator>
  <cp:keywords>C26; C2026; Council 2026; PP26</cp:keywords>
  <dc:description/>
  <cp:lastModifiedBy>ITUGBS</cp:lastModifiedBy>
  <cp:revision>2</cp:revision>
  <cp:lastPrinted>2015-02-24T13:23:00Z</cp:lastPrinted>
  <dcterms:created xsi:type="dcterms:W3CDTF">2026-09-14T08:33:00Z</dcterms:created>
  <dcterms:modified xsi:type="dcterms:W3CDTF">2026-09-14T08:33:00Z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