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9"/>
        <w:gridCol w:w="2972"/>
      </w:tblGrid>
      <w:tr w:rsidR="007B0AA0" w14:paraId="5FB35255" w14:textId="77777777" w:rsidTr="005A195B">
        <w:tc>
          <w:tcPr>
            <w:tcW w:w="6099" w:type="dxa"/>
          </w:tcPr>
          <w:p w14:paraId="50501CC6" w14:textId="21204039" w:rsidR="007B0AA0" w:rsidRPr="007B0AA0" w:rsidRDefault="007B0AA0" w:rsidP="00F363FE">
            <w:pPr>
              <w:spacing w:before="60" w:after="60" w:line="260" w:lineRule="exact"/>
              <w:rPr>
                <w:b/>
                <w:bCs/>
                <w:rtl/>
                <w:lang w:bidi="ar-EG"/>
              </w:rPr>
            </w:pPr>
          </w:p>
        </w:tc>
        <w:tc>
          <w:tcPr>
            <w:tcW w:w="2972" w:type="dxa"/>
          </w:tcPr>
          <w:p w14:paraId="2C6CA99A" w14:textId="6D2459B9" w:rsidR="007B0AA0" w:rsidRPr="007B0AA0" w:rsidRDefault="007B0AA0" w:rsidP="00F363FE">
            <w:pPr>
              <w:spacing w:before="60" w:after="60" w:line="260" w:lineRule="exact"/>
              <w:rPr>
                <w:b/>
                <w:bCs/>
                <w:lang w:bidi="ar-EG"/>
              </w:rPr>
            </w:pPr>
            <w:r w:rsidRPr="007B0AA0">
              <w:rPr>
                <w:rFonts w:hint="cs"/>
                <w:b/>
                <w:bCs/>
                <w:rtl/>
                <w:lang w:bidi="ar-EG"/>
              </w:rPr>
              <w:t xml:space="preserve">الوثيقة </w:t>
            </w:r>
            <w:r w:rsidRPr="007B0AA0">
              <w:rPr>
                <w:b/>
                <w:bCs/>
                <w:lang w:bidi="ar-EG"/>
              </w:rPr>
              <w:t>C2</w:t>
            </w:r>
            <w:r w:rsidR="000116AF">
              <w:rPr>
                <w:b/>
                <w:bCs/>
                <w:lang w:bidi="ar-EG"/>
              </w:rPr>
              <w:t>6</w:t>
            </w:r>
            <w:r w:rsidRPr="007B0AA0">
              <w:rPr>
                <w:b/>
                <w:bCs/>
                <w:lang w:bidi="ar-EG"/>
              </w:rPr>
              <w:t>/</w:t>
            </w:r>
            <w:r w:rsidR="005A195B">
              <w:rPr>
                <w:b/>
                <w:bCs/>
                <w:lang w:bidi="ar-EG"/>
              </w:rPr>
              <w:t>118</w:t>
            </w:r>
            <w:r w:rsidRPr="007B0AA0">
              <w:rPr>
                <w:b/>
                <w:bCs/>
                <w:lang w:bidi="ar-EG"/>
              </w:rPr>
              <w:t>-A</w:t>
            </w:r>
          </w:p>
        </w:tc>
      </w:tr>
      <w:tr w:rsidR="007B0AA0" w14:paraId="613C0062" w14:textId="77777777" w:rsidTr="005A195B">
        <w:tc>
          <w:tcPr>
            <w:tcW w:w="6099" w:type="dxa"/>
          </w:tcPr>
          <w:p w14:paraId="7D6A7B77" w14:textId="77777777" w:rsidR="007B0AA0" w:rsidRPr="007B0AA0" w:rsidRDefault="007B0AA0" w:rsidP="00F363FE">
            <w:pPr>
              <w:spacing w:before="60" w:after="60" w:line="260" w:lineRule="exact"/>
              <w:rPr>
                <w:b/>
                <w:bCs/>
                <w:rtl/>
                <w:lang w:bidi="ar-EG"/>
              </w:rPr>
            </w:pPr>
          </w:p>
        </w:tc>
        <w:tc>
          <w:tcPr>
            <w:tcW w:w="2972" w:type="dxa"/>
          </w:tcPr>
          <w:p w14:paraId="790F7658" w14:textId="766A1966" w:rsidR="007B0AA0" w:rsidRPr="007B0AA0" w:rsidRDefault="001076A1" w:rsidP="00F363FE">
            <w:pPr>
              <w:spacing w:before="60" w:after="60" w:line="260" w:lineRule="exact"/>
              <w:rPr>
                <w:b/>
                <w:bCs/>
                <w:rtl/>
                <w:lang w:bidi="ar-EG"/>
              </w:rPr>
            </w:pPr>
            <w:r>
              <w:rPr>
                <w:rFonts w:hint="cs"/>
                <w:b/>
                <w:bCs/>
                <w:rtl/>
                <w:lang w:bidi="ar-EG"/>
              </w:rPr>
              <w:t>2</w:t>
            </w:r>
            <w:r w:rsidR="00FA5E1C">
              <w:rPr>
                <w:rFonts w:hint="cs"/>
                <w:b/>
                <w:bCs/>
                <w:rtl/>
                <w:lang w:bidi="ar-EG"/>
              </w:rPr>
              <w:t xml:space="preserve"> </w:t>
            </w:r>
            <w:r>
              <w:rPr>
                <w:rFonts w:hint="cs"/>
                <w:b/>
                <w:bCs/>
                <w:rtl/>
                <w:lang w:bidi="ar-EG"/>
              </w:rPr>
              <w:t>سبتمبر</w:t>
            </w:r>
            <w:r w:rsidR="00FA5E1C">
              <w:rPr>
                <w:rFonts w:hint="cs"/>
                <w:b/>
                <w:bCs/>
                <w:rtl/>
                <w:lang w:bidi="ar-EG"/>
              </w:rPr>
              <w:t xml:space="preserve"> </w:t>
            </w:r>
            <w:r w:rsidR="005A195B">
              <w:rPr>
                <w:rFonts w:hint="cs"/>
                <w:b/>
                <w:bCs/>
                <w:rtl/>
                <w:lang w:bidi="ar-EG"/>
              </w:rPr>
              <w:t>2026</w:t>
            </w:r>
          </w:p>
        </w:tc>
      </w:tr>
      <w:tr w:rsidR="007B0AA0" w14:paraId="751CA70A" w14:textId="77777777" w:rsidTr="005A195B">
        <w:tc>
          <w:tcPr>
            <w:tcW w:w="6099" w:type="dxa"/>
          </w:tcPr>
          <w:p w14:paraId="55E79787" w14:textId="77777777" w:rsidR="007B0AA0" w:rsidRPr="007B0AA0" w:rsidRDefault="007B0AA0" w:rsidP="00F363FE">
            <w:pPr>
              <w:spacing w:before="60" w:after="60" w:line="260" w:lineRule="exact"/>
              <w:rPr>
                <w:b/>
                <w:bCs/>
                <w:rtl/>
                <w:lang w:bidi="ar-EG"/>
              </w:rPr>
            </w:pPr>
          </w:p>
        </w:tc>
        <w:tc>
          <w:tcPr>
            <w:tcW w:w="2972" w:type="dxa"/>
          </w:tcPr>
          <w:p w14:paraId="30ACED69"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348C5108" w14:textId="77777777" w:rsidTr="005A195B">
        <w:tc>
          <w:tcPr>
            <w:tcW w:w="6099" w:type="dxa"/>
          </w:tcPr>
          <w:p w14:paraId="674118ED" w14:textId="77777777" w:rsidR="007B0AA0" w:rsidRDefault="007B0AA0" w:rsidP="00F363FE">
            <w:pPr>
              <w:spacing w:before="60" w:after="60" w:line="260" w:lineRule="exact"/>
              <w:rPr>
                <w:lang w:bidi="ar-EG"/>
              </w:rPr>
            </w:pPr>
          </w:p>
        </w:tc>
        <w:tc>
          <w:tcPr>
            <w:tcW w:w="2972" w:type="dxa"/>
          </w:tcPr>
          <w:p w14:paraId="47662453" w14:textId="77777777" w:rsidR="007B0AA0" w:rsidRDefault="007B0AA0" w:rsidP="00F363FE">
            <w:pPr>
              <w:spacing w:before="60" w:after="60" w:line="260" w:lineRule="exact"/>
              <w:rPr>
                <w:rtl/>
                <w:lang w:bidi="ar-EG"/>
              </w:rPr>
            </w:pPr>
          </w:p>
        </w:tc>
      </w:tr>
      <w:tr w:rsidR="007B0AA0" w14:paraId="4A5B5038" w14:textId="77777777" w:rsidTr="005A195B">
        <w:tc>
          <w:tcPr>
            <w:tcW w:w="9071" w:type="dxa"/>
            <w:gridSpan w:val="2"/>
          </w:tcPr>
          <w:p w14:paraId="060D6153" w14:textId="4D146004" w:rsidR="007B0AA0" w:rsidRDefault="005A195B" w:rsidP="005A195B">
            <w:pPr>
              <w:pStyle w:val="Source"/>
              <w:rPr>
                <w:lang w:bidi="ar-EG"/>
              </w:rPr>
            </w:pPr>
            <w:r w:rsidRPr="005A195B">
              <w:rPr>
                <w:rtl/>
              </w:rPr>
              <w:t>محضر موجز للجلسة العامة الأولى</w:t>
            </w:r>
          </w:p>
        </w:tc>
      </w:tr>
      <w:tr w:rsidR="007B0AA0" w14:paraId="14CCB23B" w14:textId="77777777" w:rsidTr="005A195B">
        <w:tc>
          <w:tcPr>
            <w:tcW w:w="9071" w:type="dxa"/>
            <w:gridSpan w:val="2"/>
            <w:tcBorders>
              <w:bottom w:val="single" w:sz="4" w:space="0" w:color="auto"/>
            </w:tcBorders>
          </w:tcPr>
          <w:p w14:paraId="2C214E7C" w14:textId="42A6777A" w:rsidR="007B0AA0" w:rsidRPr="005546CF" w:rsidRDefault="005A195B" w:rsidP="005A195B">
            <w:pPr>
              <w:jc w:val="center"/>
            </w:pPr>
            <w:r w:rsidRPr="005A195B">
              <w:rPr>
                <w:rtl/>
              </w:rPr>
              <w:t>الثلاثاء، 28 أبريل 2026، من الساعة 14:35 إلى الساعة 17:45</w:t>
            </w:r>
            <w:r>
              <w:rPr>
                <w:rtl/>
              </w:rPr>
              <w:br/>
            </w:r>
            <w:r w:rsidRPr="005A195B">
              <w:rPr>
                <w:rtl/>
              </w:rPr>
              <w:t>الرئيس: السيد ب. تيجاني (نيجيريا)</w:t>
            </w:r>
          </w:p>
        </w:tc>
      </w:tr>
    </w:tbl>
    <w:tbl>
      <w:tblPr>
        <w:bidiVisual/>
        <w:tblW w:w="5000" w:type="pct"/>
        <w:jc w:val="center"/>
        <w:tblLayout w:type="fixed"/>
        <w:tblLook w:val="04A0" w:firstRow="1" w:lastRow="0" w:firstColumn="1" w:lastColumn="0" w:noHBand="0" w:noVBand="1"/>
      </w:tblPr>
      <w:tblGrid>
        <w:gridCol w:w="443"/>
        <w:gridCol w:w="6490"/>
        <w:gridCol w:w="2138"/>
      </w:tblGrid>
      <w:tr w:rsidR="005A195B" w:rsidRPr="00BC4508" w14:paraId="17916E46" w14:textId="77777777" w:rsidTr="005A195B">
        <w:trPr>
          <w:jc w:val="center"/>
        </w:trPr>
        <w:tc>
          <w:tcPr>
            <w:tcW w:w="443" w:type="dxa"/>
          </w:tcPr>
          <w:p w14:paraId="6D857A5C" w14:textId="77777777" w:rsidR="005A195B" w:rsidRPr="00BC4508" w:rsidRDefault="005A195B" w:rsidP="005A195B">
            <w:pPr>
              <w:spacing w:before="480"/>
              <w:rPr>
                <w:b/>
                <w:bCs/>
                <w:szCs w:val="24"/>
                <w:lang w:val="en-GB"/>
              </w:rPr>
            </w:pPr>
            <w:r w:rsidRPr="00BC4508">
              <w:rPr>
                <w:b/>
                <w:bCs/>
                <w:szCs w:val="24"/>
                <w:lang w:val="en-GB"/>
              </w:rPr>
              <w:br w:type="page"/>
            </w:r>
            <w:r w:rsidRPr="00BC4508">
              <w:rPr>
                <w:b/>
                <w:bCs/>
                <w:szCs w:val="24"/>
                <w:lang w:val="en-GB"/>
              </w:rPr>
              <w:br w:type="page"/>
            </w:r>
          </w:p>
        </w:tc>
        <w:tc>
          <w:tcPr>
            <w:tcW w:w="6490" w:type="dxa"/>
            <w:hideMark/>
          </w:tcPr>
          <w:p w14:paraId="34B412C9" w14:textId="6DD35EF0" w:rsidR="005A195B" w:rsidRPr="00BC4508" w:rsidRDefault="005A195B" w:rsidP="005A195B">
            <w:pPr>
              <w:spacing w:before="480"/>
              <w:rPr>
                <w:b/>
                <w:bCs/>
                <w:szCs w:val="24"/>
                <w:lang w:val="en-GB"/>
              </w:rPr>
            </w:pPr>
            <w:r w:rsidRPr="008A74BD">
              <w:rPr>
                <w:b/>
                <w:bCs/>
                <w:color w:val="000000"/>
                <w:rtl/>
              </w:rPr>
              <w:t>المواضيع التي نوقشت</w:t>
            </w:r>
          </w:p>
        </w:tc>
        <w:tc>
          <w:tcPr>
            <w:tcW w:w="2138" w:type="dxa"/>
            <w:hideMark/>
          </w:tcPr>
          <w:p w14:paraId="7B416A21" w14:textId="252D4DA7" w:rsidR="005A195B" w:rsidRPr="00BC4508" w:rsidRDefault="005A195B" w:rsidP="005A195B">
            <w:pPr>
              <w:spacing w:before="480"/>
              <w:jc w:val="center"/>
              <w:rPr>
                <w:b/>
                <w:bCs/>
                <w:szCs w:val="24"/>
                <w:lang w:val="en-GB"/>
              </w:rPr>
            </w:pPr>
            <w:r w:rsidRPr="008A74BD">
              <w:rPr>
                <w:b/>
                <w:bCs/>
                <w:color w:val="000000"/>
                <w:rtl/>
              </w:rPr>
              <w:t>الوثائق</w:t>
            </w:r>
          </w:p>
        </w:tc>
      </w:tr>
      <w:tr w:rsidR="005A195B" w:rsidRPr="00BC4508" w14:paraId="0ED16B8E" w14:textId="77777777" w:rsidTr="005A195B">
        <w:trPr>
          <w:trHeight w:val="20"/>
          <w:jc w:val="center"/>
        </w:trPr>
        <w:tc>
          <w:tcPr>
            <w:tcW w:w="443" w:type="dxa"/>
            <w:hideMark/>
          </w:tcPr>
          <w:p w14:paraId="414037B1" w14:textId="77777777" w:rsidR="005A195B" w:rsidRPr="00BC4508" w:rsidRDefault="005A195B" w:rsidP="005A195B">
            <w:pPr>
              <w:spacing w:before="80" w:after="80"/>
              <w:rPr>
                <w:lang w:val="en-GB"/>
              </w:rPr>
            </w:pPr>
            <w:r w:rsidRPr="00BC4508">
              <w:rPr>
                <w:lang w:val="en-GB"/>
              </w:rPr>
              <w:t>1</w:t>
            </w:r>
          </w:p>
        </w:tc>
        <w:tc>
          <w:tcPr>
            <w:tcW w:w="6490" w:type="dxa"/>
          </w:tcPr>
          <w:p w14:paraId="57A546FC" w14:textId="693F174D" w:rsidR="005A195B" w:rsidRPr="00BC4508" w:rsidRDefault="005A195B" w:rsidP="005A195B">
            <w:pPr>
              <w:spacing w:before="80" w:after="80"/>
              <w:rPr>
                <w:lang w:val="en-GB"/>
              </w:rPr>
            </w:pPr>
            <w:r w:rsidRPr="008A74BD">
              <w:rPr>
                <w:color w:val="000000"/>
                <w:rtl/>
              </w:rPr>
              <w:t xml:space="preserve">مشروع الخطة التشغيلية الرباعية المتجددة للاتحاد للفترة </w:t>
            </w:r>
            <w:r w:rsidRPr="008A74BD">
              <w:rPr>
                <w:color w:val="000000"/>
                <w:szCs w:val="20"/>
                <w:rtl/>
              </w:rPr>
              <w:t>2027-2030 (</w:t>
            </w:r>
            <w:r>
              <w:rPr>
                <w:rFonts w:hint="eastAsia"/>
                <w:color w:val="000000"/>
                <w:szCs w:val="20"/>
                <w:rtl/>
                <w:lang w:bidi="ar-EG"/>
              </w:rPr>
              <w:t> </w:t>
            </w:r>
            <w:r w:rsidRPr="005A195B">
              <w:rPr>
                <w:i/>
                <w:iCs/>
                <w:color w:val="000000"/>
                <w:rtl/>
              </w:rPr>
              <w:t>تابع</w:t>
            </w:r>
            <w:r w:rsidRPr="008A74BD">
              <w:rPr>
                <w:color w:val="000000"/>
                <w:szCs w:val="20"/>
                <w:rtl/>
              </w:rPr>
              <w:t>)</w:t>
            </w:r>
          </w:p>
        </w:tc>
        <w:tc>
          <w:tcPr>
            <w:tcW w:w="2138" w:type="dxa"/>
          </w:tcPr>
          <w:p w14:paraId="7AA10889" w14:textId="77777777" w:rsidR="005A195B" w:rsidRPr="00BC4508" w:rsidRDefault="005A195B" w:rsidP="005A195B">
            <w:pPr>
              <w:spacing w:before="80" w:after="80"/>
              <w:jc w:val="center"/>
              <w:rPr>
                <w:lang w:val="en-GB"/>
              </w:rPr>
            </w:pPr>
            <w:hyperlink r:id="rId8" w:history="1">
              <w:r w:rsidRPr="00BC4508">
                <w:rPr>
                  <w:rStyle w:val="Hyperlink"/>
                  <w:rFonts w:cs="Calibri"/>
                  <w:szCs w:val="24"/>
                </w:rPr>
                <w:t>C26/28</w:t>
              </w:r>
            </w:hyperlink>
          </w:p>
        </w:tc>
      </w:tr>
      <w:tr w:rsidR="005A195B" w:rsidRPr="00BC4508" w14:paraId="49EC4536" w14:textId="77777777" w:rsidTr="005A195B">
        <w:trPr>
          <w:trHeight w:val="20"/>
          <w:jc w:val="center"/>
        </w:trPr>
        <w:tc>
          <w:tcPr>
            <w:tcW w:w="443" w:type="dxa"/>
          </w:tcPr>
          <w:p w14:paraId="1317DCC3" w14:textId="77777777" w:rsidR="005A195B" w:rsidRPr="00BC4508" w:rsidRDefault="005A195B" w:rsidP="005A195B">
            <w:pPr>
              <w:spacing w:before="80" w:after="80"/>
              <w:rPr>
                <w:lang w:val="en-GB"/>
              </w:rPr>
            </w:pPr>
            <w:r w:rsidRPr="00BC4508">
              <w:rPr>
                <w:lang w:val="en-GB"/>
              </w:rPr>
              <w:t>2</w:t>
            </w:r>
          </w:p>
        </w:tc>
        <w:tc>
          <w:tcPr>
            <w:tcW w:w="6490" w:type="dxa"/>
          </w:tcPr>
          <w:p w14:paraId="157CE4D5" w14:textId="14E4EECF" w:rsidR="005A195B" w:rsidRPr="005A195B" w:rsidRDefault="005A195B" w:rsidP="005A195B">
            <w:pPr>
              <w:spacing w:before="80" w:after="80"/>
              <w:rPr>
                <w:rFonts w:asciiTheme="minorHAnsi" w:hAnsiTheme="minorHAnsi" w:cstheme="minorHAnsi"/>
                <w:color w:val="2F2F2F"/>
                <w:shd w:val="clear" w:color="auto" w:fill="FFFFFF"/>
              </w:rPr>
            </w:pPr>
            <w:r w:rsidRPr="008A74BD">
              <w:rPr>
                <w:color w:val="000000"/>
                <w:rtl/>
              </w:rPr>
              <w:t>معلومات محدّثة بشأن عملية التحول للاتحاد - بناء اتحاد فعاّل ومرن ومواكب للمستقبل</w:t>
            </w:r>
          </w:p>
        </w:tc>
        <w:tc>
          <w:tcPr>
            <w:tcW w:w="2138" w:type="dxa"/>
            <w:vAlign w:val="center"/>
          </w:tcPr>
          <w:p w14:paraId="7363777F" w14:textId="1D821921" w:rsidR="005A195B" w:rsidRPr="00BC4508" w:rsidRDefault="005A195B" w:rsidP="005A195B">
            <w:pPr>
              <w:spacing w:before="80" w:after="80"/>
              <w:jc w:val="center"/>
              <w:rPr>
                <w:lang w:val="en-GB"/>
              </w:rPr>
            </w:pPr>
            <w:hyperlink r:id="rId9" w:history="1">
              <w:r w:rsidRPr="00BC4508">
                <w:rPr>
                  <w:rStyle w:val="Hyperlink"/>
                  <w:rFonts w:cs="Calibri"/>
                  <w:szCs w:val="24"/>
                </w:rPr>
                <w:t>C26/55</w:t>
              </w:r>
            </w:hyperlink>
            <w:r>
              <w:rPr>
                <w:rFonts w:hint="cs"/>
                <w:szCs w:val="24"/>
                <w:rtl/>
                <w:lang w:val="en-GB"/>
              </w:rPr>
              <w:t xml:space="preserve">، </w:t>
            </w:r>
            <w:hyperlink r:id="rId10" w:history="1">
              <w:r w:rsidRPr="00BC4508">
                <w:rPr>
                  <w:rStyle w:val="Hyperlink"/>
                  <w:szCs w:val="24"/>
                </w:rPr>
                <w:t>C26/82</w:t>
              </w:r>
            </w:hyperlink>
          </w:p>
        </w:tc>
      </w:tr>
      <w:tr w:rsidR="005A195B" w:rsidRPr="00BC4508" w14:paraId="6D6451F3" w14:textId="77777777" w:rsidTr="005A195B">
        <w:trPr>
          <w:trHeight w:val="20"/>
          <w:jc w:val="center"/>
        </w:trPr>
        <w:tc>
          <w:tcPr>
            <w:tcW w:w="443" w:type="dxa"/>
          </w:tcPr>
          <w:p w14:paraId="08280F0C" w14:textId="77777777" w:rsidR="005A195B" w:rsidRPr="00BC4508" w:rsidRDefault="005A195B" w:rsidP="005A195B">
            <w:pPr>
              <w:spacing w:before="80" w:after="80"/>
              <w:rPr>
                <w:lang w:val="en-GB"/>
              </w:rPr>
            </w:pPr>
            <w:r w:rsidRPr="00BC4508">
              <w:rPr>
                <w:lang w:val="en-GB"/>
              </w:rPr>
              <w:t>3</w:t>
            </w:r>
          </w:p>
        </w:tc>
        <w:tc>
          <w:tcPr>
            <w:tcW w:w="6490" w:type="dxa"/>
          </w:tcPr>
          <w:p w14:paraId="03D5FE74" w14:textId="75742D04" w:rsidR="005A195B" w:rsidRPr="00BC4508" w:rsidRDefault="005A195B" w:rsidP="005A195B">
            <w:pPr>
              <w:spacing w:before="80" w:after="80"/>
              <w:rPr>
                <w:lang w:val="en-GB"/>
              </w:rPr>
            </w:pPr>
            <w:r w:rsidRPr="008A74BD">
              <w:rPr>
                <w:color w:val="000000"/>
                <w:rtl/>
              </w:rPr>
              <w:t xml:space="preserve">تقرير عن تنفيذ الخطة الاستراتيجية للاتحاد وأنشطته للفترة </w:t>
            </w:r>
            <w:r w:rsidRPr="008A74BD">
              <w:rPr>
                <w:color w:val="000000"/>
                <w:szCs w:val="20"/>
                <w:rtl/>
              </w:rPr>
              <w:t>2022-2025</w:t>
            </w:r>
          </w:p>
        </w:tc>
        <w:tc>
          <w:tcPr>
            <w:tcW w:w="2138" w:type="dxa"/>
          </w:tcPr>
          <w:p w14:paraId="438F595E" w14:textId="77777777" w:rsidR="005A195B" w:rsidRPr="00BC4508" w:rsidRDefault="005A195B" w:rsidP="005A195B">
            <w:pPr>
              <w:spacing w:before="80" w:after="80"/>
              <w:jc w:val="center"/>
              <w:rPr>
                <w:lang w:val="en-GB"/>
              </w:rPr>
            </w:pPr>
            <w:hyperlink r:id="rId11" w:history="1">
              <w:r w:rsidRPr="00BC4508">
                <w:rPr>
                  <w:rStyle w:val="Hyperlink"/>
                  <w:rFonts w:cs="Calibri"/>
                  <w:szCs w:val="24"/>
                </w:rPr>
                <w:t>C26/35</w:t>
              </w:r>
            </w:hyperlink>
          </w:p>
        </w:tc>
      </w:tr>
      <w:tr w:rsidR="005A195B" w:rsidRPr="00BC4508" w14:paraId="060A60FB" w14:textId="77777777" w:rsidTr="005A195B">
        <w:trPr>
          <w:trHeight w:val="20"/>
          <w:jc w:val="center"/>
        </w:trPr>
        <w:tc>
          <w:tcPr>
            <w:tcW w:w="443" w:type="dxa"/>
          </w:tcPr>
          <w:p w14:paraId="3CA8B936" w14:textId="77777777" w:rsidR="005A195B" w:rsidRPr="00BC4508" w:rsidRDefault="005A195B" w:rsidP="005A195B">
            <w:pPr>
              <w:spacing w:before="80" w:after="80"/>
              <w:rPr>
                <w:lang w:val="en-GB"/>
              </w:rPr>
            </w:pPr>
            <w:r w:rsidRPr="00BC4508">
              <w:rPr>
                <w:lang w:val="en-GB"/>
              </w:rPr>
              <w:t>4</w:t>
            </w:r>
          </w:p>
        </w:tc>
        <w:tc>
          <w:tcPr>
            <w:tcW w:w="6490" w:type="dxa"/>
          </w:tcPr>
          <w:p w14:paraId="2FD60FAE" w14:textId="02D878D2" w:rsidR="005A195B" w:rsidRPr="00BC4508" w:rsidRDefault="005A195B" w:rsidP="005A195B">
            <w:pPr>
              <w:spacing w:before="80" w:after="80"/>
              <w:rPr>
                <w:lang w:val="en-GB"/>
              </w:rPr>
            </w:pPr>
            <w:r w:rsidRPr="008A74BD">
              <w:rPr>
                <w:color w:val="000000"/>
                <w:rtl/>
              </w:rPr>
              <w:t>الأثر على البنية التحتية المدنية للاتصالات/تكنولوجيا المعلومات والاتصالات في البحرين والكويت والإمارات العربية المتحدة والأردن، وتداعياته على التوصيلية الإقليمية والعالمية</w:t>
            </w:r>
          </w:p>
        </w:tc>
        <w:tc>
          <w:tcPr>
            <w:tcW w:w="2138" w:type="dxa"/>
          </w:tcPr>
          <w:p w14:paraId="42244F7E" w14:textId="77777777" w:rsidR="005A195B" w:rsidRPr="00BC4508" w:rsidRDefault="005A195B" w:rsidP="005A195B">
            <w:pPr>
              <w:spacing w:before="80" w:after="80"/>
              <w:jc w:val="center"/>
              <w:rPr>
                <w:lang w:val="en-GB"/>
              </w:rPr>
            </w:pPr>
            <w:hyperlink r:id="rId12" w:history="1">
              <w:r w:rsidRPr="00BC4508">
                <w:rPr>
                  <w:rStyle w:val="Hyperlink"/>
                  <w:rFonts w:eastAsia="Times New Roman" w:cs="Times New Roman"/>
                  <w:szCs w:val="20"/>
                </w:rPr>
                <w:t>C26/95(Rev.1)</w:t>
              </w:r>
            </w:hyperlink>
          </w:p>
        </w:tc>
      </w:tr>
      <w:tr w:rsidR="005A195B" w:rsidRPr="00BC4508" w14:paraId="6520AADD" w14:textId="77777777" w:rsidTr="005A195B">
        <w:trPr>
          <w:trHeight w:val="20"/>
          <w:jc w:val="center"/>
        </w:trPr>
        <w:tc>
          <w:tcPr>
            <w:tcW w:w="443" w:type="dxa"/>
          </w:tcPr>
          <w:p w14:paraId="5737263E" w14:textId="77777777" w:rsidR="005A195B" w:rsidRPr="00BC4508" w:rsidRDefault="005A195B" w:rsidP="005A195B">
            <w:pPr>
              <w:spacing w:before="80" w:after="80"/>
              <w:rPr>
                <w:lang w:val="en-GB"/>
              </w:rPr>
            </w:pPr>
            <w:r w:rsidRPr="00BC4508">
              <w:rPr>
                <w:lang w:val="en-GB"/>
              </w:rPr>
              <w:t>5</w:t>
            </w:r>
          </w:p>
        </w:tc>
        <w:tc>
          <w:tcPr>
            <w:tcW w:w="6490" w:type="dxa"/>
          </w:tcPr>
          <w:p w14:paraId="79C3070A" w14:textId="1A37C9A2" w:rsidR="005A195B" w:rsidRPr="00BC4508" w:rsidRDefault="005A195B" w:rsidP="005A195B">
            <w:pPr>
              <w:spacing w:before="80" w:after="80"/>
              <w:rPr>
                <w:lang w:val="en-GB" w:eastAsia="en-GB"/>
              </w:rPr>
            </w:pPr>
            <w:r w:rsidRPr="008A74BD">
              <w:rPr>
                <w:color w:val="000000"/>
                <w:rtl/>
              </w:rPr>
              <w:t>بيانات أدلى بها أعضاء المجلس</w:t>
            </w:r>
          </w:p>
        </w:tc>
        <w:tc>
          <w:tcPr>
            <w:tcW w:w="2138" w:type="dxa"/>
          </w:tcPr>
          <w:p w14:paraId="49F207C3" w14:textId="77777777" w:rsidR="005A195B" w:rsidRPr="00BC4508" w:rsidRDefault="005A195B" w:rsidP="005A195B">
            <w:pPr>
              <w:spacing w:before="80" w:after="80"/>
              <w:jc w:val="center"/>
              <w:rPr>
                <w:lang w:val="en-GB"/>
              </w:rPr>
            </w:pPr>
            <w:r w:rsidRPr="00BC4508">
              <w:rPr>
                <w:rFonts w:cs="Calibri"/>
                <w:lang w:val="en-GB"/>
              </w:rPr>
              <w:t>–</w:t>
            </w:r>
          </w:p>
        </w:tc>
      </w:tr>
    </w:tbl>
    <w:p w14:paraId="3CFBDC98" w14:textId="77777777" w:rsidR="00E61BE8" w:rsidRDefault="00E61BE8" w:rsidP="00E61BE8">
      <w:pPr>
        <w:rPr>
          <w:rtl/>
          <w:lang w:bidi="ar-EG"/>
        </w:rPr>
      </w:pPr>
    </w:p>
    <w:p w14:paraId="254A789B" w14:textId="77777777" w:rsidR="00F50E3F" w:rsidRDefault="00F50E3F" w:rsidP="0043260A">
      <w:pPr>
        <w:rPr>
          <w:rtl/>
          <w:lang w:bidi="ar-EG"/>
        </w:rPr>
      </w:pPr>
      <w:r>
        <w:rPr>
          <w:rtl/>
          <w:lang w:bidi="ar-EG"/>
        </w:rPr>
        <w:br w:type="page"/>
      </w:r>
    </w:p>
    <w:p w14:paraId="36136B17" w14:textId="6F846D45" w:rsidR="005A195B" w:rsidRPr="005A195B" w:rsidRDefault="005A195B" w:rsidP="005A195B">
      <w:pPr>
        <w:pStyle w:val="Heading1"/>
        <w:rPr>
          <w:lang w:val="ar-SA" w:bidi="ar-EG"/>
        </w:rPr>
      </w:pPr>
      <w:r w:rsidRPr="005A195B">
        <w:rPr>
          <w:rtl/>
        </w:rPr>
        <w:lastRenderedPageBreak/>
        <w:t>1</w:t>
      </w:r>
      <w:r w:rsidRPr="005A195B">
        <w:rPr>
          <w:rtl/>
        </w:rPr>
        <w:tab/>
        <w:t xml:space="preserve">مشروع الخطة التشغيلية الرباعية المتجددة للاتحاد للفترة </w:t>
      </w:r>
      <w:r>
        <w:t>2030-2027</w:t>
      </w:r>
      <w:r w:rsidRPr="005A195B">
        <w:rPr>
          <w:rtl/>
        </w:rPr>
        <w:t xml:space="preserve"> (</w:t>
      </w:r>
      <w:r>
        <w:rPr>
          <w:rFonts w:hint="cs"/>
          <w:rtl/>
        </w:rPr>
        <w:t> </w:t>
      </w:r>
      <w:r w:rsidRPr="005A195B">
        <w:rPr>
          <w:i/>
          <w:iCs/>
          <w:rtl/>
        </w:rPr>
        <w:t>تابع</w:t>
      </w:r>
      <w:r w:rsidRPr="005A195B">
        <w:rPr>
          <w:rtl/>
        </w:rPr>
        <w:t>) (الوثيقة</w:t>
      </w:r>
      <w:r>
        <w:rPr>
          <w:rFonts w:hint="cs"/>
          <w:rtl/>
        </w:rPr>
        <w:t> </w:t>
      </w:r>
      <w:hyperlink r:id="rId13" w:history="1">
        <w:r w:rsidRPr="005A195B">
          <w:rPr>
            <w:rStyle w:val="Hyperlink"/>
            <w:noProof w:val="0"/>
            <w:lang w:eastAsia="zh-CN"/>
          </w:rPr>
          <w:t>C26/28</w:t>
        </w:r>
      </w:hyperlink>
      <w:r>
        <w:rPr>
          <w:rFonts w:hint="cs"/>
          <w:rtl/>
          <w:lang w:bidi="ar-EG"/>
        </w:rPr>
        <w:t>)</w:t>
      </w:r>
    </w:p>
    <w:p w14:paraId="22001A7D" w14:textId="7E4F6126" w:rsidR="005A195B" w:rsidRPr="005A195B" w:rsidRDefault="005A195B" w:rsidP="005A195B">
      <w:pPr>
        <w:rPr>
          <w:lang w:val="ar-SA" w:bidi="ar-EG"/>
        </w:rPr>
      </w:pPr>
      <w:bookmarkStart w:id="0" w:name="_Hlk201404443"/>
      <w:r>
        <w:t>1.1</w:t>
      </w:r>
      <w:r w:rsidRPr="005A195B">
        <w:rPr>
          <w:rtl/>
        </w:rPr>
        <w:tab/>
        <w:t xml:space="preserve">فيما واصل العديد من أعضاء المجلس المناقشات الدائرة في الجلسة العامة الافتتاحية، أكدوا أن مشروع الخطة التشغيلية للاتحاد للفترة </w:t>
      </w:r>
      <w:r>
        <w:t>2030-2028</w:t>
      </w:r>
      <w:r>
        <w:rPr>
          <w:rFonts w:hint="cs"/>
          <w:rtl/>
          <w:lang w:bidi="ar-EG"/>
        </w:rPr>
        <w:t xml:space="preserve"> </w:t>
      </w:r>
      <w:r w:rsidRPr="005A195B">
        <w:rPr>
          <w:rtl/>
        </w:rPr>
        <w:t>يستند إلى مشروعي الخطتين الاستراتيجية والمالية للاتحاد للفترة</w:t>
      </w:r>
      <w:r>
        <w:rPr>
          <w:rFonts w:hint="cs"/>
          <w:rtl/>
        </w:rPr>
        <w:t> </w:t>
      </w:r>
      <w:r>
        <w:t>2031</w:t>
      </w:r>
      <w:r>
        <w:noBreakHyphen/>
        <w:t>2028</w:t>
      </w:r>
      <w:r w:rsidRPr="005A195B">
        <w:rPr>
          <w:rtl/>
        </w:rPr>
        <w:t xml:space="preserve">، اللذين لم يوافق عليهما بَعْد مؤتمر المندوبين المفوضين وسيتطلب مناقشات إضافية. واستفسر أحد أعضاء المجلس عن إدراج تعبئة الموارد في الجدول 2 من الوثيقة C26/28 بوصفه تكلفة، وليس نشاطاً لتوليد الدخل، وعن الأولويات والمؤشرات الواردة في الملحق </w:t>
      </w:r>
      <w:r w:rsidRPr="005A195B">
        <w:rPr>
          <w:lang w:bidi="ar-EG"/>
        </w:rPr>
        <w:t>B</w:t>
      </w:r>
      <w:r w:rsidRPr="005A195B">
        <w:rPr>
          <w:rtl/>
        </w:rPr>
        <w:t xml:space="preserve">، والتي لم تحظَ بعد بتوافق في الآراء. وطلب عضو آخر معلومات عن مفاهيم الميزنة التي تقوم عليها صياغة مشاريع الخطط المختلفة وتداعياتها على عملية الموافقة اللاحقة، والتمس توضيحاً عن مختلف النسب المئوية الواردة في الوثيقة وشدد على الحاجة إلى صلة واضحة بين الخطط الاستراتيجية والمالية والتشغيلية للاتحاد سعياً إلى تحقيق إدارة فعالة على أساس النتائج. وتساءل عضو ثالث عن النسبة النسبية لتكاليف تنفيذ البرامج المباشرة إلى تكاليف الدعم المركزية المخصصة وعن كيفية إبراز أعمال التنفيذ الإقليمية في مشاريع الخطط. ووجه أحد المراقبين الانتباه إلى التوصية 2/2026 للجنة الاستشارية المستقلة للإدارة </w:t>
      </w:r>
      <w:r w:rsidRPr="005A195B">
        <w:rPr>
          <w:lang w:bidi="ar-EG"/>
        </w:rPr>
        <w:t>(IMAC)</w:t>
      </w:r>
      <w:r w:rsidRPr="005A195B">
        <w:rPr>
          <w:rtl/>
        </w:rPr>
        <w:t>، فأشار إلى الحاجة إلى مزيد من الوضوح في وثائق ميزانية الاتحاد بشكل عام ومشاريع الخطط التشغيلية بشكل خاص، واستفسر عن توزيع تكاليف عام 2027 حسب الأولوية المواضيعية والقطاع على النحو المبين في الجدول 1. وفي عدة حالات، تجاوزت التكاليف المدرجة للأمانة العامة تكاليف مكتب واحد أو أكثر من المكاتب من أجل الأولوية المواضيعية نفسها.</w:t>
      </w:r>
    </w:p>
    <w:p w14:paraId="7904EBAC" w14:textId="1452A4BB" w:rsidR="005A195B" w:rsidRPr="005A195B" w:rsidRDefault="005A195B" w:rsidP="005A195B">
      <w:pPr>
        <w:rPr>
          <w:lang w:val="ar-SA" w:bidi="ar-EG"/>
        </w:rPr>
      </w:pPr>
      <w:r>
        <w:rPr>
          <w:lang w:bidi="ar-EG"/>
        </w:rPr>
        <w:t>2.1</w:t>
      </w:r>
      <w:r w:rsidRPr="005A195B">
        <w:rPr>
          <w:rtl/>
        </w:rPr>
        <w:tab/>
        <w:t xml:space="preserve">ورد رئيس دائرة إدارة الموارد المالية </w:t>
      </w:r>
      <w:r w:rsidRPr="005A195B">
        <w:rPr>
          <w:lang w:bidi="ar-EG"/>
        </w:rPr>
        <w:t>(FRMD)</w:t>
      </w:r>
      <w:r w:rsidRPr="005A195B">
        <w:rPr>
          <w:rtl/>
        </w:rPr>
        <w:t xml:space="preserve"> على الأسئلة، فقال إن مخصصات المنتدى العالمي لسياسات الاتصالات/تكنولوجيا المعلومات والاتصالات البالغة </w:t>
      </w:r>
      <w:r>
        <w:t>779 000</w:t>
      </w:r>
      <w:r w:rsidRPr="005A195B">
        <w:rPr>
          <w:rtl/>
        </w:rPr>
        <w:t xml:space="preserve"> فرنك سويسري مثلت تكاليف مباشرة وغير مباشرة. وأوضح أن الشيء نفسه ينطبق على تقديرات التكلفة لعام 2027 المبينة في الجدول 1. وأضاف أن الرقم المتعلق بتعبئة الموارد والشراكات الوارد في الجدول 2 يمثل تكلفة إدارة هذه الحملات وليس الإيرادات المتأتية. وقال إن مشاريع الخطط التشغيلية المقدَّمة إلى المجلس تجسد نهجاً قائماً على النتائج فيما يتعلق بالتخطيط الإداري والمالي، مع مراعاة الأولويات المواضيعية الخمس التي وافق عليها مؤتمر المندوبين المفوضين لعام 2022 (بوخارست، 2022) للفترة</w:t>
      </w:r>
      <w:r>
        <w:rPr>
          <w:rFonts w:hint="cs"/>
          <w:rtl/>
        </w:rPr>
        <w:t> </w:t>
      </w:r>
      <w:r>
        <w:t>2027-2024</w:t>
      </w:r>
      <w:r w:rsidRPr="005A195B">
        <w:rPr>
          <w:rtl/>
        </w:rPr>
        <w:t xml:space="preserve"> وتوصيات مختلف هيئات الرقابة في الاتحاد، ولا سيما اللجنة الاستشارية المستقلة للإدارة. وأشار إلى تناول المخاطر وإدارتها بالتفصيل في وثائق أخرى عُرِضت على المجلس ولكنها أرشدت عملية إعداد جميع الخطط الاستراتيجية والمالية والتشغيلية. وأردف أنه في حين يُطلب من الأمانة تقديم خطة ممتدة لأربع سنوات، لا يتعلق مشروع القرار الوارد في الملحق </w:t>
      </w:r>
      <w:r w:rsidRPr="005A195B">
        <w:rPr>
          <w:lang w:bidi="ar-EG"/>
        </w:rPr>
        <w:t>A</w:t>
      </w:r>
      <w:r w:rsidRPr="005A195B">
        <w:rPr>
          <w:rtl/>
        </w:rPr>
        <w:t xml:space="preserve"> بالوثيقة C26/28 إلا بعام 2027، الذي تغطيه الخطتان الاستراتيجية والمالية اللتين وافق عليهما مؤتمر المندوبين المفوضين لعام 2022.</w:t>
      </w:r>
    </w:p>
    <w:bookmarkEnd w:id="0"/>
    <w:p w14:paraId="4CD22383" w14:textId="0655E363" w:rsidR="005A195B" w:rsidRPr="005A195B" w:rsidRDefault="005A195B" w:rsidP="005A195B">
      <w:pPr>
        <w:rPr>
          <w:lang w:val="ar-SA" w:bidi="ar-EG"/>
        </w:rPr>
      </w:pPr>
      <w:r>
        <w:t>3.1</w:t>
      </w:r>
      <w:r w:rsidRPr="005A195B">
        <w:rPr>
          <w:rtl/>
        </w:rPr>
        <w:tab/>
        <w:t xml:space="preserve">وأضاف رئيس الشؤون الإدارية والمالية قائلاً إنه لم تُقدم سوى أرقام مفصلَّة ومحددة لعام 2027، بما يتماشى مع الأولويات ومؤشرات الأداء الرئيسية </w:t>
      </w:r>
      <w:r w:rsidRPr="005A195B">
        <w:rPr>
          <w:lang w:bidi="ar-EG"/>
        </w:rPr>
        <w:t>(KPI)</w:t>
      </w:r>
      <w:r w:rsidRPr="005A195B">
        <w:rPr>
          <w:rtl/>
        </w:rPr>
        <w:t xml:space="preserve"> المعتَمَدَة. وأوضح أن مخططات الخطط التشغيلية للفترة 2028-2030 تستند إلى مشروعي الخطتين الاستراتيجية والمالية للفترة </w:t>
      </w:r>
      <w:r>
        <w:t>2031-2028</w:t>
      </w:r>
      <w:r w:rsidRPr="005A195B">
        <w:rPr>
          <w:rtl/>
        </w:rPr>
        <w:t xml:space="preserve"> اللذين لا يزالان قيد المناقشة وسيتعين تحديثهما في ضوء القرارات المستقبلية للهيئات الإدارية.</w:t>
      </w:r>
    </w:p>
    <w:p w14:paraId="34A94683" w14:textId="031D2834" w:rsidR="005A195B" w:rsidRPr="005A195B" w:rsidRDefault="005A195B" w:rsidP="005A195B">
      <w:pPr>
        <w:rPr>
          <w:lang w:val="ar-SA" w:bidi="ar-EG"/>
        </w:rPr>
      </w:pPr>
      <w:r>
        <w:t>4.1</w:t>
      </w:r>
      <w:r w:rsidRPr="005A195B">
        <w:rPr>
          <w:rtl/>
        </w:rPr>
        <w:tab/>
        <w:t xml:space="preserve">واقترح أحد أعضاء المجلس أن تعديل مشروع القرار الوارد في الملحق </w:t>
      </w:r>
      <w:r w:rsidRPr="005A195B">
        <w:rPr>
          <w:lang w:bidi="ar-EG"/>
        </w:rPr>
        <w:t>A</w:t>
      </w:r>
      <w:r w:rsidRPr="005A195B">
        <w:rPr>
          <w:rtl/>
        </w:rPr>
        <w:t xml:space="preserve"> بغية الإشارة إلى الخطة التشغيلية لعام 2027 فحسب قد يوضح الأمور.</w:t>
      </w:r>
    </w:p>
    <w:p w14:paraId="5D02D4F9" w14:textId="5B95EFC8" w:rsidR="005A195B" w:rsidRPr="005A195B" w:rsidRDefault="005A195B" w:rsidP="005A195B">
      <w:pPr>
        <w:rPr>
          <w:lang w:val="ar-SA" w:bidi="ar-EG"/>
        </w:rPr>
      </w:pPr>
      <w:r>
        <w:t>5.1</w:t>
      </w:r>
      <w:r w:rsidRPr="005A195B">
        <w:rPr>
          <w:rtl/>
        </w:rPr>
        <w:tab/>
        <w:t>وقال رئيس دائرة إدارة الموارد المالية إن مشروع القرار يمكن تعديله لهذا الغرض.</w:t>
      </w:r>
    </w:p>
    <w:p w14:paraId="50B135F0" w14:textId="71E63537" w:rsidR="005A195B" w:rsidRPr="005A195B" w:rsidRDefault="005A195B" w:rsidP="005A195B">
      <w:pPr>
        <w:rPr>
          <w:lang w:val="ar-SA" w:bidi="ar-EG"/>
        </w:rPr>
      </w:pPr>
      <w:r>
        <w:t>6.1</w:t>
      </w:r>
      <w:r w:rsidRPr="005A195B">
        <w:rPr>
          <w:rtl/>
        </w:rPr>
        <w:tab/>
        <w:t>و</w:t>
      </w:r>
      <w:r w:rsidRPr="005A195B">
        <w:rPr>
          <w:b/>
          <w:bCs/>
          <w:rtl/>
        </w:rPr>
        <w:t>وافق</w:t>
      </w:r>
      <w:r w:rsidRPr="005A195B">
        <w:rPr>
          <w:rtl/>
        </w:rPr>
        <w:t xml:space="preserve"> المجلس على أن يطلب من الأمانة إعداد نسخة مراجعة من الوثيقة C26/28 لمناقشتها في وقت لاحق من الدورة.</w:t>
      </w:r>
    </w:p>
    <w:p w14:paraId="396F1E17" w14:textId="1A793C5C" w:rsidR="005A195B" w:rsidRPr="005A195B" w:rsidRDefault="005A195B" w:rsidP="005A195B">
      <w:pPr>
        <w:pStyle w:val="Heading1"/>
        <w:rPr>
          <w:rtl/>
          <w:lang w:val="ar-SA" w:bidi="ar-EG"/>
        </w:rPr>
      </w:pPr>
      <w:r w:rsidRPr="005A195B">
        <w:rPr>
          <w:rtl/>
        </w:rPr>
        <w:t>2</w:t>
      </w:r>
      <w:r w:rsidRPr="005A195B">
        <w:rPr>
          <w:rtl/>
        </w:rPr>
        <w:tab/>
        <w:t xml:space="preserve">معلومات محدّثة بشأن عملية التحول للاتحاد - بناء اتحاد فعاّل ومرن وملائم للمستقبل (الوثيقتان </w:t>
      </w:r>
      <w:hyperlink r:id="rId14" w:history="1">
        <w:r w:rsidRPr="005A195B">
          <w:rPr>
            <w:rStyle w:val="Hyperlink"/>
            <w:noProof w:val="0"/>
            <w:lang w:eastAsia="zh-CN"/>
          </w:rPr>
          <w:t>C26/55</w:t>
        </w:r>
      </w:hyperlink>
      <w:r w:rsidRPr="005A195B">
        <w:rPr>
          <w:rtl/>
        </w:rPr>
        <w:t xml:space="preserve"> و</w:t>
      </w:r>
      <w:hyperlink r:id="rId15" w:history="1">
        <w:r w:rsidRPr="005A195B">
          <w:rPr>
            <w:rStyle w:val="Hyperlink"/>
            <w:noProof w:val="0"/>
            <w:lang w:eastAsia="zh-CN"/>
          </w:rPr>
          <w:t>C26/82</w:t>
        </w:r>
      </w:hyperlink>
      <w:r>
        <w:rPr>
          <w:rFonts w:hint="cs"/>
          <w:rtl/>
          <w:lang w:bidi="ar-EG"/>
        </w:rPr>
        <w:t>)</w:t>
      </w:r>
    </w:p>
    <w:p w14:paraId="76E23364" w14:textId="35681D3A" w:rsidR="005A195B" w:rsidRPr="005A195B" w:rsidRDefault="005A195B" w:rsidP="005A195B">
      <w:pPr>
        <w:rPr>
          <w:lang w:val="ar-SA" w:bidi="ar-EG"/>
        </w:rPr>
      </w:pPr>
      <w:r>
        <w:t>1.2</w:t>
      </w:r>
      <w:r w:rsidRPr="005A195B">
        <w:rPr>
          <w:rtl/>
        </w:rPr>
        <w:tab/>
        <w:t xml:space="preserve">أوضح مسؤول التحول، في معرض تقديمه الوثيقة C26/55، التقدم المحرز في المُضي قُدماً نحو مرحلة إعمال جهود التحول في الاتحاد، والتي تتمحور حول خمس ركائز: الإدارة؛ الأعضاء والشركاء؛ الأشخاص والثقافة؛ استمثال الموارد والأنظمة؛ العمليات والأدوات. وتماشياً مع التعليقات الواردة من المجلس واللجنة الاستشارية المستقلة للإدارة، حُدِّثت لوحة معلومات التحول بمعلومات عن منجزات عام 2026، وحالة المبادرات، والوقت المقدَّر الذي يستثمره موظفو الأمانة العامة في عملية التحول، والكفاءات. وأردف أن الأنشطة في عام 2026 ستركز على تعزيز تجربة الأعضاء؛ الكفاءة </w:t>
      </w:r>
      <w:r w:rsidRPr="005A195B">
        <w:rPr>
          <w:rtl/>
        </w:rPr>
        <w:lastRenderedPageBreak/>
        <w:t xml:space="preserve">التشغيلية والتأثير التشغيلي؛ تمكين الموظفين وثقافة الابتكار. وأشار إلى إقرار فريق التحول بالحاجة إلى مزيد من العمل في مجال مؤشرات الأداء الرئيسية من أجل قياس التأثير في تقاريره وبتعاونه مع دائرة التخطيط الاستراتيجي والإدارة وأصحاب الأعمال لتحقيق هذه الغاية. وذكر أن معظم مبادرات التحول الجارية مدعومة بتنفيذ استراتيجي للذكاء الرقمي والذكاء الاصطناعي </w:t>
      </w:r>
      <w:r w:rsidRPr="005A195B">
        <w:rPr>
          <w:lang w:bidi="ar-EG"/>
        </w:rPr>
        <w:t>(AI)</w:t>
      </w:r>
      <w:r w:rsidRPr="005A195B">
        <w:rPr>
          <w:rtl/>
        </w:rPr>
        <w:t>. ورأى أن إطاراً استراتيجياً واضحاً يرتكز إلى نهج يستند إلى الأهداف والنتائج الرئيسية سيعزز تعريف مؤشرات الأداء الرئيسية وتتبعها ومواءمتها في جميع المبادرات الرقمية.</w:t>
      </w:r>
      <w:r w:rsidR="001076A1">
        <w:rPr>
          <w:rFonts w:hint="cs"/>
          <w:rtl/>
        </w:rPr>
        <w:t xml:space="preserve"> وختم أن </w:t>
      </w:r>
      <w:r w:rsidR="001076A1" w:rsidRPr="001076A1">
        <w:rPr>
          <w:rtl/>
        </w:rPr>
        <w:t>الأمانة أضافت أن جعل الاتحاد منظمة أكثر مرونة وحداثة يستلزم زيادة التركيز على التعلم والتجريب وتمكين الموظفين وتطوير</w:t>
      </w:r>
      <w:r w:rsidR="001076A1">
        <w:rPr>
          <w:rFonts w:hint="cs"/>
          <w:rtl/>
        </w:rPr>
        <w:t xml:space="preserve"> مهارات</w:t>
      </w:r>
      <w:r w:rsidR="001076A1" w:rsidRPr="001076A1">
        <w:rPr>
          <w:rtl/>
        </w:rPr>
        <w:t>هم.</w:t>
      </w:r>
      <w:r w:rsidR="001076A1" w:rsidRPr="001076A1">
        <w:rPr>
          <w:cs/>
        </w:rPr>
        <w:t>‎</w:t>
      </w:r>
    </w:p>
    <w:p w14:paraId="5EDA77C4" w14:textId="57F1CCF3" w:rsidR="005A195B" w:rsidRPr="005A195B" w:rsidRDefault="005A195B" w:rsidP="005A195B">
      <w:pPr>
        <w:rPr>
          <w:lang w:val="ar-SA" w:bidi="ar-EG"/>
        </w:rPr>
      </w:pPr>
      <w:r>
        <w:t>2.2</w:t>
      </w:r>
      <w:r w:rsidRPr="005A195B">
        <w:rPr>
          <w:rtl/>
        </w:rPr>
        <w:tab/>
        <w:t>وقدم عضو المجلس من الصين المساهمة الواردة في الوثيقة C26/82، نيابة عن بلده وكوبا، والتي تتضمن توصيات بشأن تعزيز تحول الاتحاد في سياق مشاركة الاتحاد في مبادرة الأمم المتحدة 80.</w:t>
      </w:r>
    </w:p>
    <w:p w14:paraId="7E317E87" w14:textId="597BC42E" w:rsidR="005A195B" w:rsidRPr="005A195B" w:rsidRDefault="005A195B" w:rsidP="005A195B">
      <w:pPr>
        <w:rPr>
          <w:lang w:val="ar-SA" w:bidi="ar-EG"/>
        </w:rPr>
      </w:pPr>
      <w:r>
        <w:t>3.2</w:t>
      </w:r>
      <w:r w:rsidRPr="005A195B">
        <w:rPr>
          <w:rtl/>
        </w:rPr>
        <w:tab/>
        <w:t>ورحب أعضاء المجلس بالتقدم الملموس الذي أحرزه برنامج التحول في الاتحاد في انتقاله من التخطيط والتصميم إلى التنفيذ. وأشاروا</w:t>
      </w:r>
      <w:r w:rsidR="001076A1">
        <w:rPr>
          <w:rFonts w:hint="cs"/>
          <w:rtl/>
        </w:rPr>
        <w:t xml:space="preserve"> أيضاً</w:t>
      </w:r>
      <w:r w:rsidRPr="005A195B">
        <w:rPr>
          <w:rtl/>
        </w:rPr>
        <w:t xml:space="preserve"> إلى أن تقدماً ملموساً أُحرز في المساءلة والشفافية والنضج المؤسسي، وإلى تحسين الاتساق الاستراتيجي والكفاءة التشغيلية. </w:t>
      </w:r>
      <w:r w:rsidR="002F3D28">
        <w:rPr>
          <w:rFonts w:hint="cs"/>
          <w:rtl/>
        </w:rPr>
        <w:t xml:space="preserve">كما </w:t>
      </w:r>
      <w:r w:rsidR="002F3D28" w:rsidRPr="005A195B">
        <w:rPr>
          <w:rtl/>
        </w:rPr>
        <w:t>رحب أعضاء المجلس</w:t>
      </w:r>
      <w:r w:rsidR="002F3D28">
        <w:rPr>
          <w:rFonts w:hint="cs"/>
          <w:rtl/>
        </w:rPr>
        <w:t xml:space="preserve"> </w:t>
      </w:r>
      <w:r w:rsidR="00683B5D">
        <w:rPr>
          <w:rFonts w:hint="cs"/>
          <w:rtl/>
        </w:rPr>
        <w:t>ب</w:t>
      </w:r>
      <w:r w:rsidR="00683B5D" w:rsidRPr="005A195B">
        <w:rPr>
          <w:rtl/>
        </w:rPr>
        <w:t>الإنجازات المحددة التي تحققت حتى الآن</w:t>
      </w:r>
      <w:r w:rsidR="00683B5D">
        <w:rPr>
          <w:rFonts w:hint="cs"/>
          <w:rtl/>
        </w:rPr>
        <w:t>، بما يشمل</w:t>
      </w:r>
      <w:r w:rsidRPr="005A195B">
        <w:rPr>
          <w:rtl/>
        </w:rPr>
        <w:t xml:space="preserve"> إنشاء وحدة الرقابة ووظيفة أمين المظالم، وإدخال لوحة معلومات التحول وتحديثها، وإنشاء مركز الابتكار، وإدخال تحسينات في التخطيط التشغيلي والمالي والمشتريات. واقتُرح أن تستفيد التقارير المقبلة المقدَّمة إلى المجلس من تفاصيل تشغيلية إضافية، وأن الاعتراف بمزيد من الوضوح بالمخاطر والمقايضات والتحديات سيساعد على فهم العملية. وشدد العديد من أعضاء المجلس على الحاجة إلى مؤشرات أداء واضحة ومعايير مرجعية قابلة للقياس بحيث يمكن تتبع التقدم المحرز بموضوعية، بما يتجاوز الإبلاغ القائم على الأنشطة البحتة. واعتبروا أنه سيكون من المفيد معرفة الكيفية التي تدير بها الأمانة التأثير التراكمي لأنشطة التحول على تقديم الخدمات الأساسية، على الرغم من التحذير من زيادة عبء الرقابة على الأمانة بلا داعٍ.</w:t>
      </w:r>
    </w:p>
    <w:p w14:paraId="4BD00990" w14:textId="317B2CEA" w:rsidR="005A195B" w:rsidRPr="005A195B" w:rsidRDefault="005A195B" w:rsidP="005A195B">
      <w:pPr>
        <w:rPr>
          <w:lang w:val="ar-SA" w:bidi="ar-EG"/>
        </w:rPr>
      </w:pPr>
      <w:r>
        <w:t>4.2</w:t>
      </w:r>
      <w:r w:rsidRPr="005A195B">
        <w:rPr>
          <w:rtl/>
        </w:rPr>
        <w:tab/>
        <w:t>وشدد العديد من أعضاء المجلس على ضرورة استعمال الموارد على نحو مستدامٍ لضمان التحديث والتأثير في الأجل الطويل، ولا سيما في بيئة ميزانية مقيدة؛ واقترح أحد أعضاء المجلس اتخاذ خطوات لتعزيز نهج متسق بين المكاتب وإدارة المخاطر، في حين أشار آخرون إلى الحاجة المحددة إلى معالجة المخاطر المرتبطة بتقلبات أسعار العملة. ودعا أعضاء آخرون في المجلس إلى إتاحة قدر من المرونة للأمانة في عمليات اتخاذ قرارات بشأن أفضل السبل للمُضي قُدماً في التنفيذ.</w:t>
      </w:r>
    </w:p>
    <w:p w14:paraId="070BB15B" w14:textId="5D76DA1C" w:rsidR="005A195B" w:rsidRPr="005A195B" w:rsidRDefault="005A195B" w:rsidP="005A195B">
      <w:pPr>
        <w:rPr>
          <w:lang w:val="ar-SA" w:bidi="ar-EG"/>
        </w:rPr>
      </w:pPr>
      <w:r>
        <w:t>5.2</w:t>
      </w:r>
      <w:r w:rsidRPr="005A195B">
        <w:rPr>
          <w:rtl/>
        </w:rPr>
        <w:tab/>
        <w:t>وعلى الرغم من الترحيب العام باستعمال الذكاء الاصطناعي لتعزيز الإنتاجية، حذر أحد أعضاء المجلس من العواقب المحتملة التي قد تنشأ عن قضايا معروفة مثل هلوسات الذكاء الاصطناعي وحذر من استعماله دون مراقبة. وأعرب أعضاء في المجلس عن التأييد استعمال الوفورات المُحقَّقة من ميزانية عام 2025 لدعم الاستثمارات الإضافية اللازمة للذكاء الاصطناعي والأنظمة الرقمية، فضلاً عن تنمية المهارات من أجل تمكين تحديث الأعمال وتبسيطها.</w:t>
      </w:r>
    </w:p>
    <w:p w14:paraId="669FB3F1" w14:textId="35FD7803" w:rsidR="005A195B" w:rsidRPr="005A195B" w:rsidRDefault="005A195B" w:rsidP="005A195B">
      <w:pPr>
        <w:rPr>
          <w:lang w:val="ar-SA" w:bidi="ar-EG"/>
        </w:rPr>
      </w:pPr>
      <w:r>
        <w:t>6.2</w:t>
      </w:r>
      <w:r w:rsidRPr="005A195B">
        <w:rPr>
          <w:rtl/>
        </w:rPr>
        <w:tab/>
        <w:t>ورحب بعض أعضاء المجلس بطموح إطلاق موقع إلكتروني جديد للاتحاد قبل مؤتمر المندوبين المفوضين لعام 2026 (PP-</w:t>
      </w:r>
      <w:proofErr w:type="gramStart"/>
      <w:r w:rsidRPr="005A195B">
        <w:rPr>
          <w:rtl/>
        </w:rPr>
        <w:t>26)؛</w:t>
      </w:r>
      <w:proofErr w:type="gramEnd"/>
      <w:r w:rsidRPr="005A195B">
        <w:rPr>
          <w:rtl/>
        </w:rPr>
        <w:t xml:space="preserve"> غير أن أحدهم تساءل عن جدوى الخطة، في حين حث عضو آخر على اتخاذ خطوات لضمان استمرارية نفاذ المستعملين إلى المنصة الحالية وإتاحة الفترة الانتقالية المناسبة للمندوبين من أجل تسهيل التكيف.</w:t>
      </w:r>
    </w:p>
    <w:p w14:paraId="17C7141F" w14:textId="0F8CE2F4" w:rsidR="005A195B" w:rsidRPr="005A195B" w:rsidRDefault="005A195B" w:rsidP="005A195B">
      <w:pPr>
        <w:rPr>
          <w:lang w:val="ar-SA" w:bidi="ar-EG"/>
        </w:rPr>
      </w:pPr>
      <w:r>
        <w:t>7.2</w:t>
      </w:r>
      <w:r w:rsidRPr="005A195B">
        <w:rPr>
          <w:rtl/>
        </w:rPr>
        <w:tab/>
        <w:t>وأعرب العديد من أعضاء المجلس عن دعمهم للتوصيات المقدَّمة في الوثيقة C26/82، التي ستعزز الانضباط والمساءلة والتأثير في عملية التحول، وتضمن أن الموارد البشرية والمالية الكبيرة المُستثمرة ستُتَرجم إلى تحسين حقيقي للاتحاد وأعضائه، مع تجنب خطر التجزئة. وأعرب أحد أعضاء المجلس عن قلقه إزاء إمكانية أن تضع بعض التوصيات قيوداً لا داعي لها على الموارد وأن تخاطر بألا تكون الإصلاحات الداخلية ذات أولوية.</w:t>
      </w:r>
    </w:p>
    <w:p w14:paraId="407BECF4" w14:textId="77777777" w:rsidR="00790101" w:rsidRDefault="005A195B" w:rsidP="005A195B">
      <w:pPr>
        <w:rPr>
          <w:rtl/>
        </w:rPr>
      </w:pPr>
      <w:r>
        <w:t>8.2</w:t>
      </w:r>
      <w:r w:rsidRPr="005A195B">
        <w:rPr>
          <w:rtl/>
        </w:rPr>
        <w:tab/>
        <w:t>وطلب أحد أعضاء المجلس توضيحاً بشأن السياسة الجديدة لتعيين الموظفين والاستشاريين بعقود محددة المدة، مع الإشارة بوجه خاص إلى تجنب ازدواجية العمل وضمان المساءلة، واستفسر عن الجهود المبذولة الرامية إلى تحديد المسؤولية عن العواقب الناجمة عن استعمال الذكاء الاصطناعي</w:t>
      </w:r>
      <w:r>
        <w:rPr>
          <w:rFonts w:hint="cs"/>
          <w:rtl/>
        </w:rPr>
        <w:t xml:space="preserve"> </w:t>
      </w:r>
      <w:r w:rsidRPr="005A195B">
        <w:rPr>
          <w:rtl/>
        </w:rPr>
        <w:t>- وسوء استعماله المحتمل</w:t>
      </w:r>
      <w:r>
        <w:rPr>
          <w:rFonts w:hint="cs"/>
          <w:rtl/>
        </w:rPr>
        <w:t xml:space="preserve"> </w:t>
      </w:r>
      <w:r w:rsidRPr="005A195B">
        <w:rPr>
          <w:rtl/>
        </w:rPr>
        <w:t xml:space="preserve">- في جميع أنحاء الاتحاد. </w:t>
      </w:r>
    </w:p>
    <w:p w14:paraId="696D0D3F" w14:textId="5823BF3F" w:rsidR="00790101" w:rsidRDefault="00FE5503" w:rsidP="005A195B">
      <w:pPr>
        <w:rPr>
          <w:rtl/>
        </w:rPr>
      </w:pPr>
      <w:r>
        <w:t>9.2</w:t>
      </w:r>
      <w:r w:rsidR="00790101">
        <w:rPr>
          <w:rtl/>
        </w:rPr>
        <w:tab/>
      </w:r>
      <w:r w:rsidR="005A195B" w:rsidRPr="005A195B">
        <w:rPr>
          <w:rtl/>
        </w:rPr>
        <w:t xml:space="preserve">وسأل أعضاء آخرون عن تخصيص أموال كافية لتنفيذ الأنشطة الهادفة والمحددة في لوحة معلومات التحول بحلول نهاية عام 2026. </w:t>
      </w:r>
    </w:p>
    <w:p w14:paraId="7C98EFF5" w14:textId="51F06C35" w:rsidR="00790101" w:rsidRDefault="00FE5503" w:rsidP="005A195B">
      <w:pPr>
        <w:rPr>
          <w:rtl/>
        </w:rPr>
      </w:pPr>
      <w:r>
        <w:t>10.2</w:t>
      </w:r>
      <w:r w:rsidR="00790101">
        <w:rPr>
          <w:rtl/>
        </w:rPr>
        <w:tab/>
      </w:r>
      <w:r w:rsidR="005A195B" w:rsidRPr="005A195B">
        <w:rPr>
          <w:rtl/>
        </w:rPr>
        <w:t xml:space="preserve">وسلط أحد أعضاء المجلس الضوء على ضرورة إيلاء مزيد من الاهتمام لنظام العدل الداخلي ورفاهية الموظفين، وسأل عن الكيفية التي تحقق بها جهود التحول، ومنها إعادة هيكلة الأمانة العامة، قيمة للأعضاء وأصحاب المصلحة الآخرين والتمس تقديم تقارير محددة عن أنشطة وظيفة أمين المظالم. </w:t>
      </w:r>
    </w:p>
    <w:p w14:paraId="4B5BAE7F" w14:textId="200BA925" w:rsidR="005A195B" w:rsidRPr="005A195B" w:rsidRDefault="00FE5503" w:rsidP="005A195B">
      <w:pPr>
        <w:rPr>
          <w:lang w:val="ar-SA" w:bidi="ar-EG"/>
        </w:rPr>
      </w:pPr>
      <w:r>
        <w:lastRenderedPageBreak/>
        <w:t>11.2</w:t>
      </w:r>
      <w:r w:rsidR="00790101">
        <w:rPr>
          <w:rtl/>
        </w:rPr>
        <w:tab/>
      </w:r>
      <w:r w:rsidR="005A195B" w:rsidRPr="005A195B">
        <w:rPr>
          <w:rtl/>
        </w:rPr>
        <w:t>وشدد أحد المراقبين على أهمية إجراء تقييم مستقل في الوقت المناسب لعملية التحول وإجراء تحليل كامل من حيث التكلفة والمنفعة من جانب الأمانة العامة، ولا سيما في ضوء الاستعمال المخطط للذكاء الاصطناعي في مختلف جوانب المشتريات والإدارة والمخاطر المحتملة المرتبطة بالأمن السيبراني والاحتيال.</w:t>
      </w:r>
    </w:p>
    <w:p w14:paraId="174211AF" w14:textId="04B6F3D2" w:rsidR="005A195B" w:rsidRPr="005A195B" w:rsidRDefault="00FE5503" w:rsidP="005A195B">
      <w:pPr>
        <w:rPr>
          <w:lang w:val="ar-SA" w:bidi="ar-EG"/>
        </w:rPr>
      </w:pPr>
      <w:r>
        <w:t>12.2</w:t>
      </w:r>
      <w:r w:rsidR="005A195B" w:rsidRPr="005A195B">
        <w:rPr>
          <w:rtl/>
        </w:rPr>
        <w:tab/>
        <w:t>ورحب مسؤول التحول بالتعليقات الواردة خلال المناقشة والتوجيهات الواردة في الوثيقة C26/82. وأضاف أن التغييرات في الأفرقة والأساليب التي ينطوي عليها التحول منذ بدء العملية في عام 2023 لم تعكس الرغبة في التكيف والتعلم فحسب، بل عبَّرت أيضاً عن التطورات الخارجية مثل التطورات غير المسبوقة التي شهدتها تكنولوجيا الذكاء الاصطناعي. وذكر أن جهوداً تبذل لضمان الاستقرار والقيادة مع التركيز على التماسك وتحديد الأولويات وتجنب التجزئة. وأوضح أن فريق التحول يعمل بصورة وثيقة مع الوحدات الأخرى لمواءمة أنشطته مع التخطيط التشغيلي والاستراتيجي للاتحاد وتحسين منهجيته بشأن تقديم التقارير. وأشار إلى دمج قياس التأثير باستعمال مؤشرات الأداء الرئيسية على جميع المستويات، وإلى أن الفريق سيسعى جاهداً إلى تحسين تقاريره بشكل أكبر مع استمرار عملية التحول، بما في ذلك مراعاة الاقتراح الداعي لإدراج اعتبارات تقييم المخاطر. واسترسل أن مبادئ توجيهية بشأن استعمال الذكاء الاصطناعي وضعت، ومن المزمع إعداد مواد مرجعية سريعة. وتابع أن جميع الموظفين مُنحوا تراخيص للنفاذ إلى الذكاء الاصطناعي المدمج في حواسيبهم. وختم أن تدريباً سيُتاح في الأشهر المقبلة.</w:t>
      </w:r>
    </w:p>
    <w:p w14:paraId="5CAD2E5B" w14:textId="6BC0F8D6" w:rsidR="005A195B" w:rsidRPr="005A195B" w:rsidRDefault="00FE5503" w:rsidP="005A195B">
      <w:pPr>
        <w:rPr>
          <w:lang w:val="ar-SA" w:bidi="ar-EG"/>
        </w:rPr>
      </w:pPr>
      <w:r>
        <w:t>13.2</w:t>
      </w:r>
      <w:r w:rsidR="005A195B" w:rsidRPr="005A195B">
        <w:rPr>
          <w:rtl/>
        </w:rPr>
        <w:tab/>
        <w:t>وقال رئيس دائرة إدارة الموارد البشرية إن السياسة بشأن تعيين الاستشاريين تتضمن ضمانات لكفالة استعمالها من أجل تلبية الاحتياجات قصيرة الأجل القائمة على المنتجات وعدم أداء وظائف الموظفين. وأضاف أن هذه السياسة تنص على أن يقيم المديرين الأداء، فعليهم أن يؤكدوا أن المخرجات استُكملت بنجاح قبل تسديد الرسوم. وذكر أن دائرة إدارة الموارد البشرية مسؤولة عن مراقبة العملية.</w:t>
      </w:r>
    </w:p>
    <w:p w14:paraId="7AD83358" w14:textId="28133352" w:rsidR="005A195B" w:rsidRPr="005A195B" w:rsidRDefault="00FE5503" w:rsidP="005A195B">
      <w:pPr>
        <w:rPr>
          <w:lang w:val="ar-SA" w:bidi="ar-EG"/>
        </w:rPr>
      </w:pPr>
      <w:r>
        <w:t>14.2</w:t>
      </w:r>
      <w:r w:rsidR="005A195B" w:rsidRPr="005A195B">
        <w:rPr>
          <w:rtl/>
        </w:rPr>
        <w:tab/>
        <w:t>و</w:t>
      </w:r>
      <w:r w:rsidR="005A195B" w:rsidRPr="005A195B">
        <w:rPr>
          <w:b/>
          <w:bCs/>
          <w:rtl/>
        </w:rPr>
        <w:t>أحاط</w:t>
      </w:r>
      <w:r w:rsidR="005A195B" w:rsidRPr="005A195B">
        <w:rPr>
          <w:rtl/>
        </w:rPr>
        <w:t xml:space="preserve"> المجلس </w:t>
      </w:r>
      <w:r w:rsidR="005A195B" w:rsidRPr="005A195B">
        <w:rPr>
          <w:b/>
          <w:bCs/>
          <w:rtl/>
        </w:rPr>
        <w:t>علماً</w:t>
      </w:r>
      <w:r w:rsidR="005A195B" w:rsidRPr="005A195B">
        <w:rPr>
          <w:rtl/>
        </w:rPr>
        <w:t xml:space="preserve"> بالتقدم المحرز حتى الآن، و</w:t>
      </w:r>
      <w:r w:rsidR="005A195B" w:rsidRPr="005A195B">
        <w:rPr>
          <w:b/>
          <w:bCs/>
          <w:rtl/>
        </w:rPr>
        <w:t>أحاط علماً</w:t>
      </w:r>
      <w:r w:rsidR="005A195B" w:rsidRPr="005A195B">
        <w:rPr>
          <w:rtl/>
        </w:rPr>
        <w:t xml:space="preserve"> بالتوصيات الواردة في الوثيقة C26/82 و</w:t>
      </w:r>
      <w:r w:rsidR="005A195B" w:rsidRPr="005A195B">
        <w:rPr>
          <w:b/>
          <w:bCs/>
          <w:rtl/>
        </w:rPr>
        <w:t>دعا</w:t>
      </w:r>
      <w:r w:rsidR="005A195B">
        <w:rPr>
          <w:rFonts w:hint="cs"/>
          <w:b/>
          <w:bCs/>
          <w:rtl/>
        </w:rPr>
        <w:t> </w:t>
      </w:r>
      <w:r w:rsidR="005A195B" w:rsidRPr="005A195B">
        <w:rPr>
          <w:rtl/>
        </w:rPr>
        <w:t>الأمانة إلى مواصلة تقديم التقارير من خلال لوحة معلومات التحول مع تقدم عملية التنفيذ في عام 2026.</w:t>
      </w:r>
    </w:p>
    <w:p w14:paraId="5336B273" w14:textId="4B904537" w:rsidR="005A195B" w:rsidRPr="005A195B" w:rsidRDefault="005A195B" w:rsidP="005A195B">
      <w:pPr>
        <w:pStyle w:val="Heading1"/>
        <w:rPr>
          <w:lang w:val="ar-SA" w:bidi="ar-EG"/>
        </w:rPr>
      </w:pPr>
      <w:r w:rsidRPr="005A195B">
        <w:rPr>
          <w:rtl/>
        </w:rPr>
        <w:t>3</w:t>
      </w:r>
      <w:r w:rsidRPr="005A195B">
        <w:rPr>
          <w:rtl/>
        </w:rPr>
        <w:tab/>
        <w:t>تقرير عن تنفيذ الخطة الاستراتيجية للاتحاد وأنشطته للفترة 2022-2025 (الوثيقة</w:t>
      </w:r>
      <w:r>
        <w:rPr>
          <w:rFonts w:hint="cs"/>
          <w:rtl/>
        </w:rPr>
        <w:t> </w:t>
      </w:r>
      <w:hyperlink r:id="rId16" w:history="1">
        <w:r w:rsidRPr="005A195B">
          <w:rPr>
            <w:rStyle w:val="Hyperlink"/>
            <w:noProof w:val="0"/>
            <w:lang w:eastAsia="zh-CN"/>
          </w:rPr>
          <w:t>C26/35</w:t>
        </w:r>
      </w:hyperlink>
      <w:r w:rsidRPr="005A195B">
        <w:rPr>
          <w:rtl/>
        </w:rPr>
        <w:t>)</w:t>
      </w:r>
      <w:hyperlink r:id="rId17" w:history="1"/>
    </w:p>
    <w:p w14:paraId="7468CCCD" w14:textId="40673374" w:rsidR="005A195B" w:rsidRPr="005A195B" w:rsidRDefault="005A195B" w:rsidP="005A195B">
      <w:pPr>
        <w:rPr>
          <w:lang w:val="ar-SA" w:bidi="ar-EG"/>
        </w:rPr>
      </w:pPr>
      <w:r>
        <w:t>1.3</w:t>
      </w:r>
      <w:r w:rsidRPr="005A195B">
        <w:rPr>
          <w:rtl/>
        </w:rPr>
        <w:tab/>
        <w:t>قدم نائب الأمينة العامة الوثيقة C26/35 التي تتضمن التقارير الموحدة بشأن تنفيذ الخطة الاستراتيجية للاتحاد وأنشطته في الفترة من أكتوبر 2022 إلى مارس 2026 والتي ستُحدَّث قبل تقديمها إلى مؤتمر المندوبين المفوضين لعام 2026. وأضاف أن التقرير استُكمل بمنصتين على شبكة الإنترنت، تقدمان معلومات عن حالة تنفيذ قرارات مؤتمر المندوبين المفوضين والتقدم المحرز نحو تحقيق المقاصد المكرَّسة في الخطة الاستراتيجية.</w:t>
      </w:r>
    </w:p>
    <w:p w14:paraId="7385CB4E" w14:textId="5DD88C04" w:rsidR="005A195B" w:rsidRPr="005A195B" w:rsidRDefault="005A195B" w:rsidP="005A195B">
      <w:pPr>
        <w:rPr>
          <w:lang w:val="ar-SA" w:bidi="ar-EG"/>
        </w:rPr>
      </w:pPr>
      <w:r>
        <w:t>2.3</w:t>
      </w:r>
      <w:r w:rsidRPr="005A195B">
        <w:rPr>
          <w:rtl/>
        </w:rPr>
        <w:tab/>
        <w:t>وأوضح أنه في حين بقيت تكاليف الاتصالات مرتفعة بشكل غير متناسب في البلدان ذات الدخل المنخفض، ومع استمرار الفجوات الهيكلية العميقة في النفاذ الرقمي، أحرز الاتحاد تقدماً نحو تحقيق التوصيلية الشاملة وزيادة القدرة على تحمل تكاليف الاتصالات. وقال إنه عملاً بالرؤية المحددة في المؤتمرات النظامية المعقودة خلال الفترة المشمولة بالتقرير، دعم الاتحاد التطورات في توصيلية المدارس، والاستعداد للأمن السيبراني، وإدارة الكوارث وأنظمة الإنذار المبكر، والمخلفات الإلكترونية، ووضع المعايير، والجهازية لشبكات الجيل السادس، والتكنولوجيا الكمومية، واستعمال الذكاء الاصطناعي. وأضاف أن الاتحاد يسر أيضاً تبادل المعارف من خلال نشر تقارير رئيسية ومن خلال مبادرات مثل أكاديمية الاتحاد. وذكر أن عدد أعضاء الاتحاد شهد زيادة كبيرة، وبقيت منصاته العالمية منابر جَمْع هامة يمكن فيها للمنظمات الدولية والدول الأعضاء أن تعمل معاً من أجل التغلب على التحديات واغتنام الفرص في مختلف المجالات.</w:t>
      </w:r>
    </w:p>
    <w:p w14:paraId="6ED572D5" w14:textId="6C5BA640" w:rsidR="005A195B" w:rsidRPr="005A195B" w:rsidRDefault="005A195B" w:rsidP="005A195B">
      <w:pPr>
        <w:rPr>
          <w:lang w:val="ar-SA" w:bidi="ar-EG"/>
        </w:rPr>
      </w:pPr>
      <w:r>
        <w:t>3.3</w:t>
      </w:r>
      <w:r w:rsidRPr="005A195B">
        <w:rPr>
          <w:rtl/>
        </w:rPr>
        <w:tab/>
        <w:t>وتابع بالقول إن الأمانة حولت تركيزها، استعداداً للمستقبل، إلى ضمان أن يكون الاتحاد قوياً على الصعيد الداخلي، من خلال جملة أمور منها تحسين الإدارة المالية، وتعزيز الرقابة، ووضع عملية تخطيط تشغيلي جديدة واستراتيجية جديدة لتعبئة الموارد، وتحقيق مكاسب في مجال الكفاءة.</w:t>
      </w:r>
    </w:p>
    <w:p w14:paraId="0DA34D31" w14:textId="752DC7C8" w:rsidR="005A195B" w:rsidRPr="005A195B" w:rsidRDefault="005A195B" w:rsidP="005A195B">
      <w:pPr>
        <w:rPr>
          <w:lang w:val="ar-SA" w:bidi="ar-EG"/>
        </w:rPr>
      </w:pPr>
      <w:r>
        <w:t>4.3</w:t>
      </w:r>
      <w:r w:rsidRPr="005A195B">
        <w:rPr>
          <w:rtl/>
        </w:rPr>
        <w:tab/>
        <w:t>وأعرب أعضاء المجلس عن تقديرهم للتقرير وأشادوا بالتقدم المحرز خلال الفترة المشمولة بالتقرير. ومع ذلك، أشار بعض أعضاء المجلس إلى استمرار الفجوات الرقمية ودعوا إلى مزيد من التعاون الدولي، وإقامة شراكات أقوى ودعم مستدام لبناء القدرات بهدف تحقيق التوصيلية الشاملة. وطلب عضوان من أعضاء المجلس من الأمانة إدراج معلومات في التقرير عن التحديات التي تواجه تنفيذ الخطة الاستراتيجية الحالية وعن استراتيجيات التغلب عليها.</w:t>
      </w:r>
    </w:p>
    <w:p w14:paraId="4CD5155C" w14:textId="15B66D86" w:rsidR="005A195B" w:rsidRPr="005A195B" w:rsidRDefault="005A195B" w:rsidP="005A195B">
      <w:pPr>
        <w:rPr>
          <w:lang w:val="ar-SA" w:bidi="ar-EG"/>
        </w:rPr>
      </w:pPr>
      <w:r>
        <w:t>5.3</w:t>
      </w:r>
      <w:r w:rsidRPr="005A195B">
        <w:rPr>
          <w:rtl/>
        </w:rPr>
        <w:tab/>
        <w:t xml:space="preserve">وأعرب أحد أعضاء المجلس عن تقديره الخاص لتركيز الاتحاد القوي على مبادرات التنمية، مثل التحالف الرقمي للشراكة من أجل التوصيل، ومبادرة </w:t>
      </w:r>
      <w:r w:rsidRPr="005A195B">
        <w:rPr>
          <w:lang w:bidi="ar-EG"/>
        </w:rPr>
        <w:t>Giga</w:t>
      </w:r>
      <w:r w:rsidRPr="005A195B">
        <w:rPr>
          <w:rtl/>
        </w:rPr>
        <w:t xml:space="preserve">، ومراكز التحول الرقمي، التي سهلت التحول الرقمي على الصعيد </w:t>
      </w:r>
      <w:r w:rsidRPr="005A195B">
        <w:rPr>
          <w:rtl/>
        </w:rPr>
        <w:lastRenderedPageBreak/>
        <w:t>الوطني. وأشاد هذا العضو في المجلس أيضاً بالأنشطة المتعلقة بالتكنولوجيات الناشئة، مثل الذكاء الاصطناعي، مع التأكيد على أن هذه التكنولوجيات يجب أن تُدار بطريقة شاملة وعملية تلبي احتياجات جميع الدول الأعضاء. ودعا عضو آخر في المجلس إلى زيادة الدعم المقدم إلى الدول الأعضاء الإفريقية في بناء القدرات التشغيلية في مجال الأمن السيبراني. وأشار عضو ثالث في المجلس إلى انخفاض نسبة البلدان التي قدمت بيانات عن مستويات مهارات تكنولوجيا المعلومات والاتصالات</w:t>
      </w:r>
      <w:r w:rsidR="00DA6CDC">
        <w:rPr>
          <w:rFonts w:hint="cs"/>
          <w:rtl/>
        </w:rPr>
        <w:t> </w:t>
      </w:r>
      <w:r w:rsidR="00DA6CDC">
        <w:t>(ICT)</w:t>
      </w:r>
      <w:r w:rsidRPr="005A195B">
        <w:rPr>
          <w:rtl/>
        </w:rPr>
        <w:t>، فدعا إلى تقديم مزيد من المساعدة في إعداد التقارير.</w:t>
      </w:r>
    </w:p>
    <w:p w14:paraId="25A14BFB" w14:textId="31D628DC" w:rsidR="005A195B" w:rsidRPr="005A195B" w:rsidRDefault="005A195B" w:rsidP="005A195B">
      <w:pPr>
        <w:rPr>
          <w:lang w:val="ar-SA" w:bidi="ar-EG"/>
        </w:rPr>
      </w:pPr>
      <w:r>
        <w:t>6.3</w:t>
      </w:r>
      <w:r w:rsidRPr="005A195B">
        <w:rPr>
          <w:rtl/>
        </w:rPr>
        <w:tab/>
        <w:t>ورحب العديد من أعضاء المجلس بالتقدم المُحرز في تحسين شفافية الإدارة والكفاءة المالية والفعالية المؤسسية ودعوا إلى مواصلة بذل الجهود في سبيل تحقيق هذه الغاية. ودعا عدد من أعضاء المجلس إلى مواصلة إيلاء الأولوية إلى الأنشطة، مع التركيز على التنفيذ في الوقت المناسب والتأثير القابل للقياس، من أجل ضمان الوفاء بولاية الاتحاد. وسلط عضوان في المجلس الضوء على أهمية المؤشرات والمقاصد الكافية للتوصيلية الشاملة والتحول الرقمي وشجعا على القيام بمزيد من العمل في هذا الصدد. ودعا أحد أعضاء المجلس بصفة خاصة إلى تصنيف هذه المقاييس حسب المنطقة، بحيث لا تُحجب الفجوات الهيكلية في إفريقيا. وشجع عضو آخر في المجلس على زيادة استعمال الإدارة القائمة على النتائج وإعداد التقرير القائمة على أساس الأداء، من خلال ربط المخرجات بإطار نتائج الخطة الاستراتيجية. وشجع هذا العضو في المجلس أيضاً قيادة الاتحاد المستمرة في مواءمة التحول الرقمي مع أولويات الإصلاح الأوسع في إطار مبادرة الأمم المتحدة 80.</w:t>
      </w:r>
    </w:p>
    <w:p w14:paraId="37ECA2B1" w14:textId="5C325780" w:rsidR="005A195B" w:rsidRPr="005A195B" w:rsidRDefault="005A195B" w:rsidP="005A195B">
      <w:pPr>
        <w:rPr>
          <w:lang w:val="ar-SA" w:bidi="ar-EG"/>
        </w:rPr>
      </w:pPr>
      <w:r>
        <w:t>7.3</w:t>
      </w:r>
      <w:r w:rsidRPr="005A195B">
        <w:rPr>
          <w:rtl/>
        </w:rPr>
        <w:tab/>
        <w:t>وأشار أحد أعضاء المجلس إلى المجموعة الواسعة جداً من أنشطة الاتحاد في مجال الذكاء الاصطناعي والتكنولوجيا الكمومية، وشجع الاتحاد على الالتزام الوثيق بالتفويضات المنصوص عليها في القرارات ذات الصلة، وأكد مجدداً أن الموافقة على الوثيقة C26/35 لا تعني تأييد جميع الأنشطة المبلَّغ عنها.</w:t>
      </w:r>
    </w:p>
    <w:p w14:paraId="0C2A3739" w14:textId="303E2F69" w:rsidR="005A195B" w:rsidRPr="005A195B" w:rsidRDefault="005A195B" w:rsidP="005A195B">
      <w:pPr>
        <w:rPr>
          <w:lang w:val="ar-SA" w:bidi="ar-EG"/>
        </w:rPr>
      </w:pPr>
      <w:r>
        <w:t>8.3</w:t>
      </w:r>
      <w:r w:rsidRPr="005A195B">
        <w:rPr>
          <w:rtl/>
        </w:rPr>
        <w:tab/>
        <w:t>ورحب نائب الأمينة العامة بالإشادات والتعليقات التي قدمها أعضاء المجلس بشأن التقرير وأحاط علماً بالاقتراحات المتعلقة بتحسين الوثيقة. ورد على أسئلة أحد أعضاء المجلس، فقال إن التقرير يتضمن ‏توزيع أعضاء الاتحاد حسب القطاع‎؛ وإن الأمانة ستكون مسرورة أيضاً بتقديم تفاصيل بشأن الإيرادات المتأتية من الأعضاء الجدد.</w:t>
      </w:r>
    </w:p>
    <w:p w14:paraId="4A952DCB" w14:textId="7C45F908" w:rsidR="005A195B" w:rsidRPr="005A195B" w:rsidRDefault="005A195B" w:rsidP="005A195B">
      <w:pPr>
        <w:rPr>
          <w:lang w:val="ar-SA" w:bidi="ar-EG"/>
        </w:rPr>
      </w:pPr>
      <w:r>
        <w:t>9.3</w:t>
      </w:r>
      <w:r w:rsidRPr="005A195B">
        <w:rPr>
          <w:rtl/>
        </w:rPr>
        <w:tab/>
        <w:t>وقال مدير مكتب تنمية الاتصالات، رداً على أسئلة أعضاء المجلس وتعليقاتهم، إن الاتحاد جمع خلال الفترة المشمولة بالتقرير، من أجل تمويل المبادرات الإقليمية، مبلغاً قياسيا بلغ 65 مليون فرنك سويسري من مجموعة متنوعة من أصحاب المصلحة والشركاء في التنمية. وتابع أن الاتحاد قدم تمويلاً أولياً لتشجيع الاستثمار في المبادرات الإقليمية. وذكر أن معلومات إضافية عن هذا الموضوع ستُعرض على المجلس في الدورة الحالية في إطار بند آخر من بنود جدول الأعمال. وأشار أيضاً إلى أن الاتحاد يعمل مع الهيئات التنظيمية لدعم أن تجمع مكاتب الإحصاءات الوطنية البيانات.</w:t>
      </w:r>
    </w:p>
    <w:p w14:paraId="580AA567" w14:textId="72E70606" w:rsidR="005A195B" w:rsidRPr="005A195B" w:rsidRDefault="005A195B" w:rsidP="005A195B">
      <w:pPr>
        <w:rPr>
          <w:lang w:val="ar-SA" w:bidi="ar-EG"/>
        </w:rPr>
      </w:pPr>
      <w:r>
        <w:t>10.3</w:t>
      </w:r>
      <w:r w:rsidRPr="005A195B">
        <w:rPr>
          <w:rtl/>
        </w:rPr>
        <w:tab/>
        <w:t>و</w:t>
      </w:r>
      <w:r w:rsidRPr="005A195B">
        <w:rPr>
          <w:b/>
          <w:bCs/>
          <w:rtl/>
        </w:rPr>
        <w:t>وافق</w:t>
      </w:r>
      <w:r w:rsidRPr="005A195B">
        <w:rPr>
          <w:rtl/>
        </w:rPr>
        <w:t xml:space="preserve"> المجلس على التقرير الوارد في الوثيقة C26/35 و</w:t>
      </w:r>
      <w:r w:rsidRPr="005A195B">
        <w:rPr>
          <w:b/>
          <w:bCs/>
          <w:rtl/>
        </w:rPr>
        <w:t>أذن</w:t>
      </w:r>
      <w:r w:rsidRPr="005A195B">
        <w:rPr>
          <w:rtl/>
        </w:rPr>
        <w:t xml:space="preserve"> للأمينة العامة، تحت إشراف الرئيس، بتحديث التقرير في ضوء المناقشات ونتائج الأحداث القادمة وإحالة التقرير النهائي إلى مؤتمر المندوبين المفوضين لعام 2026.</w:t>
      </w:r>
    </w:p>
    <w:p w14:paraId="2B784666" w14:textId="75B2EA20" w:rsidR="005A195B" w:rsidRPr="005A195B" w:rsidRDefault="005A195B" w:rsidP="005A195B">
      <w:pPr>
        <w:pStyle w:val="Heading1"/>
        <w:rPr>
          <w:lang w:val="ar-SA" w:bidi="ar-EG"/>
        </w:rPr>
      </w:pPr>
      <w:r w:rsidRPr="005A195B">
        <w:rPr>
          <w:rtl/>
        </w:rPr>
        <w:t>4</w:t>
      </w:r>
      <w:r w:rsidRPr="005A195B">
        <w:rPr>
          <w:rtl/>
        </w:rPr>
        <w:tab/>
        <w:t xml:space="preserve">الأثر على البنية التحتية المدنية للاتصالات/تكنولوجيا المعلومات والاتصالات في البحرين والكويت والإمارات العربية المتحدة والأردن، وتداعياته على التوصيلية الإقليمية والعالمية (الوثيقة </w:t>
      </w:r>
      <w:hyperlink r:id="rId18" w:history="1">
        <w:r w:rsidRPr="005A195B">
          <w:rPr>
            <w:rStyle w:val="Hyperlink"/>
            <w:noProof w:val="0"/>
            <w:lang w:eastAsia="zh-CN"/>
          </w:rPr>
          <w:t>C26/95(Rev.1)</w:t>
        </w:r>
      </w:hyperlink>
      <w:r>
        <w:rPr>
          <w:rFonts w:hint="cs"/>
          <w:rtl/>
          <w:lang w:bidi="ar-EG"/>
        </w:rPr>
        <w:t>)</w:t>
      </w:r>
    </w:p>
    <w:p w14:paraId="403172B3" w14:textId="58E7E0CB" w:rsidR="005A195B" w:rsidRPr="005A195B" w:rsidRDefault="005A195B" w:rsidP="005A195B">
      <w:pPr>
        <w:rPr>
          <w:lang w:val="ar-SA" w:bidi="ar-EG"/>
        </w:rPr>
      </w:pPr>
      <w:r>
        <w:t>1.4</w:t>
      </w:r>
      <w:r w:rsidRPr="005A195B">
        <w:rPr>
          <w:rtl/>
        </w:rPr>
        <w:tab/>
        <w:t>قدم أحد أعضاء المجلس من الإمارات العربية المتحدة الوثيقة C26/95(Rev.</w:t>
      </w:r>
      <w:proofErr w:type="gramStart"/>
      <w:r w:rsidRPr="005A195B">
        <w:rPr>
          <w:rtl/>
        </w:rPr>
        <w:t>1)،</w:t>
      </w:r>
      <w:proofErr w:type="gramEnd"/>
      <w:r w:rsidRPr="005A195B">
        <w:rPr>
          <w:rtl/>
        </w:rPr>
        <w:t xml:space="preserve"> وهي مساهمة متعددة البلدان برعاية الدول الأعضاء الست في مجلس التعاون الخليجي والأردن، ودعي فيها المجلس إلى دعم اعتماد مشروع قرار. وأضاف قائلاً إن الوثيقة تقترح إعداد تقارير إضافية وتقييم تأثسر الهجمات على خدمات الاتصالات وبنيتها التحتية في البحرين والكويت والإمارات العربية المتحدة والأردن، فضلاً عن إتاحة الموارد البشرية والمالية الكافية. وذكر أن معلومات إضافية مُتاحة في الوثيقة </w:t>
      </w:r>
      <w:hyperlink r:id="rId19" w:history="1">
        <w:r w:rsidRPr="005A195B">
          <w:rPr>
            <w:rStyle w:val="Hyperlink"/>
            <w:noProof w:val="0"/>
            <w:lang w:eastAsia="zh-CN"/>
          </w:rPr>
          <w:t>C26/INF/24</w:t>
        </w:r>
      </w:hyperlink>
      <w:r w:rsidRPr="005A195B">
        <w:rPr>
          <w:rtl/>
        </w:rPr>
        <w:t>.</w:t>
      </w:r>
      <w:hyperlink r:id="rId20" w:history="1"/>
    </w:p>
    <w:p w14:paraId="440A06FB" w14:textId="7E97FE90" w:rsidR="005A195B" w:rsidRPr="005A195B" w:rsidRDefault="005A195B" w:rsidP="005A195B">
      <w:pPr>
        <w:rPr>
          <w:lang w:val="ar-SA" w:bidi="ar-EG"/>
        </w:rPr>
      </w:pPr>
      <w:r>
        <w:t>2.4</w:t>
      </w:r>
      <w:r w:rsidRPr="005A195B">
        <w:rPr>
          <w:rtl/>
        </w:rPr>
        <w:tab/>
        <w:t xml:space="preserve">وقال إن جمهورية إيران الإسلامية تعمدت منذ فبراير 2026 استهداف البنية التحتية المدنية للاتصالات وتكنولوجيا المعلومات والاتصالات في البحرين والأردن والكويت والإمارات العربية المتحدة. وأوضح أن هذه الهجمات غير القانونية وغير المبررة تنطوي على عواقب على قدرة الشبكات الرقمية الوطنية والإقليمية والعالمية على الصمود والاستقرار. وبما أن ضمان حماية شبكات الاتصالات المدنية وقدرتها على </w:t>
      </w:r>
      <w:r w:rsidR="00DA6CDC">
        <w:rPr>
          <w:rFonts w:hint="cs"/>
          <w:rtl/>
        </w:rPr>
        <w:t>الصمود</w:t>
      </w:r>
      <w:r w:rsidRPr="005A195B">
        <w:rPr>
          <w:rtl/>
        </w:rPr>
        <w:t xml:space="preserve"> يقع ضمن اختصاص الاتحاد، دعا مؤلفو المساهمة المجلس إلى إصدار رد محسوب بشأن الوضع وتكليف الأمانة العامة، من خلال اعتماد مشروع القرار، بإجراء عمليات الرصد والتقييم والإبلاغ ذات الصلة.</w:t>
      </w:r>
    </w:p>
    <w:p w14:paraId="4FBAAFBD" w14:textId="4E4C4E3F" w:rsidR="005A195B" w:rsidRPr="005A195B" w:rsidRDefault="005A195B" w:rsidP="00DA6CDC">
      <w:pPr>
        <w:rPr>
          <w:lang w:val="ar-SA" w:bidi="ar-EG"/>
        </w:rPr>
      </w:pPr>
      <w:r>
        <w:lastRenderedPageBreak/>
        <w:t>3.4</w:t>
      </w:r>
      <w:r w:rsidRPr="005A195B">
        <w:rPr>
          <w:rtl/>
        </w:rPr>
        <w:tab/>
        <w:t xml:space="preserve">وأعرب أعضاء المجلس عن قلقهم إزاء ما أفيد به من تدمير وتعطل للبنية التحتية لتكنولوجيا المعلومات والاتصالات والاتصالات في الشرق الأوسط. وسلط العديد من أعضاء المجلس الضوء على العواقب الإنسانية والاقتصادية والمجتمعية المرتبطة بالمنطقة، فيما شدد أعضاء آخرون على تأثيرها على سيادة الدولة. وذكر بعض أعضاء المجلس أن الهجمات تنتهك القانون الإنساني الدولي ودستور الاتحاد ودعوا جميع الدول إلى احترام القانون الدولي. وشدد أعضاء آخرون على أن جمهورية إيران الإسلامية، في استهدافها للبنية التحتية الحيوية للأمن الرقمي العالمي، مثل الكبلات البحرية، </w:t>
      </w:r>
      <w:r w:rsidR="00DA6CDC" w:rsidRPr="00DA6CDC">
        <w:rPr>
          <w:rtl/>
        </w:rPr>
        <w:t>تحاول ممارسة شكل من أشكال الابتزاز الرقمي</w:t>
      </w:r>
      <w:r w:rsidRPr="005A195B">
        <w:rPr>
          <w:rtl/>
        </w:rPr>
        <w:t>.</w:t>
      </w:r>
    </w:p>
    <w:p w14:paraId="47F4B65C" w14:textId="66F509B2" w:rsidR="005A195B" w:rsidRPr="005A195B" w:rsidRDefault="005A195B" w:rsidP="005A195B">
      <w:pPr>
        <w:rPr>
          <w:lang w:val="ar-SA" w:bidi="ar-EG"/>
        </w:rPr>
      </w:pPr>
      <w:r>
        <w:t>4.4</w:t>
      </w:r>
      <w:r w:rsidRPr="005A195B">
        <w:rPr>
          <w:rtl/>
        </w:rPr>
        <w:tab/>
        <w:t>ودعا أعضاء المجلس إلى إنهاء الضربات على البنية التحتية المدنية، وأكد أحد أعضاء المجلس أن وضع حد للأعمال العدائية يقع على عاتق إسرائيل والولايات المتحدة</w:t>
      </w:r>
      <w:r w:rsidR="00DA6CDC">
        <w:rPr>
          <w:rFonts w:hint="cs"/>
          <w:rtl/>
        </w:rPr>
        <w:t xml:space="preserve">، </w:t>
      </w:r>
      <w:r w:rsidR="00DA6CDC">
        <w:rPr>
          <w:rtl/>
        </w:rPr>
        <w:t>بوصفهما البادئتين بالنزاع</w:t>
      </w:r>
      <w:r w:rsidRPr="005A195B">
        <w:rPr>
          <w:rtl/>
        </w:rPr>
        <w:t xml:space="preserve">. وأكد بعض أعضاء المجلس أن الشواغل المتعلقة بجمهورية إيران الإسلامية لا يمكن حلها بالوسائل العسكرية، بل تتطلب التفاوض والحوار. وأعرب أحد أعضاء المجلس عن دعمه </w:t>
      </w:r>
      <w:r w:rsidR="00DA6CDC">
        <w:rPr>
          <w:rFonts w:hint="cs"/>
          <w:rtl/>
        </w:rPr>
        <w:t>ل</w:t>
      </w:r>
      <w:r w:rsidRPr="005A195B">
        <w:rPr>
          <w:rtl/>
        </w:rPr>
        <w:t>جميع الإجراءات التي اتخذتها الدول الأعضاء في مجلس التعاون الخليجي والأردن من أجل الرد على الهجمات على بنيتها التحتية.</w:t>
      </w:r>
    </w:p>
    <w:p w14:paraId="1204B2F4" w14:textId="704BCA49" w:rsidR="005A195B" w:rsidRPr="005A195B" w:rsidRDefault="005A195B" w:rsidP="005A195B">
      <w:pPr>
        <w:rPr>
          <w:lang w:val="ar-SA" w:bidi="ar-EG"/>
        </w:rPr>
      </w:pPr>
      <w:r>
        <w:t>5.4</w:t>
      </w:r>
      <w:r w:rsidRPr="005A195B">
        <w:rPr>
          <w:rtl/>
        </w:rPr>
        <w:tab/>
        <w:t>وأعرب العديد من أعضاء المجلس عن تأييدهم مشروع القرار الوارد في المساهمة، مشيرين إلى أهمية حماية البنية التحتية المدنية للاتصالات/تكنولوجيا المعلومات والاتصالات والتزامات الاتحاد في هذا الصدد. وكرر عضوان من أعضاء المجلس التأكيد على أهمية أن يتخذ الاتحاد موقفاً حازماً إزاء هذه المسألة لمنع حدوث سابقة خطيرة.</w:t>
      </w:r>
    </w:p>
    <w:p w14:paraId="5951F1B6" w14:textId="1E21618C" w:rsidR="005A195B" w:rsidRPr="005A195B" w:rsidRDefault="005A195B" w:rsidP="005A195B">
      <w:pPr>
        <w:rPr>
          <w:lang w:val="ar-SA" w:bidi="ar-EG"/>
        </w:rPr>
      </w:pPr>
      <w:r>
        <w:t>6.4</w:t>
      </w:r>
      <w:r w:rsidRPr="005A195B">
        <w:rPr>
          <w:rtl/>
        </w:rPr>
        <w:tab/>
        <w:t>وأعرب العديد من أعضاء المجلس عن رأي مفاده أن مشروع القرار الوارد في المساهمة المقدَّمة من الإمارات العربية المتحدة ومشروع القرار الوارد في المساهمة المقدَّمة من جمهورية إيران الإسلامية (الوثيقة C26/86</w:t>
      </w:r>
      <w:r>
        <w:rPr>
          <w:rFonts w:hint="cs"/>
          <w:rtl/>
          <w:lang w:bidi="ar-EG"/>
        </w:rPr>
        <w:t>)</w:t>
      </w:r>
      <w:r w:rsidRPr="005A195B">
        <w:rPr>
          <w:rtl/>
        </w:rPr>
        <w:t xml:space="preserve"> يتطلبان دراسةً إضافيةً لإعداد نصوص أكثر توازناً وموضوعية تحترم الطبيعة التقنية لولاية الاتحاد.</w:t>
      </w:r>
    </w:p>
    <w:p w14:paraId="37B2C05D" w14:textId="7A5EC5AE" w:rsidR="005A195B" w:rsidRPr="005A195B" w:rsidRDefault="005A195B" w:rsidP="00AE2D49">
      <w:pPr>
        <w:rPr>
          <w:lang w:val="ar-SA" w:bidi="ar-EG"/>
        </w:rPr>
      </w:pPr>
      <w:r>
        <w:t>7.4</w:t>
      </w:r>
      <w:r w:rsidRPr="005A195B">
        <w:rPr>
          <w:rtl/>
        </w:rPr>
        <w:tab/>
      </w:r>
      <w:r w:rsidR="00AE2D49" w:rsidRPr="00AE2D49">
        <w:rPr>
          <w:rtl/>
        </w:rPr>
        <w:t>وحث عدد من أعضاء المجلس الاتحاد على اغتنام الفرصة التي تتيحها مشاريع القرارات المقترحة من أجل الإدلاء ببيان بشأن الطبيعة الأساسية للبنية التحتية للاتصالات وضرورة حمايتها أثناء النزاع على قدم المساواة مع البنى التحتية الأخرى، مثل المستشفيات والمدارس، التي تعتمد في تشغيلها على البنية التحتية للاتصالات</w:t>
      </w:r>
      <w:r w:rsidRPr="005A195B">
        <w:rPr>
          <w:rtl/>
        </w:rPr>
        <w:t>.</w:t>
      </w:r>
    </w:p>
    <w:p w14:paraId="5F8A832E" w14:textId="4E24D615" w:rsidR="005A195B" w:rsidRPr="005A195B" w:rsidRDefault="005A195B" w:rsidP="005A195B">
      <w:pPr>
        <w:rPr>
          <w:lang w:val="ar-SA" w:bidi="ar-EG"/>
        </w:rPr>
      </w:pPr>
      <w:r>
        <w:t>8.4</w:t>
      </w:r>
      <w:r w:rsidRPr="005A195B">
        <w:rPr>
          <w:rtl/>
        </w:rPr>
        <w:tab/>
        <w:t>وأكد أحد أعضاء المجلس من الإمارات العربية المتحدة أن المساهمة المقدَّمة ومشروع القرار المرتبط بها لا</w:t>
      </w:r>
      <w:r>
        <w:rPr>
          <w:rFonts w:hint="cs"/>
          <w:rtl/>
        </w:rPr>
        <w:t> </w:t>
      </w:r>
      <w:r w:rsidRPr="005A195B">
        <w:rPr>
          <w:rtl/>
        </w:rPr>
        <w:t>ينطويان على أي تداعيات مالية على الاتحاد. وبالنظر إلى الطابع الفريد للوضع الذي تتعرض فيه دول ليست أطرافاً في نزاع للهجوم، يحث المجلس على إيلاء الاعتبار الواجب للمساهمة التي قدمها، بمعزل عن جميع المساهمات الأخرى.</w:t>
      </w:r>
    </w:p>
    <w:p w14:paraId="5FD75BEB" w14:textId="4165844B" w:rsidR="005A195B" w:rsidRPr="005A195B" w:rsidRDefault="005A195B" w:rsidP="005A195B">
      <w:pPr>
        <w:rPr>
          <w:lang w:val="ar-SA" w:bidi="ar-EG"/>
        </w:rPr>
      </w:pPr>
      <w:r>
        <w:t>9.4</w:t>
      </w:r>
      <w:r w:rsidRPr="005A195B">
        <w:rPr>
          <w:rtl/>
        </w:rPr>
        <w:tab/>
        <w:t>واقترح الرئيس إجراء مشاورات غير رسمية بشأن مشروع القرار وأن يستأنف المجلس نظره في هذا البند بعد</w:t>
      </w:r>
      <w:r w:rsidR="008C46C4">
        <w:rPr>
          <w:rFonts w:hint="cs"/>
          <w:rtl/>
        </w:rPr>
        <w:t> </w:t>
      </w:r>
      <w:r w:rsidRPr="005A195B">
        <w:rPr>
          <w:rtl/>
        </w:rPr>
        <w:t>ذلك.</w:t>
      </w:r>
    </w:p>
    <w:p w14:paraId="63EE28E6" w14:textId="4209E8D0" w:rsidR="005A195B" w:rsidRPr="005A195B" w:rsidRDefault="005A195B" w:rsidP="005A195B">
      <w:pPr>
        <w:rPr>
          <w:lang w:val="ar-SA" w:bidi="ar-EG"/>
        </w:rPr>
      </w:pPr>
      <w:r>
        <w:t>10.4</w:t>
      </w:r>
      <w:r w:rsidRPr="005A195B">
        <w:rPr>
          <w:rtl/>
        </w:rPr>
        <w:tab/>
        <w:t>و</w:t>
      </w:r>
      <w:r w:rsidRPr="005A195B">
        <w:rPr>
          <w:b/>
          <w:bCs/>
          <w:rtl/>
        </w:rPr>
        <w:t>اتُّفق</w:t>
      </w:r>
      <w:r w:rsidRPr="005A195B">
        <w:rPr>
          <w:rtl/>
        </w:rPr>
        <w:t xml:space="preserve"> على ذلك.</w:t>
      </w:r>
    </w:p>
    <w:p w14:paraId="42A3FA4A" w14:textId="77777777" w:rsidR="005A195B" w:rsidRPr="005A195B" w:rsidRDefault="005A195B" w:rsidP="005A195B">
      <w:pPr>
        <w:pStyle w:val="Heading1"/>
        <w:rPr>
          <w:lang w:val="ar-SA" w:bidi="ar-EG"/>
        </w:rPr>
      </w:pPr>
      <w:r w:rsidRPr="005A195B">
        <w:rPr>
          <w:rtl/>
        </w:rPr>
        <w:t>5</w:t>
      </w:r>
      <w:r w:rsidRPr="005A195B">
        <w:rPr>
          <w:rtl/>
        </w:rPr>
        <w:tab/>
        <w:t>بيانات أدلى بها أعضاء المجلس</w:t>
      </w:r>
    </w:p>
    <w:p w14:paraId="27C5B097" w14:textId="142A7848" w:rsidR="005A195B" w:rsidRPr="005A195B" w:rsidRDefault="005A195B" w:rsidP="005A195B">
      <w:pPr>
        <w:rPr>
          <w:lang w:val="ar-SA" w:bidi="ar-EG"/>
        </w:rPr>
      </w:pPr>
      <w:r>
        <w:t>1.5</w:t>
      </w:r>
      <w:r w:rsidRPr="005A195B">
        <w:rPr>
          <w:rtl/>
        </w:rPr>
        <w:tab/>
        <w:t>أعلن عضو المجلس من رواندا ترشيح بلده لإعادة انتخابه في عضوية المجلس.</w:t>
      </w:r>
    </w:p>
    <w:p w14:paraId="10CCD536" w14:textId="24C00BBE" w:rsidR="00F50E3F" w:rsidRPr="00FE5503" w:rsidRDefault="005A195B" w:rsidP="00FE5503">
      <w:pPr>
        <w:tabs>
          <w:tab w:val="clear" w:pos="794"/>
          <w:tab w:val="left" w:pos="4818"/>
        </w:tabs>
        <w:spacing w:before="600"/>
        <w:rPr>
          <w:rtl/>
          <w:lang w:bidi="ar-EG"/>
        </w:rPr>
      </w:pPr>
      <w:r w:rsidRPr="005A195B">
        <w:rPr>
          <w:rtl/>
        </w:rPr>
        <w:t>الأمينة العامة:</w:t>
      </w:r>
      <w:r w:rsidRPr="005A195B">
        <w:rPr>
          <w:rtl/>
        </w:rPr>
        <w:tab/>
        <w:t>الرئيس:</w:t>
      </w:r>
      <w:r>
        <w:rPr>
          <w:rtl/>
        </w:rPr>
        <w:br/>
      </w:r>
      <w:r w:rsidRPr="005A195B">
        <w:rPr>
          <w:rtl/>
        </w:rPr>
        <w:t xml:space="preserve"> بوغدان-مارتن</w:t>
      </w:r>
      <w:r w:rsidRPr="005A195B">
        <w:rPr>
          <w:rtl/>
        </w:rPr>
        <w:tab/>
        <w:t>ب. تيجاني</w:t>
      </w:r>
    </w:p>
    <w:sectPr w:rsidR="00F50E3F" w:rsidRPr="00FE5503" w:rsidSect="006F363C">
      <w:footerReference w:type="default" r:id="rId21"/>
      <w:headerReference w:type="first" r:id="rId22"/>
      <w:footerReference w:type="first" r:id="rId23"/>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4820" w14:textId="77777777" w:rsidR="00901E46" w:rsidRDefault="00901E46" w:rsidP="006C3242">
      <w:pPr>
        <w:spacing w:before="0" w:line="240" w:lineRule="auto"/>
      </w:pPr>
      <w:r>
        <w:separator/>
      </w:r>
    </w:p>
  </w:endnote>
  <w:endnote w:type="continuationSeparator" w:id="0">
    <w:p w14:paraId="4E1F04F2" w14:textId="77777777" w:rsidR="00901E46" w:rsidRDefault="00901E46"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5131D09A" w14:textId="77777777" w:rsidTr="00A67F05">
      <w:trPr>
        <w:jc w:val="center"/>
      </w:trPr>
      <w:tc>
        <w:tcPr>
          <w:tcW w:w="868" w:type="pct"/>
          <w:vAlign w:val="center"/>
        </w:tcPr>
        <w:p w14:paraId="60629F9E" w14:textId="4ACBD663" w:rsidR="00F50E3F" w:rsidRPr="005A195B" w:rsidRDefault="005A195B" w:rsidP="005A195B">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5A195B">
            <w:rPr>
              <w:rFonts w:ascii="Calibri" w:hAnsi="Calibri" w:cs="Arial"/>
              <w:sz w:val="18"/>
              <w:szCs w:val="14"/>
              <w:lang w:val="en-US"/>
            </w:rPr>
            <w:t>2601338</w:t>
          </w:r>
        </w:p>
      </w:tc>
      <w:tc>
        <w:tcPr>
          <w:tcW w:w="3912" w:type="pct"/>
        </w:tcPr>
        <w:p w14:paraId="42925600" w14:textId="0246B368"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5A195B">
            <w:rPr>
              <w:rFonts w:ascii="Calibri" w:hAnsi="Calibri" w:cs="Arial"/>
              <w:bCs/>
              <w:color w:val="7F7F7F"/>
              <w:sz w:val="18"/>
            </w:rPr>
            <w:t>118</w:t>
          </w:r>
          <w:r w:rsidRPr="007B0AA0">
            <w:rPr>
              <w:rFonts w:ascii="Calibri" w:hAnsi="Calibri" w:cs="Arial"/>
              <w:bCs/>
              <w:color w:val="7F7F7F"/>
              <w:sz w:val="18"/>
            </w:rPr>
            <w:t>-</w:t>
          </w:r>
          <w:r>
            <w:rPr>
              <w:rFonts w:ascii="Calibri" w:hAnsi="Calibri" w:cs="Arial"/>
              <w:bCs/>
              <w:color w:val="7F7F7F"/>
              <w:sz w:val="18"/>
            </w:rPr>
            <w:t>A</w:t>
          </w:r>
        </w:p>
      </w:tc>
      <w:tc>
        <w:tcPr>
          <w:tcW w:w="220" w:type="pct"/>
        </w:tcPr>
        <w:p w14:paraId="02FA2388"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7F1C86A0"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1160570A" w14:textId="77777777" w:rsidTr="00A67F05">
      <w:trPr>
        <w:jc w:val="center"/>
      </w:trPr>
      <w:tc>
        <w:tcPr>
          <w:tcW w:w="1013" w:type="pct"/>
          <w:vAlign w:val="center"/>
        </w:tcPr>
        <w:p w14:paraId="43C0BC7A"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540B719B" w14:textId="1E472CBF"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99437C">
            <w:rPr>
              <w:rFonts w:ascii="Calibri" w:hAnsi="Calibri" w:cs="Arial"/>
              <w:bCs/>
              <w:color w:val="7F7F7F"/>
              <w:sz w:val="18"/>
            </w:rPr>
            <w:t>118</w:t>
          </w:r>
          <w:r w:rsidRPr="007B0AA0">
            <w:rPr>
              <w:rFonts w:ascii="Calibri" w:hAnsi="Calibri" w:cs="Arial"/>
              <w:bCs/>
              <w:color w:val="7F7F7F"/>
              <w:sz w:val="18"/>
            </w:rPr>
            <w:t>-</w:t>
          </w:r>
          <w:r>
            <w:rPr>
              <w:rFonts w:ascii="Calibri" w:hAnsi="Calibri" w:cs="Arial"/>
              <w:bCs/>
              <w:color w:val="7F7F7F"/>
              <w:sz w:val="18"/>
            </w:rPr>
            <w:t>A</w:t>
          </w:r>
        </w:p>
      </w:tc>
      <w:tc>
        <w:tcPr>
          <w:tcW w:w="220" w:type="pct"/>
        </w:tcPr>
        <w:p w14:paraId="5612269E"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37F7D3BB"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82D05" w14:textId="77777777" w:rsidR="00901E46" w:rsidRDefault="00901E46" w:rsidP="006C3242">
      <w:pPr>
        <w:spacing w:before="0" w:line="240" w:lineRule="auto"/>
      </w:pPr>
      <w:r>
        <w:separator/>
      </w:r>
    </w:p>
  </w:footnote>
  <w:footnote w:type="continuationSeparator" w:id="0">
    <w:p w14:paraId="43BF9AD3" w14:textId="77777777" w:rsidR="00901E46" w:rsidRDefault="00901E46"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FC29" w14:textId="77777777" w:rsidR="001A3E13" w:rsidRPr="00057769" w:rsidRDefault="001A3E13" w:rsidP="001A3E13">
    <w:pPr>
      <w:pStyle w:val="Header"/>
    </w:pPr>
    <w:r>
      <w:rPr>
        <w:noProof/>
      </w:rPr>
      <w:drawing>
        <wp:inline distT="0" distB="0" distL="0" distR="0" wp14:anchorId="2F79A15B" wp14:editId="682FF03B">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3886784">
    <w:abstractNumId w:val="9"/>
  </w:num>
  <w:num w:numId="2" w16cid:durableId="1093935628">
    <w:abstractNumId w:val="7"/>
  </w:num>
  <w:num w:numId="3" w16cid:durableId="1618372748">
    <w:abstractNumId w:val="6"/>
  </w:num>
  <w:num w:numId="4" w16cid:durableId="1815564393">
    <w:abstractNumId w:val="5"/>
  </w:num>
  <w:num w:numId="5" w16cid:durableId="895817263">
    <w:abstractNumId w:val="4"/>
  </w:num>
  <w:num w:numId="6" w16cid:durableId="227420587">
    <w:abstractNumId w:val="8"/>
  </w:num>
  <w:num w:numId="7" w16cid:durableId="908081025">
    <w:abstractNumId w:val="3"/>
  </w:num>
  <w:num w:numId="8" w16cid:durableId="258605494">
    <w:abstractNumId w:val="2"/>
  </w:num>
  <w:num w:numId="9" w16cid:durableId="481704181">
    <w:abstractNumId w:val="1"/>
  </w:num>
  <w:num w:numId="10" w16cid:durableId="1623490015">
    <w:abstractNumId w:val="0"/>
  </w:num>
  <w:num w:numId="11" w16cid:durableId="1490176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5B"/>
    <w:rsid w:val="000116AF"/>
    <w:rsid w:val="0006468A"/>
    <w:rsid w:val="00077A58"/>
    <w:rsid w:val="00090574"/>
    <w:rsid w:val="000C1C0E"/>
    <w:rsid w:val="000C548A"/>
    <w:rsid w:val="000E6410"/>
    <w:rsid w:val="001076A1"/>
    <w:rsid w:val="00191059"/>
    <w:rsid w:val="001A3E13"/>
    <w:rsid w:val="001B6E2B"/>
    <w:rsid w:val="001C0169"/>
    <w:rsid w:val="001C0C21"/>
    <w:rsid w:val="001D1D50"/>
    <w:rsid w:val="001D64C7"/>
    <w:rsid w:val="001D6745"/>
    <w:rsid w:val="001E446E"/>
    <w:rsid w:val="002154EE"/>
    <w:rsid w:val="002276D2"/>
    <w:rsid w:val="0023283D"/>
    <w:rsid w:val="00254393"/>
    <w:rsid w:val="0026373E"/>
    <w:rsid w:val="00271C43"/>
    <w:rsid w:val="00290728"/>
    <w:rsid w:val="002978F4"/>
    <w:rsid w:val="002B028D"/>
    <w:rsid w:val="002C3F32"/>
    <w:rsid w:val="002E6541"/>
    <w:rsid w:val="002F3D28"/>
    <w:rsid w:val="00334924"/>
    <w:rsid w:val="003409BC"/>
    <w:rsid w:val="00357185"/>
    <w:rsid w:val="0038323A"/>
    <w:rsid w:val="00383829"/>
    <w:rsid w:val="003F4B29"/>
    <w:rsid w:val="00404AF0"/>
    <w:rsid w:val="00410B26"/>
    <w:rsid w:val="00420F8A"/>
    <w:rsid w:val="0042686F"/>
    <w:rsid w:val="004317D8"/>
    <w:rsid w:val="0043260A"/>
    <w:rsid w:val="00434183"/>
    <w:rsid w:val="00443869"/>
    <w:rsid w:val="00447F32"/>
    <w:rsid w:val="00491BA9"/>
    <w:rsid w:val="00494119"/>
    <w:rsid w:val="004A4701"/>
    <w:rsid w:val="004B7334"/>
    <w:rsid w:val="004E11DC"/>
    <w:rsid w:val="00510224"/>
    <w:rsid w:val="005130DE"/>
    <w:rsid w:val="00513157"/>
    <w:rsid w:val="00525DDD"/>
    <w:rsid w:val="005409AC"/>
    <w:rsid w:val="005434E0"/>
    <w:rsid w:val="005546CF"/>
    <w:rsid w:val="0055516A"/>
    <w:rsid w:val="0057546C"/>
    <w:rsid w:val="0058491B"/>
    <w:rsid w:val="00592EA5"/>
    <w:rsid w:val="005A195B"/>
    <w:rsid w:val="005A3170"/>
    <w:rsid w:val="00657019"/>
    <w:rsid w:val="00660DEA"/>
    <w:rsid w:val="00677396"/>
    <w:rsid w:val="00683B5D"/>
    <w:rsid w:val="00683F16"/>
    <w:rsid w:val="0069200F"/>
    <w:rsid w:val="006A65CB"/>
    <w:rsid w:val="006B12E5"/>
    <w:rsid w:val="006C3242"/>
    <w:rsid w:val="006C7CC0"/>
    <w:rsid w:val="006F363C"/>
    <w:rsid w:val="006F63F7"/>
    <w:rsid w:val="007025C7"/>
    <w:rsid w:val="00706D7A"/>
    <w:rsid w:val="00722F0D"/>
    <w:rsid w:val="00735081"/>
    <w:rsid w:val="0074420E"/>
    <w:rsid w:val="007648A6"/>
    <w:rsid w:val="0077110E"/>
    <w:rsid w:val="00783E26"/>
    <w:rsid w:val="00790101"/>
    <w:rsid w:val="007A6684"/>
    <w:rsid w:val="007B0AA0"/>
    <w:rsid w:val="007C3BC7"/>
    <w:rsid w:val="007C3BCD"/>
    <w:rsid w:val="007D4ACF"/>
    <w:rsid w:val="007F0787"/>
    <w:rsid w:val="00810B7B"/>
    <w:rsid w:val="0082358A"/>
    <w:rsid w:val="008235CD"/>
    <w:rsid w:val="008247DE"/>
    <w:rsid w:val="008339C0"/>
    <w:rsid w:val="00840B10"/>
    <w:rsid w:val="008513CB"/>
    <w:rsid w:val="00874E9F"/>
    <w:rsid w:val="008A7F84"/>
    <w:rsid w:val="008B52A8"/>
    <w:rsid w:val="008C46C4"/>
    <w:rsid w:val="00901E46"/>
    <w:rsid w:val="0091702E"/>
    <w:rsid w:val="00923B0C"/>
    <w:rsid w:val="00924F46"/>
    <w:rsid w:val="00935AAC"/>
    <w:rsid w:val="0093725D"/>
    <w:rsid w:val="0094021C"/>
    <w:rsid w:val="00952F86"/>
    <w:rsid w:val="0096716C"/>
    <w:rsid w:val="00982B28"/>
    <w:rsid w:val="009868AC"/>
    <w:rsid w:val="0099437C"/>
    <w:rsid w:val="009D313F"/>
    <w:rsid w:val="00A47A5A"/>
    <w:rsid w:val="00A63AE6"/>
    <w:rsid w:val="00A6683B"/>
    <w:rsid w:val="00A67F05"/>
    <w:rsid w:val="00A97F94"/>
    <w:rsid w:val="00AA7EA2"/>
    <w:rsid w:val="00AB5A56"/>
    <w:rsid w:val="00AE2D49"/>
    <w:rsid w:val="00B03099"/>
    <w:rsid w:val="00B05BC8"/>
    <w:rsid w:val="00B30F5E"/>
    <w:rsid w:val="00B64B47"/>
    <w:rsid w:val="00B95654"/>
    <w:rsid w:val="00B97F32"/>
    <w:rsid w:val="00BA04B2"/>
    <w:rsid w:val="00BC4DC8"/>
    <w:rsid w:val="00C002DE"/>
    <w:rsid w:val="00C0602B"/>
    <w:rsid w:val="00C224DA"/>
    <w:rsid w:val="00C53BF8"/>
    <w:rsid w:val="00C66157"/>
    <w:rsid w:val="00C674FE"/>
    <w:rsid w:val="00C67501"/>
    <w:rsid w:val="00C75633"/>
    <w:rsid w:val="00CD05A7"/>
    <w:rsid w:val="00CE2EE1"/>
    <w:rsid w:val="00CE3349"/>
    <w:rsid w:val="00CE36E5"/>
    <w:rsid w:val="00CE4360"/>
    <w:rsid w:val="00CF27F5"/>
    <w:rsid w:val="00CF3FFD"/>
    <w:rsid w:val="00D10CCF"/>
    <w:rsid w:val="00D13941"/>
    <w:rsid w:val="00D23F5F"/>
    <w:rsid w:val="00D43F7D"/>
    <w:rsid w:val="00D63735"/>
    <w:rsid w:val="00D77D0F"/>
    <w:rsid w:val="00DA1CF0"/>
    <w:rsid w:val="00DA6A30"/>
    <w:rsid w:val="00DA6CDC"/>
    <w:rsid w:val="00DC1E02"/>
    <w:rsid w:val="00DC24B4"/>
    <w:rsid w:val="00DC5FB0"/>
    <w:rsid w:val="00DF16DC"/>
    <w:rsid w:val="00E45211"/>
    <w:rsid w:val="00E473C5"/>
    <w:rsid w:val="00E61BE8"/>
    <w:rsid w:val="00E83FF1"/>
    <w:rsid w:val="00E92863"/>
    <w:rsid w:val="00E979B2"/>
    <w:rsid w:val="00EB796D"/>
    <w:rsid w:val="00F058DC"/>
    <w:rsid w:val="00F24FC4"/>
    <w:rsid w:val="00F2676C"/>
    <w:rsid w:val="00F363FE"/>
    <w:rsid w:val="00F50E3F"/>
    <w:rsid w:val="00F84366"/>
    <w:rsid w:val="00F85089"/>
    <w:rsid w:val="00F974C5"/>
    <w:rsid w:val="00FA3763"/>
    <w:rsid w:val="00FA5E1C"/>
    <w:rsid w:val="00FA6F46"/>
    <w:rsid w:val="00FC0E94"/>
    <w:rsid w:val="00FC4592"/>
    <w:rsid w:val="00FD527F"/>
    <w:rsid w:val="00FE5503"/>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D3490"/>
  <w15:chartTrackingRefBased/>
  <w15:docId w15:val="{3DA0D255-8BD0-4F32-A6A5-A6970BD7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28/en" TargetMode="External"/><Relationship Id="rId13" Type="http://schemas.openxmlformats.org/officeDocument/2006/relationships/hyperlink" Target="https://www.itu.int/md/S26-CL-C-0028/en" TargetMode="External"/><Relationship Id="rId18" Type="http://schemas.openxmlformats.org/officeDocument/2006/relationships/hyperlink" Target="https://www.itu.int/md/S26-CL-C-0095/e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md/S26-CL-C-0095/en" TargetMode="External"/><Relationship Id="rId17" Type="http://schemas.openxmlformats.org/officeDocument/2006/relationships/hyperlink" Target="https://www.itu.int/md/S26-CL-C-0035/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md/S26-CL-C-0035/en" TargetMode="External"/><Relationship Id="rId20" Type="http://schemas.openxmlformats.org/officeDocument/2006/relationships/hyperlink" Target="https://www.itu.int/md/S26-CL-INF-0024/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35/e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md/S26-CL-C-0082/en" TargetMode="External"/><Relationship Id="rId23" Type="http://schemas.openxmlformats.org/officeDocument/2006/relationships/footer" Target="footer2.xml"/><Relationship Id="rId10" Type="http://schemas.openxmlformats.org/officeDocument/2006/relationships/hyperlink" Target="https://www.itu.int/md/S26-CL-C-0082/en" TargetMode="External"/><Relationship Id="rId19" Type="http://schemas.openxmlformats.org/officeDocument/2006/relationships/hyperlink" Target="https://www.itu.int/md/S26-CL-INF-0024/en" TargetMode="External"/><Relationship Id="rId4" Type="http://schemas.openxmlformats.org/officeDocument/2006/relationships/settings" Target="settings.xml"/><Relationship Id="rId9" Type="http://schemas.openxmlformats.org/officeDocument/2006/relationships/hyperlink" Target="https://www.itu.int/md/S26-CL-C-0055/en" TargetMode="External"/><Relationship Id="rId14" Type="http://schemas.openxmlformats.org/officeDocument/2006/relationships/hyperlink" Target="https://www.itu.int/md/S26-CL-C-0055/en"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1</TotalTime>
  <Pages>6</Pages>
  <Words>9631</Words>
  <Characters>10402</Characters>
  <Application>Microsoft Office Word</Application>
  <DocSecurity>0</DocSecurity>
  <Lines>371</Lines>
  <Paragraphs>217</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first Plenary meeting</dc:title>
  <dc:subject>ITU Council 2026</dc:subject>
  <dc:creator>GE</dc:creator>
  <cp:keywords>C26; C2026; Council 2026; PP26</cp:keywords>
  <dc:description/>
  <cp:lastModifiedBy>ITUGBS</cp:lastModifiedBy>
  <cp:revision>2</cp:revision>
  <dcterms:created xsi:type="dcterms:W3CDTF">2026-09-14T08:34:00Z</dcterms:created>
  <dcterms:modified xsi:type="dcterms:W3CDTF">2026-09-14T08:34:00Z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