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vertAnchor="page" w:horzAnchor="page" w:tblpX="1589" w:tblpY="2314"/>
        <w:tblW w:w="9214" w:type="dxa"/>
        <w:tblLayout w:type="fixed"/>
        <w:tblLook w:val="0000" w:firstRow="0" w:lastRow="0" w:firstColumn="0" w:lastColumn="0" w:noHBand="0" w:noVBand="0"/>
      </w:tblPr>
      <w:tblGrid>
        <w:gridCol w:w="3969"/>
        <w:gridCol w:w="5245"/>
      </w:tblGrid>
      <w:tr w:rsidR="00D72F49" w:rsidRPr="00813E5E" w14:paraId="6F34E693" w14:textId="77777777" w:rsidTr="00796BDB">
        <w:trPr>
          <w:cantSplit/>
          <w:trHeight w:val="23"/>
        </w:trPr>
        <w:tc>
          <w:tcPr>
            <w:tcW w:w="3969" w:type="dxa"/>
            <w:vMerge w:val="restart"/>
            <w:tcMar>
              <w:left w:w="0" w:type="dxa"/>
            </w:tcMar>
          </w:tcPr>
          <w:p w14:paraId="45AF9504" w14:textId="16CF5EC0" w:rsidR="00D72F49" w:rsidRPr="00E85629" w:rsidRDefault="00D72F49" w:rsidP="00796BDB">
            <w:pPr>
              <w:tabs>
                <w:tab w:val="left" w:pos="851"/>
              </w:tabs>
              <w:spacing w:before="0" w:line="240" w:lineRule="atLeast"/>
              <w:rPr>
                <w:b/>
              </w:rPr>
            </w:pPr>
          </w:p>
        </w:tc>
        <w:tc>
          <w:tcPr>
            <w:tcW w:w="5245" w:type="dxa"/>
          </w:tcPr>
          <w:p w14:paraId="7BF488E6" w14:textId="259CE7DA" w:rsidR="00D72F49" w:rsidRPr="00E85629" w:rsidRDefault="00D72F49" w:rsidP="00796BDB">
            <w:pPr>
              <w:tabs>
                <w:tab w:val="left" w:pos="851"/>
              </w:tabs>
              <w:spacing w:before="0" w:line="240" w:lineRule="atLeast"/>
              <w:jc w:val="right"/>
              <w:rPr>
                <w:b/>
              </w:rPr>
            </w:pPr>
            <w:r>
              <w:rPr>
                <w:b/>
              </w:rPr>
              <w:t>Document C2</w:t>
            </w:r>
            <w:r w:rsidR="00E4448E">
              <w:rPr>
                <w:b/>
              </w:rPr>
              <w:t>6</w:t>
            </w:r>
            <w:r>
              <w:rPr>
                <w:b/>
              </w:rPr>
              <w:t>/</w:t>
            </w:r>
            <w:r w:rsidR="002C1E07">
              <w:rPr>
                <w:b/>
              </w:rPr>
              <w:t>117</w:t>
            </w:r>
            <w:r>
              <w:rPr>
                <w:b/>
              </w:rPr>
              <w:t>-F</w:t>
            </w:r>
          </w:p>
        </w:tc>
      </w:tr>
      <w:tr w:rsidR="00D72F49" w:rsidRPr="00C049D7" w14:paraId="5E9B607E" w14:textId="77777777" w:rsidTr="00796BDB">
        <w:trPr>
          <w:cantSplit/>
        </w:trPr>
        <w:tc>
          <w:tcPr>
            <w:tcW w:w="3969" w:type="dxa"/>
            <w:vMerge/>
          </w:tcPr>
          <w:p w14:paraId="5B7E7B87" w14:textId="77777777" w:rsidR="00D72F49" w:rsidRPr="00813E5E" w:rsidRDefault="00D72F49" w:rsidP="00796BDB">
            <w:pPr>
              <w:tabs>
                <w:tab w:val="left" w:pos="851"/>
              </w:tabs>
              <w:spacing w:line="240" w:lineRule="atLeast"/>
              <w:rPr>
                <w:b/>
              </w:rPr>
            </w:pPr>
          </w:p>
        </w:tc>
        <w:tc>
          <w:tcPr>
            <w:tcW w:w="5245" w:type="dxa"/>
          </w:tcPr>
          <w:p w14:paraId="1E55DA10" w14:textId="42B43193" w:rsidR="00D72F49" w:rsidRPr="00FC6D7D" w:rsidRDefault="008D4048" w:rsidP="00796BDB">
            <w:pPr>
              <w:tabs>
                <w:tab w:val="left" w:pos="851"/>
              </w:tabs>
              <w:spacing w:before="0"/>
              <w:jc w:val="right"/>
              <w:rPr>
                <w:b/>
                <w:lang w:val="en-GB"/>
              </w:rPr>
            </w:pPr>
            <w:r>
              <w:rPr>
                <w:b/>
              </w:rPr>
              <w:t>3 août</w:t>
            </w:r>
            <w:r w:rsidR="002C1E07">
              <w:rPr>
                <w:b/>
              </w:rPr>
              <w:t xml:space="preserve"> 2026</w:t>
            </w:r>
          </w:p>
        </w:tc>
      </w:tr>
      <w:tr w:rsidR="00D72F49" w:rsidRPr="00813E5E" w14:paraId="2D622D6E" w14:textId="77777777" w:rsidTr="00796BDB">
        <w:trPr>
          <w:cantSplit/>
          <w:trHeight w:val="23"/>
        </w:trPr>
        <w:tc>
          <w:tcPr>
            <w:tcW w:w="3969" w:type="dxa"/>
            <w:vMerge/>
          </w:tcPr>
          <w:p w14:paraId="09D1A2F6" w14:textId="77777777" w:rsidR="00D72F49" w:rsidRPr="00FC6D7D" w:rsidRDefault="00D72F49" w:rsidP="00796BDB">
            <w:pPr>
              <w:tabs>
                <w:tab w:val="left" w:pos="851"/>
              </w:tabs>
              <w:spacing w:line="240" w:lineRule="atLeast"/>
              <w:rPr>
                <w:b/>
                <w:lang w:val="en-GB"/>
              </w:rPr>
            </w:pPr>
          </w:p>
        </w:tc>
        <w:tc>
          <w:tcPr>
            <w:tcW w:w="5245" w:type="dxa"/>
          </w:tcPr>
          <w:p w14:paraId="4A655B08" w14:textId="77777777" w:rsidR="00D72F49" w:rsidRPr="00E85629" w:rsidRDefault="00D72F49" w:rsidP="00796BDB">
            <w:pPr>
              <w:tabs>
                <w:tab w:val="left" w:pos="851"/>
              </w:tabs>
              <w:spacing w:before="0" w:line="240" w:lineRule="atLeast"/>
              <w:jc w:val="right"/>
              <w:rPr>
                <w:b/>
              </w:rPr>
            </w:pPr>
            <w:r w:rsidRPr="00122CE1">
              <w:rPr>
                <w:b/>
                <w:lang w:val="fr-CH"/>
              </w:rPr>
              <w:t>Original: anglais</w:t>
            </w:r>
          </w:p>
        </w:tc>
      </w:tr>
      <w:tr w:rsidR="00D72F49" w:rsidRPr="00813E5E" w14:paraId="3B8BEE2F" w14:textId="77777777" w:rsidTr="00796BDB">
        <w:trPr>
          <w:cantSplit/>
          <w:trHeight w:val="23"/>
        </w:trPr>
        <w:tc>
          <w:tcPr>
            <w:tcW w:w="3969" w:type="dxa"/>
          </w:tcPr>
          <w:p w14:paraId="2A75A18A" w14:textId="77777777" w:rsidR="00D72F49" w:rsidRPr="00813E5E" w:rsidRDefault="00D72F49" w:rsidP="00796BDB">
            <w:pPr>
              <w:tabs>
                <w:tab w:val="left" w:pos="851"/>
              </w:tabs>
              <w:spacing w:line="240" w:lineRule="atLeast"/>
              <w:rPr>
                <w:b/>
              </w:rPr>
            </w:pPr>
          </w:p>
        </w:tc>
        <w:tc>
          <w:tcPr>
            <w:tcW w:w="5245" w:type="dxa"/>
          </w:tcPr>
          <w:p w14:paraId="7DC2F708" w14:textId="77777777" w:rsidR="00D72F49" w:rsidRDefault="00D72F49" w:rsidP="00796BDB">
            <w:pPr>
              <w:tabs>
                <w:tab w:val="left" w:pos="851"/>
              </w:tabs>
              <w:spacing w:before="0" w:line="240" w:lineRule="atLeast"/>
              <w:jc w:val="right"/>
              <w:rPr>
                <w:b/>
              </w:rPr>
            </w:pPr>
          </w:p>
        </w:tc>
      </w:tr>
      <w:tr w:rsidR="00D72F49" w:rsidRPr="00122CE1" w14:paraId="06A796C1" w14:textId="77777777" w:rsidTr="00796BDB">
        <w:trPr>
          <w:cantSplit/>
        </w:trPr>
        <w:tc>
          <w:tcPr>
            <w:tcW w:w="9214" w:type="dxa"/>
            <w:gridSpan w:val="2"/>
            <w:tcMar>
              <w:left w:w="0" w:type="dxa"/>
            </w:tcMar>
          </w:tcPr>
          <w:p w14:paraId="023D59B8" w14:textId="0F52EF77" w:rsidR="00D72F49" w:rsidRPr="002C1E07" w:rsidRDefault="002C1E07" w:rsidP="002C1E07">
            <w:pPr>
              <w:pStyle w:val="Summary-Record"/>
              <w:framePr w:hSpace="0" w:wrap="auto" w:vAnchor="margin" w:hAnchor="text" w:xAlign="left" w:yAlign="inline"/>
              <w:rPr>
                <w:bCs/>
                <w:color w:val="000000"/>
                <w:lang w:val="fr-FR"/>
              </w:rPr>
            </w:pPr>
            <w:r>
              <w:rPr>
                <w:bCs/>
                <w:color w:val="000000"/>
                <w:lang w:val="fr-FR"/>
              </w:rPr>
              <w:t xml:space="preserve">COMPTE RENDU </w:t>
            </w:r>
            <w:r>
              <w:rPr>
                <w:bCs/>
                <w:color w:val="000000"/>
                <w:lang w:val="fr-FR"/>
              </w:rPr>
              <w:br/>
            </w:r>
            <w:r>
              <w:rPr>
                <w:bCs/>
                <w:color w:val="000000"/>
                <w:lang w:val="fr-FR"/>
              </w:rPr>
              <w:br/>
              <w:t xml:space="preserve">DE LA </w:t>
            </w:r>
            <w:r>
              <w:rPr>
                <w:bCs/>
                <w:color w:val="000000"/>
                <w:lang w:val="fr-FR"/>
              </w:rPr>
              <w:br/>
            </w:r>
            <w:r>
              <w:rPr>
                <w:bCs/>
                <w:color w:val="000000"/>
                <w:lang w:val="fr-FR"/>
              </w:rPr>
              <w:br/>
              <w:t>SÉANCE PLÉNIÈRE INAUGURALE</w:t>
            </w:r>
          </w:p>
        </w:tc>
      </w:tr>
      <w:tr w:rsidR="00D72F49" w:rsidRPr="00813E5E" w14:paraId="027FE5ED" w14:textId="77777777" w:rsidTr="00796BDB">
        <w:trPr>
          <w:cantSplit/>
        </w:trPr>
        <w:tc>
          <w:tcPr>
            <w:tcW w:w="9214" w:type="dxa"/>
            <w:gridSpan w:val="2"/>
            <w:tcMar>
              <w:left w:w="0" w:type="dxa"/>
            </w:tcMar>
          </w:tcPr>
          <w:p w14:paraId="44D8E3C2" w14:textId="77777777" w:rsidR="002C1E07" w:rsidRDefault="002C1E07" w:rsidP="002C1E07">
            <w:pPr>
              <w:spacing w:after="360"/>
              <w:jc w:val="center"/>
            </w:pPr>
            <w:r>
              <w:t>Mardi 28 avril 2026 de 9 h 35 à 12 h 45</w:t>
            </w:r>
          </w:p>
          <w:p w14:paraId="4FA6632A" w14:textId="08AD80B2" w:rsidR="002C1E07" w:rsidRDefault="002C1E07" w:rsidP="002C1E07">
            <w:pPr>
              <w:jc w:val="center"/>
            </w:pPr>
            <w:r w:rsidRPr="002C1E07">
              <w:rPr>
                <w:b/>
                <w:bCs/>
              </w:rPr>
              <w:t>Présidente</w:t>
            </w:r>
            <w:r>
              <w:t>: Mme C. Flutur (Roumanie)</w:t>
            </w:r>
          </w:p>
          <w:p w14:paraId="664F125A" w14:textId="3D372C5B" w:rsidR="00D72F49" w:rsidRPr="002C1E07" w:rsidRDefault="002C1E07" w:rsidP="002C1E07">
            <w:pPr>
              <w:spacing w:before="0"/>
              <w:jc w:val="center"/>
            </w:pPr>
            <w:r w:rsidRPr="002C1E07">
              <w:rPr>
                <w:b/>
                <w:bCs/>
              </w:rPr>
              <w:t>Puis</w:t>
            </w:r>
            <w:r>
              <w:t>: M. B. Tijani (Nigéria)</w:t>
            </w:r>
          </w:p>
        </w:tc>
      </w:tr>
    </w:tbl>
    <w:p w14:paraId="6663D7D2" w14:textId="77777777" w:rsidR="00A51849" w:rsidRDefault="00A51849" w:rsidP="00CF0534"/>
    <w:tbl>
      <w:tblPr>
        <w:tblW w:w="9356" w:type="dxa"/>
        <w:tblInd w:w="-142" w:type="dxa"/>
        <w:tblLayout w:type="fixed"/>
        <w:tblLook w:val="04A0" w:firstRow="1" w:lastRow="0" w:firstColumn="1" w:lastColumn="0" w:noHBand="0" w:noVBand="1"/>
      </w:tblPr>
      <w:tblGrid>
        <w:gridCol w:w="588"/>
        <w:gridCol w:w="6833"/>
        <w:gridCol w:w="1935"/>
      </w:tblGrid>
      <w:tr w:rsidR="002C1E07" w:rsidRPr="002C1E07" w14:paraId="57CA84C6" w14:textId="77777777" w:rsidTr="00466D0F">
        <w:tc>
          <w:tcPr>
            <w:tcW w:w="588" w:type="dxa"/>
          </w:tcPr>
          <w:p w14:paraId="134B7D0C" w14:textId="77777777" w:rsidR="002C1E07" w:rsidRPr="002C1E07" w:rsidRDefault="002C1E07" w:rsidP="002B077D">
            <w:pPr>
              <w:spacing w:before="480"/>
              <w:jc w:val="center"/>
            </w:pPr>
            <w:bookmarkStart w:id="0" w:name="_Hlk141438382"/>
            <w:r w:rsidRPr="002C1E07">
              <w:br w:type="page"/>
            </w:r>
            <w:r w:rsidRPr="002C1E07">
              <w:br w:type="page"/>
            </w:r>
          </w:p>
        </w:tc>
        <w:tc>
          <w:tcPr>
            <w:tcW w:w="6833" w:type="dxa"/>
            <w:hideMark/>
          </w:tcPr>
          <w:p w14:paraId="5208ED08" w14:textId="77777777" w:rsidR="002C1E07" w:rsidRPr="002C1E07" w:rsidRDefault="002C1E07" w:rsidP="002B077D">
            <w:pPr>
              <w:spacing w:before="480"/>
              <w:rPr>
                <w:b/>
                <w:bCs/>
              </w:rPr>
            </w:pPr>
            <w:r w:rsidRPr="002C1E07">
              <w:rPr>
                <w:b/>
                <w:bCs/>
              </w:rPr>
              <w:t>Sujets traités</w:t>
            </w:r>
          </w:p>
        </w:tc>
        <w:tc>
          <w:tcPr>
            <w:tcW w:w="1935" w:type="dxa"/>
            <w:hideMark/>
          </w:tcPr>
          <w:p w14:paraId="3B7A242C" w14:textId="77777777" w:rsidR="002C1E07" w:rsidRPr="002C1E07" w:rsidRDefault="002C1E07" w:rsidP="002B077D">
            <w:pPr>
              <w:spacing w:before="480"/>
              <w:jc w:val="center"/>
              <w:rPr>
                <w:b/>
                <w:bCs/>
              </w:rPr>
            </w:pPr>
            <w:r w:rsidRPr="002C1E07">
              <w:rPr>
                <w:b/>
                <w:bCs/>
              </w:rPr>
              <w:t>Documents</w:t>
            </w:r>
          </w:p>
        </w:tc>
      </w:tr>
      <w:tr w:rsidR="002C1E07" w:rsidRPr="002C1E07" w14:paraId="5797ADCB" w14:textId="77777777" w:rsidTr="00466D0F">
        <w:trPr>
          <w:trHeight w:val="20"/>
        </w:trPr>
        <w:tc>
          <w:tcPr>
            <w:tcW w:w="588" w:type="dxa"/>
            <w:hideMark/>
          </w:tcPr>
          <w:p w14:paraId="0F548323" w14:textId="77777777" w:rsidR="002C1E07" w:rsidRPr="002C1E07" w:rsidRDefault="002C1E07" w:rsidP="002C1E07">
            <w:pPr>
              <w:jc w:val="center"/>
            </w:pPr>
            <w:r w:rsidRPr="002C1E07">
              <w:t>1</w:t>
            </w:r>
          </w:p>
        </w:tc>
        <w:tc>
          <w:tcPr>
            <w:tcW w:w="6833" w:type="dxa"/>
          </w:tcPr>
          <w:p w14:paraId="38379C13" w14:textId="77777777" w:rsidR="002C1E07" w:rsidRPr="002C1E07" w:rsidRDefault="002C1E07" w:rsidP="002C1E07">
            <w:bookmarkStart w:id="1" w:name="_Hlk169783802"/>
            <w:r w:rsidRPr="002C1E07">
              <w:t>Remarques liminaires de la Présidente sortante du Conseil</w:t>
            </w:r>
            <w:bookmarkEnd w:id="1"/>
          </w:p>
        </w:tc>
        <w:tc>
          <w:tcPr>
            <w:tcW w:w="1935" w:type="dxa"/>
          </w:tcPr>
          <w:p w14:paraId="486B4DE2" w14:textId="77777777" w:rsidR="002C1E07" w:rsidRPr="002C1E07" w:rsidRDefault="002C1E07" w:rsidP="002C1E07">
            <w:pPr>
              <w:jc w:val="center"/>
            </w:pPr>
            <w:r w:rsidRPr="002C1E07">
              <w:t>–</w:t>
            </w:r>
          </w:p>
        </w:tc>
      </w:tr>
      <w:tr w:rsidR="002C1E07" w:rsidRPr="002C1E07" w14:paraId="439C44D3" w14:textId="77777777" w:rsidTr="00466D0F">
        <w:trPr>
          <w:trHeight w:val="20"/>
        </w:trPr>
        <w:tc>
          <w:tcPr>
            <w:tcW w:w="588" w:type="dxa"/>
          </w:tcPr>
          <w:p w14:paraId="70F324A7" w14:textId="77777777" w:rsidR="002C1E07" w:rsidRPr="002C1E07" w:rsidRDefault="002C1E07" w:rsidP="002C1E07">
            <w:pPr>
              <w:jc w:val="center"/>
            </w:pPr>
            <w:r w:rsidRPr="002C1E07">
              <w:t>2</w:t>
            </w:r>
          </w:p>
        </w:tc>
        <w:tc>
          <w:tcPr>
            <w:tcW w:w="6833" w:type="dxa"/>
          </w:tcPr>
          <w:p w14:paraId="3AD207B0" w14:textId="77777777" w:rsidR="002C1E07" w:rsidRPr="002C1E07" w:rsidRDefault="002C1E07" w:rsidP="002C1E07">
            <w:r w:rsidRPr="002C1E07">
              <w:t>Élection du Président et du Vice-Président du Conseil</w:t>
            </w:r>
          </w:p>
        </w:tc>
        <w:tc>
          <w:tcPr>
            <w:tcW w:w="1935" w:type="dxa"/>
          </w:tcPr>
          <w:p w14:paraId="267DCFDE" w14:textId="77777777" w:rsidR="002C1E07" w:rsidRPr="002C1E07" w:rsidRDefault="002C1E07" w:rsidP="002C1E07">
            <w:pPr>
              <w:jc w:val="center"/>
            </w:pPr>
            <w:r w:rsidRPr="002C1E07">
              <w:t>–</w:t>
            </w:r>
          </w:p>
        </w:tc>
      </w:tr>
      <w:tr w:rsidR="002C1E07" w:rsidRPr="002C1E07" w14:paraId="7DADF363" w14:textId="77777777" w:rsidTr="00466D0F">
        <w:trPr>
          <w:trHeight w:val="20"/>
        </w:trPr>
        <w:tc>
          <w:tcPr>
            <w:tcW w:w="588" w:type="dxa"/>
          </w:tcPr>
          <w:p w14:paraId="5D092FF0" w14:textId="77777777" w:rsidR="002C1E07" w:rsidRPr="002C1E07" w:rsidRDefault="002C1E07" w:rsidP="002C1E07">
            <w:pPr>
              <w:jc w:val="center"/>
            </w:pPr>
            <w:r w:rsidRPr="002C1E07">
              <w:t>3</w:t>
            </w:r>
          </w:p>
        </w:tc>
        <w:tc>
          <w:tcPr>
            <w:tcW w:w="6833" w:type="dxa"/>
          </w:tcPr>
          <w:p w14:paraId="4480E97F" w14:textId="5FF00532" w:rsidR="002C1E07" w:rsidRPr="002C1E07" w:rsidRDefault="002C1E07" w:rsidP="002C1E07">
            <w:r w:rsidRPr="002C1E07">
              <w:t xml:space="preserve">Allocution du Président du Conseil </w:t>
            </w:r>
          </w:p>
        </w:tc>
        <w:tc>
          <w:tcPr>
            <w:tcW w:w="1935" w:type="dxa"/>
          </w:tcPr>
          <w:p w14:paraId="208A88C7" w14:textId="77777777" w:rsidR="002C1E07" w:rsidRPr="002C1E07" w:rsidRDefault="002C1E07" w:rsidP="002C1E07">
            <w:pPr>
              <w:jc w:val="center"/>
            </w:pPr>
            <w:r w:rsidRPr="002C1E07">
              <w:t>–</w:t>
            </w:r>
          </w:p>
        </w:tc>
      </w:tr>
      <w:tr w:rsidR="002C1E07" w:rsidRPr="002C1E07" w14:paraId="28833219" w14:textId="77777777" w:rsidTr="00466D0F">
        <w:trPr>
          <w:trHeight w:val="20"/>
        </w:trPr>
        <w:tc>
          <w:tcPr>
            <w:tcW w:w="588" w:type="dxa"/>
          </w:tcPr>
          <w:p w14:paraId="155F068B" w14:textId="77777777" w:rsidR="002C1E07" w:rsidRPr="002C1E07" w:rsidRDefault="002C1E07" w:rsidP="002C1E07">
            <w:pPr>
              <w:jc w:val="center"/>
            </w:pPr>
            <w:r w:rsidRPr="002C1E07">
              <w:t>4</w:t>
            </w:r>
          </w:p>
        </w:tc>
        <w:tc>
          <w:tcPr>
            <w:tcW w:w="6833" w:type="dxa"/>
          </w:tcPr>
          <w:p w14:paraId="798AB36C" w14:textId="77777777" w:rsidR="002C1E07" w:rsidRPr="002C1E07" w:rsidRDefault="002C1E07" w:rsidP="002C1E07">
            <w:r w:rsidRPr="002C1E07">
              <w:t>Présidente et Vice-Présidents de la Commission permanente de l'administration et de la gestion</w:t>
            </w:r>
          </w:p>
        </w:tc>
        <w:tc>
          <w:tcPr>
            <w:tcW w:w="1935" w:type="dxa"/>
          </w:tcPr>
          <w:p w14:paraId="59122786" w14:textId="77777777" w:rsidR="002C1E07" w:rsidRPr="002C1E07" w:rsidRDefault="002C1E07" w:rsidP="002C1E07">
            <w:pPr>
              <w:jc w:val="center"/>
            </w:pPr>
            <w:r w:rsidRPr="002C1E07">
              <w:t>–</w:t>
            </w:r>
          </w:p>
        </w:tc>
      </w:tr>
      <w:tr w:rsidR="002C1E07" w:rsidRPr="002C1E07" w14:paraId="5BD4984F" w14:textId="77777777" w:rsidTr="00466D0F">
        <w:trPr>
          <w:trHeight w:val="20"/>
        </w:trPr>
        <w:tc>
          <w:tcPr>
            <w:tcW w:w="588" w:type="dxa"/>
          </w:tcPr>
          <w:p w14:paraId="4C25AA92" w14:textId="77777777" w:rsidR="002C1E07" w:rsidRPr="002C1E07" w:rsidRDefault="002C1E07" w:rsidP="002C1E07">
            <w:pPr>
              <w:jc w:val="center"/>
            </w:pPr>
            <w:r w:rsidRPr="002C1E07">
              <w:t>5</w:t>
            </w:r>
          </w:p>
        </w:tc>
        <w:tc>
          <w:tcPr>
            <w:tcW w:w="6833" w:type="dxa"/>
          </w:tcPr>
          <w:p w14:paraId="5C0D7370" w14:textId="61154B4F" w:rsidR="002C1E07" w:rsidRPr="002C1E07" w:rsidRDefault="002C1E07" w:rsidP="002C1E07">
            <w:r w:rsidRPr="002C1E07">
              <w:t>Message de condoléances à la suite du décès de collègues</w:t>
            </w:r>
          </w:p>
        </w:tc>
        <w:tc>
          <w:tcPr>
            <w:tcW w:w="1935" w:type="dxa"/>
          </w:tcPr>
          <w:p w14:paraId="0B1265B5" w14:textId="77777777" w:rsidR="002C1E07" w:rsidRPr="002C1E07" w:rsidRDefault="002C1E07" w:rsidP="002C1E07">
            <w:pPr>
              <w:jc w:val="center"/>
            </w:pPr>
            <w:r w:rsidRPr="002C1E07">
              <w:t>–</w:t>
            </w:r>
          </w:p>
        </w:tc>
      </w:tr>
      <w:tr w:rsidR="002C1E07" w:rsidRPr="002C1E07" w14:paraId="374976C2" w14:textId="77777777" w:rsidTr="00466D0F">
        <w:trPr>
          <w:trHeight w:val="20"/>
        </w:trPr>
        <w:tc>
          <w:tcPr>
            <w:tcW w:w="588" w:type="dxa"/>
          </w:tcPr>
          <w:p w14:paraId="05E3FA73" w14:textId="77777777" w:rsidR="002C1E07" w:rsidRPr="002C1E07" w:rsidRDefault="002C1E07" w:rsidP="002C1E07">
            <w:pPr>
              <w:jc w:val="center"/>
            </w:pPr>
            <w:r w:rsidRPr="002C1E07">
              <w:t>6</w:t>
            </w:r>
          </w:p>
        </w:tc>
        <w:tc>
          <w:tcPr>
            <w:tcW w:w="6833" w:type="dxa"/>
          </w:tcPr>
          <w:p w14:paraId="160BC8E6" w14:textId="08F6FC81" w:rsidR="002C1E07" w:rsidRPr="002C1E07" w:rsidRDefault="002C1E07" w:rsidP="002C1E07">
            <w:r w:rsidRPr="002C1E07">
              <w:t>Allocution de la Secrétaire générale sur l'état de l'Union</w:t>
            </w:r>
          </w:p>
        </w:tc>
        <w:tc>
          <w:tcPr>
            <w:tcW w:w="1935" w:type="dxa"/>
          </w:tcPr>
          <w:p w14:paraId="5D26DF18" w14:textId="77777777" w:rsidR="002C1E07" w:rsidRPr="002C1E07" w:rsidRDefault="002C1E07" w:rsidP="002C1E07">
            <w:pPr>
              <w:jc w:val="center"/>
            </w:pPr>
            <w:r w:rsidRPr="002C1E07">
              <w:t>–</w:t>
            </w:r>
          </w:p>
        </w:tc>
      </w:tr>
      <w:tr w:rsidR="002C1E07" w:rsidRPr="002C1E07" w14:paraId="1D07475A" w14:textId="77777777" w:rsidTr="00466D0F">
        <w:trPr>
          <w:trHeight w:val="20"/>
        </w:trPr>
        <w:tc>
          <w:tcPr>
            <w:tcW w:w="588" w:type="dxa"/>
          </w:tcPr>
          <w:p w14:paraId="185DBE8E" w14:textId="77777777" w:rsidR="002C1E07" w:rsidRPr="002C1E07" w:rsidRDefault="002C1E07" w:rsidP="002C1E07">
            <w:pPr>
              <w:jc w:val="center"/>
            </w:pPr>
            <w:r w:rsidRPr="002C1E07">
              <w:t>7</w:t>
            </w:r>
          </w:p>
        </w:tc>
        <w:tc>
          <w:tcPr>
            <w:tcW w:w="6833" w:type="dxa"/>
          </w:tcPr>
          <w:p w14:paraId="5F640B66" w14:textId="77777777" w:rsidR="002C1E07" w:rsidRPr="002C1E07" w:rsidRDefault="002C1E07" w:rsidP="002C1E07">
            <w:r w:rsidRPr="002C1E07">
              <w:t>Déclarations des ministres, des conseillers et des observateurs</w:t>
            </w:r>
          </w:p>
        </w:tc>
        <w:tc>
          <w:tcPr>
            <w:tcW w:w="1935" w:type="dxa"/>
          </w:tcPr>
          <w:p w14:paraId="1C1642A4" w14:textId="77777777" w:rsidR="002C1E07" w:rsidRPr="002C1E07" w:rsidRDefault="002C1E07" w:rsidP="002C1E07">
            <w:pPr>
              <w:jc w:val="center"/>
            </w:pPr>
            <w:r w:rsidRPr="002C1E07">
              <w:t>–</w:t>
            </w:r>
          </w:p>
        </w:tc>
      </w:tr>
      <w:tr w:rsidR="002C1E07" w:rsidRPr="002C1E07" w14:paraId="63F3B81F" w14:textId="77777777" w:rsidTr="00466D0F">
        <w:trPr>
          <w:trHeight w:val="20"/>
        </w:trPr>
        <w:tc>
          <w:tcPr>
            <w:tcW w:w="588" w:type="dxa"/>
          </w:tcPr>
          <w:p w14:paraId="3B48FCE5" w14:textId="77777777" w:rsidR="002C1E07" w:rsidRPr="002C1E07" w:rsidRDefault="002C1E07" w:rsidP="002C1E07">
            <w:pPr>
              <w:jc w:val="center"/>
            </w:pPr>
            <w:r w:rsidRPr="002C1E07">
              <w:t>8</w:t>
            </w:r>
          </w:p>
        </w:tc>
        <w:tc>
          <w:tcPr>
            <w:tcW w:w="6833" w:type="dxa"/>
          </w:tcPr>
          <w:p w14:paraId="7A1AB5AE" w14:textId="77777777" w:rsidR="002C1E07" w:rsidRPr="002C1E07" w:rsidRDefault="002C1E07" w:rsidP="002C1E07">
            <w:r w:rsidRPr="002C1E07">
              <w:t>Approbation de l'ordre du jour de la session de 2026 du Conseil</w:t>
            </w:r>
          </w:p>
        </w:tc>
        <w:tc>
          <w:tcPr>
            <w:tcW w:w="1935" w:type="dxa"/>
          </w:tcPr>
          <w:p w14:paraId="6DB8C1E7" w14:textId="777643CF" w:rsidR="002C1E07" w:rsidRPr="002C1E07" w:rsidRDefault="002C1E07" w:rsidP="002C1E07">
            <w:pPr>
              <w:jc w:val="center"/>
            </w:pPr>
            <w:hyperlink r:id="rId7" w:history="1">
              <w:r>
                <w:rPr>
                  <w:rStyle w:val="Hyperlink"/>
                </w:rPr>
                <w:t>C26/1(Rév.2)</w:t>
              </w:r>
            </w:hyperlink>
          </w:p>
        </w:tc>
      </w:tr>
      <w:tr w:rsidR="002C1E07" w:rsidRPr="002C1E07" w14:paraId="20243574" w14:textId="77777777" w:rsidTr="00466D0F">
        <w:trPr>
          <w:trHeight w:val="20"/>
        </w:trPr>
        <w:tc>
          <w:tcPr>
            <w:tcW w:w="588" w:type="dxa"/>
          </w:tcPr>
          <w:p w14:paraId="17EB6B2F" w14:textId="77777777" w:rsidR="002C1E07" w:rsidRPr="002C1E07" w:rsidRDefault="002C1E07" w:rsidP="002C1E07">
            <w:pPr>
              <w:jc w:val="center"/>
            </w:pPr>
            <w:r w:rsidRPr="002C1E07">
              <w:t>9</w:t>
            </w:r>
          </w:p>
        </w:tc>
        <w:tc>
          <w:tcPr>
            <w:tcW w:w="6833" w:type="dxa"/>
          </w:tcPr>
          <w:p w14:paraId="3D7BAF75" w14:textId="77777777" w:rsidR="002C1E07" w:rsidRPr="002C1E07" w:rsidRDefault="002C1E07" w:rsidP="002C1E07">
            <w:r w:rsidRPr="002C1E07">
              <w:t>Attribution des documents</w:t>
            </w:r>
          </w:p>
        </w:tc>
        <w:tc>
          <w:tcPr>
            <w:tcW w:w="1935" w:type="dxa"/>
          </w:tcPr>
          <w:p w14:paraId="4D06FCFC" w14:textId="68C10FAB" w:rsidR="002C1E07" w:rsidRPr="002C1E07" w:rsidRDefault="002C1E07" w:rsidP="002C1E07">
            <w:pPr>
              <w:jc w:val="center"/>
            </w:pPr>
            <w:hyperlink r:id="rId8" w:history="1">
              <w:r w:rsidRPr="002C1E07">
                <w:rPr>
                  <w:rStyle w:val="Hyperlink"/>
                </w:rPr>
                <w:t>C26/DT/1(Rév.1)</w:t>
              </w:r>
            </w:hyperlink>
          </w:p>
        </w:tc>
      </w:tr>
      <w:tr w:rsidR="002C1E07" w:rsidRPr="002C1E07" w14:paraId="3B886002" w14:textId="77777777" w:rsidTr="00466D0F">
        <w:trPr>
          <w:trHeight w:val="20"/>
        </w:trPr>
        <w:tc>
          <w:tcPr>
            <w:tcW w:w="588" w:type="dxa"/>
          </w:tcPr>
          <w:p w14:paraId="282357D1" w14:textId="77777777" w:rsidR="002C1E07" w:rsidRPr="002C1E07" w:rsidRDefault="002C1E07" w:rsidP="002C1E07">
            <w:pPr>
              <w:jc w:val="center"/>
            </w:pPr>
            <w:r w:rsidRPr="002C1E07">
              <w:t>10</w:t>
            </w:r>
          </w:p>
        </w:tc>
        <w:tc>
          <w:tcPr>
            <w:tcW w:w="6833" w:type="dxa"/>
          </w:tcPr>
          <w:p w14:paraId="6EECBB00" w14:textId="77777777" w:rsidR="002C1E07" w:rsidRPr="002C1E07" w:rsidRDefault="002C1E07" w:rsidP="002C1E07">
            <w:r w:rsidRPr="002C1E07">
              <w:t>Programme de gestion du temps</w:t>
            </w:r>
          </w:p>
        </w:tc>
        <w:tc>
          <w:tcPr>
            <w:tcW w:w="1935" w:type="dxa"/>
          </w:tcPr>
          <w:p w14:paraId="0ACED32F" w14:textId="70120B8F" w:rsidR="002C1E07" w:rsidRPr="002C1E07" w:rsidRDefault="002C1E07" w:rsidP="002C1E07">
            <w:pPr>
              <w:jc w:val="center"/>
            </w:pPr>
            <w:hyperlink r:id="rId9" w:history="1">
              <w:r w:rsidRPr="002C1E07">
                <w:rPr>
                  <w:rStyle w:val="Hyperlink"/>
                </w:rPr>
                <w:t>C26/DT/2(Rév.3)</w:t>
              </w:r>
            </w:hyperlink>
          </w:p>
        </w:tc>
      </w:tr>
      <w:tr w:rsidR="002C1E07" w:rsidRPr="002C1E07" w14:paraId="612F9073" w14:textId="77777777" w:rsidTr="00466D0F">
        <w:trPr>
          <w:trHeight w:val="20"/>
        </w:trPr>
        <w:tc>
          <w:tcPr>
            <w:tcW w:w="588" w:type="dxa"/>
          </w:tcPr>
          <w:p w14:paraId="79D7ED76" w14:textId="77777777" w:rsidR="002C1E07" w:rsidRPr="002C1E07" w:rsidRDefault="002C1E07" w:rsidP="002C1E07">
            <w:pPr>
              <w:jc w:val="center"/>
            </w:pPr>
            <w:r w:rsidRPr="002C1E07">
              <w:t>11</w:t>
            </w:r>
          </w:p>
        </w:tc>
        <w:tc>
          <w:tcPr>
            <w:tcW w:w="6833" w:type="dxa"/>
          </w:tcPr>
          <w:p w14:paraId="6BBDC5AB" w14:textId="77777777" w:rsidR="002C1E07" w:rsidRPr="002C1E07" w:rsidRDefault="002C1E07" w:rsidP="002C1E07">
            <w:r w:rsidRPr="002C1E07">
              <w:t>Questions d'organisation</w:t>
            </w:r>
          </w:p>
        </w:tc>
        <w:tc>
          <w:tcPr>
            <w:tcW w:w="1935" w:type="dxa"/>
          </w:tcPr>
          <w:p w14:paraId="6A55306C" w14:textId="77777777" w:rsidR="002C1E07" w:rsidRPr="002C1E07" w:rsidRDefault="002C1E07" w:rsidP="002C1E07">
            <w:pPr>
              <w:jc w:val="center"/>
            </w:pPr>
            <w:r w:rsidRPr="002C1E07">
              <w:t>–</w:t>
            </w:r>
          </w:p>
        </w:tc>
      </w:tr>
      <w:tr w:rsidR="002C1E07" w:rsidRPr="002C1E07" w14:paraId="19B62736" w14:textId="77777777" w:rsidTr="00466D0F">
        <w:trPr>
          <w:trHeight w:val="20"/>
        </w:trPr>
        <w:tc>
          <w:tcPr>
            <w:tcW w:w="588" w:type="dxa"/>
          </w:tcPr>
          <w:p w14:paraId="78C57739" w14:textId="77777777" w:rsidR="002C1E07" w:rsidRPr="002C1E07" w:rsidRDefault="002C1E07" w:rsidP="002C1E07">
            <w:pPr>
              <w:jc w:val="center"/>
            </w:pPr>
            <w:r w:rsidRPr="002C1E07">
              <w:t>12</w:t>
            </w:r>
          </w:p>
        </w:tc>
        <w:tc>
          <w:tcPr>
            <w:tcW w:w="6833" w:type="dxa"/>
          </w:tcPr>
          <w:p w14:paraId="4A7BB1AE" w14:textId="77777777" w:rsidR="002C1E07" w:rsidRPr="002C1E07" w:rsidRDefault="002C1E07" w:rsidP="002C1E07">
            <w:r w:rsidRPr="002C1E07">
              <w:t>Participation du Corps commun d'inspection du système des Nations Unies</w:t>
            </w:r>
          </w:p>
        </w:tc>
        <w:tc>
          <w:tcPr>
            <w:tcW w:w="1935" w:type="dxa"/>
          </w:tcPr>
          <w:p w14:paraId="065C3050" w14:textId="77777777" w:rsidR="002C1E07" w:rsidRPr="002C1E07" w:rsidRDefault="002C1E07" w:rsidP="002C1E07">
            <w:pPr>
              <w:jc w:val="center"/>
            </w:pPr>
            <w:r w:rsidRPr="002C1E07">
              <w:t>–</w:t>
            </w:r>
          </w:p>
        </w:tc>
      </w:tr>
      <w:tr w:rsidR="002C1E07" w:rsidRPr="002C1E07" w14:paraId="794D04F1" w14:textId="77777777" w:rsidTr="00466D0F">
        <w:trPr>
          <w:trHeight w:val="20"/>
        </w:trPr>
        <w:tc>
          <w:tcPr>
            <w:tcW w:w="588" w:type="dxa"/>
          </w:tcPr>
          <w:p w14:paraId="7C0AF44B" w14:textId="77777777" w:rsidR="002C1E07" w:rsidRPr="002C1E07" w:rsidRDefault="002C1E07" w:rsidP="002C1E07">
            <w:pPr>
              <w:jc w:val="center"/>
            </w:pPr>
            <w:r w:rsidRPr="002C1E07">
              <w:t>13</w:t>
            </w:r>
          </w:p>
        </w:tc>
        <w:tc>
          <w:tcPr>
            <w:tcW w:w="6833" w:type="dxa"/>
          </w:tcPr>
          <w:p w14:paraId="4B4ACB7E" w14:textId="77777777" w:rsidR="002C1E07" w:rsidRPr="002C1E07" w:rsidRDefault="002C1E07" w:rsidP="002C1E07">
            <w:r w:rsidRPr="002C1E07">
              <w:t>Projet de plan opérationnel quadriennal glissant de l'Union pour la période 2027-2030</w:t>
            </w:r>
          </w:p>
        </w:tc>
        <w:tc>
          <w:tcPr>
            <w:tcW w:w="1935" w:type="dxa"/>
          </w:tcPr>
          <w:p w14:paraId="0F6D907F" w14:textId="5358B645" w:rsidR="002C1E07" w:rsidRPr="002C1E07" w:rsidRDefault="002C1E07" w:rsidP="002C1E07">
            <w:pPr>
              <w:jc w:val="center"/>
            </w:pPr>
            <w:hyperlink r:id="rId10" w:history="1">
              <w:r w:rsidRPr="002C1E07">
                <w:rPr>
                  <w:rStyle w:val="Hyperlink"/>
                </w:rPr>
                <w:t>C26/28</w:t>
              </w:r>
            </w:hyperlink>
          </w:p>
        </w:tc>
      </w:tr>
      <w:bookmarkEnd w:id="0"/>
    </w:tbl>
    <w:p w14:paraId="1D925ECC" w14:textId="2083E0A2" w:rsidR="002C1E07" w:rsidRDefault="002C1E07" w:rsidP="00CF0534">
      <w:r>
        <w:br w:type="page"/>
      </w:r>
    </w:p>
    <w:p w14:paraId="5BDD5A80" w14:textId="77777777" w:rsidR="002C1E07" w:rsidRDefault="002C1E07" w:rsidP="002C1E07">
      <w:pPr>
        <w:pStyle w:val="Heading1"/>
      </w:pPr>
      <w:r>
        <w:lastRenderedPageBreak/>
        <w:t>1</w:t>
      </w:r>
      <w:r>
        <w:tab/>
        <w:t>Remarques liminaires de la Présidente sortante du Conseil</w:t>
      </w:r>
    </w:p>
    <w:p w14:paraId="55E5D623" w14:textId="3710ECB4" w:rsidR="002C1E07" w:rsidRPr="00740101" w:rsidRDefault="002C1E07" w:rsidP="00740101">
      <w:pPr>
        <w:jc w:val="both"/>
        <w:rPr>
          <w:spacing w:val="-3"/>
        </w:rPr>
      </w:pPr>
      <w:r w:rsidRPr="00740101">
        <w:rPr>
          <w:spacing w:val="-3"/>
        </w:rPr>
        <w:t>1.1</w:t>
      </w:r>
      <w:r w:rsidRPr="00740101">
        <w:rPr>
          <w:spacing w:val="-3"/>
        </w:rPr>
        <w:tab/>
        <w:t xml:space="preserve">La Présidente sortante, Mme Cristiana Flutur (Roumanie), déclare ouverte la session de 2026 du Conseil et prononce l'allocution disponible à l'adresse suivante: </w:t>
      </w:r>
      <w:hyperlink r:id="rId11" w:history="1">
        <w:r w:rsidRPr="00740101">
          <w:rPr>
            <w:rStyle w:val="Hyperlink"/>
            <w:rFonts w:eastAsia="Times New Roman" w:cs="Times New Roman"/>
            <w:spacing w:val="-3"/>
            <w:szCs w:val="20"/>
          </w:rPr>
          <w:t>council.itu.int/2026/wp-content/uploads/sites/6/2026/02/26.04.28-C25-Chair-speech-PL0.pdf</w:t>
        </w:r>
      </w:hyperlink>
      <w:r w:rsidRPr="00740101">
        <w:rPr>
          <w:spacing w:val="-3"/>
        </w:rPr>
        <w:t>.</w:t>
      </w:r>
    </w:p>
    <w:p w14:paraId="6D54DD4C" w14:textId="77777777" w:rsidR="002C1E07" w:rsidRDefault="002C1E07" w:rsidP="002C1E07">
      <w:pPr>
        <w:pStyle w:val="Heading1"/>
      </w:pPr>
      <w:r>
        <w:t>2</w:t>
      </w:r>
      <w:r>
        <w:tab/>
        <w:t xml:space="preserve">Élection du Président et du Vice-Président du Conseil </w:t>
      </w:r>
    </w:p>
    <w:p w14:paraId="6BBA8B9E" w14:textId="2C49F607" w:rsidR="002C1E07" w:rsidRDefault="002C1E07" w:rsidP="00740101">
      <w:pPr>
        <w:jc w:val="both"/>
      </w:pPr>
      <w:r>
        <w:t>2.1</w:t>
      </w:r>
      <w:r>
        <w:tab/>
        <w:t>La Secrétaire générale propose que M. Bosun Tijani (Nigéria), qui était Vice-Président du Conseil à la session de 2025, soit élu Président du Conseil pour la session de 2026.</w:t>
      </w:r>
    </w:p>
    <w:p w14:paraId="6E8B1286" w14:textId="2C7024D7" w:rsidR="002C1E07" w:rsidRDefault="002C1E07" w:rsidP="00740101">
      <w:pPr>
        <w:jc w:val="both"/>
      </w:pPr>
      <w:r>
        <w:t>2.2</w:t>
      </w:r>
      <w:r>
        <w:tab/>
        <w:t xml:space="preserve">M. Bosun Tijani (Nigéria) est </w:t>
      </w:r>
      <w:r w:rsidRPr="002C1E07">
        <w:rPr>
          <w:b/>
          <w:bCs/>
        </w:rPr>
        <w:t>élu</w:t>
      </w:r>
      <w:r>
        <w:t xml:space="preserve"> Vice-Président du Conseil par acclamation.</w:t>
      </w:r>
    </w:p>
    <w:p w14:paraId="68528EB2" w14:textId="1E1B1150" w:rsidR="002C1E07" w:rsidRDefault="002C1E07" w:rsidP="00740101">
      <w:pPr>
        <w:jc w:val="both"/>
      </w:pPr>
      <w:r>
        <w:t>2.3</w:t>
      </w:r>
      <w:r>
        <w:tab/>
        <w:t>La Secrétaire générale, rappelant que, selon les principes de rotation et d'une répartition géographique équitable, la vice-présidence du Conseil revient à la Région</w:t>
      </w:r>
      <w:r w:rsidR="00FA2EB4">
        <w:t> </w:t>
      </w:r>
      <w:r>
        <w:t>E, indique que l'Arabie saoudite a désigné M. Mansour Al-Qurashi pour cette fonction.</w:t>
      </w:r>
    </w:p>
    <w:p w14:paraId="423931C8" w14:textId="77777777" w:rsidR="002C1E07" w:rsidRDefault="002C1E07" w:rsidP="00740101">
      <w:pPr>
        <w:jc w:val="both"/>
      </w:pPr>
      <w:r>
        <w:t>2.4</w:t>
      </w:r>
      <w:r>
        <w:tab/>
        <w:t xml:space="preserve">M. Mansour Al-Qurashi (Arabie saoudite) est </w:t>
      </w:r>
      <w:r w:rsidRPr="002C1E07">
        <w:rPr>
          <w:b/>
          <w:bCs/>
        </w:rPr>
        <w:t>élu</w:t>
      </w:r>
      <w:r>
        <w:t xml:space="preserve"> Vice-Président du Conseil par acclamation.</w:t>
      </w:r>
    </w:p>
    <w:p w14:paraId="2737ADCF" w14:textId="77777777" w:rsidR="002C1E07" w:rsidRDefault="002C1E07" w:rsidP="00740101">
      <w:pPr>
        <w:jc w:val="both"/>
      </w:pPr>
      <w:r>
        <w:t>2.5</w:t>
      </w:r>
      <w:r>
        <w:tab/>
        <w:t>Les conseillers félicitent le Président et le Vice-Président pour leur nomination et rendent hommage à la Présidente sortante.</w:t>
      </w:r>
    </w:p>
    <w:p w14:paraId="1E13A41C" w14:textId="55940972" w:rsidR="002C1E07" w:rsidRDefault="002C1E07" w:rsidP="002C1E07">
      <w:pPr>
        <w:pStyle w:val="Heading1"/>
      </w:pPr>
      <w:r>
        <w:t>3</w:t>
      </w:r>
      <w:r>
        <w:tab/>
        <w:t>Allocutions du Président du Conseil</w:t>
      </w:r>
    </w:p>
    <w:p w14:paraId="728B8BB4" w14:textId="6B052AD6" w:rsidR="002C1E07" w:rsidRDefault="002C1E07" w:rsidP="00740101">
      <w:pPr>
        <w:jc w:val="both"/>
      </w:pPr>
      <w:r>
        <w:t>3.1</w:t>
      </w:r>
      <w:r>
        <w:tab/>
        <w:t xml:space="preserve">Le Président remercie le Conseil de lui avoir confié la direction de ses travaux et prononce l'allocution disponible à l'adresse suivante: </w:t>
      </w:r>
      <w:hyperlink r:id="rId12" w:history="1">
        <w:r w:rsidRPr="002C1E07">
          <w:rPr>
            <w:rStyle w:val="Hyperlink"/>
            <w:rFonts w:eastAsia="Times New Roman" w:cs="Times New Roman"/>
            <w:szCs w:val="20"/>
          </w:rPr>
          <w:t>council.itu.int/2026/wp-content/</w:t>
        </w:r>
        <w:r w:rsidR="00740101">
          <w:rPr>
            <w:rStyle w:val="Hyperlink"/>
            <w:rFonts w:eastAsia="Times New Roman" w:cs="Times New Roman"/>
            <w:szCs w:val="20"/>
          </w:rPr>
          <w:br/>
        </w:r>
        <w:r w:rsidRPr="002C1E07">
          <w:rPr>
            <w:rStyle w:val="Hyperlink"/>
            <w:rFonts w:eastAsia="Times New Roman" w:cs="Times New Roman"/>
            <w:szCs w:val="20"/>
          </w:rPr>
          <w:t>uploads/sites/6/2026/06/26.04.28-C26-Chair-speech-inaugural.pdf</w:t>
        </w:r>
      </w:hyperlink>
      <w:r>
        <w:t>.</w:t>
      </w:r>
    </w:p>
    <w:p w14:paraId="0F4A4DF0" w14:textId="0F73EC61" w:rsidR="002C1E07" w:rsidRDefault="002C1E07" w:rsidP="002C1E07">
      <w:pPr>
        <w:pStyle w:val="Heading1"/>
      </w:pPr>
      <w:r>
        <w:t>4</w:t>
      </w:r>
      <w:r>
        <w:tab/>
        <w:t>Présidente et Vice-Présidents de la Commission permanente de l'administration et de la gestion</w:t>
      </w:r>
    </w:p>
    <w:p w14:paraId="309CACA8" w14:textId="62B8254B" w:rsidR="002C1E07" w:rsidRDefault="002C1E07" w:rsidP="00740101">
      <w:pPr>
        <w:jc w:val="both"/>
      </w:pPr>
      <w:r>
        <w:t>4.1</w:t>
      </w:r>
      <w:r>
        <w:tab/>
        <w:t xml:space="preserve">La Secrétaire générale rappelle que Mme Aprajita Sharrma (Inde) continuera d'exercer ses fonctions de Présidente de la Commission permanente de l'administration et de la gestion et que M. Vilém Veselý (République tchèque) et M. Augusto Esteban Giménez Candia (Paraguay) continueront d'en exercer les fonctions de </w:t>
      </w:r>
      <w:r w:rsidR="00FA2EB4">
        <w:t>v</w:t>
      </w:r>
      <w:r>
        <w:t>ice-</w:t>
      </w:r>
      <w:r w:rsidR="00FA2EB4">
        <w:t>p</w:t>
      </w:r>
      <w:r>
        <w:t>résidents.</w:t>
      </w:r>
    </w:p>
    <w:p w14:paraId="059872EA" w14:textId="77777777" w:rsidR="002C1E07" w:rsidRDefault="002C1E07" w:rsidP="00D21509">
      <w:pPr>
        <w:pStyle w:val="Heading1"/>
      </w:pPr>
      <w:r>
        <w:t>5</w:t>
      </w:r>
      <w:r>
        <w:tab/>
        <w:t>Message de condoléances à la suite du décès de collègues</w:t>
      </w:r>
    </w:p>
    <w:p w14:paraId="447D323B" w14:textId="77777777" w:rsidR="002C1E07" w:rsidRDefault="002C1E07" w:rsidP="00740101">
      <w:r>
        <w:t>5.1</w:t>
      </w:r>
      <w:r>
        <w:tab/>
        <w:t>Le Président invite les personnes présentes à observer une minute de silence à la mémoire des collègues récemment décédés, à savoir Ahmed Laouyane, qui a été Directeur du Bureau de développement des télécommunications (BDT) de 1995 à 1999, Bob Jones, qui a été Directeur du Bureau des radiocommunications (BR) de 1995 à 2002 et membre du Comité du Règlement des radiocommunications, Péter Major, qui a également exercé ses fonctions au BR, et Abdelkrim Boussaid du Secrétariat général et du BDT.</w:t>
      </w:r>
    </w:p>
    <w:p w14:paraId="11FCD641" w14:textId="77777777" w:rsidR="002C1E07" w:rsidRDefault="002C1E07" w:rsidP="00D21509">
      <w:pPr>
        <w:pStyle w:val="Heading1"/>
      </w:pPr>
      <w:r>
        <w:t>6</w:t>
      </w:r>
      <w:r>
        <w:tab/>
        <w:t xml:space="preserve">Allocution de la Secrétaire générale sur l'état de l'Union </w:t>
      </w:r>
    </w:p>
    <w:p w14:paraId="2BB446C5" w14:textId="10BAA954" w:rsidR="002C1E07" w:rsidRDefault="002C1E07" w:rsidP="002C1E07">
      <w:r>
        <w:t>6.1</w:t>
      </w:r>
      <w:r>
        <w:tab/>
        <w:t xml:space="preserve">La Secrétaire générale prononce l'allocution sur l'état de l'Union disponible à l'adresse suivante: </w:t>
      </w:r>
      <w:hyperlink r:id="rId13" w:anchor="/fr" w:history="1">
        <w:r w:rsidRPr="00D21509">
          <w:rPr>
            <w:rStyle w:val="Hyperlink"/>
            <w:rFonts w:eastAsia="Times New Roman" w:cs="Times New Roman"/>
            <w:szCs w:val="20"/>
          </w:rPr>
          <w:t>www.itu.int/en/osg/Pages/Speeches.aspx?ItemID=82</w:t>
        </w:r>
      </w:hyperlink>
      <w:r>
        <w:t>.</w:t>
      </w:r>
    </w:p>
    <w:p w14:paraId="3E0BAE29" w14:textId="3CBCF5BF" w:rsidR="002C1E07" w:rsidRDefault="002C1E07" w:rsidP="00740101">
      <w:pPr>
        <w:jc w:val="both"/>
      </w:pPr>
      <w:r>
        <w:lastRenderedPageBreak/>
        <w:t>6.2</w:t>
      </w:r>
      <w:r>
        <w:tab/>
        <w:t>Plusieurs conseillers réaffirment l'engagement de leur pays envers l'UIT et ses travaux et décrivent les mesures prises pour appuyer le mandat de l'UIT et promouvoir le développement et la connectivité numériques durables et inclusifs. Les conseillers s'engagent à faire en sorte que l'Union continue à remplir ses objectifs dans un paysage numérique en pleine évolution, soulignant qu'il est essentiel de renforcer la résilience des infrastructures, notamment les systèmes de câbles sous-marins. Un conseiller salue les progrès importants accomplis par l'UIT, notamment en ce qui concerne les processus budgétaires, le contrôle et l'encadrement, qui contribuent à renforcer la solidité institutionnelle de l'Union, et note avec satisfaction la contribution croissante de l'UIT au système des Nations Unies et à l'</w:t>
      </w:r>
      <w:r w:rsidR="00D21509">
        <w:t>I</w:t>
      </w:r>
      <w:r>
        <w:t>nitiative ONU80. Un autre conseiller relève la collaboration appréciée de l'UIT au sujet de l'action du secteur du numérique pour l'environnement pendant la 30ème Conférence des Parties à la Convention-cadre des Nations Unies sur les changements climatiques. Des conseillers déclarent que la transparence et la responsabilité dans la gestion financière de l'Union sont essentielles, étant donné que les pressions financières qui pèsent sur celle-ci s'intensifient et que les ressources sont mises à rude épreuve par l'évolution rapide des technologies. Les conseillers espèrent que les débats seront équilibrés, ouverts à tous et consensuels et que chacun s'efforcera d'éviter d'aborder des aspects politiques.</w:t>
      </w:r>
    </w:p>
    <w:p w14:paraId="61253661" w14:textId="77777777" w:rsidR="002C1E07" w:rsidRDefault="002C1E07" w:rsidP="00D21509">
      <w:pPr>
        <w:pStyle w:val="Heading1"/>
      </w:pPr>
      <w:r>
        <w:t>7</w:t>
      </w:r>
      <w:r>
        <w:tab/>
        <w:t>Déclarations des ministres, des conseillers et des observateurs</w:t>
      </w:r>
    </w:p>
    <w:p w14:paraId="6BA41F1F" w14:textId="60276579" w:rsidR="002C1E07" w:rsidRDefault="002C1E07" w:rsidP="00740101">
      <w:pPr>
        <w:jc w:val="both"/>
      </w:pPr>
      <w:r>
        <w:t>7.1</w:t>
      </w:r>
      <w:r>
        <w:tab/>
        <w:t xml:space="preserve">M. Jijun Xiong (Vice-Ministre, Ministère de l'industrie et des technologies de l'information, Chine) prononce la déclaration disponible à l'adresse suivante: </w:t>
      </w:r>
      <w:hyperlink r:id="rId14" w:history="1">
        <w:r w:rsidRPr="00D21509">
          <w:rPr>
            <w:rStyle w:val="Hyperlink"/>
            <w:rFonts w:eastAsia="Times New Roman" w:cs="Times New Roman"/>
            <w:szCs w:val="20"/>
          </w:rPr>
          <w:t>council.itu.int/2026/wp-content/uploads/sites/6/2026/06/26.04.28-E-Policy-statement-MIIT-of-China-PL0.pdf</w:t>
        </w:r>
      </w:hyperlink>
      <w:r>
        <w:t>.</w:t>
      </w:r>
    </w:p>
    <w:p w14:paraId="124ADA15" w14:textId="2648E922" w:rsidR="002C1E07" w:rsidRDefault="002C1E07" w:rsidP="00740101">
      <w:pPr>
        <w:jc w:val="both"/>
      </w:pPr>
      <w:r>
        <w:t>7.2</w:t>
      </w:r>
      <w:r>
        <w:tab/>
        <w:t xml:space="preserve">M. Ömer Fatih Sayan (Ministre adjoint des transports et des infrastructures, Türkiye) prononce la déclaration disponible à l'adresse suivante: </w:t>
      </w:r>
      <w:hyperlink r:id="rId15" w:history="1">
        <w:r w:rsidRPr="00D21509">
          <w:rPr>
            <w:rStyle w:val="Hyperlink"/>
            <w:rFonts w:eastAsia="Times New Roman" w:cs="Times New Roman"/>
            <w:szCs w:val="20"/>
          </w:rPr>
          <w:t>council.itu.int/2026/wp-content/uploads/sites/6/2026/06/26.04.28-Turkiye-HE_Dr_Fatih_Sayan-speech-PL0.pdf</w:t>
        </w:r>
      </w:hyperlink>
      <w:r>
        <w:t>.</w:t>
      </w:r>
    </w:p>
    <w:p w14:paraId="5C9D07CE" w14:textId="62785BC3" w:rsidR="002C1E07" w:rsidRPr="008D4048" w:rsidRDefault="002C1E07" w:rsidP="00740101">
      <w:pPr>
        <w:jc w:val="both"/>
      </w:pPr>
      <w:r>
        <w:t>7.3</w:t>
      </w:r>
      <w:r>
        <w:tab/>
        <w:t xml:space="preserve">M. Haitham Alohali (Vice-Ministre, Ministère des communications et des technologies de l'information, Arabie saoudite) prononce la déclaration disponible à l'adresse suivante: </w:t>
      </w:r>
      <w:hyperlink r:id="rId16" w:history="1">
        <w:r w:rsidR="008D4048" w:rsidRPr="007E6365">
          <w:rPr>
            <w:rStyle w:val="Hyperlink"/>
            <w:rFonts w:eastAsia="Times New Roman" w:cs="Times New Roman"/>
            <w:szCs w:val="20"/>
          </w:rPr>
          <w:t>council.itu.int/2026/wp-content/uploads/sites/6/2026/07/26.04.28-E-Saudi-Arabia-PL0.pdf</w:t>
        </w:r>
      </w:hyperlink>
      <w:r w:rsidR="008D4048" w:rsidRPr="007E6365">
        <w:t>.</w:t>
      </w:r>
    </w:p>
    <w:p w14:paraId="0F41622D" w14:textId="46FEBFAF" w:rsidR="002C1E07" w:rsidRPr="008D4048" w:rsidRDefault="002C1E07" w:rsidP="00740101">
      <w:pPr>
        <w:jc w:val="both"/>
      </w:pPr>
      <w:r>
        <w:t>7.4</w:t>
      </w:r>
      <w:r>
        <w:tab/>
        <w:t xml:space="preserve">M. Ernesto Rodríguez Hernández (Premier Ministre adjoint des communications, Cuba) prononce la déclaration disponible à l'adresse suivante: </w:t>
      </w:r>
      <w:hyperlink r:id="rId17" w:history="1">
        <w:r w:rsidR="008D4048" w:rsidRPr="007E6365">
          <w:rPr>
            <w:rStyle w:val="Hyperlink"/>
            <w:rFonts w:eastAsia="Times New Roman" w:cs="Times New Roman"/>
            <w:szCs w:val="20"/>
          </w:rPr>
          <w:t>council.itu.int/2026/wp-content/uploads/sites/6/2026/07/26.04.28-E-Cuba-HE_Ernesto-Rodriguez-speech-PL0.pdf</w:t>
        </w:r>
      </w:hyperlink>
      <w:r w:rsidR="008D4048" w:rsidRPr="007E6365">
        <w:t>.</w:t>
      </w:r>
    </w:p>
    <w:p w14:paraId="5A6000E2" w14:textId="6DC3827F" w:rsidR="002C1E07" w:rsidRPr="008D4048" w:rsidRDefault="002C1E07" w:rsidP="00740101">
      <w:pPr>
        <w:jc w:val="both"/>
      </w:pPr>
      <w:r>
        <w:t>7.5</w:t>
      </w:r>
      <w:r>
        <w:tab/>
        <w:t xml:space="preserve">Le </w:t>
      </w:r>
      <w:r w:rsidR="00D21509">
        <w:t>c</w:t>
      </w:r>
      <w:r>
        <w:t>onseiller de l'Italie, s'exprimant au nom de l'Union européenne et de ses États</w:t>
      </w:r>
      <w:r w:rsidR="00D21509">
        <w:t> </w:t>
      </w:r>
      <w:r>
        <w:t xml:space="preserve">Membres, prononce la déclaration disponible à l'adresse suivante: </w:t>
      </w:r>
      <w:hyperlink r:id="rId18" w:history="1">
        <w:r w:rsidR="008D4048" w:rsidRPr="007E6365">
          <w:rPr>
            <w:rStyle w:val="Hyperlink"/>
            <w:rFonts w:eastAsia="Times New Roman" w:cs="Times New Roman"/>
            <w:szCs w:val="20"/>
          </w:rPr>
          <w:t>council.itu.int/2026/wp-content/uploads/sites/6/2026/07/26.04.28-Italy_EU-PL0.pdf</w:t>
        </w:r>
      </w:hyperlink>
      <w:r w:rsidR="008D4048" w:rsidRPr="007E6365">
        <w:t>.</w:t>
      </w:r>
    </w:p>
    <w:p w14:paraId="300EC235" w14:textId="77777777" w:rsidR="002C1E07" w:rsidRDefault="002C1E07" w:rsidP="00740101">
      <w:pPr>
        <w:jc w:val="both"/>
      </w:pPr>
      <w:r>
        <w:t>7.6</w:t>
      </w:r>
      <w:r>
        <w:tab/>
        <w:t>Les ministres de la Chine, de Cuba et de la Türkiye annoncent la candidature de leur pays à la réélection au Conseil pour la période 2027-2030 lors de la Conférence de plénipotentiaires de 2026 (PP-26), tandis que le ministre de la Chine annonce également que son candidat, M. Jianjun Cheng, présentera sa candidature en vue de sa réélection en tant que membre du Comité du Règlement des radiocommunications (RRB).</w:t>
      </w:r>
    </w:p>
    <w:p w14:paraId="413D3881" w14:textId="1EEC6124" w:rsidR="002C1E07" w:rsidRDefault="002C1E07" w:rsidP="00740101">
      <w:pPr>
        <w:jc w:val="both"/>
      </w:pPr>
      <w:r>
        <w:t>7.7</w:t>
      </w:r>
      <w:r>
        <w:tab/>
        <w:t>Les conseillers du Brésil, de l'Égypte, des Émirats arabes unis, des États-Unis, de l'Inde, du Koweït, du Maroc, du Nigéria, du Sénégal et de la Tunisie annoncent également que leurs pays respectifs présenteront leur candidature en vue de leur réélection au Conseil.</w:t>
      </w:r>
    </w:p>
    <w:p w14:paraId="64AD911E" w14:textId="77777777" w:rsidR="002C1E07" w:rsidRDefault="002C1E07" w:rsidP="00740101">
      <w:pPr>
        <w:jc w:val="both"/>
      </w:pPr>
      <w:r>
        <w:lastRenderedPageBreak/>
        <w:t>7.8</w:t>
      </w:r>
      <w:r>
        <w:tab/>
        <w:t>Le conseiller des États-Unis annonce que la Secrétaire générale présentera sa candidature pour un second mandat.</w:t>
      </w:r>
    </w:p>
    <w:p w14:paraId="71A50715" w14:textId="77777777" w:rsidR="002C1E07" w:rsidRDefault="002C1E07" w:rsidP="00740101">
      <w:pPr>
        <w:jc w:val="both"/>
      </w:pPr>
      <w:r>
        <w:t>7.9</w:t>
      </w:r>
      <w:r>
        <w:tab/>
        <w:t>Le conseiller du Brésil annonce que son Administration présentera la candidature de M. Carlos Manuel Baigorri au poste de Vice-Secrétaire général.</w:t>
      </w:r>
    </w:p>
    <w:p w14:paraId="630DB301" w14:textId="27B0BE96" w:rsidR="002C1E07" w:rsidRDefault="002C1E07" w:rsidP="00740101">
      <w:pPr>
        <w:jc w:val="both"/>
      </w:pPr>
      <w:r>
        <w:t>7.10</w:t>
      </w:r>
      <w:r>
        <w:tab/>
        <w:t>Le conseiller de l'Inde annonce que son pays soumettra la candidature de Mme</w:t>
      </w:r>
      <w:r w:rsidR="00D21509">
        <w:t> </w:t>
      </w:r>
      <w:r>
        <w:t>Revathi Mannepalli au poste de Directrice du BR et sollicite l'appui de sa proposition visant à accueillir la Conférence de plénipotentiaires de 2030.</w:t>
      </w:r>
    </w:p>
    <w:p w14:paraId="1F99094D" w14:textId="6422B350" w:rsidR="002C1E07" w:rsidRDefault="002C1E07" w:rsidP="00740101">
      <w:pPr>
        <w:jc w:val="both"/>
      </w:pPr>
      <w:r>
        <w:t>7.11</w:t>
      </w:r>
      <w:r>
        <w:tab/>
        <w:t>L'observatrice de l'Estonie annonce que son pays présentera la candidature de Mme</w:t>
      </w:r>
      <w:r w:rsidR="00D21509">
        <w:t> </w:t>
      </w:r>
      <w:r>
        <w:t>Nele</w:t>
      </w:r>
      <w:r w:rsidR="00D21509">
        <w:t> </w:t>
      </w:r>
      <w:r>
        <w:t>Leosk en vue de l'élection au poste de Directrice du BDT.</w:t>
      </w:r>
    </w:p>
    <w:p w14:paraId="4D06A3F1" w14:textId="77777777" w:rsidR="002C1E07" w:rsidRDefault="002C1E07" w:rsidP="00740101">
      <w:pPr>
        <w:jc w:val="both"/>
      </w:pPr>
      <w:r>
        <w:t>7.12</w:t>
      </w:r>
      <w:r>
        <w:tab/>
        <w:t>Les conseillers des États-Unis et du Maroc indiquent également que leurs pays présenteront des candidatures aux postes de membres du RRB.</w:t>
      </w:r>
    </w:p>
    <w:p w14:paraId="12CC2DA5" w14:textId="62365FB2" w:rsidR="002C1E07" w:rsidRDefault="002C1E07" w:rsidP="00740101">
      <w:pPr>
        <w:jc w:val="both"/>
      </w:pPr>
      <w:r>
        <w:t>7.13</w:t>
      </w:r>
      <w:r>
        <w:tab/>
        <w:t>Les observateurs de la Fédération de Russie et de l'Iraq annoncent que leurs pays présenteront leur candidature en vue de leur élection au Conseil lors de la PP-26. L'observatrice de la Fédération de Russie annonce en outre que son pays présentera un candidat à l'élection des membres du RRB.</w:t>
      </w:r>
    </w:p>
    <w:p w14:paraId="3DFFC54B" w14:textId="710D8E2B" w:rsidR="002C1E07" w:rsidRDefault="002C1E07" w:rsidP="00740101">
      <w:pPr>
        <w:jc w:val="both"/>
      </w:pPr>
      <w:r>
        <w:t>7.14</w:t>
      </w:r>
      <w:r>
        <w:tab/>
        <w:t>L'observateur de l'Angola invite les conseillers et les observateurs à assister au Forum angolais des technologies de l'information et de la communication qui se tiendra en juin</w:t>
      </w:r>
      <w:r w:rsidR="00D21509">
        <w:t> </w:t>
      </w:r>
      <w:r>
        <w:t>2026 à Luanda.</w:t>
      </w:r>
    </w:p>
    <w:p w14:paraId="1840AA7C" w14:textId="2D34E172" w:rsidR="002C1E07" w:rsidRDefault="002C1E07" w:rsidP="002B077D">
      <w:pPr>
        <w:pStyle w:val="Heading1"/>
      </w:pPr>
      <w:r>
        <w:t>8</w:t>
      </w:r>
      <w:r>
        <w:tab/>
        <w:t xml:space="preserve">Adoption de l'ordre du jour de la session de 2026 du Conseil </w:t>
      </w:r>
      <w:r w:rsidR="002B077D">
        <w:t>(</w:t>
      </w:r>
      <w:r w:rsidR="002B077D" w:rsidRPr="002B077D">
        <w:t>Document </w:t>
      </w:r>
      <w:hyperlink r:id="rId19" w:history="1">
        <w:r w:rsidRPr="00D21509">
          <w:rPr>
            <w:rStyle w:val="Hyperlink"/>
            <w:rFonts w:eastAsia="Times New Roman" w:cs="Times New Roman"/>
            <w:szCs w:val="20"/>
          </w:rPr>
          <w:t>C26/1(Rév.2)</w:t>
        </w:r>
      </w:hyperlink>
      <w:r>
        <w:t>)</w:t>
      </w:r>
    </w:p>
    <w:p w14:paraId="03D92188" w14:textId="5FF3728C" w:rsidR="002C1E07" w:rsidRDefault="002C1E07" w:rsidP="007515F6">
      <w:pPr>
        <w:jc w:val="both"/>
      </w:pPr>
      <w:r>
        <w:t>8.1</w:t>
      </w:r>
      <w:r>
        <w:tab/>
        <w:t xml:space="preserve">La </w:t>
      </w:r>
      <w:r w:rsidR="00D21509">
        <w:t>S</w:t>
      </w:r>
      <w:r>
        <w:t xml:space="preserve">ecrétaire de la plénière présente le projet d'ordre du jour de la session de 2026 du Conseil, figurant dans le </w:t>
      </w:r>
      <w:r w:rsidR="00D21509">
        <w:t>D</w:t>
      </w:r>
      <w:r>
        <w:t>ocument C26/1(R</w:t>
      </w:r>
      <w:r w:rsidR="00D21509">
        <w:t>é</w:t>
      </w:r>
      <w:r>
        <w:t xml:space="preserve">v.2), qui est </w:t>
      </w:r>
      <w:r w:rsidRPr="00D21509">
        <w:rPr>
          <w:b/>
          <w:bCs/>
        </w:rPr>
        <w:t>adopté</w:t>
      </w:r>
      <w:r>
        <w:t>.</w:t>
      </w:r>
    </w:p>
    <w:p w14:paraId="3BE800A6" w14:textId="58ABD0AD" w:rsidR="002C1E07" w:rsidRDefault="002C1E07" w:rsidP="00D21509">
      <w:pPr>
        <w:pStyle w:val="Heading1"/>
      </w:pPr>
      <w:r>
        <w:t>9</w:t>
      </w:r>
      <w:r>
        <w:tab/>
        <w:t>Attribution des documents (</w:t>
      </w:r>
      <w:hyperlink r:id="rId20" w:history="1">
        <w:r w:rsidR="002B077D" w:rsidRPr="002B077D">
          <w:t>Document </w:t>
        </w:r>
        <w:r w:rsidRPr="00D21509">
          <w:rPr>
            <w:rStyle w:val="Hyperlink"/>
            <w:rFonts w:eastAsia="Times New Roman" w:cs="Times New Roman"/>
            <w:szCs w:val="20"/>
          </w:rPr>
          <w:t>C26/DT/1(R</w:t>
        </w:r>
        <w:r w:rsidR="00D21509" w:rsidRPr="00D21509">
          <w:rPr>
            <w:rStyle w:val="Hyperlink"/>
            <w:rFonts w:eastAsia="Times New Roman" w:cs="Times New Roman"/>
            <w:szCs w:val="20"/>
          </w:rPr>
          <w:t>é</w:t>
        </w:r>
        <w:r w:rsidRPr="00D21509">
          <w:rPr>
            <w:rStyle w:val="Hyperlink"/>
            <w:rFonts w:eastAsia="Times New Roman" w:cs="Times New Roman"/>
            <w:szCs w:val="20"/>
          </w:rPr>
          <w:t>v.1)</w:t>
        </w:r>
      </w:hyperlink>
      <w:r>
        <w:t>)</w:t>
      </w:r>
    </w:p>
    <w:p w14:paraId="4E6DBA85" w14:textId="2921BD25" w:rsidR="002C1E07" w:rsidRDefault="002C1E07" w:rsidP="007515F6">
      <w:pPr>
        <w:jc w:val="both"/>
      </w:pPr>
      <w:r>
        <w:t>9.1</w:t>
      </w:r>
      <w:r>
        <w:tab/>
        <w:t xml:space="preserve">La </w:t>
      </w:r>
      <w:r w:rsidR="00D21509">
        <w:t>S</w:t>
      </w:r>
      <w:r>
        <w:t>ecrétaire de la plénière présente la proposition d'attribution des documents figurant dans le Document C26/DT/1(R</w:t>
      </w:r>
      <w:r w:rsidR="00D21509">
        <w:t>é</w:t>
      </w:r>
      <w:r>
        <w:t xml:space="preserve">v.1), qui est </w:t>
      </w:r>
      <w:r w:rsidRPr="00D21509">
        <w:rPr>
          <w:b/>
          <w:bCs/>
        </w:rPr>
        <w:t>approuvée</w:t>
      </w:r>
      <w:r>
        <w:t>.</w:t>
      </w:r>
    </w:p>
    <w:p w14:paraId="62994E77" w14:textId="11128CBB" w:rsidR="002C1E07" w:rsidRDefault="002C1E07" w:rsidP="00D21509">
      <w:pPr>
        <w:pStyle w:val="Heading1"/>
      </w:pPr>
      <w:r>
        <w:t>10</w:t>
      </w:r>
      <w:r>
        <w:tab/>
        <w:t>Programme de gestion du temps (</w:t>
      </w:r>
      <w:hyperlink r:id="rId21" w:history="1">
        <w:r w:rsidR="002B077D" w:rsidRPr="002B077D">
          <w:t>Document </w:t>
        </w:r>
        <w:r w:rsidRPr="00D21509">
          <w:rPr>
            <w:rStyle w:val="Hyperlink"/>
            <w:rFonts w:eastAsia="Times New Roman" w:cs="Times New Roman"/>
            <w:szCs w:val="20"/>
          </w:rPr>
          <w:t>C26/DT/2(Rév.3)</w:t>
        </w:r>
      </w:hyperlink>
      <w:r>
        <w:t>)</w:t>
      </w:r>
    </w:p>
    <w:p w14:paraId="2E641661" w14:textId="559E2B6C" w:rsidR="002C1E07" w:rsidRDefault="002C1E07" w:rsidP="007515F6">
      <w:pPr>
        <w:jc w:val="both"/>
      </w:pPr>
      <w:r>
        <w:t>10.1</w:t>
      </w:r>
      <w:r>
        <w:tab/>
        <w:t>La Secrétaire de la plénière présente le projet de programme de gestion du temps pour les séances plénières figurant dans le Document C26/DT/2(Rév.3), qui est approuvé. Elle indique que ce programme sera actualisé au fur et à mesure de l'avancée des travaux du Conseil.</w:t>
      </w:r>
    </w:p>
    <w:p w14:paraId="50BB5756" w14:textId="77777777" w:rsidR="002C1E07" w:rsidRDefault="002C1E07" w:rsidP="00D21509">
      <w:pPr>
        <w:pStyle w:val="Heading1"/>
      </w:pPr>
      <w:r>
        <w:t>11</w:t>
      </w:r>
      <w:r>
        <w:tab/>
        <w:t>Questions d'organisation</w:t>
      </w:r>
    </w:p>
    <w:p w14:paraId="3E125EC0" w14:textId="5B47AB63" w:rsidR="002C1E07" w:rsidRDefault="002C1E07" w:rsidP="007515F6">
      <w:pPr>
        <w:jc w:val="both"/>
      </w:pPr>
      <w:r>
        <w:t>11.1</w:t>
      </w:r>
      <w:r>
        <w:tab/>
        <w:t xml:space="preserve">La Secrétaire de la plénière invite un avatar de l'intelligence artificielle (IA) à communiquer des informations pratiques au sujet de la session du Conseil. Les séances se dérouleront pendant les horaires de travail habituels et il est précisé que les services d'interprétation et la documentation seront fournis dans les six langues officielles de l'Union. Tous les documents seront mis à la disposition des participants sur la page web du Conseil et au moyen de l'application Conseil-26 Sync. Les débats seront diffusés sur le web et le </w:t>
      </w:r>
      <w:r>
        <w:lastRenderedPageBreak/>
        <w:t>sous</w:t>
      </w:r>
      <w:r w:rsidR="00D21509">
        <w:noBreakHyphen/>
      </w:r>
      <w:r>
        <w:t>titrage en anglais des discussions tenues en plénière et au sein de la Commission permanente de l'administration et de la gestion sera présenté dans la salle et en ligne. Il est possible que le sous-titrage et l'interprétation fondés sur l'intelligence artificielle soient testés pendant les séances d'information.</w:t>
      </w:r>
    </w:p>
    <w:p w14:paraId="61C9C3CA" w14:textId="6786DFA9" w:rsidR="002C1E07" w:rsidRDefault="002C1E07" w:rsidP="007515F6">
      <w:pPr>
        <w:jc w:val="both"/>
      </w:pPr>
      <w:r>
        <w:t>11.2</w:t>
      </w:r>
      <w:r>
        <w:tab/>
        <w:t>Il est possible de participer à distance aux séances. Les participants à distance pourront prendre la parole après les conseillers présents dans la salle Popov. Les décisions ne seront prises que par les conseillers présents physiquement.</w:t>
      </w:r>
    </w:p>
    <w:p w14:paraId="146906A2" w14:textId="0BF6812B" w:rsidR="002C1E07" w:rsidRDefault="002C1E07" w:rsidP="007515F6">
      <w:pPr>
        <w:jc w:val="both"/>
      </w:pPr>
      <w:r>
        <w:t>11.3</w:t>
      </w:r>
      <w:r>
        <w:tab/>
        <w:t>Il est rappelé aux participants qu'il existe des normes de conduite, d'intégrité, de respect de la diversité et de professionnalisme auxquelles tout un chacun peut raisonnablement s'attendre dans le cadre des discussions, sans discrimination ni harcèlement. Le Code de conduite pour la prévention du harcèlement, y compris le harcèlement sexuel, lors des événements du système des Nations Unies, est applicable à toutes les réunions de l'UIT.</w:t>
      </w:r>
    </w:p>
    <w:p w14:paraId="1C303E0F" w14:textId="54FEB38F" w:rsidR="002C1E07" w:rsidRDefault="002C1E07" w:rsidP="007515F6">
      <w:pPr>
        <w:jc w:val="both"/>
      </w:pPr>
      <w:r>
        <w:t>11.4</w:t>
      </w:r>
      <w:r>
        <w:tab/>
      </w:r>
      <w:r w:rsidRPr="00E028BC">
        <w:t>Le Président déclare</w:t>
      </w:r>
      <w:r>
        <w:t xml:space="preserve"> que les États Membres observateurs n'ont pas le droit de voter, ni de soulever des points ou des motions d'ordre et ne peuvent prendre la parole qu'une seule fois sur un point donné de l'ordre du jour, que ce soit en plénière, lors des réunions de la Commission permanente de l'administration et de la gestion ou encore au sein des groupes de rédaction et des groupes ad hoc. Un État Membre observateur demandant à prendre la parole pour présenter sa contribution écrite ne sera pas en mesure de prendre à nouveau la parole pour le même point de l'ordre du jour. Les Membres de Secteur ayant le statut d'observateur n'ont pas le droit de prendre la parole ou de soumettre des contributions écrites au Conseil. Il ajoute qu'un État Membre observateur souhaitant s'exprimer se verra donner la parole seulement après que les États Membres du Conseil auront achevé leurs déclarations. Comme c'est le cas pour les États Membres du Conseil, tout État Membre observateur a le droit de demander qu'une déclaration faite en séance plénière soit annexée au compte rendu. </w:t>
      </w:r>
    </w:p>
    <w:p w14:paraId="01C98AB0" w14:textId="4C317F50" w:rsidR="002C1E07" w:rsidRDefault="002C1E07" w:rsidP="007515F6">
      <w:pPr>
        <w:jc w:val="both"/>
      </w:pPr>
      <w:r>
        <w:t>11.5</w:t>
      </w:r>
      <w:r>
        <w:tab/>
        <w:t xml:space="preserve">Il est </w:t>
      </w:r>
      <w:r w:rsidRPr="00E028BC">
        <w:rPr>
          <w:b/>
          <w:bCs/>
        </w:rPr>
        <w:t>pris note</w:t>
      </w:r>
      <w:r>
        <w:t xml:space="preserve"> des informations relatives à l'organisation des travaux de la session de</w:t>
      </w:r>
      <w:r w:rsidR="00E028BC">
        <w:t> </w:t>
      </w:r>
      <w:r>
        <w:t>2026 du Conseil.</w:t>
      </w:r>
    </w:p>
    <w:p w14:paraId="2BDA2F1F" w14:textId="737A6AFC" w:rsidR="002C1E07" w:rsidRDefault="002C1E07" w:rsidP="00E028BC">
      <w:pPr>
        <w:pStyle w:val="Heading1"/>
      </w:pPr>
      <w:r>
        <w:t>12</w:t>
      </w:r>
      <w:r>
        <w:tab/>
        <w:t>Participation du Corps commun d'inspection du système des Nations</w:t>
      </w:r>
      <w:r w:rsidR="00E028BC">
        <w:t> </w:t>
      </w:r>
      <w:r>
        <w:t>Unies</w:t>
      </w:r>
    </w:p>
    <w:p w14:paraId="6C4E800B" w14:textId="049F0EBC" w:rsidR="002C1E07" w:rsidRDefault="002C1E07" w:rsidP="007515F6">
      <w:pPr>
        <w:jc w:val="both"/>
      </w:pPr>
      <w:r>
        <w:t>12.1</w:t>
      </w:r>
      <w:r>
        <w:tab/>
        <w:t>La Secrétaire générale rappelle que la Présidente du Groupe de travail du Conseil sur les ressources financières et les ressources humaines a recommandé dans son rapport d'inviter le Corps commun d'inspection des Nations Unies (CCI) à assister aux sessions du Conseil en qualité d'observateur, à titre consultatif lors de l'examen des rapports du CCI, sans appui financier de l'UIT. Une telle mesure pourrait contribuer à clarifier les questions et à améliorer la transparence. Elle propose que le Conseil approuve cette recommandation à la séance actuelle.</w:t>
      </w:r>
    </w:p>
    <w:p w14:paraId="1A93174A" w14:textId="34DBD124" w:rsidR="002C1E07" w:rsidRDefault="002C1E07" w:rsidP="007515F6">
      <w:pPr>
        <w:jc w:val="both"/>
      </w:pPr>
      <w:r>
        <w:t>12.2</w:t>
      </w:r>
      <w:r>
        <w:tab/>
        <w:t>Le Conseil décide d'</w:t>
      </w:r>
      <w:r w:rsidRPr="00E028BC">
        <w:rPr>
          <w:b/>
          <w:bCs/>
        </w:rPr>
        <w:t>approuver</w:t>
      </w:r>
      <w:r>
        <w:t xml:space="preserve"> la participation du CCI, en qualité d'observateur à titre consultatif, aux séances au cours desquelles des points de l'ordre du jour connexes sont examinés. </w:t>
      </w:r>
    </w:p>
    <w:p w14:paraId="17F13DF0" w14:textId="744D630D" w:rsidR="002C1E07" w:rsidRDefault="002C1E07" w:rsidP="00E028BC">
      <w:pPr>
        <w:pStyle w:val="Heading1"/>
      </w:pPr>
      <w:r>
        <w:lastRenderedPageBreak/>
        <w:t>13</w:t>
      </w:r>
      <w:r>
        <w:tab/>
        <w:t>Projet de plan opérationnel quadriennal glissant de l'Union pour la période 2027-2030 (</w:t>
      </w:r>
      <w:hyperlink r:id="rId22" w:history="1">
        <w:r w:rsidR="002B077D" w:rsidRPr="002B077D">
          <w:t>Document </w:t>
        </w:r>
        <w:r w:rsidRPr="00E028BC">
          <w:rPr>
            <w:rStyle w:val="Hyperlink"/>
            <w:rFonts w:eastAsia="Times New Roman" w:cs="Times New Roman"/>
            <w:szCs w:val="20"/>
          </w:rPr>
          <w:t>C26/28</w:t>
        </w:r>
      </w:hyperlink>
      <w:r>
        <w:t>)</w:t>
      </w:r>
    </w:p>
    <w:p w14:paraId="1CE1E1AD" w14:textId="7B29AA93" w:rsidR="002C1E07" w:rsidRDefault="002C1E07" w:rsidP="007A2795">
      <w:pPr>
        <w:jc w:val="both"/>
      </w:pPr>
      <w:r>
        <w:t>13.1</w:t>
      </w:r>
      <w:r>
        <w:tab/>
        <w:t>Le Chef du Département de la gestion des ressources financières (FRMD) présente le Document C26/28, qui contient le projet de plan opérationnel quadriennal glissant de l'Union pour la période 2027-2030 et, à l'</w:t>
      </w:r>
      <w:r w:rsidR="00E028BC">
        <w:t>A</w:t>
      </w:r>
      <w:r>
        <w:t xml:space="preserve">nnexe A, un projet de </w:t>
      </w:r>
      <w:r w:rsidR="00E028BC">
        <w:t>R</w:t>
      </w:r>
      <w:r>
        <w:t xml:space="preserve">ésolution sur l'approbation de ce plan. Ce document contient des liens vers les plans opérationnels des Bureaux et se fonde sur les </w:t>
      </w:r>
      <w:r w:rsidR="00E028BC">
        <w:t>P</w:t>
      </w:r>
      <w:r>
        <w:t xml:space="preserve">lans stratégique et financier pour la période 2024-2027. Étant donné que les nouveaux </w:t>
      </w:r>
      <w:r w:rsidR="00E028BC">
        <w:t>P</w:t>
      </w:r>
      <w:r>
        <w:t>lans stratégique et financier pour la période 2028-2031 seront approuvés à la PP</w:t>
      </w:r>
      <w:r w:rsidR="00E028BC">
        <w:noBreakHyphen/>
      </w:r>
      <w:r>
        <w:t xml:space="preserve">26, le projet de plan opérationnel porte essentiellement sur l'année 2027 et fournit des informations sur les cinq priorités thématiques et les 43 produits recensés dans le </w:t>
      </w:r>
      <w:r w:rsidR="00E028BC">
        <w:t>P</w:t>
      </w:r>
      <w:r>
        <w:t xml:space="preserve">lan stratégique pour la période 2024-2027. Pour la période 2028-2030, le document contient une proposition d'affectation des ressources sur la base du projet actuel des </w:t>
      </w:r>
      <w:r w:rsidR="00FA2EB4">
        <w:t>p</w:t>
      </w:r>
      <w:r>
        <w:t>lans stratégique et financier pour la période 2028-2031. Une fois que ces plans auront été approuvés à la PP-26, un plan opérationnel quadriennal glissant complet sera élaboré et présenté au Conseil.</w:t>
      </w:r>
    </w:p>
    <w:p w14:paraId="209B7A3F" w14:textId="04C2C782" w:rsidR="002C1E07" w:rsidRDefault="002C1E07" w:rsidP="007A2795">
      <w:pPr>
        <w:jc w:val="both"/>
      </w:pPr>
      <w:r>
        <w:t>13.2</w:t>
      </w:r>
      <w:r>
        <w:tab/>
        <w:t xml:space="preserve">Les conseillers se félicitent du projet de plan opérationnel, qui constitue une base solide pour la mise en œuvre efficace, inclusive et équilibrée des activités de l'UIT, et se réjouissent à la perspective de continuer à l'améliorer à mesure que le cadre stratégique plus large évolue. L'amélioration de la transparence en ce qui concerne la structure des coûts et la méthode d'imputation de ces derniers est saluée et doit se poursuivre, et le </w:t>
      </w:r>
      <w:r w:rsidR="00FA2EB4">
        <w:t>P</w:t>
      </w:r>
      <w:r>
        <w:t xml:space="preserve">lan opérationnel doit être pleinement aligné sur le </w:t>
      </w:r>
      <w:r w:rsidR="00E028BC">
        <w:t>P</w:t>
      </w:r>
      <w:r>
        <w:t xml:space="preserve">lan stratégique pour la période 2028-2031 qui doit être approuvé à la PP-26. Il est possible de renforcer davantage le cadre d'indicateurs en mettant en évidence le lien entre l'exécution et les incidences, ainsi que la chaîne de résultats, et en recensant les résultats tangibles obtenus au fil du temps. Il faut également promouvoir la mise en </w:t>
      </w:r>
      <w:r w:rsidR="00E028BC">
        <w:t>œuvre</w:t>
      </w:r>
      <w:r>
        <w:t xml:space="preserve"> de la gestion axée sur les résultats dans le </w:t>
      </w:r>
      <w:r w:rsidR="00FA2EB4">
        <w:t>p</w:t>
      </w:r>
      <w:r>
        <w:t xml:space="preserve">lan opérationnel afin de combler les lacunes persistantes en matière d'exécution. L'amélioration de l'alignement stratégique est saluée. Toutefois, si le passage de 43 produits prévus dans le </w:t>
      </w:r>
      <w:r w:rsidR="00E028BC">
        <w:t>P</w:t>
      </w:r>
      <w:r>
        <w:t>lan stratégique pour la période 2024-2027 aux 19 produits proposés dans l'actuel projet de plan stratégique pour la période 2028-2031 pourrait permettre de mieux cibler les efforts, il pourrait également entraîner une perte en termes de précision, en particulier en ce qui concerne les activités de développement, les priorités régionales et les efforts de renforcement des capacités. Des niveaux de détail similaires pour toutes les années seraient appréciés afin de faciliter la planification. Il convient d'inclure des stratégies d'atténuation des risques, et les indicateurs doivent être assortis d'échéances précises, tout en étant mesurables et réalisables. La planification opérationnelle des bureaux régionaux devrait également être incluse. Un conseiller souligne que les priorités de l'UIT devraient tenir compte des besoins des États Membres dans le domaine du développement numérique.</w:t>
      </w:r>
    </w:p>
    <w:p w14:paraId="07AD98E8" w14:textId="33AC97F7" w:rsidR="002C1E07" w:rsidRDefault="002C1E07" w:rsidP="007A2795">
      <w:pPr>
        <w:jc w:val="both"/>
      </w:pPr>
      <w:r>
        <w:t>13.3</w:t>
      </w:r>
      <w:r>
        <w:tab/>
        <w:t>Un conseiller avance que les indicateurs de résultats énumérés dans l'</w:t>
      </w:r>
      <w:r w:rsidR="00E028BC">
        <w:t>A</w:t>
      </w:r>
      <w:r>
        <w:t>nnexe B font clairement apparaître la valeur ajoutée apportée par l'UIT et qu'il convient de mettre cette dernière en avant lors des actions visant à favoriser la collaboration avec le secteur privé.</w:t>
      </w:r>
    </w:p>
    <w:p w14:paraId="29CFC3D7" w14:textId="77777777" w:rsidR="002C1E07" w:rsidRDefault="002C1E07" w:rsidP="007A2795">
      <w:pPr>
        <w:keepNext/>
        <w:jc w:val="both"/>
      </w:pPr>
      <w:r>
        <w:t>13.4</w:t>
      </w:r>
      <w:r>
        <w:tab/>
        <w:t>Le Président annonce que l'examen de ce point reprendra lors de la prochaine séance plénière.</w:t>
      </w:r>
    </w:p>
    <w:p w14:paraId="2298D47E" w14:textId="05C38CD4" w:rsidR="002C1E07" w:rsidRDefault="002C1E07" w:rsidP="007A2795">
      <w:pPr>
        <w:tabs>
          <w:tab w:val="clear" w:pos="567"/>
          <w:tab w:val="clear" w:pos="1134"/>
          <w:tab w:val="clear" w:pos="1701"/>
          <w:tab w:val="clear" w:pos="2268"/>
          <w:tab w:val="clear" w:pos="2835"/>
          <w:tab w:val="left" w:pos="7088"/>
        </w:tabs>
        <w:spacing w:before="720"/>
      </w:pPr>
      <w:r>
        <w:t>La Secrétaire générale</w:t>
      </w:r>
      <w:r>
        <w:tab/>
        <w:t>Le Président</w:t>
      </w:r>
    </w:p>
    <w:p w14:paraId="7F664745" w14:textId="1388E4F0" w:rsidR="00897553" w:rsidRDefault="002C1E07" w:rsidP="007E6365">
      <w:pPr>
        <w:tabs>
          <w:tab w:val="clear" w:pos="567"/>
          <w:tab w:val="clear" w:pos="1134"/>
          <w:tab w:val="clear" w:pos="1701"/>
          <w:tab w:val="clear" w:pos="2268"/>
          <w:tab w:val="clear" w:pos="2835"/>
          <w:tab w:val="left" w:pos="7088"/>
        </w:tabs>
        <w:spacing w:before="0"/>
      </w:pPr>
      <w:r>
        <w:t>D. BOGDAN-MARTIN</w:t>
      </w:r>
      <w:r>
        <w:tab/>
        <w:t>B. TIJANI</w:t>
      </w:r>
    </w:p>
    <w:sectPr w:rsidR="00897553" w:rsidSect="00D72F49">
      <w:headerReference w:type="even" r:id="rId23"/>
      <w:footerReference w:type="even" r:id="rId24"/>
      <w:footerReference w:type="default" r:id="rId25"/>
      <w:headerReference w:type="first" r:id="rId26"/>
      <w:footerReference w:type="first" r:id="rId27"/>
      <w:pgSz w:w="11907" w:h="16840" w:code="9"/>
      <w:pgMar w:top="1418" w:right="1418" w:bottom="1418" w:left="1418" w:header="720" w:footer="720" w:gutter="0"/>
      <w:paperSrc w:first="286" w:other="286"/>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BACF0" w14:textId="77777777" w:rsidR="00D81320" w:rsidRDefault="00D81320">
      <w:r>
        <w:separator/>
      </w:r>
    </w:p>
  </w:endnote>
  <w:endnote w:type="continuationSeparator" w:id="0">
    <w:p w14:paraId="2C318C9D" w14:textId="77777777" w:rsidR="00D81320" w:rsidRDefault="00D81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B5A7B" w14:textId="41619B77" w:rsidR="00732045" w:rsidRPr="000C4331" w:rsidRDefault="00FF0F24">
    <w:pPr>
      <w:pStyle w:val="Footer"/>
      <w:rPr>
        <w:lang w:val="en-GB"/>
      </w:rPr>
    </w:pPr>
    <w:r>
      <w:fldChar w:fldCharType="begin"/>
    </w:r>
    <w:r w:rsidRPr="000C4331">
      <w:rPr>
        <w:lang w:val="en-GB"/>
      </w:rPr>
      <w:instrText xml:space="preserve"> FILENAME \p \* MERGEFORMAT </w:instrText>
    </w:r>
    <w:r>
      <w:fldChar w:fldCharType="separate"/>
    </w:r>
    <w:r w:rsidRPr="000C4331">
      <w:rPr>
        <w:lang w:val="en-GB"/>
      </w:rPr>
      <w:t>P:\FRA\gDoc\SG\C26\2601337F.docx</w:t>
    </w:r>
    <w:r>
      <w:fldChar w:fldCharType="end"/>
    </w:r>
    <w:r w:rsidR="00732045" w:rsidRPr="000C4331">
      <w:rPr>
        <w:lang w:val="en-GB"/>
      </w:rPr>
      <w:tab/>
    </w:r>
    <w:r w:rsidR="002F1B76">
      <w:fldChar w:fldCharType="begin"/>
    </w:r>
    <w:r w:rsidR="00732045">
      <w:instrText xml:space="preserve"> savedate \@ dd.MM.yy </w:instrText>
    </w:r>
    <w:r w:rsidR="002F1B76">
      <w:fldChar w:fldCharType="separate"/>
    </w:r>
    <w:r w:rsidR="008740D1">
      <w:t>04.08.26</w:t>
    </w:r>
    <w:r w:rsidR="002F1B76">
      <w:fldChar w:fldCharType="end"/>
    </w:r>
    <w:r w:rsidR="00732045" w:rsidRPr="000C4331">
      <w:rPr>
        <w:lang w:val="en-GB"/>
      </w:rPr>
      <w:tab/>
    </w:r>
    <w:r w:rsidR="002F1B76">
      <w:fldChar w:fldCharType="begin"/>
    </w:r>
    <w:r w:rsidR="00732045">
      <w:instrText xml:space="preserve"> printdate \@ dd.MM.yy </w:instrText>
    </w:r>
    <w:r w:rsidR="002F1B76">
      <w:fldChar w:fldCharType="separate"/>
    </w:r>
    <w:r>
      <w:t>18.07.00</w:t>
    </w:r>
    <w:r w:rsidR="002F1B7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A51849" w:rsidRPr="00784011" w14:paraId="4574C5BB" w14:textId="77777777" w:rsidTr="00E31DCE">
      <w:trPr>
        <w:jc w:val="center"/>
      </w:trPr>
      <w:tc>
        <w:tcPr>
          <w:tcW w:w="1803" w:type="dxa"/>
          <w:vAlign w:val="center"/>
        </w:tcPr>
        <w:p w14:paraId="310D806D" w14:textId="09EAD4E7" w:rsidR="00A51849" w:rsidRDefault="002C1E07" w:rsidP="00A51849">
          <w:pPr>
            <w:pStyle w:val="Header"/>
            <w:jc w:val="left"/>
            <w:rPr>
              <w:noProof/>
            </w:rPr>
          </w:pPr>
          <w:r>
            <w:rPr>
              <w:noProof/>
            </w:rPr>
            <w:t>2601337</w:t>
          </w:r>
        </w:p>
      </w:tc>
      <w:tc>
        <w:tcPr>
          <w:tcW w:w="8261" w:type="dxa"/>
        </w:tcPr>
        <w:p w14:paraId="6E04B3DB" w14:textId="589857B8" w:rsidR="00A51849" w:rsidRPr="00E06FD5" w:rsidRDefault="00A51849" w:rsidP="00C049D7">
          <w:pPr>
            <w:pStyle w:val="Header"/>
            <w:tabs>
              <w:tab w:val="left" w:pos="6731"/>
              <w:tab w:val="right" w:pos="8505"/>
              <w:tab w:val="right" w:pos="9639"/>
            </w:tabs>
            <w:jc w:val="left"/>
            <w:rPr>
              <w:rFonts w:ascii="Arial" w:hAnsi="Arial" w:cs="Arial"/>
              <w:b/>
              <w:bCs/>
              <w:szCs w:val="18"/>
            </w:rPr>
          </w:pPr>
          <w:r>
            <w:rPr>
              <w:bCs/>
            </w:rPr>
            <w:tab/>
          </w:r>
          <w:r w:rsidRPr="00623AE3">
            <w:rPr>
              <w:bCs/>
            </w:rPr>
            <w:t>C</w:t>
          </w:r>
          <w:r>
            <w:rPr>
              <w:bCs/>
            </w:rPr>
            <w:t>2</w:t>
          </w:r>
          <w:r w:rsidR="00E4448E">
            <w:rPr>
              <w:bCs/>
            </w:rPr>
            <w:t>6</w:t>
          </w:r>
          <w:r w:rsidRPr="00623AE3">
            <w:rPr>
              <w:bCs/>
            </w:rPr>
            <w:t>/</w:t>
          </w:r>
          <w:r w:rsidR="002C1E07">
            <w:rPr>
              <w:bCs/>
            </w:rPr>
            <w:t>117</w:t>
          </w:r>
          <w:r w:rsidRPr="00623AE3">
            <w:rPr>
              <w:bCs/>
            </w:rPr>
            <w:t>-</w:t>
          </w:r>
          <w:r w:rsidR="00973F53">
            <w:rPr>
              <w:bCs/>
            </w:rPr>
            <w:t>F</w:t>
          </w:r>
          <w:r>
            <w:rPr>
              <w:bCs/>
            </w:rPr>
            <w:tab/>
          </w:r>
          <w:r>
            <w:fldChar w:fldCharType="begin"/>
          </w:r>
          <w:r>
            <w:instrText>PAGE</w:instrText>
          </w:r>
          <w:r>
            <w:fldChar w:fldCharType="separate"/>
          </w:r>
          <w:r>
            <w:t>1</w:t>
          </w:r>
          <w:r>
            <w:rPr>
              <w:noProof/>
            </w:rPr>
            <w:fldChar w:fldCharType="end"/>
          </w:r>
        </w:p>
      </w:tc>
    </w:tr>
  </w:tbl>
  <w:p w14:paraId="2BD26370" w14:textId="77777777" w:rsidR="00732045" w:rsidRPr="00A51849" w:rsidRDefault="00732045" w:rsidP="00FC6D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A51849" w:rsidRPr="00784011" w14:paraId="15FE23E0" w14:textId="77777777" w:rsidTr="00E31DCE">
      <w:trPr>
        <w:jc w:val="center"/>
      </w:trPr>
      <w:tc>
        <w:tcPr>
          <w:tcW w:w="1803" w:type="dxa"/>
          <w:vAlign w:val="center"/>
        </w:tcPr>
        <w:p w14:paraId="026C4AD2" w14:textId="77777777" w:rsidR="00A51849" w:rsidRPr="00FC6D7D" w:rsidRDefault="00E4448E" w:rsidP="00A51849">
          <w:pPr>
            <w:pStyle w:val="Header"/>
            <w:jc w:val="left"/>
            <w:rPr>
              <w:noProof/>
              <w:color w:val="0563C1"/>
            </w:rPr>
          </w:pPr>
          <w:hyperlink r:id="rId1" w:anchor="/fr" w:history="1">
            <w:r>
              <w:rPr>
                <w:rStyle w:val="Hyperlink"/>
              </w:rPr>
              <w:t>council.itu.int/2026</w:t>
            </w:r>
          </w:hyperlink>
        </w:p>
      </w:tc>
      <w:tc>
        <w:tcPr>
          <w:tcW w:w="8261" w:type="dxa"/>
        </w:tcPr>
        <w:p w14:paraId="0F7EFEB5" w14:textId="0997274F" w:rsidR="00A51849" w:rsidRPr="00E06FD5" w:rsidRDefault="00A51849" w:rsidP="00C049D7">
          <w:pPr>
            <w:pStyle w:val="Header"/>
            <w:tabs>
              <w:tab w:val="left" w:pos="6731"/>
              <w:tab w:val="right" w:pos="8505"/>
              <w:tab w:val="right" w:pos="9639"/>
            </w:tabs>
            <w:jc w:val="left"/>
            <w:rPr>
              <w:rFonts w:ascii="Arial" w:hAnsi="Arial" w:cs="Arial"/>
              <w:b/>
              <w:bCs/>
              <w:szCs w:val="18"/>
            </w:rPr>
          </w:pPr>
          <w:r>
            <w:rPr>
              <w:bCs/>
            </w:rPr>
            <w:tab/>
          </w:r>
          <w:r w:rsidRPr="00623AE3">
            <w:rPr>
              <w:bCs/>
            </w:rPr>
            <w:t>C</w:t>
          </w:r>
          <w:r>
            <w:rPr>
              <w:bCs/>
            </w:rPr>
            <w:t>2</w:t>
          </w:r>
          <w:r w:rsidR="00E4448E">
            <w:rPr>
              <w:bCs/>
            </w:rPr>
            <w:t>6</w:t>
          </w:r>
          <w:r w:rsidRPr="00623AE3">
            <w:rPr>
              <w:bCs/>
            </w:rPr>
            <w:t>/</w:t>
          </w:r>
          <w:r w:rsidR="002C1E07">
            <w:rPr>
              <w:bCs/>
            </w:rPr>
            <w:t>117</w:t>
          </w:r>
          <w:r w:rsidRPr="00623AE3">
            <w:rPr>
              <w:bCs/>
            </w:rPr>
            <w:t>-</w:t>
          </w:r>
          <w:r w:rsidR="00D72F49">
            <w:rPr>
              <w:bCs/>
            </w:rPr>
            <w:t>F</w:t>
          </w:r>
          <w:r>
            <w:rPr>
              <w:bCs/>
            </w:rPr>
            <w:tab/>
          </w:r>
          <w:r>
            <w:fldChar w:fldCharType="begin"/>
          </w:r>
          <w:r>
            <w:instrText>PAGE</w:instrText>
          </w:r>
          <w:r>
            <w:fldChar w:fldCharType="separate"/>
          </w:r>
          <w:r>
            <w:t>1</w:t>
          </w:r>
          <w:r>
            <w:rPr>
              <w:noProof/>
            </w:rPr>
            <w:fldChar w:fldCharType="end"/>
          </w:r>
        </w:p>
      </w:tc>
    </w:tr>
  </w:tbl>
  <w:p w14:paraId="51B302BE" w14:textId="77777777" w:rsidR="00732045" w:rsidRPr="00A51849" w:rsidRDefault="00732045" w:rsidP="00FC6D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89183" w14:textId="77777777" w:rsidR="00D81320" w:rsidRDefault="00D81320">
      <w:r>
        <w:t>____________________</w:t>
      </w:r>
    </w:p>
  </w:footnote>
  <w:footnote w:type="continuationSeparator" w:id="0">
    <w:p w14:paraId="4FB6DE06" w14:textId="77777777" w:rsidR="00D81320" w:rsidRDefault="00D813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4E1CB" w14:textId="77777777" w:rsidR="00732045" w:rsidRDefault="00732045">
    <w:pPr>
      <w:pStyle w:val="Header"/>
    </w:pPr>
    <w:r>
      <w:t xml:space="preserve">- </w:t>
    </w:r>
    <w:r w:rsidR="00C27A7C">
      <w:fldChar w:fldCharType="begin"/>
    </w:r>
    <w:r w:rsidR="00C27A7C">
      <w:instrText>PAGE</w:instrText>
    </w:r>
    <w:r w:rsidR="00C27A7C">
      <w:fldChar w:fldCharType="separate"/>
    </w:r>
    <w:r>
      <w:rPr>
        <w:noProof/>
      </w:rPr>
      <w:t>2</w:t>
    </w:r>
    <w:r w:rsidR="00C27A7C">
      <w:rPr>
        <w:noProof/>
      </w:rPr>
      <w:fldChar w:fldCharType="end"/>
    </w:r>
    <w:r>
      <w:t xml:space="preserve"> -</w:t>
    </w:r>
  </w:p>
  <w:p w14:paraId="6FC6EEF4" w14:textId="77777777" w:rsidR="00732045" w:rsidRDefault="00732045">
    <w:pPr>
      <w:pStyle w:val="Header"/>
    </w:pPr>
    <w:r>
      <w:t>C2001/#-F</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5A5CB" w14:textId="77777777" w:rsidR="00A51849" w:rsidRPr="001342E0" w:rsidRDefault="001342E0" w:rsidP="001342E0">
    <w:pPr>
      <w:pStyle w:val="Header"/>
    </w:pPr>
    <w:r>
      <w:rPr>
        <w:noProof/>
      </w:rPr>
      <w:drawing>
        <wp:inline distT="0" distB="0" distL="0" distR="0" wp14:anchorId="5ED8E9FD" wp14:editId="1D4E8F16">
          <wp:extent cx="5760085" cy="840740"/>
          <wp:effectExtent l="0" t="0" r="0" b="0"/>
          <wp:docPr id="322889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889409" name="Picture 322889409"/>
                  <pic:cNvPicPr/>
                </pic:nvPicPr>
                <pic:blipFill>
                  <a:blip r:embed="rId1">
                    <a:extLst>
                      <a:ext uri="{28A0092B-C50C-407E-A947-70E740481C1C}">
                        <a14:useLocalDpi xmlns:a14="http://schemas.microsoft.com/office/drawing/2010/main" val="0"/>
                      </a:ext>
                    </a:extLst>
                  </a:blip>
                  <a:stretch>
                    <a:fillRect/>
                  </a:stretch>
                </pic:blipFill>
                <pic:spPr>
                  <a:xfrm>
                    <a:off x="0" y="0"/>
                    <a:ext cx="5760085" cy="8407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8364A4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CFC17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C52E2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324F3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BEA3A2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3050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AD0D28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F22DAE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54A9B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22DCA6"/>
    <w:lvl w:ilvl="0">
      <w:start w:val="1"/>
      <w:numFmt w:val="bullet"/>
      <w:lvlText w:val=""/>
      <w:lvlJc w:val="left"/>
      <w:pPr>
        <w:tabs>
          <w:tab w:val="num" w:pos="360"/>
        </w:tabs>
        <w:ind w:left="360" w:hanging="360"/>
      </w:pPr>
      <w:rPr>
        <w:rFonts w:ascii="Symbol" w:hAnsi="Symbol" w:hint="default"/>
      </w:rPr>
    </w:lvl>
  </w:abstractNum>
  <w:num w:numId="1" w16cid:durableId="204144983">
    <w:abstractNumId w:val="9"/>
  </w:num>
  <w:num w:numId="2" w16cid:durableId="1042679003">
    <w:abstractNumId w:val="7"/>
  </w:num>
  <w:num w:numId="3" w16cid:durableId="1710033290">
    <w:abstractNumId w:val="6"/>
  </w:num>
  <w:num w:numId="4" w16cid:durableId="1466967443">
    <w:abstractNumId w:val="5"/>
  </w:num>
  <w:num w:numId="5" w16cid:durableId="1019041869">
    <w:abstractNumId w:val="4"/>
  </w:num>
  <w:num w:numId="6" w16cid:durableId="1994942309">
    <w:abstractNumId w:val="8"/>
  </w:num>
  <w:num w:numId="7" w16cid:durableId="1943762712">
    <w:abstractNumId w:val="3"/>
  </w:num>
  <w:num w:numId="8" w16cid:durableId="1210023807">
    <w:abstractNumId w:val="2"/>
  </w:num>
  <w:num w:numId="9" w16cid:durableId="976300499">
    <w:abstractNumId w:val="1"/>
  </w:num>
  <w:num w:numId="10" w16cid:durableId="153841235">
    <w:abstractNumId w:val="0"/>
  </w:num>
  <w:num w:numId="11" w16cid:durableId="401220439">
    <w:abstractNumId w:val="8"/>
  </w:num>
  <w:num w:numId="12" w16cid:durableId="1266042031">
    <w:abstractNumId w:val="3"/>
  </w:num>
  <w:num w:numId="13" w16cid:durableId="1286500294">
    <w:abstractNumId w:val="2"/>
  </w:num>
  <w:num w:numId="14" w16cid:durableId="1804274698">
    <w:abstractNumId w:val="1"/>
  </w:num>
  <w:num w:numId="15" w16cid:durableId="232618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745"/>
    <w:rsid w:val="00076442"/>
    <w:rsid w:val="00076A2C"/>
    <w:rsid w:val="000C4331"/>
    <w:rsid w:val="000D0D0A"/>
    <w:rsid w:val="00103163"/>
    <w:rsid w:val="00106B19"/>
    <w:rsid w:val="001133EF"/>
    <w:rsid w:val="00115D93"/>
    <w:rsid w:val="001247A8"/>
    <w:rsid w:val="001342E0"/>
    <w:rsid w:val="001370B2"/>
    <w:rsid w:val="001378C0"/>
    <w:rsid w:val="001658F9"/>
    <w:rsid w:val="0018694A"/>
    <w:rsid w:val="0019129B"/>
    <w:rsid w:val="001A3287"/>
    <w:rsid w:val="001A6508"/>
    <w:rsid w:val="001C0BD9"/>
    <w:rsid w:val="001D4C31"/>
    <w:rsid w:val="001E4D21"/>
    <w:rsid w:val="00207CD1"/>
    <w:rsid w:val="00226657"/>
    <w:rsid w:val="002477A2"/>
    <w:rsid w:val="002612BF"/>
    <w:rsid w:val="00263A51"/>
    <w:rsid w:val="00267E02"/>
    <w:rsid w:val="00271321"/>
    <w:rsid w:val="00277DEA"/>
    <w:rsid w:val="002A5D44"/>
    <w:rsid w:val="002B077D"/>
    <w:rsid w:val="002C1E07"/>
    <w:rsid w:val="002C3F32"/>
    <w:rsid w:val="002C4E3D"/>
    <w:rsid w:val="002D2336"/>
    <w:rsid w:val="002E0BC4"/>
    <w:rsid w:val="002F1B76"/>
    <w:rsid w:val="0033568E"/>
    <w:rsid w:val="00355FF5"/>
    <w:rsid w:val="00361350"/>
    <w:rsid w:val="003C3FAE"/>
    <w:rsid w:val="004038CB"/>
    <w:rsid w:val="0040546F"/>
    <w:rsid w:val="004177BD"/>
    <w:rsid w:val="0042404A"/>
    <w:rsid w:val="0044618F"/>
    <w:rsid w:val="00465C35"/>
    <w:rsid w:val="0046769A"/>
    <w:rsid w:val="00475FB3"/>
    <w:rsid w:val="004C37A9"/>
    <w:rsid w:val="004D1D50"/>
    <w:rsid w:val="004F259E"/>
    <w:rsid w:val="004F633A"/>
    <w:rsid w:val="00504C7F"/>
    <w:rsid w:val="00511F1D"/>
    <w:rsid w:val="00520F36"/>
    <w:rsid w:val="00524E8D"/>
    <w:rsid w:val="00534E13"/>
    <w:rsid w:val="00540615"/>
    <w:rsid w:val="00540A6D"/>
    <w:rsid w:val="00553536"/>
    <w:rsid w:val="00566679"/>
    <w:rsid w:val="00571EEA"/>
    <w:rsid w:val="00575417"/>
    <w:rsid w:val="005768E1"/>
    <w:rsid w:val="005B1938"/>
    <w:rsid w:val="005C3890"/>
    <w:rsid w:val="005F7BFE"/>
    <w:rsid w:val="00600017"/>
    <w:rsid w:val="00602682"/>
    <w:rsid w:val="006235CA"/>
    <w:rsid w:val="0062366E"/>
    <w:rsid w:val="00651813"/>
    <w:rsid w:val="006643AB"/>
    <w:rsid w:val="00670110"/>
    <w:rsid w:val="006A11AE"/>
    <w:rsid w:val="006B224B"/>
    <w:rsid w:val="006F0A53"/>
    <w:rsid w:val="0071402E"/>
    <w:rsid w:val="007210CD"/>
    <w:rsid w:val="00732045"/>
    <w:rsid w:val="0073275D"/>
    <w:rsid w:val="007369DB"/>
    <w:rsid w:val="00740101"/>
    <w:rsid w:val="007515F6"/>
    <w:rsid w:val="0077110E"/>
    <w:rsid w:val="007956C2"/>
    <w:rsid w:val="00796BDB"/>
    <w:rsid w:val="007A187E"/>
    <w:rsid w:val="007A2795"/>
    <w:rsid w:val="007C72C2"/>
    <w:rsid w:val="007D4436"/>
    <w:rsid w:val="007E6365"/>
    <w:rsid w:val="007F257A"/>
    <w:rsid w:val="007F3665"/>
    <w:rsid w:val="00800037"/>
    <w:rsid w:val="0082299A"/>
    <w:rsid w:val="0083391C"/>
    <w:rsid w:val="0084546D"/>
    <w:rsid w:val="00861D73"/>
    <w:rsid w:val="008740D1"/>
    <w:rsid w:val="00882919"/>
    <w:rsid w:val="00897553"/>
    <w:rsid w:val="008A4E87"/>
    <w:rsid w:val="008D4048"/>
    <w:rsid w:val="008D76E6"/>
    <w:rsid w:val="0092392D"/>
    <w:rsid w:val="0093234A"/>
    <w:rsid w:val="00956A78"/>
    <w:rsid w:val="0097363B"/>
    <w:rsid w:val="00973F53"/>
    <w:rsid w:val="00976745"/>
    <w:rsid w:val="0098348E"/>
    <w:rsid w:val="009A6BAA"/>
    <w:rsid w:val="009A76A8"/>
    <w:rsid w:val="009C307F"/>
    <w:rsid w:val="009C353C"/>
    <w:rsid w:val="009D5955"/>
    <w:rsid w:val="009F0FB8"/>
    <w:rsid w:val="00A01F4F"/>
    <w:rsid w:val="00A109AF"/>
    <w:rsid w:val="00A125FB"/>
    <w:rsid w:val="00A2113E"/>
    <w:rsid w:val="00A23A51"/>
    <w:rsid w:val="00A24607"/>
    <w:rsid w:val="00A25CD3"/>
    <w:rsid w:val="00A51849"/>
    <w:rsid w:val="00A709FE"/>
    <w:rsid w:val="00A73C60"/>
    <w:rsid w:val="00A82767"/>
    <w:rsid w:val="00AA332F"/>
    <w:rsid w:val="00AA348D"/>
    <w:rsid w:val="00AA7BBB"/>
    <w:rsid w:val="00AB64A8"/>
    <w:rsid w:val="00AC0266"/>
    <w:rsid w:val="00AC0F1D"/>
    <w:rsid w:val="00AD02EF"/>
    <w:rsid w:val="00AD24EC"/>
    <w:rsid w:val="00B27B00"/>
    <w:rsid w:val="00B309F9"/>
    <w:rsid w:val="00B32B60"/>
    <w:rsid w:val="00B51005"/>
    <w:rsid w:val="00B61619"/>
    <w:rsid w:val="00BB38C1"/>
    <w:rsid w:val="00BB4545"/>
    <w:rsid w:val="00BD5873"/>
    <w:rsid w:val="00BF4B60"/>
    <w:rsid w:val="00C049D7"/>
    <w:rsid w:val="00C04BE3"/>
    <w:rsid w:val="00C25D29"/>
    <w:rsid w:val="00C2625E"/>
    <w:rsid w:val="00C27A7C"/>
    <w:rsid w:val="00C42437"/>
    <w:rsid w:val="00CA08ED"/>
    <w:rsid w:val="00CC6EAA"/>
    <w:rsid w:val="00CE5172"/>
    <w:rsid w:val="00CF0534"/>
    <w:rsid w:val="00CF183B"/>
    <w:rsid w:val="00D21509"/>
    <w:rsid w:val="00D375CD"/>
    <w:rsid w:val="00D37B53"/>
    <w:rsid w:val="00D553A2"/>
    <w:rsid w:val="00D6571B"/>
    <w:rsid w:val="00D72F49"/>
    <w:rsid w:val="00D774D3"/>
    <w:rsid w:val="00D81320"/>
    <w:rsid w:val="00D904E8"/>
    <w:rsid w:val="00DA08C3"/>
    <w:rsid w:val="00DB5A3E"/>
    <w:rsid w:val="00DC22AA"/>
    <w:rsid w:val="00DD1A99"/>
    <w:rsid w:val="00DE62C6"/>
    <w:rsid w:val="00DF74DD"/>
    <w:rsid w:val="00E028BC"/>
    <w:rsid w:val="00E25AD0"/>
    <w:rsid w:val="00E33426"/>
    <w:rsid w:val="00E42F96"/>
    <w:rsid w:val="00E4428F"/>
    <w:rsid w:val="00E4448E"/>
    <w:rsid w:val="00E47427"/>
    <w:rsid w:val="00E75506"/>
    <w:rsid w:val="00E93668"/>
    <w:rsid w:val="00E95647"/>
    <w:rsid w:val="00E96842"/>
    <w:rsid w:val="00EB6350"/>
    <w:rsid w:val="00ED799B"/>
    <w:rsid w:val="00F15B57"/>
    <w:rsid w:val="00F23EDB"/>
    <w:rsid w:val="00F35EF4"/>
    <w:rsid w:val="00F37FE5"/>
    <w:rsid w:val="00F427DB"/>
    <w:rsid w:val="00FA2EB4"/>
    <w:rsid w:val="00FA5EB1"/>
    <w:rsid w:val="00FA7439"/>
    <w:rsid w:val="00FC4EC0"/>
    <w:rsid w:val="00FC5605"/>
    <w:rsid w:val="00FC6D7D"/>
    <w:rsid w:val="00FF0181"/>
    <w:rsid w:val="00FF0F2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A5CEBE"/>
  <w15:docId w15:val="{A075DF87-E449-475C-A70B-CC7188BCC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366E"/>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4"/>
      <w:lang w:val="fr-FR" w:eastAsia="en-US"/>
    </w:rPr>
  </w:style>
  <w:style w:type="paragraph" w:styleId="Heading1">
    <w:name w:val="heading 1"/>
    <w:basedOn w:val="Normal"/>
    <w:next w:val="Normal"/>
    <w:qFormat/>
    <w:rsid w:val="00ED799B"/>
    <w:pPr>
      <w:keepNext/>
      <w:keepLines/>
      <w:spacing w:before="360"/>
      <w:ind w:left="567" w:hanging="567"/>
      <w:outlineLvl w:val="0"/>
    </w:pPr>
    <w:rPr>
      <w:b/>
      <w:sz w:val="28"/>
    </w:rPr>
  </w:style>
  <w:style w:type="paragraph" w:styleId="Heading2">
    <w:name w:val="heading 2"/>
    <w:basedOn w:val="Heading1"/>
    <w:next w:val="Normal"/>
    <w:qFormat/>
    <w:rsid w:val="00ED799B"/>
    <w:pPr>
      <w:spacing w:before="200"/>
      <w:outlineLvl w:val="1"/>
    </w:pPr>
    <w:rPr>
      <w:sz w:val="24"/>
    </w:rPr>
  </w:style>
  <w:style w:type="paragraph" w:styleId="Heading3">
    <w:name w:val="heading 3"/>
    <w:basedOn w:val="Heading1"/>
    <w:next w:val="Normal"/>
    <w:qFormat/>
    <w:rsid w:val="00ED799B"/>
    <w:pPr>
      <w:spacing w:before="200"/>
      <w:outlineLvl w:val="2"/>
    </w:pPr>
    <w:rPr>
      <w:sz w:val="24"/>
    </w:rPr>
  </w:style>
  <w:style w:type="paragraph" w:styleId="Heading4">
    <w:name w:val="heading 4"/>
    <w:basedOn w:val="Heading3"/>
    <w:next w:val="Normal"/>
    <w:qFormat/>
    <w:rsid w:val="00732045"/>
    <w:pPr>
      <w:ind w:left="1134" w:hanging="1134"/>
      <w:outlineLvl w:val="3"/>
    </w:pPr>
  </w:style>
  <w:style w:type="paragraph" w:styleId="Heading5">
    <w:name w:val="heading 5"/>
    <w:basedOn w:val="Heading4"/>
    <w:next w:val="Normal"/>
    <w:qFormat/>
    <w:rsid w:val="00732045"/>
    <w:pPr>
      <w:outlineLvl w:val="4"/>
    </w:pPr>
  </w:style>
  <w:style w:type="paragraph" w:styleId="Heading6">
    <w:name w:val="heading 6"/>
    <w:basedOn w:val="Heading4"/>
    <w:next w:val="Normal"/>
    <w:qFormat/>
    <w:rsid w:val="00732045"/>
    <w:pPr>
      <w:outlineLvl w:val="5"/>
    </w:pPr>
  </w:style>
  <w:style w:type="paragraph" w:styleId="Heading7">
    <w:name w:val="heading 7"/>
    <w:basedOn w:val="Heading4"/>
    <w:next w:val="Normal"/>
    <w:qFormat/>
    <w:rsid w:val="00732045"/>
    <w:pPr>
      <w:ind w:left="1701" w:hanging="1701"/>
      <w:outlineLvl w:val="6"/>
    </w:pPr>
  </w:style>
  <w:style w:type="paragraph" w:styleId="Heading8">
    <w:name w:val="heading 8"/>
    <w:basedOn w:val="Heading4"/>
    <w:next w:val="Normal"/>
    <w:qFormat/>
    <w:rsid w:val="00732045"/>
    <w:pPr>
      <w:ind w:left="1701" w:hanging="1701"/>
      <w:outlineLvl w:val="7"/>
    </w:pPr>
  </w:style>
  <w:style w:type="paragraph" w:styleId="Heading9">
    <w:name w:val="heading 9"/>
    <w:basedOn w:val="Heading4"/>
    <w:next w:val="Normal"/>
    <w:qFormat/>
    <w:rsid w:val="00732045"/>
    <w:pPr>
      <w:ind w:left="1701" w:hanging="1701"/>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7"/>
    <w:next w:val="Normal"/>
    <w:rsid w:val="0019129B"/>
  </w:style>
  <w:style w:type="paragraph" w:styleId="TOC3">
    <w:name w:val="toc 3"/>
    <w:basedOn w:val="TOC1"/>
    <w:next w:val="Normal"/>
    <w:rsid w:val="001658F9"/>
  </w:style>
  <w:style w:type="paragraph" w:styleId="TOC2">
    <w:name w:val="toc 2"/>
    <w:basedOn w:val="TOC1"/>
    <w:next w:val="Normal"/>
    <w:rsid w:val="001658F9"/>
    <w:pPr>
      <w:spacing w:before="160"/>
    </w:pPr>
  </w:style>
  <w:style w:type="paragraph" w:styleId="TOC1">
    <w:name w:val="toc 1"/>
    <w:basedOn w:val="Normal"/>
    <w:rsid w:val="001658F9"/>
    <w:pPr>
      <w:tabs>
        <w:tab w:val="clear" w:pos="567"/>
        <w:tab w:val="clear" w:pos="1134"/>
        <w:tab w:val="clear" w:pos="1701"/>
        <w:tab w:val="clear" w:pos="2268"/>
        <w:tab w:val="clear" w:pos="2835"/>
        <w:tab w:val="left" w:pos="964"/>
        <w:tab w:val="left" w:leader="dot" w:pos="7938"/>
        <w:tab w:val="right" w:pos="9072"/>
      </w:tabs>
      <w:spacing w:before="200"/>
      <w:ind w:left="964" w:hanging="964"/>
    </w:pPr>
  </w:style>
  <w:style w:type="paragraph" w:styleId="TOC7">
    <w:name w:val="toc 7"/>
    <w:basedOn w:val="TOC6"/>
    <w:next w:val="Normal"/>
    <w:rsid w:val="0019129B"/>
  </w:style>
  <w:style w:type="paragraph" w:styleId="TOC6">
    <w:name w:val="toc 6"/>
    <w:basedOn w:val="TOC5"/>
    <w:next w:val="Normal"/>
    <w:rsid w:val="0019129B"/>
  </w:style>
  <w:style w:type="paragraph" w:styleId="TOC5">
    <w:name w:val="toc 5"/>
    <w:basedOn w:val="TOC4"/>
    <w:next w:val="Normal"/>
    <w:rsid w:val="0019129B"/>
    <w:rPr>
      <w:lang w:val="fr-CH"/>
    </w:rPr>
  </w:style>
  <w:style w:type="paragraph" w:styleId="TOC4">
    <w:name w:val="toc 4"/>
    <w:basedOn w:val="TOC1"/>
    <w:next w:val="Normal"/>
    <w:rsid w:val="0019129B"/>
  </w:style>
  <w:style w:type="paragraph" w:styleId="Index7">
    <w:name w:val="index 7"/>
    <w:basedOn w:val="Normal"/>
    <w:next w:val="Normal"/>
    <w:rsid w:val="005C3890"/>
    <w:pPr>
      <w:ind w:left="1698"/>
    </w:pPr>
  </w:style>
  <w:style w:type="paragraph" w:styleId="Index6">
    <w:name w:val="index 6"/>
    <w:basedOn w:val="Normal"/>
    <w:next w:val="Normal"/>
    <w:rsid w:val="005C3890"/>
    <w:pPr>
      <w:ind w:left="1415"/>
    </w:pPr>
  </w:style>
  <w:style w:type="paragraph" w:styleId="Index5">
    <w:name w:val="index 5"/>
    <w:basedOn w:val="Normal"/>
    <w:next w:val="Normal"/>
    <w:rsid w:val="005C3890"/>
    <w:pPr>
      <w:ind w:left="1132"/>
    </w:pPr>
  </w:style>
  <w:style w:type="paragraph" w:styleId="Index4">
    <w:name w:val="index 4"/>
    <w:basedOn w:val="Normal"/>
    <w:next w:val="Normal"/>
    <w:rsid w:val="005C3890"/>
    <w:pPr>
      <w:ind w:left="849"/>
    </w:pPr>
  </w:style>
  <w:style w:type="paragraph" w:styleId="Index3">
    <w:name w:val="index 3"/>
    <w:basedOn w:val="Normal"/>
    <w:next w:val="Normal"/>
    <w:rsid w:val="005C3890"/>
    <w:pPr>
      <w:ind w:left="566"/>
    </w:pPr>
  </w:style>
  <w:style w:type="paragraph" w:styleId="Index2">
    <w:name w:val="index 2"/>
    <w:basedOn w:val="Normal"/>
    <w:next w:val="Normal"/>
    <w:rsid w:val="005C3890"/>
    <w:pPr>
      <w:ind w:left="283"/>
    </w:pPr>
  </w:style>
  <w:style w:type="paragraph" w:styleId="Index1">
    <w:name w:val="index 1"/>
    <w:basedOn w:val="Normal"/>
    <w:next w:val="Normal"/>
    <w:rsid w:val="005C3890"/>
  </w:style>
  <w:style w:type="character" w:styleId="LineNumber">
    <w:name w:val="line number"/>
    <w:basedOn w:val="DefaultParagraphFont"/>
    <w:rsid w:val="005C3890"/>
  </w:style>
  <w:style w:type="paragraph" w:styleId="IndexHeading">
    <w:name w:val="index heading"/>
    <w:basedOn w:val="Normal"/>
    <w:next w:val="Index1"/>
    <w:rsid w:val="005C3890"/>
  </w:style>
  <w:style w:type="paragraph" w:styleId="Footer">
    <w:name w:val="footer"/>
    <w:basedOn w:val="Normal"/>
    <w:rsid w:val="00732045"/>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link w:val="HeaderChar"/>
    <w:uiPriority w:val="99"/>
    <w:rsid w:val="00732045"/>
    <w:pPr>
      <w:tabs>
        <w:tab w:val="clear" w:pos="567"/>
        <w:tab w:val="clear" w:pos="1134"/>
        <w:tab w:val="clear" w:pos="1701"/>
        <w:tab w:val="clear" w:pos="2268"/>
        <w:tab w:val="clear" w:pos="2835"/>
      </w:tabs>
      <w:spacing w:before="0"/>
      <w:jc w:val="center"/>
    </w:pPr>
    <w:rPr>
      <w:sz w:val="18"/>
    </w:rPr>
  </w:style>
  <w:style w:type="character" w:styleId="FootnoteReference">
    <w:name w:val="footnote reference"/>
    <w:basedOn w:val="DefaultParagraphFont"/>
    <w:rsid w:val="00732045"/>
    <w:rPr>
      <w:rFonts w:ascii="Calibri" w:hAnsi="Calibri"/>
      <w:position w:val="6"/>
      <w:sz w:val="16"/>
    </w:rPr>
  </w:style>
  <w:style w:type="paragraph" w:styleId="FootnoteText">
    <w:name w:val="footnote text"/>
    <w:basedOn w:val="Normal"/>
    <w:rsid w:val="00ED799B"/>
    <w:pPr>
      <w:keepLines/>
      <w:tabs>
        <w:tab w:val="left" w:pos="256"/>
      </w:tabs>
      <w:ind w:left="256" w:hanging="256"/>
    </w:pPr>
    <w:rPr>
      <w:sz w:val="22"/>
    </w:rPr>
  </w:style>
  <w:style w:type="paragraph" w:styleId="NormalIndent">
    <w:name w:val="Normal Indent"/>
    <w:basedOn w:val="Normal"/>
    <w:rsid w:val="00732045"/>
    <w:pPr>
      <w:ind w:left="567"/>
    </w:pPr>
  </w:style>
  <w:style w:type="paragraph" w:customStyle="1" w:styleId="enumlev1">
    <w:name w:val="enumlev1"/>
    <w:basedOn w:val="Normal"/>
    <w:rsid w:val="009D5955"/>
    <w:pPr>
      <w:spacing w:before="80"/>
      <w:ind w:left="567" w:hanging="567"/>
    </w:pPr>
  </w:style>
  <w:style w:type="paragraph" w:customStyle="1" w:styleId="enumlev2">
    <w:name w:val="enumlev2"/>
    <w:basedOn w:val="enumlev1"/>
    <w:rsid w:val="00732045"/>
    <w:pPr>
      <w:ind w:left="1134"/>
    </w:pPr>
  </w:style>
  <w:style w:type="paragraph" w:customStyle="1" w:styleId="enumlev3">
    <w:name w:val="enumlev3"/>
    <w:basedOn w:val="enumlev2"/>
    <w:rsid w:val="009D5955"/>
    <w:pPr>
      <w:ind w:left="1701"/>
    </w:pPr>
  </w:style>
  <w:style w:type="paragraph" w:customStyle="1" w:styleId="Equation">
    <w:name w:val="Equation"/>
    <w:basedOn w:val="Normal"/>
    <w:rsid w:val="005C3890"/>
    <w:pPr>
      <w:tabs>
        <w:tab w:val="center" w:pos="4820"/>
        <w:tab w:val="right" w:pos="9639"/>
      </w:tabs>
    </w:pPr>
  </w:style>
  <w:style w:type="paragraph" w:customStyle="1" w:styleId="Head">
    <w:name w:val="Head"/>
    <w:basedOn w:val="Normal"/>
    <w:rsid w:val="005C3890"/>
    <w:pPr>
      <w:tabs>
        <w:tab w:val="left" w:pos="6663"/>
      </w:tabs>
      <w:overflowPunct/>
      <w:autoSpaceDE/>
      <w:autoSpaceDN/>
      <w:adjustRightInd/>
      <w:spacing w:before="0"/>
      <w:textAlignment w:val="auto"/>
    </w:pPr>
  </w:style>
  <w:style w:type="paragraph" w:customStyle="1" w:styleId="Normalaftertitle">
    <w:name w:val="Normal after title"/>
    <w:basedOn w:val="Normal"/>
    <w:next w:val="Normal"/>
    <w:rsid w:val="00732045"/>
    <w:pPr>
      <w:spacing w:before="240"/>
    </w:pPr>
  </w:style>
  <w:style w:type="paragraph" w:customStyle="1" w:styleId="Call">
    <w:name w:val="Call"/>
    <w:basedOn w:val="Normal"/>
    <w:next w:val="Normal"/>
    <w:rsid w:val="00732045"/>
    <w:pPr>
      <w:keepNext/>
      <w:keepLines/>
      <w:tabs>
        <w:tab w:val="clear" w:pos="1134"/>
        <w:tab w:val="clear" w:pos="1701"/>
        <w:tab w:val="clear" w:pos="2268"/>
        <w:tab w:val="clear" w:pos="2835"/>
      </w:tabs>
      <w:spacing w:before="160"/>
      <w:ind w:left="567"/>
    </w:pPr>
    <w:rPr>
      <w:i/>
    </w:rPr>
  </w:style>
  <w:style w:type="paragraph" w:customStyle="1" w:styleId="toc0">
    <w:name w:val="toc 0"/>
    <w:basedOn w:val="Normal"/>
    <w:next w:val="TOC1"/>
    <w:rsid w:val="00732045"/>
    <w:pPr>
      <w:tabs>
        <w:tab w:val="clear" w:pos="567"/>
        <w:tab w:val="clear" w:pos="1134"/>
        <w:tab w:val="clear" w:pos="1701"/>
        <w:tab w:val="clear" w:pos="2268"/>
        <w:tab w:val="clear" w:pos="2835"/>
        <w:tab w:val="right" w:pos="9781"/>
      </w:tabs>
    </w:pPr>
    <w:rPr>
      <w:b/>
    </w:rPr>
  </w:style>
  <w:style w:type="paragraph" w:styleId="List">
    <w:name w:val="List"/>
    <w:basedOn w:val="Normal"/>
    <w:rsid w:val="005C3890"/>
    <w:pPr>
      <w:tabs>
        <w:tab w:val="left" w:pos="2127"/>
      </w:tabs>
      <w:ind w:left="2127" w:hanging="2127"/>
    </w:pPr>
  </w:style>
  <w:style w:type="paragraph" w:customStyle="1" w:styleId="Part">
    <w:name w:val="Part"/>
    <w:basedOn w:val="Normal"/>
    <w:rsid w:val="005C3890"/>
    <w:pPr>
      <w:tabs>
        <w:tab w:val="left" w:pos="1276"/>
      </w:tabs>
      <w:spacing w:before="199"/>
      <w:ind w:left="1701" w:hanging="1701"/>
    </w:pPr>
    <w:rPr>
      <w:caps/>
    </w:rPr>
  </w:style>
  <w:style w:type="paragraph" w:customStyle="1" w:styleId="Reasons">
    <w:name w:val="Reasons"/>
    <w:basedOn w:val="Normal"/>
    <w:qFormat/>
    <w:rsid w:val="00732045"/>
  </w:style>
  <w:style w:type="paragraph" w:customStyle="1" w:styleId="meeting">
    <w:name w:val="meeting"/>
    <w:basedOn w:val="Head"/>
    <w:next w:val="Head"/>
    <w:rsid w:val="005C3890"/>
    <w:pPr>
      <w:tabs>
        <w:tab w:val="left" w:pos="7371"/>
      </w:tabs>
      <w:spacing w:after="567"/>
    </w:pPr>
  </w:style>
  <w:style w:type="paragraph" w:customStyle="1" w:styleId="Subject">
    <w:name w:val="Subject"/>
    <w:basedOn w:val="Normal"/>
    <w:next w:val="Source"/>
    <w:rsid w:val="005C3890"/>
    <w:pPr>
      <w:tabs>
        <w:tab w:val="left" w:pos="709"/>
      </w:tabs>
      <w:spacing w:before="0"/>
      <w:ind w:left="709" w:hanging="709"/>
    </w:pPr>
  </w:style>
  <w:style w:type="paragraph" w:customStyle="1" w:styleId="Source">
    <w:name w:val="Source"/>
    <w:basedOn w:val="Normal"/>
    <w:next w:val="Title1"/>
    <w:rsid w:val="00732045"/>
    <w:pPr>
      <w:spacing w:before="840"/>
      <w:jc w:val="center"/>
    </w:pPr>
    <w:rPr>
      <w:b/>
      <w:sz w:val="28"/>
    </w:rPr>
  </w:style>
  <w:style w:type="paragraph" w:customStyle="1" w:styleId="Object">
    <w:name w:val="Object"/>
    <w:basedOn w:val="Subject"/>
    <w:next w:val="Subject"/>
    <w:rsid w:val="005C3890"/>
  </w:style>
  <w:style w:type="paragraph" w:customStyle="1" w:styleId="Data">
    <w:name w:val="Data"/>
    <w:basedOn w:val="Subject"/>
    <w:next w:val="Subject"/>
    <w:rsid w:val="005C3890"/>
  </w:style>
  <w:style w:type="paragraph" w:customStyle="1" w:styleId="Headingb">
    <w:name w:val="Heading_b"/>
    <w:basedOn w:val="Heading3"/>
    <w:next w:val="Normal"/>
    <w:rsid w:val="00ED799B"/>
    <w:pPr>
      <w:spacing w:before="160"/>
      <w:ind w:left="0" w:firstLine="0"/>
      <w:outlineLvl w:val="0"/>
    </w:pPr>
  </w:style>
  <w:style w:type="paragraph" w:customStyle="1" w:styleId="Title1">
    <w:name w:val="Title 1"/>
    <w:basedOn w:val="Normal"/>
    <w:next w:val="Normalaftertitle"/>
    <w:rsid w:val="0071402E"/>
    <w:pPr>
      <w:spacing w:before="360"/>
      <w:jc w:val="center"/>
    </w:pPr>
    <w:rPr>
      <w:caps/>
    </w:rPr>
  </w:style>
  <w:style w:type="paragraph" w:customStyle="1" w:styleId="dnum">
    <w:name w:val="dnum"/>
    <w:basedOn w:val="Normal"/>
    <w:rsid w:val="005C3890"/>
    <w:pPr>
      <w:framePr w:hSpace="181" w:wrap="notBeside" w:vAnchor="page" w:hAnchor="margin" w:x="1" w:y="852"/>
      <w:shd w:val="solid" w:color="FFFFFF" w:fill="FFFFFF"/>
      <w:tabs>
        <w:tab w:val="left" w:pos="1871"/>
      </w:tabs>
    </w:pPr>
    <w:rPr>
      <w:b/>
      <w:bCs/>
    </w:rPr>
  </w:style>
  <w:style w:type="paragraph" w:customStyle="1" w:styleId="FirstFooter">
    <w:name w:val="FirstFooter"/>
    <w:basedOn w:val="Footer"/>
    <w:rsid w:val="00732045"/>
    <w:rPr>
      <w:caps w:val="0"/>
    </w:rPr>
  </w:style>
  <w:style w:type="paragraph" w:customStyle="1" w:styleId="Note">
    <w:name w:val="Note"/>
    <w:basedOn w:val="Normal"/>
    <w:rsid w:val="0071402E"/>
    <w:pPr>
      <w:spacing w:before="80"/>
    </w:pPr>
    <w:rPr>
      <w:sz w:val="22"/>
    </w:rPr>
  </w:style>
  <w:style w:type="paragraph" w:styleId="TOC9">
    <w:name w:val="toc 9"/>
    <w:basedOn w:val="Normal"/>
    <w:next w:val="Normal"/>
    <w:rsid w:val="00732045"/>
    <w:pPr>
      <w:tabs>
        <w:tab w:val="clear" w:pos="567"/>
        <w:tab w:val="clear" w:pos="1134"/>
        <w:tab w:val="clear" w:pos="1701"/>
        <w:tab w:val="clear" w:pos="2268"/>
        <w:tab w:val="clear" w:pos="2835"/>
        <w:tab w:val="right" w:leader="dot" w:pos="9645"/>
      </w:tabs>
      <w:ind w:left="1920"/>
    </w:pPr>
  </w:style>
  <w:style w:type="paragraph" w:customStyle="1" w:styleId="ddate">
    <w:name w:val="ddate"/>
    <w:basedOn w:val="Normal"/>
    <w:rsid w:val="005C3890"/>
    <w:pPr>
      <w:framePr w:hSpace="181" w:wrap="notBeside" w:vAnchor="page" w:hAnchor="margin" w:x="1" w:y="852"/>
      <w:shd w:val="solid" w:color="FFFFFF" w:fill="FFFFFF"/>
      <w:tabs>
        <w:tab w:val="left" w:pos="1871"/>
      </w:tabs>
      <w:spacing w:before="0"/>
    </w:pPr>
    <w:rPr>
      <w:b/>
      <w:bCs/>
    </w:rPr>
  </w:style>
  <w:style w:type="paragraph" w:customStyle="1" w:styleId="dorlang">
    <w:name w:val="dorlang"/>
    <w:basedOn w:val="Normal"/>
    <w:rsid w:val="005C3890"/>
    <w:pPr>
      <w:framePr w:hSpace="181" w:wrap="notBeside" w:vAnchor="page" w:hAnchor="margin" w:x="1" w:y="852"/>
      <w:shd w:val="solid" w:color="FFFFFF" w:fill="FFFFFF"/>
      <w:tabs>
        <w:tab w:val="left" w:pos="1871"/>
      </w:tabs>
      <w:spacing w:before="0"/>
    </w:pPr>
    <w:rPr>
      <w:b/>
      <w:bCs/>
    </w:rPr>
  </w:style>
  <w:style w:type="character" w:styleId="Hyperlink">
    <w:name w:val="Hyperlink"/>
    <w:basedOn w:val="DefaultParagraphFont"/>
    <w:rsid w:val="00740101"/>
    <w:rPr>
      <w:rFonts w:eastAsiaTheme="minorHAnsi" w:cstheme="minorBidi"/>
      <w:color w:val="4F81BD" w:themeColor="accent1"/>
      <w:szCs w:val="22"/>
      <w:u w:val="single"/>
    </w:rPr>
  </w:style>
  <w:style w:type="character" w:styleId="FollowedHyperlink">
    <w:name w:val="FollowedHyperlink"/>
    <w:basedOn w:val="DefaultParagraphFont"/>
    <w:rsid w:val="005C3890"/>
    <w:rPr>
      <w:color w:val="800080"/>
      <w:u w:val="single"/>
    </w:rPr>
  </w:style>
  <w:style w:type="paragraph" w:customStyle="1" w:styleId="AnnexNo">
    <w:name w:val="Annex_No"/>
    <w:basedOn w:val="Normal"/>
    <w:next w:val="Annexref"/>
    <w:rsid w:val="00BB38C1"/>
    <w:pPr>
      <w:keepNext/>
      <w:keepLines/>
      <w:spacing w:before="720"/>
      <w:jc w:val="center"/>
    </w:pPr>
    <w:rPr>
      <w:caps/>
      <w:sz w:val="28"/>
    </w:rPr>
  </w:style>
  <w:style w:type="paragraph" w:customStyle="1" w:styleId="Annexref">
    <w:name w:val="Annex_ref"/>
    <w:basedOn w:val="Normal"/>
    <w:next w:val="Annextitle"/>
    <w:rsid w:val="00BB38C1"/>
    <w:pPr>
      <w:keepNext/>
      <w:keepLines/>
      <w:jc w:val="center"/>
    </w:pPr>
    <w:rPr>
      <w:sz w:val="28"/>
    </w:rPr>
  </w:style>
  <w:style w:type="paragraph" w:customStyle="1" w:styleId="Annextitle">
    <w:name w:val="Annex_title"/>
    <w:basedOn w:val="Normal"/>
    <w:next w:val="Normalaftertitle"/>
    <w:rsid w:val="00BB38C1"/>
    <w:pPr>
      <w:keepNext/>
      <w:keepLines/>
      <w:spacing w:before="240" w:after="240"/>
      <w:jc w:val="center"/>
    </w:pPr>
    <w:rPr>
      <w:b/>
      <w:sz w:val="28"/>
    </w:rPr>
  </w:style>
  <w:style w:type="paragraph" w:customStyle="1" w:styleId="AppendixNo">
    <w:name w:val="Appendix_No"/>
    <w:basedOn w:val="AnnexNo"/>
    <w:next w:val="Appendixref"/>
    <w:rsid w:val="00BB38C1"/>
  </w:style>
  <w:style w:type="paragraph" w:customStyle="1" w:styleId="Appendixref">
    <w:name w:val="Appendix_ref"/>
    <w:basedOn w:val="Annexref"/>
    <w:next w:val="Appendixtitle"/>
    <w:rsid w:val="00732045"/>
  </w:style>
  <w:style w:type="paragraph" w:customStyle="1" w:styleId="Appendixtitle">
    <w:name w:val="Appendix_title"/>
    <w:basedOn w:val="Annextitle"/>
    <w:next w:val="Normalaftertitle"/>
    <w:rsid w:val="00BB38C1"/>
  </w:style>
  <w:style w:type="paragraph" w:customStyle="1" w:styleId="Artheading">
    <w:name w:val="Art_heading"/>
    <w:basedOn w:val="Normal"/>
    <w:next w:val="Normalaftertitle"/>
    <w:rsid w:val="00732045"/>
    <w:pPr>
      <w:tabs>
        <w:tab w:val="clear" w:pos="567"/>
        <w:tab w:val="clear" w:pos="1134"/>
        <w:tab w:val="clear" w:pos="1701"/>
        <w:tab w:val="clear" w:pos="2268"/>
        <w:tab w:val="clear" w:pos="2835"/>
      </w:tabs>
      <w:spacing w:before="480"/>
      <w:jc w:val="center"/>
    </w:pPr>
    <w:rPr>
      <w:b/>
    </w:rPr>
  </w:style>
  <w:style w:type="paragraph" w:customStyle="1" w:styleId="ArtNo">
    <w:name w:val="Art_No"/>
    <w:basedOn w:val="Normal"/>
    <w:next w:val="Arttitle"/>
    <w:rsid w:val="00BB38C1"/>
    <w:pPr>
      <w:keepNext/>
      <w:keepLines/>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rsid w:val="00BB38C1"/>
    <w:pPr>
      <w:keepNext/>
      <w:keepLines/>
      <w:tabs>
        <w:tab w:val="clear" w:pos="567"/>
        <w:tab w:val="clear" w:pos="1134"/>
        <w:tab w:val="clear" w:pos="1701"/>
        <w:tab w:val="clear" w:pos="2268"/>
        <w:tab w:val="clear" w:pos="2835"/>
      </w:tabs>
      <w:spacing w:before="240" w:after="240"/>
      <w:jc w:val="center"/>
    </w:pPr>
    <w:rPr>
      <w:b/>
      <w:sz w:val="28"/>
    </w:rPr>
  </w:style>
  <w:style w:type="paragraph" w:customStyle="1" w:styleId="ChapNo">
    <w:name w:val="Chap_No"/>
    <w:basedOn w:val="ArtNo"/>
    <w:next w:val="Chaptitle"/>
    <w:rsid w:val="00732045"/>
  </w:style>
  <w:style w:type="paragraph" w:customStyle="1" w:styleId="Chaptitle">
    <w:name w:val="Chap_title"/>
    <w:basedOn w:val="Arttitle"/>
    <w:next w:val="Normalaftertitle"/>
    <w:rsid w:val="00732045"/>
  </w:style>
  <w:style w:type="paragraph" w:customStyle="1" w:styleId="Equationlegend">
    <w:name w:val="Equation_legend"/>
    <w:basedOn w:val="NormalIndent"/>
    <w:rsid w:val="005C3890"/>
    <w:pPr>
      <w:tabs>
        <w:tab w:val="right" w:pos="1531"/>
      </w:tabs>
      <w:spacing w:before="80"/>
      <w:ind w:left="1701" w:hanging="1701"/>
    </w:pPr>
  </w:style>
  <w:style w:type="paragraph" w:customStyle="1" w:styleId="Figure">
    <w:name w:val="Figure"/>
    <w:basedOn w:val="Normal"/>
    <w:next w:val="Normal"/>
    <w:rsid w:val="009D5955"/>
    <w:pPr>
      <w:spacing w:after="240"/>
      <w:jc w:val="center"/>
    </w:pPr>
  </w:style>
  <w:style w:type="paragraph" w:customStyle="1" w:styleId="Figurelegend">
    <w:name w:val="Figure_legend"/>
    <w:basedOn w:val="Normal"/>
    <w:next w:val="Normal"/>
    <w:rsid w:val="009D5955"/>
    <w:pPr>
      <w:spacing w:before="20" w:after="240"/>
    </w:pPr>
    <w:rPr>
      <w:sz w:val="18"/>
    </w:rPr>
  </w:style>
  <w:style w:type="paragraph" w:customStyle="1" w:styleId="TableNo">
    <w:name w:val="Table_No"/>
    <w:basedOn w:val="Normal"/>
    <w:next w:val="Tabletitle"/>
    <w:rsid w:val="0071402E"/>
    <w:pPr>
      <w:keepNext/>
      <w:keepLines/>
      <w:spacing w:before="480" w:after="120"/>
      <w:jc w:val="center"/>
    </w:pPr>
    <w:rPr>
      <w:caps/>
    </w:rPr>
  </w:style>
  <w:style w:type="paragraph" w:customStyle="1" w:styleId="Tabletitle">
    <w:name w:val="Table_title"/>
    <w:basedOn w:val="TableNo"/>
    <w:next w:val="Tabletext"/>
    <w:rsid w:val="0071402E"/>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Figuretitle">
    <w:name w:val="Figure_title"/>
    <w:basedOn w:val="Tabletitle"/>
    <w:next w:val="Normalaftertitle"/>
    <w:rsid w:val="009D5955"/>
    <w:pPr>
      <w:spacing w:before="120" w:after="0"/>
    </w:pPr>
  </w:style>
  <w:style w:type="paragraph" w:customStyle="1" w:styleId="Figurewithouttitle">
    <w:name w:val="Figure_without_title"/>
    <w:basedOn w:val="Figure"/>
    <w:next w:val="Normal"/>
    <w:rsid w:val="00ED799B"/>
  </w:style>
  <w:style w:type="paragraph" w:customStyle="1" w:styleId="Headingi">
    <w:name w:val="Heading_i"/>
    <w:basedOn w:val="Heading3"/>
    <w:next w:val="Normal"/>
    <w:rsid w:val="00ED799B"/>
    <w:pPr>
      <w:spacing w:before="160"/>
      <w:ind w:left="0" w:firstLine="0"/>
      <w:outlineLvl w:val="0"/>
    </w:pPr>
    <w:rPr>
      <w:b w:val="0"/>
      <w:i/>
    </w:rPr>
  </w:style>
  <w:style w:type="character" w:styleId="PageNumber">
    <w:name w:val="page number"/>
    <w:basedOn w:val="DefaultParagraphFont"/>
    <w:rsid w:val="00732045"/>
    <w:rPr>
      <w:rFonts w:ascii="Calibri" w:hAnsi="Calibri"/>
    </w:rPr>
  </w:style>
  <w:style w:type="paragraph" w:customStyle="1" w:styleId="PartNo">
    <w:name w:val="Part_No"/>
    <w:basedOn w:val="AnnexNo"/>
    <w:next w:val="Parttitle"/>
    <w:rsid w:val="005C3890"/>
  </w:style>
  <w:style w:type="paragraph" w:customStyle="1" w:styleId="Partref">
    <w:name w:val="Part_ref"/>
    <w:basedOn w:val="Annexref"/>
    <w:next w:val="Normalaftertitle"/>
    <w:rsid w:val="005C3890"/>
  </w:style>
  <w:style w:type="paragraph" w:customStyle="1" w:styleId="Parttitle">
    <w:name w:val="Part_title"/>
    <w:basedOn w:val="Annextitle"/>
    <w:next w:val="Partref"/>
    <w:rsid w:val="005C3890"/>
  </w:style>
  <w:style w:type="paragraph" w:customStyle="1" w:styleId="RecNo">
    <w:name w:val="Rec_No"/>
    <w:basedOn w:val="Normal"/>
    <w:next w:val="Rectitle"/>
    <w:rsid w:val="0071402E"/>
    <w:pPr>
      <w:keepNext/>
      <w:keepLines/>
      <w:spacing w:before="720"/>
      <w:jc w:val="center"/>
    </w:pPr>
    <w:rPr>
      <w:caps/>
      <w:sz w:val="28"/>
    </w:rPr>
  </w:style>
  <w:style w:type="paragraph" w:customStyle="1" w:styleId="Rectitle">
    <w:name w:val="Rec_title"/>
    <w:basedOn w:val="Normal"/>
    <w:next w:val="Heading1"/>
    <w:rsid w:val="0071402E"/>
    <w:pPr>
      <w:keepNext/>
      <w:keepLines/>
      <w:jc w:val="center"/>
    </w:pPr>
    <w:rPr>
      <w:b/>
      <w:sz w:val="28"/>
    </w:rPr>
  </w:style>
  <w:style w:type="paragraph" w:customStyle="1" w:styleId="Recref">
    <w:name w:val="Rec_ref"/>
    <w:basedOn w:val="Rectitle"/>
    <w:next w:val="Recdate"/>
    <w:rsid w:val="005C3890"/>
    <w:rPr>
      <w:rFonts w:ascii="Times New Roman" w:hAnsi="Times New Roman"/>
      <w:b w:val="0"/>
      <w:sz w:val="24"/>
    </w:rPr>
  </w:style>
  <w:style w:type="paragraph" w:customStyle="1" w:styleId="Recdate">
    <w:name w:val="Rec_date"/>
    <w:basedOn w:val="Recref"/>
    <w:next w:val="Normalaftertitle"/>
    <w:rsid w:val="005C3890"/>
    <w:pPr>
      <w:jc w:val="right"/>
    </w:pPr>
    <w:rPr>
      <w:sz w:val="22"/>
    </w:rPr>
  </w:style>
  <w:style w:type="paragraph" w:customStyle="1" w:styleId="Questiondate">
    <w:name w:val="Question_date"/>
    <w:basedOn w:val="Recdate"/>
    <w:next w:val="Normalaftertitle"/>
    <w:rsid w:val="0071402E"/>
  </w:style>
  <w:style w:type="paragraph" w:customStyle="1" w:styleId="QuestionNo">
    <w:name w:val="Question_No"/>
    <w:basedOn w:val="RecNo"/>
    <w:next w:val="Questiontitle"/>
    <w:rsid w:val="0071402E"/>
  </w:style>
  <w:style w:type="paragraph" w:customStyle="1" w:styleId="Questionref">
    <w:name w:val="Question_ref"/>
    <w:basedOn w:val="Recref"/>
    <w:next w:val="Questiondate"/>
    <w:rsid w:val="005C3890"/>
  </w:style>
  <w:style w:type="paragraph" w:customStyle="1" w:styleId="Questiontitle">
    <w:name w:val="Question_title"/>
    <w:basedOn w:val="Rectitle"/>
    <w:next w:val="Questionref"/>
    <w:rsid w:val="005C3890"/>
  </w:style>
  <w:style w:type="paragraph" w:customStyle="1" w:styleId="Reftext">
    <w:name w:val="Ref_text"/>
    <w:basedOn w:val="Normal"/>
    <w:rsid w:val="00732045"/>
    <w:pPr>
      <w:ind w:left="567" w:hanging="567"/>
    </w:pPr>
  </w:style>
  <w:style w:type="paragraph" w:customStyle="1" w:styleId="Reftitle">
    <w:name w:val="Ref_title"/>
    <w:basedOn w:val="Normal"/>
    <w:next w:val="Reftext"/>
    <w:rsid w:val="00732045"/>
    <w:pPr>
      <w:spacing w:before="480"/>
      <w:jc w:val="center"/>
    </w:pPr>
    <w:rPr>
      <w:caps/>
      <w:sz w:val="28"/>
    </w:rPr>
  </w:style>
  <w:style w:type="paragraph" w:customStyle="1" w:styleId="Repdate">
    <w:name w:val="Rep_date"/>
    <w:basedOn w:val="Recdate"/>
    <w:next w:val="Normalaftertitle"/>
    <w:rsid w:val="005C3890"/>
  </w:style>
  <w:style w:type="paragraph" w:customStyle="1" w:styleId="RepNo">
    <w:name w:val="Rep_No"/>
    <w:basedOn w:val="RecNo"/>
    <w:next w:val="Reptitle"/>
    <w:rsid w:val="0071402E"/>
  </w:style>
  <w:style w:type="paragraph" w:customStyle="1" w:styleId="Repref">
    <w:name w:val="Rep_ref"/>
    <w:basedOn w:val="Recref"/>
    <w:next w:val="Repdate"/>
    <w:rsid w:val="005C3890"/>
  </w:style>
  <w:style w:type="paragraph" w:customStyle="1" w:styleId="Reptitle">
    <w:name w:val="Rep_title"/>
    <w:basedOn w:val="Rectitle"/>
    <w:next w:val="Repref"/>
    <w:rsid w:val="005C3890"/>
  </w:style>
  <w:style w:type="paragraph" w:customStyle="1" w:styleId="Resdate">
    <w:name w:val="Res_date"/>
    <w:basedOn w:val="Recdate"/>
    <w:next w:val="Normalaftertitle"/>
    <w:rsid w:val="005C3890"/>
  </w:style>
  <w:style w:type="paragraph" w:customStyle="1" w:styleId="ResNo">
    <w:name w:val="Res_No"/>
    <w:basedOn w:val="AnnexNo"/>
    <w:next w:val="Restitle"/>
    <w:rsid w:val="0071402E"/>
  </w:style>
  <w:style w:type="paragraph" w:customStyle="1" w:styleId="Resref">
    <w:name w:val="Res_ref"/>
    <w:basedOn w:val="Recref"/>
    <w:next w:val="Resdate"/>
    <w:rsid w:val="005C3890"/>
  </w:style>
  <w:style w:type="paragraph" w:customStyle="1" w:styleId="Restitle">
    <w:name w:val="Res_title"/>
    <w:basedOn w:val="Annextitle"/>
    <w:next w:val="Normal"/>
    <w:rsid w:val="00732045"/>
  </w:style>
  <w:style w:type="paragraph" w:customStyle="1" w:styleId="SectionNo">
    <w:name w:val="Section_No"/>
    <w:basedOn w:val="AnnexNo"/>
    <w:next w:val="Sectiontitle"/>
    <w:rsid w:val="0071402E"/>
  </w:style>
  <w:style w:type="paragraph" w:customStyle="1" w:styleId="Sectiontitle">
    <w:name w:val="Section_title"/>
    <w:basedOn w:val="Normal"/>
    <w:next w:val="Normalaftertitle"/>
    <w:rsid w:val="005C3890"/>
    <w:rPr>
      <w:sz w:val="28"/>
    </w:rPr>
  </w:style>
  <w:style w:type="paragraph" w:customStyle="1" w:styleId="SpecialFooter">
    <w:name w:val="Special Footer"/>
    <w:basedOn w:val="Footer"/>
    <w:rsid w:val="005C3890"/>
    <w:pPr>
      <w:tabs>
        <w:tab w:val="left" w:pos="567"/>
        <w:tab w:val="left" w:pos="1134"/>
        <w:tab w:val="left" w:pos="1701"/>
        <w:tab w:val="left" w:pos="2268"/>
        <w:tab w:val="left" w:pos="2835"/>
      </w:tabs>
      <w:jc w:val="both"/>
    </w:pPr>
    <w:rPr>
      <w:caps w:val="0"/>
      <w:noProof w:val="0"/>
    </w:rPr>
  </w:style>
  <w:style w:type="paragraph" w:customStyle="1" w:styleId="Tabletext">
    <w:name w:val="Table_text"/>
    <w:basedOn w:val="Normal"/>
    <w:rsid w:val="0071402E"/>
    <w:pPr>
      <w:tabs>
        <w:tab w:val="clear" w:pos="1134"/>
        <w:tab w:val="clear" w:pos="1701"/>
        <w:tab w:val="clear" w:pos="2268"/>
        <w:tab w:val="clear" w:pos="2835"/>
        <w:tab w:val="left" w:pos="284"/>
        <w:tab w:val="left" w:pos="851"/>
      </w:tabs>
      <w:spacing w:before="40" w:after="40"/>
    </w:pPr>
    <w:rPr>
      <w:sz w:val="22"/>
    </w:rPr>
  </w:style>
  <w:style w:type="paragraph" w:customStyle="1" w:styleId="Tablehead">
    <w:name w:val="Table_head"/>
    <w:basedOn w:val="Tabletext"/>
    <w:rsid w:val="0071402E"/>
    <w:pPr>
      <w:keepNext/>
      <w:keepLines/>
      <w:spacing w:before="80" w:after="80"/>
      <w:jc w:val="center"/>
    </w:pPr>
    <w:rPr>
      <w:b/>
    </w:rPr>
  </w:style>
  <w:style w:type="paragraph" w:customStyle="1" w:styleId="Tablelegend">
    <w:name w:val="Table_legend"/>
    <w:basedOn w:val="Tabletext"/>
    <w:rsid w:val="0071402E"/>
    <w:pPr>
      <w:ind w:left="284" w:hanging="284"/>
    </w:pPr>
    <w:rPr>
      <w:sz w:val="20"/>
    </w:rPr>
  </w:style>
  <w:style w:type="paragraph" w:customStyle="1" w:styleId="Tableref">
    <w:name w:val="Table_ref"/>
    <w:basedOn w:val="Normal"/>
    <w:next w:val="Tabletitle"/>
    <w:rsid w:val="0071402E"/>
    <w:pPr>
      <w:keepNext/>
      <w:keepLines/>
      <w:jc w:val="center"/>
    </w:pPr>
    <w:rPr>
      <w:sz w:val="20"/>
    </w:rPr>
  </w:style>
  <w:style w:type="paragraph" w:customStyle="1" w:styleId="Title2">
    <w:name w:val="Title 2"/>
    <w:basedOn w:val="Title1"/>
    <w:next w:val="Normalaftertitle"/>
    <w:rsid w:val="006B224B"/>
    <w:pPr>
      <w:keepNext/>
      <w:keepLines/>
      <w:spacing w:before="240"/>
    </w:pPr>
    <w:rPr>
      <w:b/>
      <w:caps w:val="0"/>
    </w:rPr>
  </w:style>
  <w:style w:type="paragraph" w:customStyle="1" w:styleId="Title3">
    <w:name w:val="Title 3"/>
    <w:basedOn w:val="Title2"/>
    <w:next w:val="Normalaftertitle"/>
    <w:rsid w:val="006B224B"/>
    <w:rPr>
      <w:b w:val="0"/>
      <w:caps/>
    </w:rPr>
  </w:style>
  <w:style w:type="paragraph" w:customStyle="1" w:styleId="Title4">
    <w:name w:val="Title 4"/>
    <w:basedOn w:val="Annextitle"/>
    <w:next w:val="Normal"/>
    <w:rsid w:val="00CE5172"/>
    <w:pPr>
      <w:spacing w:after="120"/>
    </w:pPr>
    <w:rPr>
      <w:b w:val="0"/>
    </w:rPr>
  </w:style>
  <w:style w:type="paragraph" w:customStyle="1" w:styleId="FigureNo">
    <w:name w:val="Figure_No"/>
    <w:basedOn w:val="Normal"/>
    <w:next w:val="Figuretitle"/>
    <w:rsid w:val="009D5955"/>
    <w:pPr>
      <w:keepNext/>
      <w:keepLines/>
      <w:spacing w:before="480" w:after="120"/>
      <w:jc w:val="center"/>
    </w:pPr>
    <w:rPr>
      <w:caps/>
    </w:rPr>
  </w:style>
  <w:style w:type="paragraph" w:customStyle="1" w:styleId="firstfooter0">
    <w:name w:val="firstfooter"/>
    <w:basedOn w:val="Normal"/>
    <w:rsid w:val="00732045"/>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eastAsia="SimSun"/>
      <w:szCs w:val="24"/>
      <w:lang w:val="en-US" w:eastAsia="zh-CN"/>
    </w:rPr>
  </w:style>
  <w:style w:type="paragraph" w:customStyle="1" w:styleId="Subtitle">
    <w:name w:val="Sub_title"/>
    <w:basedOn w:val="Normal"/>
    <w:qFormat/>
    <w:rsid w:val="00A51849"/>
    <w:pPr>
      <w:framePr w:hSpace="180" w:wrap="around" w:hAnchor="page" w:x="1821" w:y="2317"/>
      <w:spacing w:after="160"/>
    </w:pPr>
    <w:rPr>
      <w:sz w:val="34"/>
      <w:lang w:val="en-GB"/>
    </w:rPr>
  </w:style>
  <w:style w:type="character" w:customStyle="1" w:styleId="HeaderChar">
    <w:name w:val="Header Char"/>
    <w:basedOn w:val="DefaultParagraphFont"/>
    <w:link w:val="Header"/>
    <w:uiPriority w:val="99"/>
    <w:rsid w:val="00A51849"/>
    <w:rPr>
      <w:rFonts w:ascii="Calibri" w:hAnsi="Calibri"/>
      <w:sz w:val="18"/>
      <w:lang w:val="fr-FR" w:eastAsia="en-US"/>
    </w:rPr>
  </w:style>
  <w:style w:type="table" w:styleId="TableGrid">
    <w:name w:val="Table Grid"/>
    <w:basedOn w:val="TableNormal"/>
    <w:uiPriority w:val="39"/>
    <w:rsid w:val="00A51849"/>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95647"/>
    <w:rPr>
      <w:rFonts w:ascii="Calibri" w:hAnsi="Calibri"/>
      <w:sz w:val="24"/>
      <w:lang w:val="fr-FR" w:eastAsia="en-US"/>
    </w:rPr>
  </w:style>
  <w:style w:type="character" w:styleId="PlaceholderText">
    <w:name w:val="Placeholder Text"/>
    <w:basedOn w:val="DefaultParagraphFont"/>
    <w:uiPriority w:val="99"/>
    <w:semiHidden/>
    <w:rsid w:val="00FC6D7D"/>
    <w:rPr>
      <w:color w:val="666666"/>
    </w:rPr>
  </w:style>
  <w:style w:type="character" w:styleId="UnresolvedMention">
    <w:name w:val="Unresolved Mention"/>
    <w:basedOn w:val="DefaultParagraphFont"/>
    <w:uiPriority w:val="99"/>
    <w:semiHidden/>
    <w:unhideWhenUsed/>
    <w:rsid w:val="00FC6D7D"/>
    <w:rPr>
      <w:color w:val="605E5C"/>
      <w:shd w:val="clear" w:color="auto" w:fill="E1DFDD"/>
    </w:rPr>
  </w:style>
  <w:style w:type="paragraph" w:customStyle="1" w:styleId="Referencetext">
    <w:name w:val="Reference_text"/>
    <w:basedOn w:val="Normal"/>
    <w:rsid w:val="00CE5172"/>
    <w:pPr>
      <w:framePr w:hSpace="181" w:wrap="around" w:vAnchor="page" w:hAnchor="page" w:x="1589" w:y="2314"/>
      <w:spacing w:after="160"/>
    </w:pPr>
    <w:rPr>
      <w:i/>
      <w:iCs/>
      <w:sz w:val="22"/>
      <w:szCs w:val="22"/>
    </w:rPr>
  </w:style>
  <w:style w:type="paragraph" w:customStyle="1" w:styleId="Summary-Record">
    <w:name w:val="Summary-Record"/>
    <w:basedOn w:val="Source"/>
    <w:rsid w:val="002C1E07"/>
    <w:pPr>
      <w:framePr w:hSpace="181" w:wrap="around" w:vAnchor="page" w:hAnchor="page" w:x="1589" w:y="2314"/>
      <w:spacing w:before="240" w:after="120"/>
    </w:pPr>
    <w:rPr>
      <w:sz w:val="34"/>
      <w:szCs w:val="3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tu.int/md/S26-CL-260428-TD-0001/fr" TargetMode="External"/><Relationship Id="rId13" Type="http://schemas.openxmlformats.org/officeDocument/2006/relationships/hyperlink" Target="https://www.itu.int/en/osg/Pages/Speeches.aspx?ItemID=82" TargetMode="External"/><Relationship Id="rId18" Type="http://schemas.openxmlformats.org/officeDocument/2006/relationships/hyperlink" Target="http://council.itu.int/2026/wp-content/uploads/sites/6/2026/07/26.04.28-Italy_EU-PL0.pdf"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itu.int/md/S26-CL-260428-TD-0002/fr" TargetMode="External"/><Relationship Id="rId7" Type="http://schemas.openxmlformats.org/officeDocument/2006/relationships/hyperlink" Target="https://www.itu.int/md/S26-CL-C-0001/fr" TargetMode="External"/><Relationship Id="rId12" Type="http://schemas.openxmlformats.org/officeDocument/2006/relationships/hyperlink" Target="https://council.itu.int/2026/wp-content/uploads/sites/6/2026/06/26.04.28-C26-Chair-speech-inaugural.pdf" TargetMode="External"/><Relationship Id="rId17" Type="http://schemas.openxmlformats.org/officeDocument/2006/relationships/hyperlink" Target="http://council.itu.int/2026/wp-content/uploads/sites/6/2026/07/26.04.28-E-Cuba-HE_Ernesto-Rodriguez-speech-PL0.pdf"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council.itu.int/2026/wp-content/uploads/sites/6/2026/07/26.04.28-E-Saudi-Arabia-PL0.pdf" TargetMode="External"/><Relationship Id="rId20" Type="http://schemas.openxmlformats.org/officeDocument/2006/relationships/hyperlink" Target="https://www.itu.int/md/S26-CL-260428-TD-0001/f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uncil.itu.int/2026/wp-content/uploads/sites/6/2026/02/26.04.28-C25-Chair-speech-PL0.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council.itu.int/2026/wp-content/uploads/sites/6/2026/06/26.04.28-Turkiye-HE_Dr_Fatih_Sayan-speech-PL0.pdf"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www.itu.int/md/S26-CL-C-0028/fr" TargetMode="External"/><Relationship Id="rId19" Type="http://schemas.openxmlformats.org/officeDocument/2006/relationships/hyperlink" Target="https://www.itu.int/md/S26-CL-C-0001/fr" TargetMode="External"/><Relationship Id="rId4" Type="http://schemas.openxmlformats.org/officeDocument/2006/relationships/webSettings" Target="webSettings.xml"/><Relationship Id="rId9" Type="http://schemas.openxmlformats.org/officeDocument/2006/relationships/hyperlink" Target="https://www.itu.int/md/S26-CL-260428-TD-0002/fr" TargetMode="External"/><Relationship Id="rId14" Type="http://schemas.openxmlformats.org/officeDocument/2006/relationships/hyperlink" Target="https://council.itu.int/2026/wp-content/uploads/sites/6/2026/06/26.04.28-E-Policy-statement-MIIT-of-China-PL0.pdf" TargetMode="External"/><Relationship Id="rId22" Type="http://schemas.openxmlformats.org/officeDocument/2006/relationships/hyperlink" Target="https://www.itu.int/md/S26-CL-C-0028/fr"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hyperlink" Target="https://council.itu.int/2026/e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R:\TEMPLATE\ITUOffice2007\POOL\POOL%20F%20-%20ITU\SG\PF_Council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PF_Council26.dotx</Template>
  <TotalTime>7</TotalTime>
  <Pages>6</Pages>
  <Words>2590</Words>
  <Characters>15362</Characters>
  <Application>Microsoft Office Word</Application>
  <DocSecurity>0</DocSecurity>
  <Lines>295</Lines>
  <Paragraphs>133</Paragraphs>
  <ScaleCrop>false</ScaleCrop>
  <HeadingPairs>
    <vt:vector size="2" baseType="variant">
      <vt:variant>
        <vt:lpstr>Title</vt:lpstr>
      </vt:variant>
      <vt:variant>
        <vt:i4>1</vt:i4>
      </vt:variant>
    </vt:vector>
  </HeadingPairs>
  <TitlesOfParts>
    <vt:vector size="1" baseType="lpstr">
      <vt:lpstr/>
    </vt:vector>
  </TitlesOfParts>
  <Manager>Secrétariat général - Pool</Manager>
  <Company>Union internationale des télécommunications (UIT)</Company>
  <LinksUpToDate>false</LinksUpToDate>
  <CharactersWithSpaces>17819</CharactersWithSpaces>
  <SharedDoc>false</SharedDoc>
  <HLinks>
    <vt:vector size="6" baseType="variant">
      <vt:variant>
        <vt:i4>3342371</vt:i4>
      </vt:variant>
      <vt:variant>
        <vt:i4>24</vt:i4>
      </vt:variant>
      <vt:variant>
        <vt:i4>0</vt:i4>
      </vt:variant>
      <vt:variant>
        <vt:i4>5</vt:i4>
      </vt:variant>
      <vt:variant>
        <vt:lpwstr>http://www.itu.int/council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Compte rendu de la séance plénière inaugurale</dc:title>
  <dc:subject>Conseil 2026 de l'UIT</dc:subject>
  <cp:keywords>C26; C2026; Council 2026; PP26</cp:keywords>
  <dc:description/>
  <cp:lastPrinted>2000-07-18T08:55:00Z</cp:lastPrinted>
  <dcterms:created xsi:type="dcterms:W3CDTF">2026-08-04T15:21:00Z</dcterms:created>
  <dcterms:modified xsi:type="dcterms:W3CDTF">2026-08-04T15:32:00Z</dcterms:modified>
  <cp:category>Document de conférence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Document C17/-F</vt:lpwstr>
  </property>
  <property fmtid="{D5CDD505-2E9C-101B-9397-08002B2CF9AE}" pid="3" name="Docdate">
    <vt:lpwstr>janvier 2017</vt:lpwstr>
  </property>
  <property fmtid="{D5CDD505-2E9C-101B-9397-08002B2CF9AE}" pid="4" name="Docorlang">
    <vt:lpwstr>Original: anglais</vt:lpwstr>
  </property>
  <property fmtid="{D5CDD505-2E9C-101B-9397-08002B2CF9AE}" pid="5" name="Docbluepink">
    <vt:lpwstr/>
  </property>
  <property fmtid="{D5CDD505-2E9C-101B-9397-08002B2CF9AE}" pid="6" name="Docdest">
    <vt:lpwstr/>
  </property>
  <property fmtid="{D5CDD505-2E9C-101B-9397-08002B2CF9AE}" pid="7" name="Docauthor">
    <vt:lpwstr/>
  </property>
  <property fmtid="{D5CDD505-2E9C-101B-9397-08002B2CF9AE}" pid="8" name="GrammarlyDocumentId">
    <vt:lpwstr>3b117b70c20e9b2783321a6b7cab6c2f080bb257cb74c6787543e88ec12dc3bd</vt:lpwstr>
  </property>
</Properties>
</file>