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1D759A" w14:paraId="7D4B8440" w14:textId="77777777" w:rsidTr="00C4421B">
        <w:trPr>
          <w:cantSplit/>
          <w:trHeight w:val="23"/>
        </w:trPr>
        <w:tc>
          <w:tcPr>
            <w:tcW w:w="3969" w:type="dxa"/>
            <w:vMerge w:val="restart"/>
            <w:tcMar>
              <w:left w:w="0" w:type="dxa"/>
            </w:tcMar>
          </w:tcPr>
          <w:p w14:paraId="4E85AF90" w14:textId="36BBA79E" w:rsidR="00FE57F6" w:rsidRPr="001D759A" w:rsidRDefault="00FE57F6" w:rsidP="00C4421B">
            <w:pPr>
              <w:tabs>
                <w:tab w:val="left" w:pos="851"/>
              </w:tabs>
              <w:spacing w:before="0" w:line="240" w:lineRule="atLeast"/>
              <w:rPr>
                <w:b/>
                <w:lang w:val="es-ES"/>
              </w:rPr>
            </w:pPr>
            <w:bookmarkStart w:id="0" w:name="_Hlk133421839"/>
          </w:p>
        </w:tc>
        <w:tc>
          <w:tcPr>
            <w:tcW w:w="5245" w:type="dxa"/>
          </w:tcPr>
          <w:p w14:paraId="79AD02A6" w14:textId="7F82D75A" w:rsidR="00FE57F6" w:rsidRPr="001D759A" w:rsidRDefault="00FE57F6" w:rsidP="00C4421B">
            <w:pPr>
              <w:tabs>
                <w:tab w:val="left" w:pos="851"/>
              </w:tabs>
              <w:spacing w:before="0" w:line="240" w:lineRule="atLeast"/>
              <w:jc w:val="right"/>
              <w:rPr>
                <w:b/>
                <w:lang w:val="es-ES"/>
              </w:rPr>
            </w:pPr>
            <w:r w:rsidRPr="001D759A">
              <w:rPr>
                <w:b/>
                <w:lang w:val="es-ES"/>
              </w:rPr>
              <w:t>Document</w:t>
            </w:r>
            <w:r w:rsidR="00F24B71" w:rsidRPr="001D759A">
              <w:rPr>
                <w:b/>
                <w:lang w:val="es-ES"/>
              </w:rPr>
              <w:t>o</w:t>
            </w:r>
            <w:r w:rsidRPr="001D759A">
              <w:rPr>
                <w:b/>
                <w:lang w:val="es-ES"/>
              </w:rPr>
              <w:t xml:space="preserve"> C2</w:t>
            </w:r>
            <w:r w:rsidR="00F85E5C" w:rsidRPr="001D759A">
              <w:rPr>
                <w:b/>
                <w:lang w:val="es-ES"/>
              </w:rPr>
              <w:t>6</w:t>
            </w:r>
            <w:r w:rsidRPr="001D759A">
              <w:rPr>
                <w:b/>
                <w:lang w:val="es-ES"/>
              </w:rPr>
              <w:t>/</w:t>
            </w:r>
            <w:r w:rsidR="00E25BFD" w:rsidRPr="001D759A">
              <w:rPr>
                <w:b/>
                <w:lang w:val="es-ES"/>
              </w:rPr>
              <w:t>116</w:t>
            </w:r>
            <w:r w:rsidRPr="001D759A">
              <w:rPr>
                <w:b/>
                <w:lang w:val="es-ES"/>
              </w:rPr>
              <w:t>-</w:t>
            </w:r>
            <w:r w:rsidR="00F24B71" w:rsidRPr="001D759A">
              <w:rPr>
                <w:b/>
                <w:lang w:val="es-ES"/>
              </w:rPr>
              <w:t>S</w:t>
            </w:r>
          </w:p>
        </w:tc>
      </w:tr>
      <w:tr w:rsidR="00FE57F6" w:rsidRPr="001D759A" w14:paraId="53897792" w14:textId="77777777" w:rsidTr="00C4421B">
        <w:trPr>
          <w:cantSplit/>
        </w:trPr>
        <w:tc>
          <w:tcPr>
            <w:tcW w:w="3969" w:type="dxa"/>
            <w:vMerge/>
          </w:tcPr>
          <w:p w14:paraId="551D8575" w14:textId="77777777" w:rsidR="00FE57F6" w:rsidRPr="001D759A" w:rsidRDefault="00FE57F6" w:rsidP="00C4421B">
            <w:pPr>
              <w:tabs>
                <w:tab w:val="left" w:pos="851"/>
              </w:tabs>
              <w:spacing w:line="240" w:lineRule="atLeast"/>
              <w:rPr>
                <w:b/>
                <w:lang w:val="es-ES"/>
              </w:rPr>
            </w:pPr>
          </w:p>
        </w:tc>
        <w:tc>
          <w:tcPr>
            <w:tcW w:w="5245" w:type="dxa"/>
          </w:tcPr>
          <w:p w14:paraId="6895BD3B" w14:textId="48CD2EDB" w:rsidR="00FE57F6" w:rsidRPr="001D759A" w:rsidRDefault="00A46732" w:rsidP="00C4421B">
            <w:pPr>
              <w:tabs>
                <w:tab w:val="left" w:pos="851"/>
              </w:tabs>
              <w:spacing w:before="0"/>
              <w:jc w:val="right"/>
              <w:rPr>
                <w:b/>
                <w:lang w:val="es-ES"/>
              </w:rPr>
            </w:pPr>
            <w:r>
              <w:rPr>
                <w:b/>
                <w:lang w:val="es-ES"/>
              </w:rPr>
              <w:t>8</w:t>
            </w:r>
            <w:r w:rsidR="00E25BFD" w:rsidRPr="001D759A">
              <w:rPr>
                <w:b/>
                <w:lang w:val="es-ES"/>
              </w:rPr>
              <w:t xml:space="preserve"> de mayo de 2026</w:t>
            </w:r>
          </w:p>
        </w:tc>
      </w:tr>
      <w:tr w:rsidR="00FE57F6" w:rsidRPr="001D759A" w14:paraId="7FA32E3F" w14:textId="77777777" w:rsidTr="00C4421B">
        <w:trPr>
          <w:cantSplit/>
          <w:trHeight w:val="23"/>
        </w:trPr>
        <w:tc>
          <w:tcPr>
            <w:tcW w:w="3969" w:type="dxa"/>
            <w:vMerge/>
          </w:tcPr>
          <w:p w14:paraId="5BBCEE89" w14:textId="77777777" w:rsidR="00FE57F6" w:rsidRPr="001D759A" w:rsidRDefault="00FE57F6" w:rsidP="00C4421B">
            <w:pPr>
              <w:tabs>
                <w:tab w:val="left" w:pos="851"/>
              </w:tabs>
              <w:spacing w:line="240" w:lineRule="atLeast"/>
              <w:rPr>
                <w:b/>
                <w:lang w:val="es-ES"/>
              </w:rPr>
            </w:pPr>
          </w:p>
        </w:tc>
        <w:tc>
          <w:tcPr>
            <w:tcW w:w="5245" w:type="dxa"/>
          </w:tcPr>
          <w:p w14:paraId="7A17D715" w14:textId="77777777" w:rsidR="00FE57F6" w:rsidRPr="001D759A" w:rsidRDefault="00F24B71" w:rsidP="00C4421B">
            <w:pPr>
              <w:tabs>
                <w:tab w:val="left" w:pos="851"/>
              </w:tabs>
              <w:spacing w:before="0" w:line="240" w:lineRule="atLeast"/>
              <w:jc w:val="right"/>
              <w:rPr>
                <w:b/>
                <w:bCs/>
                <w:lang w:val="es-ES"/>
              </w:rPr>
            </w:pPr>
            <w:r w:rsidRPr="001D759A">
              <w:rPr>
                <w:rFonts w:cstheme="minorHAnsi"/>
                <w:b/>
                <w:bCs/>
                <w:lang w:val="es-ES"/>
              </w:rPr>
              <w:t>Original: inglés</w:t>
            </w:r>
          </w:p>
        </w:tc>
      </w:tr>
      <w:tr w:rsidR="00FE57F6" w:rsidRPr="001D759A" w14:paraId="06EE7F3D" w14:textId="77777777" w:rsidTr="00C4421B">
        <w:trPr>
          <w:cantSplit/>
          <w:trHeight w:val="23"/>
        </w:trPr>
        <w:tc>
          <w:tcPr>
            <w:tcW w:w="3969" w:type="dxa"/>
          </w:tcPr>
          <w:p w14:paraId="32321D33" w14:textId="77777777" w:rsidR="00FE57F6" w:rsidRPr="001D759A" w:rsidRDefault="00FE57F6" w:rsidP="00C4421B">
            <w:pPr>
              <w:tabs>
                <w:tab w:val="left" w:pos="851"/>
              </w:tabs>
              <w:spacing w:line="240" w:lineRule="atLeast"/>
              <w:rPr>
                <w:b/>
                <w:lang w:val="es-ES"/>
              </w:rPr>
            </w:pPr>
          </w:p>
        </w:tc>
        <w:tc>
          <w:tcPr>
            <w:tcW w:w="5245" w:type="dxa"/>
          </w:tcPr>
          <w:p w14:paraId="4797002C" w14:textId="77777777" w:rsidR="00FE57F6" w:rsidRPr="001D759A" w:rsidRDefault="00FE57F6" w:rsidP="00C4421B">
            <w:pPr>
              <w:tabs>
                <w:tab w:val="left" w:pos="851"/>
              </w:tabs>
              <w:spacing w:before="0" w:line="240" w:lineRule="atLeast"/>
              <w:jc w:val="right"/>
              <w:rPr>
                <w:b/>
                <w:lang w:val="es-ES"/>
              </w:rPr>
            </w:pPr>
          </w:p>
        </w:tc>
      </w:tr>
    </w:tbl>
    <w:bookmarkEnd w:id="0"/>
    <w:p w14:paraId="36CF13E8" w14:textId="0190EEDE" w:rsidR="00FF5D6E" w:rsidRPr="001D759A" w:rsidRDefault="00FF5D6E" w:rsidP="00FF5D6E">
      <w:pPr>
        <w:pStyle w:val="Subtitle"/>
        <w:framePr w:hSpace="0" w:wrap="auto" w:hAnchor="text" w:xAlign="left" w:yAlign="inline"/>
        <w:jc w:val="center"/>
        <w:rPr>
          <w:rFonts w:eastAsia="SimSun"/>
          <w:lang w:val="es-ES" w:eastAsia="zh-CN"/>
        </w:rPr>
      </w:pPr>
      <w:r w:rsidRPr="001D759A">
        <w:rPr>
          <w:rFonts w:eastAsia="SimSun"/>
          <w:lang w:val="es-ES" w:eastAsia="zh-CN"/>
        </w:rPr>
        <w:t>INFORME DEL PRESIDENTE DE LA COMISIÓN PERMANENTE SOBRE ADMINISTRACIÓN Y GESTIÓN</w:t>
      </w:r>
    </w:p>
    <w:p w14:paraId="7DE5BECD" w14:textId="6FE94E77" w:rsidR="00ED2477" w:rsidRPr="001D759A" w:rsidRDefault="00ED2477" w:rsidP="00ED2477">
      <w:pPr>
        <w:pStyle w:val="Normalaftertitle"/>
        <w:rPr>
          <w:rFonts w:eastAsia="SimSun"/>
          <w:lang w:val="es-ES" w:eastAsia="zh-CN"/>
        </w:rPr>
      </w:pPr>
      <w:r w:rsidRPr="001D759A">
        <w:rPr>
          <w:rFonts w:eastAsia="SimSun"/>
          <w:lang w:val="es-ES" w:eastAsia="zh-CN"/>
        </w:rPr>
        <w:t xml:space="preserve">La Comisión Permanente sobre Administración y Gestión celebró </w:t>
      </w:r>
      <w:r w:rsidR="0082781E" w:rsidRPr="005936CB">
        <w:rPr>
          <w:rFonts w:eastAsia="SimSun"/>
          <w:lang w:val="es-ES" w:eastAsia="zh-CN"/>
        </w:rPr>
        <w:t>10</w:t>
      </w:r>
      <w:r w:rsidRPr="001D759A">
        <w:rPr>
          <w:rFonts w:eastAsia="SimSun"/>
          <w:lang w:val="es-ES" w:eastAsia="zh-CN"/>
        </w:rPr>
        <w:t xml:space="preserve"> sesiones en las que se examinaron y consideraron </w:t>
      </w:r>
      <w:r w:rsidR="0082781E" w:rsidRPr="005936CB">
        <w:rPr>
          <w:rFonts w:eastAsia="SimSun"/>
          <w:lang w:val="es-ES" w:eastAsia="zh-CN"/>
        </w:rPr>
        <w:t>90</w:t>
      </w:r>
      <w:r w:rsidR="0082781E" w:rsidRPr="001D759A">
        <w:rPr>
          <w:rFonts w:eastAsia="SimSun"/>
          <w:lang w:val="es-ES" w:eastAsia="zh-CN"/>
        </w:rPr>
        <w:t> </w:t>
      </w:r>
      <w:r w:rsidRPr="001D759A">
        <w:rPr>
          <w:rFonts w:eastAsia="SimSun"/>
          <w:lang w:val="es-ES" w:eastAsia="zh-CN"/>
        </w:rPr>
        <w:t xml:space="preserve">documentos, de los cuales </w:t>
      </w:r>
      <w:r w:rsidR="008756B4">
        <w:rPr>
          <w:rFonts w:eastAsia="SimSun"/>
          <w:lang w:val="es-ES" w:eastAsia="zh-CN"/>
        </w:rPr>
        <w:t>31</w:t>
      </w:r>
      <w:r w:rsidRPr="001D759A">
        <w:rPr>
          <w:rFonts w:eastAsia="SimSun"/>
          <w:lang w:val="es-ES" w:eastAsia="zh-CN"/>
        </w:rPr>
        <w:t xml:space="preserve"> eran documentos informativos (INF)</w:t>
      </w:r>
      <w:r w:rsidR="00556EA6">
        <w:rPr>
          <w:rFonts w:eastAsia="SimSun"/>
          <w:lang w:val="es-ES" w:eastAsia="zh-CN"/>
        </w:rPr>
        <w:t xml:space="preserve"> y</w:t>
      </w:r>
      <w:r w:rsidRPr="001D759A">
        <w:rPr>
          <w:rFonts w:eastAsia="SimSun"/>
          <w:lang w:val="es-ES" w:eastAsia="zh-CN"/>
        </w:rPr>
        <w:t xml:space="preserve"> </w:t>
      </w:r>
      <w:r w:rsidR="008756B4">
        <w:rPr>
          <w:rFonts w:eastAsia="SimSun"/>
          <w:lang w:val="es-ES" w:eastAsia="zh-CN"/>
        </w:rPr>
        <w:t>2</w:t>
      </w:r>
      <w:r w:rsidRPr="001D759A">
        <w:rPr>
          <w:rFonts w:eastAsia="SimSun"/>
          <w:lang w:val="es-ES" w:eastAsia="zh-CN"/>
        </w:rPr>
        <w:t xml:space="preserve"> documentos temporales (DT). La Comisión recomienda </w:t>
      </w:r>
      <w:r w:rsidR="00FB7200" w:rsidRPr="001D759A">
        <w:rPr>
          <w:rFonts w:eastAsia="SimSun"/>
          <w:lang w:val="es-ES" w:eastAsia="zh-CN"/>
        </w:rPr>
        <w:t>a</w:t>
      </w:r>
      <w:r w:rsidRPr="001D759A">
        <w:rPr>
          <w:rFonts w:eastAsia="SimSun"/>
          <w:lang w:val="es-ES" w:eastAsia="zh-CN"/>
        </w:rPr>
        <w:t xml:space="preserve">l Consejo de </w:t>
      </w:r>
      <w:r w:rsidR="00103D78">
        <w:rPr>
          <w:rFonts w:eastAsia="SimSun"/>
          <w:lang w:val="es-ES" w:eastAsia="zh-CN"/>
        </w:rPr>
        <w:t>la UIT</w:t>
      </w:r>
      <w:r w:rsidRPr="001D759A">
        <w:rPr>
          <w:rFonts w:eastAsia="SimSun"/>
          <w:lang w:val="es-ES" w:eastAsia="zh-CN"/>
        </w:rPr>
        <w:t xml:space="preserve"> </w:t>
      </w:r>
      <w:r w:rsidR="00FB7200" w:rsidRPr="001D759A">
        <w:rPr>
          <w:rFonts w:eastAsia="SimSun"/>
          <w:lang w:val="es-ES" w:eastAsia="zh-CN"/>
        </w:rPr>
        <w:t xml:space="preserve">que </w:t>
      </w:r>
      <w:r w:rsidRPr="001D759A">
        <w:rPr>
          <w:rFonts w:eastAsia="SimSun"/>
          <w:lang w:val="es-ES" w:eastAsia="zh-CN"/>
        </w:rPr>
        <w:t xml:space="preserve">adopte las </w:t>
      </w:r>
      <w:r w:rsidR="00A57AB5" w:rsidRPr="006C46B3">
        <w:rPr>
          <w:rFonts w:eastAsia="SimSun"/>
          <w:lang w:val="es-ES" w:eastAsia="zh-CN"/>
        </w:rPr>
        <w:t>3</w:t>
      </w:r>
      <w:r w:rsidR="00A57AB5" w:rsidRPr="001D759A">
        <w:rPr>
          <w:rFonts w:eastAsia="SimSun"/>
          <w:lang w:val="es-ES" w:eastAsia="zh-CN"/>
        </w:rPr>
        <w:t> </w:t>
      </w:r>
      <w:r w:rsidRPr="001D759A">
        <w:rPr>
          <w:rFonts w:eastAsia="SimSun"/>
          <w:lang w:val="es-ES" w:eastAsia="zh-CN"/>
        </w:rPr>
        <w:t xml:space="preserve">Resoluciones y </w:t>
      </w:r>
      <w:r w:rsidR="00A57AB5" w:rsidRPr="006C46B3">
        <w:rPr>
          <w:rFonts w:eastAsia="SimSun"/>
          <w:lang w:val="es-ES" w:eastAsia="zh-CN"/>
        </w:rPr>
        <w:t>2</w:t>
      </w:r>
      <w:r w:rsidR="00A57AB5" w:rsidRPr="001D759A">
        <w:rPr>
          <w:rFonts w:eastAsia="SimSun"/>
          <w:lang w:val="es-ES" w:eastAsia="zh-CN"/>
        </w:rPr>
        <w:t> </w:t>
      </w:r>
      <w:r w:rsidRPr="001D759A">
        <w:rPr>
          <w:rFonts w:eastAsia="SimSun"/>
          <w:lang w:val="es-ES" w:eastAsia="zh-CN"/>
        </w:rPr>
        <w:t>Acuerdos anexos al presente Informe.</w:t>
      </w:r>
    </w:p>
    <w:p w14:paraId="55818489" w14:textId="77777777" w:rsidR="00ED2477" w:rsidRPr="001D759A" w:rsidRDefault="00ED2477" w:rsidP="00ED2477">
      <w:pPr>
        <w:pStyle w:val="Heading1"/>
        <w:rPr>
          <w:lang w:val="es-ES"/>
        </w:rPr>
      </w:pPr>
      <w:r w:rsidRPr="001D759A">
        <w:rPr>
          <w:lang w:val="es-ES"/>
        </w:rPr>
        <w:t>1</w:t>
      </w:r>
      <w:r w:rsidRPr="001D759A">
        <w:rPr>
          <w:lang w:val="es-ES"/>
        </w:rPr>
        <w:tab/>
        <w:t xml:space="preserve">Declaración del Consejo del Personal (Documento </w:t>
      </w:r>
      <w:hyperlink r:id="rId8" w:history="1">
        <w:r w:rsidRPr="001D759A">
          <w:rPr>
            <w:rStyle w:val="Hyperlink"/>
            <w:lang w:val="es-ES"/>
          </w:rPr>
          <w:t>C26/INF/26</w:t>
        </w:r>
      </w:hyperlink>
      <w:r w:rsidRPr="001D759A">
        <w:rPr>
          <w:lang w:val="es-ES"/>
        </w:rPr>
        <w:t>)</w:t>
      </w:r>
    </w:p>
    <w:p w14:paraId="64C66A36" w14:textId="5496D6F8" w:rsidR="00ED2477" w:rsidRPr="001D759A" w:rsidRDefault="00ED2477" w:rsidP="00ED2477">
      <w:pPr>
        <w:pStyle w:val="Normalaftertitle"/>
        <w:rPr>
          <w:rFonts w:eastAsia="Calibri" w:cs="Calibri"/>
          <w:lang w:val="es-ES"/>
        </w:rPr>
      </w:pPr>
      <w:r w:rsidRPr="001D759A">
        <w:rPr>
          <w:lang w:val="es-ES"/>
        </w:rPr>
        <w:t>1.1</w:t>
      </w:r>
      <w:r w:rsidRPr="001D759A">
        <w:rPr>
          <w:lang w:val="es-ES"/>
        </w:rPr>
        <w:tab/>
        <w:t>De conformidad con la Resolución</w:t>
      </w:r>
      <w:r w:rsidRPr="001D759A">
        <w:rPr>
          <w:rFonts w:eastAsia="Calibri" w:cs="Calibri"/>
          <w:lang w:val="es-ES"/>
        </w:rPr>
        <w:t xml:space="preserve"> 51 (Rev. </w:t>
      </w:r>
      <w:r w:rsidR="004D28AD" w:rsidRPr="001D759A">
        <w:rPr>
          <w:rFonts w:eastAsia="Calibri" w:cs="Calibri"/>
          <w:lang w:val="es-ES"/>
        </w:rPr>
        <w:t>Mineápolis</w:t>
      </w:r>
      <w:r w:rsidRPr="001D759A">
        <w:rPr>
          <w:rFonts w:eastAsia="Calibri" w:cs="Calibri"/>
          <w:lang w:val="es-ES"/>
        </w:rPr>
        <w:t xml:space="preserve">, 1998) de la Conferencia de Plenipotenciarios, el Sr. Onder Cetinkaya, Presidente del Consejo del Personal de </w:t>
      </w:r>
      <w:r w:rsidR="00103D78">
        <w:rPr>
          <w:rFonts w:eastAsia="Calibri" w:cs="Calibri"/>
          <w:lang w:val="es-ES"/>
        </w:rPr>
        <w:t>la UIT</w:t>
      </w:r>
      <w:r w:rsidRPr="001D759A">
        <w:rPr>
          <w:rFonts w:eastAsia="Calibri" w:cs="Calibri"/>
          <w:lang w:val="es-ES"/>
        </w:rPr>
        <w:t xml:space="preserve">, formuló una declaración cuyo texto figura en el Documento </w:t>
      </w:r>
      <w:r w:rsidRPr="001D759A">
        <w:rPr>
          <w:rFonts w:eastAsia="Calibri" w:cstheme="minorBidi"/>
          <w:szCs w:val="22"/>
          <w:lang w:val="es-ES"/>
        </w:rPr>
        <w:t>C26/INF/26</w:t>
      </w:r>
      <w:r w:rsidRPr="001D759A">
        <w:rPr>
          <w:rFonts w:eastAsia="Calibri" w:cs="Calibri"/>
          <w:lang w:val="es-ES"/>
        </w:rPr>
        <w:t>.</w:t>
      </w:r>
    </w:p>
    <w:p w14:paraId="2AE58FC8" w14:textId="2D92631F" w:rsidR="00ED2477" w:rsidRPr="001D759A" w:rsidRDefault="00ED2477" w:rsidP="00ED2477">
      <w:pPr>
        <w:rPr>
          <w:rFonts w:eastAsia="Calibri" w:cs="Calibri"/>
          <w:lang w:val="es-ES"/>
        </w:rPr>
      </w:pPr>
      <w:r w:rsidRPr="001D759A">
        <w:rPr>
          <w:rFonts w:eastAsia="Calibri" w:cs="Calibri"/>
          <w:szCs w:val="24"/>
          <w:lang w:val="es-ES"/>
        </w:rPr>
        <w:t>1.2</w:t>
      </w:r>
      <w:r w:rsidRPr="001D759A">
        <w:rPr>
          <w:lang w:val="es-ES"/>
        </w:rPr>
        <w:tab/>
        <w:t xml:space="preserve">La Secretaria General agradeció al Consejo del Personal su continua y constructiva colaboración con la dirección de </w:t>
      </w:r>
      <w:r w:rsidR="00103D78">
        <w:rPr>
          <w:lang w:val="es-ES"/>
        </w:rPr>
        <w:t>la UIT</w:t>
      </w:r>
      <w:r w:rsidRPr="001D759A">
        <w:rPr>
          <w:lang w:val="es-ES"/>
        </w:rPr>
        <w:t xml:space="preserve"> y los Estados Miembros y su abierta y declarada disposición a seguir trabajando juntos para reforzar </w:t>
      </w:r>
      <w:r w:rsidR="005457EE">
        <w:rPr>
          <w:lang w:val="es-ES"/>
        </w:rPr>
        <w:t>la Unión</w:t>
      </w:r>
      <w:r w:rsidRPr="001D759A">
        <w:rPr>
          <w:lang w:val="es-ES"/>
        </w:rPr>
        <w:t xml:space="preserve">. El personal es el principal activo de </w:t>
      </w:r>
      <w:r w:rsidR="00103D78">
        <w:rPr>
          <w:lang w:val="es-ES"/>
        </w:rPr>
        <w:t>la UIT</w:t>
      </w:r>
      <w:r w:rsidRPr="001D759A">
        <w:rPr>
          <w:lang w:val="es-ES"/>
        </w:rPr>
        <w:t xml:space="preserve">, sobre todo cuando ésta se encuentra bajo una importante presión. El bienestar y la implicación del personal siguen siendo una de las principales prioridades de la dirección de </w:t>
      </w:r>
      <w:r w:rsidR="00103D78">
        <w:rPr>
          <w:lang w:val="es-ES"/>
        </w:rPr>
        <w:t>la UIT</w:t>
      </w:r>
      <w:r w:rsidRPr="001D759A">
        <w:rPr>
          <w:lang w:val="es-ES"/>
        </w:rPr>
        <w:t xml:space="preserve">, que está tomando medidas para reforzar la salud mental y el bienestar del personal y crear una cultura institucional favorable, transparente y </w:t>
      </w:r>
      <w:proofErr w:type="spellStart"/>
      <w:r w:rsidRPr="001D759A">
        <w:rPr>
          <w:lang w:val="es-ES"/>
        </w:rPr>
        <w:t>empoderadora</w:t>
      </w:r>
      <w:proofErr w:type="spellEnd"/>
      <w:r w:rsidRPr="001D759A">
        <w:rPr>
          <w:rFonts w:eastAsia="Calibri" w:cs="Calibri"/>
          <w:lang w:val="es-ES"/>
        </w:rPr>
        <w:t>.</w:t>
      </w:r>
    </w:p>
    <w:p w14:paraId="43C9B04A" w14:textId="408BFDC8" w:rsidR="00ED2477" w:rsidRPr="001D759A" w:rsidRDefault="00ED2477" w:rsidP="00ED2477">
      <w:pPr>
        <w:rPr>
          <w:rFonts w:eastAsia="Calibri"/>
          <w:lang w:val="es-ES"/>
        </w:rPr>
      </w:pPr>
      <w:r w:rsidRPr="001D759A">
        <w:rPr>
          <w:rFonts w:eastAsia="Calibri"/>
          <w:lang w:val="es-ES"/>
        </w:rPr>
        <w:t>1.3</w:t>
      </w:r>
      <w:r w:rsidRPr="001D759A">
        <w:rPr>
          <w:rFonts w:eastAsia="Calibri"/>
          <w:lang w:val="es-ES"/>
        </w:rPr>
        <w:tab/>
        <w:t xml:space="preserve">Los consejeros acogieron con beneplácito la declaración del Presidente del Consejo del Personal y reconocieron el papel protagonista del personal en la reforma institucional, la superación de los retos y el cumplimiento de las expectativas de los Estados Miembros. Un consejero sugirió que se incluyan en el tablón digital de </w:t>
      </w:r>
      <w:r w:rsidR="00103D78">
        <w:rPr>
          <w:rFonts w:eastAsia="Calibri"/>
          <w:lang w:val="es-ES"/>
        </w:rPr>
        <w:t>la UIT</w:t>
      </w:r>
      <w:r w:rsidRPr="001D759A">
        <w:rPr>
          <w:rFonts w:eastAsia="Calibri"/>
          <w:lang w:val="es-ES"/>
        </w:rPr>
        <w:t xml:space="preserve"> los avances realizados en la implementación de las iniciativas adoptadas en respuesta a la Encuesta sobre la implicación de los empleados a fin de poder hacer un seguimiento de </w:t>
      </w:r>
      <w:proofErr w:type="gramStart"/>
      <w:r w:rsidRPr="001D759A">
        <w:rPr>
          <w:rFonts w:eastAsia="Calibri"/>
          <w:lang w:val="es-ES"/>
        </w:rPr>
        <w:t>los mismos</w:t>
      </w:r>
      <w:proofErr w:type="gramEnd"/>
      <w:r w:rsidRPr="001D759A">
        <w:rPr>
          <w:rFonts w:eastAsia="Calibri"/>
          <w:lang w:val="es-ES"/>
        </w:rPr>
        <w:t>. Otro consejero preguntó si el Consejo del Personal participa en el sistema jurídico interno, si cuenta con suficientes recursos y si existe un reglamento interno que proteja a los representantes del personal contra la discriminación y el trato perjudicial.</w:t>
      </w:r>
    </w:p>
    <w:p w14:paraId="2B7CEF69" w14:textId="2378DA8F" w:rsidR="00ED2477" w:rsidRPr="001D759A" w:rsidRDefault="00ED2477" w:rsidP="00ED2477">
      <w:pPr>
        <w:rPr>
          <w:lang w:val="es-ES"/>
        </w:rPr>
      </w:pPr>
      <w:r w:rsidRPr="001D759A">
        <w:rPr>
          <w:rFonts w:eastAsia="Calibri" w:cs="Calibri"/>
          <w:lang w:val="es-ES"/>
        </w:rPr>
        <w:t>1.4</w:t>
      </w:r>
      <w:r w:rsidRPr="001D759A">
        <w:rPr>
          <w:rFonts w:eastAsia="Calibri" w:cs="Calibri"/>
          <w:lang w:val="es-ES"/>
        </w:rPr>
        <w:tab/>
        <w:t xml:space="preserve">El Presidente del Consejo del Personal respondió a las observaciones de los consejeros diciendo que el Consejo del Personal ha participado en el examen de las sucesivas Órdenes de Servicio sobre el sistema jurídico interno, habiéndose </w:t>
      </w:r>
      <w:r w:rsidRPr="001D759A">
        <w:rPr>
          <w:lang w:val="es-ES"/>
        </w:rPr>
        <w:t>tenido</w:t>
      </w:r>
      <w:r w:rsidRPr="001D759A">
        <w:rPr>
          <w:rFonts w:eastAsia="Calibri" w:cs="Calibri"/>
          <w:lang w:val="es-ES"/>
        </w:rPr>
        <w:t xml:space="preserve"> en cuenta muchas de sus opiniones. El aumento del número de investigaciones puede atribuirse a la reciente creación de la Función de Supervisión. La postura del Consejo del Personal con respecto a la resolución de conflictos es clara: cuando un miembro del personal se dirige a él buscando consejo, se asegura de orientarlo hacia el canal adecuado. La creación de la función del Ombudsman es particularmente relevante. Los retos que afronta el personal en el terreno </w:t>
      </w:r>
      <w:r w:rsidRPr="001D759A">
        <w:rPr>
          <w:rFonts w:eastAsia="Calibri" w:cs="Calibri"/>
          <w:lang w:val="es-ES"/>
        </w:rPr>
        <w:lastRenderedPageBreak/>
        <w:t>son múltiples y variados. Los 2</w:t>
      </w:r>
      <w:r w:rsidR="00322B95">
        <w:rPr>
          <w:rFonts w:eastAsia="Calibri" w:cs="Calibri"/>
          <w:lang w:val="es-ES"/>
        </w:rPr>
        <w:t>0</w:t>
      </w:r>
      <w:r w:rsidRPr="001D759A">
        <w:rPr>
          <w:rFonts w:eastAsia="Calibri" w:cs="Calibri"/>
          <w:lang w:val="es-ES"/>
        </w:rPr>
        <w:t xml:space="preserve"> miembros del Consejo del Personal, procedentes de toda </w:t>
      </w:r>
      <w:r w:rsidR="005457EE">
        <w:rPr>
          <w:rFonts w:eastAsia="Calibri" w:cs="Calibri"/>
          <w:lang w:val="es-ES"/>
        </w:rPr>
        <w:t>la Unión</w:t>
      </w:r>
      <w:r w:rsidRPr="001D759A">
        <w:rPr>
          <w:rFonts w:eastAsia="Calibri" w:cs="Calibri"/>
          <w:lang w:val="es-ES"/>
        </w:rPr>
        <w:t xml:space="preserve">, se esfuerzan por aprovechar los conocimientos y experiencia del personal, independientemente de su grado y lugar de destino, para garantizar que el Consejo del Personal representa verdaderamente a todo el personal. Por último, la disponibilidad de recursos es esencial, pues las decisiones que se están tomando en todo el sistema internacional, en particular las de la Asamblea General de las </w:t>
      </w:r>
      <w:r w:rsidR="000E31A1">
        <w:rPr>
          <w:rFonts w:eastAsia="Calibri" w:cs="Calibri"/>
          <w:lang w:val="es-ES"/>
        </w:rPr>
        <w:t>Naciones Unidas</w:t>
      </w:r>
      <w:r w:rsidRPr="001D759A">
        <w:rPr>
          <w:rFonts w:eastAsia="Calibri" w:cs="Calibri"/>
          <w:lang w:val="es-ES"/>
        </w:rPr>
        <w:t xml:space="preserve"> (AGNU), tienen repercusiones directas para el personal de </w:t>
      </w:r>
      <w:r w:rsidR="00103D78">
        <w:rPr>
          <w:rFonts w:eastAsia="Calibri" w:cs="Calibri"/>
          <w:lang w:val="es-ES"/>
        </w:rPr>
        <w:t>la UIT</w:t>
      </w:r>
      <w:r w:rsidRPr="001D759A">
        <w:rPr>
          <w:rFonts w:eastAsia="Calibri" w:cs="Calibri"/>
          <w:lang w:val="es-ES"/>
        </w:rPr>
        <w:t xml:space="preserve">. </w:t>
      </w:r>
      <w:r w:rsidR="00E16B99" w:rsidRPr="001D759A">
        <w:rPr>
          <w:rFonts w:eastAsia="Calibri" w:cs="Calibri"/>
          <w:lang w:val="es-ES"/>
        </w:rPr>
        <w:t>Se ha creado una</w:t>
      </w:r>
      <w:r w:rsidRPr="001D759A">
        <w:rPr>
          <w:rFonts w:eastAsia="Calibri" w:cs="Calibri"/>
          <w:lang w:val="es-ES"/>
        </w:rPr>
        <w:t xml:space="preserve"> dotación en especie </w:t>
      </w:r>
      <w:r w:rsidR="00E16B99" w:rsidRPr="001D759A">
        <w:rPr>
          <w:rFonts w:eastAsia="Calibri" w:cs="Calibri"/>
          <w:lang w:val="es-ES"/>
        </w:rPr>
        <w:t>para el</w:t>
      </w:r>
      <w:r w:rsidRPr="001D759A">
        <w:rPr>
          <w:rFonts w:eastAsia="Calibri" w:cs="Calibri"/>
          <w:lang w:val="es-ES"/>
        </w:rPr>
        <w:t xml:space="preserve"> Consejo del Personal, pero sigue faltando financiación. La Secretaria General ha acordado efectuar próximamente una asignación presupuestaria para incrementar las actividades del Consejo del Personal.</w:t>
      </w:r>
    </w:p>
    <w:p w14:paraId="72F95187" w14:textId="36F575B4" w:rsidR="00ED2477" w:rsidRPr="001D759A" w:rsidRDefault="00ED2477" w:rsidP="00ED2477">
      <w:pPr>
        <w:rPr>
          <w:lang w:val="es-ES"/>
        </w:rPr>
      </w:pPr>
      <w:r w:rsidRPr="001D759A">
        <w:rPr>
          <w:rFonts w:eastAsia="Calibri" w:cs="Calibri"/>
          <w:lang w:val="es-ES"/>
        </w:rPr>
        <w:t>1.5</w:t>
      </w:r>
      <w:r w:rsidRPr="001D759A">
        <w:rPr>
          <w:rFonts w:eastAsia="Calibri" w:cs="Calibri"/>
          <w:lang w:val="es-ES"/>
        </w:rPr>
        <w:tab/>
        <w:t xml:space="preserve">La Secretaria General añadió que los resultados y el seguimiento de la Encuesta sobre la implicación de los empleados se presentan en el Documento </w:t>
      </w:r>
      <w:hyperlink r:id="rId9" w:history="1">
        <w:r w:rsidRPr="001D759A">
          <w:rPr>
            <w:rStyle w:val="Hyperlink"/>
            <w:rFonts w:eastAsia="Calibri" w:cs="Calibri"/>
            <w:szCs w:val="20"/>
            <w:lang w:val="es-ES"/>
          </w:rPr>
          <w:t>C26/INF/2</w:t>
        </w:r>
      </w:hyperlink>
      <w:r w:rsidRPr="001D759A">
        <w:rPr>
          <w:rFonts w:eastAsia="Calibri" w:cs="Calibri"/>
          <w:lang w:val="es-ES"/>
        </w:rPr>
        <w:t xml:space="preserve">. El Consejo del Personal ha participado en el proceso de contratación de la nueva Ombudsman. El mandato se ha definido basándose en los de la Oficina del </w:t>
      </w:r>
      <w:r w:rsidR="004D28AD" w:rsidRPr="001D759A">
        <w:rPr>
          <w:rFonts w:eastAsia="Calibri" w:cs="Calibri"/>
          <w:lang w:val="es-ES"/>
        </w:rPr>
        <w:t>Ombudsman</w:t>
      </w:r>
      <w:r w:rsidRPr="001D759A">
        <w:rPr>
          <w:rFonts w:eastAsia="Calibri" w:cs="Calibri"/>
          <w:lang w:val="es-ES"/>
        </w:rPr>
        <w:t xml:space="preserve"> y de Servicios de Mediación de las </w:t>
      </w:r>
      <w:r w:rsidR="000E31A1">
        <w:rPr>
          <w:rFonts w:eastAsia="Calibri" w:cs="Calibri"/>
          <w:lang w:val="es-ES"/>
        </w:rPr>
        <w:t>Naciones Unidas</w:t>
      </w:r>
      <w:r w:rsidRPr="001D759A">
        <w:rPr>
          <w:rFonts w:eastAsia="Calibri" w:cs="Calibri"/>
          <w:lang w:val="es-ES"/>
        </w:rPr>
        <w:t>.</w:t>
      </w:r>
    </w:p>
    <w:p w14:paraId="61B9A5B2" w14:textId="2389E058" w:rsidR="00ED2477" w:rsidRPr="001D759A" w:rsidRDefault="00ED2477" w:rsidP="00ED2477">
      <w:pPr>
        <w:rPr>
          <w:lang w:val="es-ES"/>
        </w:rPr>
      </w:pPr>
      <w:r w:rsidRPr="001D759A">
        <w:rPr>
          <w:rFonts w:eastAsia="Calibri" w:cs="Calibri"/>
          <w:lang w:val="es-ES"/>
        </w:rPr>
        <w:t>1.6</w:t>
      </w:r>
      <w:r w:rsidRPr="001D759A">
        <w:rPr>
          <w:rFonts w:eastAsia="Calibri" w:cs="Calibri"/>
          <w:lang w:val="es-ES"/>
        </w:rPr>
        <w:tab/>
        <w:t xml:space="preserve">La Ombudsman se presentó diciendo haber asumido su puesto en enero de 2026, de conformidad con la Orden de Servicio N.º 25/18, y que en su mandato se le encomienda la prestación de servicios de resolución de conflictos de manera independiente, confidencial, neutral y accesible al personal. Se comprometió con el personal y otros interesados de </w:t>
      </w:r>
      <w:r w:rsidR="00103D78">
        <w:rPr>
          <w:rFonts w:eastAsia="Calibri" w:cs="Calibri"/>
          <w:lang w:val="es-ES"/>
        </w:rPr>
        <w:t>la UIT</w:t>
      </w:r>
      <w:r w:rsidRPr="001D759A">
        <w:rPr>
          <w:rFonts w:eastAsia="Calibri" w:cs="Calibri"/>
          <w:lang w:val="es-ES"/>
        </w:rPr>
        <w:t xml:space="preserve"> a fomentar un lugar de trabajo armonioso.</w:t>
      </w:r>
    </w:p>
    <w:p w14:paraId="2A168F08" w14:textId="77777777" w:rsidR="00ED2477" w:rsidRPr="001D759A" w:rsidRDefault="00ED2477" w:rsidP="00ED2477">
      <w:pPr>
        <w:rPr>
          <w:lang w:val="es-ES"/>
        </w:rPr>
      </w:pPr>
      <w:r w:rsidRPr="001D759A">
        <w:rPr>
          <w:rFonts w:eastAsia="Calibri" w:cs="Calibri"/>
          <w:lang w:val="es-ES"/>
        </w:rPr>
        <w:t>1.7</w:t>
      </w:r>
      <w:r w:rsidRPr="001D759A">
        <w:rPr>
          <w:rFonts w:eastAsia="Calibri" w:cs="Calibri"/>
          <w:lang w:val="es-ES"/>
        </w:rPr>
        <w:tab/>
        <w:t xml:space="preserve">La Comisión </w:t>
      </w:r>
      <w:r w:rsidRPr="001D759A">
        <w:rPr>
          <w:rFonts w:eastAsia="Calibri" w:cs="Calibri"/>
          <w:b/>
          <w:bCs/>
          <w:lang w:val="es-ES"/>
        </w:rPr>
        <w:t xml:space="preserve">tomó nota </w:t>
      </w:r>
      <w:r w:rsidRPr="001D759A">
        <w:rPr>
          <w:rFonts w:eastAsia="Calibri" w:cs="Calibri"/>
          <w:lang w:val="es-ES"/>
        </w:rPr>
        <w:t>de la declaración del Presidente del Consejo del Personal.</w:t>
      </w:r>
    </w:p>
    <w:p w14:paraId="3E79F8ED" w14:textId="089FF065" w:rsidR="00ED2477" w:rsidRPr="006C46B3" w:rsidRDefault="00ED2477" w:rsidP="00ED2477">
      <w:pPr>
        <w:pStyle w:val="Heading1"/>
        <w:rPr>
          <w:szCs w:val="28"/>
          <w:lang w:val="es-ES"/>
        </w:rPr>
      </w:pPr>
      <w:r w:rsidRPr="001D759A">
        <w:rPr>
          <w:lang w:val="es-ES"/>
        </w:rPr>
        <w:t>2</w:t>
      </w:r>
      <w:r w:rsidRPr="001D759A">
        <w:rPr>
          <w:lang w:val="es-ES"/>
        </w:rPr>
        <w:tab/>
        <w:t xml:space="preserve">Informe de la Presidenta del Grupo de Trabajo del Consejo sobre Recursos Humanos y Financieros (Documento </w:t>
      </w:r>
      <w:hyperlink r:id="rId10" w:history="1">
        <w:r w:rsidRPr="004C0D99">
          <w:rPr>
            <w:rStyle w:val="Hyperlink"/>
            <w:rFonts w:cs="Calibri"/>
            <w:szCs w:val="28"/>
            <w:lang w:val="es-ES"/>
          </w:rPr>
          <w:t>C26/50</w:t>
        </w:r>
      </w:hyperlink>
      <w:r w:rsidR="006C46B3" w:rsidRPr="006C46B3">
        <w:rPr>
          <w:lang w:val="es-ES"/>
        </w:rPr>
        <w:t xml:space="preserve"> </w:t>
      </w:r>
      <w:r w:rsidR="006C46B3">
        <w:rPr>
          <w:lang w:val="es-ES"/>
        </w:rPr>
        <w:t xml:space="preserve">y </w:t>
      </w:r>
      <w:hyperlink r:id="rId11" w:history="1">
        <w:r w:rsidR="006C46B3" w:rsidRPr="00551D76">
          <w:rPr>
            <w:rStyle w:val="Hyperlink"/>
            <w:rFonts w:cs="Calibri"/>
            <w:szCs w:val="28"/>
            <w:lang w:val="es-ES"/>
          </w:rPr>
          <w:t>C26/50(Rev.1)</w:t>
        </w:r>
      </w:hyperlink>
      <w:r w:rsidR="006C46B3">
        <w:rPr>
          <w:lang w:val="es-ES"/>
        </w:rPr>
        <w:t>)</w:t>
      </w:r>
    </w:p>
    <w:p w14:paraId="684F7FD3" w14:textId="3D9C47E0" w:rsidR="00ED2477" w:rsidRPr="001D759A" w:rsidRDefault="00ED2477" w:rsidP="00ED2477">
      <w:pPr>
        <w:pStyle w:val="Normalaftertitle"/>
        <w:rPr>
          <w:lang w:val="es-ES"/>
        </w:rPr>
      </w:pPr>
      <w:r w:rsidRPr="001D759A">
        <w:rPr>
          <w:lang w:val="es-ES"/>
        </w:rPr>
        <w:t>2.1</w:t>
      </w:r>
      <w:r w:rsidRPr="001D759A">
        <w:rPr>
          <w:lang w:val="es-ES"/>
        </w:rPr>
        <w:tab/>
        <w:t>La Presidenta del Grupo de Trabajo del Consejo sobre Recursos Humanos y Financieros (GTC-RHF) presentó el Informe recogido en el Documento C26/50, que contiene las recomendaciones formuladas en las reuniones del GTC-RHF celebradas desde la reunión de 2025 del Consejo (Consejo-25). Sin embargo, en lo que respecta a la recuperación de costes aplicable a las notificaciones de redes de satélites, el Grupo no había logrado llegar a una conclusión. A pesar de los esfuerzos invertidos en llegar a un consenso, no se había podido progresar en cuanto a la metodología por diferencias en la interpretación de la</w:t>
      </w:r>
      <w:r w:rsidR="005244AE">
        <w:rPr>
          <w:lang w:val="es-ES"/>
        </w:rPr>
        <w:t> </w:t>
      </w:r>
      <w:r w:rsidRPr="001D759A">
        <w:rPr>
          <w:lang w:val="es-ES"/>
        </w:rPr>
        <w:t xml:space="preserve">Resolución 91 (Rev. Guadalajara, 2010) de la Conferencia de Plenipotenciarios. Por consiguiente, el GTC-RHF recomienda que este asunto se remita a la consideración de la Conferencia de Plenipotenciarios. Se celebraron, y seguirán celebrándose, animados debates sobre la unidad contributiva; en el futuro se podrán considerar también las contribuciones de los Miembros de Sector y los Asociados. </w:t>
      </w:r>
    </w:p>
    <w:p w14:paraId="4CE7B8CA" w14:textId="77777777" w:rsidR="00ED2477" w:rsidRPr="001D759A" w:rsidRDefault="00ED2477" w:rsidP="00ED2477">
      <w:pPr>
        <w:rPr>
          <w:lang w:val="es-ES"/>
        </w:rPr>
      </w:pPr>
      <w:r w:rsidRPr="001D759A">
        <w:rPr>
          <w:lang w:val="es-ES"/>
        </w:rPr>
        <w:t>2.2</w:t>
      </w:r>
      <w:r w:rsidRPr="001D759A">
        <w:rPr>
          <w:lang w:val="es-ES"/>
        </w:rPr>
        <w:tab/>
        <w:t>En el debate posterior varios consejeros destacaron la importancia de la labor del GTC</w:t>
      </w:r>
      <w:r w:rsidRPr="001D759A">
        <w:rPr>
          <w:lang w:val="es-ES"/>
        </w:rPr>
        <w:noBreakHyphen/>
        <w:t xml:space="preserve">RHF y expresaron su apoyo a que prosiga sus actividades. Habida cuenta de la importante carga de trabajo y el limitado tiempo de reunión, dos consejeros propusieron reforzar el GTC-RHF, entre otras cosas, creando un Grupo por Correspondencia permanente. </w:t>
      </w:r>
    </w:p>
    <w:p w14:paraId="70A8EFE0" w14:textId="3F3B25F6" w:rsidR="00ED2477" w:rsidRPr="001D759A" w:rsidRDefault="00ED2477" w:rsidP="00ED2477">
      <w:pPr>
        <w:rPr>
          <w:lang w:val="es-ES"/>
        </w:rPr>
      </w:pPr>
      <w:r w:rsidRPr="001D759A">
        <w:rPr>
          <w:lang w:val="es-ES"/>
        </w:rPr>
        <w:t>2.3</w:t>
      </w:r>
      <w:r w:rsidRPr="001D759A">
        <w:rPr>
          <w:lang w:val="es-ES"/>
        </w:rPr>
        <w:tab/>
        <w:t xml:space="preserve">En relación con la recuperación de costes aplicable a las notificaciones de redes de satélites, varios consejeros expresaron su apoyo a la contribución multipaís presentada al GTC-RHF sobre la publicación anual gratuita (Documento </w:t>
      </w:r>
      <w:hyperlink r:id="rId12" w:history="1">
        <w:r w:rsidRPr="001D759A">
          <w:rPr>
            <w:rStyle w:val="Hyperlink"/>
            <w:rFonts w:eastAsia="Times New Roman" w:cs="Times New Roman"/>
            <w:szCs w:val="20"/>
            <w:lang w:val="es-ES"/>
          </w:rPr>
          <w:t>CWG-FHR-22/33</w:t>
        </w:r>
      </w:hyperlink>
      <w:r w:rsidRPr="001D759A">
        <w:rPr>
          <w:lang w:val="es-ES"/>
        </w:rPr>
        <w:t xml:space="preserve">). El régimen de gratuidad es particularmente importante para los países en desarrollo, cuyas necesidades y </w:t>
      </w:r>
      <w:r w:rsidRPr="001D759A">
        <w:rPr>
          <w:lang w:val="es-ES"/>
        </w:rPr>
        <w:lastRenderedPageBreak/>
        <w:t xml:space="preserve">acceso equitativo han de tenerse en cuenta sea cual sea el método adoptado en último término. Una consejera </w:t>
      </w:r>
      <w:r w:rsidR="00862A4F">
        <w:rPr>
          <w:lang w:val="es-ES"/>
        </w:rPr>
        <w:t>dijo</w:t>
      </w:r>
      <w:r w:rsidR="00862A4F" w:rsidRPr="001D759A">
        <w:rPr>
          <w:lang w:val="es-ES"/>
        </w:rPr>
        <w:t xml:space="preserve"> </w:t>
      </w:r>
      <w:r w:rsidRPr="001D759A">
        <w:rPr>
          <w:lang w:val="es-ES"/>
        </w:rPr>
        <w:t xml:space="preserve">que debe limitarse el alcance de la utilización de las publicaciones gratuitas, por ejemplo, a los proyectos de satélites regionales. En la actualidad, los países en desarrollo generalmente utilizan sus publicaciones gratuitas para ayudar a los países desarrollados. </w:t>
      </w:r>
    </w:p>
    <w:p w14:paraId="1C07640E" w14:textId="505A9EC0" w:rsidR="00ED2477" w:rsidRPr="001D759A" w:rsidRDefault="00ED2477" w:rsidP="000C57CA">
      <w:pPr>
        <w:rPr>
          <w:lang w:val="es-ES"/>
        </w:rPr>
      </w:pPr>
      <w:r w:rsidRPr="001D759A">
        <w:rPr>
          <w:lang w:val="es-ES"/>
        </w:rPr>
        <w:t>2.4</w:t>
      </w:r>
      <w:r w:rsidRPr="001D759A">
        <w:rPr>
          <w:lang w:val="es-ES"/>
        </w:rPr>
        <w:tab/>
        <w:t xml:space="preserve">Varios consejeros tomaron la palabra para tratar el Artículo 34 del Convenio de </w:t>
      </w:r>
      <w:r w:rsidR="00103D78">
        <w:rPr>
          <w:lang w:val="es-ES"/>
        </w:rPr>
        <w:t>la UIT</w:t>
      </w:r>
      <w:r w:rsidRPr="001D759A">
        <w:rPr>
          <w:lang w:val="es-ES"/>
        </w:rPr>
        <w:t xml:space="preserve"> y de los esfuerzos invertidos para definir una metodología de estimación de las consecuencias financieras de las propuestas formuladas en Conferencias y Asambleas. Un consejero, destacando la complejidad del tema, insistió en que el método que se adopte debe</w:t>
      </w:r>
      <w:r w:rsidR="00D1453A">
        <w:rPr>
          <w:lang w:val="es-ES"/>
        </w:rPr>
        <w:t>ría</w:t>
      </w:r>
      <w:r w:rsidRPr="001D759A">
        <w:rPr>
          <w:lang w:val="es-ES"/>
        </w:rPr>
        <w:t xml:space="preserve"> aumentar la transparencia sin crear cargas administrativas innecesarias. Dado que las propuestas con frecuencia sufren modificaciones sustanciales, la estimación de costes </w:t>
      </w:r>
      <w:r w:rsidRPr="001D759A">
        <w:rPr>
          <w:i/>
          <w:iCs/>
          <w:lang w:val="es-ES"/>
        </w:rPr>
        <w:t>ex</w:t>
      </w:r>
      <w:r w:rsidR="007D3544" w:rsidRPr="001D759A">
        <w:rPr>
          <w:i/>
          <w:iCs/>
          <w:lang w:val="es-ES"/>
        </w:rPr>
        <w:t> </w:t>
      </w:r>
      <w:r w:rsidRPr="001D759A">
        <w:rPr>
          <w:i/>
          <w:iCs/>
          <w:lang w:val="es-ES"/>
        </w:rPr>
        <w:t>ante</w:t>
      </w:r>
      <w:r w:rsidRPr="001D759A">
        <w:rPr>
          <w:lang w:val="es-ES"/>
        </w:rPr>
        <w:t xml:space="preserve"> podría no ser una base fiable para tomar decisiones al respecto. Otro consejero destacó la necesidad de contar con un método flexible, señalando que la estimación de los costes podría resultar más difícil en determinadas Conferencias, como las Conferencias Mundiales de Radiocomunicaciones (CMR). Otros consejeros resaltaron que la estimación de los costes resulta útil para comprender las posibles repercusiones financieras, se mostraron favorables a seguir considerando esta cuestión y animaron a los Estados Miembros a estimar el coste financiero de las propuestas para permitir el funcionamiento sostenible de </w:t>
      </w:r>
      <w:r w:rsidR="005457EE">
        <w:rPr>
          <w:lang w:val="es-ES"/>
        </w:rPr>
        <w:t>la Unión</w:t>
      </w:r>
      <w:r w:rsidRPr="001D759A">
        <w:rPr>
          <w:lang w:val="es-ES"/>
        </w:rPr>
        <w:t>.</w:t>
      </w:r>
    </w:p>
    <w:p w14:paraId="62963457" w14:textId="77777777" w:rsidR="00ED2477" w:rsidRPr="001D759A" w:rsidRDefault="00ED2477" w:rsidP="00ED2477">
      <w:pPr>
        <w:rPr>
          <w:lang w:val="es-ES"/>
        </w:rPr>
      </w:pPr>
      <w:r w:rsidRPr="001D759A">
        <w:rPr>
          <w:lang w:val="es-ES"/>
        </w:rPr>
        <w:t>2.5</w:t>
      </w:r>
      <w:r w:rsidRPr="001D759A">
        <w:rPr>
          <w:lang w:val="es-ES"/>
        </w:rPr>
        <w:tab/>
        <w:t>Dos consejeras pidieron un apoyo más activo de la Secretaría a los trabajos del GTC</w:t>
      </w:r>
      <w:r w:rsidRPr="001D759A">
        <w:rPr>
          <w:lang w:val="es-ES"/>
        </w:rPr>
        <w:noBreakHyphen/>
        <w:t xml:space="preserve">RHF y una de ellas señaló que los avances sobre determinados temas, entre ellos la metodología de estimación de costes, se habían visto limitados no por falta de consenso, sino por no haber dispuesto a tiempo de los documentos e informaciones correspondientes. </w:t>
      </w:r>
    </w:p>
    <w:p w14:paraId="3762E3D8" w14:textId="73D1778A" w:rsidR="00ED2477" w:rsidRPr="001D759A" w:rsidRDefault="00ED2477" w:rsidP="00ED2477">
      <w:pPr>
        <w:rPr>
          <w:lang w:val="es-ES"/>
        </w:rPr>
      </w:pPr>
      <w:r w:rsidRPr="001D759A">
        <w:rPr>
          <w:lang w:val="es-ES"/>
        </w:rPr>
        <w:t>2.6</w:t>
      </w:r>
      <w:r w:rsidRPr="001D759A">
        <w:rPr>
          <w:lang w:val="es-ES"/>
        </w:rPr>
        <w:tab/>
      </w:r>
      <w:r w:rsidR="00393A84">
        <w:rPr>
          <w:lang w:val="es-ES"/>
        </w:rPr>
        <w:t>Un consejero, o</w:t>
      </w:r>
      <w:r w:rsidRPr="001D759A">
        <w:rPr>
          <w:lang w:val="es-ES"/>
        </w:rPr>
        <w:t xml:space="preserve">bservando que </w:t>
      </w:r>
      <w:r w:rsidR="005457EE">
        <w:rPr>
          <w:lang w:val="es-ES"/>
        </w:rPr>
        <w:t>la Unión</w:t>
      </w:r>
      <w:r w:rsidRPr="001D759A">
        <w:rPr>
          <w:lang w:val="es-ES"/>
        </w:rPr>
        <w:t xml:space="preserve"> ha aceptado el estatuto de la Dependencia Común de Inspección del sistema de las </w:t>
      </w:r>
      <w:r w:rsidR="000E31A1">
        <w:rPr>
          <w:lang w:val="es-ES"/>
        </w:rPr>
        <w:t>Naciones Unidas</w:t>
      </w:r>
      <w:r w:rsidRPr="001D759A">
        <w:rPr>
          <w:lang w:val="es-ES"/>
        </w:rPr>
        <w:t xml:space="preserve"> (DCI), como figura en la Resolución</w:t>
      </w:r>
      <w:r w:rsidR="00393A84">
        <w:rPr>
          <w:lang w:val="es-ES"/>
        </w:rPr>
        <w:t> </w:t>
      </w:r>
      <w:r w:rsidRPr="001D759A">
        <w:rPr>
          <w:lang w:val="es-ES"/>
        </w:rPr>
        <w:t>31/192 de la Asamblea General, di</w:t>
      </w:r>
      <w:r w:rsidR="00393A84">
        <w:rPr>
          <w:lang w:val="es-ES"/>
        </w:rPr>
        <w:t>jo</w:t>
      </w:r>
      <w:r w:rsidRPr="001D759A">
        <w:rPr>
          <w:lang w:val="es-ES"/>
        </w:rPr>
        <w:t xml:space="preserve"> que la Conferencia de Plenipotenciarios debería considerar la posibilidad de retirar sus reservas al estatuto, consignadas en la Resolución 38 (Nairobi, 1982) de la Conferencia de Plenipotenciarios, en virtud de la cual la</w:t>
      </w:r>
      <w:r w:rsidR="00393A84">
        <w:rPr>
          <w:lang w:val="es-ES"/>
        </w:rPr>
        <w:t> </w:t>
      </w:r>
      <w:r w:rsidRPr="001D759A">
        <w:rPr>
          <w:lang w:val="es-ES"/>
        </w:rPr>
        <w:t xml:space="preserve">DCI no se convertiría en órgano subsidiario de los órganos legislativos de </w:t>
      </w:r>
      <w:r w:rsidR="005457EE">
        <w:rPr>
          <w:lang w:val="es-ES"/>
        </w:rPr>
        <w:t>la Unión</w:t>
      </w:r>
      <w:r w:rsidRPr="001D759A">
        <w:rPr>
          <w:lang w:val="es-ES"/>
        </w:rPr>
        <w:t xml:space="preserve">, ni tendría potestad para investigar asuntos relacionados con las telecomunicaciones. Sería beneficioso para </w:t>
      </w:r>
      <w:r w:rsidR="005457EE">
        <w:rPr>
          <w:lang w:val="es-ES"/>
        </w:rPr>
        <w:t>la Unión</w:t>
      </w:r>
      <w:r w:rsidRPr="001D759A">
        <w:rPr>
          <w:lang w:val="es-ES"/>
        </w:rPr>
        <w:t xml:space="preserve"> contar con la experiencia en materia de supervisión independiente de la DCI como tercera línea de defensa.</w:t>
      </w:r>
    </w:p>
    <w:p w14:paraId="67CBA112" w14:textId="0E18E7FD" w:rsidR="00ED2477" w:rsidRPr="001D759A" w:rsidRDefault="00ED2477" w:rsidP="00ED2477">
      <w:pPr>
        <w:rPr>
          <w:lang w:val="es-ES"/>
        </w:rPr>
      </w:pPr>
      <w:r w:rsidRPr="001D759A">
        <w:rPr>
          <w:lang w:val="es-ES"/>
        </w:rPr>
        <w:t>2.7</w:t>
      </w:r>
      <w:r w:rsidRPr="001D759A">
        <w:rPr>
          <w:lang w:val="es-ES"/>
        </w:rPr>
        <w:tab/>
        <w:t xml:space="preserve">Posteriormente, la Presidenta del GTC-RHF dijo que, a la luz de los comentarios formulados durante el debate, había actualizado el Informe, que ahora figura en el Documento C26/50(Rev.1), para eliminar el Anexo A, a fin de que el Consejo tome nota de todas las recomendaciones de ese documento. También había aportado los ajustes solicitados, incluso para recomendar, en el § 2.5, que el Consejo encargue a la Secretaría la lectura del Código de Conducta de las </w:t>
      </w:r>
      <w:r w:rsidR="000E31A1">
        <w:rPr>
          <w:lang w:val="es-ES"/>
        </w:rPr>
        <w:t>Naciones Unidas</w:t>
      </w:r>
      <w:r w:rsidRPr="001D759A">
        <w:rPr>
          <w:lang w:val="es-ES"/>
        </w:rPr>
        <w:t xml:space="preserve"> antes de todas las reuniones, conferencias y asambleas e incluya un enlace al mismo en los sitios web de los eventos como parte del proceso de inscripción. En cuanto a la DCI y las reservas de </w:t>
      </w:r>
      <w:r w:rsidR="005457EE">
        <w:rPr>
          <w:lang w:val="es-ES"/>
        </w:rPr>
        <w:t>la Unión</w:t>
      </w:r>
      <w:r w:rsidRPr="001D759A">
        <w:rPr>
          <w:lang w:val="es-ES"/>
        </w:rPr>
        <w:t xml:space="preserve"> al estatuto de la DCI, las deliberaciones del GTC-RHF se habían centrado en la participación de la DCI en las reuniones del Consejo. Por consiguiente, recomendó proseguir los debates sobre el tema, incluso en relación con la Resolución 57 (</w:t>
      </w:r>
      <w:proofErr w:type="spellStart"/>
      <w:r w:rsidRPr="001D759A">
        <w:rPr>
          <w:lang w:val="es-ES"/>
        </w:rPr>
        <w:t>Kyoto</w:t>
      </w:r>
      <w:proofErr w:type="spellEnd"/>
      <w:r w:rsidRPr="001D759A">
        <w:rPr>
          <w:lang w:val="es-ES"/>
        </w:rPr>
        <w:t>, 1994) de la Conferencia de Plenipotenciarios, en el seno del GTC-RHF y de la Conferencia de Plenipotenciarios. Por último, resultaría útil aclarar cuáles son las funciones y responsabilidades de la Secretaría en relación con el GTC-RHF a fin de ajustar sus expectativas en cuanto a la documentación y las informaciones solicitadas.</w:t>
      </w:r>
    </w:p>
    <w:p w14:paraId="09EF13F2" w14:textId="77777777" w:rsidR="00ED2477" w:rsidRPr="001D759A" w:rsidRDefault="00ED2477" w:rsidP="00ED2477">
      <w:pPr>
        <w:spacing w:after="120"/>
        <w:rPr>
          <w:lang w:val="es-ES"/>
        </w:rPr>
      </w:pPr>
      <w:r w:rsidRPr="001D759A">
        <w:rPr>
          <w:lang w:val="es-ES"/>
        </w:rPr>
        <w:lastRenderedPageBreak/>
        <w:t>2.8</w:t>
      </w:r>
      <w:r w:rsidRPr="001D759A">
        <w:rPr>
          <w:lang w:val="es-ES"/>
        </w:rPr>
        <w:tab/>
        <w:t xml:space="preserve">La Comisión </w:t>
      </w:r>
      <w:r w:rsidRPr="001D759A">
        <w:rPr>
          <w:b/>
          <w:bCs/>
          <w:lang w:val="es-ES"/>
        </w:rPr>
        <w:t xml:space="preserve">acordó </w:t>
      </w:r>
      <w:r w:rsidRPr="001D759A">
        <w:rPr>
          <w:lang w:val="es-ES"/>
        </w:rPr>
        <w:t>llegar a la siguiente conclusión:</w:t>
      </w:r>
    </w:p>
    <w:tbl>
      <w:tblPr>
        <w:tblStyle w:val="TableGrid"/>
        <w:tblW w:w="5000" w:type="pct"/>
        <w:tblInd w:w="-147" w:type="dxa"/>
        <w:tblLook w:val="04A0" w:firstRow="1" w:lastRow="0" w:firstColumn="1" w:lastColumn="0" w:noHBand="0" w:noVBand="1"/>
      </w:tblPr>
      <w:tblGrid>
        <w:gridCol w:w="9061"/>
      </w:tblGrid>
      <w:tr w:rsidR="00ED2477" w:rsidRPr="00C52838" w14:paraId="04779CEC" w14:textId="77777777" w:rsidTr="00950DAB">
        <w:tc>
          <w:tcPr>
            <w:tcW w:w="9208" w:type="dxa"/>
            <w:tcBorders>
              <w:top w:val="single" w:sz="4" w:space="0" w:color="auto"/>
              <w:left w:val="single" w:sz="4" w:space="0" w:color="auto"/>
              <w:bottom w:val="single" w:sz="4" w:space="0" w:color="auto"/>
              <w:right w:val="single" w:sz="4" w:space="0" w:color="auto"/>
            </w:tcBorders>
            <w:hideMark/>
          </w:tcPr>
          <w:p w14:paraId="33DCEDAD" w14:textId="4CB46580" w:rsidR="00ED2477" w:rsidRPr="001D759A" w:rsidRDefault="00ED2477" w:rsidP="004262B0">
            <w:pPr>
              <w:tabs>
                <w:tab w:val="clear" w:pos="567"/>
                <w:tab w:val="left" w:pos="605"/>
              </w:tabs>
              <w:spacing w:after="80"/>
              <w:ind w:left="40"/>
              <w:rPr>
                <w:rFonts w:eastAsia="Aptos"/>
                <w:lang w:val="es-ES"/>
              </w:rPr>
            </w:pPr>
            <w:r w:rsidRPr="001D759A">
              <w:rPr>
                <w:rFonts w:eastAsia="Aptos"/>
                <w:lang w:val="es-ES"/>
              </w:rPr>
              <w:t>2.9</w:t>
            </w:r>
            <w:r w:rsidRPr="001D759A">
              <w:rPr>
                <w:lang w:val="es-ES"/>
              </w:rPr>
              <w:tab/>
              <w:t xml:space="preserve">La Comisión recomienda </w:t>
            </w:r>
            <w:r w:rsidR="00FB7200" w:rsidRPr="001D759A">
              <w:rPr>
                <w:lang w:val="es-ES"/>
              </w:rPr>
              <w:t>a</w:t>
            </w:r>
            <w:r w:rsidRPr="001D759A">
              <w:rPr>
                <w:lang w:val="es-ES"/>
              </w:rPr>
              <w:t>l Consejo</w:t>
            </w:r>
            <w:r w:rsidR="00FB7200" w:rsidRPr="001D759A">
              <w:rPr>
                <w:lang w:val="es-ES"/>
              </w:rPr>
              <w:t xml:space="preserve"> que</w:t>
            </w:r>
            <w:r w:rsidRPr="001D759A">
              <w:rPr>
                <w:rFonts w:eastAsia="Aptos"/>
                <w:lang w:val="es-ES"/>
              </w:rPr>
              <w:t>:</w:t>
            </w:r>
          </w:p>
          <w:p w14:paraId="3D96D99E" w14:textId="77777777" w:rsidR="00ED2477" w:rsidRPr="001D759A" w:rsidRDefault="00ED2477" w:rsidP="004262B0">
            <w:pPr>
              <w:pStyle w:val="enumlev1"/>
              <w:tabs>
                <w:tab w:val="clear" w:pos="567"/>
              </w:tabs>
              <w:ind w:left="605"/>
              <w:rPr>
                <w:lang w:val="es-ES"/>
              </w:rPr>
            </w:pPr>
            <w:r w:rsidRPr="001D759A">
              <w:rPr>
                <w:rFonts w:eastAsia="Aptos"/>
                <w:lang w:val="es-ES"/>
              </w:rPr>
              <w:t>•</w:t>
            </w:r>
            <w:r w:rsidRPr="001D759A">
              <w:rPr>
                <w:rFonts w:eastAsia="Aptos"/>
                <w:lang w:val="es-ES"/>
              </w:rPr>
              <w:tab/>
            </w:r>
            <w:r w:rsidRPr="001D759A">
              <w:rPr>
                <w:lang w:val="es-ES"/>
              </w:rPr>
              <w:t>tome nota de los trabajos del GTC-RHF, y</w:t>
            </w:r>
          </w:p>
          <w:p w14:paraId="5F275F15" w14:textId="65268967" w:rsidR="00ED2477" w:rsidRPr="001D759A" w:rsidRDefault="00ED2477" w:rsidP="004262B0">
            <w:pPr>
              <w:pStyle w:val="enumlev1"/>
              <w:tabs>
                <w:tab w:val="clear" w:pos="567"/>
              </w:tabs>
              <w:spacing w:after="120"/>
              <w:ind w:left="605"/>
              <w:rPr>
                <w:rFonts w:eastAsia="Aptos"/>
                <w:lang w:val="es-ES"/>
              </w:rPr>
            </w:pPr>
            <w:r w:rsidRPr="001D759A">
              <w:rPr>
                <w:rFonts w:eastAsia="Aptos"/>
                <w:lang w:val="es-ES"/>
              </w:rPr>
              <w:t>•</w:t>
            </w:r>
            <w:r w:rsidRPr="001D759A">
              <w:rPr>
                <w:rFonts w:eastAsia="Aptos"/>
                <w:lang w:val="es-ES"/>
              </w:rPr>
              <w:tab/>
            </w:r>
            <w:r w:rsidR="004843BB">
              <w:rPr>
                <w:rFonts w:eastAsia="Aptos"/>
                <w:lang w:val="es-ES"/>
              </w:rPr>
              <w:t xml:space="preserve">refrende las recomendaciones del GTC-RHF </w:t>
            </w:r>
            <w:r w:rsidRPr="001D759A">
              <w:rPr>
                <w:rFonts w:eastAsia="Aptos"/>
                <w:lang w:val="es-ES"/>
              </w:rPr>
              <w:t>señaladas en el Documento</w:t>
            </w:r>
            <w:r w:rsidR="004C0D99">
              <w:rPr>
                <w:lang w:val="es-ES"/>
              </w:rPr>
              <w:t> </w:t>
            </w:r>
            <w:hyperlink r:id="rId13" w:history="1">
              <w:r w:rsidRPr="001D759A">
                <w:rPr>
                  <w:rStyle w:val="Hyperlink"/>
                  <w:lang w:val="es-ES"/>
                </w:rPr>
                <w:t>C26/50(Rev.1)</w:t>
              </w:r>
            </w:hyperlink>
            <w:r w:rsidRPr="001D759A">
              <w:rPr>
                <w:lang w:val="es-ES"/>
              </w:rPr>
              <w:t>.</w:t>
            </w:r>
          </w:p>
        </w:tc>
      </w:tr>
    </w:tbl>
    <w:p w14:paraId="7BCBB99C" w14:textId="2C3A8E38" w:rsidR="00ED2477" w:rsidRPr="001D759A" w:rsidRDefault="00ED2477" w:rsidP="00ED2477">
      <w:pPr>
        <w:pStyle w:val="Heading1"/>
        <w:rPr>
          <w:szCs w:val="28"/>
          <w:lang w:val="es-ES"/>
        </w:rPr>
      </w:pPr>
      <w:r w:rsidRPr="001D759A">
        <w:rPr>
          <w:rFonts w:cs="Calibri"/>
          <w:color w:val="000000"/>
          <w:szCs w:val="28"/>
          <w:lang w:val="es-ES"/>
        </w:rPr>
        <w:t>3</w:t>
      </w:r>
      <w:r w:rsidRPr="001D759A">
        <w:rPr>
          <w:rFonts w:cs="Calibri"/>
          <w:color w:val="000000"/>
          <w:szCs w:val="28"/>
          <w:lang w:val="es-ES"/>
        </w:rPr>
        <w:tab/>
        <w:t xml:space="preserve">Informe cuatrienal del GTC-RHF (Documento </w:t>
      </w:r>
      <w:hyperlink r:id="rId14" w:history="1">
        <w:r w:rsidR="00D17D49" w:rsidRPr="004C0D99">
          <w:rPr>
            <w:rStyle w:val="Hyperlink"/>
            <w:rFonts w:eastAsia="Times New Roman" w:cs="Calibri"/>
            <w:szCs w:val="28"/>
            <w:lang w:val="es-ES"/>
          </w:rPr>
          <w:t>C26/53</w:t>
        </w:r>
      </w:hyperlink>
      <w:r w:rsidR="00D17D49">
        <w:rPr>
          <w:rFonts w:cs="Calibri"/>
          <w:color w:val="000000"/>
          <w:szCs w:val="28"/>
          <w:lang w:val="es-ES"/>
        </w:rPr>
        <w:t xml:space="preserve"> y </w:t>
      </w:r>
      <w:hyperlink r:id="rId15" w:history="1">
        <w:r w:rsidRPr="00551D76">
          <w:rPr>
            <w:rStyle w:val="Hyperlink"/>
            <w:rFonts w:eastAsia="Times New Roman" w:cs="Calibri"/>
            <w:szCs w:val="28"/>
            <w:lang w:val="es-ES"/>
          </w:rPr>
          <w:t>C26/53</w:t>
        </w:r>
        <w:r w:rsidR="00D17D49" w:rsidRPr="00551D76">
          <w:rPr>
            <w:rStyle w:val="Hyperlink"/>
            <w:rFonts w:eastAsia="Times New Roman" w:cs="Calibri"/>
            <w:szCs w:val="28"/>
            <w:lang w:val="es-ES"/>
          </w:rPr>
          <w:t>(Rev.1</w:t>
        </w:r>
        <w:r w:rsidR="00D17D49" w:rsidRPr="00551D76">
          <w:rPr>
            <w:rStyle w:val="Hyperlink"/>
            <w:rFonts w:eastAsia="Times New Roman" w:cs="Times New Roman"/>
            <w:szCs w:val="20"/>
            <w:lang w:val="es-ES"/>
          </w:rPr>
          <w:t>)</w:t>
        </w:r>
      </w:hyperlink>
      <w:r w:rsidRPr="001D759A">
        <w:rPr>
          <w:szCs w:val="28"/>
          <w:lang w:val="es-ES"/>
        </w:rPr>
        <w:t>)</w:t>
      </w:r>
    </w:p>
    <w:p w14:paraId="519C987F" w14:textId="03A49E12" w:rsidR="00ED2477" w:rsidRPr="001D759A" w:rsidRDefault="00ED2477" w:rsidP="00ED2477">
      <w:pPr>
        <w:rPr>
          <w:lang w:val="es-ES"/>
        </w:rPr>
      </w:pPr>
      <w:r w:rsidRPr="001D759A">
        <w:rPr>
          <w:lang w:val="es-ES"/>
        </w:rPr>
        <w:t>3.1</w:t>
      </w:r>
      <w:r w:rsidRPr="001D759A">
        <w:rPr>
          <w:lang w:val="es-ES"/>
        </w:rPr>
        <w:tab/>
        <w:t xml:space="preserve">La Presidenta del GTC-RHF presentó el Documento C26/53, que contiene el Informe cuatrienal sobre las actividades del GTC-RHF, incluidos enlaces a cada uno de los Informes del GTC-RHF del periodo, y presenta una serie de recomendaciones a la consideración del Consejo y para su ulterior transmisión, si procede, a la Conferencia de Plenipotenciarios. Entre esas recomendaciones se incluye la solicitud de orientaciones a la Conferencia de Plenipotenciarios para la implementación del Artículo 34 del Convenio a fin de facilitar los debates sobre la metodología de estimación de costes. </w:t>
      </w:r>
    </w:p>
    <w:p w14:paraId="7F931FAB" w14:textId="63F075FC" w:rsidR="00ED2477" w:rsidRPr="001D759A" w:rsidRDefault="00ED2477" w:rsidP="00ED2477">
      <w:pPr>
        <w:rPr>
          <w:lang w:val="es-ES"/>
        </w:rPr>
      </w:pPr>
      <w:r w:rsidRPr="001D759A">
        <w:rPr>
          <w:lang w:val="es-ES"/>
        </w:rPr>
        <w:t>3.2</w:t>
      </w:r>
      <w:r w:rsidRPr="001D759A">
        <w:rPr>
          <w:lang w:val="es-ES"/>
        </w:rPr>
        <w:tab/>
        <w:t xml:space="preserve">Durante el debate posterior varios consejeros señalaron la importante carga de trabajo y la diversidad de los temas abordados por el GTC-RHF a lo largo del periodo de cuatro años. Entre esos temas se contaron asuntos financieros y administrativos, el proyecto de Sede, las notificaciones de redes de satélites, el fortalecimiento de la presencia regional de </w:t>
      </w:r>
      <w:r w:rsidR="005457EE">
        <w:rPr>
          <w:lang w:val="es-ES"/>
        </w:rPr>
        <w:t>la Unión</w:t>
      </w:r>
      <w:r w:rsidRPr="001D759A">
        <w:rPr>
          <w:lang w:val="es-ES"/>
        </w:rPr>
        <w:t xml:space="preserve"> y asuntos relacionados con la ética y la supervisión. Vari</w:t>
      </w:r>
      <w:r w:rsidR="006535E6">
        <w:rPr>
          <w:lang w:val="es-ES"/>
        </w:rPr>
        <w:t>o</w:t>
      </w:r>
      <w:r w:rsidRPr="001D759A">
        <w:rPr>
          <w:lang w:val="es-ES"/>
        </w:rPr>
        <w:t>s consejer</w:t>
      </w:r>
      <w:r w:rsidR="006535E6">
        <w:rPr>
          <w:lang w:val="es-ES"/>
        </w:rPr>
        <w:t>o</w:t>
      </w:r>
      <w:r w:rsidRPr="001D759A">
        <w:rPr>
          <w:lang w:val="es-ES"/>
        </w:rPr>
        <w:t xml:space="preserve">s expresaron su apoyo a que el GTC-RHF prosiga sus actividades durante los próximos cuatro años, mientras que otros insistieron en la necesidad de reforzar el GTC-RHF, incluso actualizando sus métodos de trabajo, aumentando el tiempo atribuido a sus reuniones y modificando la </w:t>
      </w:r>
      <w:r w:rsidR="003E05FB">
        <w:rPr>
          <w:lang w:val="es-ES"/>
        </w:rPr>
        <w:t>D</w:t>
      </w:r>
      <w:r w:rsidRPr="001D759A">
        <w:rPr>
          <w:lang w:val="es-ES"/>
        </w:rPr>
        <w:t>ecisión</w:t>
      </w:r>
      <w:r w:rsidR="005244AE">
        <w:rPr>
          <w:lang w:val="es-ES"/>
        </w:rPr>
        <w:t> </w:t>
      </w:r>
      <w:r w:rsidRPr="001D759A">
        <w:rPr>
          <w:lang w:val="es-ES"/>
        </w:rPr>
        <w:t>11</w:t>
      </w:r>
      <w:r w:rsidR="00A96099" w:rsidRPr="001D759A">
        <w:rPr>
          <w:lang w:val="es-ES"/>
        </w:rPr>
        <w:t> </w:t>
      </w:r>
      <w:r w:rsidRPr="001D759A">
        <w:rPr>
          <w:lang w:val="es-ES"/>
        </w:rPr>
        <w:t>(Rev. Bucarest, 2022) de la Conferencia de Plenipotenciarios, lo que podría hacerse en el marco del examen de los métodos de trabajo de todos los Grupos de Trabajo del Consejo. Dos consejeros reiteraron la sugerencia de que se establezca un Grupo por Correspondencia permanente para abordar determinados temas entre las reuniones, aliviando así parte de la presión impuesta al GTC-RHF. Un consejero insistió en la necesidad de defender el principio de inclusividad y de supervisión por los Estados Miembros del GTC-RHF y sus trabajos. Otra consejera destacó la importancia de que la Secretaría presente de manera oportuna documentación transparente y clara para facilitar las deliberaciones y decisiones del GTC</w:t>
      </w:r>
      <w:r w:rsidRPr="001D759A">
        <w:rPr>
          <w:lang w:val="es-ES"/>
        </w:rPr>
        <w:noBreakHyphen/>
        <w:t xml:space="preserve">RHF. </w:t>
      </w:r>
    </w:p>
    <w:p w14:paraId="4A32D3AA" w14:textId="4B3139B2" w:rsidR="00ED2477" w:rsidRPr="001D759A" w:rsidRDefault="00ED2477" w:rsidP="00ED2477">
      <w:pPr>
        <w:rPr>
          <w:lang w:val="es-ES"/>
        </w:rPr>
      </w:pPr>
      <w:r w:rsidRPr="001D759A">
        <w:rPr>
          <w:lang w:val="es-ES"/>
        </w:rPr>
        <w:t>3.3</w:t>
      </w:r>
      <w:r w:rsidRPr="001D759A">
        <w:rPr>
          <w:lang w:val="es-ES"/>
        </w:rPr>
        <w:tab/>
        <w:t xml:space="preserve">Posteriormente, la Presidenta del GTC-RHF presentó el Documento C26/53(Rev.1), que contiene una versión actualizada del </w:t>
      </w:r>
      <w:r w:rsidR="00B534AC" w:rsidRPr="001D759A">
        <w:rPr>
          <w:lang w:val="es-ES"/>
        </w:rPr>
        <w:t>i</w:t>
      </w:r>
      <w:r w:rsidRPr="001D759A">
        <w:rPr>
          <w:lang w:val="es-ES"/>
        </w:rPr>
        <w:t>nforme en la que se tienen en cuenta las observaciones de los consejeros.</w:t>
      </w:r>
    </w:p>
    <w:p w14:paraId="1AEEF401" w14:textId="77777777" w:rsidR="00ED2477" w:rsidRPr="001D759A" w:rsidRDefault="00ED2477" w:rsidP="008B73D9">
      <w:pPr>
        <w:spacing w:after="120"/>
        <w:rPr>
          <w:lang w:val="es-ES"/>
        </w:rPr>
      </w:pPr>
      <w:r w:rsidRPr="001D759A">
        <w:rPr>
          <w:lang w:val="es-ES"/>
        </w:rPr>
        <w:t>3.4</w:t>
      </w:r>
      <w:r w:rsidRPr="001D759A">
        <w:rPr>
          <w:lang w:val="es-ES"/>
        </w:rPr>
        <w:tab/>
        <w:t xml:space="preserve">La Comisión </w:t>
      </w:r>
      <w:r w:rsidRPr="001D759A">
        <w:rPr>
          <w:b/>
          <w:bCs/>
          <w:lang w:val="es-ES"/>
        </w:rPr>
        <w:t xml:space="preserve">acordó </w:t>
      </w:r>
      <w:r w:rsidRPr="001D759A">
        <w:rPr>
          <w:lang w:val="es-ES"/>
        </w:rPr>
        <w:t>llegar a la siguiente conclusión:</w:t>
      </w:r>
    </w:p>
    <w:tbl>
      <w:tblPr>
        <w:tblStyle w:val="TableGrid"/>
        <w:tblW w:w="5000" w:type="pct"/>
        <w:tblInd w:w="-147" w:type="dxa"/>
        <w:tblLook w:val="04A0" w:firstRow="1" w:lastRow="0" w:firstColumn="1" w:lastColumn="0" w:noHBand="0" w:noVBand="1"/>
      </w:tblPr>
      <w:tblGrid>
        <w:gridCol w:w="9061"/>
      </w:tblGrid>
      <w:tr w:rsidR="00ED2477" w:rsidRPr="00C52838" w14:paraId="74986C22" w14:textId="77777777" w:rsidTr="00950DAB">
        <w:tc>
          <w:tcPr>
            <w:tcW w:w="9208" w:type="dxa"/>
            <w:tcBorders>
              <w:top w:val="single" w:sz="4" w:space="0" w:color="auto"/>
              <w:left w:val="single" w:sz="4" w:space="0" w:color="auto"/>
              <w:bottom w:val="single" w:sz="4" w:space="0" w:color="auto"/>
              <w:right w:val="single" w:sz="4" w:space="0" w:color="auto"/>
            </w:tcBorders>
            <w:hideMark/>
          </w:tcPr>
          <w:p w14:paraId="5C139CA2" w14:textId="3FA6CBB2" w:rsidR="00ED2477" w:rsidRPr="001D759A" w:rsidRDefault="00ED2477" w:rsidP="00460BD1">
            <w:pPr>
              <w:tabs>
                <w:tab w:val="clear" w:pos="567"/>
                <w:tab w:val="left" w:pos="605"/>
              </w:tabs>
              <w:spacing w:after="80"/>
              <w:ind w:left="40"/>
              <w:rPr>
                <w:lang w:val="es-ES"/>
              </w:rPr>
            </w:pPr>
            <w:r w:rsidRPr="001D759A">
              <w:rPr>
                <w:lang w:val="es-ES"/>
              </w:rPr>
              <w:t>3.5</w:t>
            </w:r>
            <w:r w:rsidRPr="001D759A">
              <w:rPr>
                <w:lang w:val="es-ES"/>
              </w:rPr>
              <w:tab/>
              <w:t xml:space="preserve">La Comisión recomienda </w:t>
            </w:r>
            <w:r w:rsidR="00FB7200" w:rsidRPr="001D759A">
              <w:rPr>
                <w:lang w:val="es-ES"/>
              </w:rPr>
              <w:t>a</w:t>
            </w:r>
            <w:r w:rsidRPr="001D759A">
              <w:rPr>
                <w:lang w:val="es-ES"/>
              </w:rPr>
              <w:t>l Consejo</w:t>
            </w:r>
            <w:r w:rsidR="00FB7200" w:rsidRPr="001D759A">
              <w:rPr>
                <w:lang w:val="es-ES"/>
              </w:rPr>
              <w:t xml:space="preserve"> que</w:t>
            </w:r>
            <w:r w:rsidRPr="001D759A">
              <w:rPr>
                <w:lang w:val="es-ES"/>
              </w:rPr>
              <w:t>:</w:t>
            </w:r>
          </w:p>
          <w:p w14:paraId="776CDD9F" w14:textId="5954B40D" w:rsidR="00ED2477" w:rsidRPr="001D759A" w:rsidRDefault="00ED2477" w:rsidP="00FF5D6E">
            <w:pPr>
              <w:pStyle w:val="enumlev1"/>
              <w:tabs>
                <w:tab w:val="clear" w:pos="567"/>
              </w:tabs>
              <w:ind w:left="605"/>
              <w:rPr>
                <w:lang w:val="es-ES"/>
              </w:rPr>
            </w:pPr>
            <w:r w:rsidRPr="001D759A">
              <w:rPr>
                <w:rFonts w:eastAsia="Aptos"/>
                <w:lang w:val="es-ES"/>
              </w:rPr>
              <w:t>•</w:t>
            </w:r>
            <w:r w:rsidRPr="001D759A">
              <w:rPr>
                <w:rFonts w:eastAsia="Aptos"/>
                <w:lang w:val="es-ES"/>
              </w:rPr>
              <w:tab/>
            </w:r>
            <w:r w:rsidR="006E3875">
              <w:rPr>
                <w:rFonts w:eastAsia="Aptos"/>
                <w:lang w:val="es-ES"/>
              </w:rPr>
              <w:t>tome nota</w:t>
            </w:r>
            <w:r w:rsidR="006E3875" w:rsidRPr="001D759A">
              <w:rPr>
                <w:lang w:val="es-ES"/>
              </w:rPr>
              <w:t xml:space="preserve"> </w:t>
            </w:r>
            <w:r w:rsidR="006E3875">
              <w:rPr>
                <w:lang w:val="es-ES"/>
              </w:rPr>
              <w:t>d</w:t>
            </w:r>
            <w:r w:rsidRPr="001D759A">
              <w:rPr>
                <w:lang w:val="es-ES"/>
              </w:rPr>
              <w:t xml:space="preserve">el Informe reproducido en el Documento </w:t>
            </w:r>
            <w:hyperlink r:id="rId16" w:history="1">
              <w:r w:rsidRPr="001D759A">
                <w:rPr>
                  <w:rStyle w:val="Hyperlink"/>
                  <w:lang w:val="es-ES"/>
                </w:rPr>
                <w:t>C26/53(Rev.1)</w:t>
              </w:r>
            </w:hyperlink>
            <w:r w:rsidRPr="001D759A">
              <w:rPr>
                <w:lang w:val="es-ES"/>
              </w:rPr>
              <w:t>,</w:t>
            </w:r>
            <w:r w:rsidR="007D3544" w:rsidRPr="001D759A">
              <w:rPr>
                <w:lang w:val="es-ES"/>
              </w:rPr>
              <w:t xml:space="preserve"> </w:t>
            </w:r>
            <w:r w:rsidRPr="001D759A">
              <w:rPr>
                <w:lang w:val="es-ES"/>
              </w:rPr>
              <w:t xml:space="preserve">y </w:t>
            </w:r>
          </w:p>
          <w:p w14:paraId="267F16BF" w14:textId="64A787E4" w:rsidR="00ED2477" w:rsidRPr="001D759A" w:rsidRDefault="00ED2477" w:rsidP="000126B6">
            <w:pPr>
              <w:pStyle w:val="enumlev1"/>
              <w:tabs>
                <w:tab w:val="clear" w:pos="567"/>
              </w:tabs>
              <w:spacing w:after="120"/>
              <w:ind w:left="605"/>
              <w:rPr>
                <w:lang w:val="es-ES"/>
              </w:rPr>
            </w:pPr>
            <w:r w:rsidRPr="001D759A">
              <w:rPr>
                <w:rFonts w:eastAsia="Aptos"/>
                <w:lang w:val="es-ES"/>
              </w:rPr>
              <w:t>•</w:t>
            </w:r>
            <w:r w:rsidRPr="001D759A">
              <w:rPr>
                <w:rFonts w:eastAsia="Aptos"/>
                <w:lang w:val="es-ES"/>
              </w:rPr>
              <w:tab/>
              <w:t>presente las recomendaciones que contiene a la Conferencia de Plenipotenciarios, según proceda, en particular las relativas a la continuación de las actividades del</w:t>
            </w:r>
            <w:r w:rsidR="00950DAB" w:rsidRPr="001D759A">
              <w:rPr>
                <w:rFonts w:eastAsia="Aptos"/>
                <w:lang w:val="es-ES"/>
              </w:rPr>
              <w:t> </w:t>
            </w:r>
            <w:r w:rsidRPr="001D759A">
              <w:rPr>
                <w:rFonts w:eastAsia="Aptos"/>
                <w:lang w:val="es-ES"/>
              </w:rPr>
              <w:t>GTC-RHF durante los próximos cuatro años</w:t>
            </w:r>
            <w:r w:rsidRPr="001D759A">
              <w:rPr>
                <w:rFonts w:eastAsia="Calibri" w:cs="Calibri"/>
                <w:lang w:val="es-ES"/>
              </w:rPr>
              <w:t>.</w:t>
            </w:r>
          </w:p>
        </w:tc>
      </w:tr>
    </w:tbl>
    <w:p w14:paraId="167950E3" w14:textId="3E92B454" w:rsidR="00ED2477" w:rsidRPr="001D759A" w:rsidRDefault="00ED2477" w:rsidP="00ED2477">
      <w:pPr>
        <w:pStyle w:val="Heading1"/>
        <w:rPr>
          <w:lang w:val="es-ES"/>
        </w:rPr>
      </w:pPr>
      <w:r w:rsidRPr="001D759A">
        <w:rPr>
          <w:lang w:val="es-ES"/>
        </w:rPr>
        <w:lastRenderedPageBreak/>
        <w:t>4</w:t>
      </w:r>
      <w:r w:rsidRPr="001D759A">
        <w:rPr>
          <w:lang w:val="es-ES"/>
        </w:rPr>
        <w:tab/>
        <w:t>Declaración del Grupo Asesor de Radiocomunicaciones</w:t>
      </w:r>
      <w:r w:rsidRPr="001D759A">
        <w:rPr>
          <w:lang w:val="es-ES"/>
        </w:rPr>
        <w:br/>
        <w:t xml:space="preserve">(Documento </w:t>
      </w:r>
      <w:hyperlink r:id="rId17" w:history="1">
        <w:r w:rsidRPr="001D759A">
          <w:rPr>
            <w:rStyle w:val="Hyperlink"/>
            <w:color w:val="800080"/>
            <w:lang w:val="es-ES"/>
          </w:rPr>
          <w:t>C26/111</w:t>
        </w:r>
      </w:hyperlink>
      <w:r w:rsidRPr="001D759A">
        <w:rPr>
          <w:lang w:val="es-ES"/>
        </w:rPr>
        <w:t>)</w:t>
      </w:r>
    </w:p>
    <w:p w14:paraId="4720C3BF" w14:textId="673ECB63" w:rsidR="00ED2477" w:rsidRPr="001D759A" w:rsidRDefault="00ED2477" w:rsidP="00ED2477">
      <w:pPr>
        <w:rPr>
          <w:lang w:val="es-ES"/>
        </w:rPr>
      </w:pPr>
      <w:r w:rsidRPr="001D759A">
        <w:rPr>
          <w:lang w:val="es-ES"/>
        </w:rPr>
        <w:t>4.1</w:t>
      </w:r>
      <w:r w:rsidRPr="001D759A">
        <w:rPr>
          <w:lang w:val="es-ES"/>
        </w:rPr>
        <w:tab/>
        <w:t xml:space="preserve">La Directora Adjunta de la Oficina de Radiocomunicaciones (BR) presentó el Documento C26/111, que contiene la respuesta del Grupo Asesor de Radiocomunicaciones (GAR) a una declaración de coordinación del GTC-RHF a los Grupos Asesores de los Sectores y al Grupo de Coordinación Intersectorial sobre asuntos de interés mutuo (GCIS) en relación con el proceso de estimación de las consecuencias financieras de las propuestas de Decisión y Resolución de las Conferencias y Asambleas de </w:t>
      </w:r>
      <w:r w:rsidR="00103D78">
        <w:rPr>
          <w:lang w:val="es-ES"/>
        </w:rPr>
        <w:t>la UIT</w:t>
      </w:r>
      <w:r w:rsidRPr="001D759A">
        <w:rPr>
          <w:lang w:val="es-ES"/>
        </w:rPr>
        <w:t>. En su 33.ª reunión el GAR abordó las dificultades que plantea ofrecer estimaciones siguiendo la metodología de estimación de costes propuesta en el contexto de la CMR y llegó a la conclusión de que resultaría problemático adoptar la metodología propuesta para la CMR-27</w:t>
      </w:r>
      <w:r w:rsidR="00EA399C" w:rsidRPr="001D759A">
        <w:rPr>
          <w:lang w:val="es-ES"/>
        </w:rPr>
        <w:t xml:space="preserve"> en ese momento</w:t>
      </w:r>
      <w:r w:rsidRPr="001D759A">
        <w:rPr>
          <w:lang w:val="es-ES"/>
        </w:rPr>
        <w:t>.</w:t>
      </w:r>
    </w:p>
    <w:p w14:paraId="4F024177" w14:textId="77777777" w:rsidR="00ED2477" w:rsidRPr="001D759A" w:rsidRDefault="00ED2477" w:rsidP="00ED2477">
      <w:pPr>
        <w:rPr>
          <w:lang w:val="es-ES"/>
        </w:rPr>
      </w:pPr>
      <w:r w:rsidRPr="001D759A">
        <w:rPr>
          <w:lang w:val="es-ES"/>
        </w:rPr>
        <w:t>4.2</w:t>
      </w:r>
      <w:r w:rsidRPr="001D759A">
        <w:rPr>
          <w:lang w:val="es-ES"/>
        </w:rPr>
        <w:tab/>
        <w:t>Durante el debate posterior, aun reconociendo las complejidades del cálculo de las consecuencias financieras de las Resoluciones de la CMR, varios consejeros se dijeron preocupados por el posible incumplimiento del Artículo 34 del Convenio que resultaría de no poderse estimar las consecuencias financieras de las Resoluciones adoptadas por la CMR-27. La naturaleza compleja de las decisiones adoptadas por la CMR no justifica el incumplimiento del Convenio. Aunque no es posible esperar predicciones precisas, debería ser posible llegar a una estimación aproximada de los costes, sobre todo cuando la CMR es una Conferencia periódica cuyo orden del día se planifica con cuatro años de antelación y cuyos resultados son bastante previsibles. En su declaración de coordinación el GAR no da información que especifique las dificultades particulares que plantea la estimación de los costes de las Resoluciones y Decisiones de la CMR, por lo que sería de agradecer una explicación más detallada de las particularidades de esas dificultades.</w:t>
      </w:r>
    </w:p>
    <w:p w14:paraId="24964C39" w14:textId="456C5DB8" w:rsidR="00ED2477" w:rsidRPr="001D759A" w:rsidRDefault="00ED2477" w:rsidP="00ED2477">
      <w:pPr>
        <w:rPr>
          <w:lang w:val="es-ES"/>
        </w:rPr>
      </w:pPr>
      <w:r w:rsidRPr="001D759A">
        <w:rPr>
          <w:lang w:val="es-ES"/>
        </w:rPr>
        <w:t>4.3</w:t>
      </w:r>
      <w:r w:rsidRPr="001D759A">
        <w:rPr>
          <w:lang w:val="es-ES"/>
        </w:rPr>
        <w:tab/>
        <w:t xml:space="preserve">Otros consejeros dijeron que el hecho de que las Decisiones y Resoluciones de la CMR se modifiquen notablemente durante la Conferencia implica que no sería realista esperar el tipo de cálculos </w:t>
      </w:r>
      <w:r w:rsidRPr="001D759A">
        <w:rPr>
          <w:i/>
          <w:iCs/>
          <w:lang w:val="es-ES"/>
        </w:rPr>
        <w:t xml:space="preserve">ex ante </w:t>
      </w:r>
      <w:r w:rsidRPr="001D759A">
        <w:rPr>
          <w:lang w:val="es-ES"/>
        </w:rPr>
        <w:t xml:space="preserve">que sí pueden realizarse para otras Conferencias. La cuestión no es si se cumple o no el Artículo 34, sino cómo garantizar que se respete a pesar de las dificultades que supone la estimación de las consecuencias financieras de las Resoluciones y Decisiones de la CMR. Se ha de considerar si una metodología de cálculo de costes genérica aplicable a todas las reuniones y conferencias es efectivamente adecuada o si </w:t>
      </w:r>
      <w:proofErr w:type="gramStart"/>
      <w:r w:rsidRPr="001D759A">
        <w:rPr>
          <w:lang w:val="es-ES"/>
        </w:rPr>
        <w:t>deberían</w:t>
      </w:r>
      <w:proofErr w:type="gramEnd"/>
      <w:r w:rsidRPr="001D759A">
        <w:rPr>
          <w:lang w:val="es-ES"/>
        </w:rPr>
        <w:t xml:space="preserve"> utilizarse métodos de cálculo particulares para cada conferencia y asamblea. En el caso de la CMR la metodología de cálculo de costes debe tener en cuenta que en esa Conferencia no sólo se aprueba</w:t>
      </w:r>
      <w:r w:rsidR="006535E6">
        <w:rPr>
          <w:lang w:val="es-ES"/>
        </w:rPr>
        <w:t>n</w:t>
      </w:r>
      <w:r w:rsidRPr="001D759A">
        <w:rPr>
          <w:lang w:val="es-ES"/>
        </w:rPr>
        <w:t xml:space="preserve"> nuevas actividades de </w:t>
      </w:r>
      <w:r w:rsidR="005457EE">
        <w:rPr>
          <w:lang w:val="es-ES"/>
        </w:rPr>
        <w:t>la Unión</w:t>
      </w:r>
      <w:r w:rsidRPr="001D759A">
        <w:rPr>
          <w:lang w:val="es-ES"/>
        </w:rPr>
        <w:t xml:space="preserve">, sino que también se suprimen o sustituyen actividades obsoletas. Por consiguiente, el resultado de la Conferencia no es simplemente la suma de actividades que exigen recursos adicionales. Los recursos de </w:t>
      </w:r>
      <w:r w:rsidR="005457EE">
        <w:rPr>
          <w:lang w:val="es-ES"/>
        </w:rPr>
        <w:t>la Unión</w:t>
      </w:r>
      <w:r w:rsidRPr="001D759A">
        <w:rPr>
          <w:lang w:val="es-ES"/>
        </w:rPr>
        <w:t xml:space="preserve"> son limitados y deben gestionarse adecuadamente, por lo que la presentación del presupuesto y los estados financieros de </w:t>
      </w:r>
      <w:r w:rsidR="005457EE">
        <w:rPr>
          <w:lang w:val="es-ES"/>
        </w:rPr>
        <w:t>la Unión</w:t>
      </w:r>
      <w:r w:rsidRPr="001D759A">
        <w:rPr>
          <w:lang w:val="es-ES"/>
        </w:rPr>
        <w:t xml:space="preserve"> es fundamental para comprender la disponibilidad de fondos y garantizar el cumplimiento del Artículo 34. Una metodología de estimación de las consecuencias financieras de las Resoluciones y Decisiones adecuada es, así, un elemento importante de la gestión financiera de </w:t>
      </w:r>
      <w:r w:rsidR="005457EE">
        <w:rPr>
          <w:lang w:val="es-ES"/>
        </w:rPr>
        <w:t>la Unión</w:t>
      </w:r>
      <w:r w:rsidRPr="001D759A">
        <w:rPr>
          <w:lang w:val="es-ES"/>
        </w:rPr>
        <w:t xml:space="preserve"> y garantiza que puede llevar a cabo su mandato fundamental. Es un asunto cuya consideración y detallado debate, teniendo en cuenta las particularidades de cada Sector, debe seguir llevándose a cabo en el seno del</w:t>
      </w:r>
      <w:r w:rsidR="00950DAB" w:rsidRPr="001D759A">
        <w:rPr>
          <w:lang w:val="es-ES"/>
        </w:rPr>
        <w:t> </w:t>
      </w:r>
      <w:r w:rsidRPr="001D759A">
        <w:rPr>
          <w:lang w:val="es-ES"/>
        </w:rPr>
        <w:t>GTC-RHF.</w:t>
      </w:r>
    </w:p>
    <w:p w14:paraId="34F6DFF4" w14:textId="57F7E926" w:rsidR="00ED2477" w:rsidRPr="001D759A" w:rsidRDefault="00ED2477" w:rsidP="00ED2477">
      <w:pPr>
        <w:rPr>
          <w:lang w:val="es-ES"/>
        </w:rPr>
      </w:pPr>
      <w:r w:rsidRPr="001D759A">
        <w:rPr>
          <w:lang w:val="es-ES"/>
        </w:rPr>
        <w:t>4.4</w:t>
      </w:r>
      <w:r w:rsidRPr="001D759A">
        <w:rPr>
          <w:lang w:val="es-ES"/>
        </w:rPr>
        <w:tab/>
        <w:t xml:space="preserve">El Director de la BR </w:t>
      </w:r>
      <w:r w:rsidR="00862A4F">
        <w:rPr>
          <w:lang w:val="es-ES"/>
        </w:rPr>
        <w:t>dijo</w:t>
      </w:r>
      <w:r w:rsidR="00862A4F" w:rsidRPr="001D759A">
        <w:rPr>
          <w:lang w:val="es-ES"/>
        </w:rPr>
        <w:t xml:space="preserve"> </w:t>
      </w:r>
      <w:r w:rsidRPr="001D759A">
        <w:rPr>
          <w:lang w:val="es-ES"/>
        </w:rPr>
        <w:t xml:space="preserve">que el GAR </w:t>
      </w:r>
      <w:r w:rsidR="00862A4F">
        <w:rPr>
          <w:lang w:val="es-ES"/>
        </w:rPr>
        <w:t xml:space="preserve">ha estudiado </w:t>
      </w:r>
      <w:r w:rsidRPr="001D759A">
        <w:rPr>
          <w:lang w:val="es-ES"/>
        </w:rPr>
        <w:t xml:space="preserve">la metodología </w:t>
      </w:r>
      <w:r w:rsidR="00862A4F">
        <w:rPr>
          <w:lang w:val="es-ES"/>
        </w:rPr>
        <w:t xml:space="preserve">mediante la cual </w:t>
      </w:r>
      <w:r w:rsidRPr="001D759A">
        <w:rPr>
          <w:lang w:val="es-ES"/>
        </w:rPr>
        <w:t xml:space="preserve">los Estados Miembros y organizaciones regionales </w:t>
      </w:r>
      <w:r w:rsidR="00862A4F">
        <w:rPr>
          <w:lang w:val="es-ES"/>
        </w:rPr>
        <w:t>deben estimar</w:t>
      </w:r>
      <w:r w:rsidR="00862A4F" w:rsidRPr="001D759A">
        <w:rPr>
          <w:lang w:val="es-ES"/>
        </w:rPr>
        <w:t xml:space="preserve"> </w:t>
      </w:r>
      <w:r w:rsidRPr="001D759A">
        <w:rPr>
          <w:lang w:val="es-ES"/>
        </w:rPr>
        <w:t xml:space="preserve">los costes de sus propuestas </w:t>
      </w:r>
      <w:r w:rsidRPr="001D759A">
        <w:rPr>
          <w:lang w:val="es-ES"/>
        </w:rPr>
        <w:lastRenderedPageBreak/>
        <w:t xml:space="preserve">antes de que se celebre </w:t>
      </w:r>
      <w:r w:rsidR="00862A4F">
        <w:rPr>
          <w:lang w:val="es-ES"/>
        </w:rPr>
        <w:t>una</w:t>
      </w:r>
      <w:r w:rsidR="00862A4F" w:rsidRPr="001D759A">
        <w:rPr>
          <w:lang w:val="es-ES"/>
        </w:rPr>
        <w:t xml:space="preserve"> </w:t>
      </w:r>
      <w:r w:rsidRPr="001D759A">
        <w:rPr>
          <w:lang w:val="es-ES"/>
        </w:rPr>
        <w:t>Conferencia. Aunque es un ejercicio que puede realizarse, el procedimiento posterior de consideración y análisis de las posibles combinaciones de las repercusiones de todas esas propuestas arroja numerosos resultados posibles. Por consiguiente, durante la CMR las Decisiones y Resoluci</w:t>
      </w:r>
      <w:r w:rsidR="000E31A1">
        <w:rPr>
          <w:lang w:val="es-ES"/>
        </w:rPr>
        <w:t>o</w:t>
      </w:r>
      <w:r w:rsidRPr="001D759A">
        <w:rPr>
          <w:lang w:val="es-ES"/>
        </w:rPr>
        <w:t>n</w:t>
      </w:r>
      <w:r w:rsidR="000E31A1">
        <w:rPr>
          <w:lang w:val="es-ES"/>
        </w:rPr>
        <w:t>es</w:t>
      </w:r>
      <w:r w:rsidRPr="001D759A">
        <w:rPr>
          <w:lang w:val="es-ES"/>
        </w:rPr>
        <w:t xml:space="preserve"> podrían sufrir cambios importantes, cuyos resultados podrían alejarse enormemente de los costes estimados. Así, se sugirió estudiar un método alternativo para garantizar que las Decisiones y Resoluciones de la Conferencia pueden aplicarse. </w:t>
      </w:r>
      <w:r w:rsidR="003F48D9" w:rsidRPr="001D759A">
        <w:rPr>
          <w:lang w:val="es-ES"/>
        </w:rPr>
        <w:t>Se debería prestar atención a la naturaleza de</w:t>
      </w:r>
      <w:r w:rsidRPr="001D759A">
        <w:rPr>
          <w:lang w:val="es-ES"/>
        </w:rPr>
        <w:t xml:space="preserve"> las propuestas </w:t>
      </w:r>
      <w:r w:rsidR="003F48D9" w:rsidRPr="001D759A">
        <w:rPr>
          <w:lang w:val="es-ES"/>
        </w:rPr>
        <w:t xml:space="preserve">presentadas a las CMR, que en muchos casos cuentan con un </w:t>
      </w:r>
      <w:r w:rsidRPr="001D759A">
        <w:rPr>
          <w:lang w:val="es-ES"/>
        </w:rPr>
        <w:t xml:space="preserve">fuerte </w:t>
      </w:r>
      <w:r w:rsidR="003F48D9" w:rsidRPr="001D759A">
        <w:rPr>
          <w:lang w:val="es-ES"/>
        </w:rPr>
        <w:t xml:space="preserve">respaldo </w:t>
      </w:r>
      <w:r w:rsidRPr="001D759A">
        <w:rPr>
          <w:lang w:val="es-ES"/>
        </w:rPr>
        <w:t>de la industria</w:t>
      </w:r>
      <w:r w:rsidR="003F48D9" w:rsidRPr="001D759A">
        <w:rPr>
          <w:lang w:val="es-ES"/>
        </w:rPr>
        <w:t>,</w:t>
      </w:r>
      <w:r w:rsidRPr="001D759A">
        <w:rPr>
          <w:lang w:val="es-ES"/>
        </w:rPr>
        <w:t xml:space="preserve"> y</w:t>
      </w:r>
      <w:r w:rsidR="003F48D9" w:rsidRPr="001D759A">
        <w:rPr>
          <w:lang w:val="es-ES"/>
        </w:rPr>
        <w:t xml:space="preserve"> recortarlas por motivos presupuestarios socavaría gravemente la confianza depositada por la industria en </w:t>
      </w:r>
      <w:r w:rsidR="00103D78">
        <w:rPr>
          <w:lang w:val="es-ES"/>
        </w:rPr>
        <w:t>la UIT</w:t>
      </w:r>
      <w:r w:rsidRPr="001D759A">
        <w:rPr>
          <w:lang w:val="es-ES"/>
        </w:rPr>
        <w:t>.</w:t>
      </w:r>
    </w:p>
    <w:p w14:paraId="7DFA64C9" w14:textId="77777777" w:rsidR="00ED2477" w:rsidRPr="001D759A" w:rsidRDefault="00ED2477" w:rsidP="00ED2477">
      <w:pPr>
        <w:spacing w:after="120"/>
        <w:rPr>
          <w:lang w:val="es-ES"/>
        </w:rPr>
      </w:pPr>
      <w:r w:rsidRPr="001D759A">
        <w:rPr>
          <w:lang w:val="es-ES"/>
        </w:rPr>
        <w:t>4.5</w:t>
      </w:r>
      <w:r w:rsidRPr="001D759A">
        <w:rPr>
          <w:lang w:val="es-ES"/>
        </w:rPr>
        <w:tab/>
        <w:t xml:space="preserve">La Comisión </w:t>
      </w:r>
      <w:r w:rsidRPr="001D759A">
        <w:rPr>
          <w:b/>
          <w:bCs/>
          <w:lang w:val="es-ES"/>
        </w:rPr>
        <w:t xml:space="preserve">acordó </w:t>
      </w:r>
      <w:r w:rsidRPr="001D759A">
        <w:rPr>
          <w:lang w:val="es-ES"/>
        </w:rPr>
        <w:t>llegar a la siguiente conclusión</w:t>
      </w:r>
      <w:r w:rsidRPr="001D759A">
        <w:rPr>
          <w:rFonts w:eastAsia="Calibri" w:cs="Calibri"/>
          <w:lang w:val="es-ES"/>
        </w:rPr>
        <w:t>:</w:t>
      </w:r>
    </w:p>
    <w:tbl>
      <w:tblPr>
        <w:tblStyle w:val="TableGrid"/>
        <w:tblW w:w="5000" w:type="pct"/>
        <w:tblInd w:w="-147" w:type="dxa"/>
        <w:tblLook w:val="04A0" w:firstRow="1" w:lastRow="0" w:firstColumn="1" w:lastColumn="0" w:noHBand="0" w:noVBand="1"/>
      </w:tblPr>
      <w:tblGrid>
        <w:gridCol w:w="9061"/>
      </w:tblGrid>
      <w:tr w:rsidR="00ED2477" w:rsidRPr="00C52838" w14:paraId="736BDF38" w14:textId="77777777" w:rsidTr="005457EE">
        <w:tc>
          <w:tcPr>
            <w:tcW w:w="9208" w:type="dxa"/>
            <w:tcBorders>
              <w:top w:val="single" w:sz="4" w:space="0" w:color="auto"/>
              <w:left w:val="single" w:sz="4" w:space="0" w:color="auto"/>
              <w:bottom w:val="single" w:sz="4" w:space="0" w:color="auto"/>
              <w:right w:val="single" w:sz="4" w:space="0" w:color="auto"/>
            </w:tcBorders>
            <w:hideMark/>
          </w:tcPr>
          <w:p w14:paraId="09F9685C" w14:textId="379FC1E2" w:rsidR="00ED2477" w:rsidRPr="001D759A" w:rsidRDefault="00ED2477" w:rsidP="00460BD1">
            <w:pPr>
              <w:tabs>
                <w:tab w:val="clear" w:pos="567"/>
                <w:tab w:val="left" w:pos="605"/>
              </w:tabs>
              <w:spacing w:after="80"/>
              <w:ind w:left="40"/>
              <w:rPr>
                <w:bCs/>
                <w:lang w:val="es-ES"/>
              </w:rPr>
            </w:pPr>
            <w:r w:rsidRPr="001D759A">
              <w:rPr>
                <w:lang w:val="es-ES"/>
              </w:rPr>
              <w:t>4.6</w:t>
            </w:r>
            <w:r w:rsidRPr="001D759A">
              <w:rPr>
                <w:lang w:val="es-ES"/>
              </w:rPr>
              <w:tab/>
              <w:t xml:space="preserve">La Comisión recomienda </w:t>
            </w:r>
            <w:r w:rsidR="00FB7200" w:rsidRPr="001D759A">
              <w:rPr>
                <w:lang w:val="es-ES"/>
              </w:rPr>
              <w:t>a</w:t>
            </w:r>
            <w:r w:rsidRPr="001D759A">
              <w:rPr>
                <w:lang w:val="es-ES"/>
              </w:rPr>
              <w:t>l Consejo</w:t>
            </w:r>
            <w:r w:rsidR="00FB7200" w:rsidRPr="001D759A">
              <w:rPr>
                <w:lang w:val="es-ES"/>
              </w:rPr>
              <w:t xml:space="preserve"> que</w:t>
            </w:r>
            <w:r w:rsidRPr="001D759A">
              <w:rPr>
                <w:bCs/>
                <w:lang w:val="es-ES"/>
              </w:rPr>
              <w:t>:</w:t>
            </w:r>
          </w:p>
          <w:p w14:paraId="40255648" w14:textId="4FFA5992" w:rsidR="00ED2477" w:rsidRPr="001D759A" w:rsidRDefault="00ED2477" w:rsidP="000126B6">
            <w:pPr>
              <w:pStyle w:val="enumlev1"/>
              <w:tabs>
                <w:tab w:val="clear" w:pos="567"/>
              </w:tabs>
              <w:spacing w:after="120"/>
              <w:ind w:left="605"/>
              <w:rPr>
                <w:rFonts w:eastAsia="Calibri" w:cs="Calibri"/>
                <w:lang w:val="es-ES"/>
              </w:rPr>
            </w:pPr>
            <w:r w:rsidRPr="001D759A">
              <w:rPr>
                <w:lang w:val="es-ES"/>
              </w:rPr>
              <w:t>•</w:t>
            </w:r>
            <w:r w:rsidRPr="001D759A">
              <w:rPr>
                <w:lang w:val="es-ES"/>
              </w:rPr>
              <w:tab/>
              <w:t xml:space="preserve">siga adelante con el proceso de definición de una metodología de estimación de las consecuencias financieras de las propuestas de Decisión y Resolución de las Conferencias y Asambleas de </w:t>
            </w:r>
            <w:r w:rsidR="00103D78">
              <w:rPr>
                <w:lang w:val="es-ES"/>
              </w:rPr>
              <w:t>la UIT</w:t>
            </w:r>
            <w:r w:rsidRPr="001D759A">
              <w:rPr>
                <w:lang w:val="es-ES"/>
              </w:rPr>
              <w:t xml:space="preserve"> en el seno del GTC-RHF</w:t>
            </w:r>
            <w:r w:rsidRPr="001D759A">
              <w:rPr>
                <w:rFonts w:eastAsia="Calibri" w:cs="Calibri"/>
                <w:lang w:val="es-ES"/>
              </w:rPr>
              <w:t>.</w:t>
            </w:r>
          </w:p>
        </w:tc>
      </w:tr>
    </w:tbl>
    <w:p w14:paraId="0C5F6A19" w14:textId="48787DC7" w:rsidR="00ED2477" w:rsidRPr="001D759A" w:rsidRDefault="00ED2477" w:rsidP="00ED2477">
      <w:pPr>
        <w:pStyle w:val="Heading1"/>
        <w:rPr>
          <w:lang w:val="es-ES"/>
        </w:rPr>
      </w:pPr>
      <w:r w:rsidRPr="001D759A">
        <w:rPr>
          <w:lang w:val="es-ES"/>
        </w:rPr>
        <w:t>5</w:t>
      </w:r>
      <w:r w:rsidRPr="001D759A">
        <w:rPr>
          <w:lang w:val="es-ES"/>
        </w:rPr>
        <w:tab/>
        <w:t>Fondo para el Desarrollo de las Tecnologías de la Información</w:t>
      </w:r>
      <w:r w:rsidRPr="001D759A">
        <w:rPr>
          <w:lang w:val="es-ES"/>
        </w:rPr>
        <w:br/>
        <w:t xml:space="preserve">y la Comunicación (Documento </w:t>
      </w:r>
      <w:hyperlink r:id="rId18" w:history="1">
        <w:r w:rsidRPr="001D759A">
          <w:rPr>
            <w:rStyle w:val="Hyperlink"/>
            <w:bCs/>
            <w:lang w:val="es-ES"/>
          </w:rPr>
          <w:t>C26/</w:t>
        </w:r>
        <w:r w:rsidRPr="001D759A">
          <w:rPr>
            <w:rStyle w:val="Hyperlink"/>
            <w:lang w:val="es-ES"/>
          </w:rPr>
          <w:t>34</w:t>
        </w:r>
      </w:hyperlink>
      <w:r w:rsidRPr="001D759A">
        <w:rPr>
          <w:lang w:val="es-ES"/>
        </w:rPr>
        <w:t>)</w:t>
      </w:r>
    </w:p>
    <w:p w14:paraId="4375F336" w14:textId="1DF719DA" w:rsidR="00ED2477" w:rsidRPr="001D759A" w:rsidRDefault="00ED2477" w:rsidP="00ED2477">
      <w:pPr>
        <w:pStyle w:val="Normalaftertitle"/>
        <w:rPr>
          <w:rFonts w:eastAsia="Calibri"/>
          <w:lang w:val="es-ES"/>
        </w:rPr>
      </w:pPr>
      <w:r w:rsidRPr="001D759A">
        <w:rPr>
          <w:rFonts w:eastAsia="Calibri"/>
          <w:lang w:val="es-ES"/>
        </w:rPr>
        <w:t>5.1</w:t>
      </w:r>
      <w:r w:rsidRPr="001D759A">
        <w:rPr>
          <w:lang w:val="es-ES"/>
        </w:rPr>
        <w:tab/>
        <w:t>La Directora Adjunta de la Oficina de Desarrollo de las Telecomunicaciones</w:t>
      </w:r>
      <w:r w:rsidRPr="001D759A">
        <w:rPr>
          <w:rFonts w:eastAsia="Calibri"/>
          <w:lang w:val="es-ES"/>
        </w:rPr>
        <w:t xml:space="preserve"> (BDT) presentó el Informe sobre la situación del Fondo para el Desarrollo de las Tecnologías de la Información y la Comunicación (FD-TIC), recogido en el Documento C26/34, en el que se resumen las principales actividades del FD-TIC y se exponen los proyectos de desarrollo a los que ha contribuido. En el Informe se presenta la situación financiera del Fondo, así como información sobre los fondos disponibles en el Fondo de Operaciones de las Exposiciones (FOEX), la Cuenta de capital del FD-TIC y los servicios administrativos y operacionales a finales de 2025. A finales de 2025 la partida AOS arrojaba un superávit de 559 800</w:t>
      </w:r>
      <w:r w:rsidR="005457EE">
        <w:rPr>
          <w:rFonts w:eastAsia="Calibri"/>
          <w:lang w:val="es-ES"/>
        </w:rPr>
        <w:t> CHF</w:t>
      </w:r>
      <w:r w:rsidRPr="001D759A">
        <w:rPr>
          <w:rFonts w:eastAsia="Calibri"/>
          <w:lang w:val="es-ES"/>
        </w:rPr>
        <w:t xml:space="preserve"> con respecto a los 900 000</w:t>
      </w:r>
      <w:r w:rsidR="005457EE">
        <w:rPr>
          <w:rFonts w:eastAsia="Calibri"/>
          <w:lang w:val="es-ES"/>
        </w:rPr>
        <w:t> CHF</w:t>
      </w:r>
      <w:r w:rsidRPr="001D759A">
        <w:rPr>
          <w:rFonts w:eastAsia="Calibri"/>
          <w:lang w:val="es-ES"/>
        </w:rPr>
        <w:t xml:space="preserve"> presupuestados.</w:t>
      </w:r>
    </w:p>
    <w:p w14:paraId="1F0025F4" w14:textId="03221655" w:rsidR="00ED2477" w:rsidRPr="001D759A" w:rsidRDefault="00ED2477" w:rsidP="00ED2477">
      <w:pPr>
        <w:rPr>
          <w:lang w:val="es-ES"/>
        </w:rPr>
      </w:pPr>
      <w:r w:rsidRPr="001D759A">
        <w:rPr>
          <w:rFonts w:eastAsia="Calibri" w:cs="Calibri"/>
          <w:lang w:val="es-ES"/>
        </w:rPr>
        <w:t>5.2</w:t>
      </w:r>
      <w:r w:rsidRPr="001D759A">
        <w:rPr>
          <w:rFonts w:eastAsia="Calibri" w:cs="Calibri"/>
          <w:lang w:val="es-ES"/>
        </w:rPr>
        <w:tab/>
        <w:t>Los consejeros acogieron con beneplácito el Informe sobre la situación del FD-TIC y destacaron la importancia del Fondo. Señalaron la creciente cartera de proyectos y la contribución del fondo a esferas y actividades esenciales, en particular la facilitación de infraestructuras de TIC en países menos adelantados y zonas rurales y remotas. Es fundamental garantizar una financiación sostenible y predecible. Se refrendaron la constante alimentación del Fondo y las perspectivas de futuro propuestas, en particular la transferencia del superávit de la recuperación AOS a la Cuenta de capital del FD-TIC.</w:t>
      </w:r>
    </w:p>
    <w:p w14:paraId="63BCB21E" w14:textId="3D41B213" w:rsidR="00ED2477" w:rsidRPr="001D759A" w:rsidRDefault="00ED2477" w:rsidP="00ED2477">
      <w:pPr>
        <w:rPr>
          <w:lang w:val="es-ES"/>
        </w:rPr>
      </w:pPr>
      <w:r w:rsidRPr="001D759A">
        <w:rPr>
          <w:rFonts w:eastAsia="Calibri" w:cs="Calibri"/>
          <w:lang w:val="es-ES"/>
        </w:rPr>
        <w:t>5.3</w:t>
      </w:r>
      <w:r w:rsidRPr="001D759A">
        <w:rPr>
          <w:rFonts w:eastAsia="Calibri" w:cs="Calibri"/>
          <w:lang w:val="es-ES"/>
        </w:rPr>
        <w:tab/>
        <w:t>La Directora Adjunta de la BDT respondió a las preguntas planteadas diciendo que, a finales de 2025, había unos</w:t>
      </w:r>
      <w:r w:rsidRPr="001D759A">
        <w:rPr>
          <w:lang w:val="es-ES"/>
        </w:rPr>
        <w:t xml:space="preserve"> 2,9</w:t>
      </w:r>
      <w:r w:rsidR="005457EE">
        <w:rPr>
          <w:lang w:val="es-ES"/>
        </w:rPr>
        <w:t> millones CHF</w:t>
      </w:r>
      <w:r w:rsidRPr="001D759A">
        <w:rPr>
          <w:lang w:val="es-ES"/>
        </w:rPr>
        <w:t xml:space="preserve"> en la Cuenta de capital del FD-TIC y pendientes de firma proyectos por valor de 1,4</w:t>
      </w:r>
      <w:r w:rsidR="005457EE">
        <w:rPr>
          <w:lang w:val="es-ES"/>
        </w:rPr>
        <w:t> millones CHF</w:t>
      </w:r>
      <w:r w:rsidRPr="001D759A">
        <w:rPr>
          <w:lang w:val="es-ES"/>
        </w:rPr>
        <w:t>. La mitad de esos proyectos se han firmado desde entonces. Habida cuenta de ello, y entendiéndose que el Consejo aprobará la transferencia del superávit de 559 800</w:t>
      </w:r>
      <w:r w:rsidR="005457EE">
        <w:rPr>
          <w:lang w:val="es-ES"/>
        </w:rPr>
        <w:t> CHF</w:t>
      </w:r>
      <w:r w:rsidR="009D02EC" w:rsidRPr="001D759A">
        <w:rPr>
          <w:lang w:val="es-ES"/>
        </w:rPr>
        <w:t xml:space="preserve"> </w:t>
      </w:r>
      <w:r w:rsidRPr="001D759A">
        <w:rPr>
          <w:lang w:val="es-ES"/>
        </w:rPr>
        <w:t xml:space="preserve">(véase el Documento </w:t>
      </w:r>
      <w:hyperlink r:id="rId19" w:history="1">
        <w:r w:rsidRPr="001D759A">
          <w:rPr>
            <w:rStyle w:val="Hyperlink"/>
            <w:rFonts w:eastAsia="Times New Roman" w:cs="Times New Roman"/>
            <w:szCs w:val="20"/>
            <w:lang w:val="es-ES"/>
          </w:rPr>
          <w:t>C26/42</w:t>
        </w:r>
      </w:hyperlink>
      <w:r w:rsidRPr="001D759A">
        <w:rPr>
          <w:lang w:val="es-ES"/>
        </w:rPr>
        <w:t xml:space="preserve"> </w:t>
      </w:r>
      <w:r w:rsidRPr="00F61806">
        <w:rPr>
          <w:lang w:val="es-ES"/>
        </w:rPr>
        <w:t xml:space="preserve">y el § </w:t>
      </w:r>
      <w:r w:rsidR="00A57AB5">
        <w:rPr>
          <w:lang w:val="es-ES"/>
        </w:rPr>
        <w:t xml:space="preserve">19 </w:t>
      </w:r>
      <w:r w:rsidR="00A57AB5" w:rsidRPr="00F61806">
        <w:rPr>
          <w:i/>
          <w:iCs/>
          <w:lang w:val="es-ES"/>
        </w:rPr>
        <w:t>infra</w:t>
      </w:r>
      <w:r w:rsidRPr="001D759A">
        <w:rPr>
          <w:lang w:val="es-ES"/>
        </w:rPr>
        <w:t>), en total los fondos disponibles ascenderán a 2</w:t>
      </w:r>
      <w:r w:rsidR="005457EE">
        <w:rPr>
          <w:lang w:val="es-ES"/>
        </w:rPr>
        <w:t> millones CHF</w:t>
      </w:r>
      <w:r w:rsidRPr="001D759A">
        <w:rPr>
          <w:lang w:val="es-ES"/>
        </w:rPr>
        <w:t xml:space="preserve">. En cuanto a la auditoría, los proyectos del FD-TIC son un subconjunto de los proyectos de la BDT, que se someten, en </w:t>
      </w:r>
      <w:r w:rsidR="000E31A1">
        <w:rPr>
          <w:lang w:val="es-ES"/>
        </w:rPr>
        <w:t>s</w:t>
      </w:r>
      <w:r w:rsidRPr="001D759A">
        <w:rPr>
          <w:lang w:val="es-ES"/>
        </w:rPr>
        <w:t>u integridad, a una auditoría interna y externa.</w:t>
      </w:r>
    </w:p>
    <w:p w14:paraId="590A16BE" w14:textId="77777777" w:rsidR="00ED2477" w:rsidRPr="001D759A" w:rsidRDefault="00ED2477" w:rsidP="00B32803">
      <w:pPr>
        <w:keepNext/>
        <w:keepLines/>
        <w:spacing w:after="120"/>
        <w:rPr>
          <w:rFonts w:eastAsia="Calibri" w:cs="Calibri"/>
          <w:lang w:val="es-ES"/>
        </w:rPr>
      </w:pPr>
      <w:r w:rsidRPr="001D759A">
        <w:rPr>
          <w:rFonts w:eastAsia="Calibri" w:cs="Calibri"/>
          <w:lang w:val="es-ES"/>
        </w:rPr>
        <w:lastRenderedPageBreak/>
        <w:t>5.4</w:t>
      </w:r>
      <w:r w:rsidRPr="001D759A">
        <w:rPr>
          <w:rFonts w:eastAsia="Calibri" w:cs="Calibri"/>
          <w:lang w:val="es-ES"/>
        </w:rPr>
        <w:tab/>
        <w:t xml:space="preserve">La </w:t>
      </w:r>
      <w:r w:rsidRPr="001D759A">
        <w:rPr>
          <w:lang w:val="es-ES"/>
        </w:rPr>
        <w:t>Comisión</w:t>
      </w:r>
      <w:r w:rsidRPr="001D759A">
        <w:rPr>
          <w:rFonts w:eastAsia="Calibri" w:cs="Calibri"/>
          <w:lang w:val="es-ES"/>
        </w:rPr>
        <w:t xml:space="preserve"> </w:t>
      </w:r>
      <w:r w:rsidRPr="001D759A">
        <w:rPr>
          <w:rFonts w:eastAsia="Calibri" w:cs="Calibri"/>
          <w:b/>
          <w:bCs/>
          <w:lang w:val="es-ES"/>
        </w:rPr>
        <w:t xml:space="preserve">acordó </w:t>
      </w:r>
      <w:r w:rsidRPr="001D759A">
        <w:rPr>
          <w:rFonts w:eastAsia="Calibri" w:cs="Calibri"/>
          <w:lang w:val="es-ES"/>
        </w:rPr>
        <w:t>llegar a la siguiente conclusión:</w:t>
      </w:r>
    </w:p>
    <w:tbl>
      <w:tblPr>
        <w:tblStyle w:val="TableGrid"/>
        <w:tblW w:w="5000" w:type="pct"/>
        <w:tblInd w:w="-147" w:type="dxa"/>
        <w:tblLook w:val="04A0" w:firstRow="1" w:lastRow="0" w:firstColumn="1" w:lastColumn="0" w:noHBand="0" w:noVBand="1"/>
      </w:tblPr>
      <w:tblGrid>
        <w:gridCol w:w="9061"/>
      </w:tblGrid>
      <w:tr w:rsidR="00ED2477" w:rsidRPr="00C52838" w14:paraId="73E1976D" w14:textId="77777777" w:rsidTr="00950DAB">
        <w:tc>
          <w:tcPr>
            <w:tcW w:w="9061" w:type="dxa"/>
            <w:tcBorders>
              <w:top w:val="single" w:sz="4" w:space="0" w:color="auto"/>
              <w:left w:val="single" w:sz="4" w:space="0" w:color="auto"/>
              <w:bottom w:val="single" w:sz="4" w:space="0" w:color="auto"/>
              <w:right w:val="single" w:sz="4" w:space="0" w:color="auto"/>
            </w:tcBorders>
            <w:hideMark/>
          </w:tcPr>
          <w:p w14:paraId="73175BCD" w14:textId="06DDCEA7" w:rsidR="00ED2477" w:rsidRPr="001D759A" w:rsidRDefault="00ED2477" w:rsidP="00B32803">
            <w:pPr>
              <w:keepNext/>
              <w:keepLines/>
              <w:tabs>
                <w:tab w:val="clear" w:pos="567"/>
                <w:tab w:val="left" w:pos="605"/>
              </w:tabs>
              <w:spacing w:after="80"/>
              <w:ind w:left="40"/>
              <w:rPr>
                <w:rFonts w:eastAsia="Times New Roman" w:cs="Times New Roman"/>
                <w:lang w:val="es-ES"/>
              </w:rPr>
            </w:pPr>
            <w:r w:rsidRPr="001D759A">
              <w:rPr>
                <w:rFonts w:eastAsia="Calibri" w:cs="Calibri"/>
                <w:lang w:val="es-ES"/>
              </w:rPr>
              <w:t>5.5</w:t>
            </w:r>
            <w:r w:rsidRPr="001D759A">
              <w:rPr>
                <w:rFonts w:eastAsia="Calibri" w:cs="Calibri"/>
                <w:lang w:val="es-ES"/>
              </w:rPr>
              <w:tab/>
              <w:t xml:space="preserve">La Comisión recomienda </w:t>
            </w:r>
            <w:r w:rsidR="00FB7200" w:rsidRPr="001D759A">
              <w:rPr>
                <w:rFonts w:eastAsia="Calibri" w:cs="Calibri"/>
                <w:lang w:val="es-ES"/>
              </w:rPr>
              <w:t>a</w:t>
            </w:r>
            <w:r w:rsidRPr="001D759A">
              <w:rPr>
                <w:rFonts w:eastAsia="Calibri" w:cs="Calibri"/>
                <w:lang w:val="es-ES"/>
              </w:rPr>
              <w:t>l Consejo</w:t>
            </w:r>
            <w:r w:rsidR="00FB7200" w:rsidRPr="001D759A">
              <w:rPr>
                <w:rFonts w:eastAsia="Calibri" w:cs="Calibri"/>
                <w:lang w:val="es-ES"/>
              </w:rPr>
              <w:t xml:space="preserve"> que</w:t>
            </w:r>
            <w:r w:rsidRPr="001D759A">
              <w:rPr>
                <w:rFonts w:eastAsia="Calibri" w:cs="Calibri"/>
                <w:lang w:val="es-ES"/>
              </w:rPr>
              <w:t>:</w:t>
            </w:r>
          </w:p>
          <w:p w14:paraId="6229AD13" w14:textId="77777777" w:rsidR="00ED2477" w:rsidRPr="001D759A" w:rsidRDefault="00ED2477" w:rsidP="00B32803">
            <w:pPr>
              <w:pStyle w:val="enumlev1"/>
              <w:keepNext/>
              <w:keepLines/>
              <w:tabs>
                <w:tab w:val="clear" w:pos="567"/>
              </w:tabs>
              <w:spacing w:after="120"/>
              <w:ind w:left="605"/>
              <w:rPr>
                <w:rFonts w:eastAsia="Calibri" w:cs="Calibri"/>
                <w:lang w:val="es-ES"/>
              </w:rPr>
            </w:pPr>
            <w:r w:rsidRPr="001D759A">
              <w:rPr>
                <w:rFonts w:eastAsia="Aptos"/>
                <w:lang w:val="es-ES"/>
              </w:rPr>
              <w:t>•</w:t>
            </w:r>
            <w:r w:rsidRPr="001D759A">
              <w:rPr>
                <w:rFonts w:eastAsia="Aptos"/>
                <w:lang w:val="es-ES"/>
              </w:rPr>
              <w:tab/>
              <w:t xml:space="preserve">tome </w:t>
            </w:r>
            <w:r w:rsidRPr="001D759A">
              <w:rPr>
                <w:lang w:val="es-ES"/>
              </w:rPr>
              <w:t>nota</w:t>
            </w:r>
            <w:r w:rsidRPr="001D759A">
              <w:rPr>
                <w:rFonts w:eastAsia="Aptos"/>
                <w:lang w:val="es-ES"/>
              </w:rPr>
              <w:t xml:space="preserve"> de Informe presentado en el Documento</w:t>
            </w:r>
            <w:r w:rsidRPr="001D759A">
              <w:rPr>
                <w:rFonts w:eastAsia="Calibri" w:cs="Calibri"/>
                <w:lang w:val="es-ES"/>
              </w:rPr>
              <w:t xml:space="preserve"> </w:t>
            </w:r>
            <w:hyperlink r:id="rId20" w:history="1">
              <w:r w:rsidRPr="001D759A">
                <w:rPr>
                  <w:rStyle w:val="Hyperlink"/>
                  <w:rFonts w:eastAsia="Calibri" w:cs="Calibri"/>
                  <w:lang w:val="es-ES"/>
                </w:rPr>
                <w:t>C26/34</w:t>
              </w:r>
            </w:hyperlink>
            <w:r w:rsidRPr="001D759A">
              <w:rPr>
                <w:rFonts w:eastAsia="Calibri" w:cs="Calibri"/>
                <w:lang w:val="es-ES"/>
              </w:rPr>
              <w:t>.</w:t>
            </w:r>
          </w:p>
        </w:tc>
      </w:tr>
    </w:tbl>
    <w:p w14:paraId="307B3586" w14:textId="2A447BAF" w:rsidR="00ED2477" w:rsidRPr="001D759A" w:rsidRDefault="00ED2477" w:rsidP="00ED2477">
      <w:pPr>
        <w:pStyle w:val="Heading1"/>
        <w:rPr>
          <w:lang w:val="es-ES"/>
        </w:rPr>
      </w:pPr>
      <w:r w:rsidRPr="001D759A">
        <w:rPr>
          <w:lang w:val="es-ES"/>
        </w:rPr>
        <w:t>6</w:t>
      </w:r>
      <w:r w:rsidRPr="001D759A">
        <w:rPr>
          <w:lang w:val="es-ES"/>
        </w:rPr>
        <w:tab/>
      </w:r>
      <w:r w:rsidR="00410200" w:rsidRPr="001D759A">
        <w:rPr>
          <w:bCs/>
          <w:lang w:val="es-ES"/>
        </w:rPr>
        <w:t xml:space="preserve">Examen anual de ingresos y gastos de la ejecución del presupuesto para 2026, incluida la reducción global del presupuesto para 2026-2027 (Documento </w:t>
      </w:r>
      <w:hyperlink r:id="rId21" w:history="1">
        <w:r w:rsidR="00410200" w:rsidRPr="001D759A">
          <w:rPr>
            <w:rStyle w:val="Hyperlink"/>
            <w:rFonts w:eastAsia="Times New Roman" w:cs="Times New Roman"/>
            <w:bCs/>
            <w:szCs w:val="20"/>
            <w:lang w:val="es-ES"/>
          </w:rPr>
          <w:t>C26/9</w:t>
        </w:r>
      </w:hyperlink>
      <w:r w:rsidR="00410200" w:rsidRPr="001D759A">
        <w:rPr>
          <w:bCs/>
          <w:lang w:val="es-ES"/>
        </w:rPr>
        <w:t>)</w:t>
      </w:r>
    </w:p>
    <w:p w14:paraId="01C11227" w14:textId="4ED1824F" w:rsidR="00ED2477" w:rsidRPr="001D759A" w:rsidRDefault="00ED2477" w:rsidP="00ED2477">
      <w:pPr>
        <w:rPr>
          <w:rFonts w:cs="Calibri"/>
          <w:color w:val="000000"/>
          <w:lang w:val="es-ES"/>
        </w:rPr>
      </w:pPr>
      <w:r w:rsidRPr="001D759A">
        <w:rPr>
          <w:lang w:val="es-ES"/>
        </w:rPr>
        <w:t>6.1</w:t>
      </w:r>
      <w:r w:rsidRPr="001D759A">
        <w:rPr>
          <w:lang w:val="es-ES"/>
        </w:rPr>
        <w:tab/>
        <w:t>Un representante de la Secretaría General presentó el Documento C26/9, en el que se exponían los principales elementos de la ejecución del presupuesto de 2026. El presupuesto aprobado para 2026-2027 había previsto una reducción global de 6</w:t>
      </w:r>
      <w:r w:rsidR="005457EE">
        <w:rPr>
          <w:lang w:val="es-ES"/>
        </w:rPr>
        <w:t> millones CHF</w:t>
      </w:r>
      <w:r w:rsidRPr="001D759A">
        <w:rPr>
          <w:lang w:val="es-ES"/>
        </w:rPr>
        <w:t xml:space="preserve"> entre el nivel de gastos aprobados y el de ingresos previstos. La Secretaría estaba aplicando la reducción de manera selectiva y controlada, con una atención evidente por mantener la coherencia entre los recursos, las prioridades y la ejecución. La reducción de los acuerdos de servicios especiales (SSA) y de los viajes de misión del personal de </w:t>
      </w:r>
      <w:r w:rsidR="00103D78">
        <w:rPr>
          <w:lang w:val="es-ES"/>
        </w:rPr>
        <w:t>la UIT</w:t>
      </w:r>
      <w:r w:rsidRPr="001D759A">
        <w:rPr>
          <w:lang w:val="es-ES"/>
        </w:rPr>
        <w:t xml:space="preserve"> había permitido recuperar 3</w:t>
      </w:r>
      <w:r w:rsidR="005457EE">
        <w:rPr>
          <w:lang w:val="es-ES"/>
        </w:rPr>
        <w:t> millones CHF</w:t>
      </w:r>
      <w:r w:rsidRPr="001D759A">
        <w:rPr>
          <w:lang w:val="es-ES"/>
        </w:rPr>
        <w:t>, por lo que solo quedaba pendiente recuperar otros 3</w:t>
      </w:r>
      <w:r w:rsidR="005457EE">
        <w:rPr>
          <w:lang w:val="es-ES"/>
        </w:rPr>
        <w:t> millones CHF</w:t>
      </w:r>
      <w:r w:rsidRPr="001D759A">
        <w:rPr>
          <w:lang w:val="es-ES"/>
        </w:rPr>
        <w:t xml:space="preserve"> en 2026-2027. Se trataba de aumentar la eficiencia mediante el uso ampliado de la automatización y las herramientas digitales en consonancia con la transformación, como la utilización de tecnologías de traducción e interpretación basadas en inteligencia artificial (IA) para complementar los servicios lingüísticos existentes. Se había reforzado la supervisión interna para mejorar la presentación de informes y el seguimiento financieros</w:t>
      </w:r>
      <w:r w:rsidR="006535E6">
        <w:rPr>
          <w:lang w:val="es-ES"/>
        </w:rPr>
        <w:t xml:space="preserve"> por medio del Comité de Coordinación (CoCo)</w:t>
      </w:r>
      <w:r w:rsidRPr="001D759A">
        <w:rPr>
          <w:lang w:val="es-ES"/>
        </w:rPr>
        <w:t xml:space="preserve">. En lo que respecta a los ingresos, se estaban vigilando las incertidumbres para garantizar la gestión oportuna de los nuevos riesgos. Se estaba haciendo todo lo posible por reducir el presupuesto protegiendo al mismo tiempo el mandato básico de </w:t>
      </w:r>
      <w:r w:rsidR="005457EE">
        <w:rPr>
          <w:lang w:val="es-ES"/>
        </w:rPr>
        <w:t>la Unión</w:t>
      </w:r>
      <w:r w:rsidRPr="001D759A">
        <w:rPr>
          <w:lang w:val="es-ES"/>
        </w:rPr>
        <w:t>, mediante un marco financiero y de gestión disciplinado e informes financieros transparentes para los Estados Miembros.</w:t>
      </w:r>
    </w:p>
    <w:p w14:paraId="66E205AF" w14:textId="287A58E3" w:rsidR="00ED2477" w:rsidRPr="001D759A" w:rsidRDefault="00ED2477" w:rsidP="00ED2477">
      <w:pPr>
        <w:rPr>
          <w:lang w:val="es-ES"/>
        </w:rPr>
      </w:pPr>
      <w:r w:rsidRPr="001D759A">
        <w:rPr>
          <w:lang w:val="es-ES"/>
        </w:rPr>
        <w:t>6.2</w:t>
      </w:r>
      <w:r w:rsidRPr="001D759A">
        <w:rPr>
          <w:lang w:val="es-ES"/>
        </w:rPr>
        <w:tab/>
        <w:t xml:space="preserve">Se realizó una presentación en la que se mostró el nuevo portal del presupuesto por programas y se esbozaron las características del tablero financiero de </w:t>
      </w:r>
      <w:r w:rsidR="005457EE">
        <w:rPr>
          <w:lang w:val="es-ES"/>
        </w:rPr>
        <w:t>la Unión</w:t>
      </w:r>
      <w:r w:rsidRPr="001D759A">
        <w:rPr>
          <w:lang w:val="es-ES"/>
        </w:rPr>
        <w:t>.</w:t>
      </w:r>
    </w:p>
    <w:p w14:paraId="0800E82A" w14:textId="3E823900" w:rsidR="00ED2477" w:rsidRPr="001D759A" w:rsidRDefault="00ED2477" w:rsidP="00ED2477">
      <w:pPr>
        <w:rPr>
          <w:lang w:val="es-ES"/>
        </w:rPr>
      </w:pPr>
      <w:r w:rsidRPr="001D759A">
        <w:rPr>
          <w:lang w:val="es-ES"/>
        </w:rPr>
        <w:t>6.3</w:t>
      </w:r>
      <w:r w:rsidRPr="001D759A">
        <w:rPr>
          <w:lang w:val="es-ES"/>
        </w:rPr>
        <w:tab/>
        <w:t xml:space="preserve">Los consejeros elogiaron las rápidas y rigurosas medidas de eficiencia y el uso racional de los recursos y acogieron con beneplácito el tablero financiero institucional y la supervisión financiera más estricta. Se aplaudieron los resultados obtenidos gracias a las medidas específicas de contención de costes basadas en reducir los SSA y los gastos de viaje. Algunos consejeros consideraron que se podrían reducir aún más los SSA limitando la utilización de contratistas externos y aprovechando mejor la capacidad, el conocimiento experto y el conocimiento institucional del personal de </w:t>
      </w:r>
      <w:r w:rsidR="00103D78">
        <w:rPr>
          <w:lang w:val="es-ES"/>
        </w:rPr>
        <w:t>la UIT</w:t>
      </w:r>
      <w:r w:rsidRPr="001D759A">
        <w:rPr>
          <w:lang w:val="es-ES"/>
        </w:rPr>
        <w:t xml:space="preserve">. Se debería volver a evaluar la dependencia de los contratos externos a largo plazo e informar claramente sobre los servicios por contrata. Los SSA sólo deben utilizarse para actividades sin capacidad de personal designado. Se necesitaba más transparencia en la utilización de contratos de corta duración sin concurso. Se debería realizar un análisis funcional del personal en relación con las actividades operacionales de </w:t>
      </w:r>
      <w:r w:rsidR="00103D78">
        <w:rPr>
          <w:lang w:val="es-ES"/>
        </w:rPr>
        <w:t>la UIT</w:t>
      </w:r>
      <w:r w:rsidRPr="001D759A">
        <w:rPr>
          <w:lang w:val="es-ES"/>
        </w:rPr>
        <w:t xml:space="preserve">, a fin de identificar y subsanar las deficiencias con la mayor eficiencia posible. No deben duplicarse los esfuerzos ni los gastos. La reducción de los viajes del personal no debería motivar una reducción de la asistencia técnica prestada a los Estados Miembros y del apoyo brindado a los países en desarrollo. Habría que considerar la posibilidad de racionalizar el gran número de reuniones anuales a las que deben viajar el personal y las delegaciones de los Estados Miembros. Un consejero solicitó que se explicara </w:t>
      </w:r>
      <w:r w:rsidRPr="001D759A">
        <w:rPr>
          <w:lang w:val="es-ES"/>
        </w:rPr>
        <w:lastRenderedPageBreak/>
        <w:t>la discrepancia entre la reducción prevista presentada de los gastos de viaje y la que se había publicado a principios de año.</w:t>
      </w:r>
    </w:p>
    <w:p w14:paraId="25D758B8" w14:textId="72D7ED1C" w:rsidR="00ED2477" w:rsidRPr="001D759A" w:rsidRDefault="00ED2477" w:rsidP="00ED2477">
      <w:pPr>
        <w:rPr>
          <w:lang w:val="es-ES"/>
        </w:rPr>
      </w:pPr>
      <w:r w:rsidRPr="001D759A">
        <w:rPr>
          <w:lang w:val="es-ES"/>
        </w:rPr>
        <w:t>6.4</w:t>
      </w:r>
      <w:r w:rsidRPr="001D759A">
        <w:rPr>
          <w:lang w:val="es-ES"/>
        </w:rPr>
        <w:tab/>
        <w:t xml:space="preserve">Si bien los consejeros acogieron con satisfacción la utilización de la IA para aumentar la eficiencia y reducir costes, especialmente en lo que respecta a los servicios lingüísticos, también aplaudieron el hecho de que no se utilice para sustituir al personal por completo, sino como ayuda para determinadas funciones. El uso de la IA no debe repercutir negativamente en la calidad de la documentación o los servicios de interpretación. Se pidió más información sobre cómo se supervisaría la calidad de los resultados generados por IA, y se plantearon preguntas sobre cómo se calcularía el impacto financiero global de la introducción de la IA, ya que la adopción de una nueva tecnología conllevaría </w:t>
      </w:r>
      <w:r w:rsidR="00C817F3">
        <w:rPr>
          <w:lang w:val="es-ES"/>
        </w:rPr>
        <w:t>costes</w:t>
      </w:r>
      <w:r w:rsidRPr="001D759A">
        <w:rPr>
          <w:lang w:val="es-ES"/>
        </w:rPr>
        <w:t xml:space="preserve"> antes de que su uso comenzara a generar ahorros. </w:t>
      </w:r>
    </w:p>
    <w:p w14:paraId="51734CEE" w14:textId="16D77A7A" w:rsidR="00ED2477" w:rsidRPr="001D759A" w:rsidRDefault="00ED2477" w:rsidP="00ED2477">
      <w:pPr>
        <w:rPr>
          <w:lang w:val="es-ES"/>
        </w:rPr>
      </w:pPr>
      <w:r w:rsidRPr="001D759A">
        <w:rPr>
          <w:lang w:val="es-ES"/>
        </w:rPr>
        <w:t>6.5</w:t>
      </w:r>
      <w:r w:rsidRPr="001D759A">
        <w:rPr>
          <w:lang w:val="es-ES"/>
        </w:rPr>
        <w:tab/>
        <w:t>Varios consejeros se mostraron interesados en saber qué actividades no estaban financiadas en esos momentos, qué medidas se adoptarían para recuperar los 3</w:t>
      </w:r>
      <w:r w:rsidR="005457EE">
        <w:rPr>
          <w:lang w:val="es-ES"/>
        </w:rPr>
        <w:t> millones CHF</w:t>
      </w:r>
      <w:r w:rsidRPr="001D759A">
        <w:rPr>
          <w:lang w:val="es-ES"/>
        </w:rPr>
        <w:t xml:space="preserve"> restantes y qué plazo se permitiría; se pidió que se explicara qué se quería decir con "ajustes" cuando se estableció que "las Oficinas y la Secretaría General vayan realizando los correspondientes ajustes". Se agradecería disponer de más información sobre los ámbitos en que se necesitaban medidas proporcionadas y sobre las condiciones en las que cabía esperar que las actividades continuasen sin cambios. La flexibilidad era fundamental para garantizar la reasignación oportuna de recursos, en caso necesario. Aunque algunos consejeros señalaron el efecto de las notificaciones de redes de satélite en la imprevisibilidad de los ingresos, otros advirtieron que la recuperación de costes de las notificaciones de redes de satélite no debería contabilizarse como recuperación presupuestaria. Se debería considerar la estrategia de inversión de </w:t>
      </w:r>
      <w:r w:rsidR="00103D78">
        <w:rPr>
          <w:lang w:val="es-ES"/>
        </w:rPr>
        <w:t>la UIT</w:t>
      </w:r>
      <w:r w:rsidRPr="001D759A">
        <w:rPr>
          <w:lang w:val="es-ES"/>
        </w:rPr>
        <w:t xml:space="preserve"> a fin de minimizar las oscilaciones y la inestabilidad de los ingresos. También deberían evaluarse las repercusiones de las fluctuaciones en los tipos de cambio. Los ajustes financieros y las medidas de contención de gastos no deberían en ningún caso menoscabar la capacidad de </w:t>
      </w:r>
      <w:r w:rsidR="005457EE">
        <w:rPr>
          <w:lang w:val="es-ES"/>
        </w:rPr>
        <w:t>la Unión</w:t>
      </w:r>
      <w:r w:rsidRPr="001D759A">
        <w:rPr>
          <w:lang w:val="es-ES"/>
        </w:rPr>
        <w:t xml:space="preserve"> para ejecutar su mandato fundamental. Los riesgos y las repercusiones prácticas de todas las medidas de contención de costes deben supervisarse con cuidado y se deben presentar informes periódicos y transparentes para el Consejo. Las lecciones aprendidas deben guiar el trabajo futuro y reflejarse en los siguientes ciclos presupuestarios.</w:t>
      </w:r>
    </w:p>
    <w:p w14:paraId="4F5B283E" w14:textId="661D557C" w:rsidR="00ED2477" w:rsidRPr="001D759A" w:rsidRDefault="00ED2477" w:rsidP="00ED2477">
      <w:pPr>
        <w:rPr>
          <w:lang w:val="es-ES"/>
        </w:rPr>
      </w:pPr>
      <w:r w:rsidRPr="001D759A">
        <w:rPr>
          <w:lang w:val="es-ES"/>
        </w:rPr>
        <w:t>6.6</w:t>
      </w:r>
      <w:r w:rsidRPr="001D759A">
        <w:rPr>
          <w:lang w:val="es-ES"/>
        </w:rPr>
        <w:tab/>
        <w:t>Un representante de la Secretaría General afirmó que la reducción de 6</w:t>
      </w:r>
      <w:r w:rsidR="005457EE">
        <w:rPr>
          <w:lang w:val="es-ES"/>
        </w:rPr>
        <w:t> millones CHF</w:t>
      </w:r>
      <w:r w:rsidRPr="001D759A">
        <w:rPr>
          <w:lang w:val="es-ES"/>
        </w:rPr>
        <w:t xml:space="preserve"> suponía un recorte presupuestario del 2</w:t>
      </w:r>
      <w:r w:rsidR="00036D9C" w:rsidRPr="001D759A">
        <w:rPr>
          <w:lang w:val="es-ES"/>
        </w:rPr>
        <w:t> </w:t>
      </w:r>
      <w:r w:rsidRPr="001D759A">
        <w:rPr>
          <w:lang w:val="es-ES"/>
        </w:rPr>
        <w:t>% para el bienio 2026-2027 y que la disminución de los gastos de viaje y el menor uso de SSA representaban la mitad de ese importe. Se podría</w:t>
      </w:r>
      <w:r w:rsidR="000E31A1">
        <w:rPr>
          <w:lang w:val="es-ES"/>
        </w:rPr>
        <w:t>n</w:t>
      </w:r>
      <w:r w:rsidRPr="001D759A">
        <w:rPr>
          <w:lang w:val="es-ES"/>
        </w:rPr>
        <w:t xml:space="preserve"> obtener ahorros adicionales en los ámbitos de dotación de personal y transformación institucional. La IA se utilizaría para racionalizar el número de empleados que permiten avanzar los trabajos en </w:t>
      </w:r>
      <w:r w:rsidR="005457EE">
        <w:rPr>
          <w:lang w:val="es-ES"/>
        </w:rPr>
        <w:t>la Unión</w:t>
      </w:r>
      <w:r w:rsidRPr="001D759A">
        <w:rPr>
          <w:lang w:val="es-ES"/>
        </w:rPr>
        <w:t xml:space="preserve">. La evaluación comparativa adicional de las repercusiones en materia de </w:t>
      </w:r>
      <w:r w:rsidR="00C817F3">
        <w:rPr>
          <w:lang w:val="es-ES"/>
        </w:rPr>
        <w:t>costes</w:t>
      </w:r>
      <w:r w:rsidRPr="001D759A">
        <w:rPr>
          <w:lang w:val="es-ES"/>
        </w:rPr>
        <w:t xml:space="preserve"> de la IA se abordaría en informes futuros. Se estaba trabajando para reducir el número total de reuniones y su duración. La discrepancia en las previsiones se debe a que los ahorros previstos en concepto de gastos de viaje presentados en el informe actual sólo reflejaban los viajes de</w:t>
      </w:r>
      <w:r w:rsidR="000E31A1">
        <w:rPr>
          <w:lang w:val="es-ES"/>
        </w:rPr>
        <w:t xml:space="preserve"> </w:t>
      </w:r>
      <w:r w:rsidRPr="001D759A">
        <w:rPr>
          <w:lang w:val="es-ES"/>
        </w:rPr>
        <w:t xml:space="preserve">misión de </w:t>
      </w:r>
      <w:r w:rsidR="00103D78">
        <w:rPr>
          <w:lang w:val="es-ES"/>
        </w:rPr>
        <w:t>la UIT</w:t>
      </w:r>
      <w:r w:rsidRPr="001D759A">
        <w:rPr>
          <w:lang w:val="es-ES"/>
        </w:rPr>
        <w:t>, mientras que los informes anteriores habían incluido otros aspectos. La recuperación de los costes de notificación de redes de satélite no influiría en los flujos de ingresos y no se consideró recuperación presupuestaria.</w:t>
      </w:r>
    </w:p>
    <w:p w14:paraId="7723ADEF" w14:textId="1DC5CD37" w:rsidR="00ED2477" w:rsidRPr="001D759A" w:rsidRDefault="00ED2477" w:rsidP="00B745FB">
      <w:pPr>
        <w:rPr>
          <w:lang w:val="es-ES"/>
        </w:rPr>
      </w:pPr>
      <w:r w:rsidRPr="001D759A">
        <w:rPr>
          <w:lang w:val="es-ES"/>
        </w:rPr>
        <w:t>6.7</w:t>
      </w:r>
      <w:r w:rsidRPr="001D759A">
        <w:rPr>
          <w:lang w:val="es-ES"/>
        </w:rPr>
        <w:tab/>
        <w:t>La Jefa del Departamento de Gestión de Recursos Humanos (HRMD) señaló que el</w:t>
      </w:r>
      <w:r w:rsidR="00B745FB">
        <w:rPr>
          <w:lang w:val="es-ES"/>
        </w:rPr>
        <w:t> </w:t>
      </w:r>
      <w:r w:rsidRPr="001D759A">
        <w:rPr>
          <w:lang w:val="es-ES"/>
        </w:rPr>
        <w:t xml:space="preserve">HRMD había estado revisando y reforzando el marco reglamentario que rige la utilización de consultores y otras modalidades de contratación de personal no funcionario. Se estaba elaborando una política de consultoría nueva que sólo permitiría contratar consultores para </w:t>
      </w:r>
      <w:r w:rsidRPr="001D759A">
        <w:rPr>
          <w:lang w:val="es-ES"/>
        </w:rPr>
        <w:lastRenderedPageBreak/>
        <w:t xml:space="preserve">misiones de corta duración basadas en los resultados, no para ejecutar funciones de personal. Se estaban aclarando las modalidades contractuales para la utilización de los SSA, se estaban realizando sesiones informativas especiales para los responsables en relación con el proceso de contratación de SSA y se estaban mejorando los procedimientos operativos habituales. La mejora del análisis de recursos humanos, la integración de datos y el seguimiento sistémico estaban mejorando la visibilidad y la supervisión de la implicación del personal no funcionario, contribuyendo así a una gobernanza más sólida y a la mitigación de los riesgos, al tiempo que se garantizaba que los SSA se ajustaban a las necesidades institucionales y a los recursos disponibles. La contratación de corta duración sin concurso se regía por el Reglamento del Personal de </w:t>
      </w:r>
      <w:r w:rsidR="00103D78">
        <w:rPr>
          <w:lang w:val="es-ES"/>
        </w:rPr>
        <w:t>la UIT</w:t>
      </w:r>
      <w:r w:rsidRPr="001D759A">
        <w:rPr>
          <w:lang w:val="es-ES"/>
        </w:rPr>
        <w:t xml:space="preserve"> y por las órdenes de servicio aplicables. Solo se recurría a esos contratos, de alcance limitado, cuando las necesidades operacionales lo justificaban. Los contratos de corta duración y los contratos de personal no funcionario debían someterse a exámenes de cumplimiento, auditoría, supervisión y seguimiento a través de los mecanismos establecidos de gobernanza de los recursos humanos. La transparencia se garantizaba mediante la presentación periódica de informes al Consejo y a los órganos de supervisión, la mejora en el seguimiento de los datos y en el análisis de los recursos humanos y la revisión constante de las prácticas de contratación y los métodos contractuales.</w:t>
      </w:r>
    </w:p>
    <w:p w14:paraId="2ED49ABE" w14:textId="7A3DCB59" w:rsidR="00ED2477" w:rsidRPr="001D759A" w:rsidRDefault="00ED2477" w:rsidP="00ED2477">
      <w:pPr>
        <w:rPr>
          <w:lang w:val="es-ES"/>
        </w:rPr>
      </w:pPr>
      <w:r w:rsidRPr="001D759A">
        <w:rPr>
          <w:lang w:val="es-ES"/>
        </w:rPr>
        <w:t>6.8</w:t>
      </w:r>
      <w:r w:rsidRPr="001D759A">
        <w:rPr>
          <w:lang w:val="es-ES"/>
        </w:rPr>
        <w:tab/>
        <w:t xml:space="preserve">El Vicesecretario General añadió que la gestión financiera prudente era prioritaria para el equipo de dirección de </w:t>
      </w:r>
      <w:r w:rsidR="00103D78">
        <w:rPr>
          <w:lang w:val="es-ES"/>
        </w:rPr>
        <w:t>la UIT</w:t>
      </w:r>
      <w:r w:rsidRPr="001D759A">
        <w:rPr>
          <w:lang w:val="es-ES"/>
        </w:rPr>
        <w:t>. Una reducción de 6</w:t>
      </w:r>
      <w:r w:rsidR="005457EE">
        <w:rPr>
          <w:lang w:val="es-ES"/>
        </w:rPr>
        <w:t> millones CHF</w:t>
      </w:r>
      <w:r w:rsidRPr="001D759A">
        <w:rPr>
          <w:lang w:val="es-ES"/>
        </w:rPr>
        <w:t xml:space="preserve"> equivalía al 2 % del presupuesto de </w:t>
      </w:r>
      <w:r w:rsidR="00103D78">
        <w:rPr>
          <w:lang w:val="es-ES"/>
        </w:rPr>
        <w:t>la UIT</w:t>
      </w:r>
      <w:r w:rsidRPr="001D759A">
        <w:rPr>
          <w:lang w:val="es-ES"/>
        </w:rPr>
        <w:t xml:space="preserve"> únicamente. Se estaba haciendo todo lo posible, en particular a través de la labor del Comité de Coordinación, para garantizar la correspondencia entre los gastos y los ingresos de </w:t>
      </w:r>
      <w:r w:rsidR="005457EE">
        <w:rPr>
          <w:lang w:val="es-ES"/>
        </w:rPr>
        <w:t>la Unión</w:t>
      </w:r>
      <w:r w:rsidRPr="001D759A">
        <w:rPr>
          <w:lang w:val="es-ES"/>
        </w:rPr>
        <w:t xml:space="preserve">. Reducir los costes no implicaba recortar actividades o programas, sino asegurar una gestión más prudente para optimizar las eficiencias operativas. Al utilizar consultores y SSA no se pretendía aumentar la capacidad del personal, sino traer apoyo externo en caso necesario. Desde el punto de vista financiero no resultaría sostenible aumentar los puestos de personal para responder a esas necesidades. La IA estaba mejorando la eficiencia y la productividad del personal de traducción, en lugar de reducir el número de empleados. La continuidad de las actividades era prioritaria, y se estaba haciendo todo lo posible para garantizar que las actividades operacionales contempladas en el presupuesto ordinario no resultaran comprometidas. Se esperaba que el tablero financiero de </w:t>
      </w:r>
      <w:r w:rsidR="005457EE">
        <w:rPr>
          <w:lang w:val="es-ES"/>
        </w:rPr>
        <w:t>la Unión</w:t>
      </w:r>
      <w:r w:rsidRPr="001D759A">
        <w:rPr>
          <w:lang w:val="es-ES"/>
        </w:rPr>
        <w:t xml:space="preserve"> mejorase la visibilidad, la transparencia y la rendición de cuentas de la gestión financiera de </w:t>
      </w:r>
      <w:r w:rsidR="005457EE">
        <w:rPr>
          <w:lang w:val="es-ES"/>
        </w:rPr>
        <w:t>la Unión</w:t>
      </w:r>
      <w:r w:rsidRPr="001D759A">
        <w:rPr>
          <w:lang w:val="es-ES"/>
        </w:rPr>
        <w:t>.</w:t>
      </w:r>
    </w:p>
    <w:p w14:paraId="2D413AAC" w14:textId="77777777" w:rsidR="00ED2477" w:rsidRPr="001D759A" w:rsidRDefault="00ED2477" w:rsidP="008B73D9">
      <w:pPr>
        <w:spacing w:after="120"/>
        <w:rPr>
          <w:lang w:val="es-ES"/>
        </w:rPr>
      </w:pPr>
      <w:r w:rsidRPr="001D759A">
        <w:rPr>
          <w:lang w:val="es-ES"/>
        </w:rPr>
        <w:t>6.9</w:t>
      </w:r>
      <w:r w:rsidRPr="001D759A">
        <w:rPr>
          <w:lang w:val="es-ES"/>
        </w:rPr>
        <w:tab/>
        <w:t xml:space="preserve">La Comisión </w:t>
      </w:r>
      <w:r w:rsidRPr="001D759A">
        <w:rPr>
          <w:b/>
          <w:bCs/>
          <w:lang w:val="es-ES"/>
        </w:rPr>
        <w:t xml:space="preserve">acordó </w:t>
      </w:r>
      <w:r w:rsidRPr="001D759A">
        <w:rPr>
          <w:lang w:val="es-ES"/>
        </w:rPr>
        <w:t>llegar a la siguiente conclusión:</w:t>
      </w:r>
    </w:p>
    <w:tbl>
      <w:tblPr>
        <w:tblStyle w:val="TableGrid"/>
        <w:tblW w:w="5000" w:type="pct"/>
        <w:tblInd w:w="-147" w:type="dxa"/>
        <w:tblLook w:val="04A0" w:firstRow="1" w:lastRow="0" w:firstColumn="1" w:lastColumn="0" w:noHBand="0" w:noVBand="1"/>
      </w:tblPr>
      <w:tblGrid>
        <w:gridCol w:w="9061"/>
      </w:tblGrid>
      <w:tr w:rsidR="00ED2477" w:rsidRPr="00C52838" w14:paraId="13DCA058" w14:textId="77777777" w:rsidTr="00C34EC5">
        <w:tc>
          <w:tcPr>
            <w:tcW w:w="9061" w:type="dxa"/>
            <w:tcBorders>
              <w:top w:val="single" w:sz="4" w:space="0" w:color="auto"/>
              <w:left w:val="single" w:sz="4" w:space="0" w:color="auto"/>
              <w:bottom w:val="single" w:sz="4" w:space="0" w:color="auto"/>
              <w:right w:val="single" w:sz="4" w:space="0" w:color="auto"/>
            </w:tcBorders>
            <w:hideMark/>
          </w:tcPr>
          <w:p w14:paraId="3A74B58C" w14:textId="064D7E17" w:rsidR="00ED2477" w:rsidRPr="001D759A" w:rsidRDefault="00ED2477" w:rsidP="00460BD1">
            <w:pPr>
              <w:tabs>
                <w:tab w:val="clear" w:pos="567"/>
                <w:tab w:val="left" w:pos="605"/>
              </w:tabs>
              <w:spacing w:after="80"/>
              <w:ind w:left="40"/>
              <w:rPr>
                <w:lang w:val="es-ES"/>
              </w:rPr>
            </w:pPr>
            <w:r w:rsidRPr="001D759A">
              <w:rPr>
                <w:lang w:val="es-ES"/>
              </w:rPr>
              <w:t>6.10</w:t>
            </w:r>
            <w:r w:rsidRPr="001D759A">
              <w:rPr>
                <w:lang w:val="es-ES"/>
              </w:rPr>
              <w:tab/>
              <w:t xml:space="preserve">La Comisión recomienda </w:t>
            </w:r>
            <w:r w:rsidR="00FB7200" w:rsidRPr="001D759A">
              <w:rPr>
                <w:lang w:val="es-ES"/>
              </w:rPr>
              <w:t>a</w:t>
            </w:r>
            <w:r w:rsidRPr="001D759A">
              <w:rPr>
                <w:lang w:val="es-ES"/>
              </w:rPr>
              <w:t>l Consejo</w:t>
            </w:r>
            <w:r w:rsidR="00FB7200" w:rsidRPr="001D759A">
              <w:rPr>
                <w:lang w:val="es-ES"/>
              </w:rPr>
              <w:t xml:space="preserve"> que</w:t>
            </w:r>
            <w:r w:rsidRPr="001D759A">
              <w:rPr>
                <w:lang w:val="es-ES"/>
              </w:rPr>
              <w:t xml:space="preserve">: </w:t>
            </w:r>
          </w:p>
          <w:p w14:paraId="2A658644" w14:textId="77777777" w:rsidR="00ED2477" w:rsidRPr="001D759A" w:rsidRDefault="00ED2477" w:rsidP="000126B6">
            <w:pPr>
              <w:pStyle w:val="enumlev1"/>
              <w:tabs>
                <w:tab w:val="clear" w:pos="567"/>
              </w:tabs>
              <w:spacing w:after="120"/>
              <w:ind w:left="605"/>
              <w:rPr>
                <w:lang w:val="es-ES"/>
              </w:rPr>
            </w:pPr>
            <w:r w:rsidRPr="001D759A">
              <w:rPr>
                <w:lang w:val="es-ES"/>
              </w:rPr>
              <w:t>•</w:t>
            </w:r>
            <w:r w:rsidRPr="001D759A">
              <w:rPr>
                <w:lang w:val="es-ES"/>
              </w:rPr>
              <w:tab/>
              <w:t>tome nota del informe contenido en el Documento </w:t>
            </w:r>
            <w:hyperlink r:id="rId22" w:history="1">
              <w:r w:rsidRPr="001D759A">
                <w:rPr>
                  <w:rStyle w:val="Hyperlink"/>
                  <w:lang w:val="es-ES"/>
                </w:rPr>
                <w:t>C26/9</w:t>
              </w:r>
            </w:hyperlink>
            <w:r w:rsidRPr="001D759A">
              <w:rPr>
                <w:lang w:val="es-ES"/>
              </w:rPr>
              <w:t>.</w:t>
            </w:r>
          </w:p>
        </w:tc>
      </w:tr>
    </w:tbl>
    <w:p w14:paraId="120007F1" w14:textId="77777777" w:rsidR="00ED2477" w:rsidRPr="001D759A" w:rsidRDefault="00ED2477" w:rsidP="00ED2477">
      <w:pPr>
        <w:pStyle w:val="Heading1"/>
        <w:rPr>
          <w:szCs w:val="28"/>
          <w:lang w:val="es-ES"/>
        </w:rPr>
      </w:pPr>
      <w:r w:rsidRPr="001D759A">
        <w:rPr>
          <w:lang w:val="es-ES"/>
        </w:rPr>
        <w:lastRenderedPageBreak/>
        <w:t>7</w:t>
      </w:r>
      <w:r w:rsidRPr="001D759A">
        <w:rPr>
          <w:lang w:val="es-ES"/>
        </w:rPr>
        <w:tab/>
        <w:t xml:space="preserve">Repercusiones presupuestarias anuales de la aplicación de las Resoluciones de la CMDT-25 (Documento </w:t>
      </w:r>
      <w:hyperlink r:id="rId23" w:history="1">
        <w:r w:rsidRPr="001D759A">
          <w:rPr>
            <w:rStyle w:val="Hyperlink"/>
            <w:lang w:val="es-ES"/>
          </w:rPr>
          <w:t>C26/43</w:t>
        </w:r>
      </w:hyperlink>
      <w:r w:rsidRPr="001D759A">
        <w:rPr>
          <w:lang w:val="es-ES"/>
        </w:rPr>
        <w:t>)</w:t>
      </w:r>
    </w:p>
    <w:p w14:paraId="263D7654" w14:textId="74517229" w:rsidR="00ED2477" w:rsidRPr="001D759A" w:rsidRDefault="00C52838" w:rsidP="00393A84">
      <w:pPr>
        <w:pStyle w:val="Heading1"/>
        <w:spacing w:before="160"/>
        <w:rPr>
          <w:lang w:val="es-ES"/>
        </w:rPr>
      </w:pPr>
      <w:r>
        <w:rPr>
          <w:lang w:val="es-ES"/>
        </w:rPr>
        <w:tab/>
      </w:r>
      <w:r w:rsidR="00ED2477" w:rsidRPr="001D759A">
        <w:rPr>
          <w:lang w:val="es-ES"/>
        </w:rPr>
        <w:t xml:space="preserve">Declaración de </w:t>
      </w:r>
      <w:r w:rsidR="00D1453A">
        <w:rPr>
          <w:lang w:val="es-ES"/>
        </w:rPr>
        <w:t>c</w:t>
      </w:r>
      <w:r w:rsidR="00ED2477" w:rsidRPr="001D759A">
        <w:rPr>
          <w:lang w:val="es-ES"/>
        </w:rPr>
        <w:t xml:space="preserve">oordinación sobre la propuesta de atribución de fondos para apoyar la </w:t>
      </w:r>
      <w:r w:rsidR="00ED2477" w:rsidRPr="007113C1">
        <w:rPr>
          <w:lang w:val="es-ES"/>
        </w:rPr>
        <w:t>implementación</w:t>
      </w:r>
      <w:r w:rsidR="00ED2477" w:rsidRPr="001D759A">
        <w:rPr>
          <w:lang w:val="es-ES"/>
        </w:rPr>
        <w:t xml:space="preserve"> de las Iniciativas Regionales de la</w:t>
      </w:r>
      <w:r w:rsidR="007113C1">
        <w:rPr>
          <w:lang w:val="es-ES"/>
        </w:rPr>
        <w:t> </w:t>
      </w:r>
      <w:r w:rsidR="00D1453A">
        <w:rPr>
          <w:lang w:val="es-ES"/>
        </w:rPr>
        <w:t>CMDT</w:t>
      </w:r>
      <w:r>
        <w:rPr>
          <w:lang w:val="es-ES"/>
        </w:rPr>
        <w:noBreakHyphen/>
      </w:r>
      <w:r w:rsidR="00ED2477" w:rsidRPr="001D759A">
        <w:rPr>
          <w:lang w:val="es-ES"/>
        </w:rPr>
        <w:t xml:space="preserve">25 (Documento </w:t>
      </w:r>
      <w:hyperlink r:id="rId24" w:history="1">
        <w:r w:rsidR="00ED2477" w:rsidRPr="001D759A">
          <w:rPr>
            <w:rStyle w:val="Hyperlink"/>
            <w:lang w:val="es-ES"/>
          </w:rPr>
          <w:t>C26/109</w:t>
        </w:r>
      </w:hyperlink>
      <w:r w:rsidR="00ED2477" w:rsidRPr="001D759A">
        <w:rPr>
          <w:lang w:val="es-ES"/>
        </w:rPr>
        <w:t>)</w:t>
      </w:r>
    </w:p>
    <w:p w14:paraId="1EF13CD3" w14:textId="4B4387F8" w:rsidR="00ED2477" w:rsidRPr="001D759A" w:rsidRDefault="00D1453A" w:rsidP="00393A84">
      <w:pPr>
        <w:pStyle w:val="Heading1"/>
        <w:spacing w:before="160"/>
        <w:rPr>
          <w:lang w:val="es-ES"/>
        </w:rPr>
      </w:pPr>
      <w:r>
        <w:rPr>
          <w:lang w:val="es-ES"/>
        </w:rPr>
        <w:tab/>
      </w:r>
      <w:r w:rsidR="00ED2477" w:rsidRPr="007113C1">
        <w:rPr>
          <w:lang w:val="es-ES"/>
        </w:rPr>
        <w:t>Repercusiones</w:t>
      </w:r>
      <w:r w:rsidR="00ED2477" w:rsidRPr="001D759A">
        <w:rPr>
          <w:lang w:val="es-ES"/>
        </w:rPr>
        <w:t xml:space="preserve"> financieras de la implementación de los resultados de la CMDT-25 sobre el fortalecimiento del papel de las oficinas regionales</w:t>
      </w:r>
      <w:r w:rsidR="007113C1">
        <w:rPr>
          <w:lang w:val="es-ES"/>
        </w:rPr>
        <w:br/>
      </w:r>
      <w:r w:rsidR="00ED2477" w:rsidRPr="001D759A">
        <w:rPr>
          <w:lang w:val="es-ES"/>
        </w:rPr>
        <w:t xml:space="preserve">de </w:t>
      </w:r>
      <w:r w:rsidR="00103D78">
        <w:rPr>
          <w:lang w:val="es-ES"/>
        </w:rPr>
        <w:t>la UIT</w:t>
      </w:r>
      <w:r w:rsidR="00ED2477" w:rsidRPr="001D759A">
        <w:rPr>
          <w:lang w:val="es-ES"/>
        </w:rPr>
        <w:t xml:space="preserve"> en la aceleración de la transformación digital y el aprovechamiento de las alianzas (Documento </w:t>
      </w:r>
      <w:hyperlink r:id="rId25" w:history="1">
        <w:r w:rsidR="00ED2477" w:rsidRPr="001D759A">
          <w:rPr>
            <w:rStyle w:val="Hyperlink"/>
            <w:lang w:val="es-ES"/>
          </w:rPr>
          <w:t>C26/103</w:t>
        </w:r>
      </w:hyperlink>
      <w:r w:rsidR="00ED2477" w:rsidRPr="001D759A">
        <w:rPr>
          <w:lang w:val="es-ES"/>
        </w:rPr>
        <w:t>)</w:t>
      </w:r>
    </w:p>
    <w:p w14:paraId="27B728FF" w14:textId="07C2B514" w:rsidR="00ED2477" w:rsidRPr="001D759A" w:rsidRDefault="00ED2477" w:rsidP="00ED2477">
      <w:pPr>
        <w:rPr>
          <w:rFonts w:cs="Calibri"/>
          <w:lang w:val="es-ES"/>
        </w:rPr>
      </w:pPr>
      <w:r w:rsidRPr="001D759A">
        <w:rPr>
          <w:lang w:val="es-ES"/>
        </w:rPr>
        <w:t>7.1</w:t>
      </w:r>
      <w:r w:rsidRPr="001D759A">
        <w:rPr>
          <w:lang w:val="es-ES"/>
        </w:rPr>
        <w:tab/>
        <w:t>El Jefe del Departamento de Gestión de Recursos Financieros (FRMD) dio las gracias a la Administración de Azerbaiyán por haber acogido la Conferencia Mundial de Desarrollo de las Telecomunicaciones de 2025 (CMDT-25) y presentó el Documento C26/43, que contenía el informe de la Comisión de Control del Presupuesto sobre las repercusiones financieras provisionales de las Resoluciones de la CMDT-25, que se había calculado que ascenderían a 4</w:t>
      </w:r>
      <w:r w:rsidR="00322B95">
        <w:rPr>
          <w:lang w:val="es-ES"/>
        </w:rPr>
        <w:t>,</w:t>
      </w:r>
      <w:r w:rsidRPr="001D759A">
        <w:rPr>
          <w:lang w:val="es-ES"/>
        </w:rPr>
        <w:t>208</w:t>
      </w:r>
      <w:r w:rsidR="005457EE">
        <w:rPr>
          <w:lang w:val="es-ES"/>
        </w:rPr>
        <w:t> millones CHF</w:t>
      </w:r>
      <w:r w:rsidRPr="001D759A">
        <w:rPr>
          <w:lang w:val="es-ES"/>
        </w:rPr>
        <w:t xml:space="preserve"> de costes recurrentes únicos y anuales para el periodo 2026-2029. A petición del GTC-RHF, la Secretaría había organizado una sesión informativa, celebrada el 3</w:t>
      </w:r>
      <w:r w:rsidR="00A96099" w:rsidRPr="001D759A">
        <w:rPr>
          <w:lang w:val="es-ES"/>
        </w:rPr>
        <w:t> </w:t>
      </w:r>
      <w:r w:rsidRPr="001D759A">
        <w:rPr>
          <w:lang w:val="es-ES"/>
        </w:rPr>
        <w:t xml:space="preserve">de marzo de 2026, para proporcionar una visión general de la metodología utilizada para calcular las consecuencias financieras de las Resoluciones. </w:t>
      </w:r>
    </w:p>
    <w:p w14:paraId="38AC76E9" w14:textId="39739F13" w:rsidR="00ED2477" w:rsidRPr="001D759A" w:rsidRDefault="00ED2477" w:rsidP="00ED2477">
      <w:pPr>
        <w:rPr>
          <w:rFonts w:cs="Calibri"/>
          <w:lang w:val="es-ES"/>
        </w:rPr>
      </w:pPr>
      <w:r w:rsidRPr="001D759A">
        <w:rPr>
          <w:lang w:val="es-ES"/>
        </w:rPr>
        <w:t>7.2</w:t>
      </w:r>
      <w:r w:rsidRPr="001D759A">
        <w:rPr>
          <w:lang w:val="es-ES"/>
        </w:rPr>
        <w:tab/>
        <w:t>La Presidenta del Grupo Asesor de Desarrollo de las Telecomunicaciones (GADT) presentó el Documento C26/109, con una declaración de coordinación en la que se solicitaba al Consejo que considerase asignar los fondos necesarios para apoyar la ejecución de las iniciativas regionales de la CMDT-25, por ejemplo, que considerase la propuesta de asignar 1,3</w:t>
      </w:r>
      <w:r w:rsidR="005457EE">
        <w:rPr>
          <w:lang w:val="es-ES"/>
        </w:rPr>
        <w:t> millones CHF</w:t>
      </w:r>
      <w:r w:rsidRPr="001D759A">
        <w:rPr>
          <w:lang w:val="es-ES"/>
        </w:rPr>
        <w:t xml:space="preserve"> de los ahorros logrados en la ejecución del presupuesto de 2025 (véase el Documento </w:t>
      </w:r>
      <w:hyperlink r:id="rId26" w:history="1">
        <w:r w:rsidRPr="001D759A">
          <w:rPr>
            <w:rStyle w:val="Hyperlink"/>
            <w:rFonts w:eastAsia="Times New Roman" w:cs="Times New Roman"/>
            <w:szCs w:val="20"/>
            <w:lang w:val="es-ES"/>
          </w:rPr>
          <w:t>C26/42</w:t>
        </w:r>
      </w:hyperlink>
      <w:r w:rsidRPr="001D759A">
        <w:rPr>
          <w:lang w:val="es-ES"/>
        </w:rPr>
        <w:t xml:space="preserve"> </w:t>
      </w:r>
      <w:r w:rsidR="00F61806" w:rsidRPr="00F61806">
        <w:rPr>
          <w:lang w:val="es-ES"/>
        </w:rPr>
        <w:t xml:space="preserve">y el § </w:t>
      </w:r>
      <w:r w:rsidR="00F61806">
        <w:rPr>
          <w:lang w:val="es-ES"/>
        </w:rPr>
        <w:t xml:space="preserve">19 </w:t>
      </w:r>
      <w:r w:rsidR="00F61806" w:rsidRPr="00F61806">
        <w:rPr>
          <w:i/>
          <w:iCs/>
          <w:lang w:val="es-ES"/>
        </w:rPr>
        <w:t>infra</w:t>
      </w:r>
      <w:r w:rsidRPr="001D759A">
        <w:rPr>
          <w:lang w:val="es-ES"/>
        </w:rPr>
        <w:t>).</w:t>
      </w:r>
    </w:p>
    <w:p w14:paraId="4B5A8BEE" w14:textId="77777777" w:rsidR="00ED2477" w:rsidRPr="001D759A" w:rsidRDefault="00ED2477" w:rsidP="00ED2477">
      <w:pPr>
        <w:rPr>
          <w:rFonts w:cs="Calibri"/>
          <w:lang w:val="es-ES"/>
        </w:rPr>
      </w:pPr>
      <w:r w:rsidRPr="001D759A">
        <w:rPr>
          <w:lang w:val="es-ES"/>
        </w:rPr>
        <w:t>7.3</w:t>
      </w:r>
      <w:r w:rsidRPr="001D759A">
        <w:rPr>
          <w:lang w:val="es-ES"/>
        </w:rPr>
        <w:tab/>
        <w:t>La consejera de Sudáfrica presentó la contribución multipaís del Documento C26/103, auspiciada por cinco países, en la que se pedía al Consejo que considerase la posibilidad de asignar de forma oportuna los fondos de superávit disponibles a la financiación inicial catalizadora de duración determinada en apoyo de la aplicación de los nuevos modelos de ejecución, como los marcos del acelerador regional, con miras a avanzar en la transformación digital y proporcionar orientaciones sobre el establecimiento de un mecanismo de financiación catalizadora predecible.</w:t>
      </w:r>
    </w:p>
    <w:p w14:paraId="6BB707A5" w14:textId="352E5149" w:rsidR="00ED2477" w:rsidRPr="001D759A" w:rsidRDefault="00ED2477" w:rsidP="00ED2477">
      <w:pPr>
        <w:rPr>
          <w:rFonts w:cs="Calibri"/>
          <w:lang w:val="es-ES"/>
        </w:rPr>
      </w:pPr>
      <w:r w:rsidRPr="001D759A">
        <w:rPr>
          <w:lang w:val="es-ES"/>
        </w:rPr>
        <w:t>7.4</w:t>
      </w:r>
      <w:r w:rsidRPr="001D759A">
        <w:rPr>
          <w:lang w:val="es-ES"/>
        </w:rPr>
        <w:tab/>
        <w:t xml:space="preserve">Varios consejeros expresaron su apoyo al enfoque de financiación propuesto para ejecutar las Resoluciones de la CMDT-25, que requería movilizar presupuesto ordinario y fondos extrapresupuestarios procedentes de contribuciones voluntarias y de la financiación de proyectos. Un consejero subrayó la necesidad de garantizar la continuidad de la disciplina financiera y la presentación de informes, la coherencia con las prioridades de desarrollo y el apoyo equitativo a las iniciativas regionales. Varios consejeros pidieron más transparencia en cuanto a la metodología utilizada; los recursos totales necesarios, incluido el nivel de contribuciones voluntarias previsto; la manera en que los </w:t>
      </w:r>
      <w:r w:rsidR="00C817F3">
        <w:rPr>
          <w:lang w:val="es-ES"/>
        </w:rPr>
        <w:t>costes</w:t>
      </w:r>
      <w:r w:rsidRPr="001D759A">
        <w:rPr>
          <w:lang w:val="es-ES"/>
        </w:rPr>
        <w:t xml:space="preserve"> se asocian al contenido de las Resoluciones, y los criterios para determinar la asignación de los recursos descritos. Una consejera propuso presentar las repercusiones financieras de las Resoluciones en dos partes: las repercusiones que se podrían sufragar con los fondos existentes y las repercusiones que no. Se preguntó cómo se financiaría la contratación de expertos propuesta. Algunos </w:t>
      </w:r>
      <w:r w:rsidRPr="001D759A">
        <w:rPr>
          <w:lang w:val="es-ES"/>
        </w:rPr>
        <w:lastRenderedPageBreak/>
        <w:t xml:space="preserve">consejeros señalaron que no se podía esperar que las estimaciones de </w:t>
      </w:r>
      <w:r w:rsidR="00C817F3">
        <w:rPr>
          <w:lang w:val="es-ES"/>
        </w:rPr>
        <w:t>costes</w:t>
      </w:r>
      <w:r w:rsidRPr="001D759A">
        <w:rPr>
          <w:lang w:val="es-ES"/>
        </w:rPr>
        <w:t xml:space="preserve"> proporcionadas fueran del todo exactas; este hecho debería tenerse en cuenta al preparar presupuestos en el futuro. La metodología podría mejorarse aún más en cooperación con las partes interesadas y los socios.</w:t>
      </w:r>
    </w:p>
    <w:p w14:paraId="67AD2B24" w14:textId="77777777" w:rsidR="00ED2477" w:rsidRPr="001D759A" w:rsidRDefault="00ED2477" w:rsidP="00ED2477">
      <w:pPr>
        <w:rPr>
          <w:rFonts w:cs="Calibri"/>
          <w:lang w:val="es-ES"/>
        </w:rPr>
      </w:pPr>
      <w:r w:rsidRPr="001D759A">
        <w:rPr>
          <w:lang w:val="es-ES"/>
        </w:rPr>
        <w:t>7.5</w:t>
      </w:r>
      <w:r w:rsidRPr="001D759A">
        <w:rPr>
          <w:lang w:val="es-ES"/>
        </w:rPr>
        <w:tab/>
        <w:t xml:space="preserve">Varios consejeros abogaron por una mayor coordinación intersectorial para reducir la duplicación, aumentar la eficiencia, maximizar el impacto y reforzar la colaboración. Un consejero señaló que la información facilitada se refería únicamente al aumento de los gastos; no analizaba los posibles ahorros logrados mediante los esfuerzos de racionalización, por ejemplo. Otra consejera tomó nota de la ampliación del mandato de la BDT y destacó que la financiación propuesta no era suficiente para los objetivos y las necesidades de los Estados Miembros. Sugirió que la Secretaría llevase a cabo un examen exhaustivo de los mecanismos existentes, consolidara los recursos y estudiase la posibilidad de aumentar las inversiones y la financiación inicial con miras a atraer recursos extrapresupuestarios. Una consejera se preguntó si se consideraría la priorización o la aplicación por fases si los recursos fueran limitados; otro consejero sugirió dar prioridad a los ámbitos de desarrollo de alto impacto, como la IA, la creación de capacidad, la resiliencia frente a situaciones de catástrofe y el empoderamiento de la juventud. </w:t>
      </w:r>
    </w:p>
    <w:p w14:paraId="795CFAFC" w14:textId="14046A49" w:rsidR="00ED2477" w:rsidRPr="001D759A" w:rsidRDefault="00ED2477" w:rsidP="00ED2477">
      <w:pPr>
        <w:rPr>
          <w:rFonts w:cs="Calibri"/>
          <w:lang w:val="es-ES"/>
        </w:rPr>
      </w:pPr>
      <w:r w:rsidRPr="001D759A">
        <w:rPr>
          <w:lang w:val="es-ES"/>
        </w:rPr>
        <w:t>7.6</w:t>
      </w:r>
      <w:r w:rsidRPr="001D759A">
        <w:rPr>
          <w:lang w:val="es-ES"/>
        </w:rPr>
        <w:tab/>
        <w:t>Varios consejeros expresaron su apoyo a la propuesta de asignar 1,3</w:t>
      </w:r>
      <w:r w:rsidR="005457EE">
        <w:rPr>
          <w:lang w:val="es-ES"/>
        </w:rPr>
        <w:t> millones CHF</w:t>
      </w:r>
      <w:r w:rsidRPr="001D759A">
        <w:rPr>
          <w:lang w:val="es-ES"/>
        </w:rPr>
        <w:t xml:space="preserve"> de los ahorros de costes de 2025 para la ejecución de iniciativas regionales. Algunos también respaldaron la asignación de cualquier superávit disponible a la financiación inicial catalizadora de duración determinada para iniciar la capa habilitante necesaria para la ejecución de proyectos. Además, acogieron con beneplácito la propuesta de estudiar mecanismos de financiación especializados predecibles, basados en asociaciones y en la movilización de recursos estructurales, para reducir el déficit de financiación. Un consejero subrayó que, aunque resultara útil, la financiación inicial específica no podría sustituir a una financiación previsible y sostenible. Otro destacó que se necesitaba un enfoque pragmático basado en los resultados para atraer recursos de socios y partes interesadas, fortalecer las capacidades en los países en desarrollo y garantizar beneficios tangibles e inclusivos de la transformación digital, especialmente en la región de África. Otra consejera afirmó que se precisaba más información sobre cómo se utilizaría la financiación inicial, al entender que la ejecución de las actividades en virtud de las Resoluciones 17 (Rev. Bakú, 2025) y</w:t>
      </w:r>
      <w:r w:rsidR="00B32803">
        <w:rPr>
          <w:lang w:val="es-ES"/>
        </w:rPr>
        <w:t> </w:t>
      </w:r>
      <w:r w:rsidRPr="001D759A">
        <w:rPr>
          <w:lang w:val="es-ES"/>
        </w:rPr>
        <w:t>92</w:t>
      </w:r>
      <w:r w:rsidR="00A96099" w:rsidRPr="001D759A">
        <w:rPr>
          <w:lang w:val="es-ES"/>
        </w:rPr>
        <w:t> </w:t>
      </w:r>
      <w:r w:rsidRPr="001D759A">
        <w:rPr>
          <w:lang w:val="es-ES"/>
        </w:rPr>
        <w:t>(Bakú,</w:t>
      </w:r>
      <w:r w:rsidR="00A96099" w:rsidRPr="001D759A">
        <w:rPr>
          <w:lang w:val="es-ES"/>
        </w:rPr>
        <w:t> </w:t>
      </w:r>
      <w:r w:rsidRPr="001D759A">
        <w:rPr>
          <w:lang w:val="es-ES"/>
        </w:rPr>
        <w:t>2025) se integraría en el presupuesto ordinario.</w:t>
      </w:r>
    </w:p>
    <w:p w14:paraId="7F159FDC" w14:textId="78304682" w:rsidR="00ED2477" w:rsidRPr="001D759A" w:rsidRDefault="00ED2477" w:rsidP="00ED2477">
      <w:pPr>
        <w:rPr>
          <w:rFonts w:cs="Calibri"/>
          <w:lang w:val="es-ES"/>
        </w:rPr>
      </w:pPr>
      <w:r w:rsidRPr="001D759A">
        <w:rPr>
          <w:lang w:val="es-ES"/>
        </w:rPr>
        <w:t>7.7</w:t>
      </w:r>
      <w:r w:rsidRPr="001D759A">
        <w:rPr>
          <w:lang w:val="es-ES"/>
        </w:rPr>
        <w:tab/>
        <w:t xml:space="preserve">En respuesta a las preguntas relativas a los procedimientos utilizados para determinar las implicaciones financieras de las Resoluciones, al motivo de especificar en el Documento C26/43 únicamente las estimaciones de costes de seis de las Resoluciones nuevas o revisadas de la CMDT-25 y al método utilizado para calcular esas asignaciones, el Jefe del FRMD explicó que la metodología se aplicaba universalmente a todos los Sectores y a las conferencias y asambleas de </w:t>
      </w:r>
      <w:r w:rsidR="00103D78">
        <w:rPr>
          <w:lang w:val="es-ES"/>
        </w:rPr>
        <w:t>la UIT</w:t>
      </w:r>
      <w:r w:rsidRPr="001D759A">
        <w:rPr>
          <w:lang w:val="es-ES"/>
        </w:rPr>
        <w:t xml:space="preserve">. Recordó que la metodología se había presentado en varias reuniones del GTC-RHF, la última de las cuales tuvo lugar en enero de 2026. En la reunión de septiembre de 2025, la Presidenta del GTC-RHF había alentado a los Estados Miembros a formular comentarios para seguir mejorando los métodos de cálculo, pero no se había recibido ninguno. Por consiguiente, la Secretaría acogería con agrado las sugerencias de los Estados Miembros a este respecto. </w:t>
      </w:r>
    </w:p>
    <w:p w14:paraId="7BA2C71C" w14:textId="59BDDA6F" w:rsidR="00ED2477" w:rsidRPr="001D759A" w:rsidRDefault="00ED2477" w:rsidP="00ED2477">
      <w:pPr>
        <w:rPr>
          <w:rFonts w:cs="Calibri"/>
          <w:lang w:val="es-ES"/>
        </w:rPr>
      </w:pPr>
      <w:r w:rsidRPr="001D759A">
        <w:rPr>
          <w:lang w:val="es-ES"/>
        </w:rPr>
        <w:t>7.8</w:t>
      </w:r>
      <w:r w:rsidRPr="001D759A">
        <w:rPr>
          <w:lang w:val="es-ES"/>
        </w:rPr>
        <w:tab/>
        <w:t xml:space="preserve">El Jefe del FRMD aclaró que la metodología tenía en cuenta los </w:t>
      </w:r>
      <w:r w:rsidR="00C817F3">
        <w:rPr>
          <w:lang w:val="es-ES"/>
        </w:rPr>
        <w:t>costes</w:t>
      </w:r>
      <w:r w:rsidRPr="001D759A">
        <w:rPr>
          <w:lang w:val="es-ES"/>
        </w:rPr>
        <w:t xml:space="preserve"> estimados relacionados, entre otras cosas, con la contratación de expertos para ejecutar las Resoluciones, la organización de cursos de formación y la concesión de becas a participantes </w:t>
      </w:r>
      <w:r w:rsidRPr="001D759A">
        <w:rPr>
          <w:lang w:val="es-ES"/>
        </w:rPr>
        <w:lastRenderedPageBreak/>
        <w:t>de países en desarrollo. Muchas Resoluciones de la CMDT-25 no tenían consecuencias financieras dado que serían aplicadas por la BDT a través de las iniciativas regionales. La Secretaría había solicitado al Consejo que considerase la posibilidad de atribuir a tal efecto 1,3</w:t>
      </w:r>
      <w:r w:rsidR="005457EE">
        <w:rPr>
          <w:lang w:val="es-ES"/>
        </w:rPr>
        <w:t> millones CHF</w:t>
      </w:r>
      <w:r w:rsidRPr="001D759A">
        <w:rPr>
          <w:lang w:val="es-ES"/>
        </w:rPr>
        <w:t xml:space="preserve"> de los ahorros logrados en la ejecución presupuestaria de 2025.</w:t>
      </w:r>
    </w:p>
    <w:p w14:paraId="2EBD77AE" w14:textId="77777777" w:rsidR="00ED2477" w:rsidRPr="001D759A" w:rsidRDefault="00ED2477" w:rsidP="00ED2477">
      <w:pPr>
        <w:rPr>
          <w:rFonts w:cs="Calibri"/>
          <w:lang w:val="es-ES"/>
        </w:rPr>
      </w:pPr>
      <w:r w:rsidRPr="001D759A">
        <w:rPr>
          <w:lang w:val="es-ES"/>
        </w:rPr>
        <w:t>7.9</w:t>
      </w:r>
      <w:r w:rsidRPr="001D759A">
        <w:rPr>
          <w:lang w:val="es-ES"/>
        </w:rPr>
        <w:tab/>
        <w:t xml:space="preserve">El Jefe del FRMD añadió que el Documento C26/43, relativo al Informe de la Comisión de Control del Presupuesto para la CMDT, no requería más medida específica por parte del Consejo que tomar nota de su contenido y proporcionar orientaciones adicionales. Se había presentado un informe similar a la reunión de 2025 del Consejo sobre las consecuencias financieras provisionales de la Asamblea Mundial de Normalización de las Telecomunicaciones (AMNT-24). </w:t>
      </w:r>
    </w:p>
    <w:p w14:paraId="35A52774" w14:textId="259300C8" w:rsidR="00ED2477" w:rsidRPr="001D759A" w:rsidRDefault="00ED2477" w:rsidP="00ED2477">
      <w:pPr>
        <w:keepNext/>
        <w:keepLines/>
        <w:rPr>
          <w:rFonts w:cs="Calibri"/>
          <w:lang w:val="es-ES"/>
        </w:rPr>
      </w:pPr>
      <w:r w:rsidRPr="001D759A">
        <w:rPr>
          <w:lang w:val="es-ES"/>
        </w:rPr>
        <w:t>7.10</w:t>
      </w:r>
      <w:r w:rsidRPr="001D759A">
        <w:rPr>
          <w:lang w:val="es-ES"/>
        </w:rPr>
        <w:tab/>
        <w:t xml:space="preserve">El Director de la BDT, al </w:t>
      </w:r>
      <w:r w:rsidR="00E16B99" w:rsidRPr="001D759A">
        <w:rPr>
          <w:lang w:val="es-ES"/>
        </w:rPr>
        <w:t>presentar sus observaciones, dijo</w:t>
      </w:r>
      <w:r w:rsidRPr="001D759A">
        <w:rPr>
          <w:lang w:val="es-ES"/>
        </w:rPr>
        <w:t xml:space="preserve"> que </w:t>
      </w:r>
      <w:r w:rsidR="00E16B99" w:rsidRPr="001D759A">
        <w:rPr>
          <w:lang w:val="es-ES"/>
        </w:rPr>
        <w:t xml:space="preserve">en </w:t>
      </w:r>
      <w:r w:rsidRPr="001D759A">
        <w:rPr>
          <w:lang w:val="es-ES"/>
        </w:rPr>
        <w:t xml:space="preserve">la BDT </w:t>
      </w:r>
      <w:r w:rsidR="00E16B99" w:rsidRPr="001D759A">
        <w:rPr>
          <w:lang w:val="es-ES"/>
        </w:rPr>
        <w:t xml:space="preserve">se </w:t>
      </w:r>
      <w:r w:rsidRPr="001D759A">
        <w:rPr>
          <w:lang w:val="es-ES"/>
        </w:rPr>
        <w:t>llevaba</w:t>
      </w:r>
      <w:r w:rsidR="00E16B99" w:rsidRPr="001D759A">
        <w:rPr>
          <w:lang w:val="es-ES"/>
        </w:rPr>
        <w:t>n</w:t>
      </w:r>
      <w:r w:rsidRPr="001D759A">
        <w:rPr>
          <w:lang w:val="es-ES"/>
        </w:rPr>
        <w:t xml:space="preserve"> a cabo proyectos de carácter nacional, regional </w:t>
      </w:r>
      <w:r w:rsidR="002751E9" w:rsidRPr="001D759A">
        <w:rPr>
          <w:lang w:val="es-ES"/>
        </w:rPr>
        <w:t>y</w:t>
      </w:r>
      <w:r w:rsidRPr="001D759A">
        <w:rPr>
          <w:lang w:val="es-ES"/>
        </w:rPr>
        <w:t xml:space="preserve"> mundial</w:t>
      </w:r>
      <w:r w:rsidR="00E16B99" w:rsidRPr="001D759A">
        <w:rPr>
          <w:lang w:val="es-ES"/>
        </w:rPr>
        <w:t>. Los proyectos nacionales y regionales estaban gestionados por gestores de proyectos de las</w:t>
      </w:r>
      <w:r w:rsidR="0052600C" w:rsidRPr="001D759A">
        <w:rPr>
          <w:lang w:val="es-ES"/>
        </w:rPr>
        <w:t> </w:t>
      </w:r>
      <w:r w:rsidR="00E16B99" w:rsidRPr="001D759A">
        <w:rPr>
          <w:lang w:val="es-ES"/>
        </w:rPr>
        <w:t xml:space="preserve">Oficinas Zonales o Regionales de las regiones beneficiarias a fin de reforzar la presencia regional. Los proyectos de naturaleza mundial estaban gestionados por gestores de proyectos </w:t>
      </w:r>
      <w:r w:rsidR="00432D00" w:rsidRPr="001D759A">
        <w:rPr>
          <w:lang w:val="es-ES"/>
        </w:rPr>
        <w:t xml:space="preserve">de la Sede en Ginebra con el fin de gestionar eficazmente los proyectos </w:t>
      </w:r>
      <w:proofErr w:type="spellStart"/>
      <w:r w:rsidR="00432D00" w:rsidRPr="001D759A">
        <w:rPr>
          <w:lang w:val="es-ES"/>
        </w:rPr>
        <w:t>transregionales</w:t>
      </w:r>
      <w:proofErr w:type="spellEnd"/>
      <w:r w:rsidR="00432D00" w:rsidRPr="001D759A">
        <w:rPr>
          <w:lang w:val="es-ES"/>
        </w:rPr>
        <w:t xml:space="preserve"> de manera coherente</w:t>
      </w:r>
      <w:r w:rsidRPr="001D759A">
        <w:rPr>
          <w:lang w:val="es-ES"/>
        </w:rPr>
        <w:t xml:space="preserve">. </w:t>
      </w:r>
    </w:p>
    <w:p w14:paraId="1BE74D6E" w14:textId="6384F3CD" w:rsidR="00ED2477" w:rsidRPr="001D759A" w:rsidRDefault="00ED2477" w:rsidP="00ED2477">
      <w:pPr>
        <w:rPr>
          <w:rFonts w:cs="Calibri"/>
          <w:lang w:val="es-ES"/>
        </w:rPr>
      </w:pPr>
      <w:r w:rsidRPr="001D759A">
        <w:rPr>
          <w:lang w:val="es-ES"/>
        </w:rPr>
        <w:t>7.11</w:t>
      </w:r>
      <w:r w:rsidRPr="001D759A">
        <w:rPr>
          <w:lang w:val="es-ES"/>
        </w:rPr>
        <w:tab/>
        <w:t>En respuesta a las preguntas sobre la</w:t>
      </w:r>
      <w:r w:rsidR="00432D00" w:rsidRPr="001D759A">
        <w:rPr>
          <w:lang w:val="es-ES"/>
        </w:rPr>
        <w:t>s consecuencias financieras de la CMDT-25</w:t>
      </w:r>
      <w:r w:rsidRPr="001D759A">
        <w:rPr>
          <w:lang w:val="es-ES"/>
        </w:rPr>
        <w:t xml:space="preserve"> aclaró que la Comisión de Control del Presupuesto</w:t>
      </w:r>
      <w:r w:rsidR="00432D00" w:rsidRPr="001D759A">
        <w:rPr>
          <w:lang w:val="es-ES"/>
        </w:rPr>
        <w:t xml:space="preserve"> </w:t>
      </w:r>
      <w:r w:rsidR="002751E9" w:rsidRPr="001D759A">
        <w:rPr>
          <w:lang w:val="es-ES"/>
        </w:rPr>
        <w:t xml:space="preserve">de la CMDT-25 </w:t>
      </w:r>
      <w:r w:rsidR="00432D00" w:rsidRPr="001D759A">
        <w:rPr>
          <w:lang w:val="es-ES"/>
        </w:rPr>
        <w:t>emitió sus estimaciones, pero que la dirección de la BDT, tras finalizar la CMDT-25, evaluó los distintos proyectos en curso y los nuevos proyectos para determinar si con los recursos existentes podía cubrirse la financiación de algunos de los resultados. Los fondos necesarios según la Comisión</w:t>
      </w:r>
      <w:r w:rsidR="008A1A61" w:rsidRPr="001D759A">
        <w:rPr>
          <w:lang w:val="es-ES"/>
        </w:rPr>
        <w:t xml:space="preserve"> </w:t>
      </w:r>
      <w:r w:rsidR="002751E9" w:rsidRPr="001D759A">
        <w:rPr>
          <w:lang w:val="es-ES"/>
        </w:rPr>
        <w:t xml:space="preserve">de Control del Presupuesto </w:t>
      </w:r>
      <w:r w:rsidR="00432D00" w:rsidRPr="001D759A">
        <w:rPr>
          <w:lang w:val="es-ES"/>
        </w:rPr>
        <w:t xml:space="preserve">para cuatro nuevas Resoluciones no son necesarios, pues </w:t>
      </w:r>
      <w:r w:rsidR="002751E9" w:rsidRPr="001D759A">
        <w:rPr>
          <w:lang w:val="es-ES"/>
        </w:rPr>
        <w:t xml:space="preserve">podrían </w:t>
      </w:r>
      <w:r w:rsidR="00432D00" w:rsidRPr="001D759A">
        <w:rPr>
          <w:lang w:val="es-ES"/>
        </w:rPr>
        <w:t>asumirse en proyectos existentes o en actividades del Plan Operacional. Sin embargo, de acuerdo con lo debatido al respecto en el</w:t>
      </w:r>
      <w:r w:rsidR="007D381D" w:rsidRPr="001D759A">
        <w:rPr>
          <w:lang w:val="es-ES"/>
        </w:rPr>
        <w:t> </w:t>
      </w:r>
      <w:r w:rsidRPr="001D759A">
        <w:rPr>
          <w:lang w:val="es-ES"/>
        </w:rPr>
        <w:t>GADT</w:t>
      </w:r>
      <w:r w:rsidR="00432D00" w:rsidRPr="001D759A">
        <w:rPr>
          <w:lang w:val="es-ES"/>
        </w:rPr>
        <w:t>, comunicado al Consejo mediante una declaración de coordinación, los únicos recursos que se necesitan son los destinados a financiar las Iniciativas Regionales</w:t>
      </w:r>
      <w:r w:rsidRPr="001D759A">
        <w:rPr>
          <w:lang w:val="es-ES"/>
        </w:rPr>
        <w:t>.</w:t>
      </w:r>
    </w:p>
    <w:p w14:paraId="139248F5" w14:textId="469E1B33" w:rsidR="00ED2477" w:rsidRPr="001D759A" w:rsidRDefault="00ED2477" w:rsidP="00ED2477">
      <w:pPr>
        <w:rPr>
          <w:rFonts w:cs="Calibri"/>
          <w:lang w:val="es-ES"/>
        </w:rPr>
      </w:pPr>
      <w:r w:rsidRPr="001D759A">
        <w:rPr>
          <w:lang w:val="es-ES"/>
        </w:rPr>
        <w:t>7.12</w:t>
      </w:r>
      <w:r w:rsidRPr="001D759A">
        <w:rPr>
          <w:lang w:val="es-ES"/>
        </w:rPr>
        <w:tab/>
        <w:t xml:space="preserve">En respuesta a un comentario de un observador, el Director de la BDT </w:t>
      </w:r>
      <w:r w:rsidR="00432D00" w:rsidRPr="001D759A">
        <w:rPr>
          <w:lang w:val="es-ES"/>
        </w:rPr>
        <w:t xml:space="preserve">dijo que, como no todas las Resoluciones </w:t>
      </w:r>
      <w:r w:rsidR="002751E9" w:rsidRPr="001D759A">
        <w:rPr>
          <w:lang w:val="es-ES"/>
        </w:rPr>
        <w:t xml:space="preserve">tenían </w:t>
      </w:r>
      <w:r w:rsidR="00432D00" w:rsidRPr="001D759A">
        <w:rPr>
          <w:lang w:val="es-ES"/>
        </w:rPr>
        <w:t>indicadores fundamentales de rendimiento</w:t>
      </w:r>
      <w:r w:rsidR="002751E9" w:rsidRPr="001D759A">
        <w:rPr>
          <w:lang w:val="es-ES"/>
        </w:rPr>
        <w:t xml:space="preserve"> (IFR)</w:t>
      </w:r>
      <w:r w:rsidR="00432D00" w:rsidRPr="001D759A">
        <w:rPr>
          <w:lang w:val="es-ES"/>
        </w:rPr>
        <w:t xml:space="preserve">, los resultados se medían en función de los IFR de </w:t>
      </w:r>
      <w:r w:rsidR="002751E9" w:rsidRPr="001D759A">
        <w:rPr>
          <w:lang w:val="es-ES"/>
        </w:rPr>
        <w:t xml:space="preserve">los proyectos destinados a aplicar </w:t>
      </w:r>
      <w:r w:rsidR="00432D00" w:rsidRPr="001D759A">
        <w:rPr>
          <w:lang w:val="es-ES"/>
        </w:rPr>
        <w:t>las Resoluciones. Las</w:t>
      </w:r>
      <w:r w:rsidR="00D4778E" w:rsidRPr="001D759A">
        <w:rPr>
          <w:lang w:val="es-ES"/>
        </w:rPr>
        <w:t> </w:t>
      </w:r>
      <w:r w:rsidR="00432D00" w:rsidRPr="001D759A">
        <w:rPr>
          <w:lang w:val="es-ES"/>
        </w:rPr>
        <w:t>Iniciativas Regionales</w:t>
      </w:r>
      <w:r w:rsidR="0060644D" w:rsidRPr="001D759A">
        <w:rPr>
          <w:lang w:val="es-ES"/>
        </w:rPr>
        <w:t xml:space="preserve"> (IR)</w:t>
      </w:r>
      <w:r w:rsidR="00432D00" w:rsidRPr="001D759A">
        <w:rPr>
          <w:lang w:val="es-ES"/>
        </w:rPr>
        <w:t xml:space="preserve"> pertenecen a</w:t>
      </w:r>
      <w:r w:rsidRPr="001D759A">
        <w:rPr>
          <w:lang w:val="es-ES"/>
        </w:rPr>
        <w:t xml:space="preserve"> la Resolución 17 (Rev. Bakú, 2025)</w:t>
      </w:r>
      <w:r w:rsidR="002751E9" w:rsidRPr="001D759A">
        <w:rPr>
          <w:lang w:val="es-ES"/>
        </w:rPr>
        <w:t xml:space="preserve"> de la CMDT</w:t>
      </w:r>
      <w:r w:rsidRPr="001D759A">
        <w:rPr>
          <w:lang w:val="es-ES"/>
        </w:rPr>
        <w:t>, que sólo podía</w:t>
      </w:r>
      <w:r w:rsidR="00432D00" w:rsidRPr="001D759A">
        <w:rPr>
          <w:lang w:val="es-ES"/>
        </w:rPr>
        <w:t xml:space="preserve"> aplicarse</w:t>
      </w:r>
      <w:r w:rsidRPr="001D759A">
        <w:rPr>
          <w:lang w:val="es-ES"/>
        </w:rPr>
        <w:t xml:space="preserve"> a través de un conjunto de proyectos. Los planes opera</w:t>
      </w:r>
      <w:r w:rsidR="00432D00" w:rsidRPr="001D759A">
        <w:rPr>
          <w:lang w:val="es-ES"/>
        </w:rPr>
        <w:t>cionales</w:t>
      </w:r>
      <w:r w:rsidRPr="001D759A">
        <w:rPr>
          <w:lang w:val="es-ES"/>
        </w:rPr>
        <w:t xml:space="preserve">, las actividades, las </w:t>
      </w:r>
      <w:r w:rsidR="00432D00" w:rsidRPr="001D759A">
        <w:rPr>
          <w:lang w:val="es-ES"/>
        </w:rPr>
        <w:t xml:space="preserve">Resoluciones </w:t>
      </w:r>
      <w:r w:rsidRPr="001D759A">
        <w:rPr>
          <w:lang w:val="es-ES"/>
        </w:rPr>
        <w:t xml:space="preserve">y los proyectos mundiales, regionales y nacionales se vinculaban de forma indisoluble durante su ejecución a través de la gestión basada en los resultados, que se centraba en las repercusiones, los resultados y los productos finales; ninguna Resolución podía ser considerada </w:t>
      </w:r>
      <w:r w:rsidR="00432D00" w:rsidRPr="001D759A">
        <w:rPr>
          <w:lang w:val="es-ES"/>
        </w:rPr>
        <w:t>con independencia del resto de los trabajos</w:t>
      </w:r>
      <w:r w:rsidRPr="001D759A">
        <w:rPr>
          <w:lang w:val="es-ES"/>
        </w:rPr>
        <w:t xml:space="preserve">. Sin embargo, se necesitaba financiación independiente para la ejecución de las </w:t>
      </w:r>
      <w:r w:rsidR="00432D00" w:rsidRPr="001D759A">
        <w:rPr>
          <w:lang w:val="es-ES"/>
        </w:rPr>
        <w:t>Iniciativas Regionales. Cada región presentó a la CMDT-25 cinco Iniciativas Regionales que la Conferencia aprobó. Las Iniciativas Regionales</w:t>
      </w:r>
      <w:r w:rsidRPr="001D759A">
        <w:rPr>
          <w:lang w:val="es-ES"/>
        </w:rPr>
        <w:t xml:space="preserve"> representaban los intereses y prioridades de cada región, por lo que se había solicitado que se asignaran 1,3</w:t>
      </w:r>
      <w:r w:rsidR="005457EE">
        <w:rPr>
          <w:lang w:val="es-ES"/>
        </w:rPr>
        <w:t> millones CHF</w:t>
      </w:r>
      <w:r w:rsidRPr="001D759A">
        <w:rPr>
          <w:lang w:val="es-ES"/>
        </w:rPr>
        <w:t xml:space="preserve"> con cargo al ahorro de costes en 2025, como señaló el GADT en su declaración de coordinación y la Secretaría en su solicitud de asignación prevista</w:t>
      </w:r>
      <w:r w:rsidR="008207A1" w:rsidRPr="001D759A">
        <w:rPr>
          <w:lang w:val="es-ES"/>
        </w:rPr>
        <w:t xml:space="preserve"> a partir de los ahorros realizados en 2025</w:t>
      </w:r>
      <w:r w:rsidRPr="001D759A">
        <w:rPr>
          <w:lang w:val="es-ES"/>
        </w:rPr>
        <w:t>.</w:t>
      </w:r>
      <w:r w:rsidR="008207A1" w:rsidRPr="001D759A">
        <w:rPr>
          <w:lang w:val="es-ES"/>
        </w:rPr>
        <w:t xml:space="preserve"> Este proceder era conforme a la práctica utilizada. Tras la CMDT-17, el Consejo</w:t>
      </w:r>
      <w:r w:rsidR="005E4B76" w:rsidRPr="001D759A">
        <w:rPr>
          <w:lang w:val="es-ES"/>
        </w:rPr>
        <w:t>, en su reunión de 2018,</w:t>
      </w:r>
      <w:r w:rsidR="008207A1" w:rsidRPr="001D759A">
        <w:rPr>
          <w:lang w:val="es-ES"/>
        </w:rPr>
        <w:t xml:space="preserve"> inyectó el mismo importe solicitado</w:t>
      </w:r>
      <w:r w:rsidR="005E4B76" w:rsidRPr="001D759A">
        <w:rPr>
          <w:lang w:val="es-ES"/>
        </w:rPr>
        <w:t>. Asimismo,</w:t>
      </w:r>
      <w:r w:rsidR="008207A1" w:rsidRPr="001D759A">
        <w:rPr>
          <w:lang w:val="es-ES"/>
        </w:rPr>
        <w:t xml:space="preserve"> tras la CMDT-22, el Consejo</w:t>
      </w:r>
      <w:r w:rsidR="005E4B76" w:rsidRPr="001D759A">
        <w:rPr>
          <w:lang w:val="es-ES"/>
        </w:rPr>
        <w:t>, en su reunión de 2023,</w:t>
      </w:r>
      <w:r w:rsidR="008207A1" w:rsidRPr="001D759A">
        <w:rPr>
          <w:lang w:val="es-ES"/>
        </w:rPr>
        <w:t xml:space="preserve"> atribuyó fondos para la implementación de las </w:t>
      </w:r>
      <w:r w:rsidR="005E4B76" w:rsidRPr="001D759A">
        <w:rPr>
          <w:lang w:val="es-ES"/>
        </w:rPr>
        <w:t>iniciativas regionales</w:t>
      </w:r>
      <w:r w:rsidR="008207A1" w:rsidRPr="001D759A">
        <w:rPr>
          <w:lang w:val="es-ES"/>
        </w:rPr>
        <w:t>. Esto permite a la BDT movilizar con éxito recursos extrapresupuestarios que contribuyen a la financiación de proyectos con repercusiones en todas las regiones.</w:t>
      </w:r>
    </w:p>
    <w:p w14:paraId="6E05AA3B" w14:textId="77777777" w:rsidR="00ED2477" w:rsidRPr="001D759A" w:rsidRDefault="00ED2477" w:rsidP="00BA5DC7">
      <w:pPr>
        <w:keepNext/>
        <w:keepLines/>
        <w:spacing w:after="120"/>
        <w:rPr>
          <w:rFonts w:eastAsia="Calibri" w:cs="Calibri"/>
          <w:lang w:val="es-ES"/>
        </w:rPr>
      </w:pPr>
      <w:r w:rsidRPr="001D759A">
        <w:rPr>
          <w:lang w:val="es-ES"/>
        </w:rPr>
        <w:lastRenderedPageBreak/>
        <w:t>7.13.</w:t>
      </w:r>
      <w:r w:rsidRPr="001D759A">
        <w:rPr>
          <w:lang w:val="es-ES"/>
        </w:rPr>
        <w:tab/>
        <w:t xml:space="preserve">La Comisión </w:t>
      </w:r>
      <w:r w:rsidRPr="001D759A">
        <w:rPr>
          <w:b/>
          <w:bCs/>
          <w:lang w:val="es-ES"/>
        </w:rPr>
        <w:t>acordó</w:t>
      </w:r>
      <w:r w:rsidRPr="001D759A">
        <w:rPr>
          <w:lang w:val="es-ES"/>
        </w:rPr>
        <w:t xml:space="preserve"> llegar a la siguiente conclusión:</w:t>
      </w:r>
    </w:p>
    <w:tbl>
      <w:tblPr>
        <w:tblStyle w:val="TableGrid"/>
        <w:tblW w:w="5000" w:type="pct"/>
        <w:tblInd w:w="-147" w:type="dxa"/>
        <w:tblLook w:val="04A0" w:firstRow="1" w:lastRow="0" w:firstColumn="1" w:lastColumn="0" w:noHBand="0" w:noVBand="1"/>
      </w:tblPr>
      <w:tblGrid>
        <w:gridCol w:w="9061"/>
      </w:tblGrid>
      <w:tr w:rsidR="00ED2477" w:rsidRPr="00C52838" w14:paraId="449E0E7F" w14:textId="77777777" w:rsidTr="00950DAB">
        <w:tc>
          <w:tcPr>
            <w:tcW w:w="9061" w:type="dxa"/>
            <w:tcBorders>
              <w:top w:val="single" w:sz="4" w:space="0" w:color="auto"/>
              <w:left w:val="single" w:sz="4" w:space="0" w:color="auto"/>
              <w:bottom w:val="single" w:sz="4" w:space="0" w:color="auto"/>
              <w:right w:val="single" w:sz="4" w:space="0" w:color="auto"/>
            </w:tcBorders>
            <w:hideMark/>
          </w:tcPr>
          <w:p w14:paraId="6A60815B" w14:textId="65EAEC47" w:rsidR="00ED2477" w:rsidRPr="001D759A" w:rsidRDefault="00ED2477" w:rsidP="00FF5D6E">
            <w:pPr>
              <w:keepNext/>
              <w:keepLines/>
              <w:tabs>
                <w:tab w:val="clear" w:pos="567"/>
                <w:tab w:val="left" w:pos="605"/>
              </w:tabs>
              <w:spacing w:after="80"/>
              <w:ind w:left="40"/>
              <w:rPr>
                <w:lang w:val="es-ES"/>
              </w:rPr>
            </w:pPr>
            <w:bookmarkStart w:id="1" w:name="_Hlk229090102"/>
            <w:r w:rsidRPr="001D759A">
              <w:rPr>
                <w:lang w:val="es-ES"/>
              </w:rPr>
              <w:t>7.14</w:t>
            </w:r>
            <w:r w:rsidRPr="001D759A">
              <w:rPr>
                <w:lang w:val="es-ES"/>
              </w:rPr>
              <w:tab/>
              <w:t xml:space="preserve">La Comisión recomienda </w:t>
            </w:r>
            <w:r w:rsidR="00FB7200" w:rsidRPr="001D759A">
              <w:rPr>
                <w:lang w:val="es-ES"/>
              </w:rPr>
              <w:t>a</w:t>
            </w:r>
            <w:r w:rsidRPr="001D759A">
              <w:rPr>
                <w:lang w:val="es-ES"/>
              </w:rPr>
              <w:t>l Consejo</w:t>
            </w:r>
            <w:r w:rsidR="00FB7200" w:rsidRPr="001D759A">
              <w:rPr>
                <w:lang w:val="es-ES"/>
              </w:rPr>
              <w:t xml:space="preserve"> que</w:t>
            </w:r>
            <w:r w:rsidRPr="001D759A">
              <w:rPr>
                <w:lang w:val="es-ES"/>
              </w:rPr>
              <w:t>:</w:t>
            </w:r>
          </w:p>
          <w:p w14:paraId="134F7DDE" w14:textId="77777777" w:rsidR="00ED2477" w:rsidRPr="001D759A" w:rsidRDefault="00ED2477" w:rsidP="00FF5D6E">
            <w:pPr>
              <w:pStyle w:val="enumlev1"/>
              <w:tabs>
                <w:tab w:val="clear" w:pos="567"/>
              </w:tabs>
              <w:ind w:left="605"/>
              <w:rPr>
                <w:lang w:val="es-ES"/>
              </w:rPr>
            </w:pPr>
            <w:r w:rsidRPr="001D759A">
              <w:rPr>
                <w:lang w:val="es-ES"/>
              </w:rPr>
              <w:t>•</w:t>
            </w:r>
            <w:r w:rsidRPr="001D759A">
              <w:rPr>
                <w:lang w:val="es-ES"/>
              </w:rPr>
              <w:tab/>
              <w:t xml:space="preserve">tome nota del informe que figura en el Documento </w:t>
            </w:r>
            <w:hyperlink r:id="rId27" w:history="1">
              <w:r w:rsidRPr="001D759A">
                <w:rPr>
                  <w:rStyle w:val="Hyperlink"/>
                  <w:lang w:val="es-ES"/>
                </w:rPr>
                <w:t>C26/43</w:t>
              </w:r>
            </w:hyperlink>
            <w:r w:rsidRPr="001D759A">
              <w:rPr>
                <w:lang w:val="es-ES"/>
              </w:rPr>
              <w:t xml:space="preserve"> y facilite cualquier orientación adicional;</w:t>
            </w:r>
          </w:p>
          <w:p w14:paraId="6B9C6026" w14:textId="5985B9DF" w:rsidR="00ED2477" w:rsidRPr="001D759A" w:rsidRDefault="00ED2477" w:rsidP="00FF5D6E">
            <w:pPr>
              <w:pStyle w:val="enumlev1"/>
              <w:tabs>
                <w:tab w:val="clear" w:pos="567"/>
              </w:tabs>
              <w:ind w:left="605"/>
              <w:rPr>
                <w:lang w:val="es-ES"/>
              </w:rPr>
            </w:pPr>
            <w:r w:rsidRPr="001D759A">
              <w:rPr>
                <w:lang w:val="es-ES"/>
              </w:rPr>
              <w:t>•</w:t>
            </w:r>
            <w:r w:rsidRPr="001D759A">
              <w:rPr>
                <w:lang w:val="es-ES"/>
              </w:rPr>
              <w:tab/>
              <w:t>tome nota de la declaración de coordinación del GADT recogida en el Documento </w:t>
            </w:r>
            <w:hyperlink r:id="rId28" w:history="1">
              <w:r w:rsidRPr="001D759A">
                <w:rPr>
                  <w:rStyle w:val="Hyperlink"/>
                  <w:lang w:val="es-ES"/>
                </w:rPr>
                <w:t>C26/109</w:t>
              </w:r>
            </w:hyperlink>
            <w:r w:rsidRPr="001D759A">
              <w:rPr>
                <w:lang w:val="es-ES"/>
              </w:rPr>
              <w:t xml:space="preserve"> y considere la asignación de los fondos necesarios para apoyar la aplicación de los resultados de la CMDT-25 relativos a las iniciativas regionales</w:t>
            </w:r>
            <w:r w:rsidR="00B745FB">
              <w:rPr>
                <w:lang w:val="es-ES"/>
              </w:rPr>
              <w:t>;</w:t>
            </w:r>
            <w:r w:rsidRPr="001D759A">
              <w:rPr>
                <w:lang w:val="es-ES"/>
              </w:rPr>
              <w:t xml:space="preserve"> y</w:t>
            </w:r>
          </w:p>
          <w:p w14:paraId="69217BFA" w14:textId="24827886" w:rsidR="00ED2477" w:rsidRPr="001D759A" w:rsidRDefault="00ED2477" w:rsidP="000126B6">
            <w:pPr>
              <w:pStyle w:val="enumlev1"/>
              <w:tabs>
                <w:tab w:val="clear" w:pos="567"/>
              </w:tabs>
              <w:spacing w:after="120"/>
              <w:ind w:left="605"/>
              <w:rPr>
                <w:lang w:val="es-ES"/>
              </w:rPr>
            </w:pPr>
            <w:r w:rsidRPr="001D759A">
              <w:rPr>
                <w:lang w:val="es-ES"/>
              </w:rPr>
              <w:t>•</w:t>
            </w:r>
            <w:r w:rsidRPr="001D759A">
              <w:rPr>
                <w:lang w:val="es-ES"/>
              </w:rPr>
              <w:tab/>
              <w:t xml:space="preserve">tome nota de la contribución de varios países que figura en el Documento </w:t>
            </w:r>
            <w:hyperlink r:id="rId29" w:history="1">
              <w:r w:rsidRPr="001D759A">
                <w:rPr>
                  <w:rStyle w:val="Hyperlink"/>
                  <w:lang w:val="es-ES"/>
                </w:rPr>
                <w:t>C26/103</w:t>
              </w:r>
            </w:hyperlink>
            <w:r w:rsidRPr="001D759A">
              <w:rPr>
                <w:lang w:val="es-ES"/>
              </w:rPr>
              <w:t xml:space="preserve"> y considere asignar cualquier superávit disponible a iniciativas regionales a fin de iniciar la ejecución de las actividades de conformidad con las Resoluciones pertinentes de la</w:t>
            </w:r>
            <w:r w:rsidR="00950DAB" w:rsidRPr="001D759A">
              <w:rPr>
                <w:lang w:val="es-ES"/>
              </w:rPr>
              <w:t> </w:t>
            </w:r>
            <w:r w:rsidRPr="001D759A">
              <w:rPr>
                <w:lang w:val="es-ES"/>
              </w:rPr>
              <w:t>CMDT-25.</w:t>
            </w:r>
          </w:p>
        </w:tc>
      </w:tr>
    </w:tbl>
    <w:bookmarkEnd w:id="1"/>
    <w:p w14:paraId="7E9EEE75" w14:textId="291EE040" w:rsidR="00ED2477" w:rsidRPr="001D759A" w:rsidRDefault="00ED2477" w:rsidP="00ED2477">
      <w:pPr>
        <w:pStyle w:val="Heading1"/>
        <w:rPr>
          <w:lang w:val="es-ES"/>
        </w:rPr>
      </w:pPr>
      <w:r w:rsidRPr="001D759A">
        <w:rPr>
          <w:lang w:val="es-ES"/>
        </w:rPr>
        <w:t>8</w:t>
      </w:r>
      <w:r w:rsidRPr="001D759A">
        <w:rPr>
          <w:lang w:val="es-ES"/>
        </w:rPr>
        <w:tab/>
        <w:t xml:space="preserve">Unidades contributivas – Clases de contribución provisionales (Documento </w:t>
      </w:r>
      <w:hyperlink r:id="rId30" w:history="1">
        <w:r w:rsidRPr="001D759A">
          <w:rPr>
            <w:rStyle w:val="Hyperlink"/>
            <w:lang w:val="es-ES"/>
          </w:rPr>
          <w:t>C26/47</w:t>
        </w:r>
      </w:hyperlink>
      <w:r w:rsidRPr="001D759A">
        <w:rPr>
          <w:lang w:val="es-ES"/>
        </w:rPr>
        <w:t>)</w:t>
      </w:r>
    </w:p>
    <w:p w14:paraId="045D1E4C" w14:textId="5B9396C1" w:rsidR="00E1594D" w:rsidRPr="009B1190" w:rsidRDefault="00E1594D" w:rsidP="00E1594D">
      <w:pPr>
        <w:rPr>
          <w:lang w:val="es-ES"/>
        </w:rPr>
      </w:pPr>
      <w:r>
        <w:rPr>
          <w:lang w:val="es-ES"/>
        </w:rPr>
        <w:t>8.1</w:t>
      </w:r>
      <w:r>
        <w:rPr>
          <w:lang w:val="es-ES"/>
        </w:rPr>
        <w:tab/>
        <w:t>El Jefe del FRMD presentó el Documento C26/47, en el que se informaba al Consejo de las elecciones provisionales de los Estados Miembros antes de la Conferencia de Plenipotenciarios de 2026 (PP-26), de conformidad con las 42 respuestas recibidas a la carta circular de la Secretaria General en la que se invitaba a los Estados Miembros a anunciar, antes de finales del año civil 2025, su clase de contribución provisional para el periodo</w:t>
      </w:r>
      <w:r w:rsidR="009B1190">
        <w:rPr>
          <w:lang w:val="es-ES"/>
        </w:rPr>
        <w:t> </w:t>
      </w:r>
      <w:r>
        <w:rPr>
          <w:lang w:val="es-ES"/>
        </w:rPr>
        <w:t>2028</w:t>
      </w:r>
      <w:r w:rsidR="009B1190">
        <w:rPr>
          <w:lang w:val="es-ES"/>
        </w:rPr>
        <w:noBreakHyphen/>
      </w:r>
      <w:r>
        <w:rPr>
          <w:lang w:val="es-ES"/>
        </w:rPr>
        <w:t xml:space="preserve">2031. En el documento también se presentaban los resultados de un examen exhaustivo, realizado por la Secretaría, de la aplicación y el cumplimiento por los Estados Miembros del marco de la unidad contributiva de </w:t>
      </w:r>
      <w:r w:rsidR="00103D78">
        <w:rPr>
          <w:lang w:val="es-ES"/>
        </w:rPr>
        <w:t>la UIT</w:t>
      </w:r>
      <w:r>
        <w:rPr>
          <w:lang w:val="es-ES"/>
        </w:rPr>
        <w:t xml:space="preserve">. Se estaban enviando comunicaciones específicas a los Estados Miembros para explicarles sus obligaciones e informarles de los ajustes necesarios. En el examen también se habían establecido cuáles eran los Estados Miembros sujetos a excepciones aprobadas por el Consejo y concedidas entre 1967 y 2006, cuyo nivel de unidad vigente podría no ajustarse ya a los criterios de elegibilidad establecidos en el Documento </w:t>
      </w:r>
      <w:hyperlink r:id="rId31" w:history="1">
        <w:r w:rsidRPr="009B1190">
          <w:rPr>
            <w:rStyle w:val="Hyperlink"/>
            <w:lang w:val="es-ES"/>
          </w:rPr>
          <w:t>C10/67</w:t>
        </w:r>
      </w:hyperlink>
      <w:r w:rsidR="00AD6AE1" w:rsidRPr="00AD6AE1">
        <w:rPr>
          <w:lang w:val="es-ES"/>
        </w:rPr>
        <w:t xml:space="preserve"> </w:t>
      </w:r>
      <w:r>
        <w:rPr>
          <w:lang w:val="es-ES"/>
        </w:rPr>
        <w:t>del Consejo.</w:t>
      </w:r>
    </w:p>
    <w:p w14:paraId="0360033C" w14:textId="5FBE2507" w:rsidR="00E1594D" w:rsidRPr="009B1190" w:rsidRDefault="00E1594D" w:rsidP="00E1594D">
      <w:pPr>
        <w:rPr>
          <w:lang w:val="es-ES"/>
        </w:rPr>
      </w:pPr>
      <w:r>
        <w:rPr>
          <w:lang w:val="es-ES"/>
        </w:rPr>
        <w:t>8.2</w:t>
      </w:r>
      <w:r>
        <w:rPr>
          <w:lang w:val="es-ES"/>
        </w:rPr>
        <w:tab/>
        <w:t xml:space="preserve">Los consejeros acogieron con agrado el informe y expresaron su apoyo a los esfuerzos por revisar los criterios para las contribuciones y las reducciones excepcionales aprobadas por el Consejo en aras de la transparencia y la coherencia. Las reducciones excepcionales deberían estar limitadas en el tiempo y revisarse periódicamente. Se agradecería que se informara periódicamente al Consejo sobre la situación de las excepciones, ya que eso guiaría y facilitaría la toma de decisiones y la reevaluación oportuna de esas medidas. El enfoque de las excepciones debería seguir siendo flexible y orientado al desarrollo, y no debía perjudicar a las economías pequeñas y vulnerables. Varios consejeros advirtieron sobre el ajuste automático al alza de las contribuciones cuando un Estado Miembro dejaba de ser un país menos adelantado (PMA); esta exclusión no se traducía necesariamente en un aumento inmediato de la capacidad fiscal. Los ajustes al alza deberían tener en cuenta las circunstancias específicas del Estado Miembro en cuestión y garantizar la justicia y equidad en el sistema contributivo. Un enfoque equilibrado sería esencial para mantener la sostenibilidad financiera de </w:t>
      </w:r>
      <w:r w:rsidR="005457EE">
        <w:rPr>
          <w:lang w:val="es-ES"/>
        </w:rPr>
        <w:t>la Unión</w:t>
      </w:r>
      <w:r>
        <w:rPr>
          <w:lang w:val="es-ES"/>
        </w:rPr>
        <w:t>, al tiempo que se salvaguardaba la integración y la capacidad de los países en desarrollo de participar eficazmente. Un consejero expres</w:t>
      </w:r>
      <w:r w:rsidR="00AD6AE1">
        <w:rPr>
          <w:lang w:val="es-ES"/>
        </w:rPr>
        <w:t>ó</w:t>
      </w:r>
      <w:r>
        <w:rPr>
          <w:lang w:val="es-ES"/>
        </w:rPr>
        <w:t xml:space="preserve"> su preocupación por el hecho de que tan pocos Estados Miembros hubieran respondido a la carta en la que se solicitaban declaraciones sobre la elección provisional de las </w:t>
      </w:r>
      <w:r>
        <w:rPr>
          <w:lang w:val="es-ES"/>
        </w:rPr>
        <w:lastRenderedPageBreak/>
        <w:t>contribuciones, y advirtió que, aunque el hecho de que el número total de unidades contributivas hubiese permanecido prácticamente invariable podía sugerir estabilidad, también podría significar una respuesta limitada a la evolución de las realidades económicas.</w:t>
      </w:r>
    </w:p>
    <w:p w14:paraId="1568BC10" w14:textId="201DD10F" w:rsidR="00E1594D" w:rsidRPr="009B1190" w:rsidRDefault="00E1594D" w:rsidP="00E1594D">
      <w:pPr>
        <w:rPr>
          <w:lang w:val="es-ES"/>
        </w:rPr>
      </w:pPr>
      <w:r>
        <w:rPr>
          <w:lang w:val="es-ES"/>
        </w:rPr>
        <w:t>8.3</w:t>
      </w:r>
      <w:r>
        <w:rPr>
          <w:lang w:val="es-ES"/>
        </w:rPr>
        <w:tab/>
        <w:t>Una consejera declaró que las excepciones de larga data que no habían sido objeto de revisión habían debilitado el sistema contributivo. Las contribuciones de los PMA que salían de esa categoría deberían ajustarse inmediatamente y no deberían concederse excepciones para los países sin esa categoría. Las excepciones a largo plazo deberían suprimirse y los Estados afectados deberían volver a solicitar reducciones excepcionales temporales con arreglo a los nuevos criterios, una vez que estos se hubieran establecido.</w:t>
      </w:r>
    </w:p>
    <w:p w14:paraId="6E036C2E" w14:textId="73DE4DB6" w:rsidR="00E1594D" w:rsidRPr="009B1190" w:rsidRDefault="00E1594D" w:rsidP="00E1594D">
      <w:pPr>
        <w:rPr>
          <w:lang w:val="es-ES"/>
        </w:rPr>
      </w:pPr>
      <w:r>
        <w:rPr>
          <w:lang w:val="es-ES"/>
        </w:rPr>
        <w:t>8.4</w:t>
      </w:r>
      <w:r>
        <w:rPr>
          <w:lang w:val="es-ES"/>
        </w:rPr>
        <w:tab/>
        <w:t>El Jefe del FRMD declaró que los criterios aplicables a las unidades contributivas se basaban en la Decisión 5 (Rev. Bucarest, 2022) de la Conferencia de Plenipotenciarios, en virtud de la cual la Secretaria General había anunciado que el importe provisional de la unidad contributiva seguiría siendo de 318</w:t>
      </w:r>
      <w:r w:rsidR="008A5101">
        <w:rPr>
          <w:lang w:val="es-ES"/>
        </w:rPr>
        <w:t> </w:t>
      </w:r>
      <w:r>
        <w:rPr>
          <w:lang w:val="es-ES"/>
        </w:rPr>
        <w:t>000</w:t>
      </w:r>
      <w:r w:rsidR="005457EE">
        <w:rPr>
          <w:lang w:val="es-ES"/>
        </w:rPr>
        <w:t> CHF</w:t>
      </w:r>
      <w:r>
        <w:rPr>
          <w:lang w:val="es-ES"/>
        </w:rPr>
        <w:t xml:space="preserve">, y había enviado una carta circular a todos los Estados Miembros solicitando una declaración provisional de sus contribuciones. Se entendía que la falta de respuesta a esa carta significaba que el Estado Miembro interesado deseaba mantener su nivel actual de contribución. Las contribuciones provisionales por Estado Miembro figuraban en el Anexo al Documento </w:t>
      </w:r>
      <w:r w:rsidRPr="009B1190">
        <w:rPr>
          <w:lang w:val="es-ES"/>
        </w:rPr>
        <w:t>C26/47</w:t>
      </w:r>
      <w:r>
        <w:rPr>
          <w:lang w:val="es-ES"/>
        </w:rPr>
        <w:t>.</w:t>
      </w:r>
    </w:p>
    <w:p w14:paraId="30D4AF3C" w14:textId="38B9AA94" w:rsidR="00556EA6" w:rsidRDefault="00E1594D" w:rsidP="004902DE">
      <w:pPr>
        <w:rPr>
          <w:lang w:val="es-ES"/>
        </w:rPr>
      </w:pPr>
      <w:r>
        <w:rPr>
          <w:lang w:val="es-ES"/>
        </w:rPr>
        <w:t>8.5</w:t>
      </w:r>
      <w:r w:rsidR="004902DE">
        <w:rPr>
          <w:lang w:val="es-ES"/>
        </w:rPr>
        <w:tab/>
      </w:r>
      <w:r w:rsidR="00556EA6" w:rsidRPr="00556EA6">
        <w:rPr>
          <w:lang w:val="es-ES"/>
        </w:rPr>
        <w:t xml:space="preserve">La Comisión </w:t>
      </w:r>
      <w:r w:rsidR="00556EA6" w:rsidRPr="0082151B">
        <w:rPr>
          <w:b/>
          <w:bCs/>
          <w:lang w:val="es-ES"/>
        </w:rPr>
        <w:t>elogió</w:t>
      </w:r>
      <w:r w:rsidR="00556EA6" w:rsidRPr="00556EA6">
        <w:rPr>
          <w:lang w:val="es-ES"/>
        </w:rPr>
        <w:t xml:space="preserve"> a la Secretaría por haber llevado a cabo un examen exhaustivo de la aplicación y el cumplimiento por los Estados Miembros del marco de unidades contributivas de </w:t>
      </w:r>
      <w:r w:rsidR="00103D78">
        <w:rPr>
          <w:lang w:val="es-ES"/>
        </w:rPr>
        <w:t>la UIT</w:t>
      </w:r>
      <w:r w:rsidR="00556EA6" w:rsidRPr="00556EA6">
        <w:rPr>
          <w:lang w:val="es-ES"/>
        </w:rPr>
        <w:t xml:space="preserve"> establecido en virtud de la Constitución y el Convenio de </w:t>
      </w:r>
      <w:r w:rsidR="00103D78">
        <w:rPr>
          <w:lang w:val="es-ES"/>
        </w:rPr>
        <w:t>la UIT</w:t>
      </w:r>
      <w:r w:rsidR="00556EA6" w:rsidRPr="00556EA6">
        <w:rPr>
          <w:lang w:val="es-ES"/>
        </w:rPr>
        <w:t>, así como de las Resoluciones pertinentes del Consejo y de la Conferencia de Plenipotenciarios</w:t>
      </w:r>
      <w:r w:rsidR="00556EA6">
        <w:rPr>
          <w:lang w:val="es-ES"/>
        </w:rPr>
        <w:t>.</w:t>
      </w:r>
    </w:p>
    <w:p w14:paraId="501EA69D" w14:textId="792A761F" w:rsidR="00E1594D" w:rsidRDefault="00556EA6" w:rsidP="004902DE">
      <w:pPr>
        <w:spacing w:after="120"/>
        <w:rPr>
          <w:lang w:val="es-ES"/>
        </w:rPr>
      </w:pPr>
      <w:r>
        <w:rPr>
          <w:lang w:val="es-ES"/>
        </w:rPr>
        <w:t>8.6</w:t>
      </w:r>
      <w:r>
        <w:rPr>
          <w:lang w:val="es-ES"/>
        </w:rPr>
        <w:tab/>
        <w:t xml:space="preserve">Tras examinar el </w:t>
      </w:r>
      <w:r w:rsidRPr="0082151B">
        <w:rPr>
          <w:rFonts w:eastAsia="Calibri" w:cs="Calibri"/>
          <w:szCs w:val="24"/>
          <w:lang w:val="es-ES"/>
        </w:rPr>
        <w:t xml:space="preserve">Documento C26/47, </w:t>
      </w:r>
      <w:r>
        <w:rPr>
          <w:lang w:val="es-ES"/>
        </w:rPr>
        <w:t>l</w:t>
      </w:r>
      <w:r w:rsidR="00E1594D">
        <w:rPr>
          <w:lang w:val="es-ES"/>
        </w:rPr>
        <w:t xml:space="preserve">a Comisión </w:t>
      </w:r>
      <w:r w:rsidR="00E1594D">
        <w:rPr>
          <w:b/>
          <w:bCs/>
          <w:lang w:val="es-ES"/>
        </w:rPr>
        <w:t>acordó</w:t>
      </w:r>
      <w:r w:rsidR="00E1594D">
        <w:rPr>
          <w:lang w:val="es-ES"/>
        </w:rPr>
        <w:t xml:space="preserve"> llegar a la siguiente conclusión:</w:t>
      </w:r>
    </w:p>
    <w:tbl>
      <w:tblPr>
        <w:tblStyle w:val="TableGrid"/>
        <w:tblW w:w="5000" w:type="pct"/>
        <w:tblInd w:w="-147" w:type="dxa"/>
        <w:tblLook w:val="04A0" w:firstRow="1" w:lastRow="0" w:firstColumn="1" w:lastColumn="0" w:noHBand="0" w:noVBand="1"/>
      </w:tblPr>
      <w:tblGrid>
        <w:gridCol w:w="9061"/>
      </w:tblGrid>
      <w:tr w:rsidR="008A5101" w:rsidRPr="00C52838" w14:paraId="34EBFFCD" w14:textId="77777777" w:rsidTr="009E214A">
        <w:tc>
          <w:tcPr>
            <w:tcW w:w="9061" w:type="dxa"/>
            <w:tcBorders>
              <w:top w:val="single" w:sz="4" w:space="0" w:color="auto"/>
              <w:left w:val="single" w:sz="4" w:space="0" w:color="auto"/>
              <w:bottom w:val="single" w:sz="4" w:space="0" w:color="auto"/>
              <w:right w:val="single" w:sz="4" w:space="0" w:color="auto"/>
            </w:tcBorders>
            <w:hideMark/>
          </w:tcPr>
          <w:p w14:paraId="6D61BDAD" w14:textId="512F7E1E" w:rsidR="008A5101" w:rsidRPr="001D759A" w:rsidRDefault="008A5101" w:rsidP="009E214A">
            <w:pPr>
              <w:keepNext/>
              <w:keepLines/>
              <w:tabs>
                <w:tab w:val="clear" w:pos="567"/>
                <w:tab w:val="left" w:pos="605"/>
              </w:tabs>
              <w:spacing w:after="80"/>
              <w:ind w:left="40"/>
              <w:rPr>
                <w:lang w:val="es-ES"/>
              </w:rPr>
            </w:pPr>
            <w:r w:rsidRPr="008A5101">
              <w:rPr>
                <w:lang w:val="es-ES"/>
              </w:rPr>
              <w:t>8.</w:t>
            </w:r>
            <w:r w:rsidR="00884C49">
              <w:rPr>
                <w:lang w:val="es-ES"/>
              </w:rPr>
              <w:t>7</w:t>
            </w:r>
            <w:r w:rsidRPr="008A5101">
              <w:rPr>
                <w:lang w:val="es-ES"/>
              </w:rPr>
              <w:tab/>
              <w:t>La Comisión recomienda al Consejo que</w:t>
            </w:r>
            <w:r w:rsidR="00556EA6">
              <w:rPr>
                <w:lang w:val="es-ES"/>
              </w:rPr>
              <w:t xml:space="preserve"> encargue a la Secretaria General</w:t>
            </w:r>
            <w:r w:rsidR="00C503F2">
              <w:rPr>
                <w:lang w:val="es-ES"/>
              </w:rPr>
              <w:t xml:space="preserve"> que</w:t>
            </w:r>
            <w:r w:rsidRPr="008A5101">
              <w:rPr>
                <w:lang w:val="es-ES"/>
              </w:rPr>
              <w:t>:</w:t>
            </w:r>
          </w:p>
          <w:p w14:paraId="59B6978C" w14:textId="5536B880" w:rsidR="008A5101" w:rsidRPr="001D759A" w:rsidRDefault="00762EE4" w:rsidP="009E214A">
            <w:pPr>
              <w:pStyle w:val="enumlev1"/>
              <w:tabs>
                <w:tab w:val="clear" w:pos="567"/>
              </w:tabs>
              <w:ind w:left="605"/>
              <w:rPr>
                <w:lang w:val="es-ES"/>
              </w:rPr>
            </w:pPr>
            <w:r w:rsidRPr="00762EE4">
              <w:rPr>
                <w:lang w:val="es-ES"/>
              </w:rPr>
              <w:t>•</w:t>
            </w:r>
            <w:r w:rsidRPr="00762EE4">
              <w:rPr>
                <w:lang w:val="es-ES"/>
              </w:rPr>
              <w:tab/>
            </w:r>
            <w:r w:rsidR="00C503F2" w:rsidRPr="00556EA6">
              <w:rPr>
                <w:lang w:val="es-ES"/>
              </w:rPr>
              <w:t>inform</w:t>
            </w:r>
            <w:r w:rsidR="00C503F2">
              <w:rPr>
                <w:lang w:val="es-ES"/>
              </w:rPr>
              <w:t>e</w:t>
            </w:r>
            <w:r w:rsidR="00C503F2" w:rsidRPr="00556EA6">
              <w:rPr>
                <w:lang w:val="es-ES"/>
              </w:rPr>
              <w:t xml:space="preserve"> anualmente al Consejo sobre la situación de todas las excepciones aplicadas a</w:t>
            </w:r>
            <w:r w:rsidR="00C503F2">
              <w:rPr>
                <w:lang w:val="es-ES"/>
              </w:rPr>
              <w:t xml:space="preserve"> las clases de contribución para poder reevaluar oportunamente si siguen siendo aplicables</w:t>
            </w:r>
            <w:r w:rsidRPr="00762EE4">
              <w:rPr>
                <w:lang w:val="es-ES"/>
              </w:rPr>
              <w:t>;</w:t>
            </w:r>
            <w:r w:rsidR="00551D76">
              <w:rPr>
                <w:lang w:val="es-ES"/>
              </w:rPr>
              <w:t xml:space="preserve"> y</w:t>
            </w:r>
          </w:p>
          <w:p w14:paraId="652E1BC3" w14:textId="750B7503" w:rsidR="00DC318B" w:rsidRPr="001D759A" w:rsidRDefault="008A5101" w:rsidP="00551D76">
            <w:pPr>
              <w:pStyle w:val="enumlev1"/>
              <w:tabs>
                <w:tab w:val="clear" w:pos="567"/>
              </w:tabs>
              <w:spacing w:after="120"/>
              <w:ind w:left="605"/>
              <w:rPr>
                <w:lang w:val="es-ES"/>
              </w:rPr>
            </w:pPr>
            <w:r w:rsidRPr="001D759A">
              <w:rPr>
                <w:lang w:val="es-ES"/>
              </w:rPr>
              <w:t>•</w:t>
            </w:r>
            <w:r w:rsidRPr="001D759A">
              <w:rPr>
                <w:lang w:val="es-ES"/>
              </w:rPr>
              <w:tab/>
            </w:r>
            <w:r w:rsidR="00DC318B">
              <w:rPr>
                <w:lang w:val="es-ES"/>
              </w:rPr>
              <w:t xml:space="preserve">prepare un proyecto de </w:t>
            </w:r>
            <w:r w:rsidR="00762EE4" w:rsidRPr="00762EE4">
              <w:rPr>
                <w:lang w:val="es-ES"/>
              </w:rPr>
              <w:t xml:space="preserve">revisión de los criterios aplicables a la elección de la clase de contribución, </w:t>
            </w:r>
            <w:r w:rsidR="00DC318B">
              <w:rPr>
                <w:lang w:val="es-ES"/>
              </w:rPr>
              <w:t xml:space="preserve">contenidos en el Documento </w:t>
            </w:r>
            <w:hyperlink r:id="rId32" w:history="1">
              <w:r w:rsidR="00254762" w:rsidRPr="00C52838">
                <w:rPr>
                  <w:rStyle w:val="Hyperlink"/>
                  <w:rFonts w:cs="Times New Roman"/>
                  <w:szCs w:val="20"/>
                  <w:lang w:val="es-ES"/>
                </w:rPr>
                <w:t>C10/67</w:t>
              </w:r>
            </w:hyperlink>
            <w:r w:rsidR="00DC318B" w:rsidRPr="00D221CE">
              <w:rPr>
                <w:lang w:val="es-ES"/>
              </w:rPr>
              <w:t xml:space="preserve">, </w:t>
            </w:r>
            <w:r w:rsidR="00762EE4" w:rsidRPr="00762EE4">
              <w:rPr>
                <w:lang w:val="es-ES"/>
              </w:rPr>
              <w:t>con miras a garantizar que sigan siendo pertinentes y coherentes</w:t>
            </w:r>
            <w:r w:rsidR="00DC318B">
              <w:rPr>
                <w:lang w:val="es-ES"/>
              </w:rPr>
              <w:t>, y presente el proyecto de revisión del procedimiento en la reunión del Consejo de 2027</w:t>
            </w:r>
            <w:r w:rsidR="00762EE4" w:rsidRPr="00762EE4">
              <w:rPr>
                <w:lang w:val="es-ES"/>
              </w:rPr>
              <w:t>.</w:t>
            </w:r>
          </w:p>
        </w:tc>
      </w:tr>
    </w:tbl>
    <w:p w14:paraId="4E504A20" w14:textId="123ED25D" w:rsidR="00ED2477" w:rsidRPr="001D759A" w:rsidRDefault="00ED2477" w:rsidP="00ED2477">
      <w:pPr>
        <w:pStyle w:val="Heading1"/>
        <w:rPr>
          <w:lang w:val="es-ES"/>
        </w:rPr>
      </w:pPr>
      <w:r w:rsidRPr="001D759A">
        <w:rPr>
          <w:lang w:val="es-ES"/>
        </w:rPr>
        <w:t>9</w:t>
      </w:r>
      <w:r w:rsidRPr="001D759A">
        <w:rPr>
          <w:lang w:val="es-ES"/>
        </w:rPr>
        <w:tab/>
        <w:t xml:space="preserve">Contribución de Ecuador a los gastos de </w:t>
      </w:r>
      <w:r w:rsidR="005457EE">
        <w:rPr>
          <w:lang w:val="es-ES"/>
        </w:rPr>
        <w:t>la Unión</w:t>
      </w:r>
      <w:r w:rsidRPr="001D759A">
        <w:rPr>
          <w:lang w:val="es-ES"/>
        </w:rPr>
        <w:t xml:space="preserve"> (Documento</w:t>
      </w:r>
      <w:r w:rsidR="00254762">
        <w:rPr>
          <w:lang w:val="es-ES"/>
        </w:rPr>
        <w:t>s</w:t>
      </w:r>
      <w:r w:rsidRPr="001D759A">
        <w:rPr>
          <w:lang w:val="es-ES"/>
        </w:rPr>
        <w:t xml:space="preserve"> </w:t>
      </w:r>
      <w:hyperlink r:id="rId33" w:history="1">
        <w:r w:rsidRPr="001D759A">
          <w:rPr>
            <w:rStyle w:val="Hyperlink"/>
            <w:bCs/>
            <w:lang w:val="es-ES"/>
          </w:rPr>
          <w:t>C26/</w:t>
        </w:r>
        <w:r w:rsidRPr="001D759A">
          <w:rPr>
            <w:rStyle w:val="Hyperlink"/>
            <w:lang w:val="es-ES"/>
          </w:rPr>
          <w:t>54</w:t>
        </w:r>
      </w:hyperlink>
      <w:r w:rsidR="00254762" w:rsidRPr="00C52838">
        <w:rPr>
          <w:lang w:val="es-ES"/>
        </w:rPr>
        <w:t xml:space="preserve"> y</w:t>
      </w:r>
      <w:r w:rsidR="007113C1">
        <w:rPr>
          <w:lang w:val="es-ES"/>
        </w:rPr>
        <w:t> </w:t>
      </w:r>
      <w:hyperlink r:id="rId34" w:history="1">
        <w:r w:rsidR="00254762" w:rsidRPr="00C52838">
          <w:rPr>
            <w:rStyle w:val="Hyperlink"/>
            <w:lang w:val="es-ES"/>
          </w:rPr>
          <w:t>C26/DT/5(Rev.2)</w:t>
        </w:r>
      </w:hyperlink>
      <w:r w:rsidRPr="001D759A">
        <w:rPr>
          <w:lang w:val="es-ES"/>
        </w:rPr>
        <w:t>)</w:t>
      </w:r>
    </w:p>
    <w:p w14:paraId="73586E9B" w14:textId="4D105575" w:rsidR="00C503F2" w:rsidRPr="00A26C83" w:rsidRDefault="00C503F2" w:rsidP="00B745FB">
      <w:pPr>
        <w:rPr>
          <w:lang w:val="es-ES"/>
        </w:rPr>
      </w:pPr>
      <w:r w:rsidRPr="00A26C83">
        <w:rPr>
          <w:lang w:val="es-ES"/>
        </w:rPr>
        <w:t>9.1</w:t>
      </w:r>
      <w:r w:rsidRPr="00A26C83">
        <w:rPr>
          <w:lang w:val="es-ES"/>
        </w:rPr>
        <w:tab/>
        <w:t>El Jefe de</w:t>
      </w:r>
      <w:r>
        <w:rPr>
          <w:lang w:val="es-ES"/>
        </w:rPr>
        <w:t>l</w:t>
      </w:r>
      <w:r w:rsidRPr="00A26C83">
        <w:rPr>
          <w:lang w:val="es-ES"/>
        </w:rPr>
        <w:t xml:space="preserve"> FRMD presentó el Documento </w:t>
      </w:r>
      <w:r w:rsidRPr="004902DE">
        <w:rPr>
          <w:lang w:val="es-ES"/>
        </w:rPr>
        <w:t xml:space="preserve">C26/54 e informó al Consejo de una carta de la República del Ecuador, de fecha 12 de octubre de 2025, en la que solicita contribuir con arreglo a una clase contributiva reducida (de 1/8 o 1/16, que, de conformidad con el </w:t>
      </w:r>
      <w:r w:rsidR="00D17D49">
        <w:rPr>
          <w:lang w:val="es-ES"/>
        </w:rPr>
        <w:t>§</w:t>
      </w:r>
      <w:r w:rsidR="00D17D49" w:rsidRPr="004902DE">
        <w:rPr>
          <w:lang w:val="es-ES"/>
        </w:rPr>
        <w:t> </w:t>
      </w:r>
      <w:r w:rsidRPr="004902DE">
        <w:rPr>
          <w:lang w:val="es-ES"/>
        </w:rPr>
        <w:t xml:space="preserve">468a del Convenio de </w:t>
      </w:r>
      <w:r w:rsidR="005457EE">
        <w:rPr>
          <w:lang w:val="es-ES"/>
        </w:rPr>
        <w:t>la Unión</w:t>
      </w:r>
      <w:r w:rsidRPr="004902DE">
        <w:rPr>
          <w:lang w:val="es-ES"/>
        </w:rPr>
        <w:t xml:space="preserve"> Internacional de Telecomunicaciones, cabe aplicar a los países menos adelantados (PMA)). Pese a que Ecuador no figura en la lista de </w:t>
      </w:r>
      <w:r w:rsidR="000A3B01">
        <w:rPr>
          <w:lang w:val="es-ES"/>
        </w:rPr>
        <w:t xml:space="preserve">PMA </w:t>
      </w:r>
      <w:r w:rsidRPr="004902DE">
        <w:rPr>
          <w:lang w:val="es-ES"/>
        </w:rPr>
        <w:t xml:space="preserve">de las </w:t>
      </w:r>
      <w:r w:rsidR="000E31A1">
        <w:rPr>
          <w:lang w:val="es-ES"/>
        </w:rPr>
        <w:t>Naciones Unidas</w:t>
      </w:r>
      <w:r w:rsidRPr="004902DE">
        <w:rPr>
          <w:lang w:val="es-ES"/>
        </w:rPr>
        <w:t xml:space="preserve">, en la carta se señala que un conflicto armado interno afecta sustancialmente a la capacidad económica y fiscal de Ecuador, y que la concesión de esa flexibilidad permitiría a Ecuador seguir cumpliendo con sus obligaciones financieras como Estado Miembro, y garantizar su </w:t>
      </w:r>
      <w:proofErr w:type="gramStart"/>
      <w:r w:rsidRPr="004902DE">
        <w:rPr>
          <w:lang w:val="es-ES"/>
        </w:rPr>
        <w:t>participación activa</w:t>
      </w:r>
      <w:proofErr w:type="gramEnd"/>
      <w:r w:rsidRPr="004902DE">
        <w:rPr>
          <w:lang w:val="es-ES"/>
        </w:rPr>
        <w:t xml:space="preserve"> en la labor de </w:t>
      </w:r>
      <w:r w:rsidR="005457EE">
        <w:rPr>
          <w:lang w:val="es-ES"/>
        </w:rPr>
        <w:t>la Unión</w:t>
      </w:r>
      <w:r w:rsidRPr="004902DE">
        <w:rPr>
          <w:lang w:val="es-ES"/>
        </w:rPr>
        <w:t xml:space="preserve"> para promover las </w:t>
      </w:r>
      <w:r w:rsidRPr="004902DE">
        <w:rPr>
          <w:lang w:val="es-ES"/>
        </w:rPr>
        <w:lastRenderedPageBreak/>
        <w:t>telecomunicaciones a escala mundial. Ecuador ha liquidado todas sus contribuciones anuales (incluidas las correspondientes al año 2026) sin ningún importe pendiente. La solicitud, de aprobarla el Consejo, abarcaría el período comprendido entre el 1</w:t>
      </w:r>
      <w:r w:rsidR="004902DE" w:rsidRPr="004902DE">
        <w:rPr>
          <w:lang w:val="es-ES"/>
        </w:rPr>
        <w:t> </w:t>
      </w:r>
      <w:r w:rsidRPr="004902DE">
        <w:rPr>
          <w:lang w:val="es-ES"/>
        </w:rPr>
        <w:t>de enero de</w:t>
      </w:r>
      <w:r w:rsidR="0057685D">
        <w:rPr>
          <w:lang w:val="es-ES"/>
        </w:rPr>
        <w:t> </w:t>
      </w:r>
      <w:r w:rsidRPr="004902DE">
        <w:rPr>
          <w:lang w:val="es-ES"/>
        </w:rPr>
        <w:t xml:space="preserve">2028 y el 31 de diciembre de 2031. </w:t>
      </w:r>
      <w:r w:rsidRPr="00A26C83">
        <w:rPr>
          <w:lang w:val="es-ES"/>
        </w:rPr>
        <w:t>Una reducción de 1/4 a 1/8 supondría una pérdida de 39</w:t>
      </w:r>
      <w:r w:rsidR="00551D76">
        <w:rPr>
          <w:lang w:val="es-ES"/>
        </w:rPr>
        <w:t> </w:t>
      </w:r>
      <w:r w:rsidRPr="00A26C83">
        <w:rPr>
          <w:lang w:val="es-ES"/>
        </w:rPr>
        <w:t>750</w:t>
      </w:r>
      <w:r w:rsidR="005457EE">
        <w:rPr>
          <w:lang w:val="es-ES"/>
        </w:rPr>
        <w:t> CHF</w:t>
      </w:r>
      <w:r w:rsidRPr="00A26C83">
        <w:rPr>
          <w:lang w:val="es-ES"/>
        </w:rPr>
        <w:t xml:space="preserve"> para </w:t>
      </w:r>
      <w:r w:rsidR="005457EE">
        <w:rPr>
          <w:lang w:val="es-ES"/>
        </w:rPr>
        <w:t>la Unión</w:t>
      </w:r>
      <w:r w:rsidRPr="00A26C83">
        <w:rPr>
          <w:lang w:val="es-ES"/>
        </w:rPr>
        <w:t xml:space="preserve">, </w:t>
      </w:r>
      <w:r>
        <w:rPr>
          <w:lang w:val="es-ES"/>
        </w:rPr>
        <w:t>al tiempo</w:t>
      </w:r>
      <w:r w:rsidRPr="00A26C83">
        <w:rPr>
          <w:lang w:val="es-ES"/>
        </w:rPr>
        <w:t xml:space="preserve"> que una reducción de 1/4 a</w:t>
      </w:r>
      <w:r w:rsidR="00B745FB">
        <w:rPr>
          <w:lang w:val="es-ES"/>
        </w:rPr>
        <w:t> </w:t>
      </w:r>
      <w:r w:rsidRPr="00A26C83">
        <w:rPr>
          <w:lang w:val="es-ES"/>
        </w:rPr>
        <w:t xml:space="preserve">1/16 </w:t>
      </w:r>
      <w:r>
        <w:rPr>
          <w:lang w:val="es-ES"/>
        </w:rPr>
        <w:t>conllevaría</w:t>
      </w:r>
      <w:r w:rsidRPr="00A26C83">
        <w:rPr>
          <w:lang w:val="es-ES"/>
        </w:rPr>
        <w:t xml:space="preserve"> una pérdida de</w:t>
      </w:r>
      <w:r w:rsidR="007113C1">
        <w:rPr>
          <w:lang w:val="es-ES"/>
        </w:rPr>
        <w:t> </w:t>
      </w:r>
      <w:r w:rsidRPr="00A26C83">
        <w:rPr>
          <w:lang w:val="es-ES"/>
        </w:rPr>
        <w:t>59</w:t>
      </w:r>
      <w:r w:rsidR="00551D76">
        <w:rPr>
          <w:lang w:val="es-ES"/>
        </w:rPr>
        <w:t> </w:t>
      </w:r>
      <w:r w:rsidR="00D17D49">
        <w:rPr>
          <w:lang w:val="es-ES"/>
        </w:rPr>
        <w:t>625</w:t>
      </w:r>
      <w:r w:rsidR="005457EE">
        <w:rPr>
          <w:lang w:val="es-ES"/>
        </w:rPr>
        <w:t> CHF</w:t>
      </w:r>
      <w:r w:rsidRPr="00A26C83">
        <w:rPr>
          <w:lang w:val="es-ES"/>
        </w:rPr>
        <w:t>.</w:t>
      </w:r>
    </w:p>
    <w:p w14:paraId="229830AA" w14:textId="6B9ACE8E" w:rsidR="00C503F2" w:rsidRPr="004902DE" w:rsidRDefault="00C503F2" w:rsidP="00C503F2">
      <w:pPr>
        <w:rPr>
          <w:lang w:val="es-ES"/>
        </w:rPr>
      </w:pPr>
      <w:r w:rsidRPr="004902DE">
        <w:rPr>
          <w:lang w:val="es-ES"/>
        </w:rPr>
        <w:t>9.2</w:t>
      </w:r>
      <w:r w:rsidRPr="004902DE">
        <w:rPr>
          <w:lang w:val="es-ES"/>
        </w:rPr>
        <w:tab/>
      </w:r>
      <w:r w:rsidR="004843BB">
        <w:rPr>
          <w:lang w:val="es-ES"/>
        </w:rPr>
        <w:t xml:space="preserve">Los consejeros estuvieron a favor de la solicitud de Ecuador y solicitaron que quedase reflejado en el Informe. </w:t>
      </w:r>
      <w:r w:rsidRPr="004902DE">
        <w:rPr>
          <w:lang w:val="es-ES"/>
        </w:rPr>
        <w:t xml:space="preserve">Los consejeros expresaron su inquietud por la situación en Ecuador y acordaron la adopción de medidas para que dicho país pueda seguir participando plenamente en la labor de </w:t>
      </w:r>
      <w:r w:rsidR="00103D78">
        <w:rPr>
          <w:lang w:val="es-ES"/>
        </w:rPr>
        <w:t>la UIT</w:t>
      </w:r>
      <w:r w:rsidRPr="004902DE">
        <w:rPr>
          <w:lang w:val="es-ES"/>
        </w:rPr>
        <w:t xml:space="preserve"> en calidad de Estado Miembro. Un consejero advirtió que toda reducción excepcional debe concederse únicamente con carácter temporal y excepcional, y no debe prolongar ni agravar los problemas descritos en el </w:t>
      </w:r>
      <w:r w:rsidR="002801E3">
        <w:rPr>
          <w:lang w:val="es-ES"/>
        </w:rPr>
        <w:t>D</w:t>
      </w:r>
      <w:r w:rsidRPr="004902DE">
        <w:rPr>
          <w:lang w:val="es-ES"/>
        </w:rPr>
        <w:t>ocumento</w:t>
      </w:r>
      <w:r w:rsidR="002801E3">
        <w:rPr>
          <w:lang w:val="es-ES"/>
        </w:rPr>
        <w:t> </w:t>
      </w:r>
      <w:r w:rsidRPr="004902DE">
        <w:rPr>
          <w:lang w:val="es-ES"/>
        </w:rPr>
        <w:t>C26/47.</w:t>
      </w:r>
    </w:p>
    <w:p w14:paraId="438FA314" w14:textId="4A130E28" w:rsidR="00C503F2" w:rsidRPr="004902DE" w:rsidRDefault="00C503F2" w:rsidP="00C503F2">
      <w:pPr>
        <w:rPr>
          <w:lang w:val="es-ES"/>
        </w:rPr>
      </w:pPr>
      <w:r w:rsidRPr="004902DE">
        <w:rPr>
          <w:lang w:val="es-ES"/>
        </w:rPr>
        <w:t>9.3</w:t>
      </w:r>
      <w:r w:rsidRPr="004902DE">
        <w:rPr>
          <w:lang w:val="es-ES"/>
        </w:rPr>
        <w:tab/>
        <w:t xml:space="preserve">Tras la celebración de varias consultas oficiosas, la </w:t>
      </w:r>
      <w:r w:rsidR="00C817F3">
        <w:rPr>
          <w:lang w:val="es-ES"/>
        </w:rPr>
        <w:t>S</w:t>
      </w:r>
      <w:r w:rsidRPr="004902DE">
        <w:rPr>
          <w:lang w:val="es-ES"/>
        </w:rPr>
        <w:t xml:space="preserve">ecretaría elaboró un proyecto de Resolución, </w:t>
      </w:r>
      <w:r w:rsidRPr="0082151B">
        <w:rPr>
          <w:lang w:val="es-ES"/>
        </w:rPr>
        <w:t xml:space="preserve">contenido en el </w:t>
      </w:r>
      <w:r w:rsidR="002801E3">
        <w:rPr>
          <w:lang w:val="es-ES"/>
        </w:rPr>
        <w:t>D</w:t>
      </w:r>
      <w:r w:rsidRPr="0082151B">
        <w:rPr>
          <w:lang w:val="es-ES"/>
        </w:rPr>
        <w:t>ocumento</w:t>
      </w:r>
      <w:r w:rsidR="00254762" w:rsidRPr="00C52838">
        <w:rPr>
          <w:rFonts w:cs="Calibri"/>
          <w:lang w:val="es-ES"/>
        </w:rPr>
        <w:t xml:space="preserve"> </w:t>
      </w:r>
      <w:hyperlink r:id="rId35" w:history="1">
        <w:r w:rsidR="00254762" w:rsidRPr="0057685D">
          <w:rPr>
            <w:rStyle w:val="Hyperlink"/>
            <w:rFonts w:eastAsia="Times New Roman" w:cs="Calibri"/>
            <w:szCs w:val="20"/>
            <w:lang w:val="es-ES"/>
          </w:rPr>
          <w:t>C26/DT/5(Rev.1)</w:t>
        </w:r>
      </w:hyperlink>
      <w:r w:rsidRPr="0082151B">
        <w:rPr>
          <w:lang w:val="es-ES"/>
        </w:rPr>
        <w:t>,</w:t>
      </w:r>
      <w:r w:rsidRPr="004902DE">
        <w:rPr>
          <w:lang w:val="es-ES"/>
        </w:rPr>
        <w:t xml:space="preserve"> que sometió al examen de la Comisión.</w:t>
      </w:r>
    </w:p>
    <w:p w14:paraId="78700E61" w14:textId="0904B665" w:rsidR="00C503F2" w:rsidRPr="00990D4A" w:rsidRDefault="00C503F2" w:rsidP="00C503F2">
      <w:pPr>
        <w:rPr>
          <w:lang w:val="es-ES"/>
        </w:rPr>
      </w:pPr>
      <w:r w:rsidRPr="004902DE">
        <w:rPr>
          <w:lang w:val="es-ES"/>
        </w:rPr>
        <w:t>9.4</w:t>
      </w:r>
      <w:r w:rsidRPr="004902DE">
        <w:rPr>
          <w:lang w:val="es-ES"/>
        </w:rPr>
        <w:tab/>
        <w:t xml:space="preserve">Los consejeros convinieron en que la situación en Ecuador era temporal y en que la reducción de su contribución no repercutiría de manera sustancial en la situación financiera de </w:t>
      </w:r>
      <w:r w:rsidR="005457EE">
        <w:rPr>
          <w:lang w:val="es-ES"/>
        </w:rPr>
        <w:t>la Unión</w:t>
      </w:r>
      <w:r w:rsidRPr="004902DE">
        <w:rPr>
          <w:lang w:val="es-ES"/>
        </w:rPr>
        <w:t xml:space="preserve">. En aras de la solidaridad, acordaron en consecuencia acceder a la solicitud de Ecuador. Un consejero propuso enmiendas al proyecto de resolución para subrayar el carácter temporal de la exención y encargar a la Secretaría General que solicitara al Gobierno de Ecuador información actualizada con carácter anual sobre la situación del país en relación con la persistencia de las circunstancias excepcionales, y que informara anualmente al Consejo para facilitar la oportuna reevaluación de la aplicabilidad de la excepción. Otros consejeros respaldaron el reconocimiento de esa situación excepcional y advirtieron que no debe crear precedentes, y que es necesario establecer claramente las orientaciones y los criterios adecuados para esas exenciones. La resolución debe estar en </w:t>
      </w:r>
      <w:r w:rsidRPr="00990D4A">
        <w:rPr>
          <w:lang w:val="es-ES"/>
        </w:rPr>
        <w:t>consonancia con el mandato establecido por el Consejo en materia de procedimientos relativos a la evaluación de las solicitudes de excepciones.</w:t>
      </w:r>
    </w:p>
    <w:p w14:paraId="44869DAA" w14:textId="4ADE0922" w:rsidR="00C503F2" w:rsidRPr="00990D4A" w:rsidRDefault="00C503F2" w:rsidP="00A229F4">
      <w:pPr>
        <w:spacing w:after="120"/>
        <w:rPr>
          <w:lang w:val="es-ES"/>
        </w:rPr>
      </w:pPr>
      <w:r w:rsidRPr="00990D4A">
        <w:rPr>
          <w:lang w:val="es-ES"/>
        </w:rPr>
        <w:t>9.5</w:t>
      </w:r>
      <w:r w:rsidRPr="00990D4A">
        <w:rPr>
          <w:lang w:val="es-ES"/>
        </w:rPr>
        <w:tab/>
        <w:t xml:space="preserve">Tras celebrar varias consultas oficiosas, la Comisión </w:t>
      </w:r>
      <w:r w:rsidRPr="00551D76">
        <w:rPr>
          <w:b/>
          <w:bCs/>
          <w:lang w:val="es-ES"/>
        </w:rPr>
        <w:t>acordó</w:t>
      </w:r>
      <w:r w:rsidRPr="00990D4A">
        <w:rPr>
          <w:lang w:val="es-ES"/>
        </w:rPr>
        <w:t xml:space="preserve"> llegar a la siguiente conclusión:</w:t>
      </w:r>
    </w:p>
    <w:tbl>
      <w:tblPr>
        <w:tblStyle w:val="TableGrid"/>
        <w:tblW w:w="5000" w:type="pct"/>
        <w:tblInd w:w="-147" w:type="dxa"/>
        <w:tblLook w:val="04A0" w:firstRow="1" w:lastRow="0" w:firstColumn="1" w:lastColumn="0" w:noHBand="0" w:noVBand="1"/>
      </w:tblPr>
      <w:tblGrid>
        <w:gridCol w:w="9061"/>
      </w:tblGrid>
      <w:tr w:rsidR="004902DE" w:rsidRPr="00C52838" w14:paraId="1EF80BE5" w14:textId="77777777" w:rsidTr="004902DE">
        <w:tc>
          <w:tcPr>
            <w:tcW w:w="9061" w:type="dxa"/>
          </w:tcPr>
          <w:p w14:paraId="73B600E2" w14:textId="66CE5346" w:rsidR="004902DE" w:rsidRDefault="00551D76" w:rsidP="00A229F4">
            <w:pPr>
              <w:tabs>
                <w:tab w:val="clear" w:pos="567"/>
                <w:tab w:val="left" w:pos="605"/>
              </w:tabs>
              <w:spacing w:after="80"/>
              <w:ind w:left="40"/>
              <w:rPr>
                <w:rFonts w:eastAsia="Calibri" w:cs="Calibri"/>
                <w:lang w:val="es-ES"/>
              </w:rPr>
            </w:pPr>
            <w:r>
              <w:rPr>
                <w:rFonts w:eastAsia="Calibri" w:cs="Calibri"/>
                <w:lang w:val="es-ES"/>
              </w:rPr>
              <w:t>9.6</w:t>
            </w:r>
            <w:r>
              <w:rPr>
                <w:rFonts w:eastAsia="Calibri" w:cs="Calibri"/>
                <w:lang w:val="es-ES"/>
              </w:rPr>
              <w:tab/>
            </w:r>
            <w:r w:rsidR="004902DE" w:rsidRPr="00551D76">
              <w:rPr>
                <w:lang w:val="es-ES"/>
              </w:rPr>
              <w:t>La</w:t>
            </w:r>
            <w:r w:rsidR="004902DE" w:rsidRPr="00990D4A">
              <w:rPr>
                <w:rFonts w:eastAsia="Calibri" w:cs="Calibri"/>
                <w:lang w:val="es-ES"/>
              </w:rPr>
              <w:t xml:space="preserve"> </w:t>
            </w:r>
            <w:r w:rsidR="004902DE" w:rsidRPr="00990D4A">
              <w:rPr>
                <w:lang w:val="es-ES"/>
              </w:rPr>
              <w:t>Comisión</w:t>
            </w:r>
            <w:r w:rsidR="004902DE" w:rsidRPr="00990D4A">
              <w:rPr>
                <w:rFonts w:eastAsia="Calibri" w:cs="Calibri"/>
                <w:lang w:val="es-ES"/>
              </w:rPr>
              <w:t xml:space="preserve"> recomienda al Consejo:</w:t>
            </w:r>
          </w:p>
          <w:p w14:paraId="19223D59" w14:textId="22DD7DAC" w:rsidR="00D17D49" w:rsidRPr="00990D4A" w:rsidRDefault="00D17D49" w:rsidP="00A229F4">
            <w:pPr>
              <w:pStyle w:val="enumlev1"/>
              <w:tabs>
                <w:tab w:val="clear" w:pos="567"/>
              </w:tabs>
              <w:ind w:left="605"/>
              <w:rPr>
                <w:rFonts w:eastAsia="Calibri" w:cs="Calibri"/>
                <w:lang w:val="es-ES"/>
              </w:rPr>
            </w:pPr>
            <w:r w:rsidRPr="001D759A">
              <w:rPr>
                <w:lang w:val="es-ES"/>
              </w:rPr>
              <w:t>•</w:t>
            </w:r>
            <w:r w:rsidRPr="001D759A">
              <w:rPr>
                <w:lang w:val="es-ES"/>
              </w:rPr>
              <w:tab/>
            </w:r>
            <w:r>
              <w:rPr>
                <w:lang w:val="es-ES"/>
              </w:rPr>
              <w:t>que encargue a la Secretaria General la elaboración de</w:t>
            </w:r>
            <w:r w:rsidRPr="00DC318B">
              <w:rPr>
                <w:lang w:val="es-ES"/>
              </w:rPr>
              <w:t xml:space="preserve"> un procedimiento estructurado que </w:t>
            </w:r>
            <w:r>
              <w:rPr>
                <w:lang w:val="es-ES"/>
              </w:rPr>
              <w:t xml:space="preserve">sirva de guía al </w:t>
            </w:r>
            <w:r w:rsidRPr="00DC318B">
              <w:rPr>
                <w:lang w:val="es-ES"/>
              </w:rPr>
              <w:t xml:space="preserve">Consejo en relación con las reducciones excepcionales previstas en el </w:t>
            </w:r>
            <w:r>
              <w:rPr>
                <w:lang w:val="es-ES"/>
              </w:rPr>
              <w:t>A</w:t>
            </w:r>
            <w:r w:rsidRPr="00DC318B">
              <w:rPr>
                <w:lang w:val="es-ES"/>
              </w:rPr>
              <w:t xml:space="preserve">rtículo 165A del Convenio, de modo que estén sujetas a plazos explícitos y a revisiones periódicas, y </w:t>
            </w:r>
            <w:r>
              <w:rPr>
                <w:lang w:val="es-ES"/>
              </w:rPr>
              <w:t xml:space="preserve">que lo </w:t>
            </w:r>
            <w:r w:rsidRPr="00DC318B">
              <w:rPr>
                <w:lang w:val="es-ES"/>
              </w:rPr>
              <w:t>present</w:t>
            </w:r>
            <w:r>
              <w:rPr>
                <w:lang w:val="es-ES"/>
              </w:rPr>
              <w:t>e</w:t>
            </w:r>
            <w:r w:rsidRPr="00DC318B">
              <w:rPr>
                <w:lang w:val="es-ES"/>
              </w:rPr>
              <w:t xml:space="preserve"> en la </w:t>
            </w:r>
            <w:r>
              <w:rPr>
                <w:lang w:val="es-ES"/>
              </w:rPr>
              <w:t>reunión</w:t>
            </w:r>
            <w:r w:rsidRPr="00DC318B">
              <w:rPr>
                <w:lang w:val="es-ES"/>
              </w:rPr>
              <w:t xml:space="preserve"> del Consejo de 2027</w:t>
            </w:r>
            <w:r w:rsidR="00551D76">
              <w:rPr>
                <w:lang w:val="es-ES"/>
              </w:rPr>
              <w:t>; y</w:t>
            </w:r>
          </w:p>
          <w:p w14:paraId="11F92B1F" w14:textId="69204ABF" w:rsidR="004902DE" w:rsidRPr="00990D4A" w:rsidRDefault="004902DE" w:rsidP="00A229F4">
            <w:pPr>
              <w:pStyle w:val="enumlev1"/>
              <w:tabs>
                <w:tab w:val="clear" w:pos="567"/>
              </w:tabs>
              <w:spacing w:after="120"/>
              <w:ind w:left="605"/>
              <w:rPr>
                <w:lang w:val="es-ES"/>
              </w:rPr>
            </w:pPr>
            <w:r w:rsidRPr="00990D4A">
              <w:rPr>
                <w:lang w:val="es-ES"/>
              </w:rPr>
              <w:t>•</w:t>
            </w:r>
            <w:r w:rsidRPr="00990D4A">
              <w:rPr>
                <w:lang w:val="es-ES"/>
              </w:rPr>
              <w:tab/>
              <w:t xml:space="preserve">que apruebe la Resolución que figura en el </w:t>
            </w:r>
            <w:hyperlink w:anchor="ANEXO_A" w:history="1">
              <w:r w:rsidRPr="00990D4A">
                <w:rPr>
                  <w:rStyle w:val="Hyperlink"/>
                  <w:b/>
                  <w:bCs/>
                  <w:lang w:val="es-ES"/>
                </w:rPr>
                <w:t>Anexo A</w:t>
              </w:r>
            </w:hyperlink>
            <w:r w:rsidRPr="00990D4A">
              <w:rPr>
                <w:lang w:val="es-ES"/>
              </w:rPr>
              <w:t xml:space="preserve"> al presente </w:t>
            </w:r>
            <w:r w:rsidR="00AD6AE1">
              <w:rPr>
                <w:lang w:val="es-ES"/>
              </w:rPr>
              <w:t>I</w:t>
            </w:r>
            <w:r w:rsidRPr="00990D4A">
              <w:rPr>
                <w:lang w:val="es-ES"/>
              </w:rPr>
              <w:t>nforme.</w:t>
            </w:r>
          </w:p>
        </w:tc>
      </w:tr>
    </w:tbl>
    <w:p w14:paraId="069DE9D5" w14:textId="77777777" w:rsidR="00ED2477" w:rsidRPr="001D759A" w:rsidRDefault="00ED2477" w:rsidP="00ED2477">
      <w:pPr>
        <w:pStyle w:val="Heading1"/>
        <w:rPr>
          <w:lang w:val="es-ES"/>
        </w:rPr>
      </w:pPr>
      <w:r w:rsidRPr="001D759A">
        <w:rPr>
          <w:lang w:val="es-ES"/>
        </w:rPr>
        <w:lastRenderedPageBreak/>
        <w:t>10</w:t>
      </w:r>
      <w:r w:rsidRPr="001D759A">
        <w:rPr>
          <w:lang w:val="es-ES"/>
        </w:rPr>
        <w:tab/>
        <w:t xml:space="preserve">Unidades contributivas – Metodología para el examen y la revisión de la unidad contributiva (Documento </w:t>
      </w:r>
      <w:hyperlink r:id="rId36" w:history="1">
        <w:r w:rsidRPr="001D759A">
          <w:rPr>
            <w:rStyle w:val="Hyperlink"/>
            <w:lang w:val="es-ES"/>
          </w:rPr>
          <w:t>C26/72</w:t>
        </w:r>
      </w:hyperlink>
      <w:r w:rsidRPr="001D759A">
        <w:rPr>
          <w:lang w:val="es-ES"/>
        </w:rPr>
        <w:t>)</w:t>
      </w:r>
    </w:p>
    <w:p w14:paraId="73203E9B" w14:textId="39EB6B43" w:rsidR="00ED2477" w:rsidRPr="001D759A" w:rsidRDefault="00254762" w:rsidP="00393A84">
      <w:pPr>
        <w:pStyle w:val="Heading1"/>
        <w:spacing w:before="160"/>
        <w:rPr>
          <w:lang w:val="es-ES"/>
        </w:rPr>
      </w:pPr>
      <w:r>
        <w:rPr>
          <w:lang w:val="es-ES"/>
        </w:rPr>
        <w:tab/>
      </w:r>
      <w:proofErr w:type="spellStart"/>
      <w:r w:rsidR="00ED2477" w:rsidRPr="00393A84">
        <w:t>Metodología</w:t>
      </w:r>
      <w:proofErr w:type="spellEnd"/>
      <w:r w:rsidR="00ED2477" w:rsidRPr="00254762">
        <w:rPr>
          <w:lang w:val="es-ES"/>
        </w:rPr>
        <w:t xml:space="preserve"> para el examen y la revisión de la unidad contributiva (Documento</w:t>
      </w:r>
      <w:r w:rsidR="00ED2477" w:rsidRPr="001D759A">
        <w:rPr>
          <w:lang w:val="es-ES"/>
        </w:rPr>
        <w:t xml:space="preserve"> </w:t>
      </w:r>
      <w:hyperlink r:id="rId37" w:history="1">
        <w:r w:rsidR="00ED2477" w:rsidRPr="001D759A">
          <w:rPr>
            <w:rStyle w:val="Hyperlink"/>
            <w:szCs w:val="28"/>
            <w:lang w:val="es-ES"/>
          </w:rPr>
          <w:t>C26/100</w:t>
        </w:r>
      </w:hyperlink>
      <w:r w:rsidR="00ED2477" w:rsidRPr="001D759A">
        <w:rPr>
          <w:lang w:val="es-ES"/>
        </w:rPr>
        <w:t>)</w:t>
      </w:r>
    </w:p>
    <w:p w14:paraId="2F01958F" w14:textId="71FBA762" w:rsidR="0082781E" w:rsidRPr="00D221CE" w:rsidRDefault="0082781E" w:rsidP="00D221CE">
      <w:pPr>
        <w:rPr>
          <w:rFonts w:eastAsia="Calibri"/>
          <w:spacing w:val="-2"/>
          <w:lang w:val="es-ES"/>
        </w:rPr>
      </w:pPr>
      <w:r>
        <w:rPr>
          <w:lang w:val="es-ES"/>
        </w:rPr>
        <w:t>10.1</w:t>
      </w:r>
      <w:r>
        <w:rPr>
          <w:lang w:val="es-ES"/>
        </w:rPr>
        <w:tab/>
        <w:t xml:space="preserve">El Jefe del FRMD presentó el informe contenido en el Documento C26/72 sobre la metodología para el examen y la revisión de las unidades contributivas. La metodología se aplicaría en el periodo previo a la Conferencia de Plenipotenciarios de 2030 y cualquier ajuste de la unidad contributiva entraría en vigor a partir de 2032. En la PP-26 no se propondría ningún aumento; </w:t>
      </w:r>
      <w:r w:rsidR="005457EE">
        <w:rPr>
          <w:lang w:val="es-ES"/>
        </w:rPr>
        <w:t>la Unión</w:t>
      </w:r>
      <w:r>
        <w:rPr>
          <w:lang w:val="es-ES"/>
        </w:rPr>
        <w:t xml:space="preserve"> seguiría funcionando con sujeción a las limitaciones de su presupuesto vigente, mediante una mayor disciplina financiera. La Secretaría propuso seguir vigilando de cerca la situación financiera y aplicar medidas para impulsar la eficiencia, la orientación y la coordinación, y mejorar la disciplina financiera. La metodología propuesta contenía tres posibles enfoques: ajustar la unidad contributiva para reflejar la inflación; vincular el aumento de la unidad contributiva a la mejora del rendimiento, y vincular los aumentos a los </w:t>
      </w:r>
      <w:r w:rsidR="00C817F3">
        <w:rPr>
          <w:lang w:val="es-ES"/>
        </w:rPr>
        <w:t>costes</w:t>
      </w:r>
      <w:r>
        <w:rPr>
          <w:lang w:val="es-ES"/>
        </w:rPr>
        <w:t xml:space="preserve"> adicionales asociados con los nuevos mandatos aprobados por los</w:t>
      </w:r>
      <w:r w:rsidR="007113C1">
        <w:rPr>
          <w:lang w:val="es-ES"/>
        </w:rPr>
        <w:t> </w:t>
      </w:r>
      <w:r w:rsidR="00C817F3">
        <w:rPr>
          <w:lang w:val="es-ES"/>
        </w:rPr>
        <w:t>M</w:t>
      </w:r>
      <w:r>
        <w:rPr>
          <w:lang w:val="es-ES"/>
        </w:rPr>
        <w:t>iembros.</w:t>
      </w:r>
    </w:p>
    <w:p w14:paraId="6AD35F1F" w14:textId="307DC9D2" w:rsidR="0082781E" w:rsidRPr="00D221CE" w:rsidRDefault="0082781E" w:rsidP="0082781E">
      <w:pPr>
        <w:rPr>
          <w:lang w:val="es-ES"/>
        </w:rPr>
      </w:pPr>
      <w:r>
        <w:rPr>
          <w:lang w:val="es-ES"/>
        </w:rPr>
        <w:t>10.2</w:t>
      </w:r>
      <w:r>
        <w:rPr>
          <w:lang w:val="es-ES"/>
        </w:rPr>
        <w:tab/>
        <w:t xml:space="preserve">El consejero de Sudáfrica presentó la contribución multipaís en el Documento C26/100 en nombre de cinco países, y propuso que: la Secretaría estableciese un punto de referencia claro sobre lo que daría lugar a una revisión de la unidad contributiva; fijase umbrales que diesen lugar automáticamente a un nuevo examen de la unidad contributiva, y examinase la posibilidad de realizar una supervisión anual y presentar perspectivas financieras a tres o seis años que incluyesen las previsiones de ingresos y las tendencias de gastos, las implicaciones de los </w:t>
      </w:r>
      <w:r w:rsidR="00C817F3">
        <w:rPr>
          <w:lang w:val="es-ES"/>
        </w:rPr>
        <w:t>costes</w:t>
      </w:r>
      <w:r>
        <w:rPr>
          <w:lang w:val="es-ES"/>
        </w:rPr>
        <w:t xml:space="preserve"> de los nuevos mandatos y análisis de posibles escenarios. Para hacer frente a la vaguedad de las medidas de eficiencia, deberían establecerse objetivos cuantificados. Para una supervisión y evaluación más sistemáticas tendría que crearse un tablero de adecuación de las unidades contributivas que permitiera a los Estados Miembros tomar decisiones informadas. Estas medidas evitarían la aplicación atrasada de una presión financiera, la reducción de resultados y una posible necesidad repentina de realizar ajustes en el futuro.</w:t>
      </w:r>
    </w:p>
    <w:p w14:paraId="49F50FBD" w14:textId="6E452C04" w:rsidR="0082781E" w:rsidRPr="00D221CE" w:rsidRDefault="0082781E" w:rsidP="0082781E">
      <w:pPr>
        <w:rPr>
          <w:lang w:val="es-ES"/>
        </w:rPr>
      </w:pPr>
      <w:r>
        <w:rPr>
          <w:lang w:val="es-ES"/>
        </w:rPr>
        <w:t>10.3</w:t>
      </w:r>
      <w:r>
        <w:rPr>
          <w:lang w:val="es-ES"/>
        </w:rPr>
        <w:tab/>
        <w:t xml:space="preserve">Los consejeros acogieron con beneplácito el continuo crecimiento nominal cero de la unidad contributiva y elogiaron los esfuerzos de la Secretaría por garantizar la buena gestión financiera de </w:t>
      </w:r>
      <w:r w:rsidR="005457EE">
        <w:rPr>
          <w:lang w:val="es-ES"/>
        </w:rPr>
        <w:t>la Unión</w:t>
      </w:r>
      <w:r>
        <w:rPr>
          <w:lang w:val="es-ES"/>
        </w:rPr>
        <w:t>, que era esencial para que esta pudiera funcionar dentro de su marco presupuestario existente, y evitar la imposición de una presión financiera adicional a los Estados Miembros. Los Estados Miembros eran claramente sensibles a las consecuencias financieras de los posibles ajustes, al tiempo que demostraban un interés común en mantener la estabilidad y la previsibilidad. Toda evaluación futura de la unidad contributiva debería tener en cuenta las circunstancias de los Estados Miembros.</w:t>
      </w:r>
    </w:p>
    <w:p w14:paraId="596999A7" w14:textId="71942BCB" w:rsidR="0082781E" w:rsidRPr="00D221CE" w:rsidRDefault="0082781E" w:rsidP="0082781E">
      <w:pPr>
        <w:rPr>
          <w:lang w:val="es-ES"/>
        </w:rPr>
      </w:pPr>
      <w:r>
        <w:rPr>
          <w:lang w:val="es-ES"/>
        </w:rPr>
        <w:t>10.4</w:t>
      </w:r>
      <w:r>
        <w:rPr>
          <w:lang w:val="es-ES"/>
        </w:rPr>
        <w:tab/>
      </w:r>
      <w:r w:rsidR="00103D78">
        <w:rPr>
          <w:lang w:val="es-ES"/>
        </w:rPr>
        <w:t>La UIT</w:t>
      </w:r>
      <w:r>
        <w:rPr>
          <w:lang w:val="es-ES"/>
        </w:rPr>
        <w:t xml:space="preserve"> se enfrentaba a una situación de estancamiento de los ingresos y aumento de los </w:t>
      </w:r>
      <w:r w:rsidR="00C817F3">
        <w:rPr>
          <w:lang w:val="es-ES"/>
        </w:rPr>
        <w:t>costes</w:t>
      </w:r>
      <w:r>
        <w:rPr>
          <w:lang w:val="es-ES"/>
        </w:rPr>
        <w:t xml:space="preserve">, que era necesario solucionar. No podía permanecer estática en semejante situación. En opinión de muchos consejeros, </w:t>
      </w:r>
      <w:r w:rsidR="005457EE">
        <w:rPr>
          <w:lang w:val="es-ES"/>
        </w:rPr>
        <w:t>la Unión</w:t>
      </w:r>
      <w:r>
        <w:rPr>
          <w:lang w:val="es-ES"/>
        </w:rPr>
        <w:t xml:space="preserve"> debería seguir funcionando dentro de su marco presupuestario vigente, reforzando su gestión financiera, abordando las duplicaciones de gastos y priorizando y racionalizando las actividades. Se debería seguir trabajando para diversificar las fuentes de ingresos. El establecimiento de prioridades era clave; si </w:t>
      </w:r>
      <w:r w:rsidR="00103D78">
        <w:rPr>
          <w:lang w:val="es-ES"/>
        </w:rPr>
        <w:t>la UIT</w:t>
      </w:r>
      <w:r>
        <w:rPr>
          <w:lang w:val="es-ES"/>
        </w:rPr>
        <w:t xml:space="preserve"> deseaba emprender una nueva actividad, debería considerar dónde se podían </w:t>
      </w:r>
      <w:r>
        <w:rPr>
          <w:lang w:val="es-ES"/>
        </w:rPr>
        <w:lastRenderedPageBreak/>
        <w:t>efectuar recortes para liberar los recursos necesarios. A juicio de algunos consejeros, se necesitaba un método sólido de ajuste de la unidad contributiva junto con los esfuerzos por hacer más estricta la gestión financiera, no obstante, para permitir una previsibilidad financiera. Los consejeros acogieron con beneplácito los esfuerzos por garantizar un equilibrio entre las medidas de eficiencia y el valor de la unidad contributiva. Toda propuesta de aumento de la unidad contributiva debería ir acompañada de mejoras claras y mensurables en la obtención de resultados.</w:t>
      </w:r>
    </w:p>
    <w:p w14:paraId="43388D42" w14:textId="241FD3BC" w:rsidR="0082781E" w:rsidRPr="00D221CE" w:rsidRDefault="0082781E" w:rsidP="0082781E">
      <w:pPr>
        <w:rPr>
          <w:lang w:val="es-ES"/>
        </w:rPr>
      </w:pPr>
      <w:r>
        <w:rPr>
          <w:lang w:val="es-ES"/>
        </w:rPr>
        <w:t>10.5</w:t>
      </w:r>
      <w:r>
        <w:rPr>
          <w:lang w:val="es-ES"/>
        </w:rPr>
        <w:tab/>
        <w:t xml:space="preserve">En cuanto a las medidas propuestas en el método, varios consejeros mostraron cautela con el ajuste de la unidad contributiva en función de la inflación, puesto que podría generar imprevisibilidad en las contribuciones previstas. Era necesario aclarar más la vinculación de los aumentos con el rendimiento, y el ajuste en función de las repercusiones de los </w:t>
      </w:r>
      <w:r w:rsidR="00C817F3">
        <w:rPr>
          <w:lang w:val="es-ES"/>
        </w:rPr>
        <w:t>costes</w:t>
      </w:r>
      <w:r>
        <w:rPr>
          <w:lang w:val="es-ES"/>
        </w:rPr>
        <w:t xml:space="preserve"> adicionales de los nuevos mandatos, ya que en ambos casos no parecía precisa ni previsible, sobre todo teniendo en cuenta las dificultades para estimar las consecuencias financieras de los resultados de las conferencias. Se expresó preocupación por el riesgo de que cualquier aumento en el valor de la unidad contributiva pudiera compensarse por el hecho de que las administraciones tuvieran derecho a reducir sus unidades hasta en un</w:t>
      </w:r>
      <w:r w:rsidR="00A229F4">
        <w:rPr>
          <w:lang w:val="es-ES"/>
        </w:rPr>
        <w:t> </w:t>
      </w:r>
      <w:r>
        <w:rPr>
          <w:lang w:val="es-ES"/>
        </w:rPr>
        <w:t xml:space="preserve">15 %, lo que podría traducirse en una reducción </w:t>
      </w:r>
      <w:r>
        <w:rPr>
          <w:i/>
          <w:iCs/>
          <w:lang w:val="es-ES"/>
        </w:rPr>
        <w:t>de facto</w:t>
      </w:r>
      <w:r>
        <w:rPr>
          <w:lang w:val="es-ES"/>
        </w:rPr>
        <w:t xml:space="preserve"> del presupuesto. También debería tenerse en cuenta que cualquier aumento de la unidad contributiva no solo afectaría a los Estados Miembros, sino también a los Miembros de Sector y a los Asociados. Por consiguiente, se necesitaba un proceso de consulta para garantizar que la cuestión era debatida colectivamente. Una consejera advirtió del peligro de establecer mecanismos que podrían provocar un aumento del valor de la unidad contributiva sin una decisión de los Estados Miembros. Otro propuso que los ajustes de la unidad contributiva se vinculasen a la situación económica de los Estados Miembros, como su producto interno bruto o su posición en el índice de desarrollo mundial.</w:t>
      </w:r>
    </w:p>
    <w:p w14:paraId="6B9004E6" w14:textId="49BEC8CF" w:rsidR="0082781E" w:rsidRPr="00D221CE" w:rsidRDefault="0082781E" w:rsidP="0082781E">
      <w:pPr>
        <w:rPr>
          <w:lang w:val="es-ES"/>
        </w:rPr>
      </w:pPr>
      <w:r>
        <w:rPr>
          <w:lang w:val="es-ES"/>
        </w:rPr>
        <w:t>10.6</w:t>
      </w:r>
      <w:r>
        <w:rPr>
          <w:lang w:val="es-ES"/>
        </w:rPr>
        <w:tab/>
        <w:t>Era necesario proseguir los debates para llegar a un consenso sobre el contenido de la metodología y el calendario para su aplicación. Un análisis de situación más detallado permitiría al Consejo tomar una decisión informada sobre el asunto en el momento adecuado.</w:t>
      </w:r>
    </w:p>
    <w:p w14:paraId="0F18E94A" w14:textId="6B14976C" w:rsidR="0082781E" w:rsidRPr="00990D4A" w:rsidRDefault="0082781E" w:rsidP="0082781E">
      <w:pPr>
        <w:rPr>
          <w:lang w:val="es-ES"/>
        </w:rPr>
      </w:pPr>
      <w:r>
        <w:rPr>
          <w:lang w:val="es-ES"/>
        </w:rPr>
        <w:t>10.7</w:t>
      </w:r>
      <w:r>
        <w:rPr>
          <w:lang w:val="es-ES"/>
        </w:rPr>
        <w:tab/>
        <w:t xml:space="preserve">Los consejeros acogieron con beneplácito la contribución multipaís, cuyas propuestas suponían reflexiones útiles para futuros debates. Se expresó el deseo de lograr una metodología más sólida que contribuyera a una mejor planificación financiera. La introducción de metas de eficiencia cuantificables y perspectivas financieras plurianuales contribuiría significativamente a la transparencia, la rendición de cuentas y el rigor técnico, así como a la estabilidad y previsibilidad, lo que facilitaría la adopción de decisiones fundamentadas y una planificación sólida. Las propuestas contenidas en la contribución eran un buen primer paso para considerar un enfoque diferente con el que hacer frente a las limitaciones financieras de </w:t>
      </w:r>
      <w:r w:rsidR="005457EE">
        <w:rPr>
          <w:lang w:val="es-ES"/>
        </w:rPr>
        <w:t>la Unión</w:t>
      </w:r>
      <w:r>
        <w:rPr>
          <w:lang w:val="es-ES"/>
        </w:rPr>
        <w:t xml:space="preserve"> y su mandato cada vez mayor.</w:t>
      </w:r>
    </w:p>
    <w:p w14:paraId="0F1E3BCE" w14:textId="19AAC2B8" w:rsidR="0082781E" w:rsidRDefault="0082781E" w:rsidP="007113C1">
      <w:pPr>
        <w:keepNext/>
        <w:keepLines/>
        <w:spacing w:after="120" w:line="259" w:lineRule="auto"/>
        <w:rPr>
          <w:lang w:val="es-ES"/>
        </w:rPr>
      </w:pPr>
      <w:r>
        <w:rPr>
          <w:lang w:val="es-ES"/>
        </w:rPr>
        <w:lastRenderedPageBreak/>
        <w:t>10.8</w:t>
      </w:r>
      <w:r>
        <w:rPr>
          <w:lang w:val="es-ES"/>
        </w:rPr>
        <w:tab/>
        <w:t xml:space="preserve">La Comisión </w:t>
      </w:r>
      <w:r>
        <w:rPr>
          <w:b/>
          <w:bCs/>
          <w:lang w:val="es-ES"/>
        </w:rPr>
        <w:t>acordó</w:t>
      </w:r>
      <w:r>
        <w:rPr>
          <w:lang w:val="es-ES"/>
        </w:rPr>
        <w:t xml:space="preserve"> llegar a la siguiente conclusión:</w:t>
      </w:r>
    </w:p>
    <w:tbl>
      <w:tblPr>
        <w:tblStyle w:val="TableGrid"/>
        <w:tblW w:w="5000" w:type="pct"/>
        <w:tblInd w:w="-147" w:type="dxa"/>
        <w:tblLook w:val="04A0" w:firstRow="1" w:lastRow="0" w:firstColumn="1" w:lastColumn="0" w:noHBand="0" w:noVBand="1"/>
      </w:tblPr>
      <w:tblGrid>
        <w:gridCol w:w="9061"/>
      </w:tblGrid>
      <w:tr w:rsidR="00A46732" w:rsidRPr="00C52838" w14:paraId="6B108A44" w14:textId="77777777" w:rsidTr="00A46732">
        <w:tc>
          <w:tcPr>
            <w:tcW w:w="9061" w:type="dxa"/>
          </w:tcPr>
          <w:p w14:paraId="7BC2F769" w14:textId="77777777" w:rsidR="00A46732" w:rsidRPr="00A46732" w:rsidRDefault="00A46732" w:rsidP="007113C1">
            <w:pPr>
              <w:keepNext/>
              <w:keepLines/>
              <w:tabs>
                <w:tab w:val="clear" w:pos="567"/>
                <w:tab w:val="left" w:pos="601"/>
              </w:tabs>
              <w:spacing w:after="80"/>
              <w:ind w:left="40"/>
              <w:rPr>
                <w:rFonts w:eastAsia="Calibri" w:cs="Calibri"/>
                <w:lang w:val="es-ES"/>
              </w:rPr>
            </w:pPr>
            <w:r w:rsidRPr="00A46732">
              <w:rPr>
                <w:rFonts w:eastAsia="Calibri" w:cs="Calibri"/>
                <w:lang w:val="es-ES"/>
              </w:rPr>
              <w:t>10.9</w:t>
            </w:r>
            <w:r w:rsidRPr="00A46732">
              <w:rPr>
                <w:rFonts w:eastAsia="Calibri" w:cs="Calibri"/>
                <w:lang w:val="es-ES"/>
              </w:rPr>
              <w:tab/>
              <w:t xml:space="preserve">La </w:t>
            </w:r>
            <w:r w:rsidRPr="00A46732">
              <w:rPr>
                <w:rFonts w:eastAsia="Calibri" w:cs="Calibri"/>
                <w:szCs w:val="24"/>
                <w:lang w:val="es-ES"/>
              </w:rPr>
              <w:t>Comisión</w:t>
            </w:r>
            <w:r w:rsidRPr="00A46732">
              <w:rPr>
                <w:rFonts w:eastAsia="Calibri" w:cs="Calibri"/>
                <w:lang w:val="es-ES"/>
              </w:rPr>
              <w:t xml:space="preserve"> recomienda al Consejo que:</w:t>
            </w:r>
          </w:p>
          <w:p w14:paraId="019A6046" w14:textId="4D73DB1C" w:rsidR="00A46732" w:rsidRPr="00A46732" w:rsidRDefault="00A46732" w:rsidP="007113C1">
            <w:pPr>
              <w:pStyle w:val="enumlev1"/>
              <w:keepNext/>
              <w:keepLines/>
              <w:tabs>
                <w:tab w:val="clear" w:pos="567"/>
              </w:tabs>
              <w:ind w:left="607"/>
              <w:rPr>
                <w:rFonts w:eastAsia="Calibri" w:cs="Calibri"/>
                <w:lang w:val="es-ES"/>
              </w:rPr>
            </w:pPr>
            <w:r w:rsidRPr="00A46732">
              <w:rPr>
                <w:rFonts w:eastAsia="Calibri" w:cs="Calibri"/>
                <w:lang w:val="es-ES"/>
              </w:rPr>
              <w:t>•</w:t>
            </w:r>
            <w:r w:rsidRPr="00A46732">
              <w:rPr>
                <w:rFonts w:eastAsia="Calibri" w:cs="Calibri"/>
                <w:lang w:val="es-ES"/>
              </w:rPr>
              <w:tab/>
            </w:r>
            <w:r w:rsidRPr="00A46732">
              <w:rPr>
                <w:lang w:val="es-ES"/>
              </w:rPr>
              <w:t>examine</w:t>
            </w:r>
            <w:r w:rsidRPr="00A46732">
              <w:rPr>
                <w:rFonts w:eastAsia="Calibri" w:cs="Calibri"/>
                <w:lang w:val="es-ES"/>
              </w:rPr>
              <w:t xml:space="preserve"> el informe contenido en el Documento </w:t>
            </w:r>
            <w:hyperlink r:id="rId38" w:history="1">
              <w:r w:rsidRPr="000837BE">
                <w:rPr>
                  <w:rStyle w:val="Hyperlink"/>
                  <w:rFonts w:eastAsia="Calibri" w:cs="Calibri"/>
                  <w:lang w:val="es-ES"/>
                </w:rPr>
                <w:t>C26/72</w:t>
              </w:r>
            </w:hyperlink>
            <w:r w:rsidRPr="00A46732">
              <w:rPr>
                <w:rFonts w:eastAsia="Calibri" w:cs="Calibri"/>
                <w:lang w:val="es-ES"/>
              </w:rPr>
              <w:t xml:space="preserve"> y </w:t>
            </w:r>
            <w:r w:rsidR="004843BB">
              <w:rPr>
                <w:rFonts w:eastAsia="Calibri" w:cs="Calibri"/>
                <w:lang w:val="es-ES"/>
              </w:rPr>
              <w:t xml:space="preserve">solicite a la Secretaría que siga estudiando las propuestas de </w:t>
            </w:r>
            <w:r w:rsidRPr="00A46732">
              <w:rPr>
                <w:rFonts w:eastAsia="Calibri" w:cs="Calibri"/>
                <w:lang w:val="es-ES"/>
              </w:rPr>
              <w:t xml:space="preserve">la contribución multipaís contenida en el Documento </w:t>
            </w:r>
            <w:hyperlink r:id="rId39" w:history="1">
              <w:r w:rsidRPr="000837BE">
                <w:rPr>
                  <w:rStyle w:val="Hyperlink"/>
                  <w:rFonts w:eastAsia="Calibri" w:cs="Calibri"/>
                  <w:lang w:val="es-ES"/>
                </w:rPr>
                <w:t>C26/100</w:t>
              </w:r>
            </w:hyperlink>
            <w:r w:rsidR="00D221CE">
              <w:rPr>
                <w:rFonts w:eastAsia="Calibri" w:cs="Calibri"/>
                <w:lang w:val="es-ES"/>
              </w:rPr>
              <w:t>;</w:t>
            </w:r>
            <w:r w:rsidRPr="00A46732">
              <w:rPr>
                <w:rFonts w:eastAsia="Calibri" w:cs="Calibri"/>
                <w:lang w:val="es-ES"/>
              </w:rPr>
              <w:t xml:space="preserve"> y </w:t>
            </w:r>
          </w:p>
          <w:p w14:paraId="456266DA" w14:textId="1A6C0AEA" w:rsidR="00A46732" w:rsidRDefault="00A46732" w:rsidP="007113C1">
            <w:pPr>
              <w:pStyle w:val="enumlev1"/>
              <w:keepNext/>
              <w:keepLines/>
              <w:tabs>
                <w:tab w:val="clear" w:pos="567"/>
              </w:tabs>
              <w:spacing w:after="120"/>
              <w:ind w:left="607"/>
              <w:rPr>
                <w:rFonts w:eastAsia="Calibri" w:cs="Calibri"/>
                <w:lang w:val="es-ES"/>
              </w:rPr>
            </w:pPr>
            <w:r w:rsidRPr="00A46732">
              <w:rPr>
                <w:rFonts w:eastAsia="Calibri" w:cs="Calibri"/>
                <w:lang w:val="es-ES"/>
              </w:rPr>
              <w:t>•</w:t>
            </w:r>
            <w:r w:rsidRPr="00A46732">
              <w:rPr>
                <w:rFonts w:eastAsia="Calibri" w:cs="Calibri"/>
                <w:lang w:val="es-ES"/>
              </w:rPr>
              <w:tab/>
            </w:r>
            <w:r w:rsidRPr="00A46732">
              <w:rPr>
                <w:lang w:val="es-ES"/>
              </w:rPr>
              <w:t>encargue</w:t>
            </w:r>
            <w:r w:rsidRPr="00A46732">
              <w:rPr>
                <w:rFonts w:eastAsia="Calibri" w:cs="Calibri"/>
                <w:lang w:val="es-ES"/>
              </w:rPr>
              <w:t xml:space="preserve"> al GTC-RHF que colabore con la Secretaría para seguir desarrollando la metodología propuesta.</w:t>
            </w:r>
          </w:p>
        </w:tc>
      </w:tr>
    </w:tbl>
    <w:p w14:paraId="4C668E7A" w14:textId="7AA2BDF6" w:rsidR="00ED2477" w:rsidRPr="001D759A" w:rsidRDefault="00ED2477" w:rsidP="00ED2477">
      <w:pPr>
        <w:pStyle w:val="Heading1"/>
        <w:rPr>
          <w:lang w:val="es-ES"/>
        </w:rPr>
      </w:pPr>
      <w:r w:rsidRPr="001D759A">
        <w:rPr>
          <w:lang w:val="es-ES"/>
        </w:rPr>
        <w:t>11</w:t>
      </w:r>
      <w:r w:rsidRPr="001D759A">
        <w:rPr>
          <w:lang w:val="es-ES"/>
        </w:rPr>
        <w:tab/>
        <w:t xml:space="preserve">Novedades sobre la aplicación de la estrategia de movilización de recursos de </w:t>
      </w:r>
      <w:r w:rsidR="00103D78">
        <w:rPr>
          <w:lang w:val="es-ES"/>
        </w:rPr>
        <w:t>la UIT</w:t>
      </w:r>
      <w:r w:rsidRPr="001D759A">
        <w:rPr>
          <w:lang w:val="es-ES"/>
        </w:rPr>
        <w:t xml:space="preserve"> (Documentos </w:t>
      </w:r>
      <w:hyperlink r:id="rId40" w:history="1">
        <w:r w:rsidRPr="001D759A">
          <w:rPr>
            <w:rStyle w:val="Hyperlink"/>
            <w:lang w:val="es-ES"/>
          </w:rPr>
          <w:t>C26/73</w:t>
        </w:r>
      </w:hyperlink>
      <w:r w:rsidRPr="001D759A">
        <w:rPr>
          <w:rFonts w:eastAsiaTheme="minorHAnsi"/>
          <w:lang w:val="es-ES"/>
        </w:rPr>
        <w:t xml:space="preserve"> y </w:t>
      </w:r>
      <w:hyperlink r:id="rId41" w:history="1">
        <w:r w:rsidRPr="001D759A">
          <w:rPr>
            <w:rStyle w:val="Hyperlink"/>
            <w:lang w:val="es-ES"/>
          </w:rPr>
          <w:t>C26/INF/14</w:t>
        </w:r>
      </w:hyperlink>
      <w:r w:rsidRPr="001D759A">
        <w:rPr>
          <w:lang w:val="es-ES"/>
        </w:rPr>
        <w:t>)</w:t>
      </w:r>
    </w:p>
    <w:p w14:paraId="1574B8B0" w14:textId="740A95E8" w:rsidR="00ED2477" w:rsidRPr="001D759A" w:rsidRDefault="00ED2477" w:rsidP="00ED2477">
      <w:pPr>
        <w:pStyle w:val="Normalaftertitle"/>
        <w:rPr>
          <w:lang w:val="es-ES"/>
        </w:rPr>
      </w:pPr>
      <w:r w:rsidRPr="001D759A">
        <w:rPr>
          <w:lang w:val="es-ES"/>
        </w:rPr>
        <w:t>11.1</w:t>
      </w:r>
      <w:r w:rsidRPr="001D759A">
        <w:rPr>
          <w:lang w:val="es-ES"/>
        </w:rPr>
        <w:tab/>
        <w:t xml:space="preserve">Una representante de la Secretaría General presentó el Documento </w:t>
      </w:r>
      <w:r w:rsidR="00C817F3">
        <w:rPr>
          <w:lang w:val="es-ES"/>
        </w:rPr>
        <w:t>C</w:t>
      </w:r>
      <w:r w:rsidRPr="001D759A">
        <w:rPr>
          <w:lang w:val="es-ES"/>
        </w:rPr>
        <w:t xml:space="preserve">26/73, que contenía información actualizada sobre la aplicación de la estrategia de movilización de recursos de </w:t>
      </w:r>
      <w:r w:rsidR="00103D78">
        <w:rPr>
          <w:lang w:val="es-ES"/>
        </w:rPr>
        <w:t>la UIT</w:t>
      </w:r>
      <w:r w:rsidRPr="001D759A">
        <w:rPr>
          <w:lang w:val="es-ES"/>
        </w:rPr>
        <w:t xml:space="preserve"> desde la reunión de 2025 del Consejo. La estrategia se centraba en tres grandes esferas de acción: fortalecer las contribuciones de los Miembros; impulsar los eventos, productos y servicios, y aumentar las contribuciones voluntarias. En respuesta a la solicitud del Consejo de 2025 de una hoja de ruta para orientar la aplicación, se había elaborado un tablero para supervisar los avances y mejorar la transparencia respecto de las</w:t>
      </w:r>
      <w:r w:rsidR="00A229F4">
        <w:rPr>
          <w:lang w:val="es-ES"/>
        </w:rPr>
        <w:t> </w:t>
      </w:r>
      <w:r w:rsidRPr="001D759A">
        <w:rPr>
          <w:lang w:val="es-ES"/>
        </w:rPr>
        <w:t>24 líneas de acción de la estrategia (véase el Documento C26/INF/14).</w:t>
      </w:r>
    </w:p>
    <w:p w14:paraId="39DDEDA9" w14:textId="6765FBC4" w:rsidR="00ED2477" w:rsidRPr="001D759A" w:rsidRDefault="00ED2477" w:rsidP="00ED2477">
      <w:pPr>
        <w:rPr>
          <w:rFonts w:eastAsiaTheme="minorHAnsi" w:cstheme="minorBidi"/>
          <w:szCs w:val="22"/>
          <w:lang w:val="es-ES"/>
        </w:rPr>
      </w:pPr>
      <w:r w:rsidRPr="001D759A">
        <w:rPr>
          <w:lang w:val="es-ES"/>
        </w:rPr>
        <w:t>11.2</w:t>
      </w:r>
      <w:r w:rsidRPr="001D759A">
        <w:rPr>
          <w:lang w:val="es-ES"/>
        </w:rPr>
        <w:tab/>
        <w:t>En respuesta a los comentarios y preguntas, la representante explicó que, entre las líneas de acción, se había dado prioridad a garantizar las contribuciones unitarias de los Estados Miembros y fortalecer la participación y los ingresos de los Miembros de Sector, que en conjunto representaban alrededor del 80</w:t>
      </w:r>
      <w:r w:rsidR="007F48DB" w:rsidRPr="001D759A">
        <w:rPr>
          <w:lang w:val="es-ES"/>
        </w:rPr>
        <w:t xml:space="preserve"> % </w:t>
      </w:r>
      <w:r w:rsidRPr="001D759A">
        <w:rPr>
          <w:lang w:val="es-ES"/>
        </w:rPr>
        <w:t xml:space="preserve">del presupuesto ordinario de </w:t>
      </w:r>
      <w:r w:rsidR="005457EE">
        <w:rPr>
          <w:lang w:val="es-ES"/>
        </w:rPr>
        <w:t>la Unión</w:t>
      </w:r>
      <w:r w:rsidRPr="001D759A">
        <w:rPr>
          <w:lang w:val="es-ES"/>
        </w:rPr>
        <w:t xml:space="preserve">, y que la hoja de ruta para la transformación de </w:t>
      </w:r>
      <w:r w:rsidR="00103D78">
        <w:rPr>
          <w:lang w:val="es-ES"/>
        </w:rPr>
        <w:t>la UIT</w:t>
      </w:r>
      <w:r w:rsidRPr="001D759A">
        <w:rPr>
          <w:lang w:val="es-ES"/>
        </w:rPr>
        <w:t xml:space="preserve"> era un factor facilitador de la aplicación. El establecimiento de prioridades se ajustaría a los Planes Estratégico, Financiero y Operacional; la aplicación se llevaría a cabo en estrecha colaboración con el equipo de finanzas. Los avances realizados en todas las líneas de acción se incluirían en el tablero que, como habían solicitado algunos consejeros, se actualizaría para incluir un análisis de riesgos. En cuanto a los coordinadores, la representante aclaró que un grupo intersectorial de movilización de recursos contribuía a la aplicación de la estrategia; se realizaron esfuerzos en todos los Sectores, la Secretaría General y las oficinas sobre el terreno y se facilitó su racionalización.</w:t>
      </w:r>
    </w:p>
    <w:p w14:paraId="11F34F4E" w14:textId="3FAFCAEA" w:rsidR="00ED2477" w:rsidRPr="001D759A" w:rsidRDefault="00ED2477" w:rsidP="00ED2477">
      <w:pPr>
        <w:rPr>
          <w:lang w:val="es-ES"/>
        </w:rPr>
      </w:pPr>
      <w:r w:rsidRPr="001D759A">
        <w:rPr>
          <w:lang w:val="es-ES"/>
        </w:rPr>
        <w:t>11.3</w:t>
      </w:r>
      <w:r w:rsidRPr="001D759A">
        <w:rPr>
          <w:lang w:val="es-ES"/>
        </w:rPr>
        <w:tab/>
        <w:t xml:space="preserve">En lo relativo a la solicitud de nuevos materiales, como propuestas de valor y notas de países, para promover la participación en </w:t>
      </w:r>
      <w:r w:rsidR="00103D78">
        <w:rPr>
          <w:lang w:val="es-ES"/>
        </w:rPr>
        <w:t>la UIT</w:t>
      </w:r>
      <w:r w:rsidRPr="001D759A">
        <w:rPr>
          <w:lang w:val="es-ES"/>
        </w:rPr>
        <w:t xml:space="preserve">, movilizar recursos y destacar la incidencia de </w:t>
      </w:r>
      <w:r w:rsidR="005457EE">
        <w:rPr>
          <w:lang w:val="es-ES"/>
        </w:rPr>
        <w:t>la Unión</w:t>
      </w:r>
      <w:r w:rsidRPr="001D759A">
        <w:rPr>
          <w:lang w:val="es-ES"/>
        </w:rPr>
        <w:t xml:space="preserve">, se habían creado presentaciones relacionadas con los Miembros de Sector y un folleto electrónico sobre argumentos a favor de la inversión titulado "Why ITU </w:t>
      </w:r>
      <w:proofErr w:type="spellStart"/>
      <w:r w:rsidRPr="001D759A">
        <w:rPr>
          <w:lang w:val="es-ES"/>
        </w:rPr>
        <w:t>matters</w:t>
      </w:r>
      <w:proofErr w:type="spellEnd"/>
      <w:r w:rsidRPr="001D759A">
        <w:rPr>
          <w:lang w:val="es-ES"/>
        </w:rPr>
        <w:t xml:space="preserve">: case for </w:t>
      </w:r>
      <w:proofErr w:type="spellStart"/>
      <w:r w:rsidRPr="001D759A">
        <w:rPr>
          <w:lang w:val="es-ES"/>
        </w:rPr>
        <w:t>investment</w:t>
      </w:r>
      <w:proofErr w:type="spellEnd"/>
      <w:r w:rsidRPr="001D759A">
        <w:rPr>
          <w:lang w:val="es-ES"/>
        </w:rPr>
        <w:t>, 2028</w:t>
      </w:r>
      <w:r w:rsidRPr="001D759A">
        <w:rPr>
          <w:lang w:val="es-ES"/>
        </w:rPr>
        <w:noBreakHyphen/>
        <w:t xml:space="preserve">2031" (Por qué </w:t>
      </w:r>
      <w:r w:rsidR="00103D78">
        <w:rPr>
          <w:lang w:val="es-ES"/>
        </w:rPr>
        <w:t>la UIT</w:t>
      </w:r>
      <w:r w:rsidRPr="001D759A">
        <w:rPr>
          <w:lang w:val="es-ES"/>
        </w:rPr>
        <w:t xml:space="preserve"> es importante: argumentos a favor de la inversión, 2028-2031). Se alentó a los Estados Miembros a utilizar esos materiales para ayudar a </w:t>
      </w:r>
      <w:r w:rsidR="005457EE">
        <w:rPr>
          <w:lang w:val="es-ES"/>
        </w:rPr>
        <w:t>la Unión</w:t>
      </w:r>
      <w:r w:rsidRPr="001D759A">
        <w:rPr>
          <w:lang w:val="es-ES"/>
        </w:rPr>
        <w:t xml:space="preserve"> a movilizar recursos y fortalecer el número de Miembros de Sector, Asociados y las Instituciones Académicas. Se tomó buena nota de la solicitud de materiales y notas de país centrados en la región. En el tablero se incluyó información sobre productos y servicios, entre ellos publicaciones. Por último, se siguió trabajando en la identificación de nuevas contribuciones voluntarias y en la mejora de su reconocimiento; se informaría de los avances realizados a este respecto en las reuniones del Consejo posteriores.</w:t>
      </w:r>
    </w:p>
    <w:p w14:paraId="3E360DD2" w14:textId="537BC53C" w:rsidR="00ED2477" w:rsidRPr="001D759A" w:rsidRDefault="00ED2477" w:rsidP="00ED2477">
      <w:pPr>
        <w:rPr>
          <w:lang w:val="es-ES"/>
        </w:rPr>
      </w:pPr>
      <w:r w:rsidRPr="001D759A">
        <w:rPr>
          <w:lang w:val="es-ES"/>
        </w:rPr>
        <w:lastRenderedPageBreak/>
        <w:t>11.4</w:t>
      </w:r>
      <w:r w:rsidRPr="001D759A">
        <w:rPr>
          <w:lang w:val="es-ES"/>
        </w:rPr>
        <w:tab/>
        <w:t xml:space="preserve">En lo relativo a las contribuciones de los Estados Miembros, que eran la espina dorsal de la financiación de </w:t>
      </w:r>
      <w:r w:rsidR="005457EE">
        <w:rPr>
          <w:lang w:val="es-ES"/>
        </w:rPr>
        <w:t>la Unión</w:t>
      </w:r>
      <w:r w:rsidRPr="001D759A">
        <w:rPr>
          <w:lang w:val="es-ES"/>
        </w:rPr>
        <w:t xml:space="preserve">, algunos consejeros señalaron la baja tasa de respuesta a la Carta Circular </w:t>
      </w:r>
      <w:hyperlink r:id="rId42" w:history="1">
        <w:r w:rsidRPr="001D759A">
          <w:rPr>
            <w:rStyle w:val="Hyperlink"/>
            <w:rFonts w:eastAsia="Times New Roman" w:cs="Times New Roman"/>
            <w:szCs w:val="20"/>
            <w:lang w:val="es-ES"/>
          </w:rPr>
          <w:t>CL-25/36</w:t>
        </w:r>
      </w:hyperlink>
      <w:r w:rsidRPr="001D759A">
        <w:rPr>
          <w:lang w:val="es-ES"/>
        </w:rPr>
        <w:t xml:space="preserve">, en la que se instaba a los Estados Miembros a aumentar sus unidades contributivas, y se les pedía que evaluasen la situación del momento, también en relación con los Estados Miembros que aún no habían respondido. Un consejero señaló a la atención de los presentes que algunos Estados Miembros habían manifestado su intención de reducir su nivel de unidad contributiva. Algunos consejeros insistieron en la necesidad de vigilar estrechamente los compromisos de los Estados Miembros y de desplegar esfuerzos colectivos para reforzar la base de contribuciones existente, reforzar el valor y la pertinencia de </w:t>
      </w:r>
      <w:r w:rsidR="005457EE">
        <w:rPr>
          <w:lang w:val="es-ES"/>
        </w:rPr>
        <w:t>la Unión</w:t>
      </w:r>
      <w:r w:rsidRPr="001D759A">
        <w:rPr>
          <w:lang w:val="es-ES"/>
        </w:rPr>
        <w:t xml:space="preserve"> y ayudar a las administraciones a garantizar los compromisos nacionales. Un consejero manifestó su preocupación por el hecho de que se había insistido únicamente en garantizar las unidades contributivas de los Estados Miembros, cuando el objetivo era diversificar las fuentes de ingresos de </w:t>
      </w:r>
      <w:r w:rsidR="005457EE">
        <w:rPr>
          <w:lang w:val="es-ES"/>
        </w:rPr>
        <w:t>la Unión</w:t>
      </w:r>
      <w:r w:rsidRPr="001D759A">
        <w:rPr>
          <w:lang w:val="es-ES"/>
        </w:rPr>
        <w:t>. Sería útil establecer plazos claros para la aplicación de las 24 líneas de acción. Otro consejero se declaró interesado en saber cómo tenía previsto la Secretaría aumentar las contribuciones voluntarias.</w:t>
      </w:r>
    </w:p>
    <w:p w14:paraId="3ABD0AC1" w14:textId="16C6BA86" w:rsidR="00ED2477" w:rsidRPr="001D759A" w:rsidRDefault="00ED2477" w:rsidP="00ED2477">
      <w:pPr>
        <w:rPr>
          <w:lang w:val="es-ES"/>
        </w:rPr>
      </w:pPr>
      <w:r w:rsidRPr="001D759A">
        <w:rPr>
          <w:lang w:val="es-ES"/>
        </w:rPr>
        <w:t>11.5</w:t>
      </w:r>
      <w:r w:rsidRPr="001D759A">
        <w:rPr>
          <w:lang w:val="es-ES"/>
        </w:rPr>
        <w:tab/>
        <w:t xml:space="preserve">Algunos consejeros acogieron con satisfacción los esfuerzos por ampliar el número de Miembros de los Sectores, en particular en lo que respectaba a las partes subrepresentadas del ecosistema digital y a los Miembros de Sector, Asociados e Instituciones Académicas de Estados Miembros no representados. El aumento del número de Miembros de Sector no solo aumentaría los ingresos, sino que también conectaría a los Miembros de </w:t>
      </w:r>
      <w:r w:rsidR="005457EE">
        <w:rPr>
          <w:lang w:val="es-ES"/>
        </w:rPr>
        <w:t>la Unión</w:t>
      </w:r>
      <w:r w:rsidRPr="001D759A">
        <w:rPr>
          <w:lang w:val="es-ES"/>
        </w:rPr>
        <w:t xml:space="preserve"> a las redes de conocimientos, productos, servicios y trabajos de desarrollo de </w:t>
      </w:r>
      <w:r w:rsidR="00103D78">
        <w:rPr>
          <w:lang w:val="es-ES"/>
        </w:rPr>
        <w:t>la UIT</w:t>
      </w:r>
      <w:r w:rsidRPr="001D759A">
        <w:rPr>
          <w:lang w:val="es-ES"/>
        </w:rPr>
        <w:t>.</w:t>
      </w:r>
    </w:p>
    <w:p w14:paraId="01526350" w14:textId="36E96927" w:rsidR="00ED2477" w:rsidRPr="001D759A" w:rsidRDefault="00ED2477" w:rsidP="00ED2477">
      <w:pPr>
        <w:spacing w:line="259" w:lineRule="auto"/>
        <w:rPr>
          <w:rFonts w:eastAsia="Calibri" w:cs="Calibri"/>
          <w:lang w:val="es-ES"/>
        </w:rPr>
      </w:pPr>
      <w:r w:rsidRPr="001D759A">
        <w:rPr>
          <w:lang w:val="es-ES"/>
        </w:rPr>
        <w:t>11.6</w:t>
      </w:r>
      <w:r w:rsidRPr="001D759A">
        <w:rPr>
          <w:lang w:val="es-ES"/>
        </w:rPr>
        <w:tab/>
        <w:t>En lo relativo al aprovechamiento de eventos, productos y servicios, algunos consejeros declararon que debía considerarse la adopción de medidas con resultados claros que apuntasen a reforzar determinadas asociaciones. Se solicitó información sobre la forma en que ciertas iniciativas y grupos focales financiados con fondos externos contribuían a aumentar la movilización de recursos. Un consejero señaló que los grupos y eventos de los Sectores, como las Comisiones de Estudio y los talleres, atraían a actores del sector privado y, por lo tanto, constituían otra oportunidad de movilización de recursos que podría aprovecharse. A ese respecto, sería útil disponer de información sobre la contribución de los Sectores a la aplicación de la estrategia en los futuros informes. Podía estudiarse la posibilidad de lanzar nuevas publicaciones emblemáticas, dado el éxito del UIT</w:t>
      </w:r>
      <w:r w:rsidR="006535E6">
        <w:rPr>
          <w:lang w:val="es-ES"/>
        </w:rPr>
        <w:t>-</w:t>
      </w:r>
      <w:r w:rsidRPr="001D759A">
        <w:rPr>
          <w:lang w:val="es-ES"/>
        </w:rPr>
        <w:t>R a este respecto.</w:t>
      </w:r>
    </w:p>
    <w:p w14:paraId="50B89554" w14:textId="77777777" w:rsidR="00ED2477" w:rsidRPr="001D759A" w:rsidRDefault="00ED2477" w:rsidP="000C57CA">
      <w:pPr>
        <w:spacing w:after="120"/>
        <w:rPr>
          <w:lang w:val="es-ES"/>
        </w:rPr>
      </w:pPr>
      <w:r w:rsidRPr="001D759A">
        <w:rPr>
          <w:lang w:val="es-ES"/>
        </w:rPr>
        <w:t>11.7</w:t>
      </w:r>
      <w:r w:rsidRPr="001D759A">
        <w:rPr>
          <w:lang w:val="es-ES"/>
        </w:rPr>
        <w:tab/>
        <w:t xml:space="preserve">La Comisión </w:t>
      </w:r>
      <w:r w:rsidRPr="001D759A">
        <w:rPr>
          <w:b/>
          <w:bCs/>
          <w:lang w:val="es-ES"/>
        </w:rPr>
        <w:t>acordó</w:t>
      </w:r>
      <w:r w:rsidRPr="001D759A">
        <w:rPr>
          <w:lang w:val="es-ES"/>
        </w:rPr>
        <w:t xml:space="preserve"> llegar a la siguiente conclusión:</w:t>
      </w:r>
    </w:p>
    <w:tbl>
      <w:tblPr>
        <w:tblStyle w:val="TableGrid"/>
        <w:tblW w:w="5000" w:type="pct"/>
        <w:tblInd w:w="-147" w:type="dxa"/>
        <w:tblLook w:val="04A0" w:firstRow="1" w:lastRow="0" w:firstColumn="1" w:lastColumn="0" w:noHBand="0" w:noVBand="1"/>
      </w:tblPr>
      <w:tblGrid>
        <w:gridCol w:w="9061"/>
      </w:tblGrid>
      <w:tr w:rsidR="00ED2477" w:rsidRPr="0057685D" w14:paraId="162676F8" w14:textId="77777777" w:rsidTr="00950DAB">
        <w:tc>
          <w:tcPr>
            <w:tcW w:w="9356" w:type="dxa"/>
          </w:tcPr>
          <w:p w14:paraId="5445AA3B" w14:textId="7DF57374" w:rsidR="00ED2477" w:rsidRPr="001D759A" w:rsidRDefault="00ED2477" w:rsidP="000C57CA">
            <w:pPr>
              <w:tabs>
                <w:tab w:val="clear" w:pos="567"/>
                <w:tab w:val="left" w:pos="601"/>
              </w:tabs>
              <w:spacing w:after="80"/>
              <w:ind w:left="40"/>
              <w:rPr>
                <w:rFonts w:eastAsia="Calibri" w:cs="Calibri"/>
                <w:szCs w:val="24"/>
                <w:lang w:val="es-ES"/>
              </w:rPr>
            </w:pPr>
            <w:r w:rsidRPr="001D759A">
              <w:rPr>
                <w:rFonts w:eastAsia="Calibri" w:cs="Calibri"/>
                <w:szCs w:val="24"/>
                <w:lang w:val="es-ES"/>
              </w:rPr>
              <w:t>11.8</w:t>
            </w:r>
            <w:r w:rsidRPr="001D759A">
              <w:rPr>
                <w:rFonts w:eastAsia="Calibri" w:cs="Calibri"/>
                <w:szCs w:val="24"/>
                <w:lang w:val="es-ES"/>
              </w:rPr>
              <w:tab/>
              <w:t xml:space="preserve">La Comisión recomienda </w:t>
            </w:r>
            <w:r w:rsidR="00FB7200" w:rsidRPr="001D759A">
              <w:rPr>
                <w:rFonts w:eastAsia="Calibri" w:cs="Calibri"/>
                <w:szCs w:val="24"/>
                <w:lang w:val="es-ES"/>
              </w:rPr>
              <w:t>a</w:t>
            </w:r>
            <w:r w:rsidRPr="001D759A">
              <w:rPr>
                <w:rFonts w:eastAsia="Calibri" w:cs="Calibri"/>
                <w:szCs w:val="24"/>
                <w:lang w:val="es-ES"/>
              </w:rPr>
              <w:t>l Consejo</w:t>
            </w:r>
            <w:r w:rsidR="00FB7200" w:rsidRPr="001D759A">
              <w:rPr>
                <w:rFonts w:eastAsia="Calibri" w:cs="Calibri"/>
                <w:szCs w:val="24"/>
                <w:lang w:val="es-ES"/>
              </w:rPr>
              <w:t xml:space="preserve"> que</w:t>
            </w:r>
            <w:r w:rsidRPr="001D759A">
              <w:rPr>
                <w:rFonts w:eastAsia="Calibri" w:cs="Calibri"/>
                <w:szCs w:val="24"/>
                <w:lang w:val="es-ES"/>
              </w:rPr>
              <w:t>:</w:t>
            </w:r>
          </w:p>
          <w:p w14:paraId="0FA08243" w14:textId="14662264" w:rsidR="00ED2477" w:rsidRPr="001D759A" w:rsidRDefault="00ED2477" w:rsidP="000C57CA">
            <w:pPr>
              <w:pStyle w:val="enumlev1"/>
              <w:tabs>
                <w:tab w:val="clear" w:pos="567"/>
              </w:tabs>
              <w:ind w:left="607"/>
              <w:rPr>
                <w:lang w:val="es-ES"/>
              </w:rPr>
            </w:pPr>
            <w:r w:rsidRPr="001D759A">
              <w:rPr>
                <w:lang w:val="es-ES"/>
              </w:rPr>
              <w:t>•</w:t>
            </w:r>
            <w:r w:rsidRPr="001D759A">
              <w:rPr>
                <w:lang w:val="es-ES"/>
              </w:rPr>
              <w:tab/>
              <w:t xml:space="preserve">tome nota de la actualización contenida en el Documento </w:t>
            </w:r>
            <w:hyperlink r:id="rId43" w:history="1">
              <w:r w:rsidR="0057685D" w:rsidRPr="0057685D">
                <w:rPr>
                  <w:rStyle w:val="Hyperlink"/>
                  <w:lang w:val="es-ES"/>
                </w:rPr>
                <w:t>C26/73</w:t>
              </w:r>
            </w:hyperlink>
            <w:r w:rsidR="0057685D">
              <w:rPr>
                <w:lang w:val="es-ES"/>
              </w:rPr>
              <w:t xml:space="preserve"> </w:t>
            </w:r>
            <w:r w:rsidRPr="001D759A">
              <w:rPr>
                <w:lang w:val="es-ES"/>
              </w:rPr>
              <w:t xml:space="preserve">y el tablero contenido en el Documento </w:t>
            </w:r>
            <w:hyperlink r:id="rId44" w:history="1">
              <w:r w:rsidRPr="001D759A">
                <w:rPr>
                  <w:rStyle w:val="Hyperlink"/>
                  <w:lang w:val="es-ES"/>
                </w:rPr>
                <w:t>C26/INF/14</w:t>
              </w:r>
            </w:hyperlink>
            <w:r w:rsidR="005A3B14" w:rsidRPr="005A3B14">
              <w:rPr>
                <w:lang w:val="es-ES"/>
              </w:rPr>
              <w:t>;</w:t>
            </w:r>
            <w:r w:rsidRPr="001D759A">
              <w:rPr>
                <w:lang w:val="es-ES"/>
              </w:rPr>
              <w:t xml:space="preserve"> y</w:t>
            </w:r>
          </w:p>
          <w:p w14:paraId="1BB1FC3D" w14:textId="36BFD745" w:rsidR="00ED2477" w:rsidRPr="001D759A" w:rsidRDefault="00ED2477" w:rsidP="000126B6">
            <w:pPr>
              <w:pStyle w:val="enumlev1"/>
              <w:tabs>
                <w:tab w:val="clear" w:pos="567"/>
              </w:tabs>
              <w:spacing w:after="120"/>
              <w:ind w:left="605"/>
              <w:rPr>
                <w:rFonts w:eastAsia="Calibri" w:cs="Calibri"/>
                <w:szCs w:val="24"/>
                <w:lang w:val="es-ES"/>
              </w:rPr>
            </w:pPr>
            <w:r w:rsidRPr="001D759A">
              <w:rPr>
                <w:rFonts w:eastAsia="Calibri" w:cs="Calibri"/>
                <w:szCs w:val="24"/>
                <w:lang w:val="es-ES"/>
              </w:rPr>
              <w:t>•</w:t>
            </w:r>
            <w:r w:rsidRPr="001D759A">
              <w:rPr>
                <w:rFonts w:eastAsia="Calibri" w:cs="Calibri"/>
                <w:szCs w:val="24"/>
                <w:lang w:val="es-ES"/>
              </w:rPr>
              <w:tab/>
              <w:t xml:space="preserve">solicite a la Secretaría que siga aplicando la estrategia de movilización de recursos de </w:t>
            </w:r>
            <w:r w:rsidR="00103D78">
              <w:rPr>
                <w:rFonts w:eastAsia="Calibri" w:cs="Calibri"/>
                <w:szCs w:val="24"/>
                <w:lang w:val="es-ES"/>
              </w:rPr>
              <w:t>la UIT</w:t>
            </w:r>
            <w:r w:rsidRPr="001D759A">
              <w:rPr>
                <w:rFonts w:eastAsia="Calibri" w:cs="Calibri"/>
                <w:szCs w:val="24"/>
                <w:lang w:val="es-ES"/>
              </w:rPr>
              <w:t xml:space="preserve">, </w:t>
            </w:r>
            <w:r w:rsidRPr="001D759A">
              <w:rPr>
                <w:lang w:val="es-ES"/>
              </w:rPr>
              <w:t>teniendo</w:t>
            </w:r>
            <w:r w:rsidRPr="001D759A">
              <w:rPr>
                <w:rFonts w:eastAsia="Calibri" w:cs="Calibri"/>
                <w:szCs w:val="24"/>
                <w:lang w:val="es-ES"/>
              </w:rPr>
              <w:t xml:space="preserve"> en cuenta la información facilitada por los Estados Miembros, e informe al Consejo sobre los avances logrados al respecto.</w:t>
            </w:r>
          </w:p>
        </w:tc>
      </w:tr>
    </w:tbl>
    <w:p w14:paraId="5CAED485" w14:textId="77777777" w:rsidR="00ED2477" w:rsidRPr="001D759A" w:rsidRDefault="00ED2477" w:rsidP="00ED2477">
      <w:pPr>
        <w:pStyle w:val="Heading1"/>
        <w:rPr>
          <w:lang w:val="es-ES"/>
        </w:rPr>
      </w:pPr>
      <w:r w:rsidRPr="001D759A">
        <w:rPr>
          <w:lang w:val="es-ES"/>
        </w:rPr>
        <w:lastRenderedPageBreak/>
        <w:t>12</w:t>
      </w:r>
      <w:r w:rsidRPr="001D759A">
        <w:rPr>
          <w:lang w:val="es-ES"/>
        </w:rPr>
        <w:tab/>
        <w:t xml:space="preserve">Atrasos y cuentas especiales de atrasos (Documento </w:t>
      </w:r>
      <w:hyperlink r:id="rId45" w:history="1">
        <w:r w:rsidRPr="001D759A">
          <w:rPr>
            <w:rStyle w:val="Hyperlink"/>
            <w:rFonts w:eastAsia="Times New Roman" w:cs="Times New Roman"/>
            <w:szCs w:val="20"/>
            <w:lang w:val="es-ES"/>
          </w:rPr>
          <w:t>C26/11(Rev.1)</w:t>
        </w:r>
      </w:hyperlink>
      <w:r w:rsidRPr="001D759A">
        <w:rPr>
          <w:lang w:val="es-ES"/>
        </w:rPr>
        <w:t>)</w:t>
      </w:r>
    </w:p>
    <w:p w14:paraId="3A1BD6A5" w14:textId="5F93153D" w:rsidR="00ED2477" w:rsidRPr="001D759A" w:rsidRDefault="00ED2477" w:rsidP="00ED2477">
      <w:pPr>
        <w:pStyle w:val="Normalaftertitle"/>
        <w:rPr>
          <w:lang w:val="es-ES"/>
        </w:rPr>
      </w:pPr>
      <w:r w:rsidRPr="005244AE">
        <w:rPr>
          <w:rFonts w:eastAsia="Calibri"/>
          <w:spacing w:val="-2"/>
          <w:lang w:val="es-ES"/>
        </w:rPr>
        <w:t>12.1</w:t>
      </w:r>
      <w:r w:rsidRPr="005244AE">
        <w:rPr>
          <w:spacing w:val="-2"/>
          <w:lang w:val="es-ES"/>
        </w:rPr>
        <w:tab/>
        <w:t>El Jefe del FRMD presentó el informe anual al Consejo, en el Documento</w:t>
      </w:r>
      <w:r w:rsidR="005244AE" w:rsidRPr="005244AE">
        <w:rPr>
          <w:spacing w:val="-2"/>
          <w:lang w:val="es-ES"/>
        </w:rPr>
        <w:t> </w:t>
      </w:r>
      <w:r w:rsidRPr="005244AE">
        <w:rPr>
          <w:spacing w:val="-2"/>
          <w:lang w:val="es-ES"/>
        </w:rPr>
        <w:t>C26/11(Rev.1),</w:t>
      </w:r>
      <w:r w:rsidRPr="001D759A">
        <w:rPr>
          <w:lang w:val="es-ES"/>
        </w:rPr>
        <w:t xml:space="preserve"> sobre las medidas adoptadas y los progresos logrados en relación con el reembolso de las deudas de los Estados Miembros, los Miembros de Sector, los Asociados y las Instituciones Académicas con atrasos en sus pagos o con cuentas especiales de atrasos. Dijo que el total acumulado de atrasos y cuentas especiales de atrasos había disminuido un 6 % desde 2018 y que se cifraba en 37,3</w:t>
      </w:r>
      <w:r w:rsidR="005457EE">
        <w:rPr>
          <w:lang w:val="es-ES"/>
        </w:rPr>
        <w:t> millones CHF</w:t>
      </w:r>
      <w:r w:rsidRPr="001D759A">
        <w:rPr>
          <w:lang w:val="es-ES"/>
        </w:rPr>
        <w:t xml:space="preserve"> a fecha de 31 de diciembre de 2025. Se pidió al Consejo que autorizase a la Secretaria General a registrar en pérdidas y ganancias los intereses de mora y cantidades adeudadas incobrables, que ascendían a 566 815,60</w:t>
      </w:r>
      <w:r w:rsidR="005457EE">
        <w:rPr>
          <w:lang w:val="es-ES"/>
        </w:rPr>
        <w:t> CHF</w:t>
      </w:r>
      <w:r w:rsidRPr="001D759A">
        <w:rPr>
          <w:lang w:val="es-ES"/>
        </w:rPr>
        <w:t>, de conformidad con las directrices establecidas por el Consejo en 1999, mediante la detracción correspondiente de la Provisión para Cuentas Deudoras. El orador dio las gracias a los Estados Miembros que ha</w:t>
      </w:r>
      <w:r w:rsidR="00BE4D85">
        <w:rPr>
          <w:lang w:val="es-ES"/>
        </w:rPr>
        <w:t>bían</w:t>
      </w:r>
      <w:r w:rsidRPr="001D759A">
        <w:rPr>
          <w:lang w:val="es-ES"/>
        </w:rPr>
        <w:t xml:space="preserve"> brindado asistencia a la Secretaría en el cobro de deudas en los últimos años y alentó a los demás Miembros a tomar medidas análogas.</w:t>
      </w:r>
    </w:p>
    <w:p w14:paraId="59065A19" w14:textId="28A2BEB2" w:rsidR="00ED2477" w:rsidRPr="001D759A" w:rsidRDefault="00ED2477" w:rsidP="00ED2477">
      <w:pPr>
        <w:rPr>
          <w:rFonts w:eastAsia="Calibri"/>
          <w:lang w:val="es-ES"/>
        </w:rPr>
      </w:pPr>
      <w:r w:rsidRPr="001D759A">
        <w:rPr>
          <w:rFonts w:eastAsia="Calibri"/>
          <w:lang w:val="es-ES"/>
        </w:rPr>
        <w:t>12.2</w:t>
      </w:r>
      <w:r w:rsidRPr="001D759A">
        <w:rPr>
          <w:rFonts w:eastAsia="Calibri"/>
          <w:lang w:val="es-ES"/>
        </w:rPr>
        <w:tab/>
        <w:t>En respuesta a las preguntas, el orador dijo que la Secretaria General tenía cierta flexibilidad para negociar acuerdos de amortización, de conformidad con las Resoluciones</w:t>
      </w:r>
      <w:r w:rsidR="005244AE">
        <w:rPr>
          <w:rFonts w:eastAsia="Calibri"/>
          <w:lang w:val="es-ES"/>
        </w:rPr>
        <w:t> </w:t>
      </w:r>
      <w:r w:rsidRPr="001D759A">
        <w:rPr>
          <w:rFonts w:eastAsia="Calibri"/>
          <w:lang w:val="es-ES"/>
        </w:rPr>
        <w:t>41</w:t>
      </w:r>
      <w:r w:rsidR="007F48DB" w:rsidRPr="001D759A">
        <w:rPr>
          <w:rFonts w:eastAsia="Calibri"/>
          <w:lang w:val="es-ES"/>
        </w:rPr>
        <w:t> </w:t>
      </w:r>
      <w:r w:rsidRPr="001D759A">
        <w:rPr>
          <w:rFonts w:eastAsia="Calibri"/>
          <w:lang w:val="es-ES"/>
        </w:rPr>
        <w:t xml:space="preserve">(Rev. Dubái, 2018) y 152 (Rev. </w:t>
      </w:r>
      <w:proofErr w:type="spellStart"/>
      <w:r w:rsidRPr="001D759A">
        <w:rPr>
          <w:rFonts w:eastAsia="Calibri"/>
          <w:lang w:val="es-ES"/>
        </w:rPr>
        <w:t>Busán</w:t>
      </w:r>
      <w:proofErr w:type="spellEnd"/>
      <w:r w:rsidRPr="001D759A">
        <w:rPr>
          <w:rFonts w:eastAsia="Calibri"/>
          <w:lang w:val="es-ES"/>
        </w:rPr>
        <w:t xml:space="preserve">, 2014) de la Conferencia de Plenipotenciarios. Para los Estados Miembros, esto incluía tener en cuenta la situación del país de que se tratase; las directrices del Consejo de 1999 incluían una provisión para los planes de pago a largo plazo para los países en desarrollo y los países menos adelantados. Sin embargo, para los Miembros de Sector y los Asociados, si sus contribuciones no se abonaban dentro del plazo establecido, se arriesgaban a ser excluidos de la participación en la labor del Sector correspondiente y, en última instancia, a que se les retirase su condición de Miembro de </w:t>
      </w:r>
      <w:r w:rsidR="005457EE">
        <w:rPr>
          <w:rFonts w:eastAsia="Calibri"/>
          <w:lang w:val="es-ES"/>
        </w:rPr>
        <w:t>la Unión</w:t>
      </w:r>
      <w:r w:rsidRPr="001D759A">
        <w:rPr>
          <w:rFonts w:eastAsia="Calibri"/>
          <w:lang w:val="es-ES"/>
        </w:rPr>
        <w:t xml:space="preserve">. Se pidió a los Miembros </w:t>
      </w:r>
      <w:r w:rsidR="006535E6">
        <w:rPr>
          <w:rFonts w:eastAsia="Calibri"/>
          <w:lang w:val="es-ES"/>
        </w:rPr>
        <w:t xml:space="preserve">de Sector </w:t>
      </w:r>
      <w:r w:rsidRPr="001D759A">
        <w:rPr>
          <w:rFonts w:eastAsia="Calibri"/>
          <w:lang w:val="es-ES"/>
        </w:rPr>
        <w:t xml:space="preserve">que comunicasen con seis meses de antelación su intención de abandonar el Sector y pagar su contribución de manera prorrateada. Las deudas permanecían en los libros hasta que se notificase a </w:t>
      </w:r>
      <w:r w:rsidR="005457EE">
        <w:rPr>
          <w:rFonts w:eastAsia="Calibri"/>
          <w:lang w:val="es-ES"/>
        </w:rPr>
        <w:t>la Unión</w:t>
      </w:r>
      <w:r w:rsidRPr="001D759A">
        <w:rPr>
          <w:rFonts w:eastAsia="Calibri"/>
          <w:lang w:val="es-ES"/>
        </w:rPr>
        <w:t xml:space="preserve"> el cese de las operaciones de un Miembro de Sector o Asociado, y a partir de ese momento la deuda pasaba a ser incobrable y se tomaban las medidas apropiadas, de conformidad con las normas </w:t>
      </w:r>
      <w:r w:rsidR="005A1FA1" w:rsidRPr="001D759A">
        <w:rPr>
          <w:rFonts w:eastAsia="Calibri"/>
          <w:lang w:val="es-ES"/>
        </w:rPr>
        <w:t>internacionales de contabilidad del sector público (NICSP)</w:t>
      </w:r>
      <w:r w:rsidRPr="001D759A">
        <w:rPr>
          <w:rFonts w:eastAsia="Calibri"/>
          <w:lang w:val="es-ES"/>
        </w:rPr>
        <w:t>.</w:t>
      </w:r>
    </w:p>
    <w:p w14:paraId="63BB48F9" w14:textId="0D7E1CB1" w:rsidR="00ED2477" w:rsidRPr="001D759A" w:rsidRDefault="00ED2477" w:rsidP="00ED2477">
      <w:pPr>
        <w:rPr>
          <w:rFonts w:eastAsia="Calibri"/>
          <w:lang w:val="es-ES"/>
        </w:rPr>
      </w:pPr>
      <w:r w:rsidRPr="001D759A">
        <w:rPr>
          <w:rFonts w:eastAsia="Calibri"/>
          <w:lang w:val="es-ES"/>
        </w:rPr>
        <w:t>12.3</w:t>
      </w:r>
      <w:r w:rsidRPr="001D759A">
        <w:rPr>
          <w:rFonts w:eastAsia="Calibri"/>
          <w:lang w:val="es-ES"/>
        </w:rPr>
        <w:tab/>
        <w:t>Los consejeros elogiaron los esfuerzos realizados por la Secretaría para recuperar la deuda y el aumento de la tasa de cobro de deudas hasta un 21</w:t>
      </w:r>
      <w:r w:rsidR="007F48DB" w:rsidRPr="001D759A">
        <w:rPr>
          <w:rFonts w:eastAsia="Calibri"/>
          <w:lang w:val="es-ES"/>
        </w:rPr>
        <w:t> </w:t>
      </w:r>
      <w:r w:rsidRPr="001D759A">
        <w:rPr>
          <w:rFonts w:eastAsia="Calibri"/>
          <w:lang w:val="es-ES"/>
        </w:rPr>
        <w:t xml:space="preserve">%. Sin embargo, varios consejeros expresaron preocupaciones sobre el importe de los atrasos, que habían aumentado ligeramente en comparación con 2024, y la cancelación de un número de acuerdos de amortización. Algunos consejeros destacaron la necesidad de que se reforzasen los mecanismos de amortización y se fortaleciesen los mecanismos de ejecución; otros subrayaron la importancia de mantener un enfoque flexible, que tuviese en cuenta las realidades de los países en desarrollo y los que enfrentan dificultades genuinas. Algunos consejeros sugirieron que sería útil realizar un análisis de las dificultades actuales, en particular del grado en el que los atrasos se atribuían a Miembros de Sector, Asociados o Instituciones Académicas inactivos o anteriores, y recabar cualquier recomendación de la Secretaría al respecto, a fin de determinar cualesquiera problemas sistemáticos de conformidad financiera e identificar posibles maneras de fortalecer los esfuerzos en materia de atrasos, planes de amortización y cantidades adeudadas incobrables, que la Conferencia de Plenipotenciarios podría considerar en relación con las Resoluciones 41 (Rev. Dubái, 2018) y 152 (Rev. </w:t>
      </w:r>
      <w:proofErr w:type="spellStart"/>
      <w:r w:rsidRPr="001D759A">
        <w:rPr>
          <w:rFonts w:eastAsia="Calibri"/>
          <w:lang w:val="es-ES"/>
        </w:rPr>
        <w:t>Busán</w:t>
      </w:r>
      <w:proofErr w:type="spellEnd"/>
      <w:r w:rsidRPr="001D759A">
        <w:rPr>
          <w:rFonts w:eastAsia="Calibri"/>
          <w:lang w:val="es-ES"/>
        </w:rPr>
        <w:t>, 2014).</w:t>
      </w:r>
    </w:p>
    <w:p w14:paraId="22EB54C5" w14:textId="77777777" w:rsidR="00ED2477" w:rsidRPr="001D759A" w:rsidRDefault="00ED2477" w:rsidP="007113C1">
      <w:pPr>
        <w:keepNext/>
        <w:keepLines/>
        <w:spacing w:after="120"/>
        <w:rPr>
          <w:rFonts w:eastAsia="Calibri" w:cs="Calibri"/>
          <w:szCs w:val="24"/>
          <w:lang w:val="es-ES"/>
        </w:rPr>
      </w:pPr>
      <w:r w:rsidRPr="001D759A">
        <w:rPr>
          <w:rFonts w:eastAsia="Calibri" w:cs="Calibri"/>
          <w:szCs w:val="24"/>
          <w:lang w:val="es-ES"/>
        </w:rPr>
        <w:lastRenderedPageBreak/>
        <w:t>12.4</w:t>
      </w:r>
      <w:r w:rsidRPr="001D759A">
        <w:rPr>
          <w:rFonts w:eastAsia="Calibri" w:cs="Calibri"/>
          <w:szCs w:val="24"/>
          <w:lang w:val="es-ES"/>
        </w:rPr>
        <w:tab/>
      </w:r>
      <w:r w:rsidRPr="001D759A">
        <w:rPr>
          <w:lang w:val="es-ES"/>
        </w:rPr>
        <w:t xml:space="preserve">La Comisión </w:t>
      </w:r>
      <w:r w:rsidRPr="001D759A">
        <w:rPr>
          <w:b/>
          <w:bCs/>
          <w:lang w:val="es-ES"/>
        </w:rPr>
        <w:t>acordó</w:t>
      </w:r>
      <w:r w:rsidRPr="001D759A">
        <w:rPr>
          <w:lang w:val="es-ES"/>
        </w:rPr>
        <w:t xml:space="preserve"> llegar a la siguiente conclusión</w:t>
      </w:r>
      <w:r w:rsidRPr="001D759A">
        <w:rPr>
          <w:rFonts w:eastAsia="Calibri" w:cs="Calibri"/>
          <w:szCs w:val="24"/>
          <w:lang w:val="es-ES"/>
        </w:rPr>
        <w:t>:</w:t>
      </w:r>
    </w:p>
    <w:tbl>
      <w:tblPr>
        <w:tblStyle w:val="TableGrid"/>
        <w:tblW w:w="5000" w:type="pct"/>
        <w:tblInd w:w="-147" w:type="dxa"/>
        <w:tblLook w:val="04A0" w:firstRow="1" w:lastRow="0" w:firstColumn="1" w:lastColumn="0" w:noHBand="0" w:noVBand="1"/>
      </w:tblPr>
      <w:tblGrid>
        <w:gridCol w:w="9061"/>
      </w:tblGrid>
      <w:tr w:rsidR="00ED2477" w:rsidRPr="0057685D" w14:paraId="127D9548" w14:textId="77777777" w:rsidTr="00950DAB">
        <w:tc>
          <w:tcPr>
            <w:tcW w:w="9208" w:type="dxa"/>
            <w:tcBorders>
              <w:top w:val="single" w:sz="4" w:space="0" w:color="auto"/>
              <w:left w:val="single" w:sz="4" w:space="0" w:color="auto"/>
              <w:bottom w:val="single" w:sz="4" w:space="0" w:color="auto"/>
              <w:right w:val="single" w:sz="4" w:space="0" w:color="auto"/>
            </w:tcBorders>
            <w:hideMark/>
          </w:tcPr>
          <w:p w14:paraId="391FDB04" w14:textId="4C5B1FFA" w:rsidR="00ED2477" w:rsidRPr="001D759A" w:rsidRDefault="00ED2477" w:rsidP="007113C1">
            <w:pPr>
              <w:keepNext/>
              <w:keepLines/>
              <w:tabs>
                <w:tab w:val="clear" w:pos="567"/>
                <w:tab w:val="left" w:pos="605"/>
              </w:tabs>
              <w:spacing w:after="80"/>
              <w:ind w:left="40"/>
              <w:rPr>
                <w:lang w:val="es-ES"/>
              </w:rPr>
            </w:pPr>
            <w:r w:rsidRPr="001D759A">
              <w:rPr>
                <w:szCs w:val="24"/>
                <w:lang w:val="es-ES"/>
              </w:rPr>
              <w:t>12.5</w:t>
            </w:r>
            <w:r w:rsidRPr="001D759A">
              <w:rPr>
                <w:szCs w:val="24"/>
                <w:lang w:val="es-ES"/>
              </w:rPr>
              <w:tab/>
            </w:r>
            <w:r w:rsidRPr="001D759A">
              <w:rPr>
                <w:lang w:val="es-ES"/>
              </w:rPr>
              <w:t xml:space="preserve">La Comisión recomienda </w:t>
            </w:r>
            <w:r w:rsidR="00FB7200" w:rsidRPr="001D759A">
              <w:rPr>
                <w:lang w:val="es-ES"/>
              </w:rPr>
              <w:t>a</w:t>
            </w:r>
            <w:r w:rsidRPr="001D759A">
              <w:rPr>
                <w:lang w:val="es-ES"/>
              </w:rPr>
              <w:t>l Consejo</w:t>
            </w:r>
            <w:r w:rsidR="00FB7200" w:rsidRPr="001D759A">
              <w:rPr>
                <w:lang w:val="es-ES"/>
              </w:rPr>
              <w:t xml:space="preserve"> que</w:t>
            </w:r>
            <w:r w:rsidRPr="001D759A">
              <w:rPr>
                <w:lang w:val="es-ES"/>
              </w:rPr>
              <w:t>:</w:t>
            </w:r>
          </w:p>
          <w:p w14:paraId="1621ECF1" w14:textId="23CD3879" w:rsidR="00ED2477" w:rsidRPr="001D759A" w:rsidRDefault="00ED2477" w:rsidP="007113C1">
            <w:pPr>
              <w:pStyle w:val="enumlev1"/>
              <w:keepNext/>
              <w:keepLines/>
              <w:tabs>
                <w:tab w:val="clear" w:pos="567"/>
              </w:tabs>
              <w:ind w:left="605"/>
              <w:rPr>
                <w:lang w:val="es-ES"/>
              </w:rPr>
            </w:pPr>
            <w:r w:rsidRPr="001D759A">
              <w:rPr>
                <w:lang w:val="es-ES"/>
              </w:rPr>
              <w:t>•</w:t>
            </w:r>
            <w:r w:rsidRPr="001D759A">
              <w:rPr>
                <w:lang w:val="es-ES"/>
              </w:rPr>
              <w:tab/>
              <w:t xml:space="preserve">tome nota del informe contenido en el Documento </w:t>
            </w:r>
            <w:hyperlink r:id="rId46" w:history="1">
              <w:r w:rsidRPr="001D759A">
                <w:rPr>
                  <w:rStyle w:val="Hyperlink"/>
                  <w:lang w:val="es-ES"/>
                </w:rPr>
                <w:t>C26/11(Rev.1)</w:t>
              </w:r>
            </w:hyperlink>
            <w:r w:rsidRPr="001D759A">
              <w:rPr>
                <w:lang w:val="es-ES"/>
              </w:rPr>
              <w:t>;</w:t>
            </w:r>
          </w:p>
          <w:p w14:paraId="2E8B8DC7" w14:textId="67FA8714" w:rsidR="00ED2477" w:rsidRDefault="00ED2477" w:rsidP="007113C1">
            <w:pPr>
              <w:pStyle w:val="enumlev1"/>
              <w:keepNext/>
              <w:keepLines/>
              <w:tabs>
                <w:tab w:val="clear" w:pos="567"/>
              </w:tabs>
              <w:ind w:left="605"/>
              <w:rPr>
                <w:lang w:val="es-ES"/>
              </w:rPr>
            </w:pPr>
            <w:r w:rsidRPr="001D759A">
              <w:rPr>
                <w:lang w:val="es-ES"/>
              </w:rPr>
              <w:t>•</w:t>
            </w:r>
            <w:r w:rsidRPr="001D759A">
              <w:rPr>
                <w:lang w:val="es-ES"/>
              </w:rPr>
              <w:tab/>
              <w:t>autorice a la Secretaria General a pasar a pérdidas y ganancias el importe de</w:t>
            </w:r>
            <w:r w:rsidR="00950DAB" w:rsidRPr="001D759A">
              <w:rPr>
                <w:lang w:val="es-ES"/>
              </w:rPr>
              <w:t> </w:t>
            </w:r>
            <w:r w:rsidRPr="001D759A">
              <w:rPr>
                <w:lang w:val="es-ES"/>
              </w:rPr>
              <w:t>566 815,60</w:t>
            </w:r>
            <w:r w:rsidR="005457EE">
              <w:rPr>
                <w:lang w:val="es-ES"/>
              </w:rPr>
              <w:t> CHF</w:t>
            </w:r>
            <w:r w:rsidRPr="001D759A">
              <w:rPr>
                <w:lang w:val="es-ES"/>
              </w:rPr>
              <w:t xml:space="preserve"> en concepto de intereses de mora y cantidades adeudadas incobrables</w:t>
            </w:r>
            <w:r w:rsidR="005A3B14">
              <w:rPr>
                <w:lang w:val="es-ES"/>
              </w:rPr>
              <w:t>;</w:t>
            </w:r>
          </w:p>
          <w:p w14:paraId="152093EC" w14:textId="243F5BA0" w:rsidR="004843BB" w:rsidRPr="001D759A" w:rsidRDefault="004C0D99" w:rsidP="007113C1">
            <w:pPr>
              <w:pStyle w:val="enumlev1"/>
              <w:keepNext/>
              <w:keepLines/>
              <w:tabs>
                <w:tab w:val="clear" w:pos="567"/>
              </w:tabs>
              <w:ind w:left="605"/>
              <w:rPr>
                <w:lang w:val="es-ES"/>
              </w:rPr>
            </w:pPr>
            <w:r w:rsidRPr="001D759A">
              <w:rPr>
                <w:lang w:val="es-ES"/>
              </w:rPr>
              <w:t>•</w:t>
            </w:r>
            <w:r w:rsidRPr="001D759A">
              <w:rPr>
                <w:lang w:val="es-ES"/>
              </w:rPr>
              <w:tab/>
            </w:r>
            <w:r>
              <w:rPr>
                <w:lang w:val="es-ES"/>
              </w:rPr>
              <w:t>e</w:t>
            </w:r>
            <w:r w:rsidR="004843BB">
              <w:rPr>
                <w:lang w:val="es-ES"/>
              </w:rPr>
              <w:t>ncargue a la Secretaría que, en su informe a la Conferencia de Plenipotenciarios (Doha</w:t>
            </w:r>
            <w:r w:rsidR="00BE4D85">
              <w:rPr>
                <w:lang w:val="es-ES"/>
              </w:rPr>
              <w:t>,</w:t>
            </w:r>
            <w:r w:rsidR="004843BB">
              <w:rPr>
                <w:lang w:val="es-ES"/>
              </w:rPr>
              <w:t xml:space="preserve"> 2026) sobre la situación de los atrasos, incluya un análisis de las dificultades presentes y formule recomendaciones para la intensificación de estos esfuerzos; y</w:t>
            </w:r>
          </w:p>
          <w:p w14:paraId="3ACAD5EC" w14:textId="76DA8862" w:rsidR="00ED2477" w:rsidRPr="001D759A" w:rsidRDefault="00ED2477" w:rsidP="007113C1">
            <w:pPr>
              <w:pStyle w:val="enumlev1"/>
              <w:keepNext/>
              <w:keepLines/>
              <w:tabs>
                <w:tab w:val="clear" w:pos="567"/>
              </w:tabs>
              <w:spacing w:after="120"/>
              <w:ind w:left="605"/>
              <w:rPr>
                <w:lang w:val="es-ES"/>
              </w:rPr>
            </w:pPr>
            <w:r w:rsidRPr="001D759A">
              <w:rPr>
                <w:lang w:val="es-ES"/>
              </w:rPr>
              <w:t>•</w:t>
            </w:r>
            <w:r w:rsidRPr="001D759A">
              <w:rPr>
                <w:lang w:val="es-ES"/>
              </w:rPr>
              <w:tab/>
              <w:t xml:space="preserve">adopte el proyecto de Acuerdo que figura en </w:t>
            </w:r>
            <w:r w:rsidRPr="003B289C">
              <w:rPr>
                <w:lang w:val="es-ES"/>
              </w:rPr>
              <w:t xml:space="preserve">el </w:t>
            </w:r>
            <w:hyperlink w:anchor="ANEXO_B" w:history="1">
              <w:r w:rsidRPr="003B289C">
                <w:rPr>
                  <w:rStyle w:val="Hyperlink"/>
                  <w:b/>
                  <w:bCs/>
                  <w:lang w:val="es-ES"/>
                </w:rPr>
                <w:t xml:space="preserve">Anexo </w:t>
              </w:r>
              <w:r w:rsidR="006E33AE" w:rsidRPr="003B289C">
                <w:rPr>
                  <w:rStyle w:val="Hyperlink"/>
                  <w:b/>
                  <w:bCs/>
                  <w:lang w:val="es-ES"/>
                </w:rPr>
                <w:t>B</w:t>
              </w:r>
            </w:hyperlink>
            <w:r w:rsidRPr="001D759A">
              <w:rPr>
                <w:lang w:val="es-ES"/>
              </w:rPr>
              <w:t xml:space="preserve"> al presente documento.</w:t>
            </w:r>
          </w:p>
        </w:tc>
      </w:tr>
    </w:tbl>
    <w:p w14:paraId="76D496C3" w14:textId="0CEF38CB" w:rsidR="00ED2477" w:rsidRPr="001D759A" w:rsidRDefault="00ED2477" w:rsidP="00ED2477">
      <w:pPr>
        <w:pStyle w:val="Heading1"/>
        <w:rPr>
          <w:lang w:val="es-ES"/>
        </w:rPr>
      </w:pPr>
      <w:r w:rsidRPr="001D759A">
        <w:rPr>
          <w:lang w:val="es-ES"/>
        </w:rPr>
        <w:t>13</w:t>
      </w:r>
      <w:r w:rsidRPr="001D759A">
        <w:rPr>
          <w:lang w:val="es-ES"/>
        </w:rPr>
        <w:tab/>
      </w:r>
      <w:r w:rsidR="00681088" w:rsidRPr="001D759A">
        <w:rPr>
          <w:lang w:val="es-ES"/>
        </w:rPr>
        <w:t xml:space="preserve">Informe de situación sobre la aplicación de los Acuerdos 600 y 601 del Consejo (UIFN, IIN) (Documento </w:t>
      </w:r>
      <w:hyperlink r:id="rId47" w:history="1">
        <w:r w:rsidR="00681088" w:rsidRPr="001D759A">
          <w:rPr>
            <w:rStyle w:val="Hyperlink"/>
            <w:bCs/>
            <w:lang w:val="es-ES"/>
          </w:rPr>
          <w:t>C26/</w:t>
        </w:r>
        <w:r w:rsidR="00681088" w:rsidRPr="001D759A">
          <w:rPr>
            <w:rStyle w:val="Hyperlink"/>
            <w:lang w:val="es-ES"/>
          </w:rPr>
          <w:t>38</w:t>
        </w:r>
      </w:hyperlink>
      <w:r w:rsidR="00681088" w:rsidRPr="001D759A">
        <w:rPr>
          <w:lang w:val="es-ES"/>
        </w:rPr>
        <w:t>)</w:t>
      </w:r>
    </w:p>
    <w:p w14:paraId="54A8AC1A" w14:textId="75DF3E35" w:rsidR="00ED2477" w:rsidRPr="001D759A" w:rsidRDefault="00ED2477" w:rsidP="00ED2477">
      <w:pPr>
        <w:rPr>
          <w:rFonts w:cs="Calibri"/>
          <w:lang w:val="es-ES"/>
        </w:rPr>
      </w:pPr>
      <w:r w:rsidRPr="001D759A">
        <w:rPr>
          <w:rFonts w:eastAsia="Calibri" w:cs="Calibri"/>
          <w:lang w:val="es-ES"/>
        </w:rPr>
        <w:t>13.1</w:t>
      </w:r>
      <w:r w:rsidRPr="001D759A">
        <w:rPr>
          <w:lang w:val="es-ES"/>
        </w:rPr>
        <w:tab/>
        <w:t>El Director Adjunto de la Oficina de Normalización de las Telecomunicaciones (TSB) presentó el Documento C26/38, que recogía el Informe de situación sobre la aplicación de los Acuerdos 600 (C17) y 601 (C17) relativos a los números universales del servicio internacional de llamada gratuita (UIFN) y a los números de identificación de expedidor (IIN), respectivamente, así como la recomendación de que el Consejo considere la posibilidad de derogar el Acuerdo 601 (C17). Explicó que el marco de los UIFN seguía siendo estable, pertinente y financieramente sostenible y generaba unos 235</w:t>
      </w:r>
      <w:r w:rsidR="007F48DB" w:rsidRPr="001D759A">
        <w:rPr>
          <w:lang w:val="es-ES"/>
        </w:rPr>
        <w:t> </w:t>
      </w:r>
      <w:r w:rsidRPr="001D759A">
        <w:rPr>
          <w:lang w:val="es-ES"/>
        </w:rPr>
        <w:t>000</w:t>
      </w:r>
      <w:r w:rsidR="005457EE">
        <w:rPr>
          <w:lang w:val="es-ES"/>
        </w:rPr>
        <w:t> CHF</w:t>
      </w:r>
      <w:r w:rsidRPr="001D759A">
        <w:rPr>
          <w:lang w:val="es-ES"/>
        </w:rPr>
        <w:t xml:space="preserve"> anuales desde 2018; por otra parte, se había observado una disminución sostenida de la utilización del mecanismo de los IIN en la industria, cuyos ingresos anuales promedio apenas habían conseguido cubrir los </w:t>
      </w:r>
      <w:r w:rsidR="00C817F3">
        <w:rPr>
          <w:lang w:val="es-ES"/>
        </w:rPr>
        <w:t>costes</w:t>
      </w:r>
      <w:r w:rsidRPr="001D759A">
        <w:rPr>
          <w:lang w:val="es-ES"/>
        </w:rPr>
        <w:t xml:space="preserve"> de mantenimiento asociados. El Acuerdo 601 también se había visto superado por los desarrollos técnicos en el Sector de Normalización de las Telecomunicaciones (UIT-T): las revisiones de la Recomendación UIT-T E.118 realizadas por la Comisión de Estudio 2 del UIT-T habían eliminado por completo la función de registrador de IIN y el marco normativo subyacente. El mantenimiento del Acuerdo 601 (C17) conllevaba ahora una carga administrativa que no suponía un valor significativo para los </w:t>
      </w:r>
      <w:r w:rsidR="000B17CA">
        <w:rPr>
          <w:lang w:val="es-ES"/>
        </w:rPr>
        <w:t>M</w:t>
      </w:r>
      <w:r w:rsidRPr="001D759A">
        <w:rPr>
          <w:lang w:val="es-ES"/>
        </w:rPr>
        <w:t xml:space="preserve">iembros ni reflejaba las realidades del mercado. </w:t>
      </w:r>
    </w:p>
    <w:p w14:paraId="65DF459F" w14:textId="673441B3" w:rsidR="00ED2477" w:rsidRPr="001D759A" w:rsidRDefault="00ED2477" w:rsidP="007D3544">
      <w:pPr>
        <w:rPr>
          <w:rFonts w:eastAsia="Calibri"/>
          <w:lang w:val="es-ES"/>
        </w:rPr>
      </w:pPr>
      <w:r w:rsidRPr="001D759A">
        <w:rPr>
          <w:lang w:val="es-ES"/>
        </w:rPr>
        <w:t>13.2</w:t>
      </w:r>
      <w:r w:rsidRPr="001D759A">
        <w:rPr>
          <w:lang w:val="es-ES"/>
        </w:rPr>
        <w:tab/>
        <w:t xml:space="preserve">En el debate posterior, los consejeros y un observador convinieron en que, habida cuenta de los motivos aducidos, parecía apropiado derogar el Acuerdo 601 (C17). Un consejero alentó a que se mantuviera la transparencia respecto del efecto acumulado derivado de la interrupción de un flujo de ingresos; otro sugirió que la Comisión de Estudio 2 considerase atribuir recursos de numeración, en coordinación con los Estados Miembros, Miembros de Sector, Asociados u otras entidades, para aumentar el número de Miembros de </w:t>
      </w:r>
      <w:r w:rsidR="00103D78">
        <w:rPr>
          <w:lang w:val="es-ES"/>
        </w:rPr>
        <w:t>la UIT</w:t>
      </w:r>
      <w:r w:rsidRPr="001D759A">
        <w:rPr>
          <w:lang w:val="es-ES"/>
        </w:rPr>
        <w:t xml:space="preserve"> y contribuir a la sostenibilidad financiera de </w:t>
      </w:r>
      <w:r w:rsidR="005457EE">
        <w:rPr>
          <w:lang w:val="es-ES"/>
        </w:rPr>
        <w:t>la Unión</w:t>
      </w:r>
      <w:r w:rsidRPr="001D759A">
        <w:rPr>
          <w:lang w:val="es-ES"/>
        </w:rPr>
        <w:t>. Tras tomar nota del importe de las facturas emitidas a proveedores de servicios UIFN que seguían pendientes de pago, tal y como se enumera en el Anexo al Documento C26/38, varios consejeros animaron a la Secretaría a intensificar sus esfuerzos, en colaboración con los Estados Miembros, para recuperar las deudas pendientes.</w:t>
      </w:r>
    </w:p>
    <w:p w14:paraId="417EDF58" w14:textId="03037FA8" w:rsidR="00ED2477" w:rsidRPr="001D759A" w:rsidRDefault="00ED2477" w:rsidP="007113C1">
      <w:pPr>
        <w:keepNext/>
        <w:keepLines/>
        <w:spacing w:after="120"/>
        <w:rPr>
          <w:rFonts w:eastAsia="Calibri" w:cs="Calibri"/>
          <w:szCs w:val="24"/>
          <w:lang w:val="es-ES"/>
        </w:rPr>
      </w:pPr>
      <w:r w:rsidRPr="001D759A">
        <w:rPr>
          <w:rFonts w:eastAsia="Calibri" w:cs="Calibri"/>
          <w:szCs w:val="24"/>
          <w:lang w:val="es-ES"/>
        </w:rPr>
        <w:lastRenderedPageBreak/>
        <w:t>13.3</w:t>
      </w:r>
      <w:r w:rsidRPr="001D759A">
        <w:rPr>
          <w:rFonts w:eastAsia="Calibri" w:cs="Calibri"/>
          <w:szCs w:val="24"/>
          <w:lang w:val="es-ES"/>
        </w:rPr>
        <w:tab/>
      </w:r>
      <w:r w:rsidRPr="001D759A">
        <w:rPr>
          <w:lang w:val="es-ES"/>
        </w:rPr>
        <w:t xml:space="preserve">La Comisión </w:t>
      </w:r>
      <w:r w:rsidRPr="001D759A">
        <w:rPr>
          <w:b/>
          <w:bCs/>
          <w:lang w:val="es-ES"/>
        </w:rPr>
        <w:t>acordó</w:t>
      </w:r>
      <w:r w:rsidRPr="001D759A">
        <w:rPr>
          <w:lang w:val="es-ES"/>
        </w:rPr>
        <w:t xml:space="preserve"> llegar a la siguiente conclusión</w:t>
      </w:r>
      <w:r w:rsidRPr="001D759A">
        <w:rPr>
          <w:rFonts w:eastAsia="Calibri" w:cs="Calibri"/>
          <w:szCs w:val="24"/>
          <w:lang w:val="es-ES"/>
        </w:rPr>
        <w:t>:</w:t>
      </w:r>
    </w:p>
    <w:tbl>
      <w:tblPr>
        <w:tblStyle w:val="TableGrid"/>
        <w:tblW w:w="5000" w:type="pct"/>
        <w:tblInd w:w="-147" w:type="dxa"/>
        <w:tblLook w:val="04A0" w:firstRow="1" w:lastRow="0" w:firstColumn="1" w:lastColumn="0" w:noHBand="0" w:noVBand="1"/>
      </w:tblPr>
      <w:tblGrid>
        <w:gridCol w:w="9061"/>
      </w:tblGrid>
      <w:tr w:rsidR="00ED2477" w:rsidRPr="0057685D" w14:paraId="784D84AC" w14:textId="77777777" w:rsidTr="00950DAB">
        <w:tc>
          <w:tcPr>
            <w:tcW w:w="9061" w:type="dxa"/>
            <w:tcBorders>
              <w:top w:val="single" w:sz="4" w:space="0" w:color="auto"/>
              <w:left w:val="single" w:sz="4" w:space="0" w:color="auto"/>
              <w:bottom w:val="single" w:sz="4" w:space="0" w:color="auto"/>
              <w:right w:val="single" w:sz="4" w:space="0" w:color="auto"/>
            </w:tcBorders>
            <w:hideMark/>
          </w:tcPr>
          <w:p w14:paraId="3B4B131A" w14:textId="3844F8DE" w:rsidR="00ED2477" w:rsidRPr="001D759A" w:rsidRDefault="00ED2477" w:rsidP="007113C1">
            <w:pPr>
              <w:keepNext/>
              <w:keepLines/>
              <w:tabs>
                <w:tab w:val="clear" w:pos="567"/>
                <w:tab w:val="left" w:pos="605"/>
              </w:tabs>
              <w:spacing w:after="80"/>
              <w:ind w:left="40"/>
              <w:rPr>
                <w:lang w:val="es-ES"/>
              </w:rPr>
            </w:pPr>
            <w:r w:rsidRPr="001D759A">
              <w:rPr>
                <w:rFonts w:eastAsia="Calibri" w:cs="Calibri"/>
                <w:szCs w:val="24"/>
                <w:lang w:val="es-ES"/>
              </w:rPr>
              <w:t>13.4</w:t>
            </w:r>
            <w:r w:rsidRPr="001D759A">
              <w:rPr>
                <w:lang w:val="es-ES"/>
              </w:rPr>
              <w:tab/>
              <w:t>La</w:t>
            </w:r>
            <w:r w:rsidRPr="001D759A">
              <w:rPr>
                <w:rFonts w:eastAsia="Calibri" w:cs="Calibri"/>
                <w:lang w:val="es-ES"/>
              </w:rPr>
              <w:t xml:space="preserve"> </w:t>
            </w:r>
            <w:r w:rsidRPr="001D759A">
              <w:rPr>
                <w:lang w:val="es-ES"/>
              </w:rPr>
              <w:t>Comisión</w:t>
            </w:r>
            <w:r w:rsidRPr="001D759A">
              <w:rPr>
                <w:rFonts w:eastAsia="Calibri" w:cs="Calibri"/>
                <w:lang w:val="es-ES"/>
              </w:rPr>
              <w:t xml:space="preserve"> recomienda </w:t>
            </w:r>
            <w:r w:rsidR="00FB7200" w:rsidRPr="001D759A">
              <w:rPr>
                <w:rFonts w:eastAsia="Calibri" w:cs="Calibri"/>
                <w:lang w:val="es-ES"/>
              </w:rPr>
              <w:t>a</w:t>
            </w:r>
            <w:r w:rsidRPr="001D759A">
              <w:rPr>
                <w:rFonts w:eastAsia="Calibri" w:cs="Calibri"/>
                <w:lang w:val="es-ES"/>
              </w:rPr>
              <w:t>l Consejo</w:t>
            </w:r>
            <w:r w:rsidR="00FB7200" w:rsidRPr="001D759A">
              <w:rPr>
                <w:rFonts w:eastAsia="Calibri" w:cs="Calibri"/>
                <w:lang w:val="es-ES"/>
              </w:rPr>
              <w:t xml:space="preserve"> que</w:t>
            </w:r>
            <w:r w:rsidRPr="001D759A">
              <w:rPr>
                <w:lang w:val="es-ES"/>
              </w:rPr>
              <w:t>:</w:t>
            </w:r>
          </w:p>
          <w:p w14:paraId="4A28A802" w14:textId="39513B5E" w:rsidR="00ED2477" w:rsidRPr="001D759A" w:rsidRDefault="00ED2477" w:rsidP="007113C1">
            <w:pPr>
              <w:pStyle w:val="enumlev1"/>
              <w:keepNext/>
              <w:keepLines/>
              <w:tabs>
                <w:tab w:val="clear" w:pos="567"/>
              </w:tabs>
              <w:ind w:left="605"/>
              <w:rPr>
                <w:lang w:val="es-ES"/>
              </w:rPr>
            </w:pPr>
            <w:r w:rsidRPr="001D759A">
              <w:rPr>
                <w:lang w:val="es-ES"/>
              </w:rPr>
              <w:t>•</w:t>
            </w:r>
            <w:r w:rsidRPr="001D759A">
              <w:rPr>
                <w:lang w:val="es-ES"/>
              </w:rPr>
              <w:tab/>
              <w:t>tome nota de la información actualizada sobre el estado de aplicación del Acuerdo</w:t>
            </w:r>
            <w:r w:rsidR="00950DAB" w:rsidRPr="001D759A">
              <w:rPr>
                <w:lang w:val="es-ES"/>
              </w:rPr>
              <w:t> </w:t>
            </w:r>
            <w:r w:rsidRPr="001D759A">
              <w:rPr>
                <w:lang w:val="es-ES"/>
              </w:rPr>
              <w:t>600 (C17) del Consejo relativo a los números universales del servicio internacional de llamada gratuita;</w:t>
            </w:r>
          </w:p>
          <w:p w14:paraId="240C2E09" w14:textId="4A1E382E" w:rsidR="00ED2477" w:rsidRDefault="00ED2477" w:rsidP="007113C1">
            <w:pPr>
              <w:pStyle w:val="enumlev1"/>
              <w:keepNext/>
              <w:keepLines/>
              <w:tabs>
                <w:tab w:val="clear" w:pos="567"/>
              </w:tabs>
              <w:ind w:left="605"/>
              <w:rPr>
                <w:lang w:val="es-ES"/>
              </w:rPr>
            </w:pPr>
            <w:r w:rsidRPr="001D759A">
              <w:rPr>
                <w:lang w:val="es-ES"/>
              </w:rPr>
              <w:t>•</w:t>
            </w:r>
            <w:r w:rsidRPr="001D759A">
              <w:rPr>
                <w:lang w:val="es-ES"/>
              </w:rPr>
              <w:tab/>
              <w:t>derogue el Acuerdo 601 (C17</w:t>
            </w:r>
            <w:r w:rsidR="004A47EF">
              <w:rPr>
                <w:lang w:val="es-ES"/>
              </w:rPr>
              <w:t xml:space="preserve">) </w:t>
            </w:r>
            <w:r w:rsidRPr="001D759A">
              <w:rPr>
                <w:lang w:val="es-ES"/>
              </w:rPr>
              <w:t>del Consejo relativo a los números de identificación de expedidor</w:t>
            </w:r>
            <w:r w:rsidR="004843BB">
              <w:rPr>
                <w:lang w:val="es-ES"/>
              </w:rPr>
              <w:t>; e</w:t>
            </w:r>
          </w:p>
          <w:p w14:paraId="14C22D38" w14:textId="418097E3" w:rsidR="004843BB" w:rsidRPr="001D759A" w:rsidRDefault="004A47EF" w:rsidP="007113C1">
            <w:pPr>
              <w:pStyle w:val="enumlev1"/>
              <w:keepNext/>
              <w:keepLines/>
              <w:tabs>
                <w:tab w:val="clear" w:pos="567"/>
              </w:tabs>
              <w:spacing w:after="120"/>
              <w:ind w:left="605"/>
              <w:rPr>
                <w:lang w:val="es-ES"/>
              </w:rPr>
            </w:pPr>
            <w:r w:rsidRPr="001D759A">
              <w:rPr>
                <w:lang w:val="es-ES"/>
              </w:rPr>
              <w:t>•</w:t>
            </w:r>
            <w:r w:rsidRPr="001D759A">
              <w:rPr>
                <w:lang w:val="es-ES"/>
              </w:rPr>
              <w:tab/>
            </w:r>
            <w:r>
              <w:rPr>
                <w:lang w:val="es-ES"/>
              </w:rPr>
              <w:t>i</w:t>
            </w:r>
            <w:r w:rsidR="004843BB">
              <w:rPr>
                <w:lang w:val="es-ES"/>
              </w:rPr>
              <w:t xml:space="preserve">nvite a la Comisión de Estudio 2 del UIT-T </w:t>
            </w:r>
            <w:r w:rsidR="000B17CA">
              <w:rPr>
                <w:lang w:val="es-ES"/>
              </w:rPr>
              <w:t xml:space="preserve">a </w:t>
            </w:r>
            <w:r w:rsidR="004843BB">
              <w:rPr>
                <w:lang w:val="es-ES"/>
              </w:rPr>
              <w:t>que, en coordinación con la Oficina de Normalización de las Telecomunicaciones</w:t>
            </w:r>
            <w:r w:rsidR="000B17CA">
              <w:rPr>
                <w:lang w:val="es-ES"/>
              </w:rPr>
              <w:t>,</w:t>
            </w:r>
            <w:r w:rsidR="004843BB">
              <w:rPr>
                <w:lang w:val="es-ES"/>
              </w:rPr>
              <w:t xml:space="preserve"> considere los comentarios formulados anteriormente por los consejeros.</w:t>
            </w:r>
          </w:p>
        </w:tc>
      </w:tr>
    </w:tbl>
    <w:p w14:paraId="50E7B7B0" w14:textId="77777777" w:rsidR="00ED2477" w:rsidRPr="001D759A" w:rsidRDefault="00ED2477" w:rsidP="00ED2477">
      <w:pPr>
        <w:pStyle w:val="Heading1"/>
        <w:rPr>
          <w:lang w:val="es-ES"/>
        </w:rPr>
      </w:pPr>
      <w:r w:rsidRPr="001D759A">
        <w:rPr>
          <w:lang w:val="es-ES"/>
        </w:rPr>
        <w:t>14</w:t>
      </w:r>
      <w:r w:rsidRPr="001D759A">
        <w:rPr>
          <w:lang w:val="es-ES"/>
        </w:rPr>
        <w:tab/>
        <w:t>Pasivo del seguro médico después del servicio (ASHI)</w:t>
      </w:r>
      <w:r w:rsidRPr="001D759A">
        <w:rPr>
          <w:lang w:val="es-ES"/>
        </w:rPr>
        <w:br/>
        <w:t xml:space="preserve">(Documento </w:t>
      </w:r>
      <w:hyperlink r:id="rId48" w:history="1">
        <w:r w:rsidRPr="001D759A">
          <w:rPr>
            <w:rStyle w:val="Hyperlink"/>
            <w:bCs/>
            <w:lang w:val="es-ES"/>
          </w:rPr>
          <w:t>C26/</w:t>
        </w:r>
        <w:r w:rsidRPr="001D759A">
          <w:rPr>
            <w:rStyle w:val="Hyperlink"/>
            <w:lang w:val="es-ES"/>
          </w:rPr>
          <w:t>46</w:t>
        </w:r>
      </w:hyperlink>
      <w:r w:rsidRPr="001D759A">
        <w:rPr>
          <w:lang w:val="es-ES"/>
        </w:rPr>
        <w:t>)</w:t>
      </w:r>
    </w:p>
    <w:p w14:paraId="61652B40" w14:textId="21F96875" w:rsidR="008F72E4" w:rsidRPr="00F3594D" w:rsidRDefault="008F72E4" w:rsidP="008F72E4">
      <w:pPr>
        <w:rPr>
          <w:lang w:val="es-ES"/>
        </w:rPr>
      </w:pPr>
      <w:r w:rsidRPr="00F3594D">
        <w:rPr>
          <w:rFonts w:eastAsia="Calibri" w:cs="Calibri"/>
          <w:lang w:val="es-ES"/>
        </w:rPr>
        <w:t>14.1</w:t>
      </w:r>
      <w:r w:rsidRPr="00F3594D">
        <w:rPr>
          <w:lang w:val="es-ES"/>
        </w:rPr>
        <w:tab/>
        <w:t xml:space="preserve">Un representante de la Secretaría General, al presentar el Documento C26/46, </w:t>
      </w:r>
      <w:r>
        <w:rPr>
          <w:lang w:val="es-ES"/>
        </w:rPr>
        <w:t>señaló</w:t>
      </w:r>
      <w:r w:rsidRPr="00F3594D">
        <w:rPr>
          <w:lang w:val="es-ES"/>
        </w:rPr>
        <w:t xml:space="preserve"> que</w:t>
      </w:r>
      <w:r w:rsidR="00320CB2">
        <w:rPr>
          <w:lang w:val="es-ES"/>
        </w:rPr>
        <w:t xml:space="preserve">, </w:t>
      </w:r>
      <w:r w:rsidRPr="00F3594D">
        <w:rPr>
          <w:lang w:val="es-ES"/>
        </w:rPr>
        <w:t xml:space="preserve">a finales de 2025, el pasivo del seguro </w:t>
      </w:r>
      <w:r>
        <w:rPr>
          <w:lang w:val="es-ES"/>
        </w:rPr>
        <w:t>médico</w:t>
      </w:r>
      <w:r w:rsidRPr="00F3594D">
        <w:rPr>
          <w:lang w:val="es-ES"/>
        </w:rPr>
        <w:t xml:space="preserve"> después del servicio (ASHI) había disminuido en 37</w:t>
      </w:r>
      <w:r w:rsidR="005457EE">
        <w:rPr>
          <w:lang w:val="es-ES"/>
        </w:rPr>
        <w:t> millones CHF</w:t>
      </w:r>
      <w:r w:rsidRPr="00F3594D">
        <w:rPr>
          <w:lang w:val="es-ES"/>
        </w:rPr>
        <w:t xml:space="preserve">, debido en gran parte a la mejora de las hipótesis financieras, </w:t>
      </w:r>
      <w:r>
        <w:rPr>
          <w:lang w:val="es-ES"/>
        </w:rPr>
        <w:t>en particular</w:t>
      </w:r>
      <w:r w:rsidRPr="00F3594D">
        <w:rPr>
          <w:lang w:val="es-ES"/>
        </w:rPr>
        <w:t xml:space="preserve"> un aumento </w:t>
      </w:r>
      <w:r>
        <w:rPr>
          <w:lang w:val="es-ES"/>
        </w:rPr>
        <w:t>del índice</w:t>
      </w:r>
      <w:r w:rsidRPr="00F3594D">
        <w:rPr>
          <w:lang w:val="es-ES"/>
        </w:rPr>
        <w:t xml:space="preserve"> de descuento y una disminución de la tasa de inflación </w:t>
      </w:r>
      <w:r>
        <w:rPr>
          <w:lang w:val="es-ES"/>
        </w:rPr>
        <w:t>relativa a la evolución en el plano médico</w:t>
      </w:r>
      <w:r w:rsidRPr="00F3594D">
        <w:rPr>
          <w:lang w:val="es-ES"/>
        </w:rPr>
        <w:t xml:space="preserve">. </w:t>
      </w:r>
      <w:r>
        <w:rPr>
          <w:lang w:val="es-ES"/>
        </w:rPr>
        <w:t>Esa</w:t>
      </w:r>
      <w:r w:rsidRPr="00F3594D">
        <w:rPr>
          <w:lang w:val="es-ES"/>
        </w:rPr>
        <w:t xml:space="preserve"> evolución </w:t>
      </w:r>
      <w:r>
        <w:rPr>
          <w:lang w:val="es-ES"/>
        </w:rPr>
        <w:t>favorable</w:t>
      </w:r>
      <w:r w:rsidRPr="00F3594D">
        <w:rPr>
          <w:lang w:val="es-ES"/>
        </w:rPr>
        <w:t xml:space="preserve"> compensó la </w:t>
      </w:r>
      <w:r>
        <w:rPr>
          <w:lang w:val="es-ES"/>
        </w:rPr>
        <w:t>leve</w:t>
      </w:r>
      <w:r w:rsidRPr="00F3594D">
        <w:rPr>
          <w:lang w:val="es-ES"/>
        </w:rPr>
        <w:t xml:space="preserve"> tendencia demográfica</w:t>
      </w:r>
      <w:r>
        <w:rPr>
          <w:lang w:val="es-ES"/>
        </w:rPr>
        <w:t xml:space="preserve"> adversa</w:t>
      </w:r>
      <w:r w:rsidRPr="00F3594D">
        <w:rPr>
          <w:lang w:val="es-ES"/>
        </w:rPr>
        <w:t xml:space="preserve"> </w:t>
      </w:r>
      <w:r>
        <w:rPr>
          <w:lang w:val="es-ES"/>
        </w:rPr>
        <w:t>en materia de</w:t>
      </w:r>
      <w:r w:rsidRPr="00F3594D">
        <w:rPr>
          <w:lang w:val="es-ES"/>
        </w:rPr>
        <w:t xml:space="preserve"> tasas de mortalidad y de jubilación, </w:t>
      </w:r>
      <w:r>
        <w:rPr>
          <w:lang w:val="es-ES"/>
        </w:rPr>
        <w:t>si bien</w:t>
      </w:r>
      <w:r w:rsidRPr="00F3594D">
        <w:rPr>
          <w:lang w:val="es-ES"/>
        </w:rPr>
        <w:t xml:space="preserve"> el pasivo siguió </w:t>
      </w:r>
      <w:r>
        <w:rPr>
          <w:lang w:val="es-ES"/>
        </w:rPr>
        <w:t xml:space="preserve">siendo </w:t>
      </w:r>
      <w:r w:rsidRPr="00F3594D">
        <w:rPr>
          <w:lang w:val="es-ES"/>
        </w:rPr>
        <w:t>volátil. En el proyecto de decisión que figura en el Anexo A</w:t>
      </w:r>
      <w:r>
        <w:rPr>
          <w:lang w:val="es-ES"/>
        </w:rPr>
        <w:t>,</w:t>
      </w:r>
      <w:r w:rsidRPr="00F3594D">
        <w:rPr>
          <w:lang w:val="es-ES"/>
        </w:rPr>
        <w:t xml:space="preserve"> la </w:t>
      </w:r>
      <w:r w:rsidR="00C817F3">
        <w:rPr>
          <w:lang w:val="es-ES"/>
        </w:rPr>
        <w:t>S</w:t>
      </w:r>
      <w:r w:rsidRPr="00F3594D">
        <w:rPr>
          <w:lang w:val="es-ES"/>
        </w:rPr>
        <w:t>ecretaría solicitó la aprobación del Consejo para introducir una contribución del 5,35</w:t>
      </w:r>
      <w:r w:rsidR="00103D78">
        <w:rPr>
          <w:lang w:val="es-ES"/>
        </w:rPr>
        <w:t xml:space="preserve"> % </w:t>
      </w:r>
      <w:r>
        <w:rPr>
          <w:lang w:val="es-ES"/>
        </w:rPr>
        <w:t>salarial</w:t>
      </w:r>
      <w:r w:rsidRPr="00F3594D">
        <w:rPr>
          <w:lang w:val="es-ES"/>
        </w:rPr>
        <w:t xml:space="preserve"> para todo el personal contratado a partir del 1 de enero de 2026; esa medida </w:t>
      </w:r>
      <w:r>
        <w:rPr>
          <w:lang w:val="es-ES"/>
        </w:rPr>
        <w:t>figuraba</w:t>
      </w:r>
      <w:r w:rsidRPr="00F3594D">
        <w:rPr>
          <w:lang w:val="es-ES"/>
        </w:rPr>
        <w:t xml:space="preserve"> en el informe del Comité Asesor Independiente </w:t>
      </w:r>
      <w:r>
        <w:rPr>
          <w:lang w:val="es-ES"/>
        </w:rPr>
        <w:t>sobre la</w:t>
      </w:r>
      <w:r w:rsidRPr="00F3594D">
        <w:rPr>
          <w:lang w:val="es-ES"/>
        </w:rPr>
        <w:t xml:space="preserve"> Gestión (</w:t>
      </w:r>
      <w:r>
        <w:rPr>
          <w:lang w:val="es-ES"/>
        </w:rPr>
        <w:t>CAIG</w:t>
      </w:r>
      <w:r w:rsidRPr="00F3594D">
        <w:rPr>
          <w:lang w:val="es-ES"/>
        </w:rPr>
        <w:t>) (véa</w:t>
      </w:r>
      <w:r w:rsidR="00D17D49">
        <w:rPr>
          <w:lang w:val="es-ES"/>
        </w:rPr>
        <w:t>n</w:t>
      </w:r>
      <w:r w:rsidRPr="00F3594D">
        <w:rPr>
          <w:lang w:val="es-ES"/>
        </w:rPr>
        <w:t xml:space="preserve">se </w:t>
      </w:r>
      <w:r w:rsidR="00D17D49">
        <w:rPr>
          <w:lang w:val="es-ES"/>
        </w:rPr>
        <w:t>los</w:t>
      </w:r>
      <w:r w:rsidRPr="00F3594D">
        <w:rPr>
          <w:lang w:val="es-ES"/>
        </w:rPr>
        <w:t xml:space="preserve"> Documento</w:t>
      </w:r>
      <w:r w:rsidR="00D17D49">
        <w:rPr>
          <w:lang w:val="es-ES"/>
        </w:rPr>
        <w:t>s</w:t>
      </w:r>
      <w:r w:rsidR="007113C1">
        <w:rPr>
          <w:lang w:val="es-ES"/>
        </w:rPr>
        <w:t> </w:t>
      </w:r>
      <w:hyperlink r:id="rId49" w:history="1">
        <w:r w:rsidR="00254762" w:rsidRPr="00C52838">
          <w:rPr>
            <w:rStyle w:val="Hyperlink"/>
            <w:lang w:val="es-ES"/>
          </w:rPr>
          <w:t>C24/22</w:t>
        </w:r>
      </w:hyperlink>
      <w:r w:rsidR="00254762" w:rsidRPr="00C52838">
        <w:rPr>
          <w:lang w:val="es-ES"/>
        </w:rPr>
        <w:t xml:space="preserve"> </w:t>
      </w:r>
      <w:r w:rsidR="00D17D49">
        <w:rPr>
          <w:lang w:val="es-ES"/>
        </w:rPr>
        <w:t xml:space="preserve">y </w:t>
      </w:r>
      <w:hyperlink r:id="rId50" w:history="1">
        <w:r w:rsidRPr="00F3594D">
          <w:rPr>
            <w:rStyle w:val="Hyperlink"/>
            <w:lang w:val="es-ES"/>
          </w:rPr>
          <w:t>C25/46</w:t>
        </w:r>
      </w:hyperlink>
      <w:r w:rsidRPr="00F3594D">
        <w:rPr>
          <w:lang w:val="es-ES"/>
        </w:rPr>
        <w:t>).</w:t>
      </w:r>
    </w:p>
    <w:p w14:paraId="01391590" w14:textId="079F8E97" w:rsidR="008F72E4" w:rsidRPr="00F3594D" w:rsidRDefault="008F72E4" w:rsidP="008F72E4">
      <w:pPr>
        <w:rPr>
          <w:lang w:val="es-ES"/>
        </w:rPr>
      </w:pPr>
      <w:r w:rsidRPr="00F3594D">
        <w:rPr>
          <w:lang w:val="es-ES"/>
        </w:rPr>
        <w:t>14.2</w:t>
      </w:r>
      <w:r w:rsidRPr="00F3594D">
        <w:rPr>
          <w:lang w:val="es-ES"/>
        </w:rPr>
        <w:tab/>
        <w:t xml:space="preserve">Los consejeros </w:t>
      </w:r>
      <w:r>
        <w:rPr>
          <w:lang w:val="es-ES"/>
        </w:rPr>
        <w:t>manifestaron</w:t>
      </w:r>
      <w:r w:rsidRPr="00F3594D">
        <w:rPr>
          <w:lang w:val="es-ES"/>
        </w:rPr>
        <w:t xml:space="preserve"> su apoyo al informe y al proyecto de decisión. </w:t>
      </w:r>
      <w:r>
        <w:rPr>
          <w:lang w:val="es-ES"/>
        </w:rPr>
        <w:t>No obstante</w:t>
      </w:r>
      <w:r w:rsidRPr="00F3594D">
        <w:rPr>
          <w:lang w:val="es-ES"/>
        </w:rPr>
        <w:t xml:space="preserve">, un consejero pidió aclaraciones sobre el rendimiento anual previsto de la </w:t>
      </w:r>
      <w:r>
        <w:rPr>
          <w:lang w:val="es-ES"/>
        </w:rPr>
        <w:t xml:space="preserve">citada </w:t>
      </w:r>
      <w:r w:rsidRPr="00F3594D">
        <w:rPr>
          <w:lang w:val="es-ES"/>
        </w:rPr>
        <w:t>contribución del 5,35</w:t>
      </w:r>
      <w:r w:rsidR="00103D78">
        <w:rPr>
          <w:lang w:val="es-ES"/>
        </w:rPr>
        <w:t> %</w:t>
      </w:r>
      <w:r w:rsidRPr="00F3594D">
        <w:rPr>
          <w:lang w:val="es-ES"/>
        </w:rPr>
        <w:t xml:space="preserve"> y su repercusión </w:t>
      </w:r>
      <w:r>
        <w:rPr>
          <w:lang w:val="es-ES"/>
        </w:rPr>
        <w:t>esperada</w:t>
      </w:r>
      <w:r w:rsidRPr="00F3594D">
        <w:rPr>
          <w:lang w:val="es-ES"/>
        </w:rPr>
        <w:t xml:space="preserve"> en el coeficiente de financiación del </w:t>
      </w:r>
      <w:r>
        <w:rPr>
          <w:lang w:val="es-ES"/>
        </w:rPr>
        <w:t>ASHI</w:t>
      </w:r>
      <w:r w:rsidRPr="00F3594D">
        <w:rPr>
          <w:lang w:val="es-ES"/>
        </w:rPr>
        <w:t xml:space="preserve">, y </w:t>
      </w:r>
      <w:r>
        <w:rPr>
          <w:lang w:val="es-ES"/>
        </w:rPr>
        <w:t>preguntó</w:t>
      </w:r>
      <w:r w:rsidRPr="00F3594D">
        <w:rPr>
          <w:lang w:val="es-ES"/>
        </w:rPr>
        <w:t xml:space="preserve"> si </w:t>
      </w:r>
      <w:r w:rsidR="00103D78">
        <w:rPr>
          <w:lang w:val="es-ES"/>
        </w:rPr>
        <w:t>la UIT</w:t>
      </w:r>
      <w:r w:rsidRPr="00F3594D">
        <w:rPr>
          <w:lang w:val="es-ES"/>
        </w:rPr>
        <w:t xml:space="preserve"> había comparado esa medida con las prácticas más generales de las </w:t>
      </w:r>
      <w:r w:rsidR="000E31A1">
        <w:rPr>
          <w:lang w:val="es-ES"/>
        </w:rPr>
        <w:t>Naciones Unidas</w:t>
      </w:r>
      <w:r w:rsidRPr="00F3594D">
        <w:rPr>
          <w:lang w:val="es-ES"/>
        </w:rPr>
        <w:t>.</w:t>
      </w:r>
    </w:p>
    <w:p w14:paraId="05FCEA97" w14:textId="2FA42D3C" w:rsidR="008F72E4" w:rsidRPr="00F3594D" w:rsidRDefault="008F72E4" w:rsidP="008F72E4">
      <w:pPr>
        <w:rPr>
          <w:lang w:val="es-ES"/>
        </w:rPr>
      </w:pPr>
      <w:r w:rsidRPr="00F3594D">
        <w:rPr>
          <w:lang w:val="es-ES"/>
        </w:rPr>
        <w:t>14.3</w:t>
      </w:r>
      <w:r w:rsidRPr="00F3594D">
        <w:rPr>
          <w:lang w:val="es-ES"/>
        </w:rPr>
        <w:tab/>
        <w:t xml:space="preserve">El consejero de Estados Unidos de América, aunque </w:t>
      </w:r>
      <w:r>
        <w:rPr>
          <w:lang w:val="es-ES"/>
        </w:rPr>
        <w:t>respaldó</w:t>
      </w:r>
      <w:r w:rsidRPr="00F3594D">
        <w:rPr>
          <w:lang w:val="es-ES"/>
        </w:rPr>
        <w:t xml:space="preserve"> el proyecto de decisión, cuestionó la utilidad de la medida del 5,35</w:t>
      </w:r>
      <w:r w:rsidR="00103D78">
        <w:rPr>
          <w:lang w:val="es-ES"/>
        </w:rPr>
        <w:t xml:space="preserve"> % </w:t>
      </w:r>
      <w:r>
        <w:rPr>
          <w:lang w:val="es-ES"/>
        </w:rPr>
        <w:t>para</w:t>
      </w:r>
      <w:r w:rsidRPr="00F3594D">
        <w:rPr>
          <w:lang w:val="es-ES"/>
        </w:rPr>
        <w:t xml:space="preserve"> el ciclo de planificación financiera</w:t>
      </w:r>
      <w:r w:rsidR="009D46C1">
        <w:rPr>
          <w:lang w:val="es-ES"/>
        </w:rPr>
        <w:t> </w:t>
      </w:r>
      <w:r w:rsidRPr="00F3594D">
        <w:rPr>
          <w:lang w:val="es-ES"/>
        </w:rPr>
        <w:t>2028</w:t>
      </w:r>
      <w:r w:rsidR="00103D78">
        <w:rPr>
          <w:lang w:val="es-ES"/>
        </w:rPr>
        <w:noBreakHyphen/>
      </w:r>
      <w:r w:rsidRPr="00F3594D">
        <w:rPr>
          <w:lang w:val="es-ES"/>
        </w:rPr>
        <w:t>2031, y prop</w:t>
      </w:r>
      <w:r>
        <w:rPr>
          <w:lang w:val="es-ES"/>
        </w:rPr>
        <w:t>uso</w:t>
      </w:r>
      <w:r w:rsidRPr="00F3594D">
        <w:rPr>
          <w:lang w:val="es-ES"/>
        </w:rPr>
        <w:t xml:space="preserve"> suprimir esa tasa en el futuro y </w:t>
      </w:r>
      <w:r>
        <w:rPr>
          <w:lang w:val="es-ES"/>
        </w:rPr>
        <w:t>colaborar</w:t>
      </w:r>
      <w:r w:rsidRPr="00F3594D">
        <w:rPr>
          <w:lang w:val="es-ES"/>
        </w:rPr>
        <w:t xml:space="preserve"> con los Estados </w:t>
      </w:r>
      <w:r>
        <w:rPr>
          <w:lang w:val="es-ES"/>
        </w:rPr>
        <w:t>M</w:t>
      </w:r>
      <w:r w:rsidRPr="00F3594D">
        <w:rPr>
          <w:lang w:val="es-ES"/>
        </w:rPr>
        <w:t xml:space="preserve">iembros en soluciones alternativas para el pasivo a largo plazo del </w:t>
      </w:r>
      <w:r>
        <w:rPr>
          <w:lang w:val="es-ES"/>
        </w:rPr>
        <w:t>ASHI</w:t>
      </w:r>
      <w:r w:rsidRPr="00F3594D">
        <w:rPr>
          <w:lang w:val="es-ES"/>
        </w:rPr>
        <w:t xml:space="preserve">. </w:t>
      </w:r>
      <w:r>
        <w:rPr>
          <w:lang w:val="es-ES"/>
        </w:rPr>
        <w:t xml:space="preserve">Propuso no respaldar </w:t>
      </w:r>
      <w:r w:rsidRPr="00F3594D">
        <w:rPr>
          <w:lang w:val="es-ES"/>
        </w:rPr>
        <w:t xml:space="preserve">la medida en los siguientes ciclos presupuestarios y solicitó que se presentara un informe actualizado sobre el pasivo </w:t>
      </w:r>
      <w:r>
        <w:rPr>
          <w:lang w:val="es-ES"/>
        </w:rPr>
        <w:t xml:space="preserve">del </w:t>
      </w:r>
      <w:r w:rsidRPr="00F3594D">
        <w:rPr>
          <w:lang w:val="es-ES"/>
        </w:rPr>
        <w:t xml:space="preserve">ASHI a la Conferencia de Plenipotenciarios, </w:t>
      </w:r>
      <w:r>
        <w:rPr>
          <w:lang w:val="es-ES"/>
        </w:rPr>
        <w:t>con el fin de</w:t>
      </w:r>
      <w:r w:rsidRPr="00F3594D">
        <w:rPr>
          <w:lang w:val="es-ES"/>
        </w:rPr>
        <w:t xml:space="preserve"> informar a los Estados </w:t>
      </w:r>
      <w:r>
        <w:rPr>
          <w:lang w:val="es-ES"/>
        </w:rPr>
        <w:t>M</w:t>
      </w:r>
      <w:r w:rsidRPr="00F3594D">
        <w:rPr>
          <w:lang w:val="es-ES"/>
        </w:rPr>
        <w:t xml:space="preserve">iembros de las recomendaciones de </w:t>
      </w:r>
      <w:r w:rsidR="00103D78">
        <w:rPr>
          <w:lang w:val="es-ES"/>
        </w:rPr>
        <w:t>la UIT</w:t>
      </w:r>
      <w:r w:rsidRPr="00F3594D">
        <w:rPr>
          <w:lang w:val="es-ES"/>
        </w:rPr>
        <w:t xml:space="preserve"> sobre </w:t>
      </w:r>
      <w:r>
        <w:rPr>
          <w:lang w:val="es-ES"/>
        </w:rPr>
        <w:t>la manera de</w:t>
      </w:r>
      <w:r w:rsidRPr="00F3594D">
        <w:rPr>
          <w:lang w:val="es-ES"/>
        </w:rPr>
        <w:t xml:space="preserve"> abordar el pasivo.</w:t>
      </w:r>
    </w:p>
    <w:p w14:paraId="52C05BF4" w14:textId="6CE2EED0" w:rsidR="008F72E4" w:rsidRPr="00F3594D" w:rsidRDefault="008F72E4" w:rsidP="008F72E4">
      <w:pPr>
        <w:rPr>
          <w:lang w:val="es-ES"/>
        </w:rPr>
      </w:pPr>
      <w:r w:rsidRPr="00F3594D">
        <w:rPr>
          <w:lang w:val="es-ES"/>
        </w:rPr>
        <w:t>14.4</w:t>
      </w:r>
      <w:r w:rsidRPr="00F3594D">
        <w:rPr>
          <w:lang w:val="es-ES"/>
        </w:rPr>
        <w:tab/>
        <w:t xml:space="preserve">Un consejero </w:t>
      </w:r>
      <w:r>
        <w:rPr>
          <w:lang w:val="es-ES"/>
        </w:rPr>
        <w:t>hizo hincapié en</w:t>
      </w:r>
      <w:r w:rsidRPr="00F3594D">
        <w:rPr>
          <w:lang w:val="es-ES"/>
        </w:rPr>
        <w:t xml:space="preserve"> la recomendación del Auditor Externo de que </w:t>
      </w:r>
      <w:r w:rsidR="00103D78">
        <w:rPr>
          <w:lang w:val="es-ES"/>
        </w:rPr>
        <w:t>la UIT</w:t>
      </w:r>
      <w:r w:rsidRPr="00F3594D">
        <w:rPr>
          <w:lang w:val="es-ES"/>
        </w:rPr>
        <w:t xml:space="preserve"> volviera a examinar su argumento comercial </w:t>
      </w:r>
      <w:r>
        <w:rPr>
          <w:lang w:val="es-ES"/>
        </w:rPr>
        <w:t>inicial</w:t>
      </w:r>
      <w:r w:rsidRPr="00F3594D">
        <w:rPr>
          <w:lang w:val="es-ES"/>
        </w:rPr>
        <w:t xml:space="preserve"> </w:t>
      </w:r>
      <w:r>
        <w:rPr>
          <w:lang w:val="es-ES"/>
        </w:rPr>
        <w:t>de</w:t>
      </w:r>
      <w:r w:rsidRPr="00F3594D">
        <w:rPr>
          <w:lang w:val="es-ES"/>
        </w:rPr>
        <w:t xml:space="preserve"> adherirse a la Mutualidad de Seguros del Personal de las </w:t>
      </w:r>
      <w:r w:rsidR="000E31A1">
        <w:rPr>
          <w:lang w:val="es-ES"/>
        </w:rPr>
        <w:t>Naciones Unidas</w:t>
      </w:r>
      <w:r w:rsidRPr="00F3594D">
        <w:rPr>
          <w:lang w:val="es-ES"/>
        </w:rPr>
        <w:t xml:space="preserve"> contra Enfermedad y Accidentes (UNSMIS), que había </w:t>
      </w:r>
      <w:r>
        <w:rPr>
          <w:lang w:val="es-ES"/>
        </w:rPr>
        <w:t>constituido</w:t>
      </w:r>
      <w:r w:rsidRPr="00F3594D">
        <w:rPr>
          <w:lang w:val="es-ES"/>
        </w:rPr>
        <w:t xml:space="preserve"> un </w:t>
      </w:r>
      <w:r>
        <w:rPr>
          <w:lang w:val="es-ES"/>
        </w:rPr>
        <w:t>destacado</w:t>
      </w:r>
      <w:r w:rsidRPr="00F3594D">
        <w:rPr>
          <w:lang w:val="es-ES"/>
        </w:rPr>
        <w:t xml:space="preserve"> compromiso financiero, e informara al respecto en una reunión </w:t>
      </w:r>
      <w:r>
        <w:rPr>
          <w:lang w:val="es-ES"/>
        </w:rPr>
        <w:t>ulterior</w:t>
      </w:r>
      <w:r w:rsidRPr="00F3594D">
        <w:rPr>
          <w:lang w:val="es-ES"/>
        </w:rPr>
        <w:t xml:space="preserve"> del Consejo. Se acogería con satisfacción la posibilidad de utilizar reservas </w:t>
      </w:r>
      <w:r w:rsidRPr="00F3594D">
        <w:rPr>
          <w:lang w:val="es-ES"/>
        </w:rPr>
        <w:lastRenderedPageBreak/>
        <w:t xml:space="preserve">financieras </w:t>
      </w:r>
      <w:r>
        <w:rPr>
          <w:lang w:val="es-ES"/>
        </w:rPr>
        <w:t>de</w:t>
      </w:r>
      <w:r w:rsidRPr="00F3594D">
        <w:rPr>
          <w:lang w:val="es-ES"/>
        </w:rPr>
        <w:t xml:space="preserve"> actividad limitada, </w:t>
      </w:r>
      <w:r>
        <w:rPr>
          <w:lang w:val="es-ES"/>
        </w:rPr>
        <w:t>en particular la</w:t>
      </w:r>
      <w:r w:rsidRPr="00F3594D">
        <w:rPr>
          <w:lang w:val="es-ES"/>
        </w:rPr>
        <w:t xml:space="preserve"> </w:t>
      </w:r>
      <w:r w:rsidRPr="00F833BD">
        <w:rPr>
          <w:lang w:val="es-ES"/>
        </w:rPr>
        <w:t xml:space="preserve">Caja de Seguro del Personal de </w:t>
      </w:r>
      <w:r w:rsidR="00103D78">
        <w:rPr>
          <w:lang w:val="es-ES"/>
        </w:rPr>
        <w:t>la UIT</w:t>
      </w:r>
      <w:r w:rsidRPr="00F3594D">
        <w:rPr>
          <w:lang w:val="es-ES"/>
        </w:rPr>
        <w:t xml:space="preserve">, </w:t>
      </w:r>
      <w:r>
        <w:rPr>
          <w:lang w:val="es-ES"/>
        </w:rPr>
        <w:t>a fin de</w:t>
      </w:r>
      <w:r w:rsidRPr="00F3594D">
        <w:rPr>
          <w:lang w:val="es-ES"/>
        </w:rPr>
        <w:t xml:space="preserve"> financiar el pasivo </w:t>
      </w:r>
      <w:r>
        <w:rPr>
          <w:lang w:val="es-ES"/>
        </w:rPr>
        <w:t xml:space="preserve">del </w:t>
      </w:r>
      <w:r w:rsidRPr="00F3594D">
        <w:rPr>
          <w:lang w:val="es-ES"/>
        </w:rPr>
        <w:t>ASHI.</w:t>
      </w:r>
    </w:p>
    <w:p w14:paraId="38946E5B" w14:textId="123BA365" w:rsidR="008F72E4" w:rsidRPr="00F3594D" w:rsidRDefault="008F72E4" w:rsidP="008F72E4">
      <w:pPr>
        <w:rPr>
          <w:lang w:val="es-ES"/>
        </w:rPr>
      </w:pPr>
      <w:r w:rsidRPr="00F3594D">
        <w:rPr>
          <w:lang w:val="es-ES"/>
        </w:rPr>
        <w:t>14.5</w:t>
      </w:r>
      <w:r w:rsidRPr="00F3594D">
        <w:rPr>
          <w:lang w:val="es-ES"/>
        </w:rPr>
        <w:tab/>
        <w:t xml:space="preserve">El Jefe del FRMD, </w:t>
      </w:r>
      <w:r>
        <w:rPr>
          <w:lang w:val="es-ES"/>
        </w:rPr>
        <w:t>a raíz</w:t>
      </w:r>
      <w:r w:rsidRPr="00F3594D">
        <w:rPr>
          <w:lang w:val="es-ES"/>
        </w:rPr>
        <w:t xml:space="preserve"> </w:t>
      </w:r>
      <w:r w:rsidR="00320CB2">
        <w:rPr>
          <w:lang w:val="es-ES"/>
        </w:rPr>
        <w:t>de</w:t>
      </w:r>
      <w:r w:rsidRPr="00F3594D">
        <w:rPr>
          <w:lang w:val="es-ES"/>
        </w:rPr>
        <w:t xml:space="preserve"> las preguntas de los consejeros, </w:t>
      </w:r>
      <w:r>
        <w:rPr>
          <w:lang w:val="es-ES"/>
        </w:rPr>
        <w:t>señaló</w:t>
      </w:r>
      <w:r w:rsidRPr="00F3594D">
        <w:rPr>
          <w:lang w:val="es-ES"/>
        </w:rPr>
        <w:t xml:space="preserve"> que el </w:t>
      </w:r>
      <w:r>
        <w:rPr>
          <w:lang w:val="es-ES"/>
        </w:rPr>
        <w:t>G</w:t>
      </w:r>
      <w:r w:rsidRPr="00F3594D">
        <w:rPr>
          <w:lang w:val="es-ES"/>
        </w:rPr>
        <w:t xml:space="preserve">rupo de </w:t>
      </w:r>
      <w:r w:rsidR="003177C9">
        <w:rPr>
          <w:lang w:val="es-ES"/>
        </w:rPr>
        <w:t>T</w:t>
      </w:r>
      <w:r w:rsidRPr="00F3594D">
        <w:rPr>
          <w:lang w:val="es-ES"/>
        </w:rPr>
        <w:t xml:space="preserve">rabajo de las </w:t>
      </w:r>
      <w:r w:rsidR="000E31A1">
        <w:rPr>
          <w:lang w:val="es-ES"/>
        </w:rPr>
        <w:t>Naciones Unidas</w:t>
      </w:r>
      <w:r w:rsidRPr="00F3594D">
        <w:rPr>
          <w:lang w:val="es-ES"/>
        </w:rPr>
        <w:t xml:space="preserve"> </w:t>
      </w:r>
      <w:r>
        <w:rPr>
          <w:lang w:val="es-ES"/>
        </w:rPr>
        <w:t xml:space="preserve">sobre </w:t>
      </w:r>
      <w:r w:rsidRPr="00F3594D">
        <w:rPr>
          <w:lang w:val="es-ES"/>
        </w:rPr>
        <w:t xml:space="preserve">ASHI </w:t>
      </w:r>
      <w:r>
        <w:rPr>
          <w:lang w:val="es-ES"/>
        </w:rPr>
        <w:t>formuló varias</w:t>
      </w:r>
      <w:r w:rsidRPr="00F3594D">
        <w:rPr>
          <w:lang w:val="es-ES"/>
        </w:rPr>
        <w:t xml:space="preserve"> recomendaciones al Secretario</w:t>
      </w:r>
      <w:r w:rsidR="00103D78">
        <w:rPr>
          <w:lang w:val="es-ES"/>
        </w:rPr>
        <w:t xml:space="preserve"> </w:t>
      </w:r>
      <w:r w:rsidRPr="00F3594D">
        <w:rPr>
          <w:lang w:val="es-ES"/>
        </w:rPr>
        <w:t xml:space="preserve">General de las </w:t>
      </w:r>
      <w:r w:rsidR="000E31A1">
        <w:rPr>
          <w:lang w:val="es-ES"/>
        </w:rPr>
        <w:t>Naciones Unidas</w:t>
      </w:r>
      <w:r w:rsidRPr="00F3594D">
        <w:rPr>
          <w:lang w:val="es-ES"/>
        </w:rPr>
        <w:t xml:space="preserve"> para garantizar que se aplicara la contribución del 5,35</w:t>
      </w:r>
      <w:r w:rsidR="00103D78">
        <w:rPr>
          <w:lang w:val="es-ES"/>
        </w:rPr>
        <w:t> %</w:t>
      </w:r>
      <w:r w:rsidRPr="00F3594D">
        <w:rPr>
          <w:lang w:val="es-ES"/>
        </w:rPr>
        <w:t>; la</w:t>
      </w:r>
      <w:r w:rsidR="00103D78">
        <w:rPr>
          <w:lang w:val="es-ES"/>
        </w:rPr>
        <w:t> </w:t>
      </w:r>
      <w:r w:rsidRPr="00F3594D">
        <w:rPr>
          <w:lang w:val="es-ES"/>
        </w:rPr>
        <w:t xml:space="preserve">Secretaría General de las </w:t>
      </w:r>
      <w:r w:rsidR="000E31A1">
        <w:rPr>
          <w:lang w:val="es-ES"/>
        </w:rPr>
        <w:t>Naciones Unidas</w:t>
      </w:r>
      <w:r w:rsidRPr="00F3594D">
        <w:rPr>
          <w:lang w:val="es-ES"/>
        </w:rPr>
        <w:t xml:space="preserve"> debe presentar la recomendación a la Asamblea General. Cada organización debe </w:t>
      </w:r>
      <w:r>
        <w:rPr>
          <w:lang w:val="es-ES"/>
        </w:rPr>
        <w:t>adoptar</w:t>
      </w:r>
      <w:r w:rsidRPr="00F3594D">
        <w:rPr>
          <w:lang w:val="es-ES"/>
        </w:rPr>
        <w:t xml:space="preserve"> medidas para aplicar la contribución; </w:t>
      </w:r>
      <w:r w:rsidR="00103D78">
        <w:rPr>
          <w:lang w:val="es-ES"/>
        </w:rPr>
        <w:t>la UIT</w:t>
      </w:r>
      <w:r w:rsidRPr="00F3594D">
        <w:rPr>
          <w:lang w:val="es-ES"/>
        </w:rPr>
        <w:t xml:space="preserve"> </w:t>
      </w:r>
      <w:r>
        <w:rPr>
          <w:lang w:val="es-ES"/>
        </w:rPr>
        <w:t xml:space="preserve">recibió diversas </w:t>
      </w:r>
      <w:r w:rsidRPr="00F3594D">
        <w:rPr>
          <w:lang w:val="es-ES"/>
        </w:rPr>
        <w:t xml:space="preserve">recomendaciones </w:t>
      </w:r>
      <w:r>
        <w:rPr>
          <w:lang w:val="es-ES"/>
        </w:rPr>
        <w:t>a tal efecto</w:t>
      </w:r>
      <w:r w:rsidRPr="00F3594D">
        <w:rPr>
          <w:lang w:val="es-ES"/>
        </w:rPr>
        <w:t xml:space="preserve"> de la DCI y del </w:t>
      </w:r>
      <w:r>
        <w:rPr>
          <w:lang w:val="es-ES"/>
        </w:rPr>
        <w:t>CAIG</w:t>
      </w:r>
      <w:r w:rsidRPr="00F3594D">
        <w:rPr>
          <w:lang w:val="es-ES"/>
        </w:rPr>
        <w:t xml:space="preserve">, aprobadas en </w:t>
      </w:r>
      <w:r>
        <w:rPr>
          <w:lang w:val="es-ES"/>
        </w:rPr>
        <w:t>la</w:t>
      </w:r>
      <w:r w:rsidR="00D17D49">
        <w:rPr>
          <w:lang w:val="es-ES"/>
        </w:rPr>
        <w:t>s</w:t>
      </w:r>
      <w:r>
        <w:rPr>
          <w:lang w:val="es-ES"/>
        </w:rPr>
        <w:t xml:space="preserve"> reuni</w:t>
      </w:r>
      <w:r w:rsidR="00D17D49">
        <w:rPr>
          <w:lang w:val="es-ES"/>
        </w:rPr>
        <w:t>ones</w:t>
      </w:r>
      <w:r>
        <w:rPr>
          <w:lang w:val="es-ES"/>
        </w:rPr>
        <w:t xml:space="preserve"> de</w:t>
      </w:r>
      <w:r w:rsidR="00103D78">
        <w:rPr>
          <w:lang w:val="es-ES"/>
        </w:rPr>
        <w:t> </w:t>
      </w:r>
      <w:r w:rsidR="00D17D49">
        <w:rPr>
          <w:lang w:val="es-ES"/>
        </w:rPr>
        <w:t xml:space="preserve">2024 y </w:t>
      </w:r>
      <w:r>
        <w:rPr>
          <w:lang w:val="es-ES"/>
        </w:rPr>
        <w:t>2025 del Consejo</w:t>
      </w:r>
      <w:r w:rsidRPr="00F3594D">
        <w:rPr>
          <w:lang w:val="es-ES"/>
        </w:rPr>
        <w:t xml:space="preserve">. </w:t>
      </w:r>
      <w:r>
        <w:rPr>
          <w:lang w:val="es-ES"/>
        </w:rPr>
        <w:t>Habida cuenta de la participación de</w:t>
      </w:r>
      <w:r w:rsidRPr="00F3594D">
        <w:rPr>
          <w:lang w:val="es-ES"/>
        </w:rPr>
        <w:t xml:space="preserve"> </w:t>
      </w:r>
      <w:r w:rsidR="00103D78">
        <w:rPr>
          <w:lang w:val="es-ES"/>
        </w:rPr>
        <w:t>la UIT</w:t>
      </w:r>
      <w:r w:rsidRPr="00F3594D">
        <w:rPr>
          <w:lang w:val="es-ES"/>
        </w:rPr>
        <w:t xml:space="preserve"> en el </w:t>
      </w:r>
      <w:r>
        <w:rPr>
          <w:lang w:val="es-ES"/>
        </w:rPr>
        <w:t>G</w:t>
      </w:r>
      <w:r w:rsidRPr="00F3594D">
        <w:rPr>
          <w:lang w:val="es-ES"/>
        </w:rPr>
        <w:t xml:space="preserve">rupo de </w:t>
      </w:r>
      <w:r w:rsidR="003177C9">
        <w:rPr>
          <w:lang w:val="es-ES"/>
        </w:rPr>
        <w:t>T</w:t>
      </w:r>
      <w:r w:rsidRPr="00F3594D">
        <w:rPr>
          <w:lang w:val="es-ES"/>
        </w:rPr>
        <w:t xml:space="preserve">rabajo de las </w:t>
      </w:r>
      <w:r w:rsidR="000E31A1">
        <w:rPr>
          <w:lang w:val="es-ES"/>
        </w:rPr>
        <w:t>Naciones Unidas</w:t>
      </w:r>
      <w:r w:rsidRPr="00F3594D">
        <w:rPr>
          <w:lang w:val="es-ES"/>
        </w:rPr>
        <w:t xml:space="preserve"> sobre el ASHI, </w:t>
      </w:r>
      <w:r>
        <w:rPr>
          <w:lang w:val="es-ES"/>
        </w:rPr>
        <w:t>que posee</w:t>
      </w:r>
      <w:r w:rsidRPr="00F3594D">
        <w:rPr>
          <w:lang w:val="es-ES"/>
        </w:rPr>
        <w:t xml:space="preserve"> una visión holística de las organizaciones del sistema de las </w:t>
      </w:r>
      <w:r w:rsidR="000E31A1">
        <w:rPr>
          <w:lang w:val="es-ES"/>
        </w:rPr>
        <w:t>Naciones Unidas</w:t>
      </w:r>
      <w:r w:rsidRPr="00F3594D">
        <w:rPr>
          <w:lang w:val="es-ES"/>
        </w:rPr>
        <w:t xml:space="preserve">, no </w:t>
      </w:r>
      <w:r>
        <w:rPr>
          <w:lang w:val="es-ES"/>
        </w:rPr>
        <w:t>existe la necesidad de</w:t>
      </w:r>
      <w:r w:rsidRPr="00F3594D">
        <w:rPr>
          <w:lang w:val="es-ES"/>
        </w:rPr>
        <w:t xml:space="preserve"> desarrollar un mecanismo interno para debatir las cuestiones relacionadas con el ASHI, como había sugerido un consejero.</w:t>
      </w:r>
    </w:p>
    <w:p w14:paraId="75D7B86F" w14:textId="343DB5C5" w:rsidR="00E1594D" w:rsidRPr="00E1594D" w:rsidRDefault="008F72E4" w:rsidP="00762EE4">
      <w:pPr>
        <w:rPr>
          <w:lang w:val="es-ES"/>
        </w:rPr>
      </w:pPr>
      <w:r w:rsidRPr="00F3594D">
        <w:rPr>
          <w:lang w:val="es-ES"/>
        </w:rPr>
        <w:t>14.6</w:t>
      </w:r>
      <w:r w:rsidRPr="00F3594D">
        <w:rPr>
          <w:lang w:val="es-ES"/>
        </w:rPr>
        <w:tab/>
      </w:r>
      <w:r>
        <w:rPr>
          <w:lang w:val="es-ES"/>
        </w:rPr>
        <w:t>A raíz de</w:t>
      </w:r>
      <w:r w:rsidRPr="00F3594D">
        <w:rPr>
          <w:lang w:val="es-ES"/>
        </w:rPr>
        <w:t xml:space="preserve"> una pregunta </w:t>
      </w:r>
      <w:r>
        <w:rPr>
          <w:lang w:val="es-ES"/>
        </w:rPr>
        <w:t>relativa al A</w:t>
      </w:r>
      <w:r w:rsidRPr="00F3594D">
        <w:rPr>
          <w:lang w:val="es-ES"/>
        </w:rPr>
        <w:t xml:space="preserve">rtículo 26 de los Estatutos de la Caja Común de Pensiones del Personal de las </w:t>
      </w:r>
      <w:r w:rsidR="000E31A1">
        <w:rPr>
          <w:lang w:val="es-ES"/>
        </w:rPr>
        <w:t>Naciones Unidas</w:t>
      </w:r>
      <w:r w:rsidRPr="00F3594D">
        <w:rPr>
          <w:lang w:val="es-ES"/>
        </w:rPr>
        <w:t xml:space="preserve"> (CCPPNU), </w:t>
      </w:r>
      <w:r>
        <w:rPr>
          <w:lang w:val="es-ES"/>
        </w:rPr>
        <w:t>en virtud del</w:t>
      </w:r>
      <w:r w:rsidRPr="00F3594D">
        <w:rPr>
          <w:lang w:val="es-ES"/>
        </w:rPr>
        <w:t xml:space="preserve"> cual cada organización afiliada </w:t>
      </w:r>
      <w:r>
        <w:rPr>
          <w:lang w:val="es-ES"/>
        </w:rPr>
        <w:t>abona</w:t>
      </w:r>
      <w:r w:rsidRPr="00F3594D">
        <w:rPr>
          <w:lang w:val="es-ES"/>
        </w:rPr>
        <w:t xml:space="preserve"> la </w:t>
      </w:r>
      <w:r>
        <w:rPr>
          <w:lang w:val="es-ES"/>
        </w:rPr>
        <w:t>cuantía</w:t>
      </w:r>
      <w:r w:rsidRPr="00F3594D">
        <w:rPr>
          <w:lang w:val="es-ES"/>
        </w:rPr>
        <w:t xml:space="preserve"> necesaria para compensar </w:t>
      </w:r>
      <w:r>
        <w:rPr>
          <w:lang w:val="es-ES"/>
        </w:rPr>
        <w:t xml:space="preserve">déficits </w:t>
      </w:r>
      <w:r w:rsidRPr="00F3594D">
        <w:rPr>
          <w:lang w:val="es-ES"/>
        </w:rPr>
        <w:t xml:space="preserve">si los activos de la Caja </w:t>
      </w:r>
      <w:r>
        <w:rPr>
          <w:lang w:val="es-ES"/>
        </w:rPr>
        <w:t>son</w:t>
      </w:r>
      <w:r w:rsidRPr="00F3594D">
        <w:rPr>
          <w:lang w:val="es-ES"/>
        </w:rPr>
        <w:t xml:space="preserve"> insuficientes para hacer frente a sus obligaciones, </w:t>
      </w:r>
      <w:r>
        <w:rPr>
          <w:lang w:val="es-ES"/>
        </w:rPr>
        <w:t>manifestó</w:t>
      </w:r>
      <w:r w:rsidRPr="00F3594D">
        <w:rPr>
          <w:lang w:val="es-ES"/>
        </w:rPr>
        <w:t xml:space="preserve"> que ninguna organización incluía esa obligación en sus informes financieros</w:t>
      </w:r>
      <w:r w:rsidR="00D17D49">
        <w:rPr>
          <w:lang w:val="es-ES"/>
        </w:rPr>
        <w:t xml:space="preserve"> anuales</w:t>
      </w:r>
      <w:r w:rsidRPr="00F3594D">
        <w:rPr>
          <w:lang w:val="es-ES"/>
        </w:rPr>
        <w:t>. La Caja se gestiona con independencia de l</w:t>
      </w:r>
      <w:r>
        <w:rPr>
          <w:lang w:val="es-ES"/>
        </w:rPr>
        <w:t>a</w:t>
      </w:r>
      <w:r w:rsidR="00D17D49">
        <w:rPr>
          <w:lang w:val="es-ES"/>
        </w:rPr>
        <w:t>s</w:t>
      </w:r>
      <w:r w:rsidRPr="00F3594D">
        <w:rPr>
          <w:lang w:val="es-ES"/>
        </w:rPr>
        <w:t xml:space="preserve"> </w:t>
      </w:r>
      <w:r>
        <w:rPr>
          <w:lang w:val="es-ES"/>
        </w:rPr>
        <w:t>organizaci</w:t>
      </w:r>
      <w:r w:rsidR="00D17D49">
        <w:rPr>
          <w:lang w:val="es-ES"/>
        </w:rPr>
        <w:t>ones. S</w:t>
      </w:r>
      <w:r w:rsidR="00551D76">
        <w:rPr>
          <w:lang w:val="es-ES"/>
        </w:rPr>
        <w:t>o</w:t>
      </w:r>
      <w:r w:rsidR="00D17D49">
        <w:rPr>
          <w:lang w:val="es-ES"/>
        </w:rPr>
        <w:t xml:space="preserve">lo el ASHI se registra en el estado financiero de cada organización de las </w:t>
      </w:r>
      <w:r w:rsidR="000E31A1">
        <w:rPr>
          <w:lang w:val="es-ES"/>
        </w:rPr>
        <w:t>Naciones Unidas</w:t>
      </w:r>
      <w:r w:rsidRPr="00F3594D">
        <w:rPr>
          <w:lang w:val="es-ES"/>
        </w:rPr>
        <w:t xml:space="preserve">. Por último, destacó que </w:t>
      </w:r>
      <w:r w:rsidR="00103D78">
        <w:rPr>
          <w:lang w:val="es-ES"/>
        </w:rPr>
        <w:t>la UIT</w:t>
      </w:r>
      <w:r w:rsidRPr="00F3594D">
        <w:rPr>
          <w:lang w:val="es-ES"/>
        </w:rPr>
        <w:t xml:space="preserve"> ha </w:t>
      </w:r>
      <w:r>
        <w:rPr>
          <w:lang w:val="es-ES"/>
        </w:rPr>
        <w:t>abonado</w:t>
      </w:r>
      <w:r w:rsidRPr="00F3594D">
        <w:rPr>
          <w:lang w:val="es-ES"/>
        </w:rPr>
        <w:t xml:space="preserve"> debidamente su contribución inicial a la UNSMIS y </w:t>
      </w:r>
      <w:r>
        <w:rPr>
          <w:lang w:val="es-ES"/>
        </w:rPr>
        <w:t xml:space="preserve">que </w:t>
      </w:r>
      <w:r w:rsidRPr="00F3594D">
        <w:rPr>
          <w:lang w:val="es-ES"/>
        </w:rPr>
        <w:t xml:space="preserve">desempeña un papel </w:t>
      </w:r>
      <w:r>
        <w:rPr>
          <w:lang w:val="es-ES"/>
        </w:rPr>
        <w:t>fundamental</w:t>
      </w:r>
      <w:r w:rsidRPr="00F3594D">
        <w:rPr>
          <w:lang w:val="es-ES"/>
        </w:rPr>
        <w:t xml:space="preserve"> en esa </w:t>
      </w:r>
      <w:r>
        <w:rPr>
          <w:lang w:val="es-ES"/>
        </w:rPr>
        <w:t>asociación</w:t>
      </w:r>
      <w:r w:rsidRPr="00F3594D">
        <w:rPr>
          <w:lang w:val="es-ES"/>
        </w:rPr>
        <w:t xml:space="preserve">, </w:t>
      </w:r>
      <w:r>
        <w:rPr>
          <w:lang w:val="es-ES"/>
        </w:rPr>
        <w:t>al tiempo que demuestra</w:t>
      </w:r>
      <w:r w:rsidRPr="00F3594D">
        <w:rPr>
          <w:lang w:val="es-ES"/>
        </w:rPr>
        <w:t xml:space="preserve"> su solidaridad con otras organizaciones.</w:t>
      </w:r>
    </w:p>
    <w:p w14:paraId="6EEC654E" w14:textId="629E1C40" w:rsidR="00ED2477" w:rsidRPr="001D759A" w:rsidRDefault="00ED2477" w:rsidP="008B73D9">
      <w:pPr>
        <w:spacing w:after="120"/>
        <w:rPr>
          <w:rFonts w:eastAsia="Calibri" w:cs="Calibri"/>
          <w:lang w:val="es-ES"/>
        </w:rPr>
      </w:pPr>
      <w:r w:rsidRPr="001D759A">
        <w:rPr>
          <w:rFonts w:eastAsia="Calibri" w:cs="Calibri"/>
          <w:szCs w:val="24"/>
          <w:lang w:val="es-ES"/>
        </w:rPr>
        <w:t>14.</w:t>
      </w:r>
      <w:r w:rsidR="00E1594D">
        <w:rPr>
          <w:rFonts w:eastAsia="Calibri" w:cs="Calibri"/>
          <w:szCs w:val="24"/>
          <w:lang w:val="es-ES"/>
        </w:rPr>
        <w:t>7</w:t>
      </w:r>
      <w:r w:rsidRPr="001D759A">
        <w:rPr>
          <w:rFonts w:eastAsia="Calibri" w:cs="Calibri"/>
          <w:szCs w:val="24"/>
          <w:lang w:val="es-ES"/>
        </w:rPr>
        <w:tab/>
      </w:r>
      <w:r w:rsidRPr="001D759A">
        <w:rPr>
          <w:lang w:val="es-ES"/>
        </w:rPr>
        <w:t xml:space="preserve">La Comisión </w:t>
      </w:r>
      <w:r w:rsidRPr="001D759A">
        <w:rPr>
          <w:b/>
          <w:bCs/>
          <w:lang w:val="es-ES"/>
        </w:rPr>
        <w:t>acordó</w:t>
      </w:r>
      <w:r w:rsidRPr="001D759A">
        <w:rPr>
          <w:lang w:val="es-ES"/>
        </w:rPr>
        <w:t xml:space="preserve"> llegar a la siguiente conclusión</w:t>
      </w:r>
      <w:r w:rsidRPr="001D759A">
        <w:rPr>
          <w:rFonts w:eastAsia="Calibri" w:cs="Calibri"/>
          <w:lang w:val="es-ES"/>
        </w:rPr>
        <w:t>:</w:t>
      </w:r>
    </w:p>
    <w:tbl>
      <w:tblPr>
        <w:tblStyle w:val="TableGrid"/>
        <w:tblW w:w="5000" w:type="pct"/>
        <w:tblInd w:w="-147" w:type="dxa"/>
        <w:tblLook w:val="04A0" w:firstRow="1" w:lastRow="0" w:firstColumn="1" w:lastColumn="0" w:noHBand="0" w:noVBand="1"/>
      </w:tblPr>
      <w:tblGrid>
        <w:gridCol w:w="9061"/>
      </w:tblGrid>
      <w:tr w:rsidR="00ED2477" w:rsidRPr="0057685D" w14:paraId="3B464D00" w14:textId="77777777" w:rsidTr="00950DAB">
        <w:tc>
          <w:tcPr>
            <w:tcW w:w="9061" w:type="dxa"/>
            <w:tcBorders>
              <w:top w:val="single" w:sz="4" w:space="0" w:color="auto"/>
              <w:left w:val="single" w:sz="4" w:space="0" w:color="auto"/>
              <w:bottom w:val="single" w:sz="4" w:space="0" w:color="auto"/>
              <w:right w:val="single" w:sz="4" w:space="0" w:color="auto"/>
            </w:tcBorders>
            <w:hideMark/>
          </w:tcPr>
          <w:p w14:paraId="7DF742D0" w14:textId="66AEBFEE" w:rsidR="00ED2477" w:rsidRPr="001D759A" w:rsidRDefault="00ED2477" w:rsidP="00460BD1">
            <w:pPr>
              <w:tabs>
                <w:tab w:val="clear" w:pos="567"/>
                <w:tab w:val="left" w:pos="605"/>
              </w:tabs>
              <w:spacing w:after="80"/>
              <w:ind w:left="40"/>
              <w:rPr>
                <w:lang w:val="es-ES"/>
              </w:rPr>
            </w:pPr>
            <w:r w:rsidRPr="001D759A">
              <w:rPr>
                <w:rFonts w:eastAsia="Calibri" w:cs="Calibri"/>
                <w:szCs w:val="24"/>
                <w:lang w:val="es-ES"/>
              </w:rPr>
              <w:t>14.</w:t>
            </w:r>
            <w:r w:rsidR="00E1594D">
              <w:rPr>
                <w:rFonts w:eastAsia="Calibri" w:cs="Calibri"/>
                <w:szCs w:val="24"/>
                <w:lang w:val="es-ES"/>
              </w:rPr>
              <w:t>8</w:t>
            </w:r>
            <w:r w:rsidRPr="001D759A">
              <w:rPr>
                <w:lang w:val="es-ES"/>
              </w:rPr>
              <w:tab/>
            </w:r>
            <w:r w:rsidRPr="001D759A">
              <w:rPr>
                <w:rFonts w:eastAsia="Calibri" w:cs="Calibri"/>
                <w:lang w:val="es-ES"/>
              </w:rPr>
              <w:t xml:space="preserve">La </w:t>
            </w:r>
            <w:r w:rsidRPr="001D759A">
              <w:rPr>
                <w:lang w:val="es-ES"/>
              </w:rPr>
              <w:t>Comisión</w:t>
            </w:r>
            <w:r w:rsidRPr="001D759A">
              <w:rPr>
                <w:rFonts w:eastAsia="Calibri" w:cs="Calibri"/>
                <w:lang w:val="es-ES"/>
              </w:rPr>
              <w:t xml:space="preserve"> recomienda </w:t>
            </w:r>
            <w:r w:rsidR="00FB7200" w:rsidRPr="001D759A">
              <w:rPr>
                <w:rFonts w:eastAsia="Calibri" w:cs="Calibri"/>
                <w:lang w:val="es-ES"/>
              </w:rPr>
              <w:t>a</w:t>
            </w:r>
            <w:r w:rsidRPr="001D759A">
              <w:rPr>
                <w:rFonts w:eastAsia="Calibri" w:cs="Calibri"/>
                <w:lang w:val="es-ES"/>
              </w:rPr>
              <w:t>l Consejo</w:t>
            </w:r>
            <w:r w:rsidR="00FB7200" w:rsidRPr="001D759A">
              <w:rPr>
                <w:rFonts w:eastAsia="Calibri" w:cs="Calibri"/>
                <w:lang w:val="es-ES"/>
              </w:rPr>
              <w:t xml:space="preserve"> que</w:t>
            </w:r>
            <w:r w:rsidRPr="001D759A">
              <w:rPr>
                <w:rFonts w:eastAsia="Calibri" w:cs="Calibri"/>
                <w:szCs w:val="24"/>
                <w:lang w:val="es-ES"/>
              </w:rPr>
              <w:t>:</w:t>
            </w:r>
          </w:p>
          <w:p w14:paraId="33D90EA8" w14:textId="5EBDAB6B" w:rsidR="00ED2477" w:rsidRDefault="00ED2477" w:rsidP="000126B6">
            <w:pPr>
              <w:pStyle w:val="enumlev1"/>
              <w:tabs>
                <w:tab w:val="clear" w:pos="567"/>
              </w:tabs>
              <w:spacing w:after="120"/>
              <w:ind w:left="605"/>
              <w:rPr>
                <w:lang w:val="es-ES"/>
              </w:rPr>
            </w:pPr>
            <w:r w:rsidRPr="001D759A">
              <w:rPr>
                <w:lang w:val="es-ES"/>
              </w:rPr>
              <w:t>•</w:t>
            </w:r>
            <w:r w:rsidRPr="001D759A">
              <w:rPr>
                <w:lang w:val="es-ES"/>
              </w:rPr>
              <w:tab/>
            </w:r>
            <w:r w:rsidR="00E1594D">
              <w:rPr>
                <w:lang w:val="es-ES"/>
              </w:rPr>
              <w:t xml:space="preserve">adopte el proyecto de Acuerdo que figura en el </w:t>
            </w:r>
            <w:hyperlink w:anchor="ANEXO_C" w:history="1">
              <w:r w:rsidR="00E1594D" w:rsidRPr="006C46B3">
                <w:rPr>
                  <w:rStyle w:val="Hyperlink"/>
                  <w:b/>
                  <w:bCs/>
                  <w:lang w:val="es-ES"/>
                </w:rPr>
                <w:t xml:space="preserve">Anexo </w:t>
              </w:r>
              <w:r w:rsidR="006E33AE" w:rsidRPr="006C46B3">
                <w:rPr>
                  <w:rStyle w:val="Hyperlink"/>
                  <w:b/>
                  <w:bCs/>
                  <w:lang w:val="es-ES"/>
                </w:rPr>
                <w:t>C</w:t>
              </w:r>
            </w:hyperlink>
            <w:r w:rsidR="00E1594D">
              <w:rPr>
                <w:lang w:val="es-ES"/>
              </w:rPr>
              <w:t xml:space="preserve"> al presente informe</w:t>
            </w:r>
            <w:r w:rsidR="004843BB">
              <w:rPr>
                <w:lang w:val="es-ES"/>
              </w:rPr>
              <w:t>; y</w:t>
            </w:r>
          </w:p>
          <w:p w14:paraId="11CB31E8" w14:textId="20DBC574" w:rsidR="004843BB" w:rsidRPr="001D759A" w:rsidRDefault="00036C7E" w:rsidP="00036C7E">
            <w:pPr>
              <w:pStyle w:val="enumlev1"/>
              <w:tabs>
                <w:tab w:val="clear" w:pos="567"/>
              </w:tabs>
              <w:spacing w:after="120"/>
              <w:ind w:left="605"/>
              <w:rPr>
                <w:lang w:val="es-ES"/>
              </w:rPr>
            </w:pPr>
            <w:r w:rsidRPr="001D759A">
              <w:rPr>
                <w:lang w:val="es-ES"/>
              </w:rPr>
              <w:t>•</w:t>
            </w:r>
            <w:r w:rsidRPr="001D759A">
              <w:rPr>
                <w:lang w:val="es-ES"/>
              </w:rPr>
              <w:tab/>
            </w:r>
            <w:r>
              <w:rPr>
                <w:lang w:val="es-ES"/>
              </w:rPr>
              <w:t>e</w:t>
            </w:r>
            <w:r w:rsidR="004843BB">
              <w:rPr>
                <w:lang w:val="es-ES"/>
              </w:rPr>
              <w:t>ncargue a la Secretaría que presente un informe actualizado sobre la situación del pasivo del ASHI, incluida la aplicación de las recomendaciones conexas del Auditor Externo, para sustentar el debate sobre el Plan Financiero para el periodo 2028</w:t>
            </w:r>
            <w:r>
              <w:rPr>
                <w:lang w:val="es-ES"/>
              </w:rPr>
              <w:noBreakHyphen/>
            </w:r>
            <w:r w:rsidR="004843BB">
              <w:rPr>
                <w:lang w:val="es-ES"/>
              </w:rPr>
              <w:t>2031 en la Conferencia de Plenipotenciarios (Doha, 2026).</w:t>
            </w:r>
          </w:p>
        </w:tc>
      </w:tr>
    </w:tbl>
    <w:p w14:paraId="1304C9ED" w14:textId="77777777" w:rsidR="00ED2477" w:rsidRPr="001D759A" w:rsidRDefault="00ED2477" w:rsidP="00ED2477">
      <w:pPr>
        <w:pStyle w:val="Heading1"/>
        <w:rPr>
          <w:lang w:val="es-ES"/>
        </w:rPr>
      </w:pPr>
      <w:r w:rsidRPr="001D759A">
        <w:rPr>
          <w:lang w:val="es-ES"/>
        </w:rPr>
        <w:t>15</w:t>
      </w:r>
      <w:r w:rsidRPr="001D759A">
        <w:rPr>
          <w:lang w:val="es-ES"/>
        </w:rPr>
        <w:tab/>
        <w:t xml:space="preserve">Nuevas solicitudes de exoneración del pago de la cuota de organizaciones internacionales (Documento </w:t>
      </w:r>
      <w:hyperlink r:id="rId51" w:history="1">
        <w:r w:rsidRPr="001D759A">
          <w:rPr>
            <w:rStyle w:val="Hyperlink"/>
            <w:bCs/>
            <w:lang w:val="es-ES"/>
          </w:rPr>
          <w:t>C26/</w:t>
        </w:r>
        <w:r w:rsidRPr="001D759A">
          <w:rPr>
            <w:rStyle w:val="Hyperlink"/>
            <w:lang w:val="es-ES"/>
          </w:rPr>
          <w:t>56</w:t>
        </w:r>
      </w:hyperlink>
      <w:r w:rsidRPr="001D759A">
        <w:rPr>
          <w:lang w:val="es-ES"/>
        </w:rPr>
        <w:t>)</w:t>
      </w:r>
    </w:p>
    <w:p w14:paraId="39C3432B" w14:textId="5BDE283E" w:rsidR="00ED2477" w:rsidRPr="001D759A" w:rsidRDefault="00ED2477" w:rsidP="007D3544">
      <w:pPr>
        <w:rPr>
          <w:rFonts w:eastAsia="Calibri" w:cs="Calibri"/>
          <w:lang w:val="es-ES"/>
        </w:rPr>
      </w:pPr>
      <w:r w:rsidRPr="001D759A">
        <w:rPr>
          <w:rFonts w:eastAsia="Calibri" w:cs="Calibri"/>
          <w:szCs w:val="24"/>
          <w:lang w:val="es-ES"/>
        </w:rPr>
        <w:t>15.1</w:t>
      </w:r>
      <w:r w:rsidRPr="001D759A">
        <w:rPr>
          <w:lang w:val="es-ES"/>
        </w:rPr>
        <w:tab/>
        <w:t>Un representante de la Secretaría General presentó el Documento C26/56, en el que se establecen cinco nuevas solicitudes de exoneración del pago de las cuotas de afiliación a los Sectores presentadas por diversas entidades, así como las recomendaciones de la Secretaria General al respecto, con arreglo a los criterios aplicables y al procedimiento establecido por el Consejo.</w:t>
      </w:r>
    </w:p>
    <w:p w14:paraId="12F499B2" w14:textId="7BE5214E" w:rsidR="00ED2477" w:rsidRPr="001D759A" w:rsidRDefault="00ED2477" w:rsidP="007D3544">
      <w:pPr>
        <w:rPr>
          <w:rFonts w:eastAsia="Calibri" w:cs="Calibri"/>
          <w:lang w:val="es-ES"/>
        </w:rPr>
      </w:pPr>
      <w:r w:rsidRPr="001D759A">
        <w:rPr>
          <w:lang w:val="es-ES"/>
        </w:rPr>
        <w:t>15.2</w:t>
      </w:r>
      <w:r w:rsidRPr="001D759A">
        <w:rPr>
          <w:lang w:val="es-ES"/>
        </w:rPr>
        <w:tab/>
        <w:t xml:space="preserve">El consejero de India acogió con beneplácito la recomendación de conceder una exención de pago de la cuota a la Iniciativa del Golfo de Bengala para la Cooperación Técnica y Económica Multisectorial </w:t>
      </w:r>
      <w:r w:rsidR="004D28AD">
        <w:rPr>
          <w:lang w:val="es-ES"/>
        </w:rPr>
        <w:t>"</w:t>
      </w:r>
      <w:r w:rsidRPr="001D759A">
        <w:rPr>
          <w:lang w:val="es-ES"/>
        </w:rPr>
        <w:t xml:space="preserve">Bay of Bengal </w:t>
      </w:r>
      <w:proofErr w:type="spellStart"/>
      <w:r w:rsidRPr="001D759A">
        <w:rPr>
          <w:lang w:val="es-ES"/>
        </w:rPr>
        <w:t>Initiative</w:t>
      </w:r>
      <w:proofErr w:type="spellEnd"/>
      <w:r w:rsidRPr="001D759A">
        <w:rPr>
          <w:lang w:val="es-ES"/>
        </w:rPr>
        <w:t xml:space="preserve"> for Multi-</w:t>
      </w:r>
      <w:proofErr w:type="spellStart"/>
      <w:r w:rsidRPr="001D759A">
        <w:rPr>
          <w:lang w:val="es-ES"/>
        </w:rPr>
        <w:t>Sectoral</w:t>
      </w:r>
      <w:proofErr w:type="spellEnd"/>
      <w:r w:rsidRPr="001D759A">
        <w:rPr>
          <w:lang w:val="es-ES"/>
        </w:rPr>
        <w:t xml:space="preserve"> </w:t>
      </w:r>
      <w:proofErr w:type="spellStart"/>
      <w:r w:rsidRPr="001D759A">
        <w:rPr>
          <w:lang w:val="es-ES"/>
        </w:rPr>
        <w:t>Technical</w:t>
      </w:r>
      <w:proofErr w:type="spellEnd"/>
      <w:r w:rsidRPr="001D759A">
        <w:rPr>
          <w:lang w:val="es-ES"/>
        </w:rPr>
        <w:t xml:space="preserve"> and </w:t>
      </w:r>
      <w:proofErr w:type="spellStart"/>
      <w:r w:rsidRPr="001D759A">
        <w:rPr>
          <w:lang w:val="es-ES"/>
        </w:rPr>
        <w:t>Economic</w:t>
      </w:r>
      <w:proofErr w:type="spellEnd"/>
      <w:r w:rsidRPr="001D759A">
        <w:rPr>
          <w:lang w:val="es-ES"/>
        </w:rPr>
        <w:t xml:space="preserve"> Cooperation</w:t>
      </w:r>
      <w:r w:rsidR="004D28AD">
        <w:rPr>
          <w:lang w:val="es-ES"/>
        </w:rPr>
        <w:t>"</w:t>
      </w:r>
      <w:r w:rsidR="00103D78">
        <w:rPr>
          <w:lang w:val="es-ES"/>
        </w:rPr>
        <w:t xml:space="preserve"> (</w:t>
      </w:r>
      <w:r w:rsidRPr="001D759A">
        <w:rPr>
          <w:lang w:val="es-ES"/>
        </w:rPr>
        <w:t>BIMSTEC).</w:t>
      </w:r>
    </w:p>
    <w:p w14:paraId="4CB909AB" w14:textId="23E4EEEE" w:rsidR="00ED2477" w:rsidRPr="001D759A" w:rsidRDefault="00ED2477" w:rsidP="007D3544">
      <w:pPr>
        <w:rPr>
          <w:rFonts w:eastAsia="Calibri" w:cs="Calibri"/>
          <w:lang w:val="es-ES"/>
        </w:rPr>
      </w:pPr>
      <w:r w:rsidRPr="001D759A">
        <w:rPr>
          <w:lang w:val="es-ES"/>
        </w:rPr>
        <w:lastRenderedPageBreak/>
        <w:t>15.3</w:t>
      </w:r>
      <w:r w:rsidRPr="001D759A">
        <w:rPr>
          <w:lang w:val="es-ES"/>
        </w:rPr>
        <w:tab/>
        <w:t xml:space="preserve">Varios consejeros opinaron que los criterios vigentes para la exoneración de pago de cuotas no definían con claridad algunos conceptos clave, por lo que su aplicación resultaba subjetiva e incoherente. Prácticamente todos los criterios eran de carácter cualitativo y carecían de indicadores mensurables, requisitos de transparencia, mecanismos de ejecución o un sistema de supervisión o revisión periódica. Seguía siendo fundamental mantener la coherencia, la transparencia y la equidad en la aplicación del marco existente, en particular a la luz del creciente número de entidades exoneradas y de las consiguientes repercusiones financieras. Un consejero propuso realizar un examen independiente de las entidades exoneradas. Se instó a la Secretaría a proporcionar orientaciones sobre formas de colaboración alternativas entre </w:t>
      </w:r>
      <w:r w:rsidR="00103D78">
        <w:rPr>
          <w:lang w:val="es-ES"/>
        </w:rPr>
        <w:t>la UIT</w:t>
      </w:r>
      <w:r w:rsidRPr="001D759A">
        <w:rPr>
          <w:lang w:val="es-ES"/>
        </w:rPr>
        <w:t xml:space="preserve"> y las organizaciones que no cumplían los criterios de exención, en particular las organizaciones del ámbito del desarrollo como </w:t>
      </w:r>
      <w:proofErr w:type="spellStart"/>
      <w:r w:rsidRPr="001D759A">
        <w:rPr>
          <w:lang w:val="es-ES"/>
        </w:rPr>
        <w:t>Digihub</w:t>
      </w:r>
      <w:proofErr w:type="spellEnd"/>
      <w:r w:rsidRPr="001D759A">
        <w:rPr>
          <w:lang w:val="es-ES"/>
        </w:rPr>
        <w:t xml:space="preserve"> Africa.</w:t>
      </w:r>
    </w:p>
    <w:p w14:paraId="71B4D450" w14:textId="77777777" w:rsidR="00ED2477" w:rsidRPr="001D759A" w:rsidRDefault="00ED2477" w:rsidP="007D3544">
      <w:pPr>
        <w:rPr>
          <w:rFonts w:eastAsia="Calibri" w:cs="Calibri"/>
          <w:lang w:val="es-ES"/>
        </w:rPr>
      </w:pPr>
      <w:r w:rsidRPr="001D759A">
        <w:rPr>
          <w:lang w:val="es-ES"/>
        </w:rPr>
        <w:t>15.4</w:t>
      </w:r>
      <w:r w:rsidRPr="001D759A">
        <w:rPr>
          <w:lang w:val="es-ES"/>
        </w:rPr>
        <w:tab/>
        <w:t>En respuesta a una pregunta de los consejeros sobre los criterios de exención y la reciprocidad, la representante de la Secretaría General afirmó que las solicitudes de exención se analizaban internamente, y que las recomendaciones de la Secretaria General para el Consejo se basaban en ese análisis y en el asesoramiento del Director de la Oficina correspondiente. También se consultaba con los Sectores y las Oficinas Regionales.</w:t>
      </w:r>
    </w:p>
    <w:p w14:paraId="4141F02E" w14:textId="1F28CAA9" w:rsidR="00ED2477" w:rsidRPr="001D759A" w:rsidRDefault="00ED2477" w:rsidP="007D3544">
      <w:pPr>
        <w:rPr>
          <w:rFonts w:eastAsia="Calibri" w:cs="Calibri"/>
          <w:lang w:val="es-ES"/>
        </w:rPr>
      </w:pPr>
      <w:r w:rsidRPr="001D759A">
        <w:rPr>
          <w:lang w:val="es-ES"/>
        </w:rPr>
        <w:t>15.5</w:t>
      </w:r>
      <w:r w:rsidRPr="001D759A">
        <w:rPr>
          <w:lang w:val="es-ES"/>
        </w:rPr>
        <w:tab/>
        <w:t xml:space="preserve">La oradora recordó que ya se habían revisado los criterios de exención. El Consejo había permitido que las organizaciones que habían quedado exoneradas del pago antes de que se aprobaran los criterios revisados en la reunión de 2017 del Consejo continuaran exentas. Se podría proporcionar información adicional sobre las 145 organizaciones exentas y el valor financiero que representan. La lista de entidades que solicitan oficialmente la exoneración para el periodo 2028-2031 se presentaría al Consejo antes de la Conferencia de Plenipotenciarios (Doha, 2026) (PP-26), cuando se revisaría la lista y se decidiría qué entidades estarían exentas. Se ofrecieron alternativas para la participación en las actividades de </w:t>
      </w:r>
      <w:r w:rsidR="00103D78">
        <w:rPr>
          <w:lang w:val="es-ES"/>
        </w:rPr>
        <w:t>la UIT</w:t>
      </w:r>
      <w:r w:rsidRPr="001D759A">
        <w:rPr>
          <w:lang w:val="es-ES"/>
        </w:rPr>
        <w:t>, así como la afiliación pagada, a las organizaciones a las que no se h</w:t>
      </w:r>
      <w:r w:rsidR="003177C9">
        <w:rPr>
          <w:lang w:val="es-ES"/>
        </w:rPr>
        <w:t>ubiera</w:t>
      </w:r>
      <w:r w:rsidRPr="001D759A">
        <w:rPr>
          <w:lang w:val="es-ES"/>
        </w:rPr>
        <w:t xml:space="preserve"> concedido la exención.</w:t>
      </w:r>
    </w:p>
    <w:p w14:paraId="19A7FCF0" w14:textId="497616D9" w:rsidR="00ED2477" w:rsidRPr="001D759A" w:rsidRDefault="00ED2477" w:rsidP="007D3544">
      <w:pPr>
        <w:rPr>
          <w:rFonts w:eastAsia="Calibri" w:cs="Calibri"/>
          <w:szCs w:val="24"/>
          <w:lang w:val="es-ES"/>
        </w:rPr>
      </w:pPr>
      <w:r w:rsidRPr="001D759A">
        <w:rPr>
          <w:lang w:val="es-ES"/>
        </w:rPr>
        <w:t>15.6</w:t>
      </w:r>
      <w:r w:rsidRPr="001D759A">
        <w:rPr>
          <w:lang w:val="es-ES"/>
        </w:rPr>
        <w:tab/>
        <w:t xml:space="preserve">En lo que respecta a la reciprocidad, la representante afirmó que los principales beneficios de colaborar con </w:t>
      </w:r>
      <w:r w:rsidR="00103D78">
        <w:rPr>
          <w:lang w:val="es-ES"/>
        </w:rPr>
        <w:t>la UIT</w:t>
      </w:r>
      <w:r w:rsidRPr="001D759A">
        <w:rPr>
          <w:lang w:val="es-ES"/>
        </w:rPr>
        <w:t xml:space="preserve"> como Miembros de Sector eran la participación en las Comisiones de Estudio y el acceso a la documentación, y que </w:t>
      </w:r>
      <w:r w:rsidR="00103D78">
        <w:rPr>
          <w:lang w:val="es-ES"/>
        </w:rPr>
        <w:t>la UIT</w:t>
      </w:r>
      <w:r w:rsidRPr="001D759A">
        <w:rPr>
          <w:lang w:val="es-ES"/>
        </w:rPr>
        <w:t xml:space="preserve"> esperaba disfrutar de </w:t>
      </w:r>
      <w:r w:rsidR="00262D32" w:rsidRPr="001D759A">
        <w:rPr>
          <w:lang w:val="es-ES"/>
        </w:rPr>
        <w:t xml:space="preserve">un nivel similar de </w:t>
      </w:r>
      <w:r w:rsidRPr="001D759A">
        <w:rPr>
          <w:lang w:val="es-ES"/>
        </w:rPr>
        <w:t xml:space="preserve">beneficios </w:t>
      </w:r>
      <w:r w:rsidR="00262D32" w:rsidRPr="001D759A">
        <w:rPr>
          <w:lang w:val="es-ES"/>
        </w:rPr>
        <w:t>de</w:t>
      </w:r>
      <w:r w:rsidR="0035328A" w:rsidRPr="001D759A">
        <w:rPr>
          <w:lang w:val="es-ES"/>
        </w:rPr>
        <w:t xml:space="preserve"> </w:t>
      </w:r>
      <w:r w:rsidRPr="001D759A">
        <w:rPr>
          <w:lang w:val="es-ES"/>
        </w:rPr>
        <w:t>las organizaciones exentas.</w:t>
      </w:r>
    </w:p>
    <w:p w14:paraId="5C9F5010" w14:textId="74BAB966" w:rsidR="00ED2477" w:rsidRPr="001D759A" w:rsidRDefault="00ED2477" w:rsidP="005A3B14">
      <w:pPr>
        <w:keepNext/>
        <w:keepLines/>
        <w:spacing w:after="120"/>
        <w:rPr>
          <w:rFonts w:eastAsia="Calibri" w:cs="Calibri"/>
          <w:szCs w:val="24"/>
          <w:lang w:val="es-ES"/>
        </w:rPr>
      </w:pPr>
      <w:r w:rsidRPr="001D759A">
        <w:rPr>
          <w:rFonts w:eastAsia="Calibri" w:cs="Calibri"/>
          <w:szCs w:val="24"/>
          <w:lang w:val="es-ES"/>
        </w:rPr>
        <w:lastRenderedPageBreak/>
        <w:t>15.7</w:t>
      </w:r>
      <w:r w:rsidRPr="001D759A">
        <w:rPr>
          <w:rFonts w:eastAsia="Calibri" w:cs="Calibri"/>
          <w:szCs w:val="24"/>
          <w:lang w:val="es-ES"/>
        </w:rPr>
        <w:tab/>
      </w:r>
      <w:r w:rsidRPr="001D759A">
        <w:rPr>
          <w:lang w:val="es-ES"/>
        </w:rPr>
        <w:t xml:space="preserve">La Comisión </w:t>
      </w:r>
      <w:r w:rsidRPr="001D759A">
        <w:rPr>
          <w:b/>
          <w:bCs/>
          <w:lang w:val="es-ES"/>
        </w:rPr>
        <w:t>acordó</w:t>
      </w:r>
      <w:r w:rsidRPr="001D759A">
        <w:rPr>
          <w:lang w:val="es-ES"/>
        </w:rPr>
        <w:t xml:space="preserve"> llegar a la siguiente conclusión</w:t>
      </w:r>
      <w:r w:rsidRPr="001D759A">
        <w:rPr>
          <w:rFonts w:eastAsia="Calibri" w:cs="Calibri"/>
          <w:szCs w:val="24"/>
          <w:lang w:val="es-ES"/>
        </w:rPr>
        <w:t>:</w:t>
      </w:r>
    </w:p>
    <w:tbl>
      <w:tblPr>
        <w:tblStyle w:val="TableGrid"/>
        <w:tblW w:w="5000" w:type="pct"/>
        <w:tblInd w:w="-147" w:type="dxa"/>
        <w:tblLook w:val="04A0" w:firstRow="1" w:lastRow="0" w:firstColumn="1" w:lastColumn="0" w:noHBand="0" w:noVBand="1"/>
      </w:tblPr>
      <w:tblGrid>
        <w:gridCol w:w="9061"/>
      </w:tblGrid>
      <w:tr w:rsidR="00ED2477" w:rsidRPr="0057685D" w14:paraId="6C2A51A8" w14:textId="77777777" w:rsidTr="00950DAB">
        <w:tc>
          <w:tcPr>
            <w:tcW w:w="9061" w:type="dxa"/>
            <w:tcBorders>
              <w:top w:val="single" w:sz="4" w:space="0" w:color="auto"/>
              <w:left w:val="single" w:sz="4" w:space="0" w:color="auto"/>
              <w:bottom w:val="single" w:sz="4" w:space="0" w:color="auto"/>
              <w:right w:val="single" w:sz="4" w:space="0" w:color="auto"/>
            </w:tcBorders>
            <w:hideMark/>
          </w:tcPr>
          <w:p w14:paraId="66CF5D96" w14:textId="416BFE33" w:rsidR="00ED2477" w:rsidRPr="001D759A" w:rsidRDefault="00ED2477" w:rsidP="005A3B14">
            <w:pPr>
              <w:keepNext/>
              <w:keepLines/>
              <w:tabs>
                <w:tab w:val="clear" w:pos="567"/>
                <w:tab w:val="left" w:pos="605"/>
              </w:tabs>
              <w:spacing w:after="80"/>
              <w:ind w:left="40"/>
              <w:rPr>
                <w:lang w:val="es-ES"/>
              </w:rPr>
            </w:pPr>
            <w:r w:rsidRPr="001D759A">
              <w:rPr>
                <w:rFonts w:eastAsia="Calibri" w:cs="Calibri"/>
                <w:szCs w:val="24"/>
                <w:lang w:val="es-ES"/>
              </w:rPr>
              <w:t>15.8</w:t>
            </w:r>
            <w:r w:rsidRPr="001D759A">
              <w:rPr>
                <w:lang w:val="es-ES"/>
              </w:rPr>
              <w:tab/>
            </w:r>
            <w:r w:rsidRPr="001D759A">
              <w:rPr>
                <w:rFonts w:eastAsia="Calibri" w:cs="Calibri"/>
                <w:lang w:val="es-ES"/>
              </w:rPr>
              <w:t xml:space="preserve">La Comisión recomienda </w:t>
            </w:r>
            <w:r w:rsidR="00FB7200" w:rsidRPr="001D759A">
              <w:rPr>
                <w:rFonts w:eastAsia="Calibri" w:cs="Calibri"/>
                <w:lang w:val="es-ES"/>
              </w:rPr>
              <w:t>a</w:t>
            </w:r>
            <w:r w:rsidRPr="001D759A">
              <w:rPr>
                <w:rFonts w:eastAsia="Calibri" w:cs="Calibri"/>
                <w:lang w:val="es-ES"/>
              </w:rPr>
              <w:t>l Consejo</w:t>
            </w:r>
            <w:r w:rsidR="00FB7200" w:rsidRPr="001D759A">
              <w:rPr>
                <w:rFonts w:eastAsia="Calibri" w:cs="Calibri"/>
                <w:lang w:val="es-ES"/>
              </w:rPr>
              <w:t xml:space="preserve"> que</w:t>
            </w:r>
            <w:r w:rsidRPr="001D759A">
              <w:rPr>
                <w:lang w:val="es-ES"/>
              </w:rPr>
              <w:t>:</w:t>
            </w:r>
          </w:p>
          <w:p w14:paraId="2A00F540" w14:textId="605B0CFD" w:rsidR="00ED2477" w:rsidRDefault="00ED2477" w:rsidP="005A3B14">
            <w:pPr>
              <w:pStyle w:val="enumlev1"/>
              <w:keepNext/>
              <w:keepLines/>
              <w:tabs>
                <w:tab w:val="clear" w:pos="567"/>
              </w:tabs>
              <w:spacing w:after="120"/>
              <w:ind w:left="605"/>
              <w:rPr>
                <w:lang w:val="es-ES"/>
              </w:rPr>
            </w:pPr>
            <w:r w:rsidRPr="001D759A">
              <w:rPr>
                <w:lang w:val="es-ES"/>
              </w:rPr>
              <w:t>•</w:t>
            </w:r>
            <w:r w:rsidRPr="001D759A">
              <w:rPr>
                <w:lang w:val="es-ES"/>
              </w:rPr>
              <w:tab/>
            </w:r>
            <w:r w:rsidR="00CB71B7">
              <w:rPr>
                <w:lang w:val="es-ES"/>
              </w:rPr>
              <w:t>refrend</w:t>
            </w:r>
            <w:r w:rsidR="004E129D">
              <w:rPr>
                <w:lang w:val="es-ES"/>
              </w:rPr>
              <w:t>e</w:t>
            </w:r>
            <w:r w:rsidRPr="001D759A">
              <w:rPr>
                <w:lang w:val="es-ES"/>
              </w:rPr>
              <w:t xml:space="preserve"> las recomendaciones de la Secretaria General sobre las solicitudes de exoneración del pago de las cuotas de Miembros de Sector que figuran en el Documento </w:t>
            </w:r>
            <w:hyperlink r:id="rId52" w:history="1">
              <w:r w:rsidRPr="001D759A">
                <w:rPr>
                  <w:rStyle w:val="Hyperlink"/>
                  <w:lang w:val="es-ES"/>
                </w:rPr>
                <w:t>C26/56</w:t>
              </w:r>
            </w:hyperlink>
            <w:r w:rsidR="004843BB">
              <w:rPr>
                <w:lang w:val="es-ES"/>
              </w:rPr>
              <w:t>; y</w:t>
            </w:r>
          </w:p>
          <w:p w14:paraId="3C463349" w14:textId="45A54956" w:rsidR="004843BB" w:rsidRPr="001D759A" w:rsidRDefault="00036C7E" w:rsidP="00036C7E">
            <w:pPr>
              <w:pStyle w:val="enumlev1"/>
              <w:keepNext/>
              <w:keepLines/>
              <w:tabs>
                <w:tab w:val="clear" w:pos="567"/>
              </w:tabs>
              <w:spacing w:after="120"/>
              <w:ind w:left="605"/>
              <w:rPr>
                <w:lang w:val="es-ES"/>
              </w:rPr>
            </w:pPr>
            <w:r w:rsidRPr="001D759A">
              <w:rPr>
                <w:lang w:val="es-ES"/>
              </w:rPr>
              <w:t>•</w:t>
            </w:r>
            <w:r w:rsidRPr="001D759A">
              <w:rPr>
                <w:lang w:val="es-ES"/>
              </w:rPr>
              <w:tab/>
            </w:r>
            <w:r>
              <w:rPr>
                <w:lang w:val="es-ES"/>
              </w:rPr>
              <w:t>e</w:t>
            </w:r>
            <w:r w:rsidR="004843BB">
              <w:rPr>
                <w:lang w:val="es-ES"/>
              </w:rPr>
              <w:t>ncargue a la Secretaría que facilite aclaraciones sobre los criterios aplicables y los procedimi</w:t>
            </w:r>
            <w:r w:rsidR="00CB52C4">
              <w:rPr>
                <w:lang w:val="es-ES"/>
              </w:rPr>
              <w:t>e</w:t>
            </w:r>
            <w:r w:rsidR="004843BB">
              <w:rPr>
                <w:lang w:val="es-ES"/>
              </w:rPr>
              <w:t>ntos definidos por el Consejo, en concreto, sobre las condicion</w:t>
            </w:r>
            <w:r w:rsidR="00CB52C4">
              <w:rPr>
                <w:lang w:val="es-ES"/>
              </w:rPr>
              <w:t>e</w:t>
            </w:r>
            <w:r w:rsidR="004843BB">
              <w:rPr>
                <w:lang w:val="es-ES"/>
              </w:rPr>
              <w:t xml:space="preserve">s que ha de cumplir el solicitante para que </w:t>
            </w:r>
            <w:r w:rsidR="005457EE">
              <w:rPr>
                <w:lang w:val="es-ES"/>
              </w:rPr>
              <w:t>la Unión</w:t>
            </w:r>
            <w:r w:rsidR="00CB52C4">
              <w:rPr>
                <w:lang w:val="es-ES"/>
              </w:rPr>
              <w:t xml:space="preserve"> exima del pago a las organizaciones cuyos miembros son entidades </w:t>
            </w:r>
            <w:r w:rsidR="00304AF1">
              <w:rPr>
                <w:lang w:val="es-ES"/>
              </w:rPr>
              <w:t>s</w:t>
            </w:r>
            <w:r w:rsidR="00CB52C4">
              <w:rPr>
                <w:lang w:val="es-ES"/>
              </w:rPr>
              <w:t>in fines lucrativos.</w:t>
            </w:r>
          </w:p>
        </w:tc>
      </w:tr>
    </w:tbl>
    <w:p w14:paraId="2E8B8794" w14:textId="7E2051EB" w:rsidR="00ED2477" w:rsidRPr="001D759A" w:rsidRDefault="00ED2477" w:rsidP="00ED2477">
      <w:pPr>
        <w:pStyle w:val="Heading1"/>
        <w:rPr>
          <w:szCs w:val="22"/>
          <w:lang w:val="es-ES"/>
        </w:rPr>
      </w:pPr>
      <w:r w:rsidRPr="001D759A">
        <w:rPr>
          <w:lang w:val="es-ES"/>
        </w:rPr>
        <w:t>16</w:t>
      </w:r>
      <w:r w:rsidRPr="001D759A">
        <w:rPr>
          <w:lang w:val="es-ES"/>
        </w:rPr>
        <w:tab/>
        <w:t xml:space="preserve">Participación provisional en las actividades de </w:t>
      </w:r>
      <w:r w:rsidR="00103D78">
        <w:rPr>
          <w:lang w:val="es-ES"/>
        </w:rPr>
        <w:t>la UIT</w:t>
      </w:r>
      <w:r w:rsidRPr="001D759A">
        <w:rPr>
          <w:lang w:val="es-ES"/>
        </w:rPr>
        <w:t xml:space="preserve"> de entidades que se ocupan de cuestiones de telecomunicaciones (Documento </w:t>
      </w:r>
      <w:hyperlink r:id="rId53" w:history="1">
        <w:r w:rsidRPr="001D759A">
          <w:rPr>
            <w:rStyle w:val="Hyperlink"/>
            <w:bCs/>
            <w:lang w:val="es-ES"/>
          </w:rPr>
          <w:t>C26/</w:t>
        </w:r>
        <w:r w:rsidRPr="001D759A">
          <w:rPr>
            <w:rStyle w:val="Hyperlink"/>
            <w:lang w:val="es-ES"/>
          </w:rPr>
          <w:t>20</w:t>
        </w:r>
      </w:hyperlink>
      <w:r w:rsidRPr="001D759A">
        <w:rPr>
          <w:lang w:val="es-ES"/>
        </w:rPr>
        <w:t>)</w:t>
      </w:r>
    </w:p>
    <w:p w14:paraId="39DD01D2" w14:textId="2612BDFB" w:rsidR="00ED2477" w:rsidRPr="001D759A" w:rsidRDefault="00ED2477" w:rsidP="00F47D7B">
      <w:pPr>
        <w:tabs>
          <w:tab w:val="clear" w:pos="567"/>
          <w:tab w:val="clear" w:pos="1134"/>
          <w:tab w:val="clear" w:pos="1701"/>
          <w:tab w:val="clear" w:pos="2268"/>
          <w:tab w:val="clear" w:pos="2835"/>
        </w:tabs>
        <w:overflowPunct/>
        <w:autoSpaceDE/>
        <w:autoSpaceDN/>
        <w:adjustRightInd/>
        <w:spacing w:before="0"/>
        <w:textAlignment w:val="auto"/>
        <w:rPr>
          <w:rFonts w:eastAsia="Calibri" w:cs="Calibri"/>
          <w:szCs w:val="24"/>
          <w:lang w:val="es-ES"/>
        </w:rPr>
      </w:pPr>
      <w:r w:rsidRPr="001D759A">
        <w:rPr>
          <w:rFonts w:eastAsia="Calibri" w:cs="Calibri"/>
          <w:szCs w:val="24"/>
          <w:lang w:val="es-ES"/>
        </w:rPr>
        <w:t>16.1</w:t>
      </w:r>
      <w:r w:rsidRPr="001D759A">
        <w:rPr>
          <w:lang w:val="es-ES"/>
        </w:rPr>
        <w:tab/>
      </w:r>
      <w:r w:rsidRPr="001D759A">
        <w:rPr>
          <w:rFonts w:eastAsia="Calibri" w:cs="Calibri"/>
          <w:szCs w:val="24"/>
          <w:lang w:val="es-ES"/>
        </w:rPr>
        <w:t xml:space="preserve">Un representante de la Secretaría General presentó el Documento C26/20, en el que se facilita información sobre las medidas adoptadas por la Secretaria General en relación con la admisión de otras entidades que se ocupan de cuestiones de telecomunicaciones (véase el número 230 del Convenio de </w:t>
      </w:r>
      <w:r w:rsidR="00103D78">
        <w:rPr>
          <w:rFonts w:eastAsia="Calibri" w:cs="Calibri"/>
          <w:szCs w:val="24"/>
          <w:lang w:val="es-ES"/>
        </w:rPr>
        <w:t>la UIT</w:t>
      </w:r>
      <w:r w:rsidRPr="001D759A">
        <w:rPr>
          <w:rFonts w:eastAsia="Calibri" w:cs="Calibri"/>
          <w:szCs w:val="24"/>
          <w:lang w:val="es-ES"/>
        </w:rPr>
        <w:t xml:space="preserve">) en las actividades de los Sectores de </w:t>
      </w:r>
      <w:r w:rsidR="00103D78">
        <w:rPr>
          <w:rFonts w:eastAsia="Calibri" w:cs="Calibri"/>
          <w:szCs w:val="24"/>
          <w:lang w:val="es-ES"/>
        </w:rPr>
        <w:t>la UIT</w:t>
      </w:r>
      <w:r w:rsidRPr="001D759A">
        <w:rPr>
          <w:rFonts w:eastAsia="Calibri" w:cs="Calibri"/>
          <w:szCs w:val="24"/>
          <w:lang w:val="es-ES"/>
        </w:rPr>
        <w:t xml:space="preserve"> como Miembros de Sector o como Asociados. Cada entidad había recibido la aprobación de sus respectivos Estados Miembros y se había incluido provisionalmente en la lista de miembros, en espera de la confirmación del Consejo.</w:t>
      </w:r>
    </w:p>
    <w:p w14:paraId="662CF010" w14:textId="7B86D3D3" w:rsidR="00ED2477" w:rsidRPr="001D759A" w:rsidRDefault="00ED2477" w:rsidP="00F47D7B">
      <w:pPr>
        <w:spacing w:after="120"/>
        <w:rPr>
          <w:rFonts w:eastAsia="Calibri" w:cs="Calibri"/>
          <w:szCs w:val="24"/>
          <w:lang w:val="es-ES"/>
        </w:rPr>
      </w:pPr>
      <w:r w:rsidRPr="001D759A">
        <w:rPr>
          <w:rFonts w:eastAsia="Calibri" w:cs="Calibri"/>
          <w:szCs w:val="24"/>
          <w:lang w:val="es-ES"/>
        </w:rPr>
        <w:t>16.2</w:t>
      </w:r>
      <w:r w:rsidRPr="001D759A">
        <w:rPr>
          <w:rFonts w:eastAsia="Calibri" w:cs="Calibri"/>
          <w:szCs w:val="24"/>
          <w:lang w:val="es-ES"/>
        </w:rPr>
        <w:tab/>
      </w:r>
      <w:r w:rsidRPr="001D759A">
        <w:rPr>
          <w:lang w:val="es-ES"/>
        </w:rPr>
        <w:t xml:space="preserve">La Comisión </w:t>
      </w:r>
      <w:r w:rsidRPr="001D759A">
        <w:rPr>
          <w:b/>
          <w:bCs/>
          <w:lang w:val="es-ES"/>
        </w:rPr>
        <w:t>acordó</w:t>
      </w:r>
      <w:r w:rsidRPr="001D759A">
        <w:rPr>
          <w:lang w:val="es-ES"/>
        </w:rPr>
        <w:t xml:space="preserve"> llegar a la siguiente conclusión</w:t>
      </w:r>
      <w:r w:rsidRPr="001D759A">
        <w:rPr>
          <w:rFonts w:eastAsia="Calibri" w:cs="Calibri"/>
          <w:szCs w:val="24"/>
          <w:lang w:val="es-ES"/>
        </w:rPr>
        <w:t>:</w:t>
      </w:r>
    </w:p>
    <w:tbl>
      <w:tblPr>
        <w:tblStyle w:val="TableGrid"/>
        <w:tblW w:w="5000" w:type="pct"/>
        <w:tblInd w:w="-147" w:type="dxa"/>
        <w:tblLook w:val="04A0" w:firstRow="1" w:lastRow="0" w:firstColumn="1" w:lastColumn="0" w:noHBand="0" w:noVBand="1"/>
      </w:tblPr>
      <w:tblGrid>
        <w:gridCol w:w="9061"/>
      </w:tblGrid>
      <w:tr w:rsidR="00ED2477" w:rsidRPr="0057685D" w14:paraId="5DD5E159" w14:textId="77777777" w:rsidTr="00950DAB">
        <w:tc>
          <w:tcPr>
            <w:tcW w:w="9061" w:type="dxa"/>
            <w:tcBorders>
              <w:top w:val="single" w:sz="4" w:space="0" w:color="auto"/>
              <w:left w:val="single" w:sz="4" w:space="0" w:color="auto"/>
              <w:bottom w:val="single" w:sz="4" w:space="0" w:color="auto"/>
              <w:right w:val="single" w:sz="4" w:space="0" w:color="auto"/>
            </w:tcBorders>
            <w:hideMark/>
          </w:tcPr>
          <w:p w14:paraId="65028348" w14:textId="6703C1E4" w:rsidR="00ED2477" w:rsidRPr="001D759A" w:rsidRDefault="00ED2477" w:rsidP="00F47D7B">
            <w:pPr>
              <w:tabs>
                <w:tab w:val="clear" w:pos="567"/>
                <w:tab w:val="left" w:pos="605"/>
              </w:tabs>
              <w:spacing w:after="80"/>
              <w:ind w:left="40"/>
              <w:rPr>
                <w:lang w:val="es-ES"/>
              </w:rPr>
            </w:pPr>
            <w:r w:rsidRPr="001D759A">
              <w:rPr>
                <w:szCs w:val="24"/>
                <w:lang w:val="es-ES"/>
              </w:rPr>
              <w:t>16.3</w:t>
            </w:r>
            <w:r w:rsidRPr="001D759A">
              <w:rPr>
                <w:lang w:val="es-ES"/>
              </w:rPr>
              <w:tab/>
              <w:t xml:space="preserve">La Comisión recomienda </w:t>
            </w:r>
            <w:r w:rsidR="00FB7200" w:rsidRPr="001D759A">
              <w:rPr>
                <w:lang w:val="es-ES"/>
              </w:rPr>
              <w:t>a</w:t>
            </w:r>
            <w:r w:rsidRPr="001D759A">
              <w:rPr>
                <w:lang w:val="es-ES"/>
              </w:rPr>
              <w:t>l Consejo</w:t>
            </w:r>
            <w:r w:rsidR="00FB7200" w:rsidRPr="001D759A">
              <w:rPr>
                <w:lang w:val="es-ES"/>
              </w:rPr>
              <w:t xml:space="preserve"> que</w:t>
            </w:r>
            <w:r w:rsidRPr="001D759A">
              <w:rPr>
                <w:lang w:val="es-ES"/>
              </w:rPr>
              <w:t>:</w:t>
            </w:r>
          </w:p>
          <w:p w14:paraId="2C734975" w14:textId="6CF30622" w:rsidR="00ED2477" w:rsidRPr="001D759A" w:rsidRDefault="00ED2477" w:rsidP="00F47D7B">
            <w:pPr>
              <w:pStyle w:val="enumlev1"/>
              <w:tabs>
                <w:tab w:val="clear" w:pos="567"/>
              </w:tabs>
              <w:spacing w:after="120"/>
              <w:ind w:left="605"/>
              <w:rPr>
                <w:lang w:val="es-ES"/>
              </w:rPr>
            </w:pPr>
            <w:r w:rsidRPr="001D759A">
              <w:rPr>
                <w:lang w:val="es-ES"/>
              </w:rPr>
              <w:t>•</w:t>
            </w:r>
            <w:r w:rsidRPr="001D759A">
              <w:rPr>
                <w:lang w:val="es-ES"/>
              </w:rPr>
              <w:tab/>
              <w:t>confirme</w:t>
            </w:r>
            <w:r w:rsidRPr="001D759A">
              <w:rPr>
                <w:rFonts w:cs="Times New Roman"/>
                <w:lang w:val="es-ES"/>
              </w:rPr>
              <w:t xml:space="preserve"> las medidas adoptadas por la Secretaria General en relación con la admisión de las entidades que se ocupan de cuestiones de telecomunicaciones enumeradas en el Anexo al Documento</w:t>
            </w:r>
            <w:r w:rsidR="00A96099" w:rsidRPr="001D759A">
              <w:rPr>
                <w:rFonts w:cs="Times New Roman"/>
                <w:lang w:val="es-ES"/>
              </w:rPr>
              <w:t xml:space="preserve"> </w:t>
            </w:r>
            <w:hyperlink r:id="rId54" w:history="1">
              <w:r w:rsidRPr="001D759A">
                <w:rPr>
                  <w:rStyle w:val="Hyperlink"/>
                  <w:rFonts w:cs="Times New Roman"/>
                  <w:szCs w:val="20"/>
                  <w:lang w:val="es-ES"/>
                </w:rPr>
                <w:t>C26/20</w:t>
              </w:r>
            </w:hyperlink>
            <w:r w:rsidRPr="001D759A">
              <w:rPr>
                <w:lang w:val="es-ES"/>
              </w:rPr>
              <w:t>.</w:t>
            </w:r>
          </w:p>
        </w:tc>
      </w:tr>
    </w:tbl>
    <w:p w14:paraId="7132F6FC" w14:textId="77777777" w:rsidR="00ED2477" w:rsidRPr="001D759A" w:rsidRDefault="00ED2477" w:rsidP="00ED2477">
      <w:pPr>
        <w:pStyle w:val="Heading1"/>
        <w:rPr>
          <w:lang w:val="es-ES"/>
        </w:rPr>
      </w:pPr>
      <w:r w:rsidRPr="001D759A">
        <w:rPr>
          <w:bCs/>
          <w:lang w:val="es-ES"/>
        </w:rPr>
        <w:t>17</w:t>
      </w:r>
      <w:r w:rsidRPr="001D759A">
        <w:rPr>
          <w:lang w:val="es-ES"/>
        </w:rPr>
        <w:tab/>
        <w:t xml:space="preserve">Aplicación de la recuperación de costes a la tramitación de notificaciones de redes de satélites (Documento </w:t>
      </w:r>
      <w:hyperlink r:id="rId55" w:history="1">
        <w:r w:rsidRPr="001D759A">
          <w:rPr>
            <w:rStyle w:val="Hyperlink"/>
            <w:lang w:val="es-ES"/>
          </w:rPr>
          <w:t>C26/16</w:t>
        </w:r>
      </w:hyperlink>
      <w:r w:rsidRPr="001D759A">
        <w:rPr>
          <w:lang w:val="es-ES"/>
        </w:rPr>
        <w:t>)</w:t>
      </w:r>
    </w:p>
    <w:p w14:paraId="4B3A11B7" w14:textId="4B5A56CA" w:rsidR="00ED2477" w:rsidRPr="001D759A" w:rsidRDefault="00254762" w:rsidP="00393A84">
      <w:pPr>
        <w:pStyle w:val="Heading1"/>
        <w:spacing w:before="160"/>
        <w:rPr>
          <w:lang w:val="es-ES"/>
        </w:rPr>
      </w:pPr>
      <w:r>
        <w:rPr>
          <w:lang w:val="es-ES"/>
        </w:rPr>
        <w:tab/>
      </w:r>
      <w:r w:rsidR="00ED2477" w:rsidRPr="001D759A">
        <w:rPr>
          <w:lang w:val="es-ES"/>
        </w:rPr>
        <w:t xml:space="preserve">Nota sobre la atribución de recursos para las actividades </w:t>
      </w:r>
      <w:proofErr w:type="spellStart"/>
      <w:r w:rsidR="00ED2477" w:rsidRPr="00393A84">
        <w:t>constitucionales</w:t>
      </w:r>
      <w:proofErr w:type="spellEnd"/>
      <w:r w:rsidR="00ED2477" w:rsidRPr="001D759A">
        <w:rPr>
          <w:lang w:val="es-ES"/>
        </w:rPr>
        <w:t xml:space="preserve"> de la Oficina</w:t>
      </w:r>
      <w:r>
        <w:rPr>
          <w:lang w:val="es-ES"/>
        </w:rPr>
        <w:t xml:space="preserve"> </w:t>
      </w:r>
      <w:r w:rsidR="00ED2477" w:rsidRPr="001D759A">
        <w:rPr>
          <w:lang w:val="es-ES"/>
        </w:rPr>
        <w:t>de Radiocomunicaciones, incluida la tramitación de notificaciones espaciales</w:t>
      </w:r>
      <w:r>
        <w:rPr>
          <w:lang w:val="es-ES"/>
        </w:rPr>
        <w:t xml:space="preserve"> </w:t>
      </w:r>
      <w:r w:rsidR="00ED2477" w:rsidRPr="001D759A">
        <w:rPr>
          <w:lang w:val="es-ES"/>
        </w:rPr>
        <w:t xml:space="preserve">(Documento </w:t>
      </w:r>
      <w:hyperlink r:id="rId56" w:history="1">
        <w:r w:rsidR="00ED2477" w:rsidRPr="00C52838">
          <w:rPr>
            <w:rStyle w:val="Hyperlink"/>
            <w:lang w:val="es-ES"/>
          </w:rPr>
          <w:t>C26/107</w:t>
        </w:r>
      </w:hyperlink>
      <w:r w:rsidR="00ED2477" w:rsidRPr="00C52838">
        <w:rPr>
          <w:rStyle w:val="Hyperlink"/>
          <w:lang w:val="es-ES"/>
        </w:rPr>
        <w:t>)</w:t>
      </w:r>
    </w:p>
    <w:p w14:paraId="0DC6702D" w14:textId="5638FED1" w:rsidR="00ED2477" w:rsidRPr="001D759A" w:rsidRDefault="00254762" w:rsidP="00393A84">
      <w:pPr>
        <w:pStyle w:val="Heading1"/>
        <w:spacing w:before="160"/>
        <w:rPr>
          <w:lang w:val="es-ES"/>
        </w:rPr>
      </w:pPr>
      <w:r>
        <w:rPr>
          <w:lang w:val="es-ES"/>
        </w:rPr>
        <w:tab/>
      </w:r>
      <w:proofErr w:type="spellStart"/>
      <w:r w:rsidR="00ED2477" w:rsidRPr="00393A84">
        <w:t>Propuesta</w:t>
      </w:r>
      <w:proofErr w:type="spellEnd"/>
      <w:r w:rsidR="00ED2477" w:rsidRPr="001D759A">
        <w:rPr>
          <w:lang w:val="es-ES"/>
        </w:rPr>
        <w:t xml:space="preserve"> para la reducción de</w:t>
      </w:r>
      <w:r w:rsidR="00D1453A">
        <w:rPr>
          <w:lang w:val="es-ES"/>
        </w:rPr>
        <w:t>l</w:t>
      </w:r>
      <w:r w:rsidR="00ED2477" w:rsidRPr="001D759A">
        <w:rPr>
          <w:lang w:val="es-ES"/>
        </w:rPr>
        <w:t xml:space="preserve"> </w:t>
      </w:r>
      <w:r w:rsidR="00D1453A">
        <w:rPr>
          <w:lang w:val="es-ES"/>
        </w:rPr>
        <w:t>re</w:t>
      </w:r>
      <w:r w:rsidR="00D1453A" w:rsidRPr="001D759A">
        <w:rPr>
          <w:lang w:val="es-ES"/>
        </w:rPr>
        <w:t xml:space="preserve">traso </w:t>
      </w:r>
      <w:r w:rsidR="00D1453A">
        <w:rPr>
          <w:lang w:val="es-ES"/>
        </w:rPr>
        <w:t xml:space="preserve">acumulado </w:t>
      </w:r>
      <w:r w:rsidR="00ED2477" w:rsidRPr="001D759A">
        <w:rPr>
          <w:lang w:val="es-ES"/>
        </w:rPr>
        <w:t>en el análisis de redes y sistemas</w:t>
      </w:r>
      <w:r>
        <w:rPr>
          <w:lang w:val="es-ES"/>
        </w:rPr>
        <w:t xml:space="preserve"> </w:t>
      </w:r>
      <w:r w:rsidR="00ED2477" w:rsidRPr="001D759A">
        <w:rPr>
          <w:lang w:val="es-ES"/>
        </w:rPr>
        <w:t xml:space="preserve">de satélites en el Departamento de Servicios Espaciales de </w:t>
      </w:r>
      <w:r w:rsidR="00103D78">
        <w:rPr>
          <w:lang w:val="es-ES"/>
        </w:rPr>
        <w:t>la UIT</w:t>
      </w:r>
      <w:r>
        <w:rPr>
          <w:lang w:val="es-ES"/>
        </w:rPr>
        <w:t xml:space="preserve"> </w:t>
      </w:r>
      <w:r w:rsidR="00ED2477" w:rsidRPr="001D759A">
        <w:rPr>
          <w:lang w:val="es-ES"/>
        </w:rPr>
        <w:t xml:space="preserve">(Documento </w:t>
      </w:r>
      <w:hyperlink r:id="rId57" w:history="1">
        <w:r w:rsidR="00ED2477" w:rsidRPr="00254762">
          <w:rPr>
            <w:rStyle w:val="Hyperlink"/>
            <w:lang w:val="es-ES"/>
          </w:rPr>
          <w:t>C26/75</w:t>
        </w:r>
      </w:hyperlink>
      <w:r w:rsidR="00ED2477" w:rsidRPr="00C52838">
        <w:rPr>
          <w:rStyle w:val="Hyperlink"/>
          <w:lang w:val="es-ES"/>
        </w:rPr>
        <w:t>)</w:t>
      </w:r>
    </w:p>
    <w:p w14:paraId="10CA27E5" w14:textId="2D8EA44A" w:rsidR="00ED2477" w:rsidRPr="001D759A" w:rsidRDefault="00ED2477" w:rsidP="00ED2477">
      <w:pPr>
        <w:rPr>
          <w:rFonts w:cs="Calibri"/>
          <w:color w:val="000000" w:themeColor="text1"/>
          <w:lang w:val="es-ES"/>
        </w:rPr>
      </w:pPr>
      <w:r w:rsidRPr="001D759A">
        <w:rPr>
          <w:lang w:val="es-ES"/>
        </w:rPr>
        <w:t>17.1</w:t>
      </w:r>
      <w:r w:rsidRPr="001D759A">
        <w:rPr>
          <w:lang w:val="es-ES"/>
        </w:rPr>
        <w:tab/>
        <w:t xml:space="preserve">El Jefe del Departamento de Servicios Espaciales (SSD) presentó el Documento C26/16, que contenía el informe anual sobre la recuperación de costes para la tramitación de notificaciones de redes de satélites, y destacó la diferencia entre los importes presupuestados para la recuperación de costes y los importes reales facturados, que se debía a un cambio en el equilibrio entre las notificaciones de redes de satélites geoestacionarios (OSG), generalmente sujetos a tasas más altas, y las notificaciones de sistemas de satélites no geoestacionarios (no OSG). El Acuerdo 482 (C01, modificado C25) </w:t>
      </w:r>
      <w:r w:rsidRPr="001D759A">
        <w:rPr>
          <w:lang w:val="es-ES"/>
        </w:rPr>
        <w:lastRenderedPageBreak/>
        <w:t>abordaría este asunto, pero sus efectos sólo se percibirían a partir de 2026. Además, de conformidad con las normas de auditoría, los pagos de las facturas relacionadas con la recuperación de costes de satélites se incluyeron en los ingresos contabilizados sólo después de la publicación de las correspondientes Secciones Especiales, que se pospuso debido al retraso en la tramitación de notificaciones de redes de satélite. La BR carecía de los recursos necesarios para absorber el retraso acumulado y reducir así el importe de los ingresos aplazados, que ascendían a 4 237 520</w:t>
      </w:r>
      <w:r w:rsidR="005457EE">
        <w:rPr>
          <w:lang w:val="es-ES"/>
        </w:rPr>
        <w:t> CHF</w:t>
      </w:r>
      <w:r w:rsidRPr="001D759A">
        <w:rPr>
          <w:lang w:val="es-ES"/>
        </w:rPr>
        <w:t xml:space="preserve"> a finales de 2025. Para aplicar las Resoluciones 35 (Rev.CMR-23) y 8 (CMR-23) era necesario examinar las características de despliegue de cada satélite de una constelación; este análisis se podía realizar cuando los sistemas incluían un pequeño número de satélites, pero no resultaba viable cuando aumentaba el número de satélites. Por consiguiente, el Consejo podría decidir encomendar al GTC-RHF una evaluación exhaustiva de los costes de los trabajos necesarios a raíz de las Resoluciones 35 (Rev.CMR</w:t>
      </w:r>
      <w:r w:rsidR="005A1FA1" w:rsidRPr="001D759A">
        <w:rPr>
          <w:lang w:val="es-ES"/>
        </w:rPr>
        <w:noBreakHyphen/>
      </w:r>
      <w:r w:rsidRPr="001D759A">
        <w:rPr>
          <w:lang w:val="es-ES"/>
        </w:rPr>
        <w:t>23) y 8 (CMR-23).</w:t>
      </w:r>
    </w:p>
    <w:p w14:paraId="366942DA" w14:textId="5A117444" w:rsidR="00ED2477" w:rsidRPr="001D759A" w:rsidRDefault="00ED2477" w:rsidP="00ED2477">
      <w:pPr>
        <w:rPr>
          <w:lang w:val="es-ES"/>
        </w:rPr>
      </w:pPr>
      <w:r w:rsidRPr="001D759A">
        <w:rPr>
          <w:lang w:val="es-ES"/>
        </w:rPr>
        <w:t>17.2</w:t>
      </w:r>
      <w:r w:rsidRPr="001D759A">
        <w:rPr>
          <w:lang w:val="es-ES"/>
        </w:rPr>
        <w:tab/>
        <w:t>La Vicepresidencia del GAR presentó el Documento C26/107, que contenía una nota del GAR sobre la atribución de recursos para las actividades constitucionales de la BR, incluida la tramitación de notificaciones espaciales. El GAR reconoció las dificultades a las que se había enfrentado la Oficina para tramitar las notificaciones de redes de satélite, lo que había provocado retrasos en la tramitación de las notificaciones espaciales que, en última instancia, habían triplicado el plazo reglamentario de cuatro meses establecido en el</w:t>
      </w:r>
      <w:r w:rsidR="007113C1">
        <w:rPr>
          <w:lang w:val="es-ES"/>
        </w:rPr>
        <w:t> </w:t>
      </w:r>
      <w:r w:rsidRPr="001D759A">
        <w:rPr>
          <w:lang w:val="es-ES"/>
        </w:rPr>
        <w:t xml:space="preserve">N.º 9.38 del Reglamento de Radiocomunicaciones. El GAR también reconoció que los retos enfrentados por la Oficina iban más allá de la tramitación de notificaciones espaciales. Consciente de las limitaciones presupuestarias que afrontaba actualmente </w:t>
      </w:r>
      <w:r w:rsidR="005457EE">
        <w:rPr>
          <w:lang w:val="es-ES"/>
        </w:rPr>
        <w:t>la Unión</w:t>
      </w:r>
      <w:r w:rsidRPr="001D759A">
        <w:rPr>
          <w:lang w:val="es-ES"/>
        </w:rPr>
        <w:t>, el GAR insistió en la necesidad de que la BR contara con recursos adecuados para cumplir su mandato constitucional e invitó al Consejo a tomar las medidas necesarias para resolver la situación y posibilitar que la BR lleve a cabo sus tareas de manera eficaz y de conformidad con el marco reglamentario pertinente.</w:t>
      </w:r>
    </w:p>
    <w:p w14:paraId="7F3663AF" w14:textId="53E6721C" w:rsidR="00ED2477" w:rsidRPr="001D759A" w:rsidRDefault="00ED2477" w:rsidP="00ED2477">
      <w:pPr>
        <w:rPr>
          <w:lang w:val="es-ES"/>
        </w:rPr>
      </w:pPr>
      <w:r w:rsidRPr="001D759A">
        <w:rPr>
          <w:lang w:val="es-ES"/>
        </w:rPr>
        <w:t>17.3</w:t>
      </w:r>
      <w:r w:rsidRPr="001D759A">
        <w:rPr>
          <w:lang w:val="es-ES"/>
        </w:rPr>
        <w:tab/>
        <w:t>El Consejero de Argentina presentó el Documento C26/75</w:t>
      </w:r>
      <w:r w:rsidR="00504896">
        <w:rPr>
          <w:lang w:val="es-ES"/>
        </w:rPr>
        <w:t>,</w:t>
      </w:r>
      <w:r w:rsidRPr="001D759A">
        <w:rPr>
          <w:lang w:val="es-ES"/>
        </w:rPr>
        <w:t xml:space="preserve"> que contiene una propuesta para reducir el retraso acumulado en la tramitación de notificaciones de redes y sistemas de satélites, autorizando el fortalecimiento del Departamento de Servicios Espaciales mediante la contratación de personal de categoría profesional formado por ingenieros especializados en el análisis técnico y reglamentario de redes y sistemas de satélites e ingenieros informáticos, centrados en el desarrollo, mantenimiento y optimización de herramientas informáticas para la tramitación y análisis de notificaciones. Este enfoque reduciría considerablemente el retraso acumulado actual en la tramitación de notificaciones de redes y sistemas de satélites, reforzaría la eficiencia del Departamento de Servicios Espaciales y garantizaría la sostenibilidad financiera y operacional de </w:t>
      </w:r>
      <w:r w:rsidR="00103D78">
        <w:rPr>
          <w:lang w:val="es-ES"/>
        </w:rPr>
        <w:t>la UIT</w:t>
      </w:r>
      <w:r w:rsidRPr="001D759A">
        <w:rPr>
          <w:lang w:val="es-ES"/>
        </w:rPr>
        <w:t xml:space="preserve"> en los servicios espaciales.</w:t>
      </w:r>
    </w:p>
    <w:p w14:paraId="649B1D25" w14:textId="06A4C7B6" w:rsidR="00ED2477" w:rsidRPr="001D759A" w:rsidRDefault="00ED2477" w:rsidP="00ED2477">
      <w:pPr>
        <w:rPr>
          <w:lang w:val="es-ES"/>
        </w:rPr>
      </w:pPr>
      <w:r w:rsidRPr="001D759A">
        <w:rPr>
          <w:lang w:val="es-ES"/>
        </w:rPr>
        <w:t>17.4</w:t>
      </w:r>
      <w:r w:rsidRPr="001D759A">
        <w:rPr>
          <w:lang w:val="es-ES"/>
        </w:rPr>
        <w:tab/>
        <w:t>Los consejeros acogieron con beneplácito el Informe contenido en el Documento</w:t>
      </w:r>
      <w:r w:rsidR="00F17F50">
        <w:rPr>
          <w:lang w:val="es-ES"/>
        </w:rPr>
        <w:t> </w:t>
      </w:r>
      <w:r w:rsidRPr="001D759A">
        <w:rPr>
          <w:lang w:val="es-ES"/>
        </w:rPr>
        <w:t>C26/16, en el que se destaca el creciente desajuste entre los ingresos y la atribución de costes. Expresa</w:t>
      </w:r>
      <w:r w:rsidR="00CB71B7">
        <w:rPr>
          <w:lang w:val="es-ES"/>
        </w:rPr>
        <w:t>ro</w:t>
      </w:r>
      <w:r w:rsidRPr="001D759A">
        <w:rPr>
          <w:lang w:val="es-ES"/>
        </w:rPr>
        <w:t xml:space="preserve">n su preocupación por el atraso y el retraso sin precedentes en la tramitación de notificaciones de redes de satélite, y por el hecho de que el coste de la tramitación supera con creces los ingresos generados. El actual modelo de recuperación de </w:t>
      </w:r>
      <w:r w:rsidR="00C817F3">
        <w:rPr>
          <w:lang w:val="es-ES"/>
        </w:rPr>
        <w:t>costes</w:t>
      </w:r>
      <w:r w:rsidRPr="001D759A">
        <w:rPr>
          <w:lang w:val="es-ES"/>
        </w:rPr>
        <w:t xml:space="preserve"> está sometido a tensiones importantes, en particular dado el rápido crecimiento de las </w:t>
      </w:r>
      <w:proofErr w:type="spellStart"/>
      <w:r w:rsidRPr="001D759A">
        <w:rPr>
          <w:lang w:val="es-ES"/>
        </w:rPr>
        <w:t>megaconstelaciones</w:t>
      </w:r>
      <w:proofErr w:type="spellEnd"/>
      <w:r w:rsidRPr="001D759A">
        <w:rPr>
          <w:lang w:val="es-ES"/>
        </w:rPr>
        <w:t xml:space="preserve"> no geoestacionarias. Por consiguiente, deben introducirse mecanismos para garantizar que las tasas de notificación reflejen con exactitud el cost</w:t>
      </w:r>
      <w:r w:rsidR="000475AF">
        <w:rPr>
          <w:lang w:val="es-ES"/>
        </w:rPr>
        <w:t>e</w:t>
      </w:r>
      <w:r w:rsidRPr="001D759A">
        <w:rPr>
          <w:lang w:val="es-ES"/>
        </w:rPr>
        <w:t xml:space="preserve"> de tramitación. Debe hacerse todo lo posible para evitar que las administraciones que no </w:t>
      </w:r>
      <w:r w:rsidRPr="001D759A">
        <w:rPr>
          <w:lang w:val="es-ES"/>
        </w:rPr>
        <w:lastRenderedPageBreak/>
        <w:t>explotan sistemas de satélites propios tengan que asumir los costes de procesos reglamentarios que benefician principalmente a operadores comerciales mundiales. Por consiguiente, toda medida de recuperación de costes que se adopte debería ir acompañada de acciones destinadas a abordar las causas estructurales del retraso acumulado, sin trasladar dicha carga a las administraciones.</w:t>
      </w:r>
    </w:p>
    <w:p w14:paraId="2DB9F5ED" w14:textId="77777777" w:rsidR="00ED2477" w:rsidRPr="001D759A" w:rsidRDefault="00ED2477" w:rsidP="00ED2477">
      <w:pPr>
        <w:rPr>
          <w:lang w:val="es-ES"/>
        </w:rPr>
      </w:pPr>
      <w:r w:rsidRPr="001D759A">
        <w:rPr>
          <w:lang w:val="es-ES"/>
        </w:rPr>
        <w:t>17.5</w:t>
      </w:r>
      <w:r w:rsidRPr="001D759A">
        <w:rPr>
          <w:lang w:val="es-ES"/>
        </w:rPr>
        <w:tab/>
        <w:t>En lo que respecta a la cuestión de los ingresos aplazados, una consejera deseaba saber cuáles son los problemas resultantes y si pueden superarse internamente o si requieren la adopción de medidas por parte de los Estados Miembros, a través del Consejo o de la Conferencia de Plenipotenciarios.</w:t>
      </w:r>
    </w:p>
    <w:p w14:paraId="521C44A3" w14:textId="77777777" w:rsidR="00ED2477" w:rsidRPr="001D759A" w:rsidRDefault="00ED2477" w:rsidP="00ED2477">
      <w:pPr>
        <w:rPr>
          <w:lang w:val="es-ES"/>
        </w:rPr>
      </w:pPr>
      <w:r w:rsidRPr="001D759A">
        <w:rPr>
          <w:lang w:val="es-ES"/>
        </w:rPr>
        <w:t>17.6</w:t>
      </w:r>
      <w:r w:rsidRPr="001D759A">
        <w:rPr>
          <w:lang w:val="es-ES"/>
        </w:rPr>
        <w:tab/>
        <w:t>Si bien los consejeros convinieron en que era necesario realizar una evaluación de los costes de los trabajos previstos en las Resoluciones 35 (Rev.CMR-23) y 8 (CMR-23), algunos opinaron que esa evaluación debería realizarla el GTC-RHF, mientras que otros dijeron que preferirían volver a establecer el Grupo de Expertos del Consejo sobre el Acuerdo 482, cuyos miembros tienen conocimientos especializados pertinentes que podrían aprovecharse. También podría ser útil revisar nuevamente el Acuerdo 482. Una consejera sugirió que la Conferencia de Plenipotenciarios sería la más idónea para decidir en qué foro deberían realizarse esas evaluaciones, en el marco de su punto del orden del día relativo a la creación de Grupos de Trabajo y el alcance de sus tareas. Estas evaluaciones deberían realizarse en coordinación con la elaboración de la nueva metodología para la recuperación de los costes de notificación de redes de satélite. Un consejero preguntó cuándo estarán disponibles los datos consolidados para los primeros meses de 2026, a fin de comprender las consecuencias del Acuerdo 482 (C01, modificado por última vez C25).</w:t>
      </w:r>
    </w:p>
    <w:p w14:paraId="2181FC41" w14:textId="30FF1991" w:rsidR="00ED2477" w:rsidRPr="001D759A" w:rsidRDefault="00ED2477" w:rsidP="00ED2477">
      <w:pPr>
        <w:rPr>
          <w:lang w:val="es-ES"/>
        </w:rPr>
      </w:pPr>
      <w:r w:rsidRPr="001D759A">
        <w:rPr>
          <w:lang w:val="es-ES"/>
        </w:rPr>
        <w:t>17.7</w:t>
      </w:r>
      <w:r w:rsidRPr="001D759A">
        <w:rPr>
          <w:lang w:val="es-ES"/>
        </w:rPr>
        <w:tab/>
        <w:t xml:space="preserve">Habida cuenta de lo anterior, la imposición de una congelación de la contratación en toda la Secretaría, como parte de un ejercicio uniforme de contención de costes, parecía inapropiada; </w:t>
      </w:r>
      <w:r w:rsidR="00504896">
        <w:rPr>
          <w:lang w:val="es-ES"/>
        </w:rPr>
        <w:t>la</w:t>
      </w:r>
      <w:r w:rsidRPr="001D759A">
        <w:rPr>
          <w:lang w:val="es-ES"/>
        </w:rPr>
        <w:t xml:space="preserve"> BR requería más recursos humanos y financieros para poder cumplir su mandato. Por consiguiente, agradecería tener un panorama general de los puestos actualmente vacantes en la BR y de la forma en que podrían cubrirse. La gestión equitativa, transparente y sostenible de los recursos para los servicios espaciales es esencial. Además, la</w:t>
      </w:r>
      <w:r w:rsidR="00F17F50">
        <w:rPr>
          <w:lang w:val="es-ES"/>
        </w:rPr>
        <w:t> </w:t>
      </w:r>
      <w:r w:rsidRPr="001D759A">
        <w:rPr>
          <w:lang w:val="es-ES"/>
        </w:rPr>
        <w:t>CMR-27 tendrá numerosos puntos en su orden del día relacionados con los satélites, lo que generará más trabajo y nuevas actividades. Por consiguiente, las solicitudes de recursos humanos adicionales están bien fundadas.</w:t>
      </w:r>
    </w:p>
    <w:p w14:paraId="12B717B1" w14:textId="64C845D4" w:rsidR="00ED2477" w:rsidRPr="001D759A" w:rsidRDefault="00ED2477" w:rsidP="00ED2477">
      <w:pPr>
        <w:rPr>
          <w:lang w:val="es-ES"/>
        </w:rPr>
      </w:pPr>
      <w:r w:rsidRPr="001D759A">
        <w:rPr>
          <w:lang w:val="es-ES"/>
        </w:rPr>
        <w:t>17.8</w:t>
      </w:r>
      <w:r w:rsidRPr="001D759A">
        <w:rPr>
          <w:lang w:val="es-ES"/>
        </w:rPr>
        <w:tab/>
        <w:t>Los consejeros compart</w:t>
      </w:r>
      <w:r w:rsidR="00CB71B7">
        <w:rPr>
          <w:lang w:val="es-ES"/>
        </w:rPr>
        <w:t>ieron</w:t>
      </w:r>
      <w:r w:rsidRPr="001D759A">
        <w:rPr>
          <w:lang w:val="es-ES"/>
        </w:rPr>
        <w:t xml:space="preserve"> la preocupación por el retraso acumulado y al</w:t>
      </w:r>
      <w:r w:rsidR="00033400">
        <w:rPr>
          <w:lang w:val="es-ES"/>
        </w:rPr>
        <w:t>entaron</w:t>
      </w:r>
      <w:r w:rsidRPr="001D759A">
        <w:rPr>
          <w:lang w:val="es-ES"/>
        </w:rPr>
        <w:t xml:space="preserve"> a la Secretaría a considerar estrategias a corto plazo para garantizar que la BR c</w:t>
      </w:r>
      <w:r w:rsidR="00033400">
        <w:rPr>
          <w:lang w:val="es-ES"/>
        </w:rPr>
        <w:t>ontara</w:t>
      </w:r>
      <w:r w:rsidRPr="001D759A">
        <w:rPr>
          <w:lang w:val="es-ES"/>
        </w:rPr>
        <w:t xml:space="preserve"> con suficientes recursos para cumplir su mandato y tramitar las notificaciones a tiempo. Un consejero </w:t>
      </w:r>
      <w:r w:rsidR="00CB71B7">
        <w:rPr>
          <w:lang w:val="es-ES"/>
        </w:rPr>
        <w:t>cuestionó</w:t>
      </w:r>
      <w:r w:rsidR="00CB71B7" w:rsidRPr="001D759A">
        <w:rPr>
          <w:lang w:val="es-ES"/>
        </w:rPr>
        <w:t xml:space="preserve"> </w:t>
      </w:r>
      <w:r w:rsidRPr="001D759A">
        <w:rPr>
          <w:lang w:val="es-ES"/>
        </w:rPr>
        <w:t xml:space="preserve">la utilización del término "actividades constitucionales" del Sector de Radiocomunicaciones de </w:t>
      </w:r>
      <w:r w:rsidR="00103D78">
        <w:rPr>
          <w:lang w:val="es-ES"/>
        </w:rPr>
        <w:t>la UIT</w:t>
      </w:r>
      <w:r w:rsidRPr="001D759A">
        <w:rPr>
          <w:lang w:val="es-ES"/>
        </w:rPr>
        <w:t xml:space="preserve"> (UIT-R). Desea</w:t>
      </w:r>
      <w:r w:rsidR="00033400">
        <w:rPr>
          <w:lang w:val="es-ES"/>
        </w:rPr>
        <w:t>ba</w:t>
      </w:r>
      <w:r w:rsidRPr="001D759A">
        <w:rPr>
          <w:lang w:val="es-ES"/>
        </w:rPr>
        <w:t xml:space="preserve"> saber el origen del concepto de actividades constitucionales y si las actividades en otros sectores también se consideran "constitucionales".</w:t>
      </w:r>
    </w:p>
    <w:p w14:paraId="15149F1F" w14:textId="7E537B2F" w:rsidR="00ED2477" w:rsidRPr="001D759A" w:rsidRDefault="00ED2477" w:rsidP="00ED2477">
      <w:pPr>
        <w:rPr>
          <w:lang w:val="es-ES"/>
        </w:rPr>
      </w:pPr>
      <w:r w:rsidRPr="001D759A">
        <w:rPr>
          <w:lang w:val="es-ES"/>
        </w:rPr>
        <w:t>17.9</w:t>
      </w:r>
      <w:r w:rsidRPr="001D759A">
        <w:rPr>
          <w:lang w:val="es-ES"/>
        </w:rPr>
        <w:tab/>
        <w:t>Varios consejeros acog</w:t>
      </w:r>
      <w:r w:rsidR="00033400">
        <w:rPr>
          <w:lang w:val="es-ES"/>
        </w:rPr>
        <w:t>ieron</w:t>
      </w:r>
      <w:r w:rsidRPr="001D759A">
        <w:rPr>
          <w:lang w:val="es-ES"/>
        </w:rPr>
        <w:t xml:space="preserve"> con satisfacción la propuesta de Argentina y est</w:t>
      </w:r>
      <w:r w:rsidR="00033400">
        <w:rPr>
          <w:lang w:val="es-ES"/>
        </w:rPr>
        <w:t>aban</w:t>
      </w:r>
      <w:r w:rsidRPr="001D759A">
        <w:rPr>
          <w:lang w:val="es-ES"/>
        </w:rPr>
        <w:t xml:space="preserve"> de acuerdo con la necesidad de reforzar la plantilla de la BR y racionalizar sus procesos mediante el soporte informático. Los problemas internos de personal no constituyen un motivo legítimo para no cumplir el Reglamento de Radiocomunicaciones. Por consiguiente, es preciso tomar medidas para que la BR pueda cumplir su mandato. La notificación de grandes constelaciones de satélites no geoestacionarios está ejerciendo una presión considerable sobre la BR. Si bien deben reforzarse los recursos humanos, toda nueva </w:t>
      </w:r>
      <w:r w:rsidRPr="001D759A">
        <w:rPr>
          <w:lang w:val="es-ES"/>
        </w:rPr>
        <w:lastRenderedPageBreak/>
        <w:t xml:space="preserve">contratación debe ser coherente con la orientación política actualizada sobre la racionalización de la utilización de SSA. Un consejero sugirió que el coste de contratar expertos adicionales podría sufragarse con fondos de recuperación de costes de notificación de redes de satélite. Otra consejera expresó su preocupación por la ampliación de la dotación de personal. Deben adoptarse medidas temporales para resolver los retrasos, ya que las mejoras en la eficiencia del </w:t>
      </w:r>
      <w:r w:rsidRPr="001D759A">
        <w:rPr>
          <w:i/>
          <w:iCs/>
          <w:lang w:val="es-ES"/>
        </w:rPr>
        <w:t>software</w:t>
      </w:r>
      <w:r w:rsidRPr="001D759A">
        <w:rPr>
          <w:lang w:val="es-ES"/>
        </w:rPr>
        <w:t xml:space="preserve"> y del flujo de trabajo repercutirían en la carga de trabajo y podría no ser necesario incrementar el personal. Por consiguiente, debe considerarse la posibilidad de recurrir a contratistas a corto plazo.</w:t>
      </w:r>
    </w:p>
    <w:p w14:paraId="5329161E" w14:textId="5E337B3D" w:rsidR="00ED2477" w:rsidRPr="001D759A" w:rsidRDefault="00ED2477" w:rsidP="000C57CA">
      <w:pPr>
        <w:tabs>
          <w:tab w:val="clear" w:pos="567"/>
          <w:tab w:val="left" w:pos="709"/>
        </w:tabs>
        <w:rPr>
          <w:lang w:val="es-ES"/>
        </w:rPr>
      </w:pPr>
      <w:r w:rsidRPr="001D759A">
        <w:rPr>
          <w:lang w:val="es-ES"/>
        </w:rPr>
        <w:t>17.10</w:t>
      </w:r>
      <w:r w:rsidRPr="001D759A">
        <w:rPr>
          <w:lang w:val="es-ES"/>
        </w:rPr>
        <w:tab/>
        <w:t>El Jefe del Departamento de Servicios Espaciales mencionó que, en lo que respecta a la realización de las evaluaciones de las Resoluciones 35 (Rev.CMR-23) y 8 (CMR-23), la Secretaría propon</w:t>
      </w:r>
      <w:r w:rsidR="00033400">
        <w:rPr>
          <w:lang w:val="es-ES"/>
        </w:rPr>
        <w:t>ía</w:t>
      </w:r>
      <w:r w:rsidRPr="001D759A">
        <w:rPr>
          <w:lang w:val="es-ES"/>
        </w:rPr>
        <w:t xml:space="preserve"> solicitar al GTC-RHF que realice la evaluación, dado que la tarea es limitada y la creación de un grupo de expertos incurriría en costes. No obstante, el Consejo tiene la prerrogativa de ampliar el mandato de su Grupo de Expertos. Las cifras de presentación para 2026 podrían comunicarse a la Conferencia de Plenipotenciarios; las notificaciones han vuelto al ritmo normal, tras un repunte en diciembre de 2025. La demora en la tramitación sólo afecta a un tipo de notificación. Por consiguiente, no es necesario triplicar los recursos del Departamento de Servicios Espaciales, sino simplemente aumentarlos para hacer frente a la tramitación de esos casos. Todas las demás notificaciones se están gestionando dentro de los plazos establecidos. En lo que respecta a las necesidades de recursos, debe tenerse presente que la introducción de desarrollos informáticos y procesos de automatización generará en última instancia ahorros, pero a corto plazo exigirá inversiones. En cuanto a la cuestión de los recursos humanos, si bien el Departamento de Servicios Espaciales necesita ingenieros permanentes, se necesitarán contrataciones a corto plazo para eliminar el retraso en la tramitación de las notificaciones, durante un periodo de dos a tres años.</w:t>
      </w:r>
    </w:p>
    <w:p w14:paraId="6A425D07" w14:textId="157E3409" w:rsidR="00ED2477" w:rsidRPr="001D759A" w:rsidRDefault="00ED2477" w:rsidP="00ED2477">
      <w:pPr>
        <w:tabs>
          <w:tab w:val="clear" w:pos="567"/>
          <w:tab w:val="left" w:pos="709"/>
        </w:tabs>
        <w:rPr>
          <w:lang w:val="es-ES"/>
        </w:rPr>
      </w:pPr>
      <w:r w:rsidRPr="001D759A">
        <w:rPr>
          <w:lang w:val="es-ES"/>
        </w:rPr>
        <w:t>17.11</w:t>
      </w:r>
      <w:r w:rsidRPr="001D759A">
        <w:rPr>
          <w:lang w:val="es-ES"/>
        </w:rPr>
        <w:tab/>
        <w:t>El Jefe del FRMD di</w:t>
      </w:r>
      <w:r w:rsidR="00632034">
        <w:rPr>
          <w:lang w:val="es-ES"/>
        </w:rPr>
        <w:t>jo</w:t>
      </w:r>
      <w:r w:rsidRPr="001D759A">
        <w:rPr>
          <w:lang w:val="es-ES"/>
        </w:rPr>
        <w:t xml:space="preserve">, en relación con la inclusión en los ingresos contabilizados de los pagos de facturas, que desde 2010 </w:t>
      </w:r>
      <w:r w:rsidR="00103D78">
        <w:rPr>
          <w:lang w:val="es-ES"/>
        </w:rPr>
        <w:t>la UIT</w:t>
      </w:r>
      <w:r w:rsidRPr="001D759A">
        <w:rPr>
          <w:lang w:val="es-ES"/>
        </w:rPr>
        <w:t xml:space="preserve"> se ha</w:t>
      </w:r>
      <w:r w:rsidR="00B67284">
        <w:rPr>
          <w:lang w:val="es-ES"/>
        </w:rPr>
        <w:t xml:space="preserve">bía </w:t>
      </w:r>
      <w:r w:rsidRPr="001D759A">
        <w:rPr>
          <w:lang w:val="es-ES"/>
        </w:rPr>
        <w:t>adherido al sistema NICSP, en virtud del cual sólo puede contabilizar los ingresos cuando se ha prestado un servicio. Los ingresos no se "perdieron" en espera de la prestación del servicio, sino que se contabilizaron como "diferidos". Los ingresos sólo pueden reconocerse una vez finalizado el servicio.</w:t>
      </w:r>
    </w:p>
    <w:p w14:paraId="7E6E9EBD" w14:textId="4B6A0AC1" w:rsidR="005A1FA1" w:rsidRPr="001D759A" w:rsidRDefault="00ED2477" w:rsidP="005A1FA1">
      <w:pPr>
        <w:tabs>
          <w:tab w:val="clear" w:pos="567"/>
          <w:tab w:val="left" w:pos="709"/>
        </w:tabs>
        <w:rPr>
          <w:lang w:val="es-ES"/>
        </w:rPr>
      </w:pPr>
      <w:r w:rsidRPr="001D759A">
        <w:rPr>
          <w:lang w:val="es-ES"/>
        </w:rPr>
        <w:t>17.12</w:t>
      </w:r>
      <w:r w:rsidRPr="001D759A">
        <w:rPr>
          <w:lang w:val="es-ES"/>
        </w:rPr>
        <w:tab/>
        <w:t>El Director de la BR agradeció a los consejeros su comprensión de la importancia de la asignación adecuada de recursos a la BR para las actividades que emprende en el ámbito reglamentario. Las actividades mencionadas en la contribución del GAR son estatutarias y no "constitucionales"; esas actividades son obligatorias y deben realizarse dentro de un plazo determinado. La BR está obligada a informar a la CMR cuando no se cumplen los plazos.</w:t>
      </w:r>
      <w:r w:rsidR="005A1FA1" w:rsidRPr="001D759A">
        <w:rPr>
          <w:lang w:val="es-ES"/>
        </w:rPr>
        <w:t xml:space="preserve"> Según el Reglamento de Radiocomunicaciones, la </w:t>
      </w:r>
      <w:r w:rsidRPr="001D759A">
        <w:rPr>
          <w:lang w:val="es-ES"/>
        </w:rPr>
        <w:t xml:space="preserve">BR dispuso de los recursos adecuados para la era de los satélites geoestacionarios, lo que supuso un satélite por notificación y un proceso de examen relativamente sencillo. Cuando se han puesto en servicio satélites de órbita terrestre baja, se han hecho esfuerzos para dar cabida a esas notificaciones. </w:t>
      </w:r>
      <w:r w:rsidR="005A1FA1" w:rsidRPr="001D759A">
        <w:rPr>
          <w:lang w:val="es-ES"/>
        </w:rPr>
        <w:t>Sin embargo, ahora se presentaban por decenas de miles; en diciembre de 2025, se había recibido la notificación de 200 000 satélites, tras lo cual un operador simultáneo declaró que iba a notificar un millón de satélites</w:t>
      </w:r>
      <w:r w:rsidRPr="001D759A">
        <w:rPr>
          <w:lang w:val="es-ES"/>
        </w:rPr>
        <w:t xml:space="preserve">. Si bien no está claro cuántas notificaciones se presentarán, o si los satélites se lanzarán efectivamente, la BR debe tramitarlas todas. </w:t>
      </w:r>
      <w:r w:rsidR="005A1FA1" w:rsidRPr="001D759A">
        <w:rPr>
          <w:lang w:val="es-ES"/>
        </w:rPr>
        <w:t xml:space="preserve">Se necesita una solución a largo plazo. Todo nuevo personal contratado tendrá que recibir formación, por lo que su contribución no será inmediata. Se apreciaron en gran medida las contribuciones financieras de los Estados Miembros para la adquisición de soluciones </w:t>
      </w:r>
      <w:r w:rsidR="005A1FA1" w:rsidRPr="001D759A">
        <w:rPr>
          <w:lang w:val="es-ES"/>
        </w:rPr>
        <w:lastRenderedPageBreak/>
        <w:t>informáticas. Ahora bien, tampoco será una solución a corto plazo, ya que el diseño, el desarrollo, las pruebas y la aplicación de los programas informáticos llevará tiempo. Con el aumento significativo del número de lanzamientos de satélites, la situación en la BR no es pasajera. Por consiguiente, la BR debe disponer de recursos adecuados y sostenibles.</w:t>
      </w:r>
    </w:p>
    <w:p w14:paraId="5511EF15" w14:textId="67D8ACEB" w:rsidR="00ED2477" w:rsidRPr="001D759A" w:rsidRDefault="00ED2477" w:rsidP="00F17F50">
      <w:pPr>
        <w:tabs>
          <w:tab w:val="clear" w:pos="567"/>
          <w:tab w:val="left" w:pos="709"/>
        </w:tabs>
        <w:spacing w:after="120"/>
        <w:rPr>
          <w:lang w:val="es-ES"/>
        </w:rPr>
      </w:pPr>
      <w:r w:rsidRPr="001D759A">
        <w:rPr>
          <w:lang w:val="es-ES"/>
        </w:rPr>
        <w:t>17.13</w:t>
      </w:r>
      <w:r w:rsidRPr="001D759A">
        <w:rPr>
          <w:lang w:val="es-ES"/>
        </w:rPr>
        <w:tab/>
        <w:t xml:space="preserve">La Comisión </w:t>
      </w:r>
      <w:r w:rsidRPr="001D759A">
        <w:rPr>
          <w:b/>
          <w:bCs/>
          <w:lang w:val="es-ES"/>
        </w:rPr>
        <w:t>acordó</w:t>
      </w:r>
      <w:r w:rsidRPr="001D759A">
        <w:rPr>
          <w:lang w:val="es-ES"/>
        </w:rPr>
        <w:t xml:space="preserve"> llegar a la siguiente conclusión sobre este asunto:</w:t>
      </w:r>
    </w:p>
    <w:tbl>
      <w:tblPr>
        <w:tblStyle w:val="TableGrid"/>
        <w:tblW w:w="5000" w:type="pct"/>
        <w:tblInd w:w="-147" w:type="dxa"/>
        <w:tblLook w:val="04A0" w:firstRow="1" w:lastRow="0" w:firstColumn="1" w:lastColumn="0" w:noHBand="0" w:noVBand="1"/>
      </w:tblPr>
      <w:tblGrid>
        <w:gridCol w:w="9061"/>
      </w:tblGrid>
      <w:tr w:rsidR="00ED2477" w:rsidRPr="0057685D" w14:paraId="01C71DAE" w14:textId="77777777" w:rsidTr="00950DAB">
        <w:tc>
          <w:tcPr>
            <w:tcW w:w="9208" w:type="dxa"/>
            <w:tcBorders>
              <w:top w:val="single" w:sz="4" w:space="0" w:color="auto"/>
              <w:left w:val="single" w:sz="4" w:space="0" w:color="auto"/>
              <w:bottom w:val="single" w:sz="4" w:space="0" w:color="auto"/>
              <w:right w:val="single" w:sz="4" w:space="0" w:color="auto"/>
            </w:tcBorders>
            <w:hideMark/>
          </w:tcPr>
          <w:p w14:paraId="2C0DE653" w14:textId="16324017" w:rsidR="00ED2477" w:rsidRPr="001D759A" w:rsidRDefault="00ED2477" w:rsidP="00F17F50">
            <w:pPr>
              <w:tabs>
                <w:tab w:val="clear" w:pos="567"/>
                <w:tab w:val="left" w:pos="743"/>
              </w:tabs>
              <w:ind w:left="34"/>
              <w:rPr>
                <w:lang w:val="es-ES"/>
              </w:rPr>
            </w:pPr>
            <w:r w:rsidRPr="001D759A">
              <w:rPr>
                <w:lang w:val="es-ES"/>
              </w:rPr>
              <w:t>17.14</w:t>
            </w:r>
            <w:r w:rsidRPr="001D759A">
              <w:rPr>
                <w:lang w:val="es-ES"/>
              </w:rPr>
              <w:tab/>
              <w:t xml:space="preserve">La Comisión recomienda </w:t>
            </w:r>
            <w:r w:rsidR="00FB7200" w:rsidRPr="001D759A">
              <w:rPr>
                <w:lang w:val="es-ES"/>
              </w:rPr>
              <w:t>a</w:t>
            </w:r>
            <w:r w:rsidRPr="001D759A">
              <w:rPr>
                <w:lang w:val="es-ES"/>
              </w:rPr>
              <w:t>l Consejo</w:t>
            </w:r>
            <w:r w:rsidR="00FB7200" w:rsidRPr="001D759A">
              <w:rPr>
                <w:lang w:val="es-ES"/>
              </w:rPr>
              <w:t xml:space="preserve"> que</w:t>
            </w:r>
            <w:r w:rsidRPr="001D759A">
              <w:rPr>
                <w:lang w:val="es-ES"/>
              </w:rPr>
              <w:t>:</w:t>
            </w:r>
          </w:p>
          <w:p w14:paraId="427BE292" w14:textId="74AD49B7" w:rsidR="00036C7E" w:rsidRDefault="00ED2477" w:rsidP="00F17F50">
            <w:pPr>
              <w:pStyle w:val="enumlev1"/>
              <w:tabs>
                <w:tab w:val="clear" w:pos="567"/>
              </w:tabs>
              <w:ind w:left="749" w:hanging="709"/>
              <w:rPr>
                <w:lang w:val="es-ES"/>
              </w:rPr>
            </w:pPr>
            <w:r w:rsidRPr="001D759A">
              <w:rPr>
                <w:lang w:val="es-ES"/>
              </w:rPr>
              <w:t>•</w:t>
            </w:r>
            <w:r w:rsidRPr="001D759A">
              <w:rPr>
                <w:lang w:val="es-ES"/>
              </w:rPr>
              <w:tab/>
              <w:t xml:space="preserve">tome nota del informe contenido en el Documento </w:t>
            </w:r>
            <w:hyperlink r:id="rId58" w:history="1">
              <w:r w:rsidRPr="00184AC5">
                <w:rPr>
                  <w:rStyle w:val="Hyperlink"/>
                  <w:lang w:val="es-ES"/>
                </w:rPr>
                <w:t>C26/16</w:t>
              </w:r>
            </w:hyperlink>
            <w:r w:rsidR="005A3B14" w:rsidRPr="005A3B14">
              <w:rPr>
                <w:lang w:val="es-ES"/>
              </w:rPr>
              <w:t>;</w:t>
            </w:r>
          </w:p>
          <w:p w14:paraId="6764C2F7" w14:textId="794BB591" w:rsidR="00CB52C4" w:rsidRPr="001D759A" w:rsidRDefault="00036C7E" w:rsidP="00F17F50">
            <w:pPr>
              <w:pStyle w:val="enumlev1"/>
              <w:tabs>
                <w:tab w:val="clear" w:pos="567"/>
              </w:tabs>
              <w:ind w:left="749" w:hanging="709"/>
              <w:rPr>
                <w:lang w:val="es-ES"/>
              </w:rPr>
            </w:pPr>
            <w:r w:rsidRPr="001D759A">
              <w:rPr>
                <w:lang w:val="es-ES"/>
              </w:rPr>
              <w:t>•</w:t>
            </w:r>
            <w:r w:rsidRPr="001D759A">
              <w:rPr>
                <w:lang w:val="es-ES"/>
              </w:rPr>
              <w:tab/>
            </w:r>
            <w:r>
              <w:rPr>
                <w:lang w:val="es-ES"/>
              </w:rPr>
              <w:t>c</w:t>
            </w:r>
            <w:r w:rsidR="00CB52C4">
              <w:rPr>
                <w:lang w:val="es-ES"/>
              </w:rPr>
              <w:t xml:space="preserve">onsidere la contribución presentada en el Documento </w:t>
            </w:r>
            <w:hyperlink r:id="rId59" w:history="1">
              <w:r w:rsidR="00254762" w:rsidRPr="00C52838">
                <w:rPr>
                  <w:rStyle w:val="Hyperlink"/>
                  <w:rFonts w:eastAsia="Aptos" w:cs="Times New Roman"/>
                  <w:szCs w:val="20"/>
                  <w:lang w:val="es-ES"/>
                </w:rPr>
                <w:t>C26/75</w:t>
              </w:r>
            </w:hyperlink>
            <w:r w:rsidR="00CB52C4">
              <w:rPr>
                <w:lang w:val="es-ES"/>
              </w:rPr>
              <w:t>, cuyo objetivo es el fortalecimiento de los recursos del Departamento de Servicios Espaciales para eliminar el retraso acumulado en la tramitación de notificaciones de redes y sistemas de satélites, incluso en el contexto de la atribución de los ahorros de</w:t>
            </w:r>
            <w:r>
              <w:rPr>
                <w:lang w:val="es-ES"/>
              </w:rPr>
              <w:t> </w:t>
            </w:r>
            <w:r w:rsidR="00CB52C4">
              <w:rPr>
                <w:lang w:val="es-ES"/>
              </w:rPr>
              <w:t xml:space="preserve">2025 (Documento </w:t>
            </w:r>
            <w:hyperlink r:id="rId60" w:history="1">
              <w:r w:rsidR="00254762" w:rsidRPr="00C52838">
                <w:rPr>
                  <w:rStyle w:val="Hyperlink"/>
                  <w:rFonts w:eastAsia="Aptos" w:cs="Times New Roman"/>
                  <w:szCs w:val="20"/>
                  <w:lang w:val="es-ES"/>
                </w:rPr>
                <w:t>C26/42(Rev.2)</w:t>
              </w:r>
            </w:hyperlink>
            <w:r w:rsidR="00254762" w:rsidRPr="00C52838">
              <w:rPr>
                <w:rFonts w:eastAsia="Aptos"/>
                <w:lang w:val="es-ES"/>
              </w:rPr>
              <w:t xml:space="preserve">); </w:t>
            </w:r>
            <w:r w:rsidR="00CB52C4">
              <w:rPr>
                <w:lang w:val="es-ES"/>
              </w:rPr>
              <w:t>y</w:t>
            </w:r>
          </w:p>
          <w:p w14:paraId="277D021F" w14:textId="77E79892" w:rsidR="00ED2477" w:rsidRPr="001D759A" w:rsidRDefault="00ED2477" w:rsidP="00F17F50">
            <w:pPr>
              <w:pStyle w:val="enumlev1"/>
              <w:tabs>
                <w:tab w:val="clear" w:pos="567"/>
              </w:tabs>
              <w:spacing w:after="120"/>
              <w:ind w:left="749" w:hanging="709"/>
              <w:rPr>
                <w:lang w:val="es-ES"/>
              </w:rPr>
            </w:pPr>
            <w:r w:rsidRPr="001D759A">
              <w:rPr>
                <w:lang w:val="es-ES"/>
              </w:rPr>
              <w:t>•</w:t>
            </w:r>
            <w:r w:rsidRPr="001D759A">
              <w:rPr>
                <w:lang w:val="es-ES"/>
              </w:rPr>
              <w:tab/>
              <w:t xml:space="preserve">encargue al GTC-RHF que </w:t>
            </w:r>
            <w:r w:rsidR="00CB52C4">
              <w:rPr>
                <w:lang w:val="es-ES"/>
              </w:rPr>
              <w:t>lleve a cabo una evaluación de los costes relacionados con la aplicación de</w:t>
            </w:r>
            <w:r w:rsidRPr="001D759A">
              <w:rPr>
                <w:lang w:val="es-ES"/>
              </w:rPr>
              <w:t xml:space="preserve"> las Resoluciones 35 (Rev.CMR-23) y 8 (CMR-23).</w:t>
            </w:r>
          </w:p>
        </w:tc>
      </w:tr>
    </w:tbl>
    <w:p w14:paraId="4ECA5B73" w14:textId="77777777" w:rsidR="00ED2477" w:rsidRPr="001D759A" w:rsidRDefault="00ED2477" w:rsidP="007113C1">
      <w:pPr>
        <w:pStyle w:val="Heading1"/>
        <w:keepNext w:val="0"/>
        <w:keepLines w:val="0"/>
        <w:rPr>
          <w:lang w:val="es-ES"/>
        </w:rPr>
      </w:pPr>
      <w:r w:rsidRPr="001D759A">
        <w:rPr>
          <w:lang w:val="es-ES"/>
        </w:rPr>
        <w:t>18</w:t>
      </w:r>
      <w:r w:rsidRPr="001D759A">
        <w:rPr>
          <w:lang w:val="es-ES"/>
        </w:rPr>
        <w:tab/>
        <w:t xml:space="preserve">Notificaciones de redes de satélite – Proyecto de metodología (Documento </w:t>
      </w:r>
      <w:hyperlink r:id="rId61" w:history="1">
        <w:r w:rsidRPr="00184AC5">
          <w:rPr>
            <w:rStyle w:val="Hyperlink"/>
            <w:rFonts w:cs="Calibri"/>
            <w:bCs/>
            <w:szCs w:val="24"/>
            <w:lang w:val="es-ES"/>
          </w:rPr>
          <w:t>C26/19</w:t>
        </w:r>
      </w:hyperlink>
      <w:r w:rsidRPr="001D759A">
        <w:rPr>
          <w:lang w:val="es-ES"/>
        </w:rPr>
        <w:t>)</w:t>
      </w:r>
    </w:p>
    <w:p w14:paraId="4423304F" w14:textId="0D8E6611" w:rsidR="00ED2477" w:rsidRPr="001D759A" w:rsidRDefault="00254762" w:rsidP="007113C1">
      <w:pPr>
        <w:pStyle w:val="Heading1"/>
        <w:keepNext w:val="0"/>
        <w:keepLines w:val="0"/>
        <w:spacing w:before="160"/>
        <w:rPr>
          <w:lang w:val="es-ES"/>
        </w:rPr>
      </w:pPr>
      <w:r>
        <w:rPr>
          <w:lang w:val="es-ES"/>
        </w:rPr>
        <w:tab/>
      </w:r>
      <w:r w:rsidR="00ED2477" w:rsidRPr="001D759A">
        <w:rPr>
          <w:lang w:val="es-ES"/>
        </w:rPr>
        <w:t xml:space="preserve">Aplicación del Acuerdo 482 – Estudio de caso sobre los costes indirectos asociados a las notificaciones de las redes y sistemas de satélites y propuesta de </w:t>
      </w:r>
      <w:proofErr w:type="spellStart"/>
      <w:r w:rsidR="00ED2477" w:rsidRPr="00393A84">
        <w:t>referencia</w:t>
      </w:r>
      <w:proofErr w:type="spellEnd"/>
      <w:r w:rsidR="00393A84">
        <w:rPr>
          <w:lang w:val="es-ES"/>
        </w:rPr>
        <w:t xml:space="preserve"> </w:t>
      </w:r>
      <w:r w:rsidR="00ED2477" w:rsidRPr="001D759A">
        <w:rPr>
          <w:lang w:val="es-ES"/>
        </w:rPr>
        <w:t xml:space="preserve">metodológica (Documento </w:t>
      </w:r>
      <w:hyperlink r:id="rId62" w:history="1">
        <w:r w:rsidR="00ED2477" w:rsidRPr="00184AC5">
          <w:rPr>
            <w:rStyle w:val="Hyperlink"/>
            <w:lang w:val="es-ES"/>
          </w:rPr>
          <w:t>C26/84</w:t>
        </w:r>
      </w:hyperlink>
      <w:r w:rsidR="00ED2477" w:rsidRPr="001D759A">
        <w:rPr>
          <w:lang w:val="es-ES"/>
        </w:rPr>
        <w:t>)</w:t>
      </w:r>
    </w:p>
    <w:p w14:paraId="150115E7" w14:textId="50595DFF" w:rsidR="00ED2477" w:rsidRPr="001D759A" w:rsidRDefault="00254762" w:rsidP="007113C1">
      <w:pPr>
        <w:pStyle w:val="Heading1"/>
        <w:keepNext w:val="0"/>
        <w:keepLines w:val="0"/>
        <w:spacing w:before="160"/>
        <w:rPr>
          <w:lang w:val="es-ES"/>
        </w:rPr>
      </w:pPr>
      <w:r>
        <w:rPr>
          <w:lang w:val="es-ES"/>
        </w:rPr>
        <w:tab/>
      </w:r>
      <w:proofErr w:type="spellStart"/>
      <w:r w:rsidR="00ED2477" w:rsidRPr="00393A84">
        <w:t>Comentarios</w:t>
      </w:r>
      <w:proofErr w:type="spellEnd"/>
      <w:r w:rsidR="00ED2477" w:rsidRPr="001D759A">
        <w:rPr>
          <w:lang w:val="es-ES"/>
        </w:rPr>
        <w:t xml:space="preserve"> y propuestas sobre el proyecto de metodología de las notificaciones</w:t>
      </w:r>
      <w:r w:rsidR="00393A84">
        <w:rPr>
          <w:lang w:val="es-ES"/>
        </w:rPr>
        <w:t xml:space="preserve"> </w:t>
      </w:r>
      <w:r w:rsidR="00ED2477" w:rsidRPr="001D759A">
        <w:rPr>
          <w:lang w:val="es-ES"/>
        </w:rPr>
        <w:t xml:space="preserve">de redes de satélite (Documento </w:t>
      </w:r>
      <w:hyperlink r:id="rId63" w:history="1">
        <w:r w:rsidR="00ED2477" w:rsidRPr="00184AC5">
          <w:rPr>
            <w:rStyle w:val="Hyperlink"/>
            <w:lang w:val="es-ES"/>
          </w:rPr>
          <w:t>C26/96</w:t>
        </w:r>
      </w:hyperlink>
      <w:r w:rsidR="00ED2477" w:rsidRPr="001D759A">
        <w:rPr>
          <w:lang w:val="es-ES"/>
        </w:rPr>
        <w:t>)</w:t>
      </w:r>
    </w:p>
    <w:p w14:paraId="65B1F22B" w14:textId="71CE739C" w:rsidR="00ED2477" w:rsidRPr="001D759A" w:rsidRDefault="00254762" w:rsidP="007113C1">
      <w:pPr>
        <w:pStyle w:val="Heading1"/>
        <w:keepNext w:val="0"/>
        <w:keepLines w:val="0"/>
        <w:spacing w:before="160"/>
        <w:rPr>
          <w:lang w:val="es-ES"/>
        </w:rPr>
      </w:pPr>
      <w:r>
        <w:rPr>
          <w:lang w:val="es-ES"/>
        </w:rPr>
        <w:tab/>
      </w:r>
      <w:r w:rsidR="00ED2477" w:rsidRPr="001D759A">
        <w:rPr>
          <w:lang w:val="es-ES"/>
        </w:rPr>
        <w:t>Mejora de la recuperación de costes de las notificaciones de redes de satélites y tratamiento de los retrasos de tramitación en la Oficina</w:t>
      </w:r>
      <w:r w:rsidR="00F47D7B">
        <w:rPr>
          <w:lang w:val="es-ES"/>
        </w:rPr>
        <w:br/>
      </w:r>
      <w:r w:rsidR="00ED2477" w:rsidRPr="001D759A">
        <w:rPr>
          <w:lang w:val="es-ES"/>
        </w:rPr>
        <w:t xml:space="preserve">de Radiocomunicaciones (Documento </w:t>
      </w:r>
      <w:hyperlink r:id="rId64" w:history="1">
        <w:r w:rsidR="00ED2477" w:rsidRPr="00184AC5">
          <w:rPr>
            <w:rStyle w:val="Hyperlink"/>
            <w:lang w:val="es-ES"/>
          </w:rPr>
          <w:t>C26/98</w:t>
        </w:r>
      </w:hyperlink>
      <w:r w:rsidR="00ED2477" w:rsidRPr="001D759A">
        <w:rPr>
          <w:lang w:val="es-ES"/>
        </w:rPr>
        <w:t>)</w:t>
      </w:r>
    </w:p>
    <w:p w14:paraId="76A43EC0" w14:textId="77B736B9" w:rsidR="00ED2477" w:rsidRPr="001D759A" w:rsidRDefault="00254762" w:rsidP="007113C1">
      <w:pPr>
        <w:pStyle w:val="Heading1"/>
        <w:keepNext w:val="0"/>
        <w:keepLines w:val="0"/>
        <w:spacing w:before="160"/>
        <w:rPr>
          <w:lang w:val="es-ES"/>
        </w:rPr>
      </w:pPr>
      <w:r>
        <w:rPr>
          <w:lang w:val="es-ES"/>
        </w:rPr>
        <w:tab/>
      </w:r>
      <w:r w:rsidR="00ED2477" w:rsidRPr="001D759A">
        <w:rPr>
          <w:lang w:val="es-ES"/>
        </w:rPr>
        <w:t xml:space="preserve">Mejora del mecanismo de recuperación de costes para la tramitación de </w:t>
      </w:r>
      <w:proofErr w:type="spellStart"/>
      <w:r w:rsidR="00ED2477" w:rsidRPr="00393A84">
        <w:t>notificaciones</w:t>
      </w:r>
      <w:proofErr w:type="spellEnd"/>
      <w:r w:rsidR="00393A84">
        <w:rPr>
          <w:lang w:val="es-ES"/>
        </w:rPr>
        <w:t xml:space="preserve"> </w:t>
      </w:r>
      <w:r w:rsidR="00ED2477" w:rsidRPr="001D759A">
        <w:rPr>
          <w:lang w:val="es-ES"/>
        </w:rPr>
        <w:t xml:space="preserve">de redes de satélites (Documento </w:t>
      </w:r>
      <w:hyperlink r:id="rId65" w:history="1">
        <w:r w:rsidR="00ED2477" w:rsidRPr="00184AC5">
          <w:rPr>
            <w:rStyle w:val="Hyperlink"/>
            <w:lang w:val="es-ES"/>
          </w:rPr>
          <w:t>C26/90</w:t>
        </w:r>
      </w:hyperlink>
      <w:r w:rsidR="00ED2477" w:rsidRPr="001D759A">
        <w:rPr>
          <w:lang w:val="es-ES"/>
        </w:rPr>
        <w:t>)</w:t>
      </w:r>
    </w:p>
    <w:p w14:paraId="16083181" w14:textId="351D2534" w:rsidR="00ED2477" w:rsidRPr="001D759A" w:rsidRDefault="00ED2477" w:rsidP="007113C1">
      <w:pPr>
        <w:rPr>
          <w:lang w:val="es-ES"/>
        </w:rPr>
      </w:pPr>
      <w:r w:rsidRPr="001D759A">
        <w:rPr>
          <w:lang w:val="es-ES"/>
        </w:rPr>
        <w:t>18.1</w:t>
      </w:r>
      <w:r w:rsidRPr="001D759A">
        <w:rPr>
          <w:lang w:val="es-ES"/>
        </w:rPr>
        <w:tab/>
        <w:t>Un representante de la Secretaría General presentó el Documento C26/19, que contiene una visión general de la metodología propuesta para la recuperación de los costes asociados a la tramitación de notificaciones de redes de satélites. Explic</w:t>
      </w:r>
      <w:r w:rsidR="00E71850">
        <w:rPr>
          <w:lang w:val="es-ES"/>
        </w:rPr>
        <w:t>ó</w:t>
      </w:r>
      <w:r w:rsidRPr="001D759A">
        <w:rPr>
          <w:lang w:val="es-ES"/>
        </w:rPr>
        <w:t xml:space="preserve"> que, a raíz de los comentarios del GTC-RHF, ya no se aplica la metodología propuesta de "ajuste al alza y a la baja", que se ha considerado demasiado compleja. La Secretaría General propuso dos opciones para reducir el alcance del régimen de gratuidad de los Estados Miembros, a saber, la primera consistía en limitar el derecho a publicación gratuita a las notificaciones menos </w:t>
      </w:r>
      <w:r w:rsidR="00C817F3">
        <w:rPr>
          <w:lang w:val="es-ES"/>
        </w:rPr>
        <w:t>cost</w:t>
      </w:r>
      <w:r w:rsidR="00900B1F">
        <w:rPr>
          <w:lang w:val="es-ES"/>
        </w:rPr>
        <w:t>os</w:t>
      </w:r>
      <w:r w:rsidRPr="001D759A">
        <w:rPr>
          <w:lang w:val="es-ES"/>
        </w:rPr>
        <w:t xml:space="preserve">as del año; la segunda es limitar su aplicación a los </w:t>
      </w:r>
      <w:r w:rsidR="00AA3F0F">
        <w:rPr>
          <w:lang w:val="es-ES"/>
        </w:rPr>
        <w:t>PMA</w:t>
      </w:r>
      <w:r w:rsidRPr="001D759A">
        <w:rPr>
          <w:lang w:val="es-ES"/>
        </w:rPr>
        <w:t>, los pequeños Estados insulares en desarrollo (PEID), los países en desarrollo sin litoral (PDSL) y los países con economías en transición. Por último, exp</w:t>
      </w:r>
      <w:r w:rsidR="00E71850">
        <w:rPr>
          <w:lang w:val="es-ES"/>
        </w:rPr>
        <w:t>uso</w:t>
      </w:r>
      <w:r w:rsidRPr="001D759A">
        <w:rPr>
          <w:lang w:val="es-ES"/>
        </w:rPr>
        <w:t xml:space="preserve"> los costes asociados a los </w:t>
      </w:r>
      <w:r w:rsidR="00C817F3">
        <w:rPr>
          <w:lang w:val="es-ES"/>
        </w:rPr>
        <w:t>costes</w:t>
      </w:r>
      <w:r w:rsidRPr="001D759A">
        <w:rPr>
          <w:lang w:val="es-ES"/>
        </w:rPr>
        <w:t xml:space="preserve"> directos, que son los </w:t>
      </w:r>
      <w:r w:rsidR="00C817F3">
        <w:rPr>
          <w:lang w:val="es-ES"/>
        </w:rPr>
        <w:t>costes</w:t>
      </w:r>
      <w:r w:rsidRPr="001D759A">
        <w:rPr>
          <w:lang w:val="es-ES"/>
        </w:rPr>
        <w:t xml:space="preserve"> directamente imputables a la tramitación de las notificaciones de redes de satélite, como los </w:t>
      </w:r>
      <w:r w:rsidR="00C817F3">
        <w:rPr>
          <w:lang w:val="es-ES"/>
        </w:rPr>
        <w:t>costes</w:t>
      </w:r>
      <w:r w:rsidRPr="001D759A">
        <w:rPr>
          <w:lang w:val="es-ES"/>
        </w:rPr>
        <w:t xml:space="preserve"> de personal, sistemas y programas informáticos de la BR, así como ciertos </w:t>
      </w:r>
      <w:r w:rsidR="00C817F3">
        <w:rPr>
          <w:lang w:val="es-ES"/>
        </w:rPr>
        <w:t>costes</w:t>
      </w:r>
      <w:r w:rsidRPr="001D759A">
        <w:rPr>
          <w:lang w:val="es-ES"/>
        </w:rPr>
        <w:t xml:space="preserve"> de otros departamentos; y los costes indirectos, que incluían la gestión de </w:t>
      </w:r>
      <w:r w:rsidRPr="001D759A">
        <w:rPr>
          <w:lang w:val="es-ES"/>
        </w:rPr>
        <w:lastRenderedPageBreak/>
        <w:t>instalaciones, los recursos humanos, la supervisión, la formación y el desarrollo, y las obligaciones del seguro médico después del servicio (ASHI).</w:t>
      </w:r>
    </w:p>
    <w:p w14:paraId="535FEF1D" w14:textId="77777777" w:rsidR="00ED2477" w:rsidRPr="001D759A" w:rsidRDefault="00ED2477" w:rsidP="00ED2477">
      <w:pPr>
        <w:rPr>
          <w:lang w:val="es-ES"/>
        </w:rPr>
      </w:pPr>
      <w:r w:rsidRPr="001D759A">
        <w:rPr>
          <w:lang w:val="es-ES"/>
        </w:rPr>
        <w:t>18.2</w:t>
      </w:r>
      <w:r w:rsidRPr="001D759A">
        <w:rPr>
          <w:lang w:val="es-ES"/>
        </w:rPr>
        <w:tab/>
        <w:t>La consejera de Argentina presentó la contribución del Documento C26/84, que contiene un análisis de los costes directos e indirectos asociados a la aplicación del Acuerdo 482 (C01, modificado por última vez en C25), relativo a la aplicación de la recuperación de costes a las notificaciones de redes de satélites, y propone introducir un marco claro y limitar los costes indirectos al 30 % de los costes directos totales.</w:t>
      </w:r>
    </w:p>
    <w:p w14:paraId="22650FCB" w14:textId="13F38C02" w:rsidR="00ED2477" w:rsidRPr="001D759A" w:rsidRDefault="00ED2477" w:rsidP="00ED2477">
      <w:pPr>
        <w:rPr>
          <w:lang w:val="es-ES"/>
        </w:rPr>
      </w:pPr>
      <w:r w:rsidRPr="001D759A">
        <w:rPr>
          <w:lang w:val="es-ES"/>
        </w:rPr>
        <w:t>18.3</w:t>
      </w:r>
      <w:r w:rsidRPr="001D759A">
        <w:rPr>
          <w:lang w:val="es-ES"/>
        </w:rPr>
        <w:tab/>
        <w:t xml:space="preserve">La consejera de Estados Unidos presentó la contribución contenida en el Documento C26/96, que contiene comentarios y propuestas sobre la metodología propuesta para la recuperación de los costes asociados a las notificaciones de redes de satélites. La tramitación de notificaciones de redes de satélites y la inscripción de asignaciones de frecuencias son actividades fundamentales de la BR estipuladas en el tratado. Por consiguiente, debe recuperarse un nivel adecuado de los costes directos e indirectos incurridos. Sin embargo, antes de poder acordar una metodología de recuperación de costes, es necesario aclarar el alcance previsto de la "plena recuperación de costes" en la Resolución 91 (Rev. Guadalajara, 2010) de la Conferencia de Plenipotenciarios. También es necesario seguir debatiendo lo que constituyen los </w:t>
      </w:r>
      <w:r w:rsidR="00C817F3">
        <w:rPr>
          <w:lang w:val="es-ES"/>
        </w:rPr>
        <w:t>costes</w:t>
      </w:r>
      <w:r w:rsidRPr="001D759A">
        <w:rPr>
          <w:lang w:val="es-ES"/>
        </w:rPr>
        <w:t xml:space="preserve"> indirectos.</w:t>
      </w:r>
    </w:p>
    <w:p w14:paraId="1A1B9393" w14:textId="77777777" w:rsidR="00ED2477" w:rsidRPr="001D759A" w:rsidRDefault="00ED2477" w:rsidP="00ED2477">
      <w:pPr>
        <w:rPr>
          <w:lang w:val="es-ES"/>
        </w:rPr>
      </w:pPr>
      <w:r w:rsidRPr="001D759A">
        <w:rPr>
          <w:lang w:val="es-ES"/>
        </w:rPr>
        <w:t>18.4</w:t>
      </w:r>
      <w:r w:rsidRPr="001D759A">
        <w:rPr>
          <w:lang w:val="es-ES"/>
        </w:rPr>
        <w:tab/>
        <w:t>El consejero de Arabia Saudita presentó la contribución de varios países contenida en el Documento C26/98, patrocinada por cinco países, que contiene varias propuestas destinadas a mejorar la recuperación de los costes asociados a las notificaciones de redes de satélites y a abordar los retrasos en la tramitación en la BR.</w:t>
      </w:r>
    </w:p>
    <w:p w14:paraId="2EF9240D" w14:textId="77777777" w:rsidR="00ED2477" w:rsidRPr="001D759A" w:rsidRDefault="00ED2477" w:rsidP="00ED2477">
      <w:pPr>
        <w:rPr>
          <w:lang w:val="es-ES"/>
        </w:rPr>
      </w:pPr>
      <w:r w:rsidRPr="001D759A">
        <w:rPr>
          <w:lang w:val="es-ES"/>
        </w:rPr>
        <w:t>18.5</w:t>
      </w:r>
      <w:r w:rsidRPr="001D759A">
        <w:rPr>
          <w:lang w:val="es-ES"/>
        </w:rPr>
        <w:tab/>
        <w:t xml:space="preserve">Habiendo recibido el apoyo de una consejera, la observadora de la Federación de Rusia presentó la contribución </w:t>
      </w:r>
      <w:proofErr w:type="spellStart"/>
      <w:r w:rsidRPr="001D759A">
        <w:rPr>
          <w:lang w:val="es-ES"/>
        </w:rPr>
        <w:t>multipartita</w:t>
      </w:r>
      <w:proofErr w:type="spellEnd"/>
      <w:r w:rsidRPr="001D759A">
        <w:rPr>
          <w:lang w:val="es-ES"/>
        </w:rPr>
        <w:t xml:space="preserve"> contenida en el Documento C26/90, patrocinada por tres países observadores. Contiene una propuesta para revisar el mecanismo de recuperación de costes a fin de excluir de las tasas de los operadores de satélite los costes indirectos asociados con la tramitación de notificaciones de redes de satélite, que deberían financiarse con cargo al presupuesto ordinario.</w:t>
      </w:r>
    </w:p>
    <w:p w14:paraId="26E8E2A9" w14:textId="531B4924" w:rsidR="00ED2477" w:rsidRPr="001D759A" w:rsidRDefault="00ED2477" w:rsidP="00ED2477">
      <w:pPr>
        <w:rPr>
          <w:lang w:val="es-ES"/>
        </w:rPr>
      </w:pPr>
      <w:r w:rsidRPr="001D759A">
        <w:rPr>
          <w:lang w:val="es-ES"/>
        </w:rPr>
        <w:t>18.6</w:t>
      </w:r>
      <w:r w:rsidRPr="001D759A">
        <w:rPr>
          <w:lang w:val="es-ES"/>
        </w:rPr>
        <w:tab/>
        <w:t>Vari</w:t>
      </w:r>
      <w:r w:rsidR="00CB71B7">
        <w:rPr>
          <w:lang w:val="es-ES"/>
        </w:rPr>
        <w:t>o</w:t>
      </w:r>
      <w:r w:rsidRPr="001D759A">
        <w:rPr>
          <w:lang w:val="es-ES"/>
        </w:rPr>
        <w:t>s consejer</w:t>
      </w:r>
      <w:r w:rsidR="00CB71B7">
        <w:rPr>
          <w:lang w:val="es-ES"/>
        </w:rPr>
        <w:t>o</w:t>
      </w:r>
      <w:r w:rsidRPr="001D759A">
        <w:rPr>
          <w:lang w:val="es-ES"/>
        </w:rPr>
        <w:t xml:space="preserve">s acogieron con beneplácito el método de recuperación de costes propuesto por la Secretaría, incluido el modelo de determinación de costes basado en actividades, como un paso importante hacia una mayor transparencia, sostenibilidad y equidad. Se expresaron agradecimientos por los esfuerzos realizados para atender las preocupaciones de los miembros del GTC-RHF y establecer una clara distinción entre los costes directos e indirectos. Se observó que, con el sistema actual, no todos los </w:t>
      </w:r>
      <w:r w:rsidR="00C817F3">
        <w:rPr>
          <w:lang w:val="es-ES"/>
        </w:rPr>
        <w:t>costes</w:t>
      </w:r>
      <w:r w:rsidRPr="001D759A">
        <w:rPr>
          <w:lang w:val="es-ES"/>
        </w:rPr>
        <w:t xml:space="preserve"> se recuperaban totalmente, lo que dejaba entrever un cierto grado de subvención encubierta. Algunos consejeros destacaron la necesidad de adoptar un enfoque equilibrado de la recuperación de </w:t>
      </w:r>
      <w:r w:rsidR="00C817F3">
        <w:rPr>
          <w:lang w:val="es-ES"/>
        </w:rPr>
        <w:t>costes</w:t>
      </w:r>
      <w:r w:rsidRPr="001D759A">
        <w:rPr>
          <w:lang w:val="es-ES"/>
        </w:rPr>
        <w:t xml:space="preserve"> que evite imponer una carga desproporcionada a los países en desarrollo o crear obstáculos a la entrada. Una consejera insistió en la importancia de la previsibilidad y estabilidad de los cánones y en la necesidad de diferenciar los planteamientos con respecto a los proyectos de satélites OSG y no OSG. Algunas consejeras declararon que considera</w:t>
      </w:r>
      <w:r w:rsidR="00E71850">
        <w:rPr>
          <w:lang w:val="es-ES"/>
        </w:rPr>
        <w:t>ba</w:t>
      </w:r>
      <w:r w:rsidRPr="001D759A">
        <w:rPr>
          <w:lang w:val="es-ES"/>
        </w:rPr>
        <w:t>n razonable el coste indirecto de referencia del 23,7 %</w:t>
      </w:r>
      <w:r w:rsidR="00A96099" w:rsidRPr="001D759A">
        <w:rPr>
          <w:lang w:val="es-ES"/>
        </w:rPr>
        <w:t xml:space="preserve"> </w:t>
      </w:r>
      <w:r w:rsidRPr="001D759A">
        <w:rPr>
          <w:lang w:val="es-ES"/>
        </w:rPr>
        <w:t>de los costes totales; otro consejero preguntó si se ha</w:t>
      </w:r>
      <w:r w:rsidR="00E71850">
        <w:rPr>
          <w:lang w:val="es-ES"/>
        </w:rPr>
        <w:t xml:space="preserve">bía </w:t>
      </w:r>
      <w:r w:rsidRPr="001D759A">
        <w:rPr>
          <w:lang w:val="es-ES"/>
        </w:rPr>
        <w:t>considerado una referencia más baja.</w:t>
      </w:r>
    </w:p>
    <w:p w14:paraId="4F4C425D" w14:textId="34B8132D" w:rsidR="00ED2477" w:rsidRPr="001D759A" w:rsidRDefault="00ED2477" w:rsidP="00ED2477">
      <w:pPr>
        <w:rPr>
          <w:lang w:val="es-ES"/>
        </w:rPr>
      </w:pPr>
      <w:r w:rsidRPr="001D759A">
        <w:rPr>
          <w:lang w:val="es-ES"/>
        </w:rPr>
        <w:t>18.7</w:t>
      </w:r>
      <w:r w:rsidRPr="001D759A">
        <w:rPr>
          <w:lang w:val="es-ES"/>
        </w:rPr>
        <w:tab/>
        <w:t xml:space="preserve">Varios consejeros señalaron a la atención de los presentes el principio de recuperación íntegra de </w:t>
      </w:r>
      <w:r w:rsidR="00C817F3">
        <w:rPr>
          <w:lang w:val="es-ES"/>
        </w:rPr>
        <w:t>costes</w:t>
      </w:r>
      <w:r w:rsidRPr="001D759A">
        <w:rPr>
          <w:lang w:val="es-ES"/>
        </w:rPr>
        <w:t xml:space="preserve"> consagrado en la Resolución 91 (Rev. Guadalajara, 2010) de la Conferencia de Plenipotenciarios. Algunas consejeras expresaron su apoyo a que esos costes incluyan los costes directos e indirectos asociados con la tramitación de notificaciones de redes de </w:t>
      </w:r>
      <w:r w:rsidRPr="001D759A">
        <w:rPr>
          <w:lang w:val="es-ES"/>
        </w:rPr>
        <w:lastRenderedPageBreak/>
        <w:t>satélites. Otros consejeros y un observador rec</w:t>
      </w:r>
      <w:r w:rsidR="00E71850">
        <w:rPr>
          <w:lang w:val="es-ES"/>
        </w:rPr>
        <w:t>ordaron</w:t>
      </w:r>
      <w:r w:rsidRPr="001D759A">
        <w:rPr>
          <w:lang w:val="es-ES"/>
        </w:rPr>
        <w:t xml:space="preserve"> que los debates del GTC-RHF han servido para destacar las diferentes interpretaciones de la Resolución 91 (Rev.</w:t>
      </w:r>
      <w:r w:rsidR="00E44FBE" w:rsidRPr="001D759A">
        <w:rPr>
          <w:lang w:val="es-ES"/>
        </w:rPr>
        <w:t> </w:t>
      </w:r>
      <w:r w:rsidRPr="001D759A">
        <w:rPr>
          <w:lang w:val="es-ES"/>
        </w:rPr>
        <w:t>Guadalajara, 2010) y del régimen de recuperación de costes. Por consiguiente, es prematuro considerar la posibilidad de refrendar la metodología propuesta por la Secretaría. Lo lógico es esperar los debates y los resultados de la Conferencia de Plenipotenciarios, que podría incluir la modificación de la Resolución 91 (Rev. Guadalajara, 2010), y proseguir las deliberaciones al respecto en el GTC-RHF hasta la reunión de 2027 del Consejo.</w:t>
      </w:r>
    </w:p>
    <w:p w14:paraId="3B9AC2E0" w14:textId="77777777" w:rsidR="00ED2477" w:rsidRPr="001D759A" w:rsidRDefault="00ED2477" w:rsidP="00ED2477">
      <w:pPr>
        <w:rPr>
          <w:lang w:val="es-ES"/>
        </w:rPr>
      </w:pPr>
      <w:r w:rsidRPr="001D759A">
        <w:rPr>
          <w:lang w:val="es-ES"/>
        </w:rPr>
        <w:t>18.8</w:t>
      </w:r>
      <w:r w:rsidRPr="001D759A">
        <w:rPr>
          <w:lang w:val="es-ES"/>
        </w:rPr>
        <w:tab/>
        <w:t>En lo que respecta a la gratuidad, varios consejeros insistieron en que el régimen es un componente esencial del sistema y que todos los Estados Miembros tienen el mismo derecho a recibir un nivel adecuado de productos y servicios gratuitos. Algunos consejeros expresaron su preocupación por el abuso o el uso indebido del régimen, las desigualdades en su aplicación y la posibilidad de subvenciones encubiertas en favor de las entidades más fuertes. Algunos consejeros destacaron que, en su formato actual, el régimen no responde adecuadamente a las necesidades de los países en desarrollo, ni se ajusta al espíritu y la intención de la Resolución 91 (Rev. Guadalajara, 2010). Varios consejeros manifestaron su apoyo a la revisión del Acuerdo 482 (C01, modificado por última vez C25); una consejera señaló que sus enmiendas más recientes, en virtud de las cuales se ha excluido a determinadas categorías de los derechos de gratuidad, no entraron en vigor hasta enero de 2026. Se necesita tiempo para que esos cambios se apliquen antes de que se introduzcan nuevas modificaciones. Algunas consejeras expresaron su oposición a cualquier cambio estructural o restricción impuesta a los derechos de gratuidad. Dos consejeras insistieron en que los costes de la gratuidad no deberían incluirse en las actividades de recuperación de costes.</w:t>
      </w:r>
    </w:p>
    <w:p w14:paraId="3B32E417" w14:textId="0014E64E" w:rsidR="00ED2477" w:rsidRPr="001D759A" w:rsidRDefault="00ED2477" w:rsidP="00ED2477">
      <w:pPr>
        <w:rPr>
          <w:lang w:val="es-ES"/>
        </w:rPr>
      </w:pPr>
      <w:r w:rsidRPr="001D759A">
        <w:rPr>
          <w:lang w:val="es-ES"/>
        </w:rPr>
        <w:t>18.9</w:t>
      </w:r>
      <w:r w:rsidRPr="001D759A">
        <w:rPr>
          <w:lang w:val="es-ES"/>
        </w:rPr>
        <w:tab/>
        <w:t xml:space="preserve">Dos consejeros solicitaron información sobre la manera en que las dos opciones propuestas por la Secretaría para reformar el régimen de gratuidad incorporan principios de igualdad de acceso y equidad, tienen en cuenta los aspectos financieros y tecnológicos y evitan el abuso del sistema. Un consejero expresó su apoyo a la primera opción, que limita la notificación gratuita anual a la notificación menos </w:t>
      </w:r>
      <w:r w:rsidR="00E71850">
        <w:rPr>
          <w:lang w:val="es-ES"/>
        </w:rPr>
        <w:t>costos</w:t>
      </w:r>
      <w:r w:rsidR="00E71850" w:rsidRPr="001D759A">
        <w:rPr>
          <w:lang w:val="es-ES"/>
        </w:rPr>
        <w:t>a</w:t>
      </w:r>
      <w:r w:rsidRPr="001D759A">
        <w:rPr>
          <w:lang w:val="es-ES"/>
        </w:rPr>
        <w:t xml:space="preserve">; dos consejeros </w:t>
      </w:r>
      <w:r w:rsidR="00BA764F">
        <w:rPr>
          <w:lang w:val="es-ES"/>
        </w:rPr>
        <w:t>era</w:t>
      </w:r>
      <w:r w:rsidRPr="001D759A">
        <w:rPr>
          <w:lang w:val="es-ES"/>
        </w:rPr>
        <w:t>n partidarios de la segunda opción, es decir, limitar los derechos de gratuidad a los PMA, los PEID, los PDSL y los países con economías en transición; algunos consejeros consideraron que ninguna de las dos opciones es viable. Podrían considerarse otras alternativas, como la introducción de un límite máximo para las notificaciones gratuitas y la reducción de la frecuencia de las notificaciones gratuitas. Algunos consejeros dijeron que e</w:t>
      </w:r>
      <w:r w:rsidR="00BA764F">
        <w:rPr>
          <w:lang w:val="es-ES"/>
        </w:rPr>
        <w:t>ra</w:t>
      </w:r>
      <w:r w:rsidRPr="001D759A">
        <w:rPr>
          <w:lang w:val="es-ES"/>
        </w:rPr>
        <w:t xml:space="preserve"> necesario esperar los resultados de la PP-26. El GTC-RHF podría seguir trabajando sobre este asunto.</w:t>
      </w:r>
    </w:p>
    <w:p w14:paraId="2A652298" w14:textId="677D421C" w:rsidR="00ED2477" w:rsidRPr="001D759A" w:rsidRDefault="00ED2477" w:rsidP="00ED2477">
      <w:pPr>
        <w:tabs>
          <w:tab w:val="clear" w:pos="567"/>
          <w:tab w:val="left" w:pos="709"/>
        </w:tabs>
        <w:rPr>
          <w:lang w:val="es-ES"/>
        </w:rPr>
      </w:pPr>
      <w:r w:rsidRPr="001D759A">
        <w:rPr>
          <w:lang w:val="es-ES"/>
        </w:rPr>
        <w:t>18.10</w:t>
      </w:r>
      <w:r w:rsidRPr="001D759A">
        <w:rPr>
          <w:lang w:val="es-ES"/>
        </w:rPr>
        <w:tab/>
        <w:t>En lo que respecta a las contribuciones de varios países, algunos consejeros agradecieron la contribución de Argentina, pero consideran que es necesario seguir estudiando el tope propuesto para los costes indirectos. Un consejero se opuso actualmente a la introducción de un tope. Los esfuerzos deben centrarse en elaborar y acordar una metodología de recuperación de costes. Dos consejeros apoyaron las principales conclusiones del documento presentado por Arabia Saudita. Algunos consejeros y un observador apoya</w:t>
      </w:r>
      <w:r w:rsidR="00BA764F">
        <w:rPr>
          <w:lang w:val="es-ES"/>
        </w:rPr>
        <w:t>ron</w:t>
      </w:r>
      <w:r w:rsidRPr="001D759A">
        <w:rPr>
          <w:lang w:val="es-ES"/>
        </w:rPr>
        <w:t xml:space="preserve"> la contribución de Estados Unidos, incluso en lo que respecta a la exclusión del pasivo del ASHI de los costes indirectos; otra consejera insistió en que todos los gastos de personal de la BR, incluido el pasivo del ASHI, deben incluirse en los cálculos. Dos consejeros</w:t>
      </w:r>
      <w:r w:rsidR="00BA764F">
        <w:rPr>
          <w:lang w:val="es-ES"/>
        </w:rPr>
        <w:t xml:space="preserve"> </w:t>
      </w:r>
      <w:r w:rsidRPr="001D759A">
        <w:rPr>
          <w:lang w:val="es-ES"/>
        </w:rPr>
        <w:t xml:space="preserve">se refirieron a la contribución presentada por el observador de la Federación de Rusia, se opusieron a la propuesta de trasladar los costes indirectos al presupuesto </w:t>
      </w:r>
      <w:r w:rsidRPr="001D759A">
        <w:rPr>
          <w:lang w:val="es-ES"/>
        </w:rPr>
        <w:lastRenderedPageBreak/>
        <w:t>ordinario, aunque uno convi</w:t>
      </w:r>
      <w:r w:rsidR="00BA764F">
        <w:rPr>
          <w:lang w:val="es-ES"/>
        </w:rPr>
        <w:t>no</w:t>
      </w:r>
      <w:r w:rsidRPr="001D759A">
        <w:rPr>
          <w:lang w:val="es-ES"/>
        </w:rPr>
        <w:t xml:space="preserve"> en que sería útil disponer de un informe exhaustivo sobre la financiación de la BR correspondiente al ciclo cuadrienal anterior.</w:t>
      </w:r>
    </w:p>
    <w:p w14:paraId="04ECEBB4" w14:textId="7DF62DE8" w:rsidR="00ED2477" w:rsidRPr="001D759A" w:rsidRDefault="00ED2477" w:rsidP="00ED2477">
      <w:pPr>
        <w:tabs>
          <w:tab w:val="clear" w:pos="567"/>
          <w:tab w:val="left" w:pos="709"/>
        </w:tabs>
        <w:rPr>
          <w:lang w:val="es-ES"/>
        </w:rPr>
      </w:pPr>
      <w:r w:rsidRPr="001D759A">
        <w:rPr>
          <w:lang w:val="es-ES"/>
        </w:rPr>
        <w:t>18.11</w:t>
      </w:r>
      <w:r w:rsidRPr="001D759A">
        <w:rPr>
          <w:lang w:val="es-ES"/>
        </w:rPr>
        <w:tab/>
        <w:t>Un representante de la Secretaría General señaló que parec</w:t>
      </w:r>
      <w:r w:rsidR="00631154">
        <w:rPr>
          <w:lang w:val="es-ES"/>
        </w:rPr>
        <w:t>ía</w:t>
      </w:r>
      <w:r w:rsidRPr="001D759A">
        <w:rPr>
          <w:lang w:val="es-ES"/>
        </w:rPr>
        <w:t xml:space="preserve"> haber un acuerdo general sobre la metodología, aunque con más detalles. En respuesta a comentarios y preguntas concretos, explicó que todos los gastos de personal de la BR, como los gastos de pensión y de seguro médico, se han incluido en los cálculos. El coste indirecto del pasivo del</w:t>
      </w:r>
      <w:r w:rsidR="00F17F50">
        <w:rPr>
          <w:lang w:val="es-ES"/>
        </w:rPr>
        <w:t> </w:t>
      </w:r>
      <w:r w:rsidRPr="001D759A">
        <w:rPr>
          <w:lang w:val="es-ES"/>
        </w:rPr>
        <w:t xml:space="preserve">ASHI, por ejemplo, se ha calculado sobre la base del número de funcionarios que participan en las notificaciones de redes de satélite en relación con el número total de funcionarios de </w:t>
      </w:r>
      <w:r w:rsidR="005457EE">
        <w:rPr>
          <w:lang w:val="es-ES"/>
        </w:rPr>
        <w:t>la Unión</w:t>
      </w:r>
      <w:r w:rsidRPr="001D759A">
        <w:rPr>
          <w:lang w:val="es-ES"/>
        </w:rPr>
        <w:t xml:space="preserve">. En cuanto a la propuesta de Argentina, sería útil tener a la vista el modelo utilizado para calcular el tope del 30 % propuesto para los costes indirectos, aunque parece razonable y se ajusta a la referencia establecida en el Documento C26/19. En lo que respecta al cálculo de los </w:t>
      </w:r>
      <w:r w:rsidR="00C817F3">
        <w:rPr>
          <w:lang w:val="es-ES"/>
        </w:rPr>
        <w:t>costes</w:t>
      </w:r>
      <w:r w:rsidRPr="001D759A">
        <w:rPr>
          <w:lang w:val="es-ES"/>
        </w:rPr>
        <w:t xml:space="preserve"> asociados con el Departamento de Servicios Informáticos, aclar</w:t>
      </w:r>
      <w:r w:rsidR="00631154">
        <w:rPr>
          <w:lang w:val="es-ES"/>
        </w:rPr>
        <w:t>ó</w:t>
      </w:r>
      <w:r w:rsidRPr="001D759A">
        <w:rPr>
          <w:lang w:val="es-ES"/>
        </w:rPr>
        <w:t xml:space="preserve"> que los costes directos incluyen actividades relacionadas específicamente con la tramitación de notificaciones de redes de satélites, mientras que los costes indirectos se basan en el número de funcionarios que participan en la tramitación de notificaciones de redes de satélites en relación con la plantilla total de </w:t>
      </w:r>
      <w:r w:rsidR="00103D78">
        <w:rPr>
          <w:lang w:val="es-ES"/>
        </w:rPr>
        <w:t>la UIT</w:t>
      </w:r>
      <w:r w:rsidRPr="001D759A">
        <w:rPr>
          <w:lang w:val="es-ES"/>
        </w:rPr>
        <w:t xml:space="preserve">, lo que refleja la utilización general de la infraestructura de TI por parte del personal de toda </w:t>
      </w:r>
      <w:r w:rsidR="005457EE">
        <w:rPr>
          <w:lang w:val="es-ES"/>
        </w:rPr>
        <w:t>la Unión</w:t>
      </w:r>
      <w:r w:rsidRPr="001D759A">
        <w:rPr>
          <w:lang w:val="es-ES"/>
        </w:rPr>
        <w:t>. La información relativa a la aplicación de las recomendaciones de la DCI relativas a los costes directos e indirectos se facilitar</w:t>
      </w:r>
      <w:r w:rsidR="00631154">
        <w:rPr>
          <w:lang w:val="es-ES"/>
        </w:rPr>
        <w:t>ía</w:t>
      </w:r>
      <w:r w:rsidRPr="001D759A">
        <w:rPr>
          <w:lang w:val="es-ES"/>
        </w:rPr>
        <w:t xml:space="preserve"> en futuros debates.</w:t>
      </w:r>
    </w:p>
    <w:p w14:paraId="101AFAA3" w14:textId="579C98E0" w:rsidR="00ED2477" w:rsidRPr="001D759A" w:rsidRDefault="00ED2477" w:rsidP="00ED2477">
      <w:pPr>
        <w:tabs>
          <w:tab w:val="clear" w:pos="567"/>
          <w:tab w:val="left" w:pos="709"/>
        </w:tabs>
        <w:rPr>
          <w:lang w:val="es-ES"/>
        </w:rPr>
      </w:pPr>
      <w:r w:rsidRPr="001D759A">
        <w:rPr>
          <w:lang w:val="es-ES"/>
        </w:rPr>
        <w:t>18.12</w:t>
      </w:r>
      <w:r w:rsidRPr="001D759A">
        <w:rPr>
          <w:lang w:val="es-ES"/>
        </w:rPr>
        <w:tab/>
        <w:t>Tras los comentarios de los consejeros sobre la manera de avanzar, el Vicesecretario General sugirió que se encarg</w:t>
      </w:r>
      <w:r w:rsidR="00631154">
        <w:rPr>
          <w:lang w:val="es-ES"/>
        </w:rPr>
        <w:t>are</w:t>
      </w:r>
      <w:r w:rsidRPr="001D759A">
        <w:rPr>
          <w:lang w:val="es-ES"/>
        </w:rPr>
        <w:t xml:space="preserve"> al GTC-RHF que siga examinando los principales problemas, a saber, el cálculo de los costes indirectos y la posible modificación del régimen de gratuidad, teniendo en cuenta las deliberaciones y los resultados de la PP-26, incluidas las enmiendas a la Resolución 91 (Rev.</w:t>
      </w:r>
      <w:r w:rsidR="00E44FBE" w:rsidRPr="001D759A">
        <w:rPr>
          <w:lang w:val="es-ES"/>
        </w:rPr>
        <w:t> </w:t>
      </w:r>
      <w:r w:rsidRPr="001D759A">
        <w:rPr>
          <w:lang w:val="es-ES"/>
        </w:rPr>
        <w:t>Guadalajara, 2010).</w:t>
      </w:r>
    </w:p>
    <w:p w14:paraId="760DF310" w14:textId="77777777" w:rsidR="00ED2477" w:rsidRPr="001D759A" w:rsidRDefault="00ED2477" w:rsidP="000B3843">
      <w:pPr>
        <w:keepNext/>
        <w:keepLines/>
        <w:tabs>
          <w:tab w:val="clear" w:pos="567"/>
          <w:tab w:val="left" w:pos="709"/>
        </w:tabs>
        <w:spacing w:after="120"/>
        <w:rPr>
          <w:lang w:val="es-ES"/>
        </w:rPr>
      </w:pPr>
      <w:r w:rsidRPr="001D759A">
        <w:rPr>
          <w:lang w:val="es-ES"/>
        </w:rPr>
        <w:t>18.13</w:t>
      </w:r>
      <w:r w:rsidRPr="001D759A">
        <w:rPr>
          <w:lang w:val="es-ES"/>
        </w:rPr>
        <w:tab/>
        <w:t xml:space="preserve">La Comisión </w:t>
      </w:r>
      <w:r w:rsidRPr="001D759A">
        <w:rPr>
          <w:b/>
          <w:bCs/>
          <w:lang w:val="es-ES"/>
        </w:rPr>
        <w:t>acordó</w:t>
      </w:r>
      <w:r w:rsidRPr="001D759A">
        <w:rPr>
          <w:lang w:val="es-ES"/>
        </w:rPr>
        <w:t xml:space="preserve"> llegar a la siguiente conclusión sobre este asunto:</w:t>
      </w:r>
    </w:p>
    <w:tbl>
      <w:tblPr>
        <w:tblStyle w:val="TableGrid"/>
        <w:tblW w:w="5000" w:type="pct"/>
        <w:tblInd w:w="-147" w:type="dxa"/>
        <w:tblLook w:val="04A0" w:firstRow="1" w:lastRow="0" w:firstColumn="1" w:lastColumn="0" w:noHBand="0" w:noVBand="1"/>
      </w:tblPr>
      <w:tblGrid>
        <w:gridCol w:w="9061"/>
      </w:tblGrid>
      <w:tr w:rsidR="00ED2477" w:rsidRPr="0057685D" w14:paraId="39194938" w14:textId="77777777" w:rsidTr="00D030BC">
        <w:tc>
          <w:tcPr>
            <w:tcW w:w="9061" w:type="dxa"/>
            <w:tcBorders>
              <w:top w:val="single" w:sz="4" w:space="0" w:color="auto"/>
              <w:left w:val="single" w:sz="4" w:space="0" w:color="auto"/>
              <w:bottom w:val="single" w:sz="4" w:space="0" w:color="auto"/>
              <w:right w:val="single" w:sz="4" w:space="0" w:color="auto"/>
            </w:tcBorders>
            <w:hideMark/>
          </w:tcPr>
          <w:p w14:paraId="1032A154" w14:textId="77777777" w:rsidR="00ED2477" w:rsidRPr="001D759A" w:rsidRDefault="00ED2477" w:rsidP="000C57CA">
            <w:pPr>
              <w:pStyle w:val="enumlev1"/>
              <w:keepNext/>
              <w:keepLines/>
              <w:tabs>
                <w:tab w:val="clear" w:pos="567"/>
              </w:tabs>
              <w:ind w:left="749" w:hanging="709"/>
              <w:rPr>
                <w:lang w:val="es-ES"/>
              </w:rPr>
            </w:pPr>
            <w:r w:rsidRPr="001D759A">
              <w:rPr>
                <w:lang w:val="es-ES"/>
              </w:rPr>
              <w:t>18.14</w:t>
            </w:r>
            <w:r w:rsidRPr="001D759A">
              <w:rPr>
                <w:lang w:val="es-ES"/>
              </w:rPr>
              <w:tab/>
              <w:t>La Comisión recomienda al Consejo que:</w:t>
            </w:r>
          </w:p>
          <w:p w14:paraId="746746F0" w14:textId="47E1F5D7" w:rsidR="00ED2477" w:rsidRPr="001D759A" w:rsidRDefault="00ED2477" w:rsidP="006E0F55">
            <w:pPr>
              <w:pStyle w:val="enumlev1"/>
              <w:keepNext/>
              <w:keepLines/>
              <w:tabs>
                <w:tab w:val="clear" w:pos="567"/>
              </w:tabs>
              <w:spacing w:after="120"/>
              <w:ind w:left="749" w:hanging="709"/>
              <w:rPr>
                <w:lang w:val="es-ES"/>
              </w:rPr>
            </w:pPr>
            <w:r w:rsidRPr="001D759A">
              <w:rPr>
                <w:lang w:val="es-ES"/>
              </w:rPr>
              <w:t>•</w:t>
            </w:r>
            <w:r w:rsidRPr="001D759A">
              <w:rPr>
                <w:lang w:val="es-ES"/>
              </w:rPr>
              <w:tab/>
            </w:r>
            <w:r w:rsidR="00CB52C4">
              <w:rPr>
                <w:lang w:val="es-ES"/>
              </w:rPr>
              <w:t xml:space="preserve">solicite al GTC-RHF que </w:t>
            </w:r>
            <w:r w:rsidRPr="001D759A">
              <w:rPr>
                <w:lang w:val="es-ES"/>
              </w:rPr>
              <w:t xml:space="preserve">examine los comentarios y propuestas contenidos en las contribuciones de los Documentos </w:t>
            </w:r>
            <w:hyperlink r:id="rId66" w:history="1">
              <w:r w:rsidRPr="00184AC5">
                <w:rPr>
                  <w:rStyle w:val="Hyperlink"/>
                  <w:lang w:val="es-ES"/>
                </w:rPr>
                <w:t>C26/84</w:t>
              </w:r>
            </w:hyperlink>
            <w:r w:rsidRPr="001D759A">
              <w:rPr>
                <w:lang w:val="es-ES"/>
              </w:rPr>
              <w:t xml:space="preserve">, </w:t>
            </w:r>
            <w:hyperlink r:id="rId67" w:history="1">
              <w:r w:rsidRPr="00184AC5">
                <w:rPr>
                  <w:rStyle w:val="Hyperlink"/>
                  <w:lang w:val="es-ES"/>
                </w:rPr>
                <w:t>C26/96</w:t>
              </w:r>
            </w:hyperlink>
            <w:r w:rsidRPr="001D759A">
              <w:rPr>
                <w:lang w:val="es-ES"/>
              </w:rPr>
              <w:t xml:space="preserve">, </w:t>
            </w:r>
            <w:hyperlink r:id="rId68" w:history="1">
              <w:r w:rsidRPr="00184AC5">
                <w:rPr>
                  <w:rStyle w:val="Hyperlink"/>
                  <w:lang w:val="es-ES"/>
                </w:rPr>
                <w:t>C26/98</w:t>
              </w:r>
            </w:hyperlink>
            <w:r w:rsidRPr="001D759A">
              <w:rPr>
                <w:lang w:val="es-ES"/>
              </w:rPr>
              <w:t xml:space="preserve"> y </w:t>
            </w:r>
            <w:hyperlink r:id="rId69" w:history="1">
              <w:r w:rsidRPr="00184AC5">
                <w:rPr>
                  <w:rStyle w:val="Hyperlink"/>
                  <w:lang w:val="es-ES"/>
                </w:rPr>
                <w:t>C26/90</w:t>
              </w:r>
            </w:hyperlink>
            <w:r w:rsidR="00CB52C4">
              <w:rPr>
                <w:lang w:val="es-ES"/>
              </w:rPr>
              <w:t>,</w:t>
            </w:r>
            <w:r w:rsidR="00CB52C4" w:rsidRPr="001D759A">
              <w:rPr>
                <w:lang w:val="es-ES"/>
              </w:rPr>
              <w:t xml:space="preserve"> </w:t>
            </w:r>
            <w:r w:rsidRPr="001D759A">
              <w:rPr>
                <w:lang w:val="es-ES"/>
              </w:rPr>
              <w:t>y que prosiga sus deliberaciones sobre el cálculo de los costes indirectos y la posible modificación del régimen de gratuidad, teniendo en cuenta las deliberaciones y los resultados de la Conferencia de Plenipotenciarios (Doha,</w:t>
            </w:r>
            <w:r w:rsidR="00FC493B" w:rsidRPr="001D759A">
              <w:rPr>
                <w:lang w:val="es-ES"/>
              </w:rPr>
              <w:t> </w:t>
            </w:r>
            <w:r w:rsidRPr="001D759A">
              <w:rPr>
                <w:lang w:val="es-ES"/>
              </w:rPr>
              <w:t>2026), incluidas las enmiendas a la Resolución 91 (Rev. Guadalajara, 2010).</w:t>
            </w:r>
          </w:p>
        </w:tc>
      </w:tr>
    </w:tbl>
    <w:p w14:paraId="43607776" w14:textId="7072AF55" w:rsidR="00D030BC" w:rsidRPr="005A1513" w:rsidRDefault="00D030BC" w:rsidP="00D030BC">
      <w:pPr>
        <w:pStyle w:val="Heading1"/>
        <w:rPr>
          <w:lang w:val="es-ES"/>
        </w:rPr>
      </w:pPr>
      <w:r w:rsidRPr="001D759A">
        <w:rPr>
          <w:lang w:val="es-ES"/>
        </w:rPr>
        <w:t>19</w:t>
      </w:r>
      <w:r w:rsidRPr="001D759A">
        <w:rPr>
          <w:lang w:val="es-ES"/>
        </w:rPr>
        <w:tab/>
      </w:r>
      <w:r w:rsidRPr="005A1513">
        <w:rPr>
          <w:lang w:val="es-ES"/>
        </w:rPr>
        <w:t>Asignación de los ahorros logrados en la ejecución del presupuesto</w:t>
      </w:r>
      <w:r>
        <w:rPr>
          <w:lang w:val="es-ES"/>
        </w:rPr>
        <w:br/>
      </w:r>
      <w:r w:rsidRPr="005A1513">
        <w:rPr>
          <w:lang w:val="es-ES"/>
        </w:rPr>
        <w:t>de 2025 (Document</w:t>
      </w:r>
      <w:r>
        <w:rPr>
          <w:lang w:val="es-ES"/>
        </w:rPr>
        <w:t>o</w:t>
      </w:r>
      <w:r w:rsidRPr="005A1513">
        <w:rPr>
          <w:lang w:val="es-ES"/>
        </w:rPr>
        <w:t xml:space="preserve"> </w:t>
      </w:r>
      <w:hyperlink r:id="rId70" w:history="1">
        <w:r w:rsidRPr="005A1513">
          <w:rPr>
            <w:rStyle w:val="Hyperlink"/>
            <w:lang w:val="es-ES"/>
          </w:rPr>
          <w:t>C26/42(Rev.1)</w:t>
        </w:r>
      </w:hyperlink>
      <w:r w:rsidR="00D17D49" w:rsidRPr="00141196">
        <w:rPr>
          <w:lang w:val="es-ES"/>
        </w:rPr>
        <w:t xml:space="preserve"> y </w:t>
      </w:r>
      <w:hyperlink r:id="rId71" w:history="1">
        <w:r w:rsidR="00254762" w:rsidRPr="00C52838">
          <w:rPr>
            <w:rStyle w:val="Hyperlink"/>
            <w:lang w:val="es-ES"/>
          </w:rPr>
          <w:t>C26/42(Rev.2)</w:t>
        </w:r>
      </w:hyperlink>
      <w:r w:rsidR="00254762" w:rsidRPr="00C52838">
        <w:rPr>
          <w:lang w:val="es-ES"/>
        </w:rPr>
        <w:t>)</w:t>
      </w:r>
    </w:p>
    <w:p w14:paraId="66D3CFFE" w14:textId="1A4E909E" w:rsidR="00D030BC" w:rsidRPr="006C46B3" w:rsidRDefault="00D030BC" w:rsidP="00D030BC">
      <w:pPr>
        <w:rPr>
          <w:lang w:val="es-ES"/>
        </w:rPr>
      </w:pPr>
      <w:r>
        <w:rPr>
          <w:lang w:val="es-ES"/>
        </w:rPr>
        <w:t>19.1</w:t>
      </w:r>
      <w:r>
        <w:rPr>
          <w:lang w:val="es-ES"/>
        </w:rPr>
        <w:tab/>
        <w:t>El Jefe del FRMD, al presentar el Documento C26/42(Rev.1), declaró que en 2025 se habían logrado ahorros de 11,44</w:t>
      </w:r>
      <w:r w:rsidR="005457EE">
        <w:rPr>
          <w:lang w:val="es-ES"/>
        </w:rPr>
        <w:t> millones CHF</w:t>
      </w:r>
      <w:r>
        <w:rPr>
          <w:lang w:val="es-ES"/>
        </w:rPr>
        <w:t>. De conformidad con una propuesta de la Secretaria General, se pidió al Consejo que confirmase las asignaciones de 559 800</w:t>
      </w:r>
      <w:r w:rsidR="005457EE">
        <w:rPr>
          <w:lang w:val="es-ES"/>
        </w:rPr>
        <w:t> CHF</w:t>
      </w:r>
      <w:r>
        <w:rPr>
          <w:lang w:val="es-ES"/>
        </w:rPr>
        <w:t xml:space="preserve"> al</w:t>
      </w:r>
      <w:r w:rsidR="00E17B0A">
        <w:rPr>
          <w:lang w:val="es-ES"/>
        </w:rPr>
        <w:t> </w:t>
      </w:r>
      <w:r>
        <w:rPr>
          <w:lang w:val="es-ES"/>
        </w:rPr>
        <w:t>FD-TIC y de 1,2</w:t>
      </w:r>
      <w:r w:rsidR="005457EE">
        <w:rPr>
          <w:lang w:val="es-ES"/>
        </w:rPr>
        <w:t> millones CHF</w:t>
      </w:r>
      <w:r>
        <w:rPr>
          <w:lang w:val="es-ES"/>
        </w:rPr>
        <w:t xml:space="preserve"> al Fondo del Programa para Jóvenes Profesionales (YPP), y que autorizase la utilización de los 10,24</w:t>
      </w:r>
      <w:r w:rsidR="005457EE">
        <w:rPr>
          <w:lang w:val="es-ES"/>
        </w:rPr>
        <w:t> millones CHF</w:t>
      </w:r>
      <w:r>
        <w:rPr>
          <w:lang w:val="es-ES"/>
        </w:rPr>
        <w:t xml:space="preserve"> restantes para financiar otras actividades específicas no cubiertas por el presupuesto ordinario aprobado, como se indicaba en el Cuadro 1 del documento.</w:t>
      </w:r>
    </w:p>
    <w:p w14:paraId="66DF3337" w14:textId="50053760" w:rsidR="00D030BC" w:rsidRPr="006C46B3" w:rsidRDefault="00D030BC" w:rsidP="00D030BC">
      <w:pPr>
        <w:rPr>
          <w:lang w:val="es-ES"/>
        </w:rPr>
      </w:pPr>
      <w:r>
        <w:rPr>
          <w:lang w:val="es-ES"/>
        </w:rPr>
        <w:lastRenderedPageBreak/>
        <w:t>19.2</w:t>
      </w:r>
      <w:r>
        <w:rPr>
          <w:lang w:val="es-ES"/>
        </w:rPr>
        <w:tab/>
        <w:t xml:space="preserve">Los consejeros se congratularon por los ahorros realizados, elogiaron a la Secretaría por su prudente gestión financiera y destacaron la importancia de utilizar los ahorros de manera eficaz en consonancia con las prioridades acordadas de </w:t>
      </w:r>
      <w:r w:rsidR="005457EE">
        <w:rPr>
          <w:lang w:val="es-ES"/>
        </w:rPr>
        <w:t>la Unión</w:t>
      </w:r>
      <w:r>
        <w:rPr>
          <w:lang w:val="es-ES"/>
        </w:rPr>
        <w:t xml:space="preserve">. Como en gran medida no eran recurrentes, lo ideal sería asignarlos a prioridades estratégicas puntuales, en lugar de incluirlos en el presupuesto ordinario de referencia. Un consejero insistió en la necesidad de distinguir claramente entre ahorros por eficiencia, ingresos recurrentes procedentes de ahorros de contabilidad y relacionados con el tiempo, y preguntó qué proporción de los ahorros totales representaba un verdadero aumento de la eficiencia estructural. Los ahorros </w:t>
      </w:r>
      <w:r>
        <w:rPr>
          <w:i/>
          <w:iCs/>
          <w:lang w:val="es-ES"/>
        </w:rPr>
        <w:t>ad hoc</w:t>
      </w:r>
      <w:r>
        <w:rPr>
          <w:lang w:val="es-ES"/>
        </w:rPr>
        <w:t xml:space="preserve"> podrían proporcionar un apoyo útil a corto plazo, pero no deberían convertirse en el principal medio para financiar las actividades prescritas en curso. Otro consejero declaró que los ahorros se debían principalmente a los retrasos en la contratación y al aplazamiento de la ejecución, lo que limitaba una serie de actividades esenciales. En el futuro, debería aumentarse la eficiencia a partir de las iniciativas en curso, como la reestructuración interna, la transformación digital y las actividades relacionadas con el proceso de transformación de </w:t>
      </w:r>
      <w:r w:rsidR="00103D78">
        <w:rPr>
          <w:lang w:val="es-ES"/>
        </w:rPr>
        <w:t>la UIT</w:t>
      </w:r>
      <w:r>
        <w:rPr>
          <w:lang w:val="es-ES"/>
        </w:rPr>
        <w:t xml:space="preserve">. La Secretaría debería estudiar la manera de aumentar los flujos de ingresos y tratar de conseguir reducciones concretas de los gastos. Un observador cuestionó el enfoque general de la asignación de ahorros, algo que se estaba convirtiendo en una actividad habitual, y propuso que se examinasen las prácticas idóneas pertinentes en todo el sistema de las </w:t>
      </w:r>
      <w:r w:rsidR="000E31A1">
        <w:rPr>
          <w:lang w:val="es-ES"/>
        </w:rPr>
        <w:t>Naciones Unidas</w:t>
      </w:r>
      <w:r>
        <w:rPr>
          <w:lang w:val="es-ES"/>
        </w:rPr>
        <w:t xml:space="preserve">. El establecimiento de prioridades en cuanto a la asignación de los ahorros contribuiría a apuntalar la estabilidad financiera de </w:t>
      </w:r>
      <w:r w:rsidR="005457EE">
        <w:rPr>
          <w:lang w:val="es-ES"/>
        </w:rPr>
        <w:t>la Unión</w:t>
      </w:r>
      <w:r>
        <w:rPr>
          <w:lang w:val="es-ES"/>
        </w:rPr>
        <w:t>.</w:t>
      </w:r>
    </w:p>
    <w:p w14:paraId="1BBCAD0F" w14:textId="0A2879DB" w:rsidR="00D030BC" w:rsidRPr="006C46B3" w:rsidRDefault="00D030BC" w:rsidP="00D030BC">
      <w:pPr>
        <w:rPr>
          <w:lang w:val="es-ES"/>
        </w:rPr>
      </w:pPr>
      <w:r>
        <w:rPr>
          <w:lang w:val="es-ES"/>
        </w:rPr>
        <w:t>19.3</w:t>
      </w:r>
      <w:r>
        <w:rPr>
          <w:lang w:val="es-ES"/>
        </w:rPr>
        <w:tab/>
        <w:t>Una consejera señaló a la atención una aparente discrepancia en las cifras del superávit presupuestario total que figuraban en varios documentos presentados al Consejo y pidió que se aclarase cuál era el importe correcto. Otro observó que la suma de las asignaciones parecía superar el ahorro total en 550 000</w:t>
      </w:r>
      <w:r w:rsidR="005457EE">
        <w:rPr>
          <w:lang w:val="es-ES"/>
        </w:rPr>
        <w:t> CHF</w:t>
      </w:r>
      <w:r>
        <w:rPr>
          <w:lang w:val="es-ES"/>
        </w:rPr>
        <w:t>. Una tercera preguntó por qué había tanta diferencia entre la versión original del Documento C26/42 y su Revisión 1.</w:t>
      </w:r>
    </w:p>
    <w:p w14:paraId="3047D764" w14:textId="03E8A574" w:rsidR="00D030BC" w:rsidRPr="006C46B3" w:rsidRDefault="00D030BC" w:rsidP="00D030BC">
      <w:pPr>
        <w:rPr>
          <w:lang w:val="es-ES"/>
        </w:rPr>
      </w:pPr>
      <w:r>
        <w:rPr>
          <w:lang w:val="es-ES"/>
        </w:rPr>
        <w:t>19.4</w:t>
      </w:r>
      <w:r>
        <w:rPr>
          <w:lang w:val="es-ES"/>
        </w:rPr>
        <w:tab/>
        <w:t xml:space="preserve">Se acogieron con especial satisfacción las propuestas de destinar parte de los ahorros a reducir el retraso acumulado en la tramitación de notificaciones de redes de satélite, el cual tenía repercusiones operacionales, reglamentarias y financieras, y requería una respuesta prioritaria, y de modernizar los programas informáticos y los sistemas de la BR. La reducción del retraso acumulado repercutiría directamente en la correcta aplicación de los mecanismos de recuperación de </w:t>
      </w:r>
      <w:r w:rsidR="00C817F3">
        <w:rPr>
          <w:lang w:val="es-ES"/>
        </w:rPr>
        <w:t>costes</w:t>
      </w:r>
      <w:r>
        <w:rPr>
          <w:lang w:val="es-ES"/>
        </w:rPr>
        <w:t xml:space="preserve">, lo que mejoraría así la estabilidad financiera del sistema en su conjunto. Aunque se acogía con satisfacción la propuesta de asignar parte de los ahorros a la solución del problema con personal adicional a corto plazo, el carácter persistente del problema sugería que también se necesitaba un enfoque más estructurado. La modernización de los programas informáticos pertinentes de la BR contribuiría en cierta medida a resolver la situación, garantizando soluciones sostenibles para fortalecer la capacidad operativa de </w:t>
      </w:r>
      <w:r w:rsidR="005457EE">
        <w:rPr>
          <w:lang w:val="es-ES"/>
        </w:rPr>
        <w:t>la Unión</w:t>
      </w:r>
      <w:r>
        <w:rPr>
          <w:lang w:val="es-ES"/>
        </w:rPr>
        <w:t xml:space="preserve"> a largo plazo. Una consejera preguntó cómo la Secretaría tenía previsto proporcionar un apoyo financiero especial para hacer frente a la escasez de personal en la BR. Varios consejeros preguntaron cuándo se esperaba que los tiempos de tramitación de la notificación de redes de satélites volviesen a la normalidad. Otros pidieron garantías de que la asignación propuesta bastaría para resolver definitivamente el problema y expresaron su preocupación ante la idea de subvencionar efectivamente una actividad de recuperación íntegra de </w:t>
      </w:r>
      <w:r w:rsidR="00C817F3">
        <w:rPr>
          <w:lang w:val="es-ES"/>
        </w:rPr>
        <w:t>costes</w:t>
      </w:r>
      <w:r>
        <w:rPr>
          <w:lang w:val="es-ES"/>
        </w:rPr>
        <w:t>. Recordando los amplios debates del Consejo sobre la misma cuestión en 2025 y su decisión de asignar 500 000</w:t>
      </w:r>
      <w:r w:rsidR="005457EE">
        <w:rPr>
          <w:lang w:val="es-ES"/>
        </w:rPr>
        <w:t> CHF</w:t>
      </w:r>
      <w:r>
        <w:rPr>
          <w:lang w:val="es-ES"/>
        </w:rPr>
        <w:t xml:space="preserve"> a la modernización de los sistemas de la BR, la consejera también solicitó el importe de las asignaciones propuestas para superar el </w:t>
      </w:r>
      <w:r>
        <w:rPr>
          <w:lang w:val="es-ES"/>
        </w:rPr>
        <w:lastRenderedPageBreak/>
        <w:t xml:space="preserve">retraso en la notificación de redes de satélites y modernizar los sistemas básicos de esta notificación. </w:t>
      </w:r>
    </w:p>
    <w:p w14:paraId="4F1EE0FB" w14:textId="2AEA0970" w:rsidR="00D030BC" w:rsidRPr="006C46B3" w:rsidRDefault="00D030BC" w:rsidP="00D030BC">
      <w:pPr>
        <w:rPr>
          <w:lang w:val="es-ES"/>
        </w:rPr>
      </w:pPr>
      <w:r>
        <w:rPr>
          <w:lang w:val="es-ES"/>
        </w:rPr>
        <w:t>19.5</w:t>
      </w:r>
      <w:r>
        <w:rPr>
          <w:lang w:val="es-ES"/>
        </w:rPr>
        <w:tab/>
        <w:t>Varios consejeros insistieron en que los ahorros debían utilizarse para lograr efectos tangibles en los países en desarrollo, manteniendo al mismo tiempo la transparencia, la rendición de cuentas y la sostenibilidad financiera. Varios consejeros expresaron su apoyo particular a la propuesta de asignar parte de los ahorros a la ejecución de las iniciativas regionales adoptadas por la CMDT-25. Otro apoyó en particular la asignación propuesta de</w:t>
      </w:r>
      <w:r w:rsidR="005457EE">
        <w:rPr>
          <w:lang w:val="es-ES"/>
        </w:rPr>
        <w:t> </w:t>
      </w:r>
      <w:r>
        <w:rPr>
          <w:lang w:val="es-ES"/>
        </w:rPr>
        <w:t>1,5</w:t>
      </w:r>
      <w:r w:rsidR="005457EE">
        <w:rPr>
          <w:lang w:val="es-ES"/>
        </w:rPr>
        <w:t> millones CHF</w:t>
      </w:r>
      <w:r>
        <w:rPr>
          <w:lang w:val="es-ES"/>
        </w:rPr>
        <w:t xml:space="preserve"> para la continuidad de las actividades en la Sede a fin de garantizar que </w:t>
      </w:r>
      <w:r w:rsidR="005457EE">
        <w:rPr>
          <w:lang w:val="es-ES"/>
        </w:rPr>
        <w:t>la Unión</w:t>
      </w:r>
      <w:r>
        <w:rPr>
          <w:lang w:val="es-ES"/>
        </w:rPr>
        <w:t xml:space="preserve"> pudiera proseguir sus actividades operacionales y estatutarias.</w:t>
      </w:r>
    </w:p>
    <w:p w14:paraId="6EA9EC3A" w14:textId="422BEC14" w:rsidR="00D030BC" w:rsidRPr="006C46B3" w:rsidRDefault="00D030BC" w:rsidP="00D030BC">
      <w:pPr>
        <w:rPr>
          <w:lang w:val="es-ES"/>
        </w:rPr>
      </w:pPr>
      <w:r>
        <w:rPr>
          <w:lang w:val="es-ES"/>
        </w:rPr>
        <w:t>19.6</w:t>
      </w:r>
      <w:r>
        <w:rPr>
          <w:lang w:val="es-ES"/>
        </w:rPr>
        <w:tab/>
        <w:t>Un consejero preguntó si se habían agotado los 6</w:t>
      </w:r>
      <w:r w:rsidR="005457EE">
        <w:rPr>
          <w:lang w:val="es-ES"/>
        </w:rPr>
        <w:t> millones CHF</w:t>
      </w:r>
      <w:r>
        <w:rPr>
          <w:lang w:val="es-ES"/>
        </w:rPr>
        <w:t xml:space="preserve"> atribuidos </w:t>
      </w:r>
      <w:proofErr w:type="gramStart"/>
      <w:r>
        <w:rPr>
          <w:lang w:val="es-ES"/>
        </w:rPr>
        <w:t>anteriormente al</w:t>
      </w:r>
      <w:proofErr w:type="gramEnd"/>
      <w:r>
        <w:rPr>
          <w:lang w:val="es-ES"/>
        </w:rPr>
        <w:t xml:space="preserve"> programa de separación voluntaria del servicio, si los 42 puestos vacantes resultantes del programa se habían vuelto a cubrir con nombramientos externos, lo que iba en contra de los objetivos del plan, y si los fondos atribuidos al cese voluntario podrían utilizarse para capacitar en otros ámbitos a los funcionarios del cese en el servicio con miras a encontrar empleo en otro lugar. Otra preguntó si la asignación propuesta de 2,5</w:t>
      </w:r>
      <w:r w:rsidR="005457EE">
        <w:rPr>
          <w:lang w:val="es-ES"/>
        </w:rPr>
        <w:t> millones CHF</w:t>
      </w:r>
      <w:r>
        <w:rPr>
          <w:lang w:val="es-ES"/>
        </w:rPr>
        <w:t xml:space="preserve"> para las separaciones acordadas se sumaba a los 6</w:t>
      </w:r>
      <w:r w:rsidR="005457EE">
        <w:rPr>
          <w:lang w:val="es-ES"/>
        </w:rPr>
        <w:t> millones CHF</w:t>
      </w:r>
      <w:r>
        <w:rPr>
          <w:lang w:val="es-ES"/>
        </w:rPr>
        <w:t xml:space="preserve"> anteriores y qué Sectores se verían afectados por nuevas rondas de separación. Un observador solicitó información sobre el número de funcionarios que probablemente se perderían como consecuencia de un cese convenido y sobre los nuevos puestos que se crearían.</w:t>
      </w:r>
    </w:p>
    <w:p w14:paraId="07D84E42" w14:textId="68E72F18" w:rsidR="00D030BC" w:rsidRDefault="00D030BC" w:rsidP="00D030BC">
      <w:pPr>
        <w:rPr>
          <w:lang w:val="es-ES"/>
        </w:rPr>
      </w:pPr>
      <w:r>
        <w:rPr>
          <w:lang w:val="es-ES"/>
        </w:rPr>
        <w:t>19.7</w:t>
      </w:r>
      <w:r>
        <w:rPr>
          <w:lang w:val="es-ES"/>
        </w:rPr>
        <w:tab/>
        <w:t>Un consejero preguntó si la asignación propuesta de 1,44</w:t>
      </w:r>
      <w:r w:rsidR="005457EE">
        <w:rPr>
          <w:lang w:val="es-ES"/>
        </w:rPr>
        <w:t> millones CHF</w:t>
      </w:r>
      <w:r>
        <w:rPr>
          <w:lang w:val="es-ES"/>
        </w:rPr>
        <w:t xml:space="preserve"> para la modernización de los sistemas institucionales se utilizaría para actividades relacionadas con el proyecto de sitio web de </w:t>
      </w:r>
      <w:r w:rsidR="00103D78">
        <w:rPr>
          <w:lang w:val="es-ES"/>
        </w:rPr>
        <w:t>la UIT</w:t>
      </w:r>
      <w:r>
        <w:rPr>
          <w:lang w:val="es-ES"/>
        </w:rPr>
        <w:t xml:space="preserve">, y recordó las preocupaciones expresadas en los debates sobre otros puntos del orden del día en el sentido de que los recursos para el proceso de transformación de </w:t>
      </w:r>
      <w:r w:rsidR="00103D78">
        <w:rPr>
          <w:lang w:val="es-ES"/>
        </w:rPr>
        <w:t>la UIT</w:t>
      </w:r>
      <w:r>
        <w:rPr>
          <w:lang w:val="es-ES"/>
        </w:rPr>
        <w:t xml:space="preserve"> deberían proceder únicamente del presupuesto ordinario y no de los ahorros. Otra consejera pidió que se aclarase cómo se gastarían las asignaciones propuestas para la modernización de los sistemas institucionales y las iniciativas de IA y si </w:t>
      </w:r>
      <w:proofErr w:type="gramStart"/>
      <w:r>
        <w:rPr>
          <w:lang w:val="es-ES"/>
        </w:rPr>
        <w:t>habría</w:t>
      </w:r>
      <w:proofErr w:type="gramEnd"/>
      <w:r>
        <w:rPr>
          <w:lang w:val="es-ES"/>
        </w:rPr>
        <w:t xml:space="preserve"> algún solapamiento de actividades. Una tercera señaló un posible solapamiento similar entre las actividades de modernización del sistema ERP y las de apoyo a la modernización del </w:t>
      </w:r>
      <w:r w:rsidRPr="00186DF6">
        <w:rPr>
          <w:i/>
          <w:iCs/>
          <w:lang w:val="es-ES"/>
        </w:rPr>
        <w:t>software</w:t>
      </w:r>
      <w:r>
        <w:rPr>
          <w:lang w:val="es-ES"/>
        </w:rPr>
        <w:t xml:space="preserve"> espacial de la BR, siendo que ambas implicaban la preparación de la migración a la nube y la introducción sistemática de herramientas de IA. Varios consejeros expresaron su apoyo a la propuesta de asignación de 1 millón de</w:t>
      </w:r>
      <w:r w:rsidR="005457EE">
        <w:rPr>
          <w:lang w:val="es-ES"/>
        </w:rPr>
        <w:t> CHF</w:t>
      </w:r>
      <w:r>
        <w:rPr>
          <w:lang w:val="es-ES"/>
        </w:rPr>
        <w:t xml:space="preserve"> a iniciativas de IA, que permitiría a </w:t>
      </w:r>
      <w:r w:rsidR="005457EE">
        <w:rPr>
          <w:lang w:val="es-ES"/>
        </w:rPr>
        <w:t>la Unión</w:t>
      </w:r>
      <w:r>
        <w:rPr>
          <w:lang w:val="es-ES"/>
        </w:rPr>
        <w:t xml:space="preserve"> consolidar su posición de líder en materia de IA en el sistema de las </w:t>
      </w:r>
      <w:r w:rsidR="000E31A1">
        <w:rPr>
          <w:lang w:val="es-ES"/>
        </w:rPr>
        <w:t>Naciones Unidas</w:t>
      </w:r>
      <w:r>
        <w:rPr>
          <w:lang w:val="es-ES"/>
        </w:rPr>
        <w:t>; un</w:t>
      </w:r>
      <w:r w:rsidR="00A10497">
        <w:rPr>
          <w:lang w:val="es-ES"/>
        </w:rPr>
        <w:t>o</w:t>
      </w:r>
      <w:r>
        <w:rPr>
          <w:lang w:val="es-ES"/>
        </w:rPr>
        <w:t xml:space="preserve"> de ellos preguntó exactamente cómo se gastaría la asignación y solicitó más información sobre el gasto del momento en IA, dado que estaba previsto que esas iniciativas se financiasen con recursos externos voluntarios. Otra consejera, señalando que los ahorros realizados en 2024 también se habían asignado a actividades de IA, preguntó si estaba prevista la continuación de esa práctica. Una tercera, después de destacar la importancia de integrar a jóvenes profesionales en el personal de </w:t>
      </w:r>
      <w:r w:rsidR="00103D78">
        <w:rPr>
          <w:lang w:val="es-ES"/>
        </w:rPr>
        <w:t>la UIT</w:t>
      </w:r>
      <w:r>
        <w:rPr>
          <w:lang w:val="es-ES"/>
        </w:rPr>
        <w:t>, preguntó por el alcance de la demanda del Fondo YPP.</w:t>
      </w:r>
    </w:p>
    <w:p w14:paraId="103EDDB8" w14:textId="302A4717" w:rsidR="00D030BC" w:rsidRDefault="00D030BC" w:rsidP="00D030BC">
      <w:pPr>
        <w:rPr>
          <w:lang w:val="es-ES"/>
        </w:rPr>
      </w:pPr>
      <w:r>
        <w:rPr>
          <w:lang w:val="es-ES"/>
        </w:rPr>
        <w:t>19.8</w:t>
      </w:r>
      <w:r>
        <w:rPr>
          <w:lang w:val="es-ES"/>
        </w:rPr>
        <w:tab/>
        <w:t>El Jefe del Departamento de Gestión de Recursos Financieros, en respuesta a los comentarios, dijo que, de los 6</w:t>
      </w:r>
      <w:r w:rsidR="005457EE">
        <w:rPr>
          <w:lang w:val="es-ES"/>
        </w:rPr>
        <w:t> millones CHF</w:t>
      </w:r>
      <w:r>
        <w:rPr>
          <w:lang w:val="es-ES"/>
        </w:rPr>
        <w:t xml:space="preserve"> atribuidos a la financiación del cese voluntario, solo habían quedado 900</w:t>
      </w:r>
      <w:r w:rsidR="005457EE">
        <w:rPr>
          <w:lang w:val="es-ES"/>
        </w:rPr>
        <w:t> CHF</w:t>
      </w:r>
      <w:r>
        <w:rPr>
          <w:lang w:val="es-ES"/>
        </w:rPr>
        <w:t xml:space="preserve"> tras los ciclos de ceses de 2023 y 2025. Los ahorros generados de ese proceso se habían invertido en esferas como las TI, los edificios, la continuidad de las operaciones y diversas actividades no cubiertas por el presupuesto ordinario. Se debían alentar los ceses voluntarios: además de permitir la realización de ahorros, permitían a </w:t>
      </w:r>
      <w:r w:rsidR="005457EE">
        <w:rPr>
          <w:lang w:val="es-ES"/>
        </w:rPr>
        <w:t>la Unión</w:t>
      </w:r>
      <w:r>
        <w:rPr>
          <w:lang w:val="es-ES"/>
        </w:rPr>
        <w:t xml:space="preserve"> incorporar a personal con nuevos conocimientos y aptitudes. El Presidente del CAIG </w:t>
      </w:r>
      <w:r>
        <w:rPr>
          <w:lang w:val="es-ES"/>
        </w:rPr>
        <w:lastRenderedPageBreak/>
        <w:t xml:space="preserve">estaba apoyando los esfuerzos de la dirección de </w:t>
      </w:r>
      <w:r w:rsidR="00103D78">
        <w:rPr>
          <w:lang w:val="es-ES"/>
        </w:rPr>
        <w:t>la UIT</w:t>
      </w:r>
      <w:r>
        <w:rPr>
          <w:lang w:val="es-ES"/>
        </w:rPr>
        <w:t xml:space="preserve"> a ese respecto. La nueva asignación propuesta de 2,5</w:t>
      </w:r>
      <w:r w:rsidR="005457EE">
        <w:rPr>
          <w:lang w:val="es-ES"/>
        </w:rPr>
        <w:t> millones CHF</w:t>
      </w:r>
      <w:r>
        <w:rPr>
          <w:lang w:val="es-ES"/>
        </w:rPr>
        <w:t xml:space="preserve"> facilitaría ese proceso, aunque no tenía por objeto ser utilizada para la formación de miembros del personal que habían cesado sus funciones en </w:t>
      </w:r>
      <w:r w:rsidR="005457EE">
        <w:rPr>
          <w:lang w:val="es-ES"/>
        </w:rPr>
        <w:t>la Unión</w:t>
      </w:r>
      <w:r>
        <w:rPr>
          <w:lang w:val="es-ES"/>
        </w:rPr>
        <w:t>, muchos de los cuales optaron por una jubilación anticipada, parcialmente para ofrecer oportunidades a sus colegas más jóvenes. El Departamento de Gestión de los Recursos Humanos tenía un presupuesto independiente destinado a la formación de personal interno y externo. El YPP no se gestionaba con cargo al presupuesto ordinario; por consiguiente, se podían trasladar fondos de un año al siguiente, ofreciendo cierto grado de continuidad. La cifra de ahorros totales de 11,44</w:t>
      </w:r>
      <w:r w:rsidR="005457EE">
        <w:rPr>
          <w:lang w:val="es-ES"/>
        </w:rPr>
        <w:t> millones CHF</w:t>
      </w:r>
      <w:r>
        <w:rPr>
          <w:lang w:val="es-ES"/>
        </w:rPr>
        <w:t xml:space="preserve"> incluía la asignación propuesta de 1,2</w:t>
      </w:r>
      <w:r w:rsidR="005457EE">
        <w:rPr>
          <w:lang w:val="es-ES"/>
        </w:rPr>
        <w:t> millones CHF</w:t>
      </w:r>
      <w:r>
        <w:rPr>
          <w:lang w:val="es-ES"/>
        </w:rPr>
        <w:t xml:space="preserve"> al fondo YPP. Las cifras se habían presentado como aparecían en el Documento C26/42(Rev.1) en consonancia con las peticiones contables formuladas por el Auditor Externo. La dirección de </w:t>
      </w:r>
      <w:r w:rsidR="00103D78">
        <w:rPr>
          <w:lang w:val="es-ES"/>
        </w:rPr>
        <w:t>la UIT</w:t>
      </w:r>
      <w:r>
        <w:rPr>
          <w:lang w:val="es-ES"/>
        </w:rPr>
        <w:t xml:space="preserve"> buscaba constantemente maneras de garantizar que los fondos se utilizasen de la manera más eficiente y efectiva posible, en particular en el contexto de la Iniciativa ONU80; a ese respecto, la modernización de los sistemas sería una contribución importante. La actualización del sitio web de </w:t>
      </w:r>
      <w:r w:rsidR="005457EE">
        <w:rPr>
          <w:lang w:val="es-ES"/>
        </w:rPr>
        <w:t>la Unión</w:t>
      </w:r>
      <w:r>
        <w:rPr>
          <w:lang w:val="es-ES"/>
        </w:rPr>
        <w:t xml:space="preserve"> form</w:t>
      </w:r>
      <w:r w:rsidR="00FB5AD9">
        <w:rPr>
          <w:lang w:val="es-ES"/>
        </w:rPr>
        <w:t>aba</w:t>
      </w:r>
      <w:r>
        <w:rPr>
          <w:lang w:val="es-ES"/>
        </w:rPr>
        <w:t xml:space="preserve"> parte de dichos esfuerzos.</w:t>
      </w:r>
    </w:p>
    <w:p w14:paraId="56CCA7F8" w14:textId="1D4A8FC0" w:rsidR="00D030BC" w:rsidRDefault="00D030BC" w:rsidP="008E2B29">
      <w:pPr>
        <w:rPr>
          <w:lang w:val="es-ES"/>
        </w:rPr>
      </w:pPr>
      <w:r>
        <w:rPr>
          <w:lang w:val="es-ES"/>
        </w:rPr>
        <w:t>19.9</w:t>
      </w:r>
      <w:r>
        <w:rPr>
          <w:lang w:val="es-ES"/>
        </w:rPr>
        <w:tab/>
        <w:t>El Director Adjunto de la TSB dijo que las iniciativas de IA a las que se hacía referencia en el documento tenían por objeto apoyar los mandatos prioritarios derivados de la AMNT</w:t>
      </w:r>
      <w:r>
        <w:rPr>
          <w:lang w:val="es-ES"/>
        </w:rPr>
        <w:noBreakHyphen/>
        <w:t xml:space="preserve">24 (soluciones, normas y competencias) y reforzar el liderazgo de </w:t>
      </w:r>
      <w:r w:rsidR="005457EE">
        <w:rPr>
          <w:lang w:val="es-ES"/>
        </w:rPr>
        <w:t>la Unión</w:t>
      </w:r>
      <w:r>
        <w:rPr>
          <w:lang w:val="es-ES"/>
        </w:rPr>
        <w:t xml:space="preserve"> en materia de innovación en IA. Para seguir dando soporte a la plataforma </w:t>
      </w:r>
      <w:r w:rsidR="00D32D09">
        <w:rPr>
          <w:lang w:val="es-ES"/>
        </w:rPr>
        <w:t>"</w:t>
      </w:r>
      <w:r>
        <w:rPr>
          <w:lang w:val="es-ES"/>
        </w:rPr>
        <w:t>AI for Good</w:t>
      </w:r>
      <w:r w:rsidR="00D32D09">
        <w:rPr>
          <w:lang w:val="es-ES"/>
        </w:rPr>
        <w:t>"</w:t>
      </w:r>
      <w:r>
        <w:rPr>
          <w:lang w:val="es-ES"/>
        </w:rPr>
        <w:t>, como encargó la</w:t>
      </w:r>
      <w:r w:rsidR="001A538A">
        <w:rPr>
          <w:lang w:val="es-ES"/>
        </w:rPr>
        <w:t> </w:t>
      </w:r>
      <w:r>
        <w:rPr>
          <w:lang w:val="es-ES"/>
        </w:rPr>
        <w:t>AMNT, la TSB necesitaba personal para trabajar en las actividades conexas. Unos</w:t>
      </w:r>
      <w:r w:rsidR="008E2B29">
        <w:rPr>
          <w:lang w:val="es-ES"/>
        </w:rPr>
        <w:t> </w:t>
      </w:r>
      <w:r>
        <w:rPr>
          <w:lang w:val="es-ES"/>
        </w:rPr>
        <w:t>20 miembros nuevos se habían sumado por conducto de la plataforma</w:t>
      </w:r>
      <w:r w:rsidR="00D17D49">
        <w:rPr>
          <w:lang w:val="es-ES"/>
        </w:rPr>
        <w:t xml:space="preserve"> </w:t>
      </w:r>
      <w:r w:rsidR="00D32D09">
        <w:rPr>
          <w:lang w:val="es-ES"/>
        </w:rPr>
        <w:t>"</w:t>
      </w:r>
      <w:r w:rsidR="00D17D49">
        <w:rPr>
          <w:lang w:val="es-ES"/>
        </w:rPr>
        <w:t>AI for Good</w:t>
      </w:r>
      <w:r w:rsidR="00D32D09">
        <w:rPr>
          <w:lang w:val="es-ES"/>
        </w:rPr>
        <w:t>"</w:t>
      </w:r>
      <w:r>
        <w:rPr>
          <w:lang w:val="es-ES"/>
        </w:rPr>
        <w:t xml:space="preserve">. Siguiendo con la colaboración con otras organizaciones de normalización, la Oficina había puesto en marcha una colaboración en materia de autenticidad de los multimedios. Mantenía una base de datos para el intercambio de normas y celebraba reuniones periódicas con otras organizaciones de normalización para armonizar la labor normativa sobre la IA. Una serie de actividades relacionadas con las competencias, como la </w:t>
      </w:r>
      <w:r w:rsidR="00D32D09">
        <w:rPr>
          <w:lang w:val="es-ES"/>
        </w:rPr>
        <w:t>"</w:t>
      </w:r>
      <w:r>
        <w:rPr>
          <w:lang w:val="es-ES"/>
        </w:rPr>
        <w:t xml:space="preserve">AI </w:t>
      </w:r>
      <w:proofErr w:type="spellStart"/>
      <w:r>
        <w:rPr>
          <w:lang w:val="es-ES"/>
        </w:rPr>
        <w:t>Skills</w:t>
      </w:r>
      <w:proofErr w:type="spellEnd"/>
      <w:r>
        <w:rPr>
          <w:lang w:val="es-ES"/>
        </w:rPr>
        <w:t xml:space="preserve"> </w:t>
      </w:r>
      <w:proofErr w:type="spellStart"/>
      <w:r>
        <w:rPr>
          <w:lang w:val="es-ES"/>
        </w:rPr>
        <w:t>Coalition</w:t>
      </w:r>
      <w:proofErr w:type="spellEnd"/>
      <w:r w:rsidR="00D32D09">
        <w:rPr>
          <w:lang w:val="es-ES"/>
        </w:rPr>
        <w:t>"</w:t>
      </w:r>
      <w:r w:rsidR="005E411B">
        <w:rPr>
          <w:lang w:val="es-ES"/>
        </w:rPr>
        <w:t xml:space="preserve"> y los concursos de aprendizaje automático</w:t>
      </w:r>
      <w:r>
        <w:rPr>
          <w:lang w:val="es-ES"/>
        </w:rPr>
        <w:t>, también aprovecha</w:t>
      </w:r>
      <w:r w:rsidR="00E7088D">
        <w:rPr>
          <w:lang w:val="es-ES"/>
        </w:rPr>
        <w:t>ban</w:t>
      </w:r>
      <w:r>
        <w:rPr>
          <w:lang w:val="es-ES"/>
        </w:rPr>
        <w:t xml:space="preserve"> la IA. La asignación propuesta de un millón</w:t>
      </w:r>
      <w:r w:rsidR="005457EE">
        <w:rPr>
          <w:lang w:val="es-ES"/>
        </w:rPr>
        <w:t> CHF</w:t>
      </w:r>
      <w:r>
        <w:rPr>
          <w:lang w:val="es-ES"/>
        </w:rPr>
        <w:t xml:space="preserve"> a las iniciativas de IA se gastaría en </w:t>
      </w:r>
      <w:r w:rsidR="005E411B">
        <w:rPr>
          <w:lang w:val="es-ES"/>
        </w:rPr>
        <w:t xml:space="preserve">personal de corta duración en </w:t>
      </w:r>
      <w:r>
        <w:rPr>
          <w:lang w:val="es-ES"/>
        </w:rPr>
        <w:t xml:space="preserve">consonancia con la </w:t>
      </w:r>
      <w:r w:rsidR="005E411B">
        <w:rPr>
          <w:lang w:val="es-ES"/>
        </w:rPr>
        <w:t>R</w:t>
      </w:r>
      <w:r>
        <w:rPr>
          <w:lang w:val="es-ES"/>
        </w:rPr>
        <w:t>esoluci</w:t>
      </w:r>
      <w:r w:rsidR="001A538A">
        <w:rPr>
          <w:lang w:val="es-ES"/>
        </w:rPr>
        <w:t>ón</w:t>
      </w:r>
      <w:r>
        <w:rPr>
          <w:lang w:val="es-ES"/>
        </w:rPr>
        <w:t xml:space="preserve"> </w:t>
      </w:r>
      <w:r w:rsidR="005E411B">
        <w:rPr>
          <w:lang w:val="es-ES"/>
        </w:rPr>
        <w:t>101</w:t>
      </w:r>
      <w:r>
        <w:rPr>
          <w:lang w:val="es-ES"/>
        </w:rPr>
        <w:t xml:space="preserve"> de la AMNT</w:t>
      </w:r>
      <w:r w:rsidR="005E411B">
        <w:rPr>
          <w:lang w:val="es-ES"/>
        </w:rPr>
        <w:t>-24</w:t>
      </w:r>
      <w:r>
        <w:rPr>
          <w:lang w:val="es-ES"/>
        </w:rPr>
        <w:t>.</w:t>
      </w:r>
    </w:p>
    <w:p w14:paraId="0454C3EB" w14:textId="6C161053" w:rsidR="00D030BC" w:rsidRPr="003258DC" w:rsidRDefault="00D030BC" w:rsidP="00D030BC">
      <w:pPr>
        <w:tabs>
          <w:tab w:val="clear" w:pos="567"/>
          <w:tab w:val="left" w:pos="709"/>
        </w:tabs>
        <w:rPr>
          <w:lang w:val="es-ES"/>
        </w:rPr>
      </w:pPr>
      <w:r>
        <w:rPr>
          <w:lang w:val="es-ES"/>
        </w:rPr>
        <w:t>19.10</w:t>
      </w:r>
      <w:r>
        <w:rPr>
          <w:lang w:val="es-ES"/>
        </w:rPr>
        <w:tab/>
        <w:t>El Director de la B</w:t>
      </w:r>
      <w:r w:rsidR="007F2153">
        <w:rPr>
          <w:lang w:val="es-ES"/>
        </w:rPr>
        <w:t>R</w:t>
      </w:r>
      <w:r>
        <w:rPr>
          <w:lang w:val="es-ES"/>
        </w:rPr>
        <w:t xml:space="preserve"> dijo que el </w:t>
      </w:r>
      <w:r w:rsidRPr="000A44EA">
        <w:rPr>
          <w:i/>
          <w:iCs/>
          <w:lang w:val="es-ES"/>
        </w:rPr>
        <w:t>software</w:t>
      </w:r>
      <w:r>
        <w:rPr>
          <w:lang w:val="es-ES"/>
        </w:rPr>
        <w:t xml:space="preserve"> complejo utilizado por la BR para diversos fines relacionados con las notificaciones de redes de satélites se actualizaba tras cada CMR para reflejar las últimas decisiones adoptadas. Sin embargo, </w:t>
      </w:r>
      <w:r w:rsidR="005E411B">
        <w:rPr>
          <w:lang w:val="es-ES"/>
        </w:rPr>
        <w:t xml:space="preserve">también </w:t>
      </w:r>
      <w:r>
        <w:rPr>
          <w:lang w:val="es-ES"/>
        </w:rPr>
        <w:t xml:space="preserve">había que mantener el </w:t>
      </w:r>
      <w:r w:rsidRPr="000A44EA">
        <w:rPr>
          <w:i/>
          <w:iCs/>
          <w:lang w:val="es-ES"/>
        </w:rPr>
        <w:t>software</w:t>
      </w:r>
      <w:r>
        <w:rPr>
          <w:lang w:val="es-ES"/>
        </w:rPr>
        <w:t xml:space="preserve"> más antiguo para los procesos que no habían registrado cambios. La modernización del </w:t>
      </w:r>
      <w:r w:rsidRPr="007F2153">
        <w:rPr>
          <w:i/>
          <w:iCs/>
          <w:lang w:val="es-ES"/>
        </w:rPr>
        <w:t>software</w:t>
      </w:r>
      <w:r>
        <w:rPr>
          <w:lang w:val="es-ES"/>
        </w:rPr>
        <w:t xml:space="preserve"> de la BR para tener en cuenta la evolución de l</w:t>
      </w:r>
      <w:r w:rsidR="005E411B">
        <w:rPr>
          <w:lang w:val="es-ES"/>
        </w:rPr>
        <w:t>os sistemas</w:t>
      </w:r>
      <w:r>
        <w:rPr>
          <w:lang w:val="es-ES"/>
        </w:rPr>
        <w:t xml:space="preserve"> de satélites presentaba un desafío importante, al igual que su funcionamiento en servidores internos obsoletos. Se debían preparar los programas para operar en la nube y en paralelo, en lugar de hacerlo en serie, para ofrecer una mayor capacidad de procesamiento y ayudar a reducir el retraso en las notificaciones de redes de satélites. El coste de la modernización del </w:t>
      </w:r>
      <w:r w:rsidRPr="000A44EA">
        <w:rPr>
          <w:i/>
          <w:iCs/>
          <w:lang w:val="es-ES"/>
        </w:rPr>
        <w:t>software</w:t>
      </w:r>
      <w:r>
        <w:rPr>
          <w:lang w:val="es-ES"/>
        </w:rPr>
        <w:t xml:space="preserve"> se estimaba en unos 3</w:t>
      </w:r>
      <w:r w:rsidR="005457EE">
        <w:rPr>
          <w:lang w:val="es-ES"/>
        </w:rPr>
        <w:t> millones CHF</w:t>
      </w:r>
      <w:r>
        <w:rPr>
          <w:lang w:val="es-ES"/>
        </w:rPr>
        <w:t>. Se esperaba que la asignación propuesta para los sistemas básicos de las notificaciones de redes de satélites y la capacidad de modernización se completase con otras posibles fuentes de financiación. La asignación propuesta para hacer frente al retraso en las notificaciones de redes de satélites se utilizaría para financiar 2,5 de los 3 puestos de ingeniero necesarios para resolver la situación a corto plazo, a pesar de que se podría tardar hasta un año</w:t>
      </w:r>
      <w:r w:rsidR="005E411B">
        <w:rPr>
          <w:lang w:val="es-ES"/>
        </w:rPr>
        <w:t>, tiempo necesario para</w:t>
      </w:r>
      <w:r w:rsidR="007F2153">
        <w:rPr>
          <w:lang w:val="es-ES"/>
        </w:rPr>
        <w:t xml:space="preserve"> </w:t>
      </w:r>
      <w:r w:rsidR="005E411B">
        <w:rPr>
          <w:lang w:val="es-ES"/>
        </w:rPr>
        <w:t xml:space="preserve">formar al </w:t>
      </w:r>
      <w:r w:rsidR="005E411B">
        <w:rPr>
          <w:lang w:val="es-ES"/>
        </w:rPr>
        <w:lastRenderedPageBreak/>
        <w:t xml:space="preserve">personal nuevo y que </w:t>
      </w:r>
      <w:r w:rsidR="00E7088D">
        <w:rPr>
          <w:lang w:val="es-ES"/>
        </w:rPr>
        <w:t>e</w:t>
      </w:r>
      <w:r w:rsidR="005E411B">
        <w:rPr>
          <w:lang w:val="es-ES"/>
        </w:rPr>
        <w:t>ste sea plenamente funcional a fin de que la BR pueda</w:t>
      </w:r>
      <w:r>
        <w:rPr>
          <w:lang w:val="es-ES"/>
        </w:rPr>
        <w:t xml:space="preserve"> recuperar los plazos reglamentarios habituales para </w:t>
      </w:r>
      <w:r w:rsidR="005E411B">
        <w:rPr>
          <w:lang w:val="es-ES"/>
        </w:rPr>
        <w:t>la tramitación</w:t>
      </w:r>
      <w:r>
        <w:rPr>
          <w:lang w:val="es-ES"/>
        </w:rPr>
        <w:t xml:space="preserve"> de notificaciones de redes de satélites.</w:t>
      </w:r>
    </w:p>
    <w:p w14:paraId="42ECB449" w14:textId="65136EEE" w:rsidR="00D030BC" w:rsidRPr="006C46B3" w:rsidRDefault="00D030BC" w:rsidP="00D030BC">
      <w:pPr>
        <w:tabs>
          <w:tab w:val="clear" w:pos="567"/>
          <w:tab w:val="left" w:pos="709"/>
        </w:tabs>
        <w:rPr>
          <w:lang w:val="es-ES"/>
        </w:rPr>
      </w:pPr>
      <w:r>
        <w:rPr>
          <w:lang w:val="es-ES"/>
        </w:rPr>
        <w:t>19.11</w:t>
      </w:r>
      <w:r>
        <w:rPr>
          <w:lang w:val="es-ES"/>
        </w:rPr>
        <w:tab/>
        <w:t>El Director de la BDT dijo que la Oficina tenía por objeto ser innovadora y creativa para buscar formas de actuar con base en las Resoluciones de la CMDT y cumplirlas dentro del marco de la gestión basada en los resultados. La financiación adicional que se estaba solicitando para las iniciativas regionales beneficiaría a todas las regiones. Tras la CMDT-25, cada región tenía cinco iniciativas que se estaban llevando a cabo a través de una serie de proyectos. La asignación propuesta de 1,3</w:t>
      </w:r>
      <w:r w:rsidR="005457EE">
        <w:rPr>
          <w:lang w:val="es-ES"/>
        </w:rPr>
        <w:t> millones CHF</w:t>
      </w:r>
      <w:r>
        <w:rPr>
          <w:lang w:val="es-ES"/>
        </w:rPr>
        <w:t xml:space="preserve"> se utilizaría parcialmente como financiación semilla para facilitar la financiación conjunta de múltiples asociados y organizaciones donantes, entre otras cosas en el marco de acuerdos entre organismos de las </w:t>
      </w:r>
      <w:r w:rsidR="000E31A1">
        <w:rPr>
          <w:lang w:val="es-ES"/>
        </w:rPr>
        <w:t>Naciones Unidas</w:t>
      </w:r>
      <w:r>
        <w:rPr>
          <w:lang w:val="es-ES"/>
        </w:rPr>
        <w:t>.</w:t>
      </w:r>
    </w:p>
    <w:p w14:paraId="0DCD2AEA" w14:textId="3954D4D5" w:rsidR="00D030BC" w:rsidRPr="006C46B3" w:rsidRDefault="00D030BC" w:rsidP="00D030BC">
      <w:pPr>
        <w:tabs>
          <w:tab w:val="clear" w:pos="567"/>
          <w:tab w:val="left" w:pos="709"/>
        </w:tabs>
        <w:rPr>
          <w:lang w:val="es-ES"/>
        </w:rPr>
      </w:pPr>
      <w:r>
        <w:rPr>
          <w:lang w:val="es-ES"/>
        </w:rPr>
        <w:t>19.12</w:t>
      </w:r>
      <w:r>
        <w:rPr>
          <w:lang w:val="es-ES"/>
        </w:rPr>
        <w:tab/>
        <w:t xml:space="preserve">Un representante de la Secretaría dijo que no habría solapamientos en las iniciativas de migración a la nube emprendidas por la BR y el Departamento de Sistemas de Información: la primera guardaba relación específicamente con la modernización del </w:t>
      </w:r>
      <w:r w:rsidRPr="000E5A16">
        <w:rPr>
          <w:i/>
          <w:iCs/>
          <w:lang w:val="es-ES"/>
        </w:rPr>
        <w:t>software</w:t>
      </w:r>
      <w:r>
        <w:rPr>
          <w:lang w:val="es-ES"/>
        </w:rPr>
        <w:t xml:space="preserve"> de la BR mientras que el segundo abarcaba los servicios para toda </w:t>
      </w:r>
      <w:r w:rsidR="005457EE">
        <w:rPr>
          <w:lang w:val="es-ES"/>
        </w:rPr>
        <w:t>la Unión</w:t>
      </w:r>
      <w:r>
        <w:rPr>
          <w:lang w:val="es-ES"/>
        </w:rPr>
        <w:t>.</w:t>
      </w:r>
    </w:p>
    <w:p w14:paraId="12F4170C" w14:textId="77777777" w:rsidR="00D030BC" w:rsidRPr="006C46B3" w:rsidRDefault="00D030BC" w:rsidP="00D030BC">
      <w:pPr>
        <w:tabs>
          <w:tab w:val="clear" w:pos="567"/>
          <w:tab w:val="left" w:pos="709"/>
        </w:tabs>
        <w:rPr>
          <w:lang w:val="es-ES"/>
        </w:rPr>
      </w:pPr>
      <w:r>
        <w:rPr>
          <w:lang w:val="es-ES"/>
        </w:rPr>
        <w:t>19.13</w:t>
      </w:r>
      <w:r>
        <w:rPr>
          <w:lang w:val="es-ES"/>
        </w:rPr>
        <w:tab/>
        <w:t xml:space="preserve">Varios consejeros reiteraron sus solicitudes de información específica, en particular en relación con las asignaciones de ahorros totales pedidas y el uso de la asignación propuesta a las iniciativas de IA, y para los cambios que se debían aportar al </w:t>
      </w:r>
      <w:r w:rsidRPr="000E5A16">
        <w:rPr>
          <w:lang w:val="es-ES"/>
        </w:rPr>
        <w:t>Documento C26</w:t>
      </w:r>
      <w:r>
        <w:rPr>
          <w:lang w:val="es-ES"/>
        </w:rPr>
        <w:t>/42(Rev.1), sin los que no estarían en condiciones de tomar decisión alguna sobre el asunto.</w:t>
      </w:r>
    </w:p>
    <w:p w14:paraId="3924D823" w14:textId="09C9E5F4" w:rsidR="00D030BC" w:rsidRDefault="00D030BC" w:rsidP="00D030BC">
      <w:pPr>
        <w:tabs>
          <w:tab w:val="clear" w:pos="567"/>
          <w:tab w:val="left" w:pos="709"/>
        </w:tabs>
        <w:rPr>
          <w:lang w:val="es-ES"/>
        </w:rPr>
      </w:pPr>
      <w:r>
        <w:rPr>
          <w:lang w:val="es-ES"/>
        </w:rPr>
        <w:t>19.14</w:t>
      </w:r>
      <w:r>
        <w:rPr>
          <w:lang w:val="es-ES"/>
        </w:rPr>
        <w:tab/>
        <w:t>El Jefe del Departamento de Gestión de Recursos Financieros aclaró que el superávit presupuestario para 2025 se cifraba en 10,24</w:t>
      </w:r>
      <w:r w:rsidR="005457EE">
        <w:rPr>
          <w:lang w:val="es-ES"/>
        </w:rPr>
        <w:t> millones CHF</w:t>
      </w:r>
      <w:r>
        <w:rPr>
          <w:lang w:val="es-ES"/>
        </w:rPr>
        <w:t>; la cifra de 11,44</w:t>
      </w:r>
      <w:r w:rsidR="005457EE">
        <w:rPr>
          <w:lang w:val="es-ES"/>
        </w:rPr>
        <w:t> millones CHF</w:t>
      </w:r>
      <w:r>
        <w:rPr>
          <w:lang w:val="es-ES"/>
        </w:rPr>
        <w:t xml:space="preserve"> incluía los 559 800</w:t>
      </w:r>
      <w:r w:rsidR="005457EE">
        <w:rPr>
          <w:lang w:val="es-ES"/>
        </w:rPr>
        <w:t> CHF</w:t>
      </w:r>
      <w:r>
        <w:rPr>
          <w:lang w:val="es-ES"/>
        </w:rPr>
        <w:t xml:space="preserve"> que ya habían sido aprobados para su transferencia al FD-TIC, sobre la base del </w:t>
      </w:r>
      <w:r w:rsidRPr="008E2B29">
        <w:rPr>
          <w:lang w:val="es-ES"/>
        </w:rPr>
        <w:t xml:space="preserve">Documento </w:t>
      </w:r>
      <w:hyperlink r:id="rId72" w:history="1">
        <w:r w:rsidRPr="008E2B29">
          <w:rPr>
            <w:rStyle w:val="Hyperlink"/>
            <w:rFonts w:eastAsia="Times New Roman" w:cs="Times New Roman"/>
            <w:szCs w:val="20"/>
            <w:lang w:val="es-ES"/>
          </w:rPr>
          <w:t>C26/34</w:t>
        </w:r>
      </w:hyperlink>
      <w:r>
        <w:rPr>
          <w:lang w:val="es-ES"/>
        </w:rPr>
        <w:t>, y los 1,2</w:t>
      </w:r>
      <w:r w:rsidR="005457EE">
        <w:rPr>
          <w:lang w:val="es-ES"/>
        </w:rPr>
        <w:t> millones CHF</w:t>
      </w:r>
      <w:r>
        <w:rPr>
          <w:lang w:val="es-ES"/>
        </w:rPr>
        <w:t xml:space="preserve"> previamente solicitados para el Fondo YPP en el Documento </w:t>
      </w:r>
      <w:hyperlink r:id="rId73" w:history="1">
        <w:r w:rsidRPr="008E2B29">
          <w:rPr>
            <w:rStyle w:val="Hyperlink"/>
            <w:rFonts w:eastAsia="Times New Roman" w:cs="Times New Roman"/>
            <w:szCs w:val="20"/>
            <w:lang w:val="es-ES"/>
          </w:rPr>
          <w:t>C24/31</w:t>
        </w:r>
      </w:hyperlink>
      <w:r>
        <w:rPr>
          <w:lang w:val="es-ES"/>
        </w:rPr>
        <w:t>. Respecto a los ceses concertados, era difícil prever cuántos miembros del personal se acogerían al programa. Toda cuantía asignada y no utilizada se transferiría a la cuenta de reserva.</w:t>
      </w:r>
    </w:p>
    <w:p w14:paraId="55849A12" w14:textId="2D8CD0F3" w:rsidR="00D030BC" w:rsidRPr="003258DC" w:rsidRDefault="00D030BC" w:rsidP="00D030BC">
      <w:pPr>
        <w:tabs>
          <w:tab w:val="clear" w:pos="567"/>
          <w:tab w:val="left" w:pos="709"/>
        </w:tabs>
        <w:rPr>
          <w:lang w:val="es-ES"/>
        </w:rPr>
      </w:pPr>
      <w:r>
        <w:rPr>
          <w:lang w:val="es-ES"/>
        </w:rPr>
        <w:t>19.15</w:t>
      </w:r>
      <w:r>
        <w:rPr>
          <w:lang w:val="es-ES"/>
        </w:rPr>
        <w:tab/>
        <w:t xml:space="preserve">El Vicesecretario General hizo énfasis en que las asignaciones propuestas tenían por objeto cubrir los gastos que no podían financiarse con cargo al presupuesto ordinario en el marco del Plan Financiero actual, que se destinaba estratégicamente a las necesidades importantes. Las asignaciones solicitadas para las actividades de la BR ayudarían a reducir el atraso en las notificaciones de redes de satélites no solo en el corto plazo, con el apoyo de personal adicional, sino también en el largo plazo por conducto de la modernización del </w:t>
      </w:r>
      <w:r w:rsidRPr="000E5A16">
        <w:rPr>
          <w:i/>
          <w:iCs/>
          <w:lang w:val="es-ES"/>
        </w:rPr>
        <w:t>software</w:t>
      </w:r>
      <w:r>
        <w:rPr>
          <w:lang w:val="es-ES"/>
        </w:rPr>
        <w:t xml:space="preserve">, ya que a partir de ese momento no se necesitaría personal adicional y se generarían más ahorros. La Secretaría estaba buscando diversas fuentes de financiación a tal efecto. Debía realizarse la distinción entre las iniciativas de IA a las que se hace referencia en el Documento C26/42(Rev.1) y las utilizadas para atender las necesidades internas de </w:t>
      </w:r>
      <w:r w:rsidR="005457EE">
        <w:rPr>
          <w:lang w:val="es-ES"/>
        </w:rPr>
        <w:t>la Unión</w:t>
      </w:r>
      <w:r>
        <w:rPr>
          <w:lang w:val="es-ES"/>
        </w:rPr>
        <w:t>, como en las esferas de la traducción, la interpretación y el subtitulado, donde la IA ya se estaba utilizando para reducir el uso de recursos humanos. La asignación propuesta de 1 millón de</w:t>
      </w:r>
      <w:r w:rsidR="005457EE">
        <w:rPr>
          <w:lang w:val="es-ES"/>
        </w:rPr>
        <w:t> CHF</w:t>
      </w:r>
      <w:r>
        <w:rPr>
          <w:lang w:val="es-ES"/>
        </w:rPr>
        <w:t xml:space="preserve"> para las iniciativas de IA tenía por objeto completar los acuerdos anuales de patrocinio en el marco de la plataforma de </w:t>
      </w:r>
      <w:r w:rsidR="00D32D09">
        <w:rPr>
          <w:lang w:val="es-ES"/>
        </w:rPr>
        <w:t>"</w:t>
      </w:r>
      <w:r>
        <w:rPr>
          <w:lang w:val="es-ES"/>
        </w:rPr>
        <w:t>AI for Good</w:t>
      </w:r>
      <w:r w:rsidR="00D32D09">
        <w:rPr>
          <w:lang w:val="es-ES"/>
        </w:rPr>
        <w:t>"</w:t>
      </w:r>
      <w:r>
        <w:rPr>
          <w:lang w:val="es-ES"/>
        </w:rPr>
        <w:t xml:space="preserve">, ofreciendo eficazmente un fondo de operaciones para subsanar las deficiencias sin implicar un peso continuo para el presupuesto ordinario. La Secretaría seguiría procurando buscar los modelos de financiación adecuados para garantizar que las iniciativas solicitadas por los Estados Miembros pudieran </w:t>
      </w:r>
      <w:r>
        <w:rPr>
          <w:lang w:val="es-ES"/>
        </w:rPr>
        <w:lastRenderedPageBreak/>
        <w:t xml:space="preserve">ser implementadas, teniendo en cuenta la necesidad de continuidad en la dotación </w:t>
      </w:r>
      <w:r w:rsidR="00E7088D">
        <w:rPr>
          <w:lang w:val="es-ES"/>
        </w:rPr>
        <w:t xml:space="preserve">de </w:t>
      </w:r>
      <w:r>
        <w:rPr>
          <w:lang w:val="es-ES"/>
        </w:rPr>
        <w:t>personal.</w:t>
      </w:r>
    </w:p>
    <w:p w14:paraId="5B1778D5" w14:textId="429AC42B" w:rsidR="00D030BC" w:rsidRDefault="00D030BC" w:rsidP="00D030BC">
      <w:pPr>
        <w:tabs>
          <w:tab w:val="clear" w:pos="567"/>
          <w:tab w:val="left" w:pos="709"/>
        </w:tabs>
        <w:rPr>
          <w:lang w:val="es-ES"/>
        </w:rPr>
      </w:pPr>
      <w:r>
        <w:rPr>
          <w:lang w:val="es-ES"/>
        </w:rPr>
        <w:t>19.16</w:t>
      </w:r>
      <w:r>
        <w:rPr>
          <w:lang w:val="es-ES"/>
        </w:rPr>
        <w:tab/>
        <w:t xml:space="preserve">Tras consultas oficiosas, se anunció que se reuniría un grupo </w:t>
      </w:r>
      <w:r>
        <w:rPr>
          <w:i/>
          <w:iCs/>
          <w:lang w:val="es-ES"/>
        </w:rPr>
        <w:t>ad hoc</w:t>
      </w:r>
      <w:r>
        <w:rPr>
          <w:lang w:val="es-ES"/>
        </w:rPr>
        <w:t xml:space="preserve"> para debatir sobre el asunto, en particular una versión revisada del Documento C26/42(Rev.1) y el proyecto de nueva resolución adjunto al mismo, que se publicó como Documento </w:t>
      </w:r>
      <w:hyperlink r:id="rId74" w:history="1">
        <w:r w:rsidRPr="008E2B29">
          <w:rPr>
            <w:rStyle w:val="Hyperlink"/>
            <w:rFonts w:eastAsia="Times New Roman" w:cs="Times New Roman"/>
            <w:szCs w:val="20"/>
            <w:lang w:val="es-ES"/>
          </w:rPr>
          <w:t>C26/DT/6</w:t>
        </w:r>
      </w:hyperlink>
      <w:r>
        <w:rPr>
          <w:lang w:val="es-ES"/>
        </w:rPr>
        <w:t>. El grupo</w:t>
      </w:r>
      <w:r>
        <w:rPr>
          <w:i/>
          <w:iCs/>
          <w:lang w:val="es-ES"/>
        </w:rPr>
        <w:t xml:space="preserve"> ad hoc </w:t>
      </w:r>
      <w:r>
        <w:rPr>
          <w:lang w:val="es-ES"/>
        </w:rPr>
        <w:t>celebró dos reuniones.</w:t>
      </w:r>
    </w:p>
    <w:p w14:paraId="4A30B81D" w14:textId="30A7E8B1" w:rsidR="005E411B" w:rsidRDefault="005E411B" w:rsidP="00D030BC">
      <w:pPr>
        <w:tabs>
          <w:tab w:val="clear" w:pos="567"/>
          <w:tab w:val="left" w:pos="709"/>
        </w:tabs>
        <w:rPr>
          <w:lang w:val="es-ES"/>
        </w:rPr>
      </w:pPr>
      <w:r>
        <w:rPr>
          <w:lang w:val="es-ES"/>
        </w:rPr>
        <w:t>19.17</w:t>
      </w:r>
      <w:r>
        <w:rPr>
          <w:lang w:val="es-ES"/>
        </w:rPr>
        <w:tab/>
        <w:t xml:space="preserve">El Presidente del </w:t>
      </w:r>
      <w:r w:rsidR="00E7088D">
        <w:rPr>
          <w:lang w:val="es-ES"/>
        </w:rPr>
        <w:t>g</w:t>
      </w:r>
      <w:r>
        <w:rPr>
          <w:lang w:val="es-ES"/>
        </w:rPr>
        <w:t xml:space="preserve">rupo </w:t>
      </w:r>
      <w:r>
        <w:rPr>
          <w:i/>
          <w:iCs/>
          <w:lang w:val="es-ES"/>
        </w:rPr>
        <w:t>ad hoc</w:t>
      </w:r>
      <w:r>
        <w:rPr>
          <w:lang w:val="es-ES"/>
        </w:rPr>
        <w:t xml:space="preserve"> presentó a continuación el Documento C26/42(Rev.2), que contenía la versión actualizada del Informe y la revisión del proyecto de Acuerdo que reflejaba el consenso en torno a la atribución de los ahorros de 2025.</w:t>
      </w:r>
    </w:p>
    <w:p w14:paraId="0E9BD6EC" w14:textId="0E988E79" w:rsidR="005E411B" w:rsidRPr="006C46B3" w:rsidRDefault="005E411B" w:rsidP="008E2B29">
      <w:pPr>
        <w:tabs>
          <w:tab w:val="clear" w:pos="567"/>
          <w:tab w:val="left" w:pos="709"/>
        </w:tabs>
        <w:rPr>
          <w:lang w:val="es-ES"/>
        </w:rPr>
      </w:pPr>
      <w:r>
        <w:rPr>
          <w:lang w:val="es-ES"/>
        </w:rPr>
        <w:t>19.18</w:t>
      </w:r>
      <w:r>
        <w:rPr>
          <w:lang w:val="es-ES"/>
        </w:rPr>
        <w:tab/>
        <w:t xml:space="preserve">La Secretaria General dio las gracias al Presidente y a los miembros del </w:t>
      </w:r>
      <w:r w:rsidR="00E7088D">
        <w:rPr>
          <w:lang w:val="es-ES"/>
        </w:rPr>
        <w:t>g</w:t>
      </w:r>
      <w:r>
        <w:rPr>
          <w:lang w:val="es-ES"/>
        </w:rPr>
        <w:t xml:space="preserve">rupo </w:t>
      </w:r>
      <w:r>
        <w:rPr>
          <w:i/>
          <w:iCs/>
          <w:lang w:val="es-ES"/>
        </w:rPr>
        <w:t>ad hoc</w:t>
      </w:r>
      <w:r>
        <w:rPr>
          <w:lang w:val="es-ES"/>
        </w:rPr>
        <w:t xml:space="preserve"> por su implicación y espíritu de compromiso para llegar a una propuesta consensuada.</w:t>
      </w:r>
    </w:p>
    <w:p w14:paraId="2E836A7B" w14:textId="44348B61" w:rsidR="00D030BC" w:rsidRPr="001D759A" w:rsidRDefault="00D030BC" w:rsidP="008E2B29">
      <w:pPr>
        <w:tabs>
          <w:tab w:val="clear" w:pos="567"/>
          <w:tab w:val="left" w:pos="709"/>
        </w:tabs>
        <w:spacing w:after="120"/>
        <w:rPr>
          <w:rFonts w:eastAsia="Calibri" w:cs="Calibri"/>
          <w:szCs w:val="24"/>
          <w:lang w:val="es-ES"/>
        </w:rPr>
      </w:pPr>
      <w:r>
        <w:rPr>
          <w:rFonts w:eastAsia="Calibri" w:cs="Calibri"/>
          <w:spacing w:val="-4"/>
          <w:szCs w:val="24"/>
          <w:lang w:val="es-ES"/>
        </w:rPr>
        <w:t>19.1</w:t>
      </w:r>
      <w:r w:rsidR="00141196">
        <w:rPr>
          <w:rFonts w:eastAsia="Calibri" w:cs="Calibri"/>
          <w:spacing w:val="-4"/>
          <w:szCs w:val="24"/>
          <w:lang w:val="es-ES"/>
        </w:rPr>
        <w:t>9</w:t>
      </w:r>
      <w:r w:rsidRPr="001D759A">
        <w:rPr>
          <w:rFonts w:eastAsia="Calibri" w:cs="Calibri"/>
          <w:szCs w:val="24"/>
          <w:lang w:val="es-ES"/>
        </w:rPr>
        <w:tab/>
      </w:r>
      <w:r w:rsidRPr="001D759A">
        <w:rPr>
          <w:lang w:val="es-ES"/>
        </w:rPr>
        <w:t xml:space="preserve">La Comisión </w:t>
      </w:r>
      <w:r w:rsidRPr="001D759A">
        <w:rPr>
          <w:b/>
          <w:bCs/>
          <w:lang w:val="es-ES"/>
        </w:rPr>
        <w:t>acordó</w:t>
      </w:r>
      <w:r w:rsidRPr="001D759A">
        <w:rPr>
          <w:lang w:val="es-ES"/>
        </w:rPr>
        <w:t xml:space="preserve"> llegar a la siguiente conclusión sobre este asunto</w:t>
      </w:r>
      <w:r w:rsidRPr="001D759A">
        <w:rPr>
          <w:rFonts w:eastAsia="Calibri" w:cs="Calibri"/>
          <w:szCs w:val="24"/>
          <w:lang w:val="es-ES"/>
        </w:rPr>
        <w:t>:</w:t>
      </w:r>
    </w:p>
    <w:tbl>
      <w:tblPr>
        <w:tblStyle w:val="TableGrid"/>
        <w:tblW w:w="5000" w:type="pct"/>
        <w:tblInd w:w="-147" w:type="dxa"/>
        <w:tblLook w:val="04A0" w:firstRow="1" w:lastRow="0" w:firstColumn="1" w:lastColumn="0" w:noHBand="0" w:noVBand="1"/>
      </w:tblPr>
      <w:tblGrid>
        <w:gridCol w:w="9061"/>
      </w:tblGrid>
      <w:tr w:rsidR="00D030BC" w:rsidRPr="0057685D" w14:paraId="0C49F0BC" w14:textId="77777777" w:rsidTr="001B1DA5">
        <w:tc>
          <w:tcPr>
            <w:tcW w:w="9061" w:type="dxa"/>
          </w:tcPr>
          <w:p w14:paraId="0298C821" w14:textId="13F7D176" w:rsidR="00D030BC" w:rsidRDefault="00D030BC" w:rsidP="008E2B29">
            <w:pPr>
              <w:pStyle w:val="enumlev1"/>
              <w:tabs>
                <w:tab w:val="clear" w:pos="567"/>
              </w:tabs>
              <w:ind w:left="749" w:hanging="709"/>
              <w:rPr>
                <w:lang w:val="es-ES"/>
              </w:rPr>
            </w:pPr>
            <w:r>
              <w:rPr>
                <w:rFonts w:eastAsia="Calibri" w:cs="Calibri"/>
                <w:szCs w:val="24"/>
                <w:lang w:val="es-ES"/>
              </w:rPr>
              <w:t>19.</w:t>
            </w:r>
            <w:r w:rsidR="00141196">
              <w:rPr>
                <w:rFonts w:eastAsia="Calibri" w:cs="Calibri"/>
                <w:szCs w:val="24"/>
                <w:lang w:val="es-ES"/>
              </w:rPr>
              <w:t>20</w:t>
            </w:r>
            <w:r w:rsidRPr="001D759A">
              <w:rPr>
                <w:lang w:val="es-ES"/>
              </w:rPr>
              <w:tab/>
              <w:t>La Comisión recomienda al Consejo que:</w:t>
            </w:r>
          </w:p>
          <w:p w14:paraId="3A424C7E" w14:textId="61F43F4D" w:rsidR="00D030BC" w:rsidRDefault="00D030BC" w:rsidP="008E2B29">
            <w:pPr>
              <w:pStyle w:val="enumlev1"/>
              <w:tabs>
                <w:tab w:val="clear" w:pos="567"/>
              </w:tabs>
              <w:ind w:left="749" w:hanging="709"/>
              <w:rPr>
                <w:lang w:val="es-ES"/>
              </w:rPr>
            </w:pPr>
            <w:r w:rsidRPr="001D759A">
              <w:rPr>
                <w:lang w:val="es-ES"/>
              </w:rPr>
              <w:t>•</w:t>
            </w:r>
            <w:r w:rsidRPr="001D759A">
              <w:rPr>
                <w:lang w:val="es-ES"/>
              </w:rPr>
              <w:tab/>
            </w:r>
            <w:r>
              <w:rPr>
                <w:lang w:val="es-ES"/>
              </w:rPr>
              <w:t xml:space="preserve">tome nota del informe revisado contenido en el Documento </w:t>
            </w:r>
            <w:hyperlink r:id="rId75" w:history="1">
              <w:r w:rsidR="005E411B" w:rsidRPr="00F10968">
                <w:rPr>
                  <w:rStyle w:val="Hyperlink"/>
                  <w:rFonts w:cs="Times New Roman"/>
                  <w:szCs w:val="20"/>
                  <w:lang w:val="es-ES"/>
                </w:rPr>
                <w:t>C26/42(Rev.2)</w:t>
              </w:r>
            </w:hyperlink>
            <w:r w:rsidR="005A3B14" w:rsidRPr="005A3B14">
              <w:rPr>
                <w:lang w:val="es-ES"/>
              </w:rPr>
              <w:t>;</w:t>
            </w:r>
            <w:r w:rsidRPr="001D759A">
              <w:rPr>
                <w:lang w:val="es-ES"/>
              </w:rPr>
              <w:t xml:space="preserve"> y</w:t>
            </w:r>
          </w:p>
          <w:p w14:paraId="1C7D4197" w14:textId="5BDD8065" w:rsidR="00D030BC" w:rsidRPr="001D759A" w:rsidRDefault="00D030BC" w:rsidP="008E2B29">
            <w:pPr>
              <w:pStyle w:val="enumlev1"/>
              <w:tabs>
                <w:tab w:val="clear" w:pos="567"/>
              </w:tabs>
              <w:spacing w:after="120"/>
              <w:ind w:left="749" w:hanging="709"/>
              <w:rPr>
                <w:rFonts w:eastAsia="Calibri" w:cs="Calibri"/>
                <w:szCs w:val="24"/>
                <w:lang w:val="es-ES"/>
              </w:rPr>
            </w:pPr>
            <w:r w:rsidRPr="001D759A">
              <w:rPr>
                <w:lang w:val="es-ES"/>
              </w:rPr>
              <w:t>•</w:t>
            </w:r>
            <w:r w:rsidRPr="001D759A">
              <w:rPr>
                <w:lang w:val="es-ES"/>
              </w:rPr>
              <w:tab/>
            </w:r>
            <w:r w:rsidRPr="00D030BC">
              <w:rPr>
                <w:lang w:val="es-ES"/>
              </w:rPr>
              <w:t>apruebe</w:t>
            </w:r>
            <w:r>
              <w:rPr>
                <w:rFonts w:cs="Calibri"/>
                <w:szCs w:val="24"/>
                <w:lang w:val="es-ES"/>
              </w:rPr>
              <w:t xml:space="preserve"> el proyecto de nueva Resolución que figura en el </w:t>
            </w:r>
            <w:hyperlink w:anchor="ANEXO_D" w:history="1">
              <w:r w:rsidRPr="00F10968">
                <w:rPr>
                  <w:rStyle w:val="Hyperlink"/>
                  <w:rFonts w:cs="Calibri"/>
                  <w:b/>
                  <w:bCs/>
                  <w:szCs w:val="24"/>
                  <w:lang w:val="es-ES"/>
                </w:rPr>
                <w:t>Anexo D</w:t>
              </w:r>
            </w:hyperlink>
            <w:r>
              <w:rPr>
                <w:rFonts w:cs="Calibri"/>
                <w:szCs w:val="24"/>
                <w:lang w:val="es-ES"/>
              </w:rPr>
              <w:t xml:space="preserve"> al presente </w:t>
            </w:r>
            <w:r w:rsidR="00AD6AE1">
              <w:rPr>
                <w:rFonts w:cs="Calibri"/>
                <w:szCs w:val="24"/>
                <w:lang w:val="es-ES"/>
              </w:rPr>
              <w:t>I</w:t>
            </w:r>
            <w:r>
              <w:rPr>
                <w:rFonts w:cs="Calibri"/>
                <w:szCs w:val="24"/>
                <w:lang w:val="es-ES"/>
              </w:rPr>
              <w:t>nforme</w:t>
            </w:r>
            <w:r w:rsidRPr="001D759A">
              <w:rPr>
                <w:rFonts w:cs="Calibri"/>
                <w:szCs w:val="24"/>
                <w:lang w:val="es-ES"/>
              </w:rPr>
              <w:t>.</w:t>
            </w:r>
          </w:p>
        </w:tc>
      </w:tr>
    </w:tbl>
    <w:p w14:paraId="5160FF8C" w14:textId="3DE464A4" w:rsidR="00ED2477" w:rsidRPr="001D759A" w:rsidRDefault="00ED2477" w:rsidP="00ED2477">
      <w:pPr>
        <w:pStyle w:val="Heading1"/>
        <w:rPr>
          <w:szCs w:val="28"/>
          <w:lang w:val="es-ES"/>
        </w:rPr>
      </w:pPr>
      <w:r w:rsidRPr="001D759A">
        <w:rPr>
          <w:bCs/>
          <w:lang w:val="es-ES"/>
        </w:rPr>
        <w:t>20</w:t>
      </w:r>
      <w:r w:rsidRPr="001D759A">
        <w:rPr>
          <w:lang w:val="es-ES"/>
        </w:rPr>
        <w:tab/>
      </w:r>
      <w:r w:rsidRPr="001D759A">
        <w:rPr>
          <w:bCs/>
          <w:lang w:val="es-ES"/>
        </w:rPr>
        <w:t xml:space="preserve">Informe del Presidente del GTC-RHF y del Presidente del GTC-PEF sobre la reunión conjunta del GTC-RHF y el GTC-PEF (Documento </w:t>
      </w:r>
      <w:hyperlink r:id="rId76" w:history="1">
        <w:r w:rsidRPr="00490FED">
          <w:rPr>
            <w:rStyle w:val="Hyperlink"/>
            <w:rFonts w:eastAsia="Times New Roman" w:cs="Times New Roman"/>
            <w:bCs/>
            <w:szCs w:val="20"/>
            <w:lang w:val="es-ES"/>
          </w:rPr>
          <w:t>C26/112</w:t>
        </w:r>
      </w:hyperlink>
      <w:r w:rsidRPr="001D759A">
        <w:rPr>
          <w:bCs/>
          <w:lang w:val="es-ES"/>
        </w:rPr>
        <w:t>)</w:t>
      </w:r>
      <w:hyperlink r:id="rId77" w:history="1"/>
    </w:p>
    <w:p w14:paraId="11387B26" w14:textId="03604E15" w:rsidR="00ED2477" w:rsidRPr="001D759A" w:rsidRDefault="00ED2477" w:rsidP="00ED2477">
      <w:pPr>
        <w:spacing w:line="259" w:lineRule="auto"/>
        <w:rPr>
          <w:rFonts w:eastAsia="Calibri" w:cs="Calibri"/>
          <w:lang w:val="es-ES"/>
        </w:rPr>
      </w:pPr>
      <w:r w:rsidRPr="001D759A">
        <w:rPr>
          <w:lang w:val="es-ES"/>
        </w:rPr>
        <w:t>20.1</w:t>
      </w:r>
      <w:r w:rsidRPr="001D759A">
        <w:rPr>
          <w:lang w:val="es-ES"/>
        </w:rPr>
        <w:tab/>
        <w:t xml:space="preserve">El Presidente del GTC-RHF presentó el informe que figura en el Documento C26/112 sobre la reunión conjunta del GTC-RHF y el GTC-PEF, celebrada el 27 de abril de 2026, para debatir el proyecto de Plan Financiero para 2028-2031 (véase el Documento </w:t>
      </w:r>
      <w:hyperlink r:id="rId78" w:history="1">
        <w:r w:rsidRPr="00490FED">
          <w:rPr>
            <w:rStyle w:val="Hyperlink"/>
            <w:rFonts w:eastAsia="Times New Roman" w:cs="Times New Roman"/>
            <w:szCs w:val="20"/>
            <w:lang w:val="es-ES"/>
          </w:rPr>
          <w:t>C26/32</w:t>
        </w:r>
      </w:hyperlink>
      <w:r w:rsidRPr="001D759A">
        <w:rPr>
          <w:lang w:val="es-ES"/>
        </w:rPr>
        <w:t xml:space="preserve">). También se había celebrado una sesión informativa el 1 de mayo. Los miembros habían acogido con satisfacción el nuevo enfoque de la Secretaría respecto del proyecto de Plan Financiero y su compromiso de aplicar un enfoque de gestión basada en los resultados en apoyo de los Planes Estratégico y Operacional. No obstante, se agradecería disponer de información más detallada sobre el proyecto de Plan Financiero, como se indica en el § 2.12 del informe y de conformidad con la Decisión 5 (Rev. Bucarest, 2022) de la Conferencia de Plenipotenciarios, para que los Estados Miembros puedan comprender mejor los progresos realizados en materia de presupuestación basada en resultados. Se recomendó celebrar una nueva sesión informativa sobre el proyecto de Plan Financiero al menos seis semanas antes de la PP-26. </w:t>
      </w:r>
      <w:hyperlink r:id="rId79" w:history="1"/>
    </w:p>
    <w:p w14:paraId="3ED919C0" w14:textId="5E13AF10" w:rsidR="00ED2477" w:rsidRPr="001D759A" w:rsidRDefault="00ED2477" w:rsidP="007113C1">
      <w:pPr>
        <w:keepNext/>
        <w:keepLines/>
        <w:spacing w:after="120"/>
        <w:rPr>
          <w:lang w:val="es-ES"/>
        </w:rPr>
      </w:pPr>
      <w:r w:rsidRPr="001D759A">
        <w:rPr>
          <w:lang w:val="es-ES"/>
        </w:rPr>
        <w:lastRenderedPageBreak/>
        <w:t>20.2</w:t>
      </w:r>
      <w:r w:rsidRPr="001D759A">
        <w:rPr>
          <w:lang w:val="es-ES"/>
        </w:rPr>
        <w:tab/>
        <w:t xml:space="preserve">La Comisión </w:t>
      </w:r>
      <w:r w:rsidRPr="001D759A">
        <w:rPr>
          <w:b/>
          <w:bCs/>
          <w:lang w:val="es-ES"/>
        </w:rPr>
        <w:t>acordó</w:t>
      </w:r>
      <w:r w:rsidRPr="001D759A">
        <w:rPr>
          <w:lang w:val="es-ES"/>
        </w:rPr>
        <w:t xml:space="preserve"> llegar a la siguiente conclusión:</w:t>
      </w:r>
    </w:p>
    <w:tbl>
      <w:tblPr>
        <w:tblStyle w:val="TableGrid"/>
        <w:tblW w:w="5000" w:type="pct"/>
        <w:tblInd w:w="-147" w:type="dxa"/>
        <w:tblLook w:val="04A0" w:firstRow="1" w:lastRow="0" w:firstColumn="1" w:lastColumn="0" w:noHBand="0" w:noVBand="1"/>
      </w:tblPr>
      <w:tblGrid>
        <w:gridCol w:w="9061"/>
      </w:tblGrid>
      <w:tr w:rsidR="00DC29D9" w:rsidRPr="0057685D" w14:paraId="367E502D" w14:textId="77777777" w:rsidTr="00950DAB">
        <w:tc>
          <w:tcPr>
            <w:tcW w:w="9061" w:type="dxa"/>
          </w:tcPr>
          <w:p w14:paraId="6D98D57C" w14:textId="77777777" w:rsidR="00DC29D9" w:rsidRPr="001D759A" w:rsidRDefault="00DC29D9" w:rsidP="007113C1">
            <w:pPr>
              <w:keepNext/>
              <w:keepLines/>
              <w:tabs>
                <w:tab w:val="clear" w:pos="567"/>
                <w:tab w:val="left" w:pos="605"/>
              </w:tabs>
              <w:spacing w:after="80"/>
              <w:ind w:left="40"/>
              <w:rPr>
                <w:rFonts w:eastAsia="Calibri" w:cs="Calibri"/>
                <w:szCs w:val="24"/>
                <w:lang w:val="es-ES"/>
              </w:rPr>
            </w:pPr>
            <w:r w:rsidRPr="001D759A">
              <w:rPr>
                <w:rFonts w:eastAsia="Calibri" w:cs="Calibri"/>
                <w:lang w:val="es-ES"/>
              </w:rPr>
              <w:t>20</w:t>
            </w:r>
            <w:r w:rsidRPr="001D759A">
              <w:rPr>
                <w:rFonts w:eastAsia="Calibri" w:cs="Calibri"/>
                <w:szCs w:val="24"/>
                <w:lang w:val="es-ES"/>
              </w:rPr>
              <w:t>.3</w:t>
            </w:r>
            <w:r w:rsidRPr="001D759A">
              <w:rPr>
                <w:rFonts w:eastAsia="Calibri" w:cs="Calibri"/>
                <w:szCs w:val="24"/>
                <w:lang w:val="es-ES"/>
              </w:rPr>
              <w:tab/>
              <w:t>La Comisión recomienda al Consejo que:</w:t>
            </w:r>
          </w:p>
          <w:p w14:paraId="47AF904B" w14:textId="7A560662" w:rsidR="00DC29D9" w:rsidRDefault="00DC29D9" w:rsidP="007113C1">
            <w:pPr>
              <w:pStyle w:val="enumlev1"/>
              <w:keepNext/>
              <w:keepLines/>
              <w:tabs>
                <w:tab w:val="clear" w:pos="567"/>
              </w:tabs>
              <w:spacing w:after="120"/>
              <w:ind w:left="605"/>
              <w:rPr>
                <w:lang w:val="es-ES"/>
              </w:rPr>
            </w:pPr>
            <w:r w:rsidRPr="001D759A">
              <w:rPr>
                <w:lang w:val="es-ES"/>
              </w:rPr>
              <w:t>•</w:t>
            </w:r>
            <w:r w:rsidRPr="001D759A">
              <w:rPr>
                <w:lang w:val="es-ES"/>
              </w:rPr>
              <w:tab/>
            </w:r>
            <w:r w:rsidRPr="001D759A">
              <w:rPr>
                <w:rFonts w:eastAsia="Aptos"/>
                <w:lang w:val="es-ES"/>
              </w:rPr>
              <w:t>tome</w:t>
            </w:r>
            <w:r w:rsidRPr="001D759A">
              <w:rPr>
                <w:lang w:val="es-ES"/>
              </w:rPr>
              <w:t xml:space="preserve"> nota del informe sobre los trabajos del GTC-RHF y el GTC-PEF que figura en el Documento </w:t>
            </w:r>
            <w:hyperlink r:id="rId80" w:history="1">
              <w:r w:rsidRPr="00E17B0A">
                <w:rPr>
                  <w:rStyle w:val="Hyperlink"/>
                  <w:lang w:val="es-ES"/>
                </w:rPr>
                <w:t>C26/112</w:t>
              </w:r>
            </w:hyperlink>
            <w:r w:rsidR="00CB52C4">
              <w:rPr>
                <w:lang w:val="es-ES"/>
              </w:rPr>
              <w:t>;</w:t>
            </w:r>
          </w:p>
          <w:p w14:paraId="04903CA0" w14:textId="21B84EC9" w:rsidR="00CB52C4" w:rsidRDefault="00E17B0A" w:rsidP="007113C1">
            <w:pPr>
              <w:pStyle w:val="enumlev1"/>
              <w:keepNext/>
              <w:keepLines/>
              <w:tabs>
                <w:tab w:val="clear" w:pos="567"/>
              </w:tabs>
              <w:spacing w:after="120"/>
              <w:ind w:left="605"/>
              <w:rPr>
                <w:lang w:val="es-ES"/>
              </w:rPr>
            </w:pPr>
            <w:r w:rsidRPr="001D759A">
              <w:rPr>
                <w:lang w:val="es-ES"/>
              </w:rPr>
              <w:t>•</w:t>
            </w:r>
            <w:r w:rsidRPr="001D759A">
              <w:rPr>
                <w:lang w:val="es-ES"/>
              </w:rPr>
              <w:tab/>
            </w:r>
            <w:r>
              <w:rPr>
                <w:lang w:val="es-ES"/>
              </w:rPr>
              <w:t>r</w:t>
            </w:r>
            <w:r w:rsidR="00CB52C4">
              <w:rPr>
                <w:lang w:val="es-ES"/>
              </w:rPr>
              <w:t xml:space="preserve">ecomiende a la Secretaría la celebración de una sesión de información antes de la Conferencia </w:t>
            </w:r>
            <w:r w:rsidR="00CB52C4" w:rsidRPr="00E17B0A">
              <w:rPr>
                <w:rFonts w:eastAsia="Aptos"/>
                <w:lang w:val="es-ES"/>
              </w:rPr>
              <w:t>de</w:t>
            </w:r>
            <w:r w:rsidR="00CB52C4">
              <w:rPr>
                <w:lang w:val="es-ES"/>
              </w:rPr>
              <w:t xml:space="preserve"> Plenipotenciarios (Doha, 2026) para responder a las preguntas de los Estados Miembros; y</w:t>
            </w:r>
          </w:p>
          <w:p w14:paraId="79C93189" w14:textId="4DE69FA0" w:rsidR="00CB52C4" w:rsidRPr="001D759A" w:rsidRDefault="00E17B0A" w:rsidP="007113C1">
            <w:pPr>
              <w:pStyle w:val="enumlev1"/>
              <w:keepNext/>
              <w:keepLines/>
              <w:tabs>
                <w:tab w:val="clear" w:pos="567"/>
              </w:tabs>
              <w:spacing w:after="120"/>
              <w:ind w:left="605"/>
              <w:rPr>
                <w:lang w:val="es-ES"/>
              </w:rPr>
            </w:pPr>
            <w:r w:rsidRPr="001D759A">
              <w:rPr>
                <w:lang w:val="es-ES"/>
              </w:rPr>
              <w:t>•</w:t>
            </w:r>
            <w:r w:rsidRPr="001D759A">
              <w:rPr>
                <w:lang w:val="es-ES"/>
              </w:rPr>
              <w:tab/>
            </w:r>
            <w:r>
              <w:rPr>
                <w:lang w:val="es-ES"/>
              </w:rPr>
              <w:t>r</w:t>
            </w:r>
            <w:r w:rsidR="00CB52C4">
              <w:rPr>
                <w:lang w:val="es-ES"/>
              </w:rPr>
              <w:t xml:space="preserve">ecomiende a la Secretaría que incluya más detalles en el Plan Financiero, incluidos los importes de cada partida dedicada a los gastos de cada Oficina y de la Secretaría </w:t>
            </w:r>
            <w:r w:rsidR="00CB52C4" w:rsidRPr="00E17B0A">
              <w:rPr>
                <w:rFonts w:eastAsia="Aptos"/>
                <w:lang w:val="es-ES"/>
              </w:rPr>
              <w:t>General</w:t>
            </w:r>
            <w:r w:rsidR="00CB52C4">
              <w:rPr>
                <w:lang w:val="es-ES"/>
              </w:rPr>
              <w:t xml:space="preserve">, así como una explicación detallada del proceso presupuestario. El Plan </w:t>
            </w:r>
            <w:r w:rsidR="00490FED">
              <w:rPr>
                <w:lang w:val="es-ES"/>
              </w:rPr>
              <w:t>F</w:t>
            </w:r>
            <w:r w:rsidR="00CB52C4">
              <w:rPr>
                <w:lang w:val="es-ES"/>
              </w:rPr>
              <w:t>inanciero debe contener detalles sobre cómo las prioridades enumeradas están vinculadas al presupuesto del Plan Operacional.</w:t>
            </w:r>
          </w:p>
        </w:tc>
      </w:tr>
    </w:tbl>
    <w:p w14:paraId="13CBE2FD" w14:textId="77777777" w:rsidR="00F70066" w:rsidRPr="001D759A" w:rsidRDefault="00F70066" w:rsidP="00393A84">
      <w:pPr>
        <w:pStyle w:val="Heading1"/>
        <w:rPr>
          <w:lang w:val="es-ES"/>
        </w:rPr>
      </w:pPr>
      <w:r w:rsidRPr="001D759A">
        <w:rPr>
          <w:lang w:val="es-ES"/>
        </w:rPr>
        <w:t>21</w:t>
      </w:r>
      <w:r w:rsidRPr="001D759A">
        <w:rPr>
          <w:lang w:val="es-ES"/>
        </w:rPr>
        <w:tab/>
        <w:t xml:space="preserve">Proyecto de Plan Financiero para 2028-2031 (Documento </w:t>
      </w:r>
      <w:hyperlink r:id="rId81" w:history="1">
        <w:r w:rsidRPr="001D759A">
          <w:rPr>
            <w:rStyle w:val="Hyperlink"/>
            <w:rFonts w:eastAsia="Times New Roman" w:cs="Times New Roman"/>
            <w:szCs w:val="20"/>
            <w:lang w:val="es-ES"/>
          </w:rPr>
          <w:t>C26/32</w:t>
        </w:r>
      </w:hyperlink>
      <w:r w:rsidRPr="001D759A">
        <w:rPr>
          <w:lang w:val="es-ES"/>
        </w:rPr>
        <w:t>)</w:t>
      </w:r>
    </w:p>
    <w:p w14:paraId="0FCFC8EC" w14:textId="6338E933" w:rsidR="00F70066" w:rsidRPr="001D759A" w:rsidRDefault="00393A84" w:rsidP="00393A84">
      <w:pPr>
        <w:pStyle w:val="Heading1"/>
        <w:spacing w:before="160"/>
        <w:rPr>
          <w:b w:val="0"/>
          <w:lang w:val="es-ES"/>
        </w:rPr>
      </w:pPr>
      <w:r>
        <w:rPr>
          <w:lang w:val="es-ES"/>
        </w:rPr>
        <w:tab/>
      </w:r>
      <w:r w:rsidR="00F70066" w:rsidRPr="001D759A">
        <w:rPr>
          <w:lang w:val="es-ES"/>
        </w:rPr>
        <w:t xml:space="preserve">Recomendaciones para mejorar la transparencia de la gestión financiera de </w:t>
      </w:r>
      <w:r w:rsidR="00103D78">
        <w:rPr>
          <w:lang w:val="es-ES"/>
        </w:rPr>
        <w:t>la </w:t>
      </w:r>
      <w:r w:rsidR="00103D78" w:rsidRPr="00393A84">
        <w:t>UIT</w:t>
      </w:r>
      <w:r w:rsidR="00F70066" w:rsidRPr="001D759A">
        <w:rPr>
          <w:lang w:val="es-ES"/>
        </w:rPr>
        <w:t xml:space="preserve"> (Documento </w:t>
      </w:r>
      <w:hyperlink r:id="rId82" w:history="1">
        <w:r w:rsidR="00F70066" w:rsidRPr="001D759A">
          <w:rPr>
            <w:rStyle w:val="Hyperlink"/>
            <w:rFonts w:eastAsia="Times New Roman" w:cs="Times New Roman"/>
            <w:szCs w:val="20"/>
            <w:lang w:val="es-ES"/>
          </w:rPr>
          <w:t>C26/80</w:t>
        </w:r>
      </w:hyperlink>
      <w:r w:rsidR="00F70066" w:rsidRPr="001D759A">
        <w:rPr>
          <w:lang w:val="es-ES"/>
        </w:rPr>
        <w:t>)</w:t>
      </w:r>
    </w:p>
    <w:p w14:paraId="315BC460" w14:textId="1957265E" w:rsidR="00F70066" w:rsidRPr="001D759A" w:rsidRDefault="00393A84" w:rsidP="00393A84">
      <w:pPr>
        <w:pStyle w:val="Heading1"/>
        <w:spacing w:before="160"/>
        <w:rPr>
          <w:b w:val="0"/>
          <w:lang w:val="es-ES"/>
        </w:rPr>
      </w:pPr>
      <w:r>
        <w:rPr>
          <w:lang w:val="es-ES"/>
        </w:rPr>
        <w:tab/>
      </w:r>
      <w:proofErr w:type="spellStart"/>
      <w:r w:rsidR="00F70066" w:rsidRPr="00393A84">
        <w:t>Recomendaciones</w:t>
      </w:r>
      <w:proofErr w:type="spellEnd"/>
      <w:r w:rsidR="00F70066" w:rsidRPr="001D759A">
        <w:rPr>
          <w:lang w:val="es-ES"/>
        </w:rPr>
        <w:t xml:space="preserve"> para seguir optimizando el proyecto de Plan Financiero para 2028-2031 (Documento </w:t>
      </w:r>
      <w:hyperlink r:id="rId83" w:history="1">
        <w:r w:rsidR="00F70066" w:rsidRPr="001D759A">
          <w:rPr>
            <w:rStyle w:val="Hyperlink"/>
            <w:rFonts w:eastAsia="Times New Roman" w:cs="Times New Roman"/>
            <w:szCs w:val="20"/>
            <w:lang w:val="es-ES"/>
          </w:rPr>
          <w:t>C26/81</w:t>
        </w:r>
      </w:hyperlink>
      <w:r w:rsidR="00F70066" w:rsidRPr="001D759A">
        <w:rPr>
          <w:lang w:val="es-ES"/>
        </w:rPr>
        <w:t>)</w:t>
      </w:r>
    </w:p>
    <w:p w14:paraId="28896B05" w14:textId="3F6799A6" w:rsidR="00F70066" w:rsidRPr="001D759A" w:rsidRDefault="00393A84" w:rsidP="00393A84">
      <w:pPr>
        <w:pStyle w:val="Heading1"/>
        <w:spacing w:before="160"/>
        <w:rPr>
          <w:lang w:val="es-ES"/>
        </w:rPr>
      </w:pPr>
      <w:r>
        <w:rPr>
          <w:lang w:val="es-ES"/>
        </w:rPr>
        <w:tab/>
      </w:r>
      <w:r w:rsidR="00F70066" w:rsidRPr="001D759A">
        <w:rPr>
          <w:lang w:val="es-ES"/>
        </w:rPr>
        <w:t xml:space="preserve">Propuesta para la optimización de la atribución de recursos de </w:t>
      </w:r>
      <w:r w:rsidR="00103D78">
        <w:rPr>
          <w:lang w:val="es-ES"/>
        </w:rPr>
        <w:t>la UIT</w:t>
      </w:r>
      <w:r w:rsidR="00F70066" w:rsidRPr="001D759A">
        <w:rPr>
          <w:lang w:val="es-ES"/>
        </w:rPr>
        <w:t xml:space="preserve"> a fin de adaptarla mejor a los objetivos de </w:t>
      </w:r>
      <w:r w:rsidR="005457EE">
        <w:rPr>
          <w:lang w:val="es-ES"/>
        </w:rPr>
        <w:t>la Unión</w:t>
      </w:r>
      <w:r w:rsidR="00F70066" w:rsidRPr="001D759A">
        <w:rPr>
          <w:lang w:val="es-ES"/>
        </w:rPr>
        <w:t xml:space="preserve"> (Documento </w:t>
      </w:r>
      <w:hyperlink r:id="rId84" w:history="1">
        <w:r w:rsidR="00F70066" w:rsidRPr="001D759A">
          <w:rPr>
            <w:rStyle w:val="Hyperlink"/>
            <w:rFonts w:eastAsia="Times New Roman" w:cs="Times New Roman"/>
            <w:szCs w:val="20"/>
            <w:lang w:val="es-ES"/>
          </w:rPr>
          <w:t>C26/91</w:t>
        </w:r>
      </w:hyperlink>
      <w:r w:rsidR="00F70066" w:rsidRPr="001D759A">
        <w:rPr>
          <w:lang w:val="es-ES"/>
        </w:rPr>
        <w:t>)</w:t>
      </w:r>
    </w:p>
    <w:p w14:paraId="3ADB77FB" w14:textId="282B8A97" w:rsidR="00F70066" w:rsidRPr="001D759A" w:rsidRDefault="00F70066" w:rsidP="00393A84">
      <w:pPr>
        <w:keepNext/>
        <w:keepLines/>
        <w:rPr>
          <w:lang w:val="es-ES"/>
        </w:rPr>
      </w:pPr>
      <w:r w:rsidRPr="001D759A">
        <w:rPr>
          <w:lang w:val="es-ES"/>
        </w:rPr>
        <w:t>21.1</w:t>
      </w:r>
      <w:r w:rsidRPr="001D759A">
        <w:rPr>
          <w:lang w:val="es-ES"/>
        </w:rPr>
        <w:tab/>
        <w:t>El Jefe del FRMD presentó el Documento C26/32, que cont</w:t>
      </w:r>
      <w:r w:rsidR="00E7088D">
        <w:rPr>
          <w:lang w:val="es-ES"/>
        </w:rPr>
        <w:t>enía</w:t>
      </w:r>
      <w:r w:rsidRPr="001D759A">
        <w:rPr>
          <w:lang w:val="es-ES"/>
        </w:rPr>
        <w:t xml:space="preserve"> el proyecto de Plan Financiero para el periodo 2028-2031. Los recursos financieros disponibles durante el periodo 2028-2031 se utilizar</w:t>
      </w:r>
      <w:r w:rsidR="00E7088D">
        <w:rPr>
          <w:lang w:val="es-ES"/>
        </w:rPr>
        <w:t>ía</w:t>
      </w:r>
      <w:r w:rsidRPr="001D759A">
        <w:rPr>
          <w:lang w:val="es-ES"/>
        </w:rPr>
        <w:t>n para alcanzar las metas y prioridades estratégicas identificadas en el Plan Estratégico 2028-2031, que aún est</w:t>
      </w:r>
      <w:r w:rsidR="00E7088D">
        <w:rPr>
          <w:lang w:val="es-ES"/>
        </w:rPr>
        <w:t>á</w:t>
      </w:r>
      <w:r w:rsidRPr="001D759A">
        <w:rPr>
          <w:lang w:val="es-ES"/>
        </w:rPr>
        <w:t xml:space="preserve"> en fase de elaboración.</w:t>
      </w:r>
    </w:p>
    <w:p w14:paraId="1096B7DF" w14:textId="0E6AAB58" w:rsidR="00F70066" w:rsidRPr="001D759A" w:rsidRDefault="00F70066" w:rsidP="00F70066">
      <w:pPr>
        <w:rPr>
          <w:lang w:val="es-ES"/>
        </w:rPr>
      </w:pPr>
      <w:r w:rsidRPr="001D759A">
        <w:rPr>
          <w:lang w:val="es-ES"/>
        </w:rPr>
        <w:t>21.2</w:t>
      </w:r>
      <w:r w:rsidRPr="001D759A">
        <w:rPr>
          <w:lang w:val="es-ES"/>
        </w:rPr>
        <w:tab/>
        <w:t>El Consejero de China presentó el Documento C26/80, que cont</w:t>
      </w:r>
      <w:r w:rsidR="00E7088D">
        <w:rPr>
          <w:lang w:val="es-ES"/>
        </w:rPr>
        <w:t>enía</w:t>
      </w:r>
      <w:r w:rsidRPr="001D759A">
        <w:rPr>
          <w:lang w:val="es-ES"/>
        </w:rPr>
        <w:t xml:space="preserve"> una contribución de tres países sobre la importancia de garantizar que la gestión financiera de </w:t>
      </w:r>
      <w:r w:rsidR="00103D78">
        <w:rPr>
          <w:lang w:val="es-ES"/>
        </w:rPr>
        <w:t>la UIT</w:t>
      </w:r>
      <w:r w:rsidRPr="001D759A">
        <w:rPr>
          <w:lang w:val="es-ES"/>
        </w:rPr>
        <w:t xml:space="preserve"> no solo alivie las presiones a corto plazo, sino que también establezca un marco prospectivo para mejorar la sostenibilidad financiera, y propon</w:t>
      </w:r>
      <w:r w:rsidR="00E7088D">
        <w:rPr>
          <w:lang w:val="es-ES"/>
        </w:rPr>
        <w:t>ía</w:t>
      </w:r>
      <w:r w:rsidRPr="001D759A">
        <w:rPr>
          <w:lang w:val="es-ES"/>
        </w:rPr>
        <w:t xml:space="preserve"> cuatro recomendaciones a tal efecto.</w:t>
      </w:r>
    </w:p>
    <w:p w14:paraId="011897C5" w14:textId="79699B96" w:rsidR="00F70066" w:rsidRPr="001D759A" w:rsidRDefault="00F70066" w:rsidP="00F70066">
      <w:pPr>
        <w:rPr>
          <w:lang w:val="es-ES"/>
        </w:rPr>
      </w:pPr>
      <w:r w:rsidRPr="001D759A">
        <w:rPr>
          <w:lang w:val="es-ES"/>
        </w:rPr>
        <w:t>21.3</w:t>
      </w:r>
      <w:r w:rsidRPr="001D759A">
        <w:rPr>
          <w:lang w:val="es-ES"/>
        </w:rPr>
        <w:tab/>
        <w:t>El Consejero de China presentó el Documento C26/8</w:t>
      </w:r>
      <w:r w:rsidR="00C855D3" w:rsidRPr="001D759A">
        <w:rPr>
          <w:lang w:val="es-ES"/>
        </w:rPr>
        <w:t>1</w:t>
      </w:r>
      <w:r w:rsidRPr="001D759A">
        <w:rPr>
          <w:lang w:val="es-ES"/>
        </w:rPr>
        <w:t>, que cont</w:t>
      </w:r>
      <w:r w:rsidR="00E7088D">
        <w:rPr>
          <w:lang w:val="es-ES"/>
        </w:rPr>
        <w:t>enía</w:t>
      </w:r>
      <w:r w:rsidRPr="001D759A">
        <w:rPr>
          <w:lang w:val="es-ES"/>
        </w:rPr>
        <w:t xml:space="preserve"> una contribución de dos países en la que se formulan observaciones y recomendaciones para mejorar el proyecto de Plan Financiero para 2028-2031.</w:t>
      </w:r>
    </w:p>
    <w:p w14:paraId="2783050F" w14:textId="1DA4DB52" w:rsidR="00F70066" w:rsidRPr="001D759A" w:rsidRDefault="00F70066" w:rsidP="00F70066">
      <w:pPr>
        <w:rPr>
          <w:lang w:val="es-ES"/>
        </w:rPr>
      </w:pPr>
      <w:r w:rsidRPr="001D759A">
        <w:rPr>
          <w:lang w:val="es-ES"/>
        </w:rPr>
        <w:t>21.4</w:t>
      </w:r>
      <w:r w:rsidRPr="001D759A">
        <w:rPr>
          <w:lang w:val="es-ES"/>
        </w:rPr>
        <w:tab/>
        <w:t xml:space="preserve">Tras recibir el apoyo de dos miembros del Consejo, la observadora de la Federación de Rusia presentó el Documento C26/91, que contiene una propuesta para que la PP-26 establezca un Grupo de Trabajo de Expertos de Alto Nivel provisional encargado de definir cómo deben asignarse los recursos de conformidad con los propósitos de </w:t>
      </w:r>
      <w:r w:rsidR="005457EE">
        <w:rPr>
          <w:lang w:val="es-ES"/>
        </w:rPr>
        <w:t>la Unión</w:t>
      </w:r>
      <w:r w:rsidRPr="001D759A">
        <w:rPr>
          <w:lang w:val="es-ES"/>
        </w:rPr>
        <w:t>, lo que le permitiría priorizar sus funciones y objetivos fundamentales. En la propuesta también se sugirió que el Consejo autor</w:t>
      </w:r>
      <w:r w:rsidR="00E7088D">
        <w:rPr>
          <w:lang w:val="es-ES"/>
        </w:rPr>
        <w:t>izara</w:t>
      </w:r>
      <w:r w:rsidRPr="001D759A">
        <w:rPr>
          <w:lang w:val="es-ES"/>
        </w:rPr>
        <w:t xml:space="preserve"> un examen completo e independiente por una entidad externa de todas las actividades de </w:t>
      </w:r>
      <w:r w:rsidR="00103D78">
        <w:rPr>
          <w:lang w:val="es-ES"/>
        </w:rPr>
        <w:t>la UIT</w:t>
      </w:r>
      <w:r w:rsidRPr="001D759A">
        <w:rPr>
          <w:lang w:val="es-ES"/>
        </w:rPr>
        <w:t xml:space="preserve"> y establezca posteriormente un comité permanente sobre la asignación de recursos.</w:t>
      </w:r>
    </w:p>
    <w:p w14:paraId="6865D588" w14:textId="631E5FA7" w:rsidR="00F70066" w:rsidRPr="001D759A" w:rsidRDefault="00F70066" w:rsidP="00F70066">
      <w:pPr>
        <w:rPr>
          <w:lang w:val="es-ES"/>
        </w:rPr>
      </w:pPr>
      <w:r w:rsidRPr="001D759A">
        <w:rPr>
          <w:lang w:val="es-ES"/>
        </w:rPr>
        <w:lastRenderedPageBreak/>
        <w:t>21.5</w:t>
      </w:r>
      <w:r w:rsidRPr="001D759A">
        <w:rPr>
          <w:lang w:val="es-ES"/>
        </w:rPr>
        <w:tab/>
        <w:t>En el debate subsiguiente, los consejeros elogiaron los esfuerzos de la Secretaría por garantizar una proyección realista de los ingresos y reconoc</w:t>
      </w:r>
      <w:r w:rsidR="00E7088D">
        <w:rPr>
          <w:lang w:val="es-ES"/>
        </w:rPr>
        <w:t>ieron</w:t>
      </w:r>
      <w:r w:rsidRPr="001D759A">
        <w:rPr>
          <w:lang w:val="es-ES"/>
        </w:rPr>
        <w:t xml:space="preserve"> las medidas que se están adoptando para mantener la estabilidad financiera y la sostenibilidad a largo plazo de </w:t>
      </w:r>
      <w:r w:rsidR="005457EE">
        <w:rPr>
          <w:lang w:val="es-ES"/>
        </w:rPr>
        <w:t>la Unión</w:t>
      </w:r>
      <w:r w:rsidRPr="001D759A">
        <w:rPr>
          <w:lang w:val="es-ES"/>
        </w:rPr>
        <w:t xml:space="preserve"> y equilibrar el presupuesto en un contexto de estancamiento de los recursos e inflación, pero señalaron que el proyecto de Plan Financiero carec</w:t>
      </w:r>
      <w:r w:rsidR="00E7088D">
        <w:rPr>
          <w:lang w:val="es-ES"/>
        </w:rPr>
        <w:t>ía</w:t>
      </w:r>
      <w:r w:rsidRPr="001D759A">
        <w:rPr>
          <w:lang w:val="es-ES"/>
        </w:rPr>
        <w:t xml:space="preserve"> de claridad y transparencia, y que los vínculos con las prioridades estratégicas y los aspectos operacionales </w:t>
      </w:r>
      <w:r w:rsidR="00E7088D">
        <w:rPr>
          <w:lang w:val="es-ES"/>
        </w:rPr>
        <w:t>eran</w:t>
      </w:r>
      <w:r w:rsidRPr="001D759A">
        <w:rPr>
          <w:lang w:val="es-ES"/>
        </w:rPr>
        <w:t xml:space="preserve"> insuficientes. Se necesitan vínculos más claros con el Plan Estratégico. La rendición de cuentas y la transparencia en la presentación de informes financieros so</w:t>
      </w:r>
      <w:r w:rsidR="00E7088D">
        <w:rPr>
          <w:lang w:val="es-ES"/>
        </w:rPr>
        <w:t xml:space="preserve">n </w:t>
      </w:r>
      <w:r w:rsidRPr="001D759A">
        <w:rPr>
          <w:lang w:val="es-ES"/>
        </w:rPr>
        <w:t xml:space="preserve">fundamentales. Un periodo prolongado de crecimiento nominal cero ha planteado importantes problemas económicos a </w:t>
      </w:r>
      <w:r w:rsidR="005457EE">
        <w:rPr>
          <w:lang w:val="es-ES"/>
        </w:rPr>
        <w:t>la Unión</w:t>
      </w:r>
      <w:r w:rsidRPr="001D759A">
        <w:rPr>
          <w:lang w:val="es-ES"/>
        </w:rPr>
        <w:t>. No obstante, toda consideración de ajuste al alza de la unidad contributiva debe tener en cuenta las capacidades fiscales de los países en desarrollo. Un consejero añad</w:t>
      </w:r>
      <w:r w:rsidR="00E7088D">
        <w:rPr>
          <w:lang w:val="es-ES"/>
        </w:rPr>
        <w:t>ió</w:t>
      </w:r>
      <w:r w:rsidRPr="001D759A">
        <w:rPr>
          <w:lang w:val="es-ES"/>
        </w:rPr>
        <w:t xml:space="preserve"> que debe</w:t>
      </w:r>
      <w:r w:rsidR="00E7088D">
        <w:rPr>
          <w:lang w:val="es-ES"/>
        </w:rPr>
        <w:t>rían</w:t>
      </w:r>
      <w:r w:rsidRPr="001D759A">
        <w:rPr>
          <w:lang w:val="es-ES"/>
        </w:rPr>
        <w:t xml:space="preserve"> adoptarse medidas para exigir responsabilidades a todo Miembro que no haya cumplido sus compromisos con respecto al pago de sus unidades contributivas.</w:t>
      </w:r>
    </w:p>
    <w:p w14:paraId="25BDB9E2" w14:textId="279B44C0" w:rsidR="00F70066" w:rsidRPr="001D759A" w:rsidRDefault="00F70066" w:rsidP="00F70066">
      <w:pPr>
        <w:rPr>
          <w:lang w:val="es-ES"/>
        </w:rPr>
      </w:pPr>
      <w:r w:rsidRPr="001D759A">
        <w:rPr>
          <w:lang w:val="es-ES"/>
        </w:rPr>
        <w:t>21.6</w:t>
      </w:r>
      <w:r w:rsidRPr="001D759A">
        <w:rPr>
          <w:lang w:val="es-ES"/>
        </w:rPr>
        <w:tab/>
        <w:t xml:space="preserve">Una gestión financiera disciplinada es crucial. Los consejeros instaron a que se actúe con cautela en el cálculo y la contabilidad de los ingresos procedentes de las notificaciones de redes de satélites, en particular las estimaciones realizadas en previsión de la aprobación de la nueva metodología de recuperación de costes para las notificaciones de redes de satélites. Se expresaron preocupaciones particulares con respecto a la falta de asignación de recursos en el Plan Financiero para garantizar la continuidad de las actividades y la inversión en infraestructura y servicios de TIC, que son fundamentales para el futuro de </w:t>
      </w:r>
      <w:r w:rsidR="005457EE">
        <w:rPr>
          <w:lang w:val="es-ES"/>
        </w:rPr>
        <w:t>la Unión</w:t>
      </w:r>
      <w:r w:rsidRPr="001D759A">
        <w:rPr>
          <w:lang w:val="es-ES"/>
        </w:rPr>
        <w:t>. La continuidad de las actividades y un marco de actividades coherente son particularmente importantes. La falta de un método claro para calcular las consecuencias financieras de las decisiones de las conferencias también es motivo de preocupación; debe evitarse que aumente el ya elevado número de mandatos no financiados. La propuesta formulada por el Presidente del GTC-RHF de que se celebre una reunión informativa sobre el Plan Financiero antes de la PP-26 recibió un apoyo abrumador a fin de que la Secretaría estableciera vínculos más estrechos con el Plan Estratégico y explicara cómo se proponía abordar esferas de actividad importantes en las que faltaban fondos. Debería facilitarse información clara y detallada sobre todos los aspectos que susciten preocupación, y deberían tenerse en cuenta las opiniones formuladas por los Estados Miembros.</w:t>
      </w:r>
    </w:p>
    <w:p w14:paraId="7A90CB72" w14:textId="67FBEB3D" w:rsidR="00F70066" w:rsidRPr="001D759A" w:rsidRDefault="00F70066" w:rsidP="00F70066">
      <w:pPr>
        <w:rPr>
          <w:lang w:val="es-ES"/>
        </w:rPr>
      </w:pPr>
      <w:r w:rsidRPr="001D759A">
        <w:rPr>
          <w:lang w:val="es-ES"/>
        </w:rPr>
        <w:t>21.7</w:t>
      </w:r>
      <w:r w:rsidRPr="001D759A">
        <w:rPr>
          <w:lang w:val="es-ES"/>
        </w:rPr>
        <w:tab/>
        <w:t xml:space="preserve">Los consejeros tomaron nota de las medidas de contención de costes adoptadas para reducir el presupuesto para el bienio 2026-2027 y solicitaron más información sobre los resultados obtenidos hasta la fecha. Deben cuantificarse las medidas de eficiencia y desarrollarse un conjunto de indicadores que permitan la evaluación y el examen periódicos, y deben establecerse medidas correctoras claras que se aplicarán si no se logra la eficiencia. Un consejero insistió en la necesidad de adoptar medidas claras para reducir los viajes del personal, incluida una reducción específica de los gastos, una mayor dependencia de la participación virtual y la ausencia de viajes en clase ejecutiva. Se pidieron aclaraciones sobre lo que significa "una reducción moderada de la dotación de personal global", que se ha considerado necesaria para mantener el equilibrio entre los gastos y los ingresos previstos en el contexto de un crecimiento nominal cero y un aumento de los costes. Los consejeros deseaban saber cuántos puestos de personal se eliminarán y qué puestos se fusionarán, y en qué plazo, al tiempo que pidieron garantías de que ese proyecto y la prestación de servicios no se verán afectados. Un consejero destacó que los puestos vacantes no deben cubrirse con contratos de consultoría, mientras que otro dijo que la utilización de contratistas para </w:t>
      </w:r>
      <w:r w:rsidRPr="001D759A">
        <w:rPr>
          <w:lang w:val="es-ES"/>
        </w:rPr>
        <w:lastRenderedPageBreak/>
        <w:t xml:space="preserve">cubrir las lagunas y permitir que </w:t>
      </w:r>
      <w:r w:rsidR="00103D78">
        <w:rPr>
          <w:lang w:val="es-ES"/>
        </w:rPr>
        <w:t>la UIT</w:t>
      </w:r>
      <w:r w:rsidRPr="001D759A">
        <w:rPr>
          <w:lang w:val="es-ES"/>
        </w:rPr>
        <w:t xml:space="preserve"> cumpla su mandato será inevitable si se suprimen los puestos de personal. Es esencial presentar informes claros sobre las necesidades de servicios contractuales.</w:t>
      </w:r>
    </w:p>
    <w:p w14:paraId="1FD9C509" w14:textId="6A52FA36" w:rsidR="00F70066" w:rsidRPr="001D759A" w:rsidRDefault="00F70066" w:rsidP="00F70066">
      <w:pPr>
        <w:rPr>
          <w:lang w:val="es-ES"/>
        </w:rPr>
      </w:pPr>
      <w:r w:rsidRPr="001D759A">
        <w:rPr>
          <w:lang w:val="es-ES"/>
        </w:rPr>
        <w:t>21.8</w:t>
      </w:r>
      <w:r w:rsidRPr="001D759A">
        <w:rPr>
          <w:lang w:val="es-ES"/>
        </w:rPr>
        <w:tab/>
        <w:t>La priorización en la asignación de recursos era crucial; se necesitaba un proceso de priorización claro y transparente, al que los Estados Miembros pudieran contribuir a través de los órganos rectores. Las prioridades deberían coordinarse o reflejarse entre las distintas Oficinas. Si bien deben explorarse mecanismos de financiación complementarios e innovadores, varios consejeros consideraron que un fondo dedicado a la IA sería prematuro en este momento. La utilización de la IA, incluida la "</w:t>
      </w:r>
      <w:r w:rsidR="00E7088D">
        <w:rPr>
          <w:lang w:val="es-ES"/>
        </w:rPr>
        <w:t>AI</w:t>
      </w:r>
      <w:r w:rsidRPr="001D759A">
        <w:rPr>
          <w:lang w:val="es-ES"/>
        </w:rPr>
        <w:t xml:space="preserve"> for Good", debe estar en consonancia con las necesidades y prioridades de </w:t>
      </w:r>
      <w:r w:rsidR="005457EE">
        <w:rPr>
          <w:lang w:val="es-ES"/>
        </w:rPr>
        <w:t>la Unión</w:t>
      </w:r>
      <w:r w:rsidRPr="001D759A">
        <w:rPr>
          <w:lang w:val="es-ES"/>
        </w:rPr>
        <w:t xml:space="preserve">, y debe seguir financiándose de forma voluntaria. Otros expresaron su preocupación por el hecho de que depender de la financiación voluntaria de la IA no estaba en consonancia con las ambiciones de </w:t>
      </w:r>
      <w:r w:rsidR="005457EE">
        <w:rPr>
          <w:lang w:val="es-ES"/>
        </w:rPr>
        <w:t>la Unión</w:t>
      </w:r>
      <w:r w:rsidRPr="001D759A">
        <w:rPr>
          <w:lang w:val="es-ES"/>
        </w:rPr>
        <w:t xml:space="preserve"> y plantearon cuestiones de sostenibilidad y equidad, especialmente para los países en desarrollo. Un consejero preguntó qué más se p</w:t>
      </w:r>
      <w:r w:rsidR="00E7088D">
        <w:rPr>
          <w:lang w:val="es-ES"/>
        </w:rPr>
        <w:t xml:space="preserve">odía </w:t>
      </w:r>
      <w:r w:rsidRPr="001D759A">
        <w:rPr>
          <w:lang w:val="es-ES"/>
        </w:rPr>
        <w:t>hacer</w:t>
      </w:r>
      <w:r w:rsidR="00E7088D">
        <w:rPr>
          <w:lang w:val="es-ES"/>
        </w:rPr>
        <w:t>se</w:t>
      </w:r>
      <w:r w:rsidRPr="001D759A">
        <w:rPr>
          <w:lang w:val="es-ES"/>
        </w:rPr>
        <w:t xml:space="preserve"> para movilizar fondos y </w:t>
      </w:r>
      <w:r w:rsidR="00423D11" w:rsidRPr="001D759A">
        <w:rPr>
          <w:lang w:val="es-ES"/>
        </w:rPr>
        <w:t>advirtió</w:t>
      </w:r>
      <w:r w:rsidRPr="001D759A">
        <w:rPr>
          <w:lang w:val="es-ES"/>
        </w:rPr>
        <w:t xml:space="preserve"> contra la dependencia de las contribuciones voluntarias, que a menudo se destinan a fines específicos. </w:t>
      </w:r>
      <w:r w:rsidR="005457EE">
        <w:rPr>
          <w:lang w:val="es-ES"/>
        </w:rPr>
        <w:t>La Unión</w:t>
      </w:r>
      <w:r w:rsidRPr="001D759A">
        <w:rPr>
          <w:lang w:val="es-ES"/>
        </w:rPr>
        <w:t xml:space="preserve"> debe tener libertad para utilizar adecuadamente sus contribuciones financieras, y su transformación digital debe contar con el apoyo de recursos adecuados. Debe aumentarse la transparencia de las actividades con importantes repercusiones financieras y estratégicas, manteniendo al mismo tiempo la flexibilidad y la eficacia del funcionamiento de </w:t>
      </w:r>
      <w:r w:rsidR="005457EE">
        <w:rPr>
          <w:lang w:val="es-ES"/>
        </w:rPr>
        <w:t>la Unión</w:t>
      </w:r>
      <w:r w:rsidRPr="001D759A">
        <w:rPr>
          <w:lang w:val="es-ES"/>
        </w:rPr>
        <w:t xml:space="preserve">. El aumento de las publicaciones debe aprovecharse para aumentar los ingresos, y debe considerarse la minimización de las pérdidas asociadas a los tipos de cambio y la optimización de la generación de ingresos a través de la cartera de inversiones de </w:t>
      </w:r>
      <w:r w:rsidR="00103D78">
        <w:rPr>
          <w:lang w:val="es-ES"/>
        </w:rPr>
        <w:t>la UIT</w:t>
      </w:r>
      <w:r w:rsidRPr="001D759A">
        <w:rPr>
          <w:lang w:val="es-ES"/>
        </w:rPr>
        <w:t>.</w:t>
      </w:r>
    </w:p>
    <w:p w14:paraId="00689E0D" w14:textId="2FC7866A" w:rsidR="00F70066" w:rsidRPr="001D759A" w:rsidRDefault="00F70066" w:rsidP="00F70066">
      <w:pPr>
        <w:rPr>
          <w:lang w:val="es-ES"/>
        </w:rPr>
      </w:pPr>
      <w:r w:rsidRPr="001D759A">
        <w:rPr>
          <w:lang w:val="es-ES"/>
        </w:rPr>
        <w:t>21.9</w:t>
      </w:r>
      <w:r w:rsidRPr="001D759A">
        <w:rPr>
          <w:lang w:val="es-ES"/>
        </w:rPr>
        <w:tab/>
        <w:t xml:space="preserve">Los consejeros acogieron con beneplácito las contribuciones de varios países contenidas en los Documentos C26/80 y </w:t>
      </w:r>
      <w:r w:rsidR="00262D32" w:rsidRPr="001D759A">
        <w:rPr>
          <w:lang w:val="es-ES"/>
        </w:rPr>
        <w:t>C26/</w:t>
      </w:r>
      <w:r w:rsidRPr="001D759A">
        <w:rPr>
          <w:lang w:val="es-ES"/>
        </w:rPr>
        <w:t xml:space="preserve">81, y convinieron en la importancia de la transparencia en la gestión financiera para que el Consejo pueda comprender plenamente los costes de las diversas actividades de </w:t>
      </w:r>
      <w:r w:rsidR="00103D78">
        <w:rPr>
          <w:lang w:val="es-ES"/>
        </w:rPr>
        <w:t>la UIT</w:t>
      </w:r>
      <w:r w:rsidRPr="001D759A">
        <w:rPr>
          <w:lang w:val="es-ES"/>
        </w:rPr>
        <w:t xml:space="preserve"> y orientar así a </w:t>
      </w:r>
      <w:r w:rsidR="005457EE">
        <w:rPr>
          <w:lang w:val="es-ES"/>
        </w:rPr>
        <w:t>la Unión</w:t>
      </w:r>
      <w:r w:rsidRPr="001D759A">
        <w:rPr>
          <w:lang w:val="es-ES"/>
        </w:rPr>
        <w:t xml:space="preserve"> en sus prioridades estratégicas. Un ejercicio de priorización sería crucial para garantizar el uso óptimo de los limitados recursos de </w:t>
      </w:r>
      <w:r w:rsidR="005457EE">
        <w:rPr>
          <w:lang w:val="es-ES"/>
        </w:rPr>
        <w:t>la Unión</w:t>
      </w:r>
      <w:r w:rsidRPr="001D759A">
        <w:rPr>
          <w:lang w:val="es-ES"/>
        </w:rPr>
        <w:t xml:space="preserve">. A pesar de ello, advirtieron contra el aumento de la complejidad de los procesos de gobernanza de </w:t>
      </w:r>
      <w:r w:rsidR="00103D78">
        <w:rPr>
          <w:lang w:val="es-ES"/>
        </w:rPr>
        <w:t>la UIT</w:t>
      </w:r>
      <w:r w:rsidRPr="001D759A">
        <w:rPr>
          <w:lang w:val="es-ES"/>
        </w:rPr>
        <w:t xml:space="preserve"> y el aumento de la posibilidad de </w:t>
      </w:r>
      <w:proofErr w:type="spellStart"/>
      <w:r w:rsidRPr="001D759A">
        <w:rPr>
          <w:lang w:val="es-ES"/>
        </w:rPr>
        <w:t>microgestión</w:t>
      </w:r>
      <w:proofErr w:type="spellEnd"/>
      <w:r w:rsidRPr="001D759A">
        <w:rPr>
          <w:lang w:val="es-ES"/>
        </w:rPr>
        <w:t xml:space="preserve">. Los requisitos adicionales de presentación de informes no deben aumentar la carga administrativa de los Estados Miembros o de la Secretaría. Por el contrario, sería preferible simplificar las estructuras de gobernanza y hacer que </w:t>
      </w:r>
      <w:r w:rsidR="00103D78">
        <w:rPr>
          <w:lang w:val="es-ES"/>
        </w:rPr>
        <w:t>la UIT</w:t>
      </w:r>
      <w:r w:rsidRPr="001D759A">
        <w:rPr>
          <w:lang w:val="es-ES"/>
        </w:rPr>
        <w:t xml:space="preserve"> sea más ágil y accesible para los Estados Miembros. Debe evitarse la duplicación de tareas. Será necesario seguir estudiando la manera de fomentar un enfoque basado en los resultados.</w:t>
      </w:r>
    </w:p>
    <w:p w14:paraId="4883F98B" w14:textId="70AE799C" w:rsidR="00F70066" w:rsidRPr="001D759A" w:rsidRDefault="00F70066" w:rsidP="000C57CA">
      <w:pPr>
        <w:tabs>
          <w:tab w:val="clear" w:pos="567"/>
          <w:tab w:val="left" w:pos="709"/>
        </w:tabs>
        <w:rPr>
          <w:lang w:val="es-ES"/>
        </w:rPr>
      </w:pPr>
      <w:r w:rsidRPr="001D759A">
        <w:rPr>
          <w:lang w:val="es-ES"/>
        </w:rPr>
        <w:t>21.10</w:t>
      </w:r>
      <w:r w:rsidRPr="001D759A">
        <w:rPr>
          <w:lang w:val="es-ES"/>
        </w:rPr>
        <w:tab/>
        <w:t>En cuanto a la contribución de la Federación de Rusia contenida en el Documento</w:t>
      </w:r>
      <w:r w:rsidR="00DF6B11" w:rsidRPr="001D759A">
        <w:rPr>
          <w:lang w:val="es-ES"/>
        </w:rPr>
        <w:t> </w:t>
      </w:r>
      <w:r w:rsidRPr="001D759A">
        <w:rPr>
          <w:lang w:val="es-ES"/>
        </w:rPr>
        <w:t xml:space="preserve">C26/91, los consejeros convinieron en la importancia de armonizar la utilización de los recursos con las prioridades y los objetivos de </w:t>
      </w:r>
      <w:r w:rsidR="00103D78">
        <w:rPr>
          <w:lang w:val="es-ES"/>
        </w:rPr>
        <w:t>la UIT</w:t>
      </w:r>
      <w:r w:rsidRPr="001D759A">
        <w:rPr>
          <w:lang w:val="es-ES"/>
        </w:rPr>
        <w:t xml:space="preserve">, e insistieron en la necesidad de centrarse en el mandato fundamental de </w:t>
      </w:r>
      <w:r w:rsidR="005457EE">
        <w:rPr>
          <w:lang w:val="es-ES"/>
        </w:rPr>
        <w:t>la Unión</w:t>
      </w:r>
      <w:r w:rsidRPr="001D759A">
        <w:rPr>
          <w:lang w:val="es-ES"/>
        </w:rPr>
        <w:t>. No desea</w:t>
      </w:r>
      <w:r w:rsidR="00E7088D">
        <w:rPr>
          <w:lang w:val="es-ES"/>
        </w:rPr>
        <w:t>ba</w:t>
      </w:r>
      <w:r w:rsidRPr="001D759A">
        <w:rPr>
          <w:lang w:val="es-ES"/>
        </w:rPr>
        <w:t xml:space="preserve">n, sin embargo, crear </w:t>
      </w:r>
      <w:proofErr w:type="gramStart"/>
      <w:r w:rsidRPr="001D759A">
        <w:rPr>
          <w:lang w:val="es-ES"/>
        </w:rPr>
        <w:t>órganos adicionales ni niveles adicionales</w:t>
      </w:r>
      <w:proofErr w:type="gramEnd"/>
      <w:r w:rsidRPr="001D759A">
        <w:rPr>
          <w:lang w:val="es-ES"/>
        </w:rPr>
        <w:t xml:space="preserve"> de supervisión y gestión, sino que expresa</w:t>
      </w:r>
      <w:r w:rsidR="00E7088D">
        <w:rPr>
          <w:lang w:val="es-ES"/>
        </w:rPr>
        <w:t>ron</w:t>
      </w:r>
      <w:r w:rsidRPr="001D759A">
        <w:rPr>
          <w:lang w:val="es-ES"/>
        </w:rPr>
        <w:t xml:space="preserve"> una fuerte preferencia por utilizar las capacidades de las estructuras existentes para debatir más a fondo el asunto, en particular el GTC-RHF.</w:t>
      </w:r>
    </w:p>
    <w:p w14:paraId="0A091268" w14:textId="0B50F539" w:rsidR="00F70066" w:rsidRPr="001D759A" w:rsidRDefault="00F70066" w:rsidP="00722A45">
      <w:pPr>
        <w:tabs>
          <w:tab w:val="clear" w:pos="567"/>
          <w:tab w:val="left" w:pos="709"/>
        </w:tabs>
        <w:rPr>
          <w:lang w:val="es-ES"/>
        </w:rPr>
      </w:pPr>
      <w:r w:rsidRPr="001D759A">
        <w:rPr>
          <w:lang w:val="es-ES"/>
        </w:rPr>
        <w:t>21.11</w:t>
      </w:r>
      <w:r w:rsidR="00DF6B11" w:rsidRPr="001D759A">
        <w:rPr>
          <w:lang w:val="es-ES"/>
        </w:rPr>
        <w:tab/>
      </w:r>
      <w:r w:rsidRPr="001D759A">
        <w:rPr>
          <w:lang w:val="es-ES"/>
        </w:rPr>
        <w:t xml:space="preserve">El Jefe del FRMD mencionó que se había tomado debida nota del gran interés manifestado por los Estados Miembros en una sesión de información, que se organizará antes de la PP-26. Los vínculos con el Plan Estratégico y el Plan Operacional se fortalecerán una vez que se hayan aprobado, tras lo cual, y con la orientación del Consejo, se finalizará el </w:t>
      </w:r>
      <w:r w:rsidRPr="001D759A">
        <w:rPr>
          <w:lang w:val="es-ES"/>
        </w:rPr>
        <w:lastRenderedPageBreak/>
        <w:t>Plan Financiero para su presentación a la PP-26. Se han asignado 6</w:t>
      </w:r>
      <w:r w:rsidR="005457EE">
        <w:rPr>
          <w:lang w:val="es-ES"/>
        </w:rPr>
        <w:t> millones CHF</w:t>
      </w:r>
      <w:r w:rsidRPr="001D759A">
        <w:rPr>
          <w:lang w:val="es-ES"/>
        </w:rPr>
        <w:t xml:space="preserve"> al Fondo de Capital de las TIC para la duración del Plan Financiero, en lugar de los 3</w:t>
      </w:r>
      <w:r w:rsidR="005457EE">
        <w:rPr>
          <w:lang w:val="es-ES"/>
        </w:rPr>
        <w:t> millones CHF</w:t>
      </w:r>
      <w:r w:rsidRPr="001D759A">
        <w:rPr>
          <w:lang w:val="es-ES"/>
        </w:rPr>
        <w:t xml:space="preserve"> asignados para el ciclo cuadrienal anterior. En otros puntos del orden del día se proporcionarán detalles sobre los efectos de los dos programas de cese voluntario para reducir el número de funcionarios y la aplicación de los objetivos de reducción de los viajes del personal. Se hará todo lo posible por aprovechar el aumento de publicaciones para generar más ingresos. En cuanto a los efectos de los tipos de cambio, las pérdidas en ese sentido fueron menores. La contabilidad de </w:t>
      </w:r>
      <w:r w:rsidR="005457EE">
        <w:rPr>
          <w:lang w:val="es-ES"/>
        </w:rPr>
        <w:t>la Unión</w:t>
      </w:r>
      <w:r w:rsidRPr="001D759A">
        <w:rPr>
          <w:lang w:val="es-ES"/>
        </w:rPr>
        <w:t xml:space="preserve"> se lleva en francos suizos, salvo las contribuciones a la caja de seguros de salud del personal y a la caja de pensiones, que se calculan en dólares de EE. UU. </w:t>
      </w:r>
      <w:r w:rsidR="00103D78">
        <w:rPr>
          <w:lang w:val="es-ES"/>
        </w:rPr>
        <w:t>La UIT</w:t>
      </w:r>
      <w:r w:rsidRPr="001D759A">
        <w:rPr>
          <w:lang w:val="es-ES"/>
        </w:rPr>
        <w:t xml:space="preserve"> también está aplicando medidas de eficiencia establecidas en la iniciativa ONU80.</w:t>
      </w:r>
    </w:p>
    <w:p w14:paraId="1913D788" w14:textId="64B1F1B9" w:rsidR="00F70066" w:rsidRPr="001D759A" w:rsidRDefault="00F70066" w:rsidP="00722A45">
      <w:pPr>
        <w:tabs>
          <w:tab w:val="clear" w:pos="567"/>
          <w:tab w:val="left" w:pos="709"/>
        </w:tabs>
        <w:rPr>
          <w:lang w:val="es-ES"/>
        </w:rPr>
      </w:pPr>
      <w:r w:rsidRPr="001D759A">
        <w:rPr>
          <w:lang w:val="es-ES"/>
        </w:rPr>
        <w:t>21.12</w:t>
      </w:r>
      <w:r w:rsidRPr="001D759A">
        <w:rPr>
          <w:lang w:val="es-ES"/>
        </w:rPr>
        <w:tab/>
        <w:t>El Vicesecretario General dijo que el nuevo ciclo de planificación financiera que regirá la planificación financiera para el periodo 2028-2031 se enc</w:t>
      </w:r>
      <w:r w:rsidR="00E7088D">
        <w:rPr>
          <w:lang w:val="es-ES"/>
        </w:rPr>
        <w:t>ontraba</w:t>
      </w:r>
      <w:r w:rsidRPr="001D759A">
        <w:rPr>
          <w:lang w:val="es-ES"/>
        </w:rPr>
        <w:t xml:space="preserve"> en sus primeras etapas. Por el momento, la prioridad fundamental es garantizar vínculos sólidos entre los Planes Estratégico y Financiero, y garantizar que el Plan Financiero refleje las prioridades temáticas estratégicas identificadas por los Estados Miembros. Mediante el proceso de planificación operacional, se asignarán recursos a las Oficinas y a la Secretaría General, de conformidad con el Plan Estratégico, para garantizar que se cumplan esas prioridades. Se tomó nota de los llamamientos para que se presenten informes financieros claros y transparentes. El tablero de gestión de recursos mejoraría la transparencia. Se est</w:t>
      </w:r>
      <w:r w:rsidR="00E7088D">
        <w:rPr>
          <w:lang w:val="es-ES"/>
        </w:rPr>
        <w:t>aban</w:t>
      </w:r>
      <w:r w:rsidRPr="001D759A">
        <w:rPr>
          <w:lang w:val="es-ES"/>
        </w:rPr>
        <w:t xml:space="preserve"> haciendo esfuerzos para garantizar una gestión prudente de los recursos. No era sostenible financiar con los ahorros de </w:t>
      </w:r>
      <w:r w:rsidR="00103D78">
        <w:rPr>
          <w:lang w:val="es-ES"/>
        </w:rPr>
        <w:t>la UIT</w:t>
      </w:r>
      <w:r w:rsidRPr="001D759A">
        <w:rPr>
          <w:lang w:val="es-ES"/>
        </w:rPr>
        <w:t xml:space="preserve"> los mandatos aprobados en la conferencia que no contaban con financiación propia. La situación solo mejorará una vez que el GTC-RHF haya ultimado la metodología para calcular las consecuencias financieras de las decisiones y resoluciones de las conferencias y asambleas. Se están asignando fondos al Fondo de Capital de las TIC y al desarrollo de programas informáticos para ayudar en las solicitudes de notificación de redes de satélite. La Secretaría agradec</w:t>
      </w:r>
      <w:r w:rsidR="00E7088D">
        <w:rPr>
          <w:lang w:val="es-ES"/>
        </w:rPr>
        <w:t>ía</w:t>
      </w:r>
      <w:r w:rsidRPr="001D759A">
        <w:rPr>
          <w:lang w:val="es-ES"/>
        </w:rPr>
        <w:t xml:space="preserve"> especialmente la atribución de recursos adicionales de Suiza para la continuidad de las actividades, lo que permitirá a </w:t>
      </w:r>
      <w:r w:rsidR="00103D78">
        <w:rPr>
          <w:lang w:val="es-ES"/>
        </w:rPr>
        <w:t>la UIT</w:t>
      </w:r>
      <w:r w:rsidRPr="001D759A">
        <w:rPr>
          <w:lang w:val="es-ES"/>
        </w:rPr>
        <w:t xml:space="preserve"> continuar su labor durante todo el proyecto de renovación de la Sede.</w:t>
      </w:r>
    </w:p>
    <w:p w14:paraId="29403547" w14:textId="77777777" w:rsidR="00F70066" w:rsidRPr="001D759A" w:rsidRDefault="00F70066" w:rsidP="008B73D9">
      <w:pPr>
        <w:keepNext/>
        <w:keepLines/>
        <w:tabs>
          <w:tab w:val="clear" w:pos="567"/>
          <w:tab w:val="left" w:pos="709"/>
        </w:tabs>
        <w:spacing w:after="120"/>
        <w:rPr>
          <w:lang w:val="es-ES"/>
        </w:rPr>
      </w:pPr>
      <w:r w:rsidRPr="001D759A">
        <w:rPr>
          <w:lang w:val="es-ES"/>
        </w:rPr>
        <w:lastRenderedPageBreak/>
        <w:t>21.13</w:t>
      </w:r>
      <w:r w:rsidRPr="001D759A">
        <w:rPr>
          <w:lang w:val="es-ES"/>
        </w:rPr>
        <w:tab/>
        <w:t xml:space="preserve">La Comisión </w:t>
      </w:r>
      <w:r w:rsidRPr="001D759A">
        <w:rPr>
          <w:b/>
          <w:bCs/>
          <w:lang w:val="es-ES"/>
        </w:rPr>
        <w:t>acordó</w:t>
      </w:r>
      <w:r w:rsidRPr="001D759A">
        <w:rPr>
          <w:lang w:val="es-ES"/>
        </w:rPr>
        <w:t xml:space="preserve"> llegar a la siguiente conclusión:</w:t>
      </w:r>
    </w:p>
    <w:tbl>
      <w:tblPr>
        <w:tblStyle w:val="TableGrid"/>
        <w:tblW w:w="5000" w:type="pct"/>
        <w:tblInd w:w="-147" w:type="dxa"/>
        <w:tblLook w:val="04A0" w:firstRow="1" w:lastRow="0" w:firstColumn="1" w:lastColumn="0" w:noHBand="0" w:noVBand="1"/>
      </w:tblPr>
      <w:tblGrid>
        <w:gridCol w:w="9061"/>
      </w:tblGrid>
      <w:tr w:rsidR="00F70066" w:rsidRPr="0057685D" w14:paraId="1B7BE6C7" w14:textId="77777777" w:rsidTr="00950DAB">
        <w:tc>
          <w:tcPr>
            <w:tcW w:w="9208" w:type="dxa"/>
            <w:hideMark/>
          </w:tcPr>
          <w:p w14:paraId="1F48B977" w14:textId="77777777" w:rsidR="00F70066" w:rsidRPr="001D759A" w:rsidRDefault="00F70066" w:rsidP="000B3843">
            <w:pPr>
              <w:pStyle w:val="enumlev1"/>
              <w:keepNext/>
              <w:keepLines/>
              <w:tabs>
                <w:tab w:val="clear" w:pos="567"/>
              </w:tabs>
              <w:ind w:left="749" w:hanging="709"/>
              <w:rPr>
                <w:lang w:val="es-ES"/>
              </w:rPr>
            </w:pPr>
            <w:r w:rsidRPr="001D759A">
              <w:rPr>
                <w:rFonts w:eastAsia="Calibri" w:cs="Calibri"/>
                <w:lang w:val="es-ES"/>
              </w:rPr>
              <w:t>21</w:t>
            </w:r>
            <w:r w:rsidRPr="001D759A">
              <w:rPr>
                <w:rFonts w:eastAsia="Calibri" w:cs="Calibri"/>
                <w:szCs w:val="24"/>
                <w:lang w:val="es-ES"/>
              </w:rPr>
              <w:t>.14</w:t>
            </w:r>
            <w:r w:rsidRPr="001D759A">
              <w:rPr>
                <w:lang w:val="es-ES"/>
              </w:rPr>
              <w:tab/>
              <w:t>La Comisión recomienda al Consejo que:</w:t>
            </w:r>
          </w:p>
          <w:p w14:paraId="43FFC772" w14:textId="6581DD49" w:rsidR="00F70066" w:rsidRDefault="00F70066" w:rsidP="000B3843">
            <w:pPr>
              <w:pStyle w:val="enumlev1"/>
              <w:keepNext/>
              <w:keepLines/>
              <w:tabs>
                <w:tab w:val="clear" w:pos="567"/>
              </w:tabs>
              <w:ind w:left="749" w:hanging="709"/>
              <w:rPr>
                <w:lang w:val="es-ES"/>
              </w:rPr>
            </w:pPr>
            <w:r w:rsidRPr="001D759A">
              <w:rPr>
                <w:lang w:val="es-ES"/>
              </w:rPr>
              <w:t>•</w:t>
            </w:r>
            <w:r w:rsidRPr="001D759A">
              <w:rPr>
                <w:lang w:val="es-ES"/>
              </w:rPr>
              <w:tab/>
              <w:t xml:space="preserve">tome nota del </w:t>
            </w:r>
            <w:r w:rsidR="00B534AC" w:rsidRPr="001D759A">
              <w:rPr>
                <w:lang w:val="es-ES"/>
              </w:rPr>
              <w:t>i</w:t>
            </w:r>
            <w:r w:rsidRPr="001D759A">
              <w:rPr>
                <w:lang w:val="es-ES"/>
              </w:rPr>
              <w:t xml:space="preserve">nforme contenido en el Documento </w:t>
            </w:r>
            <w:hyperlink r:id="rId85" w:history="1">
              <w:r w:rsidRPr="001D759A">
                <w:rPr>
                  <w:rStyle w:val="Hyperlink"/>
                  <w:lang w:val="es-ES"/>
                </w:rPr>
                <w:t>C26/32</w:t>
              </w:r>
            </w:hyperlink>
            <w:r w:rsidRPr="001D759A">
              <w:rPr>
                <w:lang w:val="es-ES"/>
              </w:rPr>
              <w:t xml:space="preserve"> y de las contribuciones contenidas en los Documentos </w:t>
            </w:r>
            <w:hyperlink r:id="rId86" w:history="1">
              <w:r w:rsidRPr="001D759A">
                <w:rPr>
                  <w:rStyle w:val="Hyperlink"/>
                  <w:lang w:val="es-ES"/>
                </w:rPr>
                <w:t>C26/80</w:t>
              </w:r>
            </w:hyperlink>
            <w:r w:rsidRPr="001D759A">
              <w:rPr>
                <w:lang w:val="es-ES"/>
              </w:rPr>
              <w:t xml:space="preserve">, </w:t>
            </w:r>
            <w:hyperlink r:id="rId87" w:history="1">
              <w:r w:rsidRPr="001D759A">
                <w:rPr>
                  <w:rStyle w:val="Hyperlink"/>
                  <w:lang w:val="es-ES"/>
                </w:rPr>
                <w:t>C26/81</w:t>
              </w:r>
            </w:hyperlink>
            <w:r w:rsidRPr="001D759A">
              <w:rPr>
                <w:lang w:val="es-ES"/>
              </w:rPr>
              <w:t xml:space="preserve"> y </w:t>
            </w:r>
            <w:hyperlink r:id="rId88" w:history="1">
              <w:r w:rsidRPr="001D759A">
                <w:rPr>
                  <w:rStyle w:val="Hyperlink"/>
                  <w:lang w:val="es-ES"/>
                </w:rPr>
                <w:t>C26/91</w:t>
              </w:r>
            </w:hyperlink>
            <w:r w:rsidRPr="001D759A">
              <w:rPr>
                <w:lang w:val="es-ES"/>
              </w:rPr>
              <w:t>;</w:t>
            </w:r>
          </w:p>
          <w:p w14:paraId="7A49BC54" w14:textId="47A945CD" w:rsidR="00CB52C4" w:rsidRPr="001D759A" w:rsidRDefault="00E17B0A" w:rsidP="00E17B0A">
            <w:pPr>
              <w:pStyle w:val="enumlev1"/>
              <w:keepNext/>
              <w:keepLines/>
              <w:tabs>
                <w:tab w:val="clear" w:pos="567"/>
              </w:tabs>
              <w:ind w:left="749" w:hanging="709"/>
              <w:rPr>
                <w:rFonts w:cs="Arial"/>
                <w:color w:val="000000" w:themeColor="text1"/>
                <w:lang w:val="es-ES"/>
              </w:rPr>
            </w:pPr>
            <w:r w:rsidRPr="001D759A">
              <w:rPr>
                <w:lang w:val="es-ES"/>
              </w:rPr>
              <w:t>•</w:t>
            </w:r>
            <w:r w:rsidRPr="001D759A">
              <w:rPr>
                <w:lang w:val="es-ES"/>
              </w:rPr>
              <w:tab/>
            </w:r>
            <w:r>
              <w:rPr>
                <w:lang w:val="es-ES"/>
              </w:rPr>
              <w:t>f</w:t>
            </w:r>
            <w:r w:rsidR="00CB52C4">
              <w:rPr>
                <w:color w:val="000000" w:themeColor="text1"/>
                <w:lang w:val="es-ES"/>
              </w:rPr>
              <w:t>omente la mejora, en términos de claridad, transparencia y responsabilidad, de la planificación y la gestión financieras y afiance su conexión con la planificación estratégica y operacional; y</w:t>
            </w:r>
          </w:p>
          <w:p w14:paraId="4693499D" w14:textId="42132E09" w:rsidR="00F70066" w:rsidRPr="001D759A" w:rsidRDefault="00F70066" w:rsidP="000B3843">
            <w:pPr>
              <w:pStyle w:val="enumlev1"/>
              <w:keepNext/>
              <w:keepLines/>
              <w:tabs>
                <w:tab w:val="clear" w:pos="567"/>
              </w:tabs>
              <w:spacing w:after="120"/>
              <w:ind w:left="749" w:hanging="709"/>
              <w:rPr>
                <w:lang w:val="es-ES"/>
              </w:rPr>
            </w:pPr>
            <w:r w:rsidRPr="001D759A">
              <w:rPr>
                <w:lang w:val="es-ES"/>
              </w:rPr>
              <w:t>•</w:t>
            </w:r>
            <w:r w:rsidRPr="001D759A">
              <w:rPr>
                <w:lang w:val="es-ES"/>
              </w:rPr>
              <w:tab/>
            </w:r>
            <w:r w:rsidR="00CB52C4">
              <w:rPr>
                <w:lang w:val="es-ES"/>
              </w:rPr>
              <w:t>encargue</w:t>
            </w:r>
            <w:r w:rsidRPr="001D759A">
              <w:rPr>
                <w:lang w:val="es-ES"/>
              </w:rPr>
              <w:t xml:space="preserve"> a la Secretaría que organice una sesión informativa antes de la PP-26</w:t>
            </w:r>
            <w:r w:rsidR="00CB52C4">
              <w:rPr>
                <w:lang w:val="es-ES"/>
              </w:rPr>
              <w:t xml:space="preserve"> sobre el Plan Financiero 2028-2031, incluidos los estados financieros auditados y el Informe de gestión financiera</w:t>
            </w:r>
            <w:r w:rsidR="005E0D5B">
              <w:rPr>
                <w:lang w:val="es-ES"/>
              </w:rPr>
              <w:t xml:space="preserve"> de 2025</w:t>
            </w:r>
            <w:r w:rsidRPr="001D759A">
              <w:rPr>
                <w:lang w:val="es-ES"/>
              </w:rPr>
              <w:t>.</w:t>
            </w:r>
          </w:p>
        </w:tc>
      </w:tr>
    </w:tbl>
    <w:p w14:paraId="7B51127E" w14:textId="51766740" w:rsidR="00F70066" w:rsidRPr="001D759A" w:rsidRDefault="00F70066" w:rsidP="00F70066">
      <w:pPr>
        <w:pStyle w:val="Heading1"/>
        <w:rPr>
          <w:lang w:val="es-ES"/>
        </w:rPr>
      </w:pPr>
      <w:r w:rsidRPr="001D759A">
        <w:rPr>
          <w:lang w:val="es-ES"/>
        </w:rPr>
        <w:t>22</w:t>
      </w:r>
      <w:r w:rsidRPr="001D759A">
        <w:rPr>
          <w:bCs/>
          <w:lang w:val="es-ES"/>
        </w:rPr>
        <w:tab/>
      </w:r>
      <w:r w:rsidRPr="001D759A">
        <w:rPr>
          <w:lang w:val="es-ES"/>
        </w:rPr>
        <w:t xml:space="preserve">Información actualizada sobre el proyecto de Sede de </w:t>
      </w:r>
      <w:r w:rsidR="005457EE">
        <w:rPr>
          <w:lang w:val="es-ES"/>
        </w:rPr>
        <w:t>la Unión</w:t>
      </w:r>
      <w:r w:rsidRPr="001D759A">
        <w:rPr>
          <w:lang w:val="es-ES"/>
        </w:rPr>
        <w:t xml:space="preserve"> (Documento </w:t>
      </w:r>
      <w:hyperlink r:id="rId89" w:history="1">
        <w:r w:rsidRPr="001D759A">
          <w:rPr>
            <w:rStyle w:val="Hyperlink"/>
            <w:rFonts w:eastAsia="Times New Roman" w:cs="Times New Roman"/>
            <w:szCs w:val="20"/>
            <w:lang w:val="es-ES"/>
          </w:rPr>
          <w:t>C26/7</w:t>
        </w:r>
      </w:hyperlink>
      <w:r w:rsidRPr="001D759A">
        <w:rPr>
          <w:lang w:val="es-ES"/>
        </w:rPr>
        <w:t>)</w:t>
      </w:r>
    </w:p>
    <w:p w14:paraId="3F2D3626" w14:textId="41E7BFF5" w:rsidR="00F70066" w:rsidRPr="001D759A" w:rsidRDefault="00393A84" w:rsidP="00393A84">
      <w:pPr>
        <w:pStyle w:val="Heading1"/>
        <w:spacing w:before="160"/>
        <w:rPr>
          <w:lang w:val="es-ES"/>
        </w:rPr>
      </w:pPr>
      <w:r>
        <w:rPr>
          <w:lang w:val="es-ES"/>
        </w:rPr>
        <w:tab/>
      </w:r>
      <w:r w:rsidR="00F70066" w:rsidRPr="00393A84">
        <w:t>Informe</w:t>
      </w:r>
      <w:r w:rsidR="00F70066" w:rsidRPr="001D759A">
        <w:rPr>
          <w:lang w:val="es-ES"/>
        </w:rPr>
        <w:t xml:space="preserve"> del Grupo Asesor de los Estados Miembros (GAEM) (Documento </w:t>
      </w:r>
      <w:hyperlink r:id="rId90" w:history="1">
        <w:r w:rsidR="00F70066" w:rsidRPr="001D759A">
          <w:rPr>
            <w:rStyle w:val="Hyperlink"/>
            <w:rFonts w:eastAsia="Times New Roman" w:cs="Times New Roman"/>
            <w:szCs w:val="20"/>
            <w:lang w:val="es-ES"/>
          </w:rPr>
          <w:t>C26/48</w:t>
        </w:r>
      </w:hyperlink>
      <w:r w:rsidR="00F70066" w:rsidRPr="001D759A">
        <w:rPr>
          <w:lang w:val="es-ES"/>
        </w:rPr>
        <w:t>)</w:t>
      </w:r>
    </w:p>
    <w:p w14:paraId="442B26DD" w14:textId="176C84C2" w:rsidR="00DE2592" w:rsidRPr="001D759A" w:rsidRDefault="00DE2592" w:rsidP="00DE2592">
      <w:pPr>
        <w:rPr>
          <w:lang w:val="es-ES"/>
        </w:rPr>
      </w:pPr>
      <w:r w:rsidRPr="001D759A">
        <w:rPr>
          <w:lang w:val="es-ES"/>
        </w:rPr>
        <w:t>22.1</w:t>
      </w:r>
      <w:r w:rsidRPr="001D759A">
        <w:rPr>
          <w:lang w:val="es-ES"/>
        </w:rPr>
        <w:tab/>
        <w:t xml:space="preserve">Un representante de la Secretaría General presentó el </w:t>
      </w:r>
      <w:r w:rsidR="00C54F21">
        <w:rPr>
          <w:lang w:val="es-ES"/>
        </w:rPr>
        <w:t>D</w:t>
      </w:r>
      <w:r w:rsidRPr="001D759A">
        <w:rPr>
          <w:lang w:val="es-ES"/>
        </w:rPr>
        <w:t xml:space="preserve">ocumento C26/7, en el que se proporciona información actualizada sobre la aplicación del Acuerdo 640 (C24) del Consejo en relación con el proyecto alternativo revisado de la </w:t>
      </w:r>
      <w:r w:rsidR="00F10968">
        <w:rPr>
          <w:lang w:val="es-ES"/>
        </w:rPr>
        <w:t>S</w:t>
      </w:r>
      <w:r w:rsidRPr="001D759A">
        <w:rPr>
          <w:lang w:val="es-ES"/>
        </w:rPr>
        <w:t xml:space="preserve">ede de </w:t>
      </w:r>
      <w:r w:rsidR="00103D78">
        <w:rPr>
          <w:lang w:val="es-ES"/>
        </w:rPr>
        <w:t>la UIT</w:t>
      </w:r>
      <w:r w:rsidRPr="001D759A">
        <w:rPr>
          <w:lang w:val="es-ES"/>
        </w:rPr>
        <w:t xml:space="preserve">. En él se detallan las medidas adoptadas para mejorar la gobernanza y la supervisión y garantizar la continuidad de las actividades durante el </w:t>
      </w:r>
      <w:r w:rsidR="008A1A61" w:rsidRPr="001D759A">
        <w:rPr>
          <w:lang w:val="es-ES"/>
        </w:rPr>
        <w:t>periodo</w:t>
      </w:r>
      <w:r w:rsidRPr="001D759A">
        <w:rPr>
          <w:lang w:val="es-ES"/>
        </w:rPr>
        <w:t xml:space="preserve"> de construcción. Manifestó su agradecimiento a los patrocinadores, a los donantes y al país anfitrión, así como al experto técnico del Grupo Asesor de los Estados Miembros (GAEM) facilitado por Alemania.</w:t>
      </w:r>
    </w:p>
    <w:p w14:paraId="467EB544" w14:textId="6E3CFC80" w:rsidR="00DE2592" w:rsidRPr="001D759A" w:rsidRDefault="00DE2592" w:rsidP="00DE2592">
      <w:pPr>
        <w:rPr>
          <w:lang w:val="es-ES"/>
        </w:rPr>
      </w:pPr>
      <w:r w:rsidRPr="001D759A">
        <w:rPr>
          <w:lang w:val="es-ES"/>
        </w:rPr>
        <w:t>22.2</w:t>
      </w:r>
      <w:r w:rsidRPr="001D759A">
        <w:rPr>
          <w:lang w:val="es-ES"/>
        </w:rPr>
        <w:tab/>
        <w:t>El consejero de Brasil, en calidad de presidente del GAEM, presentó el Documento</w:t>
      </w:r>
      <w:r w:rsidR="00BA5DC7" w:rsidRPr="001D759A">
        <w:rPr>
          <w:lang w:val="es-ES"/>
        </w:rPr>
        <w:t> </w:t>
      </w:r>
      <w:r w:rsidRPr="001D759A">
        <w:rPr>
          <w:lang w:val="es-ES"/>
        </w:rPr>
        <w:t xml:space="preserve">C26/48, en el que se proporciona información sobre las actividades del GAEM desde la reunión de 2025 del Consejo. </w:t>
      </w:r>
      <w:r w:rsidR="002751E9" w:rsidRPr="001D759A">
        <w:rPr>
          <w:lang w:val="es-ES"/>
        </w:rPr>
        <w:t>Destacó que se mantiene de forma activa y se actualiza periódicamente un registro exhaustivo de riesgos. Asimismo, s</w:t>
      </w:r>
      <w:r w:rsidRPr="001D759A">
        <w:rPr>
          <w:lang w:val="es-ES"/>
        </w:rPr>
        <w:t>ubrayó la importancia de mantener una estrecha coordinación con los patrocinadores del proyecto, en particular para garantizar que los requisitos acordados, como los relacionados con el auditorio, se reflejen debidamente en el diseño.</w:t>
      </w:r>
    </w:p>
    <w:p w14:paraId="05FCC866" w14:textId="61344A26" w:rsidR="00DE2592" w:rsidRPr="001D759A" w:rsidRDefault="00DE2592" w:rsidP="00DE2592">
      <w:pPr>
        <w:rPr>
          <w:lang w:val="es-ES"/>
        </w:rPr>
      </w:pPr>
      <w:r w:rsidRPr="001D759A">
        <w:rPr>
          <w:lang w:val="es-ES"/>
        </w:rPr>
        <w:t>22.3</w:t>
      </w:r>
      <w:r w:rsidRPr="001D759A">
        <w:rPr>
          <w:lang w:val="es-ES"/>
        </w:rPr>
        <w:tab/>
        <w:t xml:space="preserve">Los consejeros elogiaron los avances registrados en el proyecto de </w:t>
      </w:r>
      <w:r w:rsidR="0008458F">
        <w:rPr>
          <w:lang w:val="es-ES"/>
        </w:rPr>
        <w:t>S</w:t>
      </w:r>
      <w:r w:rsidRPr="001D759A">
        <w:rPr>
          <w:lang w:val="es-ES"/>
        </w:rPr>
        <w:t xml:space="preserve">ede y acogieron con satisfacción que se respetara el calendario previsto y el presupuesto aprobado. Expresaron su apoyo al fortalecimiento de los mecanismos de gobernanza y de supervisión, en particular el nuevo registro de riesgos y la nueva metodología. Varios consejeros subrayaron la necesidad de que las disposiciones sobre continuidad de las actividades siguieran siendo inclusivas y evitaran cargas adicionales para los Estados Miembros, en particular los países en desarrollo. Un consejero manifestó que el Documento C26/7 no ofrece tanto nivel de detalle como los informes sobre proyectos análogos del sistema de las </w:t>
      </w:r>
      <w:r w:rsidR="000E31A1">
        <w:rPr>
          <w:lang w:val="es-ES"/>
        </w:rPr>
        <w:t>Naciones Unidas</w:t>
      </w:r>
      <w:r w:rsidRPr="001D759A">
        <w:rPr>
          <w:lang w:val="es-ES"/>
        </w:rPr>
        <w:t xml:space="preserve">. Los futuros informes sobre el proyecto incluirían un cuadro refundido sobre seguimiento de costes; información adicional sobre riesgos, en particular los riesgos de mitigación y los riesgos residuales; una matriz de decisión que refleje posibles modalidades y costes asociados a la celebración de futuras reuniones en la </w:t>
      </w:r>
      <w:r w:rsidR="00F10968">
        <w:rPr>
          <w:lang w:val="es-ES"/>
        </w:rPr>
        <w:t>S</w:t>
      </w:r>
      <w:r w:rsidRPr="001D759A">
        <w:rPr>
          <w:lang w:val="es-ES"/>
        </w:rPr>
        <w:t xml:space="preserve">ede de </w:t>
      </w:r>
      <w:r w:rsidR="00103D78">
        <w:rPr>
          <w:lang w:val="es-ES"/>
        </w:rPr>
        <w:t>la UIT</w:t>
      </w:r>
      <w:r w:rsidRPr="001D759A">
        <w:rPr>
          <w:lang w:val="es-ES"/>
        </w:rPr>
        <w:t xml:space="preserve"> y las repercusiones para las delegaciones de los países en desarrollo; y, por último, información pormenorizada sobre los beneficios esperados del proyecto.</w:t>
      </w:r>
    </w:p>
    <w:p w14:paraId="4DA0AA99" w14:textId="3CE6A5DC" w:rsidR="00DE2592" w:rsidRPr="001D759A" w:rsidRDefault="00DE2592" w:rsidP="00DE2592">
      <w:pPr>
        <w:rPr>
          <w:lang w:val="es-ES"/>
        </w:rPr>
      </w:pPr>
      <w:r w:rsidRPr="001D759A">
        <w:rPr>
          <w:lang w:val="es-ES"/>
        </w:rPr>
        <w:lastRenderedPageBreak/>
        <w:t>22.4</w:t>
      </w:r>
      <w:r w:rsidRPr="001D759A">
        <w:rPr>
          <w:lang w:val="es-ES"/>
        </w:rPr>
        <w:tab/>
        <w:t>El consejero de Brasil, en calidad de presidente del GAEM, señaló que las propuestas de futuros informes se debatirían en la próxima reunión del GAEM.</w:t>
      </w:r>
    </w:p>
    <w:p w14:paraId="27BD9C9B" w14:textId="0607961A" w:rsidR="00DE2592" w:rsidRPr="001D759A" w:rsidRDefault="00DE2592" w:rsidP="00DE2592">
      <w:pPr>
        <w:rPr>
          <w:lang w:val="es-ES"/>
        </w:rPr>
      </w:pPr>
      <w:r w:rsidRPr="001D759A">
        <w:rPr>
          <w:lang w:val="es-ES"/>
        </w:rPr>
        <w:t>22.5</w:t>
      </w:r>
      <w:r w:rsidRPr="001D759A">
        <w:rPr>
          <w:lang w:val="es-ES"/>
        </w:rPr>
        <w:tab/>
        <w:t xml:space="preserve">El representante de la Secretaría General señaló que se habían desplegado esfuerzos concertados para celebrar reuniones periódicas del GAEM y del Comité de Dirección, con el fin de garantizar la buena marcha del proyecto y que </w:t>
      </w:r>
      <w:r w:rsidR="00E7088D">
        <w:rPr>
          <w:lang w:val="es-ES"/>
        </w:rPr>
        <w:t>e</w:t>
      </w:r>
      <w:r w:rsidRPr="001D759A">
        <w:rPr>
          <w:lang w:val="es-ES"/>
        </w:rPr>
        <w:t xml:space="preserve">ste se ajustara a las orientaciones de los Estados Miembros. Recordó que el Anexo A del documento proporciona información sobre el presupuesto total comprometido y los gastos hasta la fecha, e informó a los consejeros de que se facilita </w:t>
      </w:r>
      <w:r w:rsidR="00D674E1" w:rsidRPr="001D759A">
        <w:rPr>
          <w:lang w:val="es-ES"/>
        </w:rPr>
        <w:t xml:space="preserve">periódicamente </w:t>
      </w:r>
      <w:r w:rsidRPr="001D759A">
        <w:rPr>
          <w:lang w:val="es-ES"/>
        </w:rPr>
        <w:t xml:space="preserve">al equipo del proyecto un informe presupuestario más detallado; el Comité de Dirección y el GAEM también reciben información pormenorizada. Previa solicitud, el próximo informe del proyecto podría proporcionar más detalles sobre todas las partidas presupuestarias, e incluir información suplementaria sobre riesgos y medidas de mitigación facilitada al Comité de Dirección. Destacó que, al aplicar un enfoque de </w:t>
      </w:r>
      <w:r w:rsidR="00A95033" w:rsidRPr="001D759A">
        <w:rPr>
          <w:lang w:val="es-ES"/>
        </w:rPr>
        <w:t>"</w:t>
      </w:r>
      <w:r w:rsidRPr="001D759A">
        <w:rPr>
          <w:lang w:val="es-ES"/>
        </w:rPr>
        <w:t xml:space="preserve">diseño acorde con los </w:t>
      </w:r>
      <w:r w:rsidR="00C817F3">
        <w:rPr>
          <w:lang w:val="es-ES"/>
        </w:rPr>
        <w:t>costes</w:t>
      </w:r>
      <w:r w:rsidR="00A95033" w:rsidRPr="001D759A">
        <w:rPr>
          <w:lang w:val="es-ES"/>
        </w:rPr>
        <w:t>"</w:t>
      </w:r>
      <w:r w:rsidRPr="001D759A">
        <w:rPr>
          <w:lang w:val="es-ES"/>
        </w:rPr>
        <w:t xml:space="preserve"> y garantizar que los tres parámetros clave aprobados por el Consejo, a saber, alcance, calendario y coste, se ajustaran a lo previsto, el proyecto no se había visto afectado adversamente por la retirada de uno de sus patrocinadores previstos, con arreglo a las disposiciones sobre imprevistos.</w:t>
      </w:r>
    </w:p>
    <w:p w14:paraId="302DA4CD" w14:textId="28B34927" w:rsidR="00DE2592" w:rsidRPr="001D759A" w:rsidRDefault="00DE2592" w:rsidP="00DE2592">
      <w:pPr>
        <w:rPr>
          <w:lang w:val="es-ES"/>
        </w:rPr>
      </w:pPr>
      <w:r w:rsidRPr="001D759A">
        <w:rPr>
          <w:lang w:val="es-ES"/>
        </w:rPr>
        <w:t>22.6</w:t>
      </w:r>
      <w:r w:rsidRPr="001D759A">
        <w:rPr>
          <w:lang w:val="es-ES"/>
        </w:rPr>
        <w:tab/>
        <w:t>A raíz de una pregunta sobre los niveles de ruido, señaló que las pruebas acústicas ha</w:t>
      </w:r>
      <w:r w:rsidR="00C54F21">
        <w:rPr>
          <w:lang w:val="es-ES"/>
        </w:rPr>
        <w:t>bían</w:t>
      </w:r>
      <w:r w:rsidRPr="001D759A">
        <w:rPr>
          <w:lang w:val="es-ES"/>
        </w:rPr>
        <w:t xml:space="preserve"> determinado que el ruido </w:t>
      </w:r>
      <w:r w:rsidR="00D674E1" w:rsidRPr="001D759A">
        <w:rPr>
          <w:lang w:val="es-ES"/>
        </w:rPr>
        <w:t>transmitido a través de la estructura causado por</w:t>
      </w:r>
      <w:r w:rsidRPr="001D759A">
        <w:rPr>
          <w:lang w:val="es-ES"/>
        </w:rPr>
        <w:t xml:space="preserve"> la maquinaria afectar</w:t>
      </w:r>
      <w:r w:rsidR="00C54F21">
        <w:rPr>
          <w:lang w:val="es-ES"/>
        </w:rPr>
        <w:t>ía</w:t>
      </w:r>
      <w:r w:rsidRPr="001D759A">
        <w:rPr>
          <w:lang w:val="es-ES"/>
        </w:rPr>
        <w:t xml:space="preserve"> previsiblemente únicamente a la Sala A y a una zona de descanso situada fuera de la </w:t>
      </w:r>
      <w:r w:rsidR="00C54F21">
        <w:rPr>
          <w:lang w:val="es-ES"/>
        </w:rPr>
        <w:t>S</w:t>
      </w:r>
      <w:r w:rsidRPr="001D759A">
        <w:rPr>
          <w:lang w:val="es-ES"/>
        </w:rPr>
        <w:t xml:space="preserve">ala Popov. Los niveles de ruido ambiental, más subjetivos, </w:t>
      </w:r>
      <w:r w:rsidR="00D674E1" w:rsidRPr="001D759A">
        <w:rPr>
          <w:lang w:val="es-ES"/>
        </w:rPr>
        <w:t>se estaban analizando</w:t>
      </w:r>
      <w:r w:rsidRPr="001D759A">
        <w:rPr>
          <w:lang w:val="es-ES"/>
        </w:rPr>
        <w:t xml:space="preserve">. Con objeto de mitigar los efectos del ruido, </w:t>
      </w:r>
      <w:r w:rsidR="00D674E1" w:rsidRPr="001D759A">
        <w:rPr>
          <w:lang w:val="es-ES"/>
        </w:rPr>
        <w:t xml:space="preserve">se podría llegar a un acuerdo </w:t>
      </w:r>
      <w:r w:rsidRPr="001D759A">
        <w:rPr>
          <w:lang w:val="es-ES"/>
        </w:rPr>
        <w:t xml:space="preserve">con el contratista </w:t>
      </w:r>
      <w:r w:rsidR="00D674E1" w:rsidRPr="001D759A">
        <w:rPr>
          <w:lang w:val="es-ES"/>
        </w:rPr>
        <w:t xml:space="preserve">para </w:t>
      </w:r>
      <w:r w:rsidRPr="001D759A">
        <w:rPr>
          <w:lang w:val="es-ES"/>
        </w:rPr>
        <w:t>que las obras de construcción pu</w:t>
      </w:r>
      <w:r w:rsidR="00C54F21">
        <w:rPr>
          <w:lang w:val="es-ES"/>
        </w:rPr>
        <w:t>diera</w:t>
      </w:r>
      <w:r w:rsidRPr="001D759A">
        <w:rPr>
          <w:lang w:val="es-ES"/>
        </w:rPr>
        <w:t xml:space="preserve">n suspenderse </w:t>
      </w:r>
      <w:r w:rsidR="00D674E1" w:rsidRPr="001D759A">
        <w:rPr>
          <w:lang w:val="es-ES"/>
        </w:rPr>
        <w:t xml:space="preserve">cuando se celebren </w:t>
      </w:r>
      <w:r w:rsidRPr="001D759A">
        <w:rPr>
          <w:lang w:val="es-ES"/>
        </w:rPr>
        <w:t xml:space="preserve">eventos destacados en la sede, y que algunas actividades particularmente molestas puedan realizarse fuera del recinto. Se prevé que el periodo más ruidoso tenga lugar durante la demolición del edificio </w:t>
      </w:r>
      <w:proofErr w:type="spellStart"/>
      <w:r w:rsidRPr="001D759A">
        <w:rPr>
          <w:lang w:val="es-ES"/>
        </w:rPr>
        <w:t>Varembé</w:t>
      </w:r>
      <w:proofErr w:type="spellEnd"/>
      <w:r w:rsidR="00D674E1" w:rsidRPr="001D759A">
        <w:rPr>
          <w:lang w:val="es-ES"/>
        </w:rPr>
        <w:t xml:space="preserve"> y los trabajos de cimentación</w:t>
      </w:r>
      <w:r w:rsidRPr="001D759A">
        <w:rPr>
          <w:lang w:val="es-ES"/>
        </w:rPr>
        <w:t xml:space="preserve">, de octubre de 2028 a agosto de 2029. Manifestó que, cuando el personal se traslade del edificio </w:t>
      </w:r>
      <w:proofErr w:type="spellStart"/>
      <w:r w:rsidRPr="001D759A">
        <w:rPr>
          <w:lang w:val="es-ES"/>
        </w:rPr>
        <w:t>Varembé</w:t>
      </w:r>
      <w:proofErr w:type="spellEnd"/>
      <w:r w:rsidRPr="001D759A">
        <w:rPr>
          <w:lang w:val="es-ES"/>
        </w:rPr>
        <w:t xml:space="preserve"> al complejo de la Torre y al edificio </w:t>
      </w:r>
      <w:proofErr w:type="spellStart"/>
      <w:r w:rsidRPr="001D759A">
        <w:rPr>
          <w:lang w:val="es-ES"/>
        </w:rPr>
        <w:t>Montbrillant</w:t>
      </w:r>
      <w:proofErr w:type="spellEnd"/>
      <w:r w:rsidRPr="001D759A">
        <w:rPr>
          <w:lang w:val="es-ES"/>
        </w:rPr>
        <w:t>, se establecerán modalidades de trabajo híbridas y se compartirán los escritorios para fomentar una utilización eficiente del espacio.</w:t>
      </w:r>
    </w:p>
    <w:p w14:paraId="621812AE" w14:textId="3923DC4F" w:rsidR="00DE2592" w:rsidRPr="001D759A" w:rsidRDefault="00DE2592" w:rsidP="00DE2592">
      <w:pPr>
        <w:rPr>
          <w:lang w:val="es-ES"/>
        </w:rPr>
      </w:pPr>
      <w:r w:rsidRPr="001D759A">
        <w:rPr>
          <w:lang w:val="es-ES"/>
        </w:rPr>
        <w:t>22.7</w:t>
      </w:r>
      <w:r w:rsidRPr="001D759A">
        <w:rPr>
          <w:lang w:val="es-ES"/>
        </w:rPr>
        <w:tab/>
        <w:t xml:space="preserve">Un representante de la </w:t>
      </w:r>
      <w:r w:rsidR="00776D61">
        <w:rPr>
          <w:lang w:val="es-ES"/>
        </w:rPr>
        <w:t>Unidad</w:t>
      </w:r>
      <w:r w:rsidR="00776D61" w:rsidRPr="001D759A">
        <w:rPr>
          <w:lang w:val="es-ES"/>
        </w:rPr>
        <w:t xml:space="preserve"> </w:t>
      </w:r>
      <w:r w:rsidRPr="001D759A">
        <w:rPr>
          <w:lang w:val="es-ES"/>
        </w:rPr>
        <w:t>de Asuntos Jurídicos, a raíz de una pregunta de un consejero, recordó que en el Anexo B del documento C26/7 figuran las disposiciones de las partes operacionales relativas a los Acuerdos del Consejo que siguen vigentes y las que han quedado derogadas, ya fuera en el marco de acuerdos ulteriores del Consejo o por</w:t>
      </w:r>
      <w:r w:rsidR="00D44E45">
        <w:rPr>
          <w:lang w:val="es-ES"/>
        </w:rPr>
        <w:t>que ya no resulta</w:t>
      </w:r>
      <w:r w:rsidR="00C54F21">
        <w:rPr>
          <w:lang w:val="es-ES"/>
        </w:rPr>
        <w:t>n</w:t>
      </w:r>
      <w:r w:rsidR="00D44E45">
        <w:rPr>
          <w:lang w:val="es-ES"/>
        </w:rPr>
        <w:t xml:space="preserve"> aplicable</w:t>
      </w:r>
      <w:r w:rsidR="00C54F21">
        <w:rPr>
          <w:lang w:val="es-ES"/>
        </w:rPr>
        <w:t>s</w:t>
      </w:r>
      <w:r w:rsidR="00D44E45">
        <w:rPr>
          <w:lang w:val="es-ES"/>
        </w:rPr>
        <w:t xml:space="preserve"> en la práctica debido a</w:t>
      </w:r>
      <w:r w:rsidRPr="001D759A">
        <w:rPr>
          <w:lang w:val="es-ES"/>
        </w:rPr>
        <w:t xml:space="preserve"> la evolución de los hechos. Reconoció </w:t>
      </w:r>
      <w:r w:rsidR="00D44E45">
        <w:rPr>
          <w:lang w:val="es-ES"/>
        </w:rPr>
        <w:t xml:space="preserve">que existe </w:t>
      </w:r>
      <w:r w:rsidRPr="001D759A">
        <w:rPr>
          <w:lang w:val="es-ES"/>
        </w:rPr>
        <w:t>cierta disparidad entre el Acuerdo 640 (C24) del Consejo</w:t>
      </w:r>
      <w:r w:rsidR="00D44E45">
        <w:rPr>
          <w:lang w:val="es-ES"/>
        </w:rPr>
        <w:t xml:space="preserve"> y los anteriores Acuerdos 588 (</w:t>
      </w:r>
      <w:r w:rsidR="00CD3F79">
        <w:rPr>
          <w:lang w:val="es-ES"/>
        </w:rPr>
        <w:t>C</w:t>
      </w:r>
      <w:r w:rsidR="00D44E45">
        <w:rPr>
          <w:lang w:val="es-ES"/>
        </w:rPr>
        <w:t>16) y 619 (C19, modificado por última vez en C21) del Consejo, y que toda armonización entre ambos en el contexto de la adaptación normativa es un</w:t>
      </w:r>
      <w:r w:rsidR="00C54F21">
        <w:rPr>
          <w:lang w:val="es-ES"/>
        </w:rPr>
        <w:t xml:space="preserve"> </w:t>
      </w:r>
      <w:r w:rsidR="00D44E45">
        <w:rPr>
          <w:lang w:val="es-ES"/>
        </w:rPr>
        <w:t>asunto que correspondería al Consejo examinar</w:t>
      </w:r>
      <w:r w:rsidRPr="001D759A">
        <w:rPr>
          <w:lang w:val="es-ES"/>
        </w:rPr>
        <w:t>.</w:t>
      </w:r>
    </w:p>
    <w:p w14:paraId="50917E9E" w14:textId="2FC79127" w:rsidR="00DE2592" w:rsidRPr="001D759A" w:rsidRDefault="00DE2592" w:rsidP="00DE2592">
      <w:pPr>
        <w:rPr>
          <w:lang w:val="es-ES"/>
        </w:rPr>
      </w:pPr>
      <w:r w:rsidRPr="001D759A">
        <w:rPr>
          <w:lang w:val="es-ES"/>
        </w:rPr>
        <w:t>22.8</w:t>
      </w:r>
      <w:r w:rsidRPr="001D759A">
        <w:rPr>
          <w:lang w:val="es-ES"/>
        </w:rPr>
        <w:tab/>
        <w:t>El Vicesecretario General manifestó que la gestión de riesgo</w:t>
      </w:r>
      <w:r w:rsidR="00C54F21">
        <w:rPr>
          <w:lang w:val="es-ES"/>
        </w:rPr>
        <w:t>s</w:t>
      </w:r>
      <w:r w:rsidRPr="001D759A">
        <w:rPr>
          <w:lang w:val="es-ES"/>
        </w:rPr>
        <w:t xml:space="preserve"> se ha integrado adecuadamente en </w:t>
      </w:r>
      <w:r w:rsidR="009F46CF" w:rsidRPr="001D759A">
        <w:rPr>
          <w:lang w:val="es-ES"/>
        </w:rPr>
        <w:t>la labor del GAEM</w:t>
      </w:r>
      <w:r w:rsidRPr="001D759A">
        <w:rPr>
          <w:lang w:val="es-ES"/>
        </w:rPr>
        <w:t xml:space="preserve">, tal y como se había solicitado anteriormente, </w:t>
      </w:r>
      <w:r w:rsidR="009F46CF" w:rsidRPr="001D759A">
        <w:rPr>
          <w:lang w:val="es-ES"/>
        </w:rPr>
        <w:t xml:space="preserve">y dio las gracias a Alemania por </w:t>
      </w:r>
      <w:r w:rsidRPr="001D759A">
        <w:rPr>
          <w:lang w:val="es-ES"/>
        </w:rPr>
        <w:t xml:space="preserve">fortalecer la capacidad técnica del GAEM </w:t>
      </w:r>
      <w:r w:rsidR="009F46CF" w:rsidRPr="001D759A">
        <w:rPr>
          <w:lang w:val="es-ES"/>
        </w:rPr>
        <w:t>al facilitar un experto técnico</w:t>
      </w:r>
      <w:r w:rsidRPr="001D759A">
        <w:rPr>
          <w:lang w:val="es-ES"/>
        </w:rPr>
        <w:t xml:space="preserve">. Agradeció el apoyo ininterrumpido y el pragmatismo de los patrocinadores y se comprometió a velar por que se cumplieran los requisitos establecidos. Tras tomar nota del apoyo de los consejeros a la diversificación de las fuentes de financiación, destacó que se prevé ofrecer oportunidades adicionales de patrocinio a las partes interesadas, y que los detalles se facilitarían </w:t>
      </w:r>
      <w:r w:rsidR="009F46CF" w:rsidRPr="001D759A">
        <w:rPr>
          <w:lang w:val="es-ES"/>
        </w:rPr>
        <w:t xml:space="preserve">para </w:t>
      </w:r>
      <w:r w:rsidRPr="001D759A">
        <w:rPr>
          <w:lang w:val="es-ES"/>
        </w:rPr>
        <w:t>la</w:t>
      </w:r>
      <w:r w:rsidR="00A95033" w:rsidRPr="001D759A">
        <w:rPr>
          <w:lang w:val="es-ES"/>
        </w:rPr>
        <w:t> </w:t>
      </w:r>
      <w:r w:rsidRPr="001D759A">
        <w:rPr>
          <w:lang w:val="es-ES"/>
        </w:rPr>
        <w:t>PP</w:t>
      </w:r>
      <w:r w:rsidR="00A95033" w:rsidRPr="001D759A">
        <w:rPr>
          <w:lang w:val="es-ES"/>
        </w:rPr>
        <w:noBreakHyphen/>
      </w:r>
      <w:r w:rsidRPr="001D759A">
        <w:rPr>
          <w:lang w:val="es-ES"/>
        </w:rPr>
        <w:t>26.</w:t>
      </w:r>
    </w:p>
    <w:p w14:paraId="78B35254" w14:textId="3B4777D8" w:rsidR="00DE2592" w:rsidRPr="001D759A" w:rsidRDefault="00DE2592" w:rsidP="00DE2592">
      <w:pPr>
        <w:rPr>
          <w:lang w:val="es-ES"/>
        </w:rPr>
      </w:pPr>
      <w:r w:rsidRPr="001D759A">
        <w:rPr>
          <w:lang w:val="es-ES"/>
        </w:rPr>
        <w:lastRenderedPageBreak/>
        <w:t>22.9</w:t>
      </w:r>
      <w:r w:rsidRPr="001D759A">
        <w:rPr>
          <w:lang w:val="es-ES"/>
        </w:rPr>
        <w:tab/>
        <w:t xml:space="preserve">El consejero de Arabia Saudita recordó el acuerdo de patrocinio vigente entre su país y </w:t>
      </w:r>
      <w:r w:rsidR="00103D78">
        <w:rPr>
          <w:lang w:val="es-ES"/>
        </w:rPr>
        <w:t>la UIT</w:t>
      </w:r>
      <w:r w:rsidRPr="001D759A">
        <w:rPr>
          <w:lang w:val="es-ES"/>
        </w:rPr>
        <w:t>, y solicitó que la Secretaría remitiera una carta oficial por vía diplomática a la Administración de Arabia Saudita, para especificar los puntos de dicho acuerdo difíciles de aplicar, entre otras cosas, por motivos financier</w:t>
      </w:r>
      <w:r w:rsidR="00C54F21">
        <w:rPr>
          <w:lang w:val="es-ES"/>
        </w:rPr>
        <w:t>o</w:t>
      </w:r>
      <w:r w:rsidRPr="001D759A">
        <w:rPr>
          <w:lang w:val="es-ES"/>
        </w:rPr>
        <w:t>s o de diseño, con miras a encontrar una solución.</w:t>
      </w:r>
    </w:p>
    <w:p w14:paraId="126A660A" w14:textId="1DD18A43" w:rsidR="00DE2592" w:rsidRPr="001D759A" w:rsidRDefault="00DE2592" w:rsidP="00272F95">
      <w:pPr>
        <w:tabs>
          <w:tab w:val="clear" w:pos="567"/>
          <w:tab w:val="left" w:pos="709"/>
        </w:tabs>
        <w:rPr>
          <w:lang w:val="es-ES"/>
        </w:rPr>
      </w:pPr>
      <w:r w:rsidRPr="001D759A">
        <w:rPr>
          <w:lang w:val="es-ES"/>
        </w:rPr>
        <w:t>22.10</w:t>
      </w:r>
      <w:r w:rsidRPr="001D759A">
        <w:rPr>
          <w:lang w:val="es-ES"/>
        </w:rPr>
        <w:tab/>
        <w:t>El representante de la Secretaría General acordó remitir dicha carta y confirmó la disposición de la Secretaría a colaborar con todos los patrocinadores con el fin de garantizar que sus intereses quedaran reflejados en el diseño definitivo. La prioridad de la Secretaría es disponer de mayor capacidad para celebrar grandes reuniones.</w:t>
      </w:r>
    </w:p>
    <w:p w14:paraId="7734CCDC" w14:textId="5B7BB6D4" w:rsidR="00F70066" w:rsidRPr="001D759A" w:rsidRDefault="00DE2592" w:rsidP="008B73D9">
      <w:pPr>
        <w:keepNext/>
        <w:keepLines/>
        <w:tabs>
          <w:tab w:val="clear" w:pos="567"/>
          <w:tab w:val="left" w:pos="709"/>
        </w:tabs>
        <w:spacing w:after="120"/>
        <w:rPr>
          <w:lang w:val="es-ES"/>
        </w:rPr>
      </w:pPr>
      <w:r w:rsidRPr="001D759A">
        <w:rPr>
          <w:lang w:val="es-ES"/>
        </w:rPr>
        <w:t>22.11</w:t>
      </w:r>
      <w:r w:rsidR="00F70066" w:rsidRPr="001D759A">
        <w:rPr>
          <w:lang w:val="es-ES"/>
        </w:rPr>
        <w:tab/>
        <w:t xml:space="preserve">La Comisión </w:t>
      </w:r>
      <w:r w:rsidR="00F70066" w:rsidRPr="001D759A">
        <w:rPr>
          <w:b/>
          <w:bCs/>
          <w:lang w:val="es-ES"/>
        </w:rPr>
        <w:t xml:space="preserve">acordó </w:t>
      </w:r>
      <w:r w:rsidR="00F70066" w:rsidRPr="001D759A">
        <w:rPr>
          <w:lang w:val="es-ES"/>
        </w:rPr>
        <w:t>llegar a la siguiente conclusión:</w:t>
      </w:r>
    </w:p>
    <w:tbl>
      <w:tblPr>
        <w:tblStyle w:val="TableGrid"/>
        <w:tblW w:w="5000" w:type="pct"/>
        <w:tblInd w:w="-147" w:type="dxa"/>
        <w:tblLook w:val="04A0" w:firstRow="1" w:lastRow="0" w:firstColumn="1" w:lastColumn="0" w:noHBand="0" w:noVBand="1"/>
      </w:tblPr>
      <w:tblGrid>
        <w:gridCol w:w="9061"/>
      </w:tblGrid>
      <w:tr w:rsidR="00F70066" w:rsidRPr="0057685D" w14:paraId="60A716D3" w14:textId="77777777" w:rsidTr="00950DAB">
        <w:tc>
          <w:tcPr>
            <w:tcW w:w="9350" w:type="dxa"/>
            <w:hideMark/>
          </w:tcPr>
          <w:p w14:paraId="3FA40F41" w14:textId="69C8F73C" w:rsidR="00F70066" w:rsidRPr="001D759A" w:rsidRDefault="00F70066" w:rsidP="000B3843">
            <w:pPr>
              <w:pStyle w:val="enumlev1"/>
              <w:keepNext/>
              <w:keepLines/>
              <w:tabs>
                <w:tab w:val="clear" w:pos="567"/>
              </w:tabs>
              <w:ind w:left="749" w:hanging="709"/>
              <w:rPr>
                <w:lang w:val="es-ES"/>
              </w:rPr>
            </w:pPr>
            <w:r w:rsidRPr="001D759A">
              <w:rPr>
                <w:rFonts w:eastAsia="Calibri" w:cs="Calibri"/>
                <w:lang w:val="es-ES"/>
              </w:rPr>
              <w:t>2</w:t>
            </w:r>
            <w:r w:rsidR="00990F94" w:rsidRPr="001D759A">
              <w:rPr>
                <w:rFonts w:eastAsia="Calibri" w:cs="Calibri"/>
                <w:lang w:val="es-ES"/>
              </w:rPr>
              <w:t>2</w:t>
            </w:r>
            <w:r w:rsidR="00990F94" w:rsidRPr="001D759A">
              <w:rPr>
                <w:rFonts w:eastAsia="Calibri" w:cs="Calibri"/>
                <w:szCs w:val="24"/>
                <w:lang w:val="es-ES"/>
              </w:rPr>
              <w:t>.12</w:t>
            </w:r>
            <w:r w:rsidR="00990F94" w:rsidRPr="001D759A">
              <w:rPr>
                <w:lang w:val="es-ES"/>
              </w:rPr>
              <w:tab/>
            </w:r>
            <w:r w:rsidRPr="001D759A">
              <w:rPr>
                <w:lang w:val="es-ES"/>
              </w:rPr>
              <w:t>La Comisión recomienda al Consejo que:</w:t>
            </w:r>
          </w:p>
          <w:p w14:paraId="361125DF" w14:textId="7861C536" w:rsidR="00F70066" w:rsidRDefault="00F70066" w:rsidP="000B3843">
            <w:pPr>
              <w:pStyle w:val="enumlev1"/>
              <w:keepNext/>
              <w:keepLines/>
              <w:tabs>
                <w:tab w:val="clear" w:pos="567"/>
              </w:tabs>
              <w:spacing w:after="120"/>
              <w:ind w:left="749" w:hanging="709"/>
              <w:rPr>
                <w:rFonts w:cs="Calibri"/>
                <w:szCs w:val="24"/>
                <w:lang w:val="es-ES"/>
              </w:rPr>
            </w:pPr>
            <w:r w:rsidRPr="001D759A">
              <w:rPr>
                <w:lang w:val="es-ES"/>
              </w:rPr>
              <w:t>•</w:t>
            </w:r>
            <w:r w:rsidRPr="001D759A">
              <w:rPr>
                <w:lang w:val="es-ES"/>
              </w:rPr>
              <w:tab/>
            </w:r>
            <w:r w:rsidR="00DE2592" w:rsidRPr="001D759A">
              <w:rPr>
                <w:lang w:val="es-ES"/>
              </w:rPr>
              <w:t>tome nota de los informes contenidos</w:t>
            </w:r>
            <w:r w:rsidR="0008458F">
              <w:rPr>
                <w:lang w:val="es-ES"/>
              </w:rPr>
              <w:t xml:space="preserve"> en</w:t>
            </w:r>
            <w:r w:rsidR="00DE2592" w:rsidRPr="001D759A">
              <w:rPr>
                <w:lang w:val="es-ES"/>
              </w:rPr>
              <w:t xml:space="preserve"> los Documentos </w:t>
            </w:r>
            <w:hyperlink r:id="rId91" w:history="1">
              <w:r w:rsidR="00DE2592" w:rsidRPr="001D759A">
                <w:rPr>
                  <w:rStyle w:val="Hyperlink"/>
                  <w:rFonts w:cs="Times New Roman"/>
                  <w:szCs w:val="20"/>
                  <w:lang w:val="es-ES"/>
                </w:rPr>
                <w:t>C26/7</w:t>
              </w:r>
            </w:hyperlink>
            <w:r w:rsidR="00DE2592" w:rsidRPr="001D759A">
              <w:rPr>
                <w:lang w:val="es-ES"/>
              </w:rPr>
              <w:t xml:space="preserve"> y </w:t>
            </w:r>
            <w:hyperlink r:id="rId92" w:history="1">
              <w:r w:rsidR="00DE2592" w:rsidRPr="001D759A">
                <w:rPr>
                  <w:rStyle w:val="Hyperlink"/>
                  <w:rFonts w:cs="Times New Roman"/>
                  <w:szCs w:val="20"/>
                  <w:lang w:val="es-ES"/>
                </w:rPr>
                <w:t>C26/48</w:t>
              </w:r>
            </w:hyperlink>
            <w:r w:rsidR="005E0D5B">
              <w:rPr>
                <w:rFonts w:cs="Calibri"/>
                <w:szCs w:val="24"/>
                <w:lang w:val="es-ES"/>
              </w:rPr>
              <w:t>; y</w:t>
            </w:r>
          </w:p>
          <w:p w14:paraId="1488D6DA" w14:textId="7FCFCAD4" w:rsidR="005E0D5B" w:rsidRPr="001D759A" w:rsidRDefault="00E17B0A" w:rsidP="00E17B0A">
            <w:pPr>
              <w:pStyle w:val="enumlev1"/>
              <w:keepNext/>
              <w:keepLines/>
              <w:tabs>
                <w:tab w:val="clear" w:pos="567"/>
              </w:tabs>
              <w:spacing w:after="120"/>
              <w:ind w:left="749" w:hanging="709"/>
              <w:rPr>
                <w:lang w:val="es-ES"/>
              </w:rPr>
            </w:pPr>
            <w:r w:rsidRPr="001D759A">
              <w:rPr>
                <w:lang w:val="es-ES"/>
              </w:rPr>
              <w:t>•</w:t>
            </w:r>
            <w:r w:rsidRPr="001D759A">
              <w:rPr>
                <w:lang w:val="es-ES"/>
              </w:rPr>
              <w:tab/>
            </w:r>
            <w:r>
              <w:rPr>
                <w:lang w:val="es-ES"/>
              </w:rPr>
              <w:t>e</w:t>
            </w:r>
            <w:r w:rsidR="005E0D5B">
              <w:rPr>
                <w:rFonts w:cs="Calibri"/>
                <w:szCs w:val="24"/>
                <w:lang w:val="es-ES"/>
              </w:rPr>
              <w:t xml:space="preserve">ncargue a la </w:t>
            </w:r>
            <w:r w:rsidR="005E0D5B" w:rsidRPr="00E17B0A">
              <w:rPr>
                <w:lang w:val="es-ES"/>
              </w:rPr>
              <w:t>Secretaria</w:t>
            </w:r>
            <w:r w:rsidR="005E0D5B">
              <w:rPr>
                <w:rFonts w:cs="Calibri"/>
                <w:szCs w:val="24"/>
                <w:lang w:val="es-ES"/>
              </w:rPr>
              <w:t xml:space="preserve"> General que presente una comunicación oficial conforme a lo indicado en el § 22.9 anterior.</w:t>
            </w:r>
          </w:p>
        </w:tc>
      </w:tr>
    </w:tbl>
    <w:p w14:paraId="4014C873" w14:textId="44073380" w:rsidR="00F70066" w:rsidRPr="001D759A" w:rsidRDefault="00F70066" w:rsidP="005052FE">
      <w:pPr>
        <w:pStyle w:val="Heading1"/>
        <w:rPr>
          <w:b w:val="0"/>
          <w:lang w:val="es-ES"/>
        </w:rPr>
      </w:pPr>
      <w:r w:rsidRPr="001D759A">
        <w:rPr>
          <w:lang w:val="es-ES"/>
        </w:rPr>
        <w:t>2</w:t>
      </w:r>
      <w:r w:rsidR="00DE2592" w:rsidRPr="001D759A">
        <w:rPr>
          <w:lang w:val="es-ES"/>
        </w:rPr>
        <w:t>3</w:t>
      </w:r>
      <w:r w:rsidRPr="001D759A">
        <w:rPr>
          <w:lang w:val="es-ES"/>
        </w:rPr>
        <w:tab/>
        <w:t xml:space="preserve">Novedades sobre el Plan Estratégico del Complejo (Documento </w:t>
      </w:r>
      <w:hyperlink r:id="rId93" w:history="1">
        <w:r w:rsidRPr="001D759A">
          <w:rPr>
            <w:rStyle w:val="Hyperlink"/>
            <w:rFonts w:eastAsia="Times New Roman" w:cs="Times New Roman"/>
            <w:szCs w:val="20"/>
            <w:lang w:val="es-ES"/>
          </w:rPr>
          <w:t>C26/63</w:t>
        </w:r>
      </w:hyperlink>
      <w:r w:rsidRPr="001D759A">
        <w:rPr>
          <w:lang w:val="es-ES"/>
        </w:rPr>
        <w:t>)</w:t>
      </w:r>
    </w:p>
    <w:p w14:paraId="2DEF7F39" w14:textId="169D2BA5" w:rsidR="005052FE" w:rsidRPr="001D759A" w:rsidRDefault="005052FE" w:rsidP="000C57CA">
      <w:pPr>
        <w:rPr>
          <w:lang w:val="es-ES"/>
        </w:rPr>
      </w:pPr>
      <w:r w:rsidRPr="001D759A">
        <w:rPr>
          <w:rFonts w:eastAsia="Calibri" w:cs="Calibri"/>
          <w:lang w:val="es-ES"/>
        </w:rPr>
        <w:t>23.1</w:t>
      </w:r>
      <w:r w:rsidRPr="001D759A">
        <w:rPr>
          <w:lang w:val="es-ES"/>
        </w:rPr>
        <w:tab/>
        <w:t>Un representante de la Secretaría General presentó el Documento C26/63, que cont</w:t>
      </w:r>
      <w:r w:rsidR="0008458F">
        <w:rPr>
          <w:lang w:val="es-ES"/>
        </w:rPr>
        <w:t>enía</w:t>
      </w:r>
      <w:r w:rsidRPr="001D759A">
        <w:rPr>
          <w:lang w:val="es-ES"/>
        </w:rPr>
        <w:t xml:space="preserve"> información actualizada sobre la labor realizada desde la reunión de 2025 del Consejo para elaborar un plan estratégico sobre el complejo de </w:t>
      </w:r>
      <w:r w:rsidR="00103D78">
        <w:rPr>
          <w:lang w:val="es-ES"/>
        </w:rPr>
        <w:t>la UIT</w:t>
      </w:r>
      <w:r w:rsidRPr="001D759A">
        <w:rPr>
          <w:lang w:val="es-ES"/>
        </w:rPr>
        <w:t>. En él se llega</w:t>
      </w:r>
      <w:r w:rsidR="0008458F">
        <w:rPr>
          <w:lang w:val="es-ES"/>
        </w:rPr>
        <w:t>ba</w:t>
      </w:r>
      <w:r w:rsidRPr="001D759A">
        <w:rPr>
          <w:lang w:val="es-ES"/>
        </w:rPr>
        <w:t xml:space="preserve"> a la conclusión de que el actual marco jurídico, comercial y operacional, al mantener la huella del complejo integrado por tres edificios, constitu</w:t>
      </w:r>
      <w:r w:rsidR="0008458F">
        <w:rPr>
          <w:lang w:val="es-ES"/>
        </w:rPr>
        <w:t>ía</w:t>
      </w:r>
      <w:r w:rsidRPr="001D759A">
        <w:rPr>
          <w:lang w:val="es-ES"/>
        </w:rPr>
        <w:t xml:space="preserve"> la estrategia más adecuada para facilitar la versatilidad y salvaguardar los intereses a largo plazo de </w:t>
      </w:r>
      <w:r w:rsidR="00103D78">
        <w:rPr>
          <w:lang w:val="es-ES"/>
        </w:rPr>
        <w:t>la UIT</w:t>
      </w:r>
      <w:r w:rsidRPr="001D759A">
        <w:rPr>
          <w:lang w:val="es-ES"/>
        </w:rPr>
        <w:t>. En consecuencia, la Secretaría propuso la adopción de medidas que hacen hincapié en la versatilidad estratégica y en el análisis de sinergias con otras organizaciones cuya sede se encuentra en Ginebra.</w:t>
      </w:r>
    </w:p>
    <w:p w14:paraId="57F0745D" w14:textId="64821C9F" w:rsidR="005052FE" w:rsidRPr="001D759A" w:rsidRDefault="005052FE" w:rsidP="005052FE">
      <w:pPr>
        <w:rPr>
          <w:lang w:val="es-ES"/>
        </w:rPr>
      </w:pPr>
      <w:r w:rsidRPr="001D759A">
        <w:rPr>
          <w:lang w:val="es-ES"/>
        </w:rPr>
        <w:t>23.2</w:t>
      </w:r>
      <w:r w:rsidRPr="001D759A">
        <w:rPr>
          <w:lang w:val="es-ES"/>
        </w:rPr>
        <w:tab/>
        <w:t xml:space="preserve">Los consejeros manifestaron su apoyo a la labor en curso sobre el plan estratégico del complejo, así como a los esfuerzos más amplios de renovación de la </w:t>
      </w:r>
      <w:r w:rsidR="00F10968">
        <w:rPr>
          <w:lang w:val="es-ES"/>
        </w:rPr>
        <w:t>S</w:t>
      </w:r>
      <w:r w:rsidRPr="001D759A">
        <w:rPr>
          <w:lang w:val="es-ES"/>
        </w:rPr>
        <w:t xml:space="preserve">ede. Alentaron a que se estudiara la posibilidad de compartir espacios, recuperar </w:t>
      </w:r>
      <w:r w:rsidR="00C817F3">
        <w:rPr>
          <w:lang w:val="es-ES"/>
        </w:rPr>
        <w:t>costes</w:t>
      </w:r>
      <w:r w:rsidRPr="001D759A">
        <w:rPr>
          <w:lang w:val="es-ES"/>
        </w:rPr>
        <w:t xml:space="preserve"> y establecer acuerdos de financiación diversificada, así como a colaborar con otras organizaciones internacionales y a fomentar modelos de trabajo híbridos. Las decisiones al respecto deben basarse en un análisis de cost</w:t>
      </w:r>
      <w:r w:rsidR="0008458F">
        <w:rPr>
          <w:lang w:val="es-ES"/>
        </w:rPr>
        <w:t>e</w:t>
      </w:r>
      <w:r w:rsidRPr="001D759A">
        <w:rPr>
          <w:lang w:val="es-ES"/>
        </w:rPr>
        <w:t xml:space="preserve">-beneficio exhaustivo y transparente. Toda información adicional que se recibiera sobre el calendario de medidas futuras en el marco del plan estratégico del complejo se acogería con satisfacción. Un consejero propuso que la función de gestión de las instalaciones de </w:t>
      </w:r>
      <w:r w:rsidR="00103D78">
        <w:rPr>
          <w:lang w:val="es-ES"/>
        </w:rPr>
        <w:t>la UIT</w:t>
      </w:r>
      <w:r w:rsidRPr="001D759A">
        <w:rPr>
          <w:lang w:val="es-ES"/>
        </w:rPr>
        <w:t xml:space="preserve"> </w:t>
      </w:r>
      <w:r w:rsidR="003C2026" w:rsidRPr="001D759A">
        <w:rPr>
          <w:lang w:val="es-ES"/>
        </w:rPr>
        <w:t xml:space="preserve">debería integrarse en </w:t>
      </w:r>
      <w:r w:rsidRPr="001D759A">
        <w:rPr>
          <w:lang w:val="es-ES"/>
        </w:rPr>
        <w:t>el plan estratégico del complejo.</w:t>
      </w:r>
    </w:p>
    <w:p w14:paraId="3EACF8A4" w14:textId="77E6BF65" w:rsidR="005052FE" w:rsidRPr="001D759A" w:rsidRDefault="005052FE" w:rsidP="005052FE">
      <w:pPr>
        <w:rPr>
          <w:lang w:val="es-ES"/>
        </w:rPr>
      </w:pPr>
      <w:r w:rsidRPr="001D759A">
        <w:rPr>
          <w:lang w:val="es-ES"/>
        </w:rPr>
        <w:t>23.3</w:t>
      </w:r>
      <w:r w:rsidRPr="001D759A">
        <w:rPr>
          <w:lang w:val="es-ES"/>
        </w:rPr>
        <w:tab/>
        <w:t xml:space="preserve">Con respecto a la financiación del estudio de viabilidad para la renovación del complejo de la Torre, el representante de la Secretaría General confirmó que el estudio </w:t>
      </w:r>
      <w:r w:rsidR="00BC14E0" w:rsidRPr="001D759A">
        <w:rPr>
          <w:lang w:val="es-ES"/>
        </w:rPr>
        <w:t xml:space="preserve">podría financiarse </w:t>
      </w:r>
      <w:r w:rsidRPr="001D759A">
        <w:rPr>
          <w:lang w:val="es-ES"/>
        </w:rPr>
        <w:t>con cargo al Fondo de Mantenimiento de Edificios, cuyo presupuesto es de 750 000</w:t>
      </w:r>
      <w:r w:rsidR="005457EE">
        <w:rPr>
          <w:lang w:val="es-ES"/>
        </w:rPr>
        <w:t> CHF</w:t>
      </w:r>
      <w:r w:rsidRPr="001D759A">
        <w:rPr>
          <w:lang w:val="es-ES"/>
        </w:rPr>
        <w:t xml:space="preserve"> anuales. El coste de 843 000</w:t>
      </w:r>
      <w:r w:rsidR="005457EE">
        <w:rPr>
          <w:lang w:val="es-ES"/>
        </w:rPr>
        <w:t> CHF</w:t>
      </w:r>
      <w:r w:rsidRPr="001D759A">
        <w:rPr>
          <w:lang w:val="es-ES"/>
        </w:rPr>
        <w:t xml:space="preserve"> para el estudio es una estimación inicial, a la espera de una evaluación más detallada de las necesidades específicas a largo plazo del complejo de la Torre. Habida cuenta de la ocupación actual de la Secretaría en los trabajos de diseño, el estudio </w:t>
      </w:r>
      <w:r w:rsidR="003C2026" w:rsidRPr="001D759A">
        <w:rPr>
          <w:lang w:val="es-ES"/>
        </w:rPr>
        <w:t xml:space="preserve">podría llevarse a cabo </w:t>
      </w:r>
      <w:r w:rsidRPr="001D759A">
        <w:rPr>
          <w:lang w:val="es-ES"/>
        </w:rPr>
        <w:t xml:space="preserve">a partir de 2028. </w:t>
      </w:r>
      <w:r w:rsidR="003C2026" w:rsidRPr="001D759A">
        <w:rPr>
          <w:lang w:val="es-ES"/>
        </w:rPr>
        <w:t xml:space="preserve">Este </w:t>
      </w:r>
      <w:r w:rsidRPr="001D759A">
        <w:rPr>
          <w:lang w:val="es-ES"/>
        </w:rPr>
        <w:t xml:space="preserve">calendario propuesto para el estudio de viabilidad permitirá </w:t>
      </w:r>
      <w:r w:rsidR="003C2026" w:rsidRPr="001D759A">
        <w:rPr>
          <w:lang w:val="es-ES"/>
        </w:rPr>
        <w:t xml:space="preserve">concentrar los recursos actuales en el proyecto del nuevo edificio y aplicar medidas de continuidad de las actividades, además de ofrecer una visión más clara de las futuras tendencias </w:t>
      </w:r>
      <w:r w:rsidRPr="001D759A">
        <w:rPr>
          <w:lang w:val="es-ES"/>
        </w:rPr>
        <w:t>del mercado inmobiliario de Ginebra.</w:t>
      </w:r>
    </w:p>
    <w:p w14:paraId="0CCB71CA" w14:textId="6C984559" w:rsidR="005052FE" w:rsidRPr="001D759A" w:rsidRDefault="005052FE" w:rsidP="005052FE">
      <w:pPr>
        <w:rPr>
          <w:lang w:val="es-ES"/>
        </w:rPr>
      </w:pPr>
      <w:r w:rsidRPr="001D759A">
        <w:rPr>
          <w:lang w:val="es-ES"/>
        </w:rPr>
        <w:lastRenderedPageBreak/>
        <w:t>23.4</w:t>
      </w:r>
      <w:r w:rsidRPr="001D759A">
        <w:rPr>
          <w:lang w:val="es-ES"/>
        </w:rPr>
        <w:tab/>
        <w:t>Sobre este particular, señaló que se ha</w:t>
      </w:r>
      <w:r w:rsidR="0008458F">
        <w:rPr>
          <w:lang w:val="es-ES"/>
        </w:rPr>
        <w:t>bían</w:t>
      </w:r>
      <w:r w:rsidRPr="001D759A">
        <w:rPr>
          <w:lang w:val="es-ES"/>
        </w:rPr>
        <w:t xml:space="preserve"> registrado avances en las conversaciones con otras organizaciones internacionales cuya sede se encuentra en Ginebra, entre ellas la Organización Mundial de la Salud (OMS) y la Organización Mundial de la Propiedad Intelectual, en cuanto a la posible reducción de </w:t>
      </w:r>
      <w:r w:rsidR="00C817F3">
        <w:rPr>
          <w:lang w:val="es-ES"/>
        </w:rPr>
        <w:t>costes</w:t>
      </w:r>
      <w:r w:rsidRPr="001D759A">
        <w:rPr>
          <w:lang w:val="es-ES"/>
        </w:rPr>
        <w:t xml:space="preserve"> mediante el uso compartido de espacio de oficinas. La Oficina de las </w:t>
      </w:r>
      <w:r w:rsidR="000E31A1">
        <w:rPr>
          <w:lang w:val="es-ES"/>
        </w:rPr>
        <w:t>Naciones Unidas</w:t>
      </w:r>
      <w:r w:rsidRPr="001D759A">
        <w:rPr>
          <w:lang w:val="es-ES"/>
        </w:rPr>
        <w:t xml:space="preserve"> en Ginebra (ONUG) ha</w:t>
      </w:r>
      <w:r w:rsidR="0008458F">
        <w:rPr>
          <w:lang w:val="es-ES"/>
        </w:rPr>
        <w:t>bía</w:t>
      </w:r>
      <w:r w:rsidRPr="001D759A">
        <w:rPr>
          <w:lang w:val="es-ES"/>
        </w:rPr>
        <w:t xml:space="preserve"> proporcionado información sobre las tarifas aplicables al alquiler de salas de reuniones. Confirmó que el plan estratégico del complejo contendr</w:t>
      </w:r>
      <w:r w:rsidR="0008458F">
        <w:rPr>
          <w:lang w:val="es-ES"/>
        </w:rPr>
        <w:t>ía</w:t>
      </w:r>
      <w:r w:rsidRPr="001D759A">
        <w:rPr>
          <w:lang w:val="es-ES"/>
        </w:rPr>
        <w:t xml:space="preserve"> información sobre las repercusiones financieras a largo plazo del proyecto de renovación, incluidas diversas opciones de financiación, en particular nuevos tipos de préstamos del Gobierno de Suiza.</w:t>
      </w:r>
    </w:p>
    <w:p w14:paraId="73D90D6C" w14:textId="0EEA362A" w:rsidR="005052FE" w:rsidRPr="001D759A" w:rsidRDefault="005052FE" w:rsidP="000C57CA">
      <w:pPr>
        <w:rPr>
          <w:lang w:val="es-ES"/>
        </w:rPr>
      </w:pPr>
      <w:r w:rsidRPr="001D759A">
        <w:rPr>
          <w:lang w:val="es-ES"/>
        </w:rPr>
        <w:t>23.5</w:t>
      </w:r>
      <w:r w:rsidRPr="001D759A">
        <w:rPr>
          <w:lang w:val="es-ES"/>
        </w:rPr>
        <w:tab/>
        <w:t xml:space="preserve">A raíz de una pregunta de un observador, señaló que </w:t>
      </w:r>
      <w:r w:rsidR="00BC14E0" w:rsidRPr="001D759A">
        <w:rPr>
          <w:lang w:val="es-ES"/>
        </w:rPr>
        <w:t xml:space="preserve">los trabajos de mantenimiento previstos </w:t>
      </w:r>
      <w:r w:rsidRPr="001D759A">
        <w:rPr>
          <w:lang w:val="es-ES"/>
        </w:rPr>
        <w:t xml:space="preserve">del edificio </w:t>
      </w:r>
      <w:proofErr w:type="spellStart"/>
      <w:r w:rsidRPr="001D759A">
        <w:rPr>
          <w:lang w:val="es-ES"/>
        </w:rPr>
        <w:t>Montbrillant</w:t>
      </w:r>
      <w:proofErr w:type="spellEnd"/>
      <w:r w:rsidRPr="001D759A">
        <w:rPr>
          <w:lang w:val="es-ES"/>
        </w:rPr>
        <w:t xml:space="preserve"> </w:t>
      </w:r>
      <w:r w:rsidR="00BC14E0" w:rsidRPr="001D759A">
        <w:rPr>
          <w:lang w:val="es-ES"/>
        </w:rPr>
        <w:t xml:space="preserve">eran </w:t>
      </w:r>
      <w:r w:rsidRPr="001D759A">
        <w:rPr>
          <w:lang w:val="es-ES"/>
        </w:rPr>
        <w:t>menos ampli</w:t>
      </w:r>
      <w:r w:rsidR="00BC14E0" w:rsidRPr="001D759A">
        <w:rPr>
          <w:lang w:val="es-ES"/>
        </w:rPr>
        <w:t>os</w:t>
      </w:r>
      <w:r w:rsidRPr="001D759A">
        <w:rPr>
          <w:lang w:val="es-ES"/>
        </w:rPr>
        <w:t xml:space="preserve"> y, por lo tanto, menos </w:t>
      </w:r>
      <w:r w:rsidR="0008458F">
        <w:rPr>
          <w:lang w:val="es-ES"/>
        </w:rPr>
        <w:t>costos</w:t>
      </w:r>
      <w:r w:rsidR="0008458F" w:rsidRPr="001D759A">
        <w:rPr>
          <w:lang w:val="es-ES"/>
        </w:rPr>
        <w:t>o</w:t>
      </w:r>
      <w:r w:rsidR="0008458F">
        <w:rPr>
          <w:lang w:val="es-ES"/>
        </w:rPr>
        <w:t>s</w:t>
      </w:r>
      <w:r w:rsidRPr="001D759A">
        <w:rPr>
          <w:lang w:val="es-ES"/>
        </w:rPr>
        <w:t xml:space="preserve"> que las obras previstas para el complejo de la Torre. Se prevé que el complejo de la Torre requiera una inversión de </w:t>
      </w:r>
      <w:r w:rsidR="00BC14E0" w:rsidRPr="001D759A">
        <w:rPr>
          <w:lang w:val="es-ES"/>
        </w:rPr>
        <w:t xml:space="preserve">unos </w:t>
      </w:r>
      <w:r w:rsidRPr="001D759A">
        <w:rPr>
          <w:lang w:val="es-ES"/>
        </w:rPr>
        <w:t>7</w:t>
      </w:r>
      <w:r w:rsidR="005457EE">
        <w:rPr>
          <w:lang w:val="es-ES"/>
        </w:rPr>
        <w:t> millones CHF</w:t>
      </w:r>
      <w:r w:rsidRPr="001D759A">
        <w:rPr>
          <w:lang w:val="es-ES"/>
        </w:rPr>
        <w:t xml:space="preserve"> a lo largo del próximo decenio, frente a los 3</w:t>
      </w:r>
      <w:r w:rsidR="005457EE">
        <w:rPr>
          <w:lang w:val="es-ES"/>
        </w:rPr>
        <w:t> millones CHF</w:t>
      </w:r>
      <w:r w:rsidR="00BC14E0" w:rsidRPr="001D759A">
        <w:rPr>
          <w:lang w:val="es-ES"/>
        </w:rPr>
        <w:t xml:space="preserve"> aproximadamente </w:t>
      </w:r>
      <w:r w:rsidRPr="001D759A">
        <w:rPr>
          <w:lang w:val="es-ES"/>
        </w:rPr>
        <w:t xml:space="preserve">que requirió el edificio </w:t>
      </w:r>
      <w:proofErr w:type="spellStart"/>
      <w:r w:rsidRPr="001D759A">
        <w:rPr>
          <w:lang w:val="es-ES"/>
        </w:rPr>
        <w:t>Montbrillant</w:t>
      </w:r>
      <w:proofErr w:type="spellEnd"/>
      <w:r w:rsidRPr="001D759A">
        <w:rPr>
          <w:lang w:val="es-ES"/>
        </w:rPr>
        <w:t xml:space="preserve"> durante el mismo </w:t>
      </w:r>
      <w:r w:rsidR="008A1A61" w:rsidRPr="001D759A">
        <w:rPr>
          <w:lang w:val="es-ES"/>
        </w:rPr>
        <w:t>periodo</w:t>
      </w:r>
      <w:r w:rsidRPr="001D759A">
        <w:rPr>
          <w:lang w:val="es-ES"/>
        </w:rPr>
        <w:t>.</w:t>
      </w:r>
    </w:p>
    <w:p w14:paraId="68E4ED88" w14:textId="5898120C" w:rsidR="005052FE" w:rsidRPr="001D759A" w:rsidRDefault="005052FE" w:rsidP="005052FE">
      <w:pPr>
        <w:rPr>
          <w:lang w:val="es-ES"/>
        </w:rPr>
      </w:pPr>
      <w:r w:rsidRPr="001D759A">
        <w:rPr>
          <w:lang w:val="es-ES"/>
        </w:rPr>
        <w:t>23.6</w:t>
      </w:r>
      <w:r w:rsidRPr="001D759A">
        <w:rPr>
          <w:lang w:val="es-ES"/>
        </w:rPr>
        <w:tab/>
        <w:t xml:space="preserve">Un representante de la </w:t>
      </w:r>
      <w:r w:rsidR="00D44E45">
        <w:rPr>
          <w:lang w:val="es-ES"/>
        </w:rPr>
        <w:t>Unidad</w:t>
      </w:r>
      <w:r w:rsidR="00D44E45" w:rsidRPr="001D759A">
        <w:rPr>
          <w:lang w:val="es-ES"/>
        </w:rPr>
        <w:t xml:space="preserve"> </w:t>
      </w:r>
      <w:r w:rsidRPr="001D759A">
        <w:rPr>
          <w:lang w:val="es-ES"/>
        </w:rPr>
        <w:t xml:space="preserve">de Asuntos Jurídicos, </w:t>
      </w:r>
      <w:r w:rsidR="00D44E45">
        <w:rPr>
          <w:lang w:val="es-ES"/>
        </w:rPr>
        <w:t xml:space="preserve">en </w:t>
      </w:r>
      <w:r w:rsidRPr="001D759A">
        <w:rPr>
          <w:lang w:val="es-ES"/>
        </w:rPr>
        <w:t>respuesta a las preguntas de los consejeros</w:t>
      </w:r>
      <w:r w:rsidR="00D44E45">
        <w:rPr>
          <w:lang w:val="es-ES"/>
        </w:rPr>
        <w:t xml:space="preserve"> </w:t>
      </w:r>
      <w:r w:rsidR="0047507A">
        <w:rPr>
          <w:lang w:val="es-ES"/>
        </w:rPr>
        <w:t>indicó que</w:t>
      </w:r>
      <w:r w:rsidR="00D44E45">
        <w:rPr>
          <w:lang w:val="es-ES"/>
        </w:rPr>
        <w:t xml:space="preserve"> </w:t>
      </w:r>
      <w:r w:rsidRPr="001D759A">
        <w:rPr>
          <w:lang w:val="es-ES"/>
        </w:rPr>
        <w:t>las disposiciones de los Acuerdos 588 (C16)</w:t>
      </w:r>
      <w:r w:rsidR="00D44E45">
        <w:rPr>
          <w:lang w:val="es-ES"/>
        </w:rPr>
        <w:t xml:space="preserve">, 619 (C19, modificado por última </w:t>
      </w:r>
      <w:r w:rsidR="00F10968">
        <w:rPr>
          <w:lang w:val="es-ES"/>
        </w:rPr>
        <w:t xml:space="preserve">vez </w:t>
      </w:r>
      <w:r w:rsidR="00D44E45">
        <w:rPr>
          <w:lang w:val="es-ES"/>
        </w:rPr>
        <w:t>en C21)</w:t>
      </w:r>
      <w:r w:rsidRPr="001D759A">
        <w:rPr>
          <w:lang w:val="es-ES"/>
        </w:rPr>
        <w:t xml:space="preserve"> y 640 (C24) del Consejo y la Resolución 212 (Rev. Bucarest, 2022) de la Conferencia de Plenipotenciarios </w:t>
      </w:r>
      <w:r w:rsidR="0047507A">
        <w:rPr>
          <w:lang w:val="es-ES"/>
        </w:rPr>
        <w:t xml:space="preserve">podrían armonizarse conforme avance el proyecto de </w:t>
      </w:r>
      <w:r w:rsidR="0008458F">
        <w:rPr>
          <w:lang w:val="es-ES"/>
        </w:rPr>
        <w:t>S</w:t>
      </w:r>
      <w:r w:rsidR="0047507A">
        <w:rPr>
          <w:lang w:val="es-ES"/>
        </w:rPr>
        <w:t xml:space="preserve">ede, en particular </w:t>
      </w:r>
      <w:r w:rsidRPr="001D759A">
        <w:rPr>
          <w:lang w:val="es-ES"/>
        </w:rPr>
        <w:t xml:space="preserve">en </w:t>
      </w:r>
      <w:r w:rsidR="0047507A">
        <w:rPr>
          <w:lang w:val="es-ES"/>
        </w:rPr>
        <w:t xml:space="preserve">lo que respecta a </w:t>
      </w:r>
      <w:r w:rsidRPr="001D759A">
        <w:rPr>
          <w:lang w:val="es-ES"/>
        </w:rPr>
        <w:t xml:space="preserve">la posible venta del complejo de la Torre. La orientación más reciente del Consejo a la Secretaría es que, en virtud del Acuerdo 640 (C24), se solicitó la realización de estudios que tuvieran en cuenta el complejo de </w:t>
      </w:r>
      <w:r w:rsidR="00103D78">
        <w:rPr>
          <w:lang w:val="es-ES"/>
        </w:rPr>
        <w:t>la UIT</w:t>
      </w:r>
      <w:r w:rsidRPr="001D759A">
        <w:rPr>
          <w:lang w:val="es-ES"/>
        </w:rPr>
        <w:t xml:space="preserve"> en Ginebra en su conjunto, incluido el edificio de la Torre. Sobre este particular, la Secretaría manifestó que las disposiciones del Acuerdo 588 (C16) se sustituyeron por las del Acuerdo 640 (C24). Sin embargo, </w:t>
      </w:r>
      <w:r w:rsidR="0047507A">
        <w:rPr>
          <w:lang w:val="es-ES"/>
        </w:rPr>
        <w:t xml:space="preserve">esa opinión se formuló sin perjuicio de </w:t>
      </w:r>
      <w:r w:rsidRPr="001D759A">
        <w:rPr>
          <w:lang w:val="es-ES"/>
        </w:rPr>
        <w:t xml:space="preserve">la prerrogativa de los Estados Miembros de </w:t>
      </w:r>
      <w:r w:rsidR="0047507A">
        <w:rPr>
          <w:lang w:val="es-ES"/>
        </w:rPr>
        <w:t xml:space="preserve">decidir si se revisaba </w:t>
      </w:r>
      <w:r w:rsidRPr="001D759A">
        <w:rPr>
          <w:lang w:val="es-ES"/>
        </w:rPr>
        <w:t>la Resolución 212 (Rev. Bucarest, 2022)</w:t>
      </w:r>
      <w:r w:rsidR="0047507A">
        <w:rPr>
          <w:lang w:val="es-ES"/>
        </w:rPr>
        <w:t>, y de qué manera,</w:t>
      </w:r>
      <w:r w:rsidRPr="001D759A">
        <w:rPr>
          <w:lang w:val="es-ES"/>
        </w:rPr>
        <w:t xml:space="preserve"> en la PP-26 con objeto de abordar la situación.</w:t>
      </w:r>
    </w:p>
    <w:p w14:paraId="190CA9C9" w14:textId="5EA6C71A" w:rsidR="005052FE" w:rsidRPr="001D759A" w:rsidRDefault="005052FE" w:rsidP="005052FE">
      <w:pPr>
        <w:spacing w:line="259" w:lineRule="auto"/>
        <w:rPr>
          <w:rFonts w:eastAsia="Calibri" w:cs="Calibri"/>
          <w:lang w:val="es-ES"/>
        </w:rPr>
      </w:pPr>
      <w:r w:rsidRPr="001D759A">
        <w:rPr>
          <w:lang w:val="es-ES"/>
        </w:rPr>
        <w:t>23.7</w:t>
      </w:r>
      <w:r w:rsidRPr="001D759A">
        <w:rPr>
          <w:lang w:val="es-ES"/>
        </w:rPr>
        <w:tab/>
        <w:t xml:space="preserve">El Vicesecretario General manifestó su gratitud a Suiza, en calidad de país anfitrión de </w:t>
      </w:r>
      <w:r w:rsidR="00103D78">
        <w:rPr>
          <w:lang w:val="es-ES"/>
        </w:rPr>
        <w:t>la UIT</w:t>
      </w:r>
      <w:r w:rsidRPr="001D759A">
        <w:rPr>
          <w:lang w:val="es-ES"/>
        </w:rPr>
        <w:t xml:space="preserve">, por su apoyo al proyecto de construcción y por la armonización estratégica en lo referente a cuestiones de índole diversa, en particular la seguridad del complejo. Agradeció a los Estados Miembros su apoyo a la propuesta de estudio de viabilidad y a la posible colaboración con otras organizaciones internacionales en Ginebra. El estudio de la posibilidad de compartir espacio y recuperar </w:t>
      </w:r>
      <w:r w:rsidR="00C817F3">
        <w:rPr>
          <w:lang w:val="es-ES"/>
        </w:rPr>
        <w:t>costes</w:t>
      </w:r>
      <w:r w:rsidRPr="001D759A">
        <w:rPr>
          <w:lang w:val="es-ES"/>
        </w:rPr>
        <w:t xml:space="preserve"> podría resultar útil para garantizar una utilización eficaz y eficiente de los activos de </w:t>
      </w:r>
      <w:r w:rsidR="00103D78">
        <w:rPr>
          <w:lang w:val="es-ES"/>
        </w:rPr>
        <w:t>la UIT</w:t>
      </w:r>
      <w:r w:rsidRPr="001D759A">
        <w:rPr>
          <w:lang w:val="es-ES"/>
        </w:rPr>
        <w:t xml:space="preserve"> en beneficio de los </w:t>
      </w:r>
      <w:r w:rsidR="0008458F">
        <w:rPr>
          <w:lang w:val="es-ES"/>
        </w:rPr>
        <w:t>M</w:t>
      </w:r>
      <w:r w:rsidRPr="001D759A">
        <w:rPr>
          <w:lang w:val="es-ES"/>
        </w:rPr>
        <w:t xml:space="preserve">iembros. Señaló que un experto independiente asesoró a la dirección de </w:t>
      </w:r>
      <w:r w:rsidR="00103D78">
        <w:rPr>
          <w:lang w:val="es-ES"/>
        </w:rPr>
        <w:t>la UIT</w:t>
      </w:r>
      <w:r w:rsidRPr="001D759A">
        <w:rPr>
          <w:lang w:val="es-ES"/>
        </w:rPr>
        <w:t xml:space="preserve"> sobre la función de gestión de instalaciones</w:t>
      </w:r>
      <w:r w:rsidR="005E411B">
        <w:rPr>
          <w:lang w:val="es-ES"/>
        </w:rPr>
        <w:t xml:space="preserve"> en relación con el proyecto de edificio de la Sede</w:t>
      </w:r>
      <w:r w:rsidRPr="001D759A">
        <w:rPr>
          <w:lang w:val="es-ES"/>
        </w:rPr>
        <w:t>, cuya mejora tiene lugar de forma continuada.</w:t>
      </w:r>
    </w:p>
    <w:p w14:paraId="785ABB24" w14:textId="332C3CB1" w:rsidR="00F70066" w:rsidRPr="001D759A" w:rsidRDefault="00F70066" w:rsidP="00490FED">
      <w:pPr>
        <w:keepNext/>
        <w:keepLines/>
        <w:spacing w:after="120"/>
        <w:rPr>
          <w:lang w:val="es-ES"/>
        </w:rPr>
      </w:pPr>
      <w:r w:rsidRPr="001D759A">
        <w:rPr>
          <w:lang w:val="es-ES"/>
        </w:rPr>
        <w:lastRenderedPageBreak/>
        <w:t>2</w:t>
      </w:r>
      <w:r w:rsidR="00DE2592" w:rsidRPr="001D759A">
        <w:rPr>
          <w:lang w:val="es-ES"/>
        </w:rPr>
        <w:t>3</w:t>
      </w:r>
      <w:r w:rsidRPr="001D759A">
        <w:rPr>
          <w:lang w:val="es-ES"/>
        </w:rPr>
        <w:t>.</w:t>
      </w:r>
      <w:r w:rsidR="005052FE" w:rsidRPr="001D759A">
        <w:rPr>
          <w:lang w:val="es-ES"/>
        </w:rPr>
        <w:t>8</w:t>
      </w:r>
      <w:r w:rsidRPr="001D759A">
        <w:rPr>
          <w:lang w:val="es-ES"/>
        </w:rPr>
        <w:tab/>
      </w:r>
      <w:r w:rsidR="005052FE" w:rsidRPr="001D759A">
        <w:rPr>
          <w:lang w:val="es-ES"/>
        </w:rPr>
        <w:t xml:space="preserve">La Comisión </w:t>
      </w:r>
      <w:r w:rsidR="005052FE" w:rsidRPr="001D759A">
        <w:rPr>
          <w:b/>
          <w:bCs/>
          <w:lang w:val="es-ES"/>
        </w:rPr>
        <w:t xml:space="preserve">acordó </w:t>
      </w:r>
      <w:r w:rsidR="005052FE" w:rsidRPr="001D759A">
        <w:rPr>
          <w:lang w:val="es-ES"/>
        </w:rPr>
        <w:t>llegar a la siguiente conclusión:</w:t>
      </w:r>
    </w:p>
    <w:tbl>
      <w:tblPr>
        <w:tblStyle w:val="TableGrid"/>
        <w:tblW w:w="5000" w:type="pct"/>
        <w:tblInd w:w="-147" w:type="dxa"/>
        <w:tblLook w:val="04A0" w:firstRow="1" w:lastRow="0" w:firstColumn="1" w:lastColumn="0" w:noHBand="0" w:noVBand="1"/>
      </w:tblPr>
      <w:tblGrid>
        <w:gridCol w:w="9061"/>
      </w:tblGrid>
      <w:tr w:rsidR="00F70066" w:rsidRPr="0057685D" w14:paraId="587CE8DD" w14:textId="77777777" w:rsidTr="00950DAB">
        <w:tc>
          <w:tcPr>
            <w:tcW w:w="9208" w:type="dxa"/>
            <w:hideMark/>
          </w:tcPr>
          <w:p w14:paraId="001A02B4" w14:textId="4683FFFC" w:rsidR="00F70066" w:rsidRPr="001D759A" w:rsidRDefault="00F70066" w:rsidP="00490FED">
            <w:pPr>
              <w:keepNext/>
              <w:keepLines/>
              <w:tabs>
                <w:tab w:val="clear" w:pos="567"/>
                <w:tab w:val="left" w:pos="601"/>
              </w:tabs>
              <w:spacing w:after="80"/>
              <w:ind w:left="40"/>
              <w:rPr>
                <w:lang w:val="es-ES"/>
              </w:rPr>
            </w:pPr>
            <w:r w:rsidRPr="001D759A">
              <w:rPr>
                <w:rFonts w:eastAsia="Calibri" w:cs="Calibri"/>
                <w:lang w:val="es-ES"/>
              </w:rPr>
              <w:t>2</w:t>
            </w:r>
            <w:r w:rsidR="00DE2592" w:rsidRPr="001D759A">
              <w:rPr>
                <w:rFonts w:eastAsia="Calibri" w:cs="Calibri"/>
                <w:lang w:val="es-ES"/>
              </w:rPr>
              <w:t>3</w:t>
            </w:r>
            <w:r w:rsidRPr="001D759A">
              <w:rPr>
                <w:rFonts w:eastAsia="Calibri" w:cs="Calibri"/>
                <w:szCs w:val="24"/>
                <w:lang w:val="es-ES"/>
              </w:rPr>
              <w:t>.</w:t>
            </w:r>
            <w:r w:rsidR="000C57CA" w:rsidRPr="001D759A">
              <w:rPr>
                <w:rFonts w:eastAsia="Calibri" w:cs="Calibri"/>
                <w:szCs w:val="24"/>
                <w:lang w:val="es-ES"/>
              </w:rPr>
              <w:t>9</w:t>
            </w:r>
            <w:r w:rsidRPr="001D759A">
              <w:rPr>
                <w:lang w:val="es-ES"/>
              </w:rPr>
              <w:tab/>
            </w:r>
            <w:r w:rsidR="005052FE" w:rsidRPr="001D759A">
              <w:rPr>
                <w:lang w:val="es-ES"/>
              </w:rPr>
              <w:t>La Comisión recomienda al Consejo que:</w:t>
            </w:r>
          </w:p>
          <w:p w14:paraId="7F073AB7" w14:textId="3054728E" w:rsidR="005052FE" w:rsidRPr="001D759A" w:rsidRDefault="005052FE" w:rsidP="00490FED">
            <w:pPr>
              <w:pStyle w:val="enumlev1"/>
              <w:keepNext/>
              <w:keepLines/>
              <w:tabs>
                <w:tab w:val="clear" w:pos="567"/>
              </w:tabs>
              <w:ind w:left="605"/>
              <w:rPr>
                <w:rFonts w:eastAsia="Calibri" w:cs="Calibri"/>
                <w:szCs w:val="24"/>
                <w:lang w:val="es-ES"/>
              </w:rPr>
            </w:pPr>
            <w:r w:rsidRPr="001D759A">
              <w:rPr>
                <w:lang w:val="es-ES"/>
              </w:rPr>
              <w:t>•</w:t>
            </w:r>
            <w:r w:rsidRPr="001D759A">
              <w:rPr>
                <w:lang w:val="es-ES"/>
              </w:rPr>
              <w:tab/>
              <w:t xml:space="preserve">tome nota </w:t>
            </w:r>
            <w:r w:rsidRPr="001D759A">
              <w:rPr>
                <w:rFonts w:eastAsia="Calibri" w:cs="Calibri"/>
                <w:szCs w:val="24"/>
                <w:lang w:val="es-ES"/>
              </w:rPr>
              <w:t xml:space="preserve">del informe que figura en el Documento </w:t>
            </w:r>
            <w:hyperlink r:id="rId94" w:history="1">
              <w:r w:rsidRPr="001D759A">
                <w:rPr>
                  <w:rStyle w:val="Hyperlink"/>
                  <w:rFonts w:eastAsia="Calibri" w:cs="Calibri"/>
                  <w:szCs w:val="24"/>
                  <w:lang w:val="es-ES"/>
                </w:rPr>
                <w:t>C26/63</w:t>
              </w:r>
            </w:hyperlink>
            <w:r w:rsidRPr="001D759A">
              <w:rPr>
                <w:rFonts w:eastAsia="Calibri" w:cs="Calibri"/>
                <w:szCs w:val="24"/>
                <w:lang w:val="es-ES"/>
              </w:rPr>
              <w:t xml:space="preserve"> y de las observaciones formuladas en la reunión;</w:t>
            </w:r>
          </w:p>
          <w:p w14:paraId="1E6D6548" w14:textId="77777777" w:rsidR="00E17B0A" w:rsidRDefault="005052FE" w:rsidP="00490FED">
            <w:pPr>
              <w:pStyle w:val="enumlev1"/>
              <w:keepNext/>
              <w:keepLines/>
              <w:tabs>
                <w:tab w:val="clear" w:pos="567"/>
              </w:tabs>
              <w:ind w:left="605"/>
              <w:rPr>
                <w:lang w:val="es-ES"/>
              </w:rPr>
            </w:pPr>
            <w:r w:rsidRPr="001D759A">
              <w:rPr>
                <w:lang w:val="es-ES"/>
              </w:rPr>
              <w:t>•</w:t>
            </w:r>
            <w:r w:rsidRPr="001D759A">
              <w:rPr>
                <w:lang w:val="es-ES"/>
              </w:rPr>
              <w:tab/>
              <w:t xml:space="preserve">encargue a la Secretaría </w:t>
            </w:r>
            <w:r w:rsidR="00BC14E0" w:rsidRPr="001D759A">
              <w:rPr>
                <w:lang w:val="es-ES"/>
              </w:rPr>
              <w:t xml:space="preserve">que proceda conforme a lo propuesto, en particular que realice </w:t>
            </w:r>
            <w:r w:rsidRPr="001D759A">
              <w:rPr>
                <w:lang w:val="es-ES"/>
              </w:rPr>
              <w:t>un estudio de viabilidad</w:t>
            </w:r>
            <w:r w:rsidR="00BC14E0" w:rsidRPr="001D759A">
              <w:rPr>
                <w:lang w:val="es-ES"/>
              </w:rPr>
              <w:t xml:space="preserve"> </w:t>
            </w:r>
            <w:r w:rsidRPr="001D759A">
              <w:rPr>
                <w:lang w:val="es-ES"/>
              </w:rPr>
              <w:t xml:space="preserve">para la renovación del complejo de la Torre; </w:t>
            </w:r>
          </w:p>
          <w:p w14:paraId="0EABE4C3" w14:textId="3D53F918" w:rsidR="005E0D5B" w:rsidRPr="001D759A" w:rsidRDefault="00E17B0A" w:rsidP="00490FED">
            <w:pPr>
              <w:pStyle w:val="enumlev1"/>
              <w:keepNext/>
              <w:keepLines/>
              <w:tabs>
                <w:tab w:val="clear" w:pos="567"/>
              </w:tabs>
              <w:ind w:left="605"/>
              <w:rPr>
                <w:lang w:val="es-ES"/>
              </w:rPr>
            </w:pPr>
            <w:r w:rsidRPr="001D759A">
              <w:rPr>
                <w:lang w:val="es-ES"/>
              </w:rPr>
              <w:t>•</w:t>
            </w:r>
            <w:r w:rsidRPr="001D759A">
              <w:rPr>
                <w:lang w:val="es-ES"/>
              </w:rPr>
              <w:tab/>
            </w:r>
            <w:r>
              <w:rPr>
                <w:lang w:val="es-ES"/>
              </w:rPr>
              <w:t>e</w:t>
            </w:r>
            <w:r w:rsidR="005E0D5B">
              <w:rPr>
                <w:lang w:val="es-ES"/>
              </w:rPr>
              <w:t>ncargue a la Secretaría que presente</w:t>
            </w:r>
            <w:r>
              <w:rPr>
                <w:lang w:val="es-ES"/>
              </w:rPr>
              <w:t xml:space="preserve"> un informe</w:t>
            </w:r>
            <w:r w:rsidR="005E0D5B">
              <w:rPr>
                <w:lang w:val="es-ES"/>
              </w:rPr>
              <w:t xml:space="preserve"> sobre las prácticas de gestión de instalaciones actuales de </w:t>
            </w:r>
            <w:r w:rsidR="00103D78">
              <w:rPr>
                <w:lang w:val="es-ES"/>
              </w:rPr>
              <w:t>la UIT</w:t>
            </w:r>
            <w:r w:rsidR="005E0D5B">
              <w:rPr>
                <w:lang w:val="es-ES"/>
              </w:rPr>
              <w:t xml:space="preserve">; </w:t>
            </w:r>
            <w:r>
              <w:rPr>
                <w:lang w:val="es-ES"/>
              </w:rPr>
              <w:t>e</w:t>
            </w:r>
          </w:p>
          <w:p w14:paraId="2ADF6D9D" w14:textId="7F4A7697" w:rsidR="005052FE" w:rsidRPr="001D759A" w:rsidRDefault="005052FE" w:rsidP="00490FED">
            <w:pPr>
              <w:pStyle w:val="enumlev1"/>
              <w:keepNext/>
              <w:keepLines/>
              <w:tabs>
                <w:tab w:val="clear" w:pos="567"/>
              </w:tabs>
              <w:spacing w:after="120"/>
              <w:ind w:left="605"/>
              <w:rPr>
                <w:lang w:val="es-ES"/>
              </w:rPr>
            </w:pPr>
            <w:r w:rsidRPr="001D759A">
              <w:rPr>
                <w:lang w:val="es-ES"/>
              </w:rPr>
              <w:t>•</w:t>
            </w:r>
            <w:r w:rsidRPr="001D759A">
              <w:rPr>
                <w:lang w:val="es-ES"/>
              </w:rPr>
              <w:tab/>
              <w:t>invite a los Estados Miembros a presentar contribuciones a la Conferencia de Plenipotenciarios (Doha, 2026) con el fin de armonizar la Resolución 212 (Rev.</w:t>
            </w:r>
            <w:r w:rsidR="006C198E" w:rsidRPr="001D759A">
              <w:rPr>
                <w:lang w:val="es-ES"/>
              </w:rPr>
              <w:t> </w:t>
            </w:r>
            <w:r w:rsidRPr="001D759A">
              <w:rPr>
                <w:lang w:val="es-ES"/>
              </w:rPr>
              <w:t>Bucarest, 2022) con los avances más recientes en el proyecto de edificio de la</w:t>
            </w:r>
            <w:r w:rsidR="00E17B0A">
              <w:rPr>
                <w:lang w:val="es-ES"/>
              </w:rPr>
              <w:t> </w:t>
            </w:r>
            <w:r w:rsidR="00F10968">
              <w:rPr>
                <w:lang w:val="es-ES"/>
              </w:rPr>
              <w:t>S</w:t>
            </w:r>
            <w:r w:rsidRPr="001D759A">
              <w:rPr>
                <w:lang w:val="es-ES"/>
              </w:rPr>
              <w:t>ede.</w:t>
            </w:r>
          </w:p>
        </w:tc>
      </w:tr>
    </w:tbl>
    <w:p w14:paraId="4AFE5567" w14:textId="4F607863" w:rsidR="00F70066" w:rsidRPr="001D759A" w:rsidRDefault="00F70066" w:rsidP="00F70066">
      <w:pPr>
        <w:pStyle w:val="Heading1"/>
        <w:rPr>
          <w:lang w:val="es-ES"/>
        </w:rPr>
      </w:pPr>
      <w:r w:rsidRPr="001D759A">
        <w:rPr>
          <w:lang w:val="es-ES"/>
        </w:rPr>
        <w:t>2</w:t>
      </w:r>
      <w:r w:rsidR="00DC21CB" w:rsidRPr="001D759A">
        <w:rPr>
          <w:lang w:val="es-ES"/>
        </w:rPr>
        <w:t>4</w:t>
      </w:r>
      <w:r w:rsidRPr="001D759A">
        <w:rPr>
          <w:bCs/>
          <w:lang w:val="es-ES"/>
        </w:rPr>
        <w:tab/>
      </w:r>
      <w:r w:rsidRPr="001D759A">
        <w:rPr>
          <w:lang w:val="es-ES"/>
        </w:rPr>
        <w:t xml:space="preserve">Información actualizada sobre la continuidad de las actividades durante el periodo de construcción del nuevo edificio de </w:t>
      </w:r>
      <w:r w:rsidR="00103D78">
        <w:rPr>
          <w:lang w:val="es-ES"/>
        </w:rPr>
        <w:t>la UIT</w:t>
      </w:r>
      <w:r w:rsidRPr="001D759A">
        <w:rPr>
          <w:lang w:val="es-ES"/>
        </w:rPr>
        <w:t xml:space="preserve"> (Documento </w:t>
      </w:r>
      <w:hyperlink r:id="rId95" w:history="1">
        <w:r w:rsidRPr="001D759A">
          <w:rPr>
            <w:rStyle w:val="Hyperlink"/>
            <w:rFonts w:eastAsia="Times New Roman" w:cs="Times New Roman"/>
            <w:szCs w:val="20"/>
            <w:lang w:val="es-ES"/>
          </w:rPr>
          <w:t>C26/65</w:t>
        </w:r>
      </w:hyperlink>
      <w:r w:rsidRPr="001D759A">
        <w:rPr>
          <w:lang w:val="es-ES"/>
        </w:rPr>
        <w:t>)</w:t>
      </w:r>
    </w:p>
    <w:p w14:paraId="1A1F3892" w14:textId="11B17135" w:rsidR="00F70066" w:rsidRPr="001D759A" w:rsidRDefault="00393A84" w:rsidP="00393A84">
      <w:pPr>
        <w:pStyle w:val="Heading1"/>
        <w:spacing w:before="160"/>
        <w:rPr>
          <w:lang w:val="es-ES"/>
        </w:rPr>
      </w:pPr>
      <w:r>
        <w:rPr>
          <w:lang w:val="es-ES"/>
        </w:rPr>
        <w:tab/>
      </w:r>
      <w:r w:rsidR="00F70066" w:rsidRPr="001D759A">
        <w:rPr>
          <w:lang w:val="es-ES"/>
        </w:rPr>
        <w:t xml:space="preserve">Continuidad de las actividades de las reuniones de los Grupos de Trabajo del Consejo (Documento </w:t>
      </w:r>
      <w:hyperlink r:id="rId96" w:history="1">
        <w:r w:rsidR="00F70066" w:rsidRPr="001D759A">
          <w:rPr>
            <w:rStyle w:val="Hyperlink"/>
            <w:rFonts w:eastAsia="Times New Roman" w:cs="Times New Roman"/>
            <w:szCs w:val="20"/>
            <w:lang w:val="es-ES"/>
          </w:rPr>
          <w:t>C26/105</w:t>
        </w:r>
      </w:hyperlink>
      <w:r w:rsidR="00F70066" w:rsidRPr="001D759A">
        <w:rPr>
          <w:lang w:val="es-ES"/>
        </w:rPr>
        <w:t>)</w:t>
      </w:r>
    </w:p>
    <w:p w14:paraId="3AC9FEF3" w14:textId="5F50C8CE" w:rsidR="00F70066" w:rsidRPr="001D759A" w:rsidRDefault="00393A84" w:rsidP="00393A84">
      <w:pPr>
        <w:pStyle w:val="Heading1"/>
        <w:spacing w:before="160"/>
        <w:rPr>
          <w:lang w:val="es-ES"/>
        </w:rPr>
      </w:pPr>
      <w:r>
        <w:rPr>
          <w:lang w:val="es-ES"/>
        </w:rPr>
        <w:tab/>
      </w:r>
      <w:r w:rsidR="00F70066" w:rsidRPr="001D759A">
        <w:rPr>
          <w:lang w:val="es-ES"/>
        </w:rPr>
        <w:t xml:space="preserve">Fechas y </w:t>
      </w:r>
      <w:proofErr w:type="spellStart"/>
      <w:r w:rsidR="00F70066" w:rsidRPr="00393A84">
        <w:t>duración</w:t>
      </w:r>
      <w:proofErr w:type="spellEnd"/>
      <w:r w:rsidR="00F70066" w:rsidRPr="001D759A">
        <w:rPr>
          <w:lang w:val="es-ES"/>
        </w:rPr>
        <w:t xml:space="preserve"> propuestas para las reuniones de 2027, 2028 y 2029 del Consejo y las series de reuniones de los GTC correspondientes al periodo 2027-2029 (Documento </w:t>
      </w:r>
      <w:hyperlink r:id="rId97" w:history="1">
        <w:r w:rsidR="00F70066" w:rsidRPr="001D759A">
          <w:rPr>
            <w:rStyle w:val="Hyperlink"/>
            <w:rFonts w:eastAsia="Times New Roman" w:cs="Times New Roman"/>
            <w:szCs w:val="20"/>
            <w:lang w:val="es-ES"/>
          </w:rPr>
          <w:t>C26/106</w:t>
        </w:r>
      </w:hyperlink>
      <w:r w:rsidR="00F70066" w:rsidRPr="001D759A">
        <w:rPr>
          <w:lang w:val="es-ES"/>
        </w:rPr>
        <w:t>)</w:t>
      </w:r>
    </w:p>
    <w:p w14:paraId="4F9AE321" w14:textId="20BF3234" w:rsidR="00DC21CB" w:rsidRPr="001D759A" w:rsidRDefault="00DC21CB" w:rsidP="00DC21CB">
      <w:pPr>
        <w:rPr>
          <w:lang w:val="es-ES"/>
        </w:rPr>
      </w:pPr>
      <w:bookmarkStart w:id="2" w:name="_Hlk201404443"/>
      <w:r w:rsidRPr="001D759A">
        <w:rPr>
          <w:lang w:val="es-ES"/>
        </w:rPr>
        <w:t>24.1</w:t>
      </w:r>
      <w:r w:rsidRPr="001D759A">
        <w:rPr>
          <w:lang w:val="es-ES"/>
        </w:rPr>
        <w:tab/>
        <w:t xml:space="preserve">Un representante de la Secretaría General presentó el Documento C26/65 sobre las modalidades de continuidad de las actividades para las reuniones de </w:t>
      </w:r>
      <w:r w:rsidR="00103D78">
        <w:rPr>
          <w:lang w:val="es-ES"/>
        </w:rPr>
        <w:t>la UIT</w:t>
      </w:r>
      <w:r w:rsidRPr="001D759A">
        <w:rPr>
          <w:lang w:val="es-ES"/>
        </w:rPr>
        <w:t xml:space="preserve"> que se celebrarían en 2028 y 2029, durante el periodo </w:t>
      </w:r>
      <w:r w:rsidR="00BC14E0" w:rsidRPr="001D759A">
        <w:rPr>
          <w:lang w:val="es-ES"/>
        </w:rPr>
        <w:t xml:space="preserve">más ruidoso de las obras </w:t>
      </w:r>
      <w:r w:rsidRPr="001D759A">
        <w:rPr>
          <w:lang w:val="es-ES"/>
        </w:rPr>
        <w:t xml:space="preserve">de construcción del edificio de la Sede de </w:t>
      </w:r>
      <w:r w:rsidR="00103D78">
        <w:rPr>
          <w:lang w:val="es-ES"/>
        </w:rPr>
        <w:t>la UIT</w:t>
      </w:r>
      <w:r w:rsidRPr="001D759A">
        <w:rPr>
          <w:lang w:val="es-ES"/>
        </w:rPr>
        <w:t>, y facilitó información adicional sobre las distintas opciones para celebrar reuniones durante ese periodo y las repercusiones financieras conexas.</w:t>
      </w:r>
    </w:p>
    <w:p w14:paraId="0408374B" w14:textId="3F2992F3" w:rsidR="00DC21CB" w:rsidRPr="001D759A" w:rsidRDefault="00DC21CB" w:rsidP="00DC21CB">
      <w:pPr>
        <w:rPr>
          <w:lang w:val="es-ES"/>
        </w:rPr>
      </w:pPr>
      <w:r w:rsidRPr="001D759A">
        <w:rPr>
          <w:lang w:val="es-ES"/>
        </w:rPr>
        <w:t>24.2</w:t>
      </w:r>
      <w:r w:rsidRPr="001D759A">
        <w:rPr>
          <w:lang w:val="es-ES"/>
        </w:rPr>
        <w:tab/>
        <w:t xml:space="preserve">El consejero de Marruecos presentó la contribución de varios países contenida en el Documento C26/105, sobre la continuidad de las actividades de las reuniones de los </w:t>
      </w:r>
      <w:r w:rsidR="00EB2C6A">
        <w:rPr>
          <w:lang w:val="es-ES"/>
        </w:rPr>
        <w:t>G</w:t>
      </w:r>
      <w:r w:rsidRPr="001D759A">
        <w:rPr>
          <w:lang w:val="es-ES"/>
        </w:rPr>
        <w:t xml:space="preserve">rupos de </w:t>
      </w:r>
      <w:r w:rsidR="00EB2C6A">
        <w:rPr>
          <w:lang w:val="es-ES"/>
        </w:rPr>
        <w:t>T</w:t>
      </w:r>
      <w:r w:rsidRPr="001D759A">
        <w:rPr>
          <w:lang w:val="es-ES"/>
        </w:rPr>
        <w:t>rabajo del Consejo (GTC), en la que se destacaba la necesidad de que el Consejo tomase las medidas adecuadas para garantizar la continuidad de los trabajos de los GTC, habida cuenta de su papel fundamental en el apoyo a los procesos de toma de decisiones del Consejo. También presentó la contribución de varios países contenida en el Documento</w:t>
      </w:r>
      <w:r w:rsidR="00490FED">
        <w:rPr>
          <w:lang w:val="es-ES"/>
        </w:rPr>
        <w:t> </w:t>
      </w:r>
      <w:r w:rsidRPr="001D759A">
        <w:rPr>
          <w:lang w:val="es-ES"/>
        </w:rPr>
        <w:t>C26/106, relativa a las reuniones del Consejo y la serie de reuniones de los GTC en 2027</w:t>
      </w:r>
      <w:r w:rsidR="004B1986" w:rsidRPr="001D759A">
        <w:rPr>
          <w:lang w:val="es-ES"/>
        </w:rPr>
        <w:noBreakHyphen/>
      </w:r>
      <w:r w:rsidRPr="001D759A">
        <w:rPr>
          <w:lang w:val="es-ES"/>
        </w:rPr>
        <w:t>2029, en la que se consideraban las probables limitaciones jurídicas, operativas y financieras derivadas del proyecto de construcción y los riesgos institucionales asociados, y se invitaba al Consejo a tomar medidas para garantizar la continuidad de las actividades en las mejores condiciones posibles, de conformidad con los requisitos estatutarios y las restricciones presupuestarias.</w:t>
      </w:r>
    </w:p>
    <w:bookmarkEnd w:id="2"/>
    <w:p w14:paraId="4A3DE49A" w14:textId="01976922" w:rsidR="00DC21CB" w:rsidRPr="001D759A" w:rsidRDefault="00DC21CB" w:rsidP="00DC21CB">
      <w:pPr>
        <w:rPr>
          <w:lang w:val="es-ES"/>
        </w:rPr>
      </w:pPr>
      <w:r w:rsidRPr="001D759A">
        <w:rPr>
          <w:lang w:val="es-ES"/>
        </w:rPr>
        <w:t>24.3</w:t>
      </w:r>
      <w:r w:rsidRPr="001D759A">
        <w:rPr>
          <w:lang w:val="es-ES"/>
        </w:rPr>
        <w:tab/>
        <w:t xml:space="preserve">Los consejeros acogieron con beneplácito la información actualizada facilitada por la Secretaría y el enfoque práctico adoptado para garantizar la continuidad de las actividades de </w:t>
      </w:r>
      <w:r w:rsidR="005457EE">
        <w:rPr>
          <w:lang w:val="es-ES"/>
        </w:rPr>
        <w:t>la Unión</w:t>
      </w:r>
      <w:r w:rsidRPr="001D759A">
        <w:rPr>
          <w:lang w:val="es-ES"/>
        </w:rPr>
        <w:t xml:space="preserve"> durante este periodo complejo y lleno de dificultades. Se agradeció la exención </w:t>
      </w:r>
      <w:r w:rsidRPr="001D759A">
        <w:rPr>
          <w:lang w:val="es-ES"/>
        </w:rPr>
        <w:lastRenderedPageBreak/>
        <w:t>de dos años para el reembolso de los préstamos concedidos por la Confederación Suiza y la atribución de los ahorros resultantes al fondo de continuidad de las actividades. A pesar de las dificultades que ello suponía, era fundamental que la Secretaría dispusiese de un plan de continuidad claro para su presentación a la PP-26.</w:t>
      </w:r>
    </w:p>
    <w:p w14:paraId="4377D62A" w14:textId="10BCB41E" w:rsidR="00DC21CB" w:rsidRPr="001D759A" w:rsidRDefault="00DC21CB" w:rsidP="00DC21CB">
      <w:pPr>
        <w:rPr>
          <w:lang w:val="es-ES"/>
        </w:rPr>
      </w:pPr>
      <w:r w:rsidRPr="001D759A">
        <w:rPr>
          <w:lang w:val="es-ES"/>
        </w:rPr>
        <w:t>24.4</w:t>
      </w:r>
      <w:r w:rsidRPr="001D759A">
        <w:rPr>
          <w:lang w:val="es-ES"/>
        </w:rPr>
        <w:tab/>
        <w:t xml:space="preserve">Varios consejeros insistieron en la necesidad de que las disposiciones propuestas siguiesen siendo </w:t>
      </w:r>
      <w:r w:rsidR="000475AF">
        <w:rPr>
          <w:lang w:val="es-ES"/>
        </w:rPr>
        <w:t>rentables</w:t>
      </w:r>
      <w:r w:rsidRPr="001D759A">
        <w:rPr>
          <w:lang w:val="es-ES"/>
        </w:rPr>
        <w:t xml:space="preserve"> y previsibles, sobre todo teniendo en cuenta la limitada disponibilidad de lugares de celebración y las repercusiones financieras de la utilización de instalaciones externas. La Secretaría debería seguir explorando diversas opciones, incluida la posibilidad de compartir espacio con otras organizaciones internacionales con sede en Ginebra. Algunos consejeros propusieron que la preparación de la fase de construcción ofreciese la oportunidad de reflexionar creativamente sobre cómo se organizaban las reuniones de </w:t>
      </w:r>
      <w:r w:rsidR="005457EE">
        <w:rPr>
          <w:lang w:val="es-ES"/>
        </w:rPr>
        <w:t>la Unión</w:t>
      </w:r>
      <w:r w:rsidRPr="001D759A">
        <w:rPr>
          <w:lang w:val="es-ES"/>
        </w:rPr>
        <w:t xml:space="preserve"> y de estudiar posibles cambios, como la incorporación de algunos elementos de los formatos de reunión híbridos. Varios consejeros manifestaron su firme apoyo al mantenimiento de dos reuniones anuales de los GTC durante todo el proceso, aun cuando la solución en vigor de agrupar reuniones no resultase viable. Los GTC, al estar abiertos a todos los Estados Miembros, eran foros de representación amplia y equitativa; el</w:t>
      </w:r>
      <w:r w:rsidR="009E5C8C" w:rsidRPr="001D759A">
        <w:rPr>
          <w:lang w:val="es-ES"/>
        </w:rPr>
        <w:t> </w:t>
      </w:r>
      <w:r w:rsidRPr="001D759A">
        <w:rPr>
          <w:lang w:val="es-ES"/>
        </w:rPr>
        <w:t xml:space="preserve">GTC-RHF, en particular, contribuía considerablemente al proceso de adopción de decisiones del Consejo y no debía quedar al margen. Las decisiones de </w:t>
      </w:r>
      <w:r w:rsidR="005457EE">
        <w:rPr>
          <w:lang w:val="es-ES"/>
        </w:rPr>
        <w:t>la Unión</w:t>
      </w:r>
      <w:r w:rsidRPr="001D759A">
        <w:rPr>
          <w:lang w:val="es-ES"/>
        </w:rPr>
        <w:t xml:space="preserve">, como organización reguladora mundial, tenían repercusiones directas e indirectas para muchas partes interesadas, no solo para sus miembros; en algunos casos, sus decisiones eran jurídicamente vinculantes. Era necesario tener cuidado </w:t>
      </w:r>
      <w:r w:rsidR="0008458F">
        <w:rPr>
          <w:lang w:val="es-ES"/>
        </w:rPr>
        <w:t>de</w:t>
      </w:r>
      <w:r w:rsidRPr="001D759A">
        <w:rPr>
          <w:lang w:val="es-ES"/>
        </w:rPr>
        <w:t xml:space="preserve"> no socavar su estatus a este respecto. Las reuniones debían seguir celebrándose de manera oportuna y agrupadas temáticamente siempre que fuese posible. Si los eventos se iban a celebrar fuera de Ginebra, esto debería notificarse a los Estados Miembros con suficiente antelación para facilitar la planificación.</w:t>
      </w:r>
    </w:p>
    <w:p w14:paraId="675FEA83" w14:textId="083F30B5" w:rsidR="00DC21CB" w:rsidRPr="001D759A" w:rsidRDefault="00DC21CB" w:rsidP="00DC21CB">
      <w:pPr>
        <w:rPr>
          <w:lang w:val="es-ES"/>
        </w:rPr>
      </w:pPr>
      <w:r w:rsidRPr="001D759A">
        <w:rPr>
          <w:lang w:val="es-ES"/>
        </w:rPr>
        <w:t>24.5</w:t>
      </w:r>
      <w:r w:rsidRPr="001D759A">
        <w:rPr>
          <w:lang w:val="es-ES"/>
        </w:rPr>
        <w:tab/>
        <w:t>Varios consejeros expresaron su apoyo a las propuestas recogidas en los Documentos</w:t>
      </w:r>
      <w:r w:rsidR="009E5C8C" w:rsidRPr="001D759A">
        <w:rPr>
          <w:lang w:val="es-ES"/>
        </w:rPr>
        <w:t> </w:t>
      </w:r>
      <w:r w:rsidRPr="001D759A">
        <w:rPr>
          <w:lang w:val="es-ES"/>
        </w:rPr>
        <w:t>C26/105 y C26/106. Un consejero preguntó por la situación de los diversos procesos de continuidad de las actividades en el marco del Sistema de Gestión de la Resiliencia Institucional (SGRI).</w:t>
      </w:r>
    </w:p>
    <w:p w14:paraId="65B49AF3" w14:textId="5F8805BC" w:rsidR="00DC21CB" w:rsidRPr="001D759A" w:rsidRDefault="00DC21CB" w:rsidP="00DC21CB">
      <w:pPr>
        <w:rPr>
          <w:lang w:val="es-ES"/>
        </w:rPr>
      </w:pPr>
      <w:r w:rsidRPr="001D759A">
        <w:rPr>
          <w:lang w:val="es-ES"/>
        </w:rPr>
        <w:t>24.6</w:t>
      </w:r>
      <w:r w:rsidRPr="001D759A">
        <w:rPr>
          <w:lang w:val="es-ES"/>
        </w:rPr>
        <w:tab/>
        <w:t xml:space="preserve">El representante de la Secretaría General, en respuesta a los comentarios formulados, declaró que se haría todo lo posible para garantizar la adopción de soluciones </w:t>
      </w:r>
      <w:r w:rsidR="000475AF">
        <w:rPr>
          <w:lang w:val="es-ES"/>
        </w:rPr>
        <w:t>rentables</w:t>
      </w:r>
      <w:r w:rsidRPr="001D759A">
        <w:rPr>
          <w:lang w:val="es-ES"/>
        </w:rPr>
        <w:t xml:space="preserve"> y la transparencia en la toma de decisiones. Se estaban estudiando varios escenarios; a medida que se confirmasen las fechas de las reuniones y se dispusiese de información adicional, se elaboraría un plan claro de continuidad de las actividades para su presentación a la PP-26. Los resultados de las pruebas acústicas, en particular, servirían de base para el enfoque propuesto. No se habían recibido propuestas firmes en relación con los centros de reunión, pero se habían celebrado debates constructivos sobre el alquiler de instalaciones de reunión con la Organización Internacional del Trabajo (OIT) y la </w:t>
      </w:r>
      <w:r w:rsidR="005052FE" w:rsidRPr="001D759A">
        <w:rPr>
          <w:lang w:val="es-ES"/>
        </w:rPr>
        <w:t>OMS</w:t>
      </w:r>
      <w:r w:rsidRPr="001D759A">
        <w:rPr>
          <w:lang w:val="es-ES"/>
        </w:rPr>
        <w:t>, y la Secretaría confiaba en que la mayoría de las reuniones pudiesen celebrarse en Ginebra, de conformidad con el calendario y la frecuencia acordados por los Estados Miembros.</w:t>
      </w:r>
    </w:p>
    <w:p w14:paraId="5CA943AD" w14:textId="0EB28CD1" w:rsidR="00DC21CB" w:rsidRPr="001D759A" w:rsidRDefault="00DC21CB" w:rsidP="00DC21CB">
      <w:pPr>
        <w:rPr>
          <w:lang w:val="es-ES"/>
        </w:rPr>
      </w:pPr>
      <w:r w:rsidRPr="001D759A">
        <w:rPr>
          <w:lang w:val="es-ES"/>
        </w:rPr>
        <w:t>24.7</w:t>
      </w:r>
      <w:r w:rsidRPr="001D759A">
        <w:rPr>
          <w:lang w:val="es-ES"/>
        </w:rPr>
        <w:tab/>
        <w:t xml:space="preserve">El Vicesecretario General afirmó que se había avanzado mucho en la preparación </w:t>
      </w:r>
      <w:r w:rsidR="00BC14E0" w:rsidRPr="001D759A">
        <w:rPr>
          <w:lang w:val="es-ES"/>
        </w:rPr>
        <w:t>para la continuidad de las actividades</w:t>
      </w:r>
      <w:r w:rsidRPr="001D759A">
        <w:rPr>
          <w:lang w:val="es-ES"/>
        </w:rPr>
        <w:t xml:space="preserve">, sobre todo teniendo en cuenta que las obras importantes no comenzarían hasta el segundo semestre de 2028 y que algunos factores se verían inevitablemente influidos por las decisiones de la PP-26. La situación presupuestaria se había visto reforzada por </w:t>
      </w:r>
      <w:r w:rsidR="00BC14E0" w:rsidRPr="001D759A">
        <w:rPr>
          <w:lang w:val="es-ES"/>
        </w:rPr>
        <w:t xml:space="preserve">la </w:t>
      </w:r>
      <w:r w:rsidRPr="001D759A">
        <w:rPr>
          <w:lang w:val="es-ES"/>
        </w:rPr>
        <w:t>importante contribuci</w:t>
      </w:r>
      <w:r w:rsidR="00BC14E0" w:rsidRPr="001D759A">
        <w:rPr>
          <w:lang w:val="es-ES"/>
        </w:rPr>
        <w:t>ón</w:t>
      </w:r>
      <w:r w:rsidRPr="001D759A">
        <w:rPr>
          <w:lang w:val="es-ES"/>
        </w:rPr>
        <w:t xml:space="preserve"> de Suiza, aunque todavía se necesitarían fondos adicionales. Cuantas más reuniones pudiesen celebrarse en las propias instalaciones </w:t>
      </w:r>
      <w:r w:rsidRPr="001D759A">
        <w:rPr>
          <w:lang w:val="es-ES"/>
        </w:rPr>
        <w:lastRenderedPageBreak/>
        <w:t xml:space="preserve">de </w:t>
      </w:r>
      <w:r w:rsidR="005457EE">
        <w:rPr>
          <w:lang w:val="es-ES"/>
        </w:rPr>
        <w:t>la Unión</w:t>
      </w:r>
      <w:r w:rsidRPr="001D759A">
        <w:rPr>
          <w:lang w:val="es-ES"/>
        </w:rPr>
        <w:t xml:space="preserve">, menores serían los costes de alquiler de los locales externos. Al mismo tiempo, la Secretaria General había colaborado activamente con otras entidades del sistema de las </w:t>
      </w:r>
      <w:r w:rsidR="000E31A1">
        <w:rPr>
          <w:lang w:val="es-ES"/>
        </w:rPr>
        <w:t>Naciones Unidas</w:t>
      </w:r>
      <w:r w:rsidRPr="001D759A">
        <w:rPr>
          <w:lang w:val="es-ES"/>
        </w:rPr>
        <w:t xml:space="preserve">, en particular la OIT y la </w:t>
      </w:r>
      <w:r w:rsidR="005052FE" w:rsidRPr="001D759A">
        <w:rPr>
          <w:lang w:val="es-ES"/>
        </w:rPr>
        <w:t>ONUG</w:t>
      </w:r>
      <w:r w:rsidRPr="001D759A">
        <w:rPr>
          <w:lang w:val="es-ES"/>
        </w:rPr>
        <w:t>, para estudiar la posibilidad de mejorar la coordinación en el uso de las instalaciones entre las organizaciones internacionales con sede en Ginebra. Tal y como solicitó el Consejo en 2025, también se estaban evaluando otros aspectos de la continuidad de las actividades</w:t>
      </w:r>
      <w:r w:rsidR="00BC14E0" w:rsidRPr="001D759A">
        <w:rPr>
          <w:lang w:val="es-ES"/>
        </w:rPr>
        <w:t>, como se expone en el Documento C26/7, para lo cual se solicitó la asignación de 1,5</w:t>
      </w:r>
      <w:r w:rsidR="005457EE">
        <w:rPr>
          <w:lang w:val="es-ES"/>
        </w:rPr>
        <w:t> millones CHF</w:t>
      </w:r>
      <w:r w:rsidR="00BC14E0" w:rsidRPr="001D759A">
        <w:rPr>
          <w:lang w:val="es-ES"/>
        </w:rPr>
        <w:t xml:space="preserve"> procedentes de los ahorros presupuestarios de 2025</w:t>
      </w:r>
      <w:r w:rsidRPr="001D759A">
        <w:rPr>
          <w:lang w:val="es-ES"/>
        </w:rPr>
        <w:t>. Se presentaría información más detallada a la PP-26.</w:t>
      </w:r>
    </w:p>
    <w:p w14:paraId="1422759F" w14:textId="7DB5A70A" w:rsidR="00F70066" w:rsidRPr="001D759A" w:rsidRDefault="00DC21CB" w:rsidP="00F70066">
      <w:pPr>
        <w:spacing w:after="120"/>
        <w:rPr>
          <w:lang w:val="es-ES"/>
        </w:rPr>
      </w:pPr>
      <w:r w:rsidRPr="001D759A">
        <w:rPr>
          <w:lang w:val="es-ES"/>
        </w:rPr>
        <w:t>24.8</w:t>
      </w:r>
      <w:r w:rsidR="00F70066" w:rsidRPr="001D759A">
        <w:rPr>
          <w:lang w:val="es-ES"/>
        </w:rPr>
        <w:tab/>
        <w:t xml:space="preserve">La Comisión </w:t>
      </w:r>
      <w:r w:rsidR="00F70066" w:rsidRPr="001D759A">
        <w:rPr>
          <w:b/>
          <w:bCs/>
          <w:lang w:val="es-ES"/>
        </w:rPr>
        <w:t xml:space="preserve">acordó </w:t>
      </w:r>
      <w:r w:rsidR="00F70066" w:rsidRPr="001D759A">
        <w:rPr>
          <w:lang w:val="es-ES"/>
        </w:rPr>
        <w:t>llegar a la siguiente conclusión:</w:t>
      </w:r>
    </w:p>
    <w:tbl>
      <w:tblPr>
        <w:tblStyle w:val="TableGrid"/>
        <w:tblW w:w="5000" w:type="pct"/>
        <w:tblInd w:w="-147" w:type="dxa"/>
        <w:tblLook w:val="04A0" w:firstRow="1" w:lastRow="0" w:firstColumn="1" w:lastColumn="0" w:noHBand="0" w:noVBand="1"/>
      </w:tblPr>
      <w:tblGrid>
        <w:gridCol w:w="9061"/>
      </w:tblGrid>
      <w:tr w:rsidR="004B1986" w:rsidRPr="0057685D" w14:paraId="09100BDC" w14:textId="77777777" w:rsidTr="00950DAB">
        <w:tc>
          <w:tcPr>
            <w:tcW w:w="9208" w:type="dxa"/>
          </w:tcPr>
          <w:p w14:paraId="4D3B94A3" w14:textId="77777777" w:rsidR="004B1986" w:rsidRPr="001D759A" w:rsidRDefault="004B1986" w:rsidP="008B73D9">
            <w:pPr>
              <w:tabs>
                <w:tab w:val="clear" w:pos="567"/>
                <w:tab w:val="left" w:pos="605"/>
              </w:tabs>
              <w:spacing w:after="80"/>
              <w:ind w:left="40"/>
              <w:rPr>
                <w:lang w:val="es-ES"/>
              </w:rPr>
            </w:pPr>
            <w:r w:rsidRPr="001D759A">
              <w:rPr>
                <w:rFonts w:eastAsia="Calibri" w:cs="Calibri"/>
                <w:lang w:val="es-ES"/>
              </w:rPr>
              <w:t>24</w:t>
            </w:r>
            <w:r w:rsidRPr="001D759A">
              <w:rPr>
                <w:lang w:val="es-ES"/>
              </w:rPr>
              <w:t>.9</w:t>
            </w:r>
            <w:r w:rsidRPr="001D759A">
              <w:rPr>
                <w:lang w:val="es-ES"/>
              </w:rPr>
              <w:tab/>
              <w:t>La Comisión recomienda al Consejo que:</w:t>
            </w:r>
          </w:p>
          <w:p w14:paraId="36557FAE" w14:textId="0F4EE261" w:rsidR="004B1986" w:rsidRPr="001D759A" w:rsidRDefault="004B1986" w:rsidP="006E6BF2">
            <w:pPr>
              <w:pStyle w:val="enumlev1"/>
              <w:tabs>
                <w:tab w:val="clear" w:pos="567"/>
              </w:tabs>
              <w:spacing w:after="120"/>
              <w:ind w:left="605"/>
              <w:rPr>
                <w:lang w:val="es-ES"/>
              </w:rPr>
            </w:pPr>
            <w:r w:rsidRPr="001D759A">
              <w:rPr>
                <w:lang w:val="es-ES"/>
              </w:rPr>
              <w:t>•</w:t>
            </w:r>
            <w:r w:rsidRPr="001D759A">
              <w:rPr>
                <w:lang w:val="es-ES"/>
              </w:rPr>
              <w:tab/>
            </w:r>
            <w:r w:rsidRPr="001D759A">
              <w:rPr>
                <w:rFonts w:eastAsia="Aptos"/>
                <w:lang w:val="es-ES"/>
              </w:rPr>
              <w:t>tome</w:t>
            </w:r>
            <w:r w:rsidRPr="001D759A">
              <w:rPr>
                <w:lang w:val="es-ES"/>
              </w:rPr>
              <w:t xml:space="preserve"> nota del </w:t>
            </w:r>
            <w:r w:rsidR="00B534AC" w:rsidRPr="001D759A">
              <w:rPr>
                <w:lang w:val="es-ES"/>
              </w:rPr>
              <w:t>i</w:t>
            </w:r>
            <w:r w:rsidRPr="001D759A">
              <w:rPr>
                <w:lang w:val="es-ES"/>
              </w:rPr>
              <w:t xml:space="preserve">nforme contenido en el Documento </w:t>
            </w:r>
            <w:hyperlink r:id="rId98" w:history="1">
              <w:r w:rsidRPr="00490FED">
                <w:rPr>
                  <w:rStyle w:val="Hyperlink"/>
                  <w:lang w:val="es-ES"/>
                </w:rPr>
                <w:t>C26/65</w:t>
              </w:r>
            </w:hyperlink>
            <w:r w:rsidRPr="001D759A">
              <w:rPr>
                <w:lang w:val="es-ES"/>
              </w:rPr>
              <w:t xml:space="preserve"> y de las contribuciones contenidas en los Documentos </w:t>
            </w:r>
            <w:hyperlink r:id="rId99" w:history="1">
              <w:r w:rsidRPr="00490FED">
                <w:rPr>
                  <w:rStyle w:val="Hyperlink"/>
                  <w:lang w:val="es-ES"/>
                </w:rPr>
                <w:t>C26/105</w:t>
              </w:r>
            </w:hyperlink>
            <w:r w:rsidRPr="001D759A">
              <w:rPr>
                <w:lang w:val="es-ES"/>
              </w:rPr>
              <w:t xml:space="preserve"> y </w:t>
            </w:r>
            <w:hyperlink r:id="rId100" w:history="1">
              <w:r w:rsidRPr="00490FED">
                <w:rPr>
                  <w:rStyle w:val="Hyperlink"/>
                  <w:lang w:val="es-ES"/>
                </w:rPr>
                <w:t>C26/106</w:t>
              </w:r>
            </w:hyperlink>
            <w:r w:rsidRPr="001D759A">
              <w:rPr>
                <w:lang w:val="es-ES"/>
              </w:rPr>
              <w:t>.</w:t>
            </w:r>
          </w:p>
        </w:tc>
      </w:tr>
    </w:tbl>
    <w:p w14:paraId="5A3F9015" w14:textId="28AD8B4C" w:rsidR="00F70066" w:rsidRPr="001D759A" w:rsidRDefault="00F70066" w:rsidP="00F70066">
      <w:pPr>
        <w:pStyle w:val="Heading1"/>
        <w:rPr>
          <w:lang w:val="es-ES"/>
        </w:rPr>
      </w:pPr>
      <w:r w:rsidRPr="001D759A">
        <w:rPr>
          <w:lang w:val="es-ES"/>
        </w:rPr>
        <w:t>2</w:t>
      </w:r>
      <w:r w:rsidR="00D5731C" w:rsidRPr="001D759A">
        <w:rPr>
          <w:lang w:val="es-ES"/>
        </w:rPr>
        <w:t>5</w:t>
      </w:r>
      <w:r w:rsidRPr="001D759A">
        <w:rPr>
          <w:lang w:val="es-ES"/>
        </w:rPr>
        <w:tab/>
      </w:r>
      <w:r w:rsidR="000719A0" w:rsidRPr="001D759A">
        <w:rPr>
          <w:lang w:val="es-ES"/>
        </w:rPr>
        <w:t xml:space="preserve">Propuesta de marco para el proceso de selección de países anfitriones de conferencias y asambleas de </w:t>
      </w:r>
      <w:r w:rsidR="00103D78">
        <w:rPr>
          <w:lang w:val="es-ES"/>
        </w:rPr>
        <w:t>la UIT</w:t>
      </w:r>
      <w:r w:rsidR="000719A0" w:rsidRPr="001D759A">
        <w:rPr>
          <w:lang w:val="es-ES"/>
        </w:rPr>
        <w:t xml:space="preserve"> (Documento </w:t>
      </w:r>
      <w:hyperlink r:id="rId101" w:history="1">
        <w:r w:rsidR="000719A0" w:rsidRPr="001D759A">
          <w:rPr>
            <w:rStyle w:val="Hyperlink"/>
            <w:bCs/>
            <w:lang w:val="es-ES"/>
          </w:rPr>
          <w:t>C26/70</w:t>
        </w:r>
      </w:hyperlink>
      <w:r w:rsidR="000719A0" w:rsidRPr="001D759A">
        <w:rPr>
          <w:lang w:val="es-ES"/>
        </w:rPr>
        <w:t>)</w:t>
      </w:r>
    </w:p>
    <w:p w14:paraId="53875769" w14:textId="5821E554" w:rsidR="00F70066" w:rsidRPr="001D759A" w:rsidRDefault="00393A84" w:rsidP="00393A84">
      <w:pPr>
        <w:pStyle w:val="Heading1"/>
        <w:spacing w:before="160"/>
        <w:rPr>
          <w:lang w:val="es-ES"/>
        </w:rPr>
      </w:pPr>
      <w:r>
        <w:rPr>
          <w:lang w:val="es-ES"/>
        </w:rPr>
        <w:tab/>
      </w:r>
      <w:proofErr w:type="spellStart"/>
      <w:r w:rsidR="00F70066" w:rsidRPr="00393A84">
        <w:t>Argumentos</w:t>
      </w:r>
      <w:proofErr w:type="spellEnd"/>
      <w:r w:rsidR="00F70066" w:rsidRPr="001D759A">
        <w:rPr>
          <w:lang w:val="es-ES"/>
        </w:rPr>
        <w:t xml:space="preserve"> en favor de la equidad regional y de unas condiciones propicias para una participación más amplia en la acogida de la Conferencia de Plenipotenciarios de </w:t>
      </w:r>
      <w:r w:rsidR="00103D78">
        <w:rPr>
          <w:lang w:val="es-ES"/>
        </w:rPr>
        <w:t>la UIT</w:t>
      </w:r>
      <w:r w:rsidR="00F70066" w:rsidRPr="001D759A">
        <w:rPr>
          <w:lang w:val="es-ES"/>
        </w:rPr>
        <w:t xml:space="preserve"> (Documento </w:t>
      </w:r>
      <w:hyperlink r:id="rId102" w:history="1">
        <w:r w:rsidR="00F70066" w:rsidRPr="001D759A">
          <w:rPr>
            <w:rStyle w:val="Hyperlink"/>
            <w:rFonts w:eastAsia="Times New Roman" w:cs="Times New Roman"/>
            <w:szCs w:val="20"/>
            <w:lang w:val="es-ES"/>
          </w:rPr>
          <w:t>C26/102</w:t>
        </w:r>
      </w:hyperlink>
      <w:r w:rsidR="00F70066" w:rsidRPr="001D759A">
        <w:rPr>
          <w:lang w:val="es-ES"/>
        </w:rPr>
        <w:t>)</w:t>
      </w:r>
    </w:p>
    <w:p w14:paraId="24155E9A" w14:textId="41D8EFC2" w:rsidR="005D14C0" w:rsidRPr="009D46C1" w:rsidRDefault="005D14C0" w:rsidP="005D14C0">
      <w:pPr>
        <w:rPr>
          <w:lang w:val="es-ES"/>
        </w:rPr>
      </w:pPr>
      <w:r>
        <w:rPr>
          <w:lang w:val="es-ES"/>
        </w:rPr>
        <w:t>25.1</w:t>
      </w:r>
      <w:r>
        <w:rPr>
          <w:lang w:val="es-ES"/>
        </w:rPr>
        <w:tab/>
        <w:t xml:space="preserve">Una representante de la Secretaría General presentó el Documento C26/70, en el que se proponía un marco para el proceso de selección de los países anfitriones de las principales conferencias y asambleas de </w:t>
      </w:r>
      <w:r w:rsidR="00103D78">
        <w:rPr>
          <w:lang w:val="es-ES"/>
        </w:rPr>
        <w:t>la UIT</w:t>
      </w:r>
      <w:r>
        <w:rPr>
          <w:lang w:val="es-ES"/>
        </w:rPr>
        <w:t xml:space="preserve">. El proceso consistía </w:t>
      </w:r>
      <w:r w:rsidR="00F10968">
        <w:rPr>
          <w:lang w:val="es-ES"/>
        </w:rPr>
        <w:t xml:space="preserve">en </w:t>
      </w:r>
      <w:r w:rsidR="00D53D1E">
        <w:rPr>
          <w:lang w:val="es-ES"/>
        </w:rPr>
        <w:t xml:space="preserve">emitir un llamamiento para la presentación de propuestas para acoger una conferencia o asamblea con cuatro años de antelación </w:t>
      </w:r>
      <w:r>
        <w:rPr>
          <w:lang w:val="es-ES"/>
        </w:rPr>
        <w:t>en una carta circular en la que se solicitaban manifestaciones de interés, consultas con la Secretaría, la presentación de propuestas formales, un periodo de debida diligencia con un informe de la Secretaría, la selección del país anfitrión por el Consejo o la Conferencia de Plenipotenciarios tres años antes del evento correspondiente, y la finalización y firma del acuerdo con el país anfitrión. En el documento se indicaba el cost</w:t>
      </w:r>
      <w:r w:rsidR="000475AF">
        <w:rPr>
          <w:lang w:val="es-ES"/>
        </w:rPr>
        <w:t>e</w:t>
      </w:r>
      <w:r>
        <w:rPr>
          <w:lang w:val="es-ES"/>
        </w:rPr>
        <w:t xml:space="preserve"> genérico de acoger una conferencia o asamblea de </w:t>
      </w:r>
      <w:r w:rsidR="00103D78">
        <w:rPr>
          <w:lang w:val="es-ES"/>
        </w:rPr>
        <w:t>la UIT</w:t>
      </w:r>
      <w:r>
        <w:rPr>
          <w:lang w:val="es-ES"/>
        </w:rPr>
        <w:t xml:space="preserve">. El portal web del país anfitrión de </w:t>
      </w:r>
      <w:r w:rsidR="00103D78">
        <w:rPr>
          <w:lang w:val="es-ES"/>
        </w:rPr>
        <w:t>la UIT</w:t>
      </w:r>
      <w:r>
        <w:rPr>
          <w:lang w:val="es-ES"/>
        </w:rPr>
        <w:t xml:space="preserve"> estaba disponible y se actualizaría según correspondiese. Podía encontrarse más información al respecto en el Documento </w:t>
      </w:r>
      <w:hyperlink r:id="rId103" w:history="1">
        <w:r w:rsidRPr="00A8211E">
          <w:rPr>
            <w:rStyle w:val="Hyperlink"/>
            <w:lang w:val="es-ES"/>
          </w:rPr>
          <w:t>C26/INF/4</w:t>
        </w:r>
      </w:hyperlink>
      <w:r>
        <w:rPr>
          <w:lang w:val="es-ES"/>
        </w:rPr>
        <w:t>.</w:t>
      </w:r>
      <w:hyperlink r:id="rId104" w:history="1"/>
    </w:p>
    <w:p w14:paraId="62DB0A7E" w14:textId="409C210B" w:rsidR="005D14C0" w:rsidRPr="009D46C1" w:rsidRDefault="005D14C0" w:rsidP="005D14C0">
      <w:pPr>
        <w:rPr>
          <w:lang w:val="es-ES"/>
        </w:rPr>
      </w:pPr>
      <w:r>
        <w:rPr>
          <w:lang w:val="es-ES"/>
        </w:rPr>
        <w:t>25.2</w:t>
      </w:r>
      <w:r w:rsidR="00141196">
        <w:rPr>
          <w:lang w:val="es-ES"/>
        </w:rPr>
        <w:tab/>
        <w:t>E</w:t>
      </w:r>
      <w:r>
        <w:rPr>
          <w:lang w:val="es-ES"/>
        </w:rPr>
        <w:t>l consejero de Sudáfrica presentó la contribución multipaís incluida en el Documento</w:t>
      </w:r>
      <w:r w:rsidR="00062836">
        <w:rPr>
          <w:lang w:val="es-ES"/>
        </w:rPr>
        <w:t> </w:t>
      </w:r>
      <w:r>
        <w:rPr>
          <w:lang w:val="es-ES"/>
        </w:rPr>
        <w:t xml:space="preserve">C26/102 en nombre de cuatro países. Su objetivo era reforzar el proceso de selección propuesto en el Documento C26/70 y establecer las condiciones prácticas propicias necesarias para una participación más amplia de los Estados Miembros, en particular los países en desarrollo, como solicitó el GTC-RHF en enero de 2026. Facilitar una participación más amplia en la celebración de reuniones de alto nivel era coherente con los principios de equidad, inclusión y compromiso mundial que sustentaban la labor de </w:t>
      </w:r>
      <w:r w:rsidR="00103D78">
        <w:rPr>
          <w:lang w:val="es-ES"/>
        </w:rPr>
        <w:t>la UIT</w:t>
      </w:r>
      <w:r>
        <w:rPr>
          <w:lang w:val="es-ES"/>
        </w:rPr>
        <w:t>.</w:t>
      </w:r>
    </w:p>
    <w:p w14:paraId="082E67BB" w14:textId="7A7C658F" w:rsidR="005D14C0" w:rsidRPr="009D46C1" w:rsidRDefault="005D14C0" w:rsidP="005D14C0">
      <w:pPr>
        <w:rPr>
          <w:lang w:val="es-ES"/>
        </w:rPr>
      </w:pPr>
      <w:r>
        <w:rPr>
          <w:lang w:val="es-ES"/>
        </w:rPr>
        <w:t>25.3</w:t>
      </w:r>
      <w:r>
        <w:rPr>
          <w:lang w:val="es-ES"/>
        </w:rPr>
        <w:tab/>
        <w:t xml:space="preserve">Los consejeros expresaron su apoyo al marco propuesto, que reflejaba los debates del GTC-RHF y las perspectivas y preocupaciones de los Estados Miembros. La contribución multipaís se consideró una adición constructiva al desarrollo de un proceso de selección. Los consejeros destacaron la importancia de respetar los principios de apertura, transparencia y rendición de cuentas en el proceso de selección para alentar a un mayor número de Estados </w:t>
      </w:r>
      <w:r>
        <w:rPr>
          <w:lang w:val="es-ES"/>
        </w:rPr>
        <w:lastRenderedPageBreak/>
        <w:t xml:space="preserve">Miembros a participar y para reducir las cargas financieras que suponía la acogida. Se acogió con beneplácito la mejora de la accesibilidad de la información a través del portal web, que ayudaría a los Estados Miembros a adoptar decisiones. </w:t>
      </w:r>
    </w:p>
    <w:p w14:paraId="774E303F" w14:textId="77777777" w:rsidR="005D14C0" w:rsidRPr="009D46C1" w:rsidRDefault="005D14C0" w:rsidP="005D14C0">
      <w:pPr>
        <w:rPr>
          <w:lang w:val="es-ES"/>
        </w:rPr>
      </w:pPr>
      <w:r>
        <w:rPr>
          <w:lang w:val="es-ES"/>
        </w:rPr>
        <w:t>25.4</w:t>
      </w:r>
      <w:r>
        <w:rPr>
          <w:lang w:val="es-ES"/>
        </w:rPr>
        <w:tab/>
        <w:t xml:space="preserve">Numerosos consejeros se congratularon de la claridad de los plazos y requisitos establecidos en el marco propuesto, e insistieron en la importancia de evaluar objetivamente las propuestas sobre la base de criterios conocidos de antemano, manteniendo un equilibrio entre la planificación temprana y la participación más amplia posible de los Estados Miembros. El marco debería ser lo suficientemente sólido como para abordar las pocas situaciones en las que se presentaban múltiples candidaturas para un evento; en esos casos, podría utilizarse el equilibrio geográfico como factor decisivo. Un consejero propuso que el proceso de selección aplicado en virtud de la derogada Resolución 11 (Rev. Dubái, 2018), sobre los eventos ITU Telecom, sirviese de punto de referencia útil sobre cómo aplicar en la práctica criterios estructurados y basados en reglas. </w:t>
      </w:r>
    </w:p>
    <w:p w14:paraId="0D9DCD63" w14:textId="77777777" w:rsidR="005D14C0" w:rsidRPr="009D46C1" w:rsidRDefault="005D14C0" w:rsidP="005D14C0">
      <w:pPr>
        <w:rPr>
          <w:lang w:val="es-ES"/>
        </w:rPr>
      </w:pPr>
      <w:r>
        <w:rPr>
          <w:lang w:val="es-ES"/>
        </w:rPr>
        <w:t>25.5</w:t>
      </w:r>
      <w:r>
        <w:rPr>
          <w:lang w:val="es-ES"/>
        </w:rPr>
        <w:tab/>
        <w:t xml:space="preserve">Muchos consejeros insistieron en la importancia de aplicar efectivamente el principio de rotación geográfica en la selección de los anfitriones, teniendo en cuenta el interés y la disposición de los Estados Miembros a presentar candidaturas, así como su capacidad para cumplir los requisitos pertinentes. Con todo, se temía que un enfoque excesivamente rígido o muy formalizado pudiera limitar involuntariamente la participación de los países en desarrollo. La flexibilidad en la aplicación de los requisitos y los esfuerzos constantes para reducir la carga financiera de los países anfitriones eran cruciales en ese contexto. </w:t>
      </w:r>
    </w:p>
    <w:p w14:paraId="79DD0309" w14:textId="77777777" w:rsidR="005D14C0" w:rsidRPr="009D46C1" w:rsidRDefault="005D14C0" w:rsidP="005D14C0">
      <w:pPr>
        <w:rPr>
          <w:lang w:val="es-ES"/>
        </w:rPr>
      </w:pPr>
      <w:r>
        <w:rPr>
          <w:lang w:val="es-ES"/>
        </w:rPr>
        <w:t>25.6</w:t>
      </w:r>
      <w:r>
        <w:rPr>
          <w:lang w:val="es-ES"/>
        </w:rPr>
        <w:tab/>
        <w:t>Un consejero propuso que se mejorase aún más el calendario propuesto en el marco: se seleccionaría al anfitrión tres años antes de que se celebrase el evento; era costumbre, por ejemplo, que una Conferencia de Plenipotenciarios concluyese con el anuncio del anfitrión de la conferencia siguiente.</w:t>
      </w:r>
    </w:p>
    <w:p w14:paraId="2ECA79B0" w14:textId="53EDD6C8" w:rsidR="005D14C0" w:rsidRPr="009D46C1" w:rsidRDefault="005D14C0" w:rsidP="005D14C0">
      <w:pPr>
        <w:rPr>
          <w:lang w:val="es-ES"/>
        </w:rPr>
      </w:pPr>
      <w:r>
        <w:rPr>
          <w:lang w:val="es-ES"/>
        </w:rPr>
        <w:t>25.7</w:t>
      </w:r>
      <w:r>
        <w:rPr>
          <w:lang w:val="es-ES"/>
        </w:rPr>
        <w:tab/>
        <w:t xml:space="preserve">Otro consejero propuso que, para reforzar el marco, en la PP-26 se reuniese información adicional, entre otras cosas, sobre el número de asistentes a las distintas reuniones. Esos datos </w:t>
      </w:r>
      <w:r w:rsidR="00D53D1E">
        <w:rPr>
          <w:lang w:val="es-ES"/>
        </w:rPr>
        <w:t xml:space="preserve">permitirían definir una serie de requisitos, como el número y la capacidad de las salas, y </w:t>
      </w:r>
      <w:r>
        <w:rPr>
          <w:lang w:val="es-ES"/>
        </w:rPr>
        <w:t>podrían utilizarse para elaborar un instrumento con más información estadística que sirviese de ayuda a los posibles países anfitriones, en particular en lo que respectaba a los gastos.</w:t>
      </w:r>
    </w:p>
    <w:p w14:paraId="28AB33B9" w14:textId="77777777" w:rsidR="005D14C0" w:rsidRPr="009D46C1" w:rsidRDefault="005D14C0" w:rsidP="005D14C0">
      <w:pPr>
        <w:rPr>
          <w:lang w:val="es-ES"/>
        </w:rPr>
      </w:pPr>
      <w:r>
        <w:rPr>
          <w:lang w:val="es-ES"/>
        </w:rPr>
        <w:t>25.8</w:t>
      </w:r>
      <w:r>
        <w:rPr>
          <w:lang w:val="es-ES"/>
        </w:rPr>
        <w:tab/>
        <w:t>Se aconsejó además la aplicación inmediata del marco propuesto como medida provisional, y que la PP-26 pudiese seguir los debates al respecto para perfeccionar y reforzar el proceso de selección, de ser necesario.</w:t>
      </w:r>
    </w:p>
    <w:p w14:paraId="4566CBAD" w14:textId="1007A95D" w:rsidR="00E1594D" w:rsidRPr="001D759A" w:rsidRDefault="005D14C0" w:rsidP="005D14C0">
      <w:pPr>
        <w:rPr>
          <w:lang w:val="es-ES"/>
        </w:rPr>
      </w:pPr>
      <w:r>
        <w:rPr>
          <w:lang w:val="es-ES"/>
        </w:rPr>
        <w:t>25.9</w:t>
      </w:r>
      <w:r>
        <w:rPr>
          <w:lang w:val="es-ES"/>
        </w:rPr>
        <w:tab/>
        <w:t>La representante de la Secretaría General tomó nota de las opiniones de los consejeros sobre la importancia del principio de rotación geográfica y la reducción de la carga de acoger una conferencia. Toda la información pertinente podría cargarse en el portal web lo antes posible. En respuesta a una pregunta de un consejero, la representante declaró que, en caso de que dos candidatos igualmente cualificados se presentasen como candidatos para acoger un evento</w:t>
      </w:r>
      <w:r w:rsidR="0034207A">
        <w:rPr>
          <w:lang w:val="es-ES"/>
        </w:rPr>
        <w:t>, l</w:t>
      </w:r>
      <w:r w:rsidR="00D53D1E">
        <w:rPr>
          <w:lang w:val="es-ES"/>
        </w:rPr>
        <w:t xml:space="preserve">os Estados Miembros podrían proponer criterios de selección más específicos y </w:t>
      </w:r>
      <w:r>
        <w:rPr>
          <w:lang w:val="es-ES"/>
        </w:rPr>
        <w:t xml:space="preserve">se </w:t>
      </w:r>
      <w:r w:rsidR="00D53D1E">
        <w:rPr>
          <w:lang w:val="es-ES"/>
        </w:rPr>
        <w:t xml:space="preserve">les </w:t>
      </w:r>
      <w:r>
        <w:rPr>
          <w:lang w:val="es-ES"/>
        </w:rPr>
        <w:t>pediría que tomasen una decisión en una reunión del Consejo o de la Conferencia de Plenipotenciarios.</w:t>
      </w:r>
    </w:p>
    <w:p w14:paraId="1C6D6281" w14:textId="2C0CEE66" w:rsidR="00F70066" w:rsidRPr="001D759A" w:rsidRDefault="00F70066" w:rsidP="00490FED">
      <w:pPr>
        <w:keepNext/>
        <w:keepLines/>
        <w:tabs>
          <w:tab w:val="clear" w:pos="567"/>
          <w:tab w:val="left" w:pos="709"/>
        </w:tabs>
        <w:spacing w:after="120"/>
        <w:rPr>
          <w:lang w:val="es-ES"/>
        </w:rPr>
      </w:pPr>
      <w:r w:rsidRPr="001D759A">
        <w:rPr>
          <w:lang w:val="es-ES"/>
        </w:rPr>
        <w:lastRenderedPageBreak/>
        <w:t>2</w:t>
      </w:r>
      <w:r w:rsidR="00D5731C" w:rsidRPr="001D759A">
        <w:rPr>
          <w:lang w:val="es-ES"/>
        </w:rPr>
        <w:t>5</w:t>
      </w:r>
      <w:r w:rsidRPr="001D759A">
        <w:rPr>
          <w:lang w:val="es-ES"/>
        </w:rPr>
        <w:t>.</w:t>
      </w:r>
      <w:r w:rsidR="00E1594D">
        <w:rPr>
          <w:lang w:val="es-ES"/>
        </w:rPr>
        <w:t>10</w:t>
      </w:r>
      <w:r w:rsidRPr="001D759A">
        <w:rPr>
          <w:lang w:val="es-ES"/>
        </w:rPr>
        <w:tab/>
        <w:t xml:space="preserve">La Comisión </w:t>
      </w:r>
      <w:r w:rsidRPr="001D759A">
        <w:rPr>
          <w:b/>
          <w:bCs/>
          <w:lang w:val="es-ES"/>
        </w:rPr>
        <w:t>acordó</w:t>
      </w:r>
      <w:r w:rsidRPr="001D759A">
        <w:rPr>
          <w:lang w:val="es-ES"/>
        </w:rPr>
        <w:t xml:space="preserve"> llegar a la siguiente conclusión:</w:t>
      </w:r>
    </w:p>
    <w:tbl>
      <w:tblPr>
        <w:tblStyle w:val="TableGrid"/>
        <w:tblW w:w="5000" w:type="pct"/>
        <w:tblInd w:w="-147" w:type="dxa"/>
        <w:tblLook w:val="04A0" w:firstRow="1" w:lastRow="0" w:firstColumn="1" w:lastColumn="0" w:noHBand="0" w:noVBand="1"/>
      </w:tblPr>
      <w:tblGrid>
        <w:gridCol w:w="9061"/>
      </w:tblGrid>
      <w:tr w:rsidR="00F70066" w:rsidRPr="000910BA" w14:paraId="248ADB57" w14:textId="77777777" w:rsidTr="00950DAB">
        <w:tc>
          <w:tcPr>
            <w:tcW w:w="9350" w:type="dxa"/>
            <w:hideMark/>
          </w:tcPr>
          <w:p w14:paraId="2B68BE70" w14:textId="0722790E" w:rsidR="00F70066" w:rsidRPr="001D759A" w:rsidRDefault="00F70066" w:rsidP="00490FED">
            <w:pPr>
              <w:keepNext/>
              <w:keepLines/>
              <w:tabs>
                <w:tab w:val="clear" w:pos="567"/>
                <w:tab w:val="left" w:pos="743"/>
              </w:tabs>
              <w:ind w:left="34"/>
              <w:rPr>
                <w:lang w:val="es-ES"/>
              </w:rPr>
            </w:pPr>
            <w:r w:rsidRPr="001D759A">
              <w:rPr>
                <w:rFonts w:eastAsia="Calibri" w:cs="Calibri"/>
                <w:lang w:val="es-ES"/>
              </w:rPr>
              <w:t>2</w:t>
            </w:r>
            <w:r w:rsidR="00D5731C" w:rsidRPr="001D759A">
              <w:rPr>
                <w:rFonts w:eastAsia="Calibri" w:cs="Calibri"/>
                <w:lang w:val="es-ES"/>
              </w:rPr>
              <w:t>5</w:t>
            </w:r>
            <w:r w:rsidRPr="001D759A">
              <w:rPr>
                <w:rFonts w:eastAsia="Calibri" w:cs="Calibri"/>
                <w:szCs w:val="24"/>
                <w:lang w:val="es-ES"/>
              </w:rPr>
              <w:t>.</w:t>
            </w:r>
            <w:r w:rsidR="00E1594D">
              <w:rPr>
                <w:rFonts w:eastAsia="Calibri" w:cs="Calibri"/>
                <w:szCs w:val="24"/>
                <w:lang w:val="es-ES"/>
              </w:rPr>
              <w:t>11</w:t>
            </w:r>
            <w:r w:rsidRPr="001D759A">
              <w:rPr>
                <w:lang w:val="es-ES"/>
              </w:rPr>
              <w:tab/>
              <w:t>La Comisión recomienda al Consejo que:</w:t>
            </w:r>
          </w:p>
          <w:p w14:paraId="4FB8D716" w14:textId="396E2B99" w:rsidR="00E1594D" w:rsidRPr="009D46C1" w:rsidRDefault="00E1594D" w:rsidP="00490FED">
            <w:pPr>
              <w:pStyle w:val="enumlev1"/>
              <w:keepNext/>
              <w:keepLines/>
              <w:tabs>
                <w:tab w:val="clear" w:pos="567"/>
              </w:tabs>
              <w:ind w:left="749" w:hanging="709"/>
              <w:rPr>
                <w:lang w:val="es-ES"/>
              </w:rPr>
            </w:pPr>
            <w:r w:rsidRPr="001D759A">
              <w:rPr>
                <w:lang w:val="es-ES"/>
              </w:rPr>
              <w:t>•</w:t>
            </w:r>
            <w:r w:rsidRPr="001D759A">
              <w:rPr>
                <w:lang w:val="es-ES"/>
              </w:rPr>
              <w:tab/>
            </w:r>
            <w:r>
              <w:rPr>
                <w:lang w:val="es-ES"/>
              </w:rPr>
              <w:t xml:space="preserve">tome nota del </w:t>
            </w:r>
            <w:r w:rsidRPr="009D46C1">
              <w:rPr>
                <w:lang w:val="es-ES"/>
              </w:rPr>
              <w:t>marco propuesto que figura en el Documento C26/70 y de la contribución multipaís contenida en el Documento C26/102</w:t>
            </w:r>
            <w:r w:rsidR="002E1D86">
              <w:rPr>
                <w:lang w:val="es-ES"/>
              </w:rPr>
              <w:t>;</w:t>
            </w:r>
          </w:p>
          <w:p w14:paraId="6C5EA4C7" w14:textId="2F2F020B" w:rsidR="00F70066" w:rsidRPr="001D759A" w:rsidRDefault="0060644D" w:rsidP="00490FED">
            <w:pPr>
              <w:pStyle w:val="enumlev1"/>
              <w:keepNext/>
              <w:keepLines/>
              <w:tabs>
                <w:tab w:val="clear" w:pos="567"/>
              </w:tabs>
              <w:ind w:left="749" w:hanging="709"/>
              <w:rPr>
                <w:lang w:val="es-ES"/>
              </w:rPr>
            </w:pPr>
            <w:r w:rsidRPr="001D759A">
              <w:rPr>
                <w:lang w:val="es-ES"/>
              </w:rPr>
              <w:t>•</w:t>
            </w:r>
            <w:r w:rsidRPr="001D759A">
              <w:rPr>
                <w:lang w:val="es-ES"/>
              </w:rPr>
              <w:tab/>
            </w:r>
            <w:r w:rsidR="008207A1" w:rsidRPr="001D759A">
              <w:rPr>
                <w:lang w:val="es-ES"/>
              </w:rPr>
              <w:t xml:space="preserve">solicite a la Secretaría General </w:t>
            </w:r>
            <w:r w:rsidR="005D14C0">
              <w:rPr>
                <w:lang w:val="es-ES"/>
              </w:rPr>
              <w:t>que aplique</w:t>
            </w:r>
            <w:r w:rsidR="008207A1" w:rsidRPr="001D759A">
              <w:rPr>
                <w:lang w:val="es-ES"/>
              </w:rPr>
              <w:t xml:space="preserve">, en un primer momento, el marco del proceso de selección definido en el Documento </w:t>
            </w:r>
            <w:hyperlink r:id="rId105" w:history="1">
              <w:r w:rsidR="008207A1" w:rsidRPr="001D759A">
                <w:rPr>
                  <w:rStyle w:val="Hyperlink"/>
                  <w:lang w:val="es-ES"/>
                </w:rPr>
                <w:t>C26/70</w:t>
              </w:r>
            </w:hyperlink>
            <w:r w:rsidR="008207A1" w:rsidRPr="001D759A">
              <w:rPr>
                <w:lang w:val="es-ES"/>
              </w:rPr>
              <w:t xml:space="preserve">, habida cuenta del </w:t>
            </w:r>
            <w:r w:rsidR="00EF6330" w:rsidRPr="001D759A">
              <w:rPr>
                <w:lang w:val="es-ES"/>
              </w:rPr>
              <w:t>D</w:t>
            </w:r>
            <w:r w:rsidR="008207A1" w:rsidRPr="001D759A">
              <w:rPr>
                <w:lang w:val="es-ES"/>
              </w:rPr>
              <w:t xml:space="preserve">ocumento </w:t>
            </w:r>
            <w:hyperlink r:id="rId106" w:history="1">
              <w:r w:rsidR="008207A1" w:rsidRPr="001D759A">
                <w:rPr>
                  <w:rStyle w:val="Hyperlink"/>
                  <w:lang w:val="es-ES"/>
                </w:rPr>
                <w:t>C26/102</w:t>
              </w:r>
            </w:hyperlink>
            <w:r w:rsidR="002E1D86" w:rsidRPr="002E1D86">
              <w:rPr>
                <w:lang w:val="es-ES"/>
              </w:rPr>
              <w:t>;</w:t>
            </w:r>
            <w:r w:rsidR="00F70066" w:rsidRPr="001D759A">
              <w:rPr>
                <w:lang w:val="es-ES"/>
              </w:rPr>
              <w:t xml:space="preserve"> </w:t>
            </w:r>
            <w:r w:rsidR="008207A1" w:rsidRPr="001D759A">
              <w:rPr>
                <w:lang w:val="es-ES"/>
              </w:rPr>
              <w:t>e</w:t>
            </w:r>
          </w:p>
          <w:p w14:paraId="05E45B2F" w14:textId="12D27BBD" w:rsidR="00F70066" w:rsidRPr="001D759A" w:rsidRDefault="00F70066" w:rsidP="00490FED">
            <w:pPr>
              <w:pStyle w:val="enumlev1"/>
              <w:keepNext/>
              <w:keepLines/>
              <w:tabs>
                <w:tab w:val="clear" w:pos="567"/>
              </w:tabs>
              <w:spacing w:after="120"/>
              <w:ind w:left="749" w:hanging="709"/>
              <w:rPr>
                <w:lang w:val="es-ES"/>
              </w:rPr>
            </w:pPr>
            <w:r w:rsidRPr="001D759A">
              <w:rPr>
                <w:lang w:val="es-ES"/>
              </w:rPr>
              <w:t>•</w:t>
            </w:r>
            <w:r w:rsidRPr="001D759A">
              <w:rPr>
                <w:lang w:val="es-ES"/>
              </w:rPr>
              <w:tab/>
            </w:r>
            <w:r w:rsidR="008207A1" w:rsidRPr="001D759A">
              <w:rPr>
                <w:lang w:val="es-ES"/>
              </w:rPr>
              <w:t xml:space="preserve">invite a la Conferencia de Plenipotenciarios (Doha, 2026) a seguir </w:t>
            </w:r>
            <w:r w:rsidR="005D14C0">
              <w:rPr>
                <w:lang w:val="es-ES"/>
              </w:rPr>
              <w:t>examinando</w:t>
            </w:r>
            <w:r w:rsidR="005D14C0" w:rsidRPr="001D759A">
              <w:rPr>
                <w:lang w:val="es-ES"/>
              </w:rPr>
              <w:t xml:space="preserve"> </w:t>
            </w:r>
            <w:r w:rsidR="008207A1" w:rsidRPr="001D759A">
              <w:rPr>
                <w:lang w:val="es-ES"/>
              </w:rPr>
              <w:t xml:space="preserve">este asunto </w:t>
            </w:r>
            <w:r w:rsidR="005D14C0">
              <w:rPr>
                <w:lang w:val="es-ES"/>
              </w:rPr>
              <w:t>con el</w:t>
            </w:r>
            <w:r w:rsidR="005D14C0" w:rsidRPr="001D759A">
              <w:rPr>
                <w:lang w:val="es-ES"/>
              </w:rPr>
              <w:t xml:space="preserve"> </w:t>
            </w:r>
            <w:r w:rsidR="008207A1" w:rsidRPr="001D759A">
              <w:rPr>
                <w:lang w:val="es-ES"/>
              </w:rPr>
              <w:t xml:space="preserve">fin de </w:t>
            </w:r>
            <w:r w:rsidR="005D14C0">
              <w:rPr>
                <w:lang w:val="es-ES"/>
              </w:rPr>
              <w:t>perfeccionar</w:t>
            </w:r>
            <w:r w:rsidR="005D14C0" w:rsidRPr="001D759A">
              <w:rPr>
                <w:lang w:val="es-ES"/>
              </w:rPr>
              <w:t xml:space="preserve"> </w:t>
            </w:r>
            <w:r w:rsidR="008207A1" w:rsidRPr="001D759A">
              <w:rPr>
                <w:lang w:val="es-ES"/>
              </w:rPr>
              <w:t xml:space="preserve">y reforzar el proceso </w:t>
            </w:r>
            <w:r w:rsidR="005D14C0">
              <w:rPr>
                <w:lang w:val="es-ES"/>
              </w:rPr>
              <w:t>en el futuro</w:t>
            </w:r>
            <w:r w:rsidR="008207A1" w:rsidRPr="001D759A">
              <w:rPr>
                <w:lang w:val="es-ES"/>
              </w:rPr>
              <w:t xml:space="preserve">, si </w:t>
            </w:r>
            <w:r w:rsidR="005D14C0">
              <w:rPr>
                <w:lang w:val="es-ES"/>
              </w:rPr>
              <w:t>fuera necesario</w:t>
            </w:r>
            <w:r w:rsidRPr="001D759A">
              <w:rPr>
                <w:rFonts w:cs="Calibri"/>
                <w:szCs w:val="24"/>
                <w:lang w:val="es-ES"/>
              </w:rPr>
              <w:t>.</w:t>
            </w:r>
          </w:p>
        </w:tc>
      </w:tr>
    </w:tbl>
    <w:p w14:paraId="7E0D5418" w14:textId="315B30A7" w:rsidR="00F70066" w:rsidRPr="001D759A" w:rsidRDefault="00F70066" w:rsidP="00F70066">
      <w:pPr>
        <w:pStyle w:val="Heading1"/>
        <w:rPr>
          <w:lang w:val="es-ES"/>
        </w:rPr>
      </w:pPr>
      <w:r w:rsidRPr="001D759A">
        <w:rPr>
          <w:lang w:val="es-ES"/>
        </w:rPr>
        <w:t>2</w:t>
      </w:r>
      <w:r w:rsidR="00D5731C" w:rsidRPr="001D759A">
        <w:rPr>
          <w:lang w:val="es-ES"/>
        </w:rPr>
        <w:t>6</w:t>
      </w:r>
      <w:r w:rsidRPr="001D759A">
        <w:rPr>
          <w:lang w:val="es-ES"/>
        </w:rPr>
        <w:tab/>
        <w:t xml:space="preserve">Actualización de las medidas para reducir la carga financiera de los países anfitriones de las conferencias, reuniones y actividades de </w:t>
      </w:r>
      <w:r w:rsidR="00103D78">
        <w:rPr>
          <w:lang w:val="es-ES"/>
        </w:rPr>
        <w:t>la UIT</w:t>
      </w:r>
      <w:r w:rsidRPr="001D759A">
        <w:rPr>
          <w:lang w:val="es-ES"/>
        </w:rPr>
        <w:t xml:space="preserve"> (Documento </w:t>
      </w:r>
      <w:hyperlink r:id="rId107" w:history="1">
        <w:r w:rsidRPr="001D759A">
          <w:rPr>
            <w:rStyle w:val="Hyperlink"/>
            <w:rFonts w:eastAsia="Times New Roman" w:cs="Times New Roman"/>
            <w:bCs/>
            <w:szCs w:val="20"/>
            <w:lang w:val="es-ES"/>
          </w:rPr>
          <w:t>C26/71</w:t>
        </w:r>
      </w:hyperlink>
      <w:r w:rsidRPr="001D759A">
        <w:rPr>
          <w:lang w:val="es-ES"/>
        </w:rPr>
        <w:t>)</w:t>
      </w:r>
    </w:p>
    <w:p w14:paraId="422808C3" w14:textId="3A72C2D6" w:rsidR="00EB18A4" w:rsidRPr="0082151B" w:rsidRDefault="00EB18A4" w:rsidP="00EB18A4">
      <w:pPr>
        <w:rPr>
          <w:lang w:val="es-ES"/>
        </w:rPr>
      </w:pPr>
      <w:r>
        <w:rPr>
          <w:lang w:val="es-ES"/>
        </w:rPr>
        <w:t>26.1</w:t>
      </w:r>
      <w:r>
        <w:rPr>
          <w:lang w:val="es-ES"/>
        </w:rPr>
        <w:tab/>
        <w:t>Un representante de la Secretaría General presentó el Documento C26/71, en el que se proporcionaba información adicional sobre las tres propuestas presentadas en la reunión de 2025 del Consejo en el Documento</w:t>
      </w:r>
      <w:r w:rsidR="000475AF">
        <w:rPr>
          <w:lang w:val="es-ES"/>
        </w:rPr>
        <w:t xml:space="preserve"> </w:t>
      </w:r>
      <w:hyperlink r:id="rId108" w:history="1">
        <w:r w:rsidR="00254762" w:rsidRPr="00C52838">
          <w:rPr>
            <w:rStyle w:val="Hyperlink"/>
            <w:lang w:val="es-ES"/>
          </w:rPr>
          <w:t>C25/95</w:t>
        </w:r>
      </w:hyperlink>
      <w:r>
        <w:rPr>
          <w:lang w:val="es-ES"/>
        </w:rPr>
        <w:t xml:space="preserve">. Las propuestas se referían a la utilización de más recursos locales de interpretación y de servicios de interpretación simultánea a distancia (RSI, por sus siglas en inglés) para los eventos de </w:t>
      </w:r>
      <w:r w:rsidR="00103D78">
        <w:rPr>
          <w:lang w:val="es-ES"/>
        </w:rPr>
        <w:t>la UIT</w:t>
      </w:r>
      <w:r>
        <w:rPr>
          <w:lang w:val="es-ES"/>
        </w:rPr>
        <w:t>; la oferta local de equipos y dispositivos de TI, y el avance hacia un modelo de acreditación totalmente digital para conferencias a través de procesos simplificados e insignias digitales habilitadas.</w:t>
      </w:r>
    </w:p>
    <w:p w14:paraId="14E5046C" w14:textId="7F504FE1" w:rsidR="00EB18A4" w:rsidRPr="0082151B" w:rsidRDefault="00E96369" w:rsidP="00EB18A4">
      <w:pPr>
        <w:rPr>
          <w:lang w:val="es-ES"/>
        </w:rPr>
      </w:pPr>
      <w:r>
        <w:rPr>
          <w:lang w:val="es-ES"/>
        </w:rPr>
        <w:t>26.2</w:t>
      </w:r>
      <w:r>
        <w:rPr>
          <w:lang w:val="es-ES"/>
        </w:rPr>
        <w:tab/>
      </w:r>
      <w:r w:rsidR="00EB18A4">
        <w:rPr>
          <w:lang w:val="es-ES"/>
        </w:rPr>
        <w:t xml:space="preserve">Los consejeros expresaron su firme apoyo a todos los esfuerzos en curso para reducir las cargas financieras y operativas que suponía la celebración de eventos. El uso estratégico de la tecnología y de los recursos locales podría contribuir significativamente a reducir los </w:t>
      </w:r>
      <w:r w:rsidR="00C817F3">
        <w:rPr>
          <w:lang w:val="es-ES"/>
        </w:rPr>
        <w:t>costes</w:t>
      </w:r>
      <w:r w:rsidR="00EB18A4">
        <w:rPr>
          <w:lang w:val="es-ES"/>
        </w:rPr>
        <w:t xml:space="preserve"> para los países anfitriones, además de tener un efecto positivo en las economías locales. Estas medidas revestían particular importancia para las administraciones pequeñas y los PEID.</w:t>
      </w:r>
    </w:p>
    <w:p w14:paraId="30E76612" w14:textId="416DDF3C" w:rsidR="00EB18A4" w:rsidRPr="0082151B" w:rsidRDefault="00E96369" w:rsidP="00EB18A4">
      <w:pPr>
        <w:rPr>
          <w:lang w:val="es-ES"/>
        </w:rPr>
      </w:pPr>
      <w:r>
        <w:rPr>
          <w:lang w:val="es-ES"/>
        </w:rPr>
        <w:t>26.3</w:t>
      </w:r>
      <w:r>
        <w:rPr>
          <w:lang w:val="es-ES"/>
        </w:rPr>
        <w:tab/>
        <w:t>No obstante</w:t>
      </w:r>
      <w:r w:rsidR="00EB18A4">
        <w:rPr>
          <w:lang w:val="es-ES"/>
        </w:rPr>
        <w:t xml:space="preserve">, varios consejeros declararon que las propuestas no abarcaban necesariamente las partes más </w:t>
      </w:r>
      <w:r w:rsidR="00C817F3">
        <w:rPr>
          <w:lang w:val="es-ES"/>
        </w:rPr>
        <w:t>cost</w:t>
      </w:r>
      <w:r w:rsidR="00E71850">
        <w:rPr>
          <w:lang w:val="es-ES"/>
        </w:rPr>
        <w:t>os</w:t>
      </w:r>
      <w:r w:rsidR="00EB18A4">
        <w:rPr>
          <w:lang w:val="es-ES"/>
        </w:rPr>
        <w:t>as de la celebración de un evento. Se alentó a considerar propuestas audaces, tales como la de acortar la duración de los eventos o concertar arreglos de participación en la financiación de los gastos entre varios países anfitriones, las cuales tendrían probablemente un efecto más directo en la reducción de gastos.</w:t>
      </w:r>
    </w:p>
    <w:p w14:paraId="38439B47" w14:textId="6BF410E8" w:rsidR="00EB18A4" w:rsidRPr="0082151B" w:rsidRDefault="00E96369" w:rsidP="00EB18A4">
      <w:pPr>
        <w:rPr>
          <w:lang w:val="es-ES"/>
        </w:rPr>
      </w:pPr>
      <w:r>
        <w:rPr>
          <w:lang w:val="es-ES"/>
        </w:rPr>
        <w:t>26.4</w:t>
      </w:r>
      <w:r>
        <w:rPr>
          <w:lang w:val="es-ES"/>
        </w:rPr>
        <w:tab/>
      </w:r>
      <w:r w:rsidR="00EB18A4">
        <w:rPr>
          <w:lang w:val="es-ES"/>
        </w:rPr>
        <w:t xml:space="preserve">Varios consejeros declararon que la aplicación de las propuestas debería seguir siendo flexible para garantizar la participación equitativa de todos los delegados. Un enfoque híbrido para el suministro local de equipos e infraestructuras de TI permitiría al país anfitrión abastecerse de equipos locales cuando fuera posible y podría reducir significativamente los </w:t>
      </w:r>
      <w:r w:rsidR="00C817F3">
        <w:rPr>
          <w:lang w:val="es-ES"/>
        </w:rPr>
        <w:t>costes</w:t>
      </w:r>
      <w:r w:rsidR="00EB18A4">
        <w:rPr>
          <w:lang w:val="es-ES"/>
        </w:rPr>
        <w:t xml:space="preserve"> de envío y logística, al tiempo que estimulaba los ecosistemas digitales locales. Se señaló el impacto ambiental positivo del modelo de acreditación digital.</w:t>
      </w:r>
    </w:p>
    <w:p w14:paraId="14A8CB5C" w14:textId="34F3A494" w:rsidR="00EB18A4" w:rsidRPr="0082151B" w:rsidRDefault="00E96369" w:rsidP="00EB18A4">
      <w:pPr>
        <w:rPr>
          <w:lang w:val="es-ES"/>
        </w:rPr>
      </w:pPr>
      <w:r>
        <w:rPr>
          <w:lang w:val="es-ES"/>
        </w:rPr>
        <w:t>26.5</w:t>
      </w:r>
      <w:r>
        <w:rPr>
          <w:lang w:val="es-ES"/>
        </w:rPr>
        <w:tab/>
      </w:r>
      <w:r w:rsidR="00EB18A4">
        <w:rPr>
          <w:lang w:val="es-ES"/>
        </w:rPr>
        <w:t xml:space="preserve">Los consejeros acogieron con beneplácito la propuesta de utilizar en mayor medida los servicios locales de interpretación, siempre que se mantuviesen las normas de calidad. Aunque numerosos consejeros manifestaron su apoyo a la utilización de los servicios de RSI, </w:t>
      </w:r>
      <w:r w:rsidR="00EB18A4">
        <w:rPr>
          <w:lang w:val="es-ES"/>
        </w:rPr>
        <w:lastRenderedPageBreak/>
        <w:t xml:space="preserve">señalaron que sería útil proceder gradualmente, con criterios de preparación técnica claros, pruebas de entornos comparables y soluciones alternativas. Un consejero subrayó que era esencial evitar el simple traslado de </w:t>
      </w:r>
      <w:r w:rsidR="00C817F3">
        <w:rPr>
          <w:lang w:val="es-ES"/>
        </w:rPr>
        <w:t>costes</w:t>
      </w:r>
      <w:r w:rsidR="00EB18A4">
        <w:rPr>
          <w:lang w:val="es-ES"/>
        </w:rPr>
        <w:t xml:space="preserve"> de una partida a otra; por ejemplo, aunque el uso de RSI reduciría los </w:t>
      </w:r>
      <w:r w:rsidR="00C817F3">
        <w:rPr>
          <w:lang w:val="es-ES"/>
        </w:rPr>
        <w:t>costes</w:t>
      </w:r>
      <w:r w:rsidR="00EB18A4">
        <w:rPr>
          <w:lang w:val="es-ES"/>
        </w:rPr>
        <w:t xml:space="preserve"> de viaje y alojamiento, requeriría una mayor inversión en infraestructura técnica y conectividad confiable. Además, la utilización de RSI no era apropiada para todos los eventos. En cuanto a la interpretación basada en IA, se acogió con satisfacción el recelo de la Secretaría al respecto y su garantía de que no se utilizaría para reuniones formales.</w:t>
      </w:r>
    </w:p>
    <w:p w14:paraId="2A8E56B9" w14:textId="67AF6BBA" w:rsidR="00EB18A4" w:rsidRPr="0082151B" w:rsidRDefault="00E96369" w:rsidP="00EB18A4">
      <w:pPr>
        <w:rPr>
          <w:lang w:val="es-ES"/>
        </w:rPr>
      </w:pPr>
      <w:r>
        <w:rPr>
          <w:lang w:val="es-ES"/>
        </w:rPr>
        <w:t>26.6</w:t>
      </w:r>
      <w:r>
        <w:rPr>
          <w:lang w:val="es-ES"/>
        </w:rPr>
        <w:tab/>
      </w:r>
      <w:r w:rsidR="00EB18A4">
        <w:rPr>
          <w:lang w:val="es-ES"/>
        </w:rPr>
        <w:t xml:space="preserve">Varios consejeros deseaban saber más acerca de las repercusiones financieras de la aplicación de las propuestas. Se solicitó información sobre los ahorros estimados, los beneficios para </w:t>
      </w:r>
      <w:r w:rsidR="00103D78">
        <w:rPr>
          <w:lang w:val="es-ES"/>
        </w:rPr>
        <w:t>la UIT</w:t>
      </w:r>
      <w:r w:rsidR="00EB18A4">
        <w:rPr>
          <w:lang w:val="es-ES"/>
        </w:rPr>
        <w:t xml:space="preserve"> y el país anfitrión, los </w:t>
      </w:r>
      <w:r w:rsidR="00C817F3">
        <w:rPr>
          <w:lang w:val="es-ES"/>
        </w:rPr>
        <w:t>costes</w:t>
      </w:r>
      <w:r w:rsidR="00EB18A4">
        <w:rPr>
          <w:lang w:val="es-ES"/>
        </w:rPr>
        <w:t xml:space="preserve"> residuales para </w:t>
      </w:r>
      <w:r w:rsidR="00103D78">
        <w:rPr>
          <w:lang w:val="es-ES"/>
        </w:rPr>
        <w:t>la UIT</w:t>
      </w:r>
      <w:r w:rsidR="00EB18A4">
        <w:rPr>
          <w:lang w:val="es-ES"/>
        </w:rPr>
        <w:t xml:space="preserve"> y la posibilidad de que un país propusiese sus propias estrategias de reducción de </w:t>
      </w:r>
      <w:r w:rsidR="00C817F3">
        <w:rPr>
          <w:lang w:val="es-ES"/>
        </w:rPr>
        <w:t>costes</w:t>
      </w:r>
      <w:r w:rsidR="00EB18A4">
        <w:rPr>
          <w:lang w:val="es-ES"/>
        </w:rPr>
        <w:t xml:space="preserve"> para un evento en particular.</w:t>
      </w:r>
    </w:p>
    <w:p w14:paraId="31A1C9EE" w14:textId="243EFE89" w:rsidR="00EB18A4" w:rsidRPr="0082151B" w:rsidRDefault="00E96369" w:rsidP="00EB18A4">
      <w:pPr>
        <w:rPr>
          <w:lang w:val="es-ES"/>
        </w:rPr>
      </w:pPr>
      <w:r>
        <w:rPr>
          <w:lang w:val="es-ES"/>
        </w:rPr>
        <w:t>26.7</w:t>
      </w:r>
      <w:r>
        <w:rPr>
          <w:lang w:val="es-ES"/>
        </w:rPr>
        <w:tab/>
      </w:r>
      <w:r w:rsidR="00EB18A4">
        <w:rPr>
          <w:lang w:val="es-ES"/>
        </w:rPr>
        <w:t xml:space="preserve">La representante de la Secretaría General tomó nota del apoyo generalizado de los consejeros a la utilización de intérpretes locales y de servicios de RSI, y declaró que la Carta Circular </w:t>
      </w:r>
      <w:r w:rsidR="00A91E5B">
        <w:rPr>
          <w:lang w:val="es-ES"/>
        </w:rPr>
        <w:t>(</w:t>
      </w:r>
      <w:hyperlink r:id="rId109" w:history="1">
        <w:r w:rsidR="00254762" w:rsidRPr="00C52838">
          <w:rPr>
            <w:rStyle w:val="Hyperlink"/>
            <w:lang w:val="es-ES"/>
          </w:rPr>
          <w:t>CL-26/11</w:t>
        </w:r>
      </w:hyperlink>
      <w:r w:rsidR="00254762" w:rsidRPr="00C52838">
        <w:rPr>
          <w:lang w:val="es-ES"/>
        </w:rPr>
        <w:t>)</w:t>
      </w:r>
      <w:r w:rsidR="000475AF">
        <w:rPr>
          <w:lang w:val="es-ES"/>
        </w:rPr>
        <w:t xml:space="preserve"> </w:t>
      </w:r>
      <w:r w:rsidR="00EB18A4">
        <w:rPr>
          <w:lang w:val="es-ES"/>
        </w:rPr>
        <w:t xml:space="preserve">que se había enviado a los Estados Miembros y a las organizaciones regionales de telecomunicaciones tenía por objeto conseguir intérpretes de una calidad adecuada. Señaló que las cuestiones abordadas en las propuestas habían sido identificadas por el Consejo y el GTC-RHF; las oportunidades adicionales de reducir </w:t>
      </w:r>
      <w:r w:rsidR="00C817F3">
        <w:rPr>
          <w:lang w:val="es-ES"/>
        </w:rPr>
        <w:t>costes</w:t>
      </w:r>
      <w:r w:rsidR="00EB18A4">
        <w:rPr>
          <w:lang w:val="es-ES"/>
        </w:rPr>
        <w:t xml:space="preserve"> </w:t>
      </w:r>
      <w:r w:rsidR="00D53D1E">
        <w:rPr>
          <w:lang w:val="es-ES"/>
        </w:rPr>
        <w:t>se t</w:t>
      </w:r>
      <w:r w:rsidR="002E1D86">
        <w:rPr>
          <w:lang w:val="es-ES"/>
        </w:rPr>
        <w:t>enían</w:t>
      </w:r>
      <w:r w:rsidR="00D53D1E">
        <w:rPr>
          <w:lang w:val="es-ES"/>
        </w:rPr>
        <w:t xml:space="preserve"> en cuenta cuando es posible y las nuevas propuestas </w:t>
      </w:r>
      <w:r w:rsidR="00EB18A4">
        <w:rPr>
          <w:lang w:val="es-ES"/>
        </w:rPr>
        <w:t xml:space="preserve">siempre eran bienvenidas y podían ser debatidas por los consejeros. La representante destacó que la utilización de RSI no se limitaría a desplazar los </w:t>
      </w:r>
      <w:r w:rsidR="00C817F3">
        <w:rPr>
          <w:lang w:val="es-ES"/>
        </w:rPr>
        <w:t>costes</w:t>
      </w:r>
      <w:r w:rsidR="00EB18A4">
        <w:rPr>
          <w:lang w:val="es-ES"/>
        </w:rPr>
        <w:t xml:space="preserve"> de una partida a otra, y señaló que se traduciría en un ahorro del 20-25</w:t>
      </w:r>
      <w:r w:rsidR="005A1513">
        <w:rPr>
          <w:lang w:val="es-ES"/>
        </w:rPr>
        <w:t> </w:t>
      </w:r>
      <w:r w:rsidR="00EB18A4">
        <w:rPr>
          <w:lang w:val="es-ES"/>
        </w:rPr>
        <w:t xml:space="preserve">% en comparación con la utilización de intérpretes </w:t>
      </w:r>
      <w:r w:rsidR="00EB18A4">
        <w:rPr>
          <w:i/>
          <w:iCs/>
          <w:lang w:val="es-ES"/>
        </w:rPr>
        <w:t>in situ</w:t>
      </w:r>
      <w:r w:rsidR="00EB18A4">
        <w:rPr>
          <w:lang w:val="es-ES"/>
        </w:rPr>
        <w:t xml:space="preserve">, sin incluir la reducción de los gastos de viaje. En el informe de seguimiento a la reunión de 2027 del Consejo podría proporcionarse una evaluación adicional y más información sobre los </w:t>
      </w:r>
      <w:r w:rsidR="00C817F3">
        <w:rPr>
          <w:lang w:val="es-ES"/>
        </w:rPr>
        <w:t>costes</w:t>
      </w:r>
      <w:r w:rsidR="00EB18A4">
        <w:rPr>
          <w:lang w:val="es-ES"/>
        </w:rPr>
        <w:t>.</w:t>
      </w:r>
    </w:p>
    <w:p w14:paraId="638A0CBC" w14:textId="16E58089" w:rsidR="00F70066" w:rsidRPr="001D759A" w:rsidRDefault="00F70066" w:rsidP="00F70066">
      <w:pPr>
        <w:spacing w:after="120"/>
        <w:rPr>
          <w:lang w:val="es-ES"/>
        </w:rPr>
      </w:pPr>
      <w:r w:rsidRPr="001D759A">
        <w:rPr>
          <w:lang w:val="es-ES"/>
        </w:rPr>
        <w:t>2</w:t>
      </w:r>
      <w:r w:rsidR="00D5731C" w:rsidRPr="001D759A">
        <w:rPr>
          <w:lang w:val="es-ES"/>
        </w:rPr>
        <w:t>6</w:t>
      </w:r>
      <w:r w:rsidRPr="001D759A">
        <w:rPr>
          <w:lang w:val="es-ES"/>
        </w:rPr>
        <w:t>.</w:t>
      </w:r>
      <w:r w:rsidR="00E96369">
        <w:rPr>
          <w:lang w:val="es-ES"/>
        </w:rPr>
        <w:t>8</w:t>
      </w:r>
      <w:r w:rsidRPr="001D759A">
        <w:rPr>
          <w:lang w:val="es-ES"/>
        </w:rPr>
        <w:tab/>
        <w:t xml:space="preserve">La Comisión </w:t>
      </w:r>
      <w:r w:rsidRPr="001D759A">
        <w:rPr>
          <w:b/>
          <w:bCs/>
          <w:lang w:val="es-ES"/>
        </w:rPr>
        <w:t>acordó</w:t>
      </w:r>
      <w:r w:rsidRPr="001D759A">
        <w:rPr>
          <w:lang w:val="es-ES"/>
        </w:rPr>
        <w:t xml:space="preserve"> llegar a la siguiente conclusión:</w:t>
      </w:r>
    </w:p>
    <w:tbl>
      <w:tblPr>
        <w:tblStyle w:val="TableGrid"/>
        <w:tblW w:w="5000" w:type="pct"/>
        <w:tblInd w:w="-147" w:type="dxa"/>
        <w:tblLook w:val="04A0" w:firstRow="1" w:lastRow="0" w:firstColumn="1" w:lastColumn="0" w:noHBand="0" w:noVBand="1"/>
      </w:tblPr>
      <w:tblGrid>
        <w:gridCol w:w="9061"/>
      </w:tblGrid>
      <w:tr w:rsidR="00F70066" w:rsidRPr="0057685D" w14:paraId="0426AE32" w14:textId="77777777" w:rsidTr="00950DAB">
        <w:tc>
          <w:tcPr>
            <w:tcW w:w="9208" w:type="dxa"/>
            <w:hideMark/>
          </w:tcPr>
          <w:p w14:paraId="42178594" w14:textId="519821F1" w:rsidR="00F70066" w:rsidRPr="001D759A" w:rsidRDefault="00F70066" w:rsidP="008B73D9">
            <w:pPr>
              <w:tabs>
                <w:tab w:val="clear" w:pos="567"/>
                <w:tab w:val="left" w:pos="605"/>
              </w:tabs>
              <w:spacing w:after="80"/>
              <w:ind w:left="40"/>
              <w:rPr>
                <w:lang w:val="es-ES"/>
              </w:rPr>
            </w:pPr>
            <w:r w:rsidRPr="001D759A">
              <w:rPr>
                <w:rFonts w:eastAsia="Calibri" w:cs="Calibri"/>
                <w:lang w:val="es-ES"/>
              </w:rPr>
              <w:t>2</w:t>
            </w:r>
            <w:r w:rsidR="00D5731C" w:rsidRPr="001D759A">
              <w:rPr>
                <w:rFonts w:eastAsia="Calibri" w:cs="Calibri"/>
                <w:lang w:val="es-ES"/>
              </w:rPr>
              <w:t>6</w:t>
            </w:r>
            <w:r w:rsidRPr="001D759A">
              <w:rPr>
                <w:rFonts w:eastAsia="Calibri" w:cs="Calibri"/>
                <w:szCs w:val="24"/>
                <w:lang w:val="es-ES"/>
              </w:rPr>
              <w:t>.</w:t>
            </w:r>
            <w:r w:rsidR="005A1513">
              <w:rPr>
                <w:rFonts w:eastAsia="Calibri" w:cs="Calibri"/>
                <w:szCs w:val="24"/>
                <w:lang w:val="es-ES"/>
              </w:rPr>
              <w:t>9</w:t>
            </w:r>
            <w:r w:rsidRPr="001D759A">
              <w:rPr>
                <w:lang w:val="es-ES"/>
              </w:rPr>
              <w:tab/>
              <w:t>La Comisión recomienda al Consejo que:</w:t>
            </w:r>
          </w:p>
          <w:p w14:paraId="237B4B53" w14:textId="73266248" w:rsidR="00F70066" w:rsidRDefault="00F70066" w:rsidP="00F15C54">
            <w:pPr>
              <w:pStyle w:val="enumlev1"/>
              <w:tabs>
                <w:tab w:val="clear" w:pos="567"/>
              </w:tabs>
              <w:spacing w:after="120"/>
              <w:ind w:left="605"/>
              <w:rPr>
                <w:rFonts w:cs="Calibri"/>
                <w:szCs w:val="24"/>
                <w:lang w:val="es-ES"/>
              </w:rPr>
            </w:pPr>
            <w:r w:rsidRPr="001D759A">
              <w:rPr>
                <w:lang w:val="es-ES"/>
              </w:rPr>
              <w:t>•</w:t>
            </w:r>
            <w:r w:rsidRPr="001D759A">
              <w:rPr>
                <w:lang w:val="es-ES"/>
              </w:rPr>
              <w:tab/>
            </w:r>
            <w:r w:rsidR="00E96369" w:rsidRPr="00F15C54">
              <w:rPr>
                <w:rFonts w:eastAsia="Aptos"/>
                <w:lang w:val="es-ES"/>
              </w:rPr>
              <w:t>tome</w:t>
            </w:r>
            <w:r w:rsidR="00E96369">
              <w:rPr>
                <w:rFonts w:cs="Calibri"/>
                <w:szCs w:val="24"/>
                <w:lang w:val="es-ES"/>
              </w:rPr>
              <w:t xml:space="preserve"> nota del informe contenido en el Documento </w:t>
            </w:r>
            <w:hyperlink r:id="rId110" w:history="1">
              <w:r w:rsidR="00E96369" w:rsidRPr="00D53D1E">
                <w:rPr>
                  <w:rStyle w:val="Hyperlink"/>
                  <w:lang w:val="es-ES"/>
                </w:rPr>
                <w:t>C26/71</w:t>
              </w:r>
            </w:hyperlink>
            <w:r w:rsidR="005E0D5B" w:rsidRPr="004C0D99">
              <w:rPr>
                <w:lang w:val="es-ES"/>
              </w:rPr>
              <w:t>; y</w:t>
            </w:r>
          </w:p>
          <w:p w14:paraId="24DB17A4" w14:textId="0C557A3E" w:rsidR="005E0D5B" w:rsidRPr="001D759A" w:rsidRDefault="00EC4DFB" w:rsidP="00F15C54">
            <w:pPr>
              <w:pStyle w:val="enumlev1"/>
              <w:tabs>
                <w:tab w:val="clear" w:pos="567"/>
              </w:tabs>
              <w:spacing w:after="120"/>
              <w:ind w:left="605"/>
              <w:rPr>
                <w:lang w:val="es-ES"/>
              </w:rPr>
            </w:pPr>
            <w:r w:rsidRPr="001D759A">
              <w:rPr>
                <w:lang w:val="es-ES"/>
              </w:rPr>
              <w:t>•</w:t>
            </w:r>
            <w:r w:rsidRPr="001D759A">
              <w:rPr>
                <w:lang w:val="es-ES"/>
              </w:rPr>
              <w:tab/>
            </w:r>
            <w:r w:rsidRPr="00F15C54">
              <w:rPr>
                <w:rFonts w:eastAsia="Aptos"/>
                <w:lang w:val="es-ES"/>
              </w:rPr>
              <w:t>e</w:t>
            </w:r>
            <w:r w:rsidR="005E0D5B" w:rsidRPr="00F15C54">
              <w:rPr>
                <w:rFonts w:eastAsia="Aptos" w:cs="Calibri"/>
                <w:szCs w:val="24"/>
                <w:lang w:val="es-ES"/>
              </w:rPr>
              <w:t>ncargue</w:t>
            </w:r>
            <w:r w:rsidR="005E0D5B">
              <w:rPr>
                <w:rFonts w:cs="Calibri"/>
                <w:szCs w:val="24"/>
                <w:lang w:val="es-ES"/>
              </w:rPr>
              <w:t xml:space="preserve"> a la Secretaría que presente una evaluación adicional y más información sobre los costes en el Informe de seguimiento a la reunión de 2027 del Consejo.</w:t>
            </w:r>
          </w:p>
        </w:tc>
      </w:tr>
    </w:tbl>
    <w:p w14:paraId="5AF56FCE" w14:textId="1EB6167E" w:rsidR="00F70066" w:rsidRPr="001D759A" w:rsidRDefault="00F70066" w:rsidP="007113C1">
      <w:pPr>
        <w:pStyle w:val="Heading1"/>
        <w:keepNext w:val="0"/>
        <w:keepLines w:val="0"/>
        <w:rPr>
          <w:lang w:val="es-ES"/>
        </w:rPr>
      </w:pPr>
      <w:r w:rsidRPr="001D759A">
        <w:rPr>
          <w:lang w:val="es-ES"/>
        </w:rPr>
        <w:t>2</w:t>
      </w:r>
      <w:r w:rsidR="00D5731C" w:rsidRPr="001D759A">
        <w:rPr>
          <w:lang w:val="es-ES"/>
        </w:rPr>
        <w:t>7</w:t>
      </w:r>
      <w:r w:rsidRPr="001D759A">
        <w:rPr>
          <w:bCs/>
          <w:lang w:val="es-ES"/>
        </w:rPr>
        <w:tab/>
      </w:r>
      <w:r w:rsidRPr="001D759A">
        <w:rPr>
          <w:lang w:val="es-ES"/>
        </w:rPr>
        <w:t xml:space="preserve">Informe de la Oficina de Ética (Documento </w:t>
      </w:r>
      <w:hyperlink r:id="rId111" w:history="1">
        <w:r w:rsidRPr="001D759A">
          <w:rPr>
            <w:rStyle w:val="Hyperlink"/>
            <w:rFonts w:eastAsia="Times New Roman" w:cs="Times New Roman"/>
            <w:szCs w:val="20"/>
            <w:lang w:val="es-ES"/>
          </w:rPr>
          <w:t>C26/14</w:t>
        </w:r>
      </w:hyperlink>
      <w:r w:rsidR="000719A8" w:rsidRPr="001D759A">
        <w:rPr>
          <w:lang w:val="es-ES"/>
        </w:rPr>
        <w:t xml:space="preserve"> y </w:t>
      </w:r>
      <w:hyperlink r:id="rId112" w:history="1">
        <w:r w:rsidR="000719A8" w:rsidRPr="001D759A">
          <w:rPr>
            <w:rStyle w:val="Hyperlink"/>
            <w:rFonts w:eastAsia="Times New Roman" w:cs="Times New Roman"/>
            <w:szCs w:val="20"/>
            <w:lang w:val="es-ES"/>
          </w:rPr>
          <w:t>C26/INF/27</w:t>
        </w:r>
      </w:hyperlink>
      <w:r w:rsidRPr="001D759A">
        <w:rPr>
          <w:lang w:val="es-ES"/>
        </w:rPr>
        <w:t>)</w:t>
      </w:r>
    </w:p>
    <w:p w14:paraId="775E29FE" w14:textId="4B6E7600" w:rsidR="000719A8" w:rsidRPr="001D759A" w:rsidRDefault="000719A8" w:rsidP="007113C1">
      <w:pPr>
        <w:rPr>
          <w:lang w:val="es-ES"/>
        </w:rPr>
      </w:pPr>
      <w:r w:rsidRPr="001D759A">
        <w:rPr>
          <w:lang w:val="es-ES"/>
        </w:rPr>
        <w:t>27.1</w:t>
      </w:r>
      <w:r w:rsidRPr="001D759A">
        <w:rPr>
          <w:lang w:val="es-ES"/>
        </w:rPr>
        <w:tab/>
        <w:t xml:space="preserve">La Oficial Superior de Ética de la Oficina de Ética de las </w:t>
      </w:r>
      <w:r w:rsidR="000E31A1">
        <w:rPr>
          <w:lang w:val="es-ES"/>
        </w:rPr>
        <w:t>Naciones Unidas</w:t>
      </w:r>
      <w:r w:rsidRPr="001D759A">
        <w:rPr>
          <w:lang w:val="es-ES"/>
        </w:rPr>
        <w:t xml:space="preserve"> presentó el Documento C26/14 y señaló a la atención de los presentes la información adicional contenida en el Documento C26/INF/27. Reafirmó que la Oficina de Ética de </w:t>
      </w:r>
      <w:r w:rsidR="00103D78">
        <w:rPr>
          <w:lang w:val="es-ES"/>
        </w:rPr>
        <w:t>la UIT</w:t>
      </w:r>
      <w:r w:rsidRPr="001D759A">
        <w:rPr>
          <w:lang w:val="es-ES"/>
        </w:rPr>
        <w:t xml:space="preserve"> se ha</w:t>
      </w:r>
      <w:r w:rsidR="000475AF">
        <w:rPr>
          <w:lang w:val="es-ES"/>
        </w:rPr>
        <w:t>bía</w:t>
      </w:r>
      <w:r w:rsidRPr="001D759A">
        <w:rPr>
          <w:lang w:val="es-ES"/>
        </w:rPr>
        <w:t xml:space="preserve"> comprometido a preservar la independencia de su función y la integridad de su mandato. Se ha</w:t>
      </w:r>
      <w:r w:rsidR="000475AF">
        <w:rPr>
          <w:lang w:val="es-ES"/>
        </w:rPr>
        <w:t>bía</w:t>
      </w:r>
      <w:r w:rsidRPr="001D759A">
        <w:rPr>
          <w:lang w:val="es-ES"/>
        </w:rPr>
        <w:t xml:space="preserve"> informado periódicamente a la Secretaria General de </w:t>
      </w:r>
      <w:r w:rsidR="00103D78">
        <w:rPr>
          <w:lang w:val="es-ES"/>
        </w:rPr>
        <w:t>la UIT</w:t>
      </w:r>
      <w:r w:rsidRPr="001D759A">
        <w:rPr>
          <w:lang w:val="es-ES"/>
        </w:rPr>
        <w:t xml:space="preserve"> y anualmente al Consejo sobre la situación de las actividades de la Oficina de Ética, y </w:t>
      </w:r>
      <w:r w:rsidR="0060644D" w:rsidRPr="001D759A">
        <w:rPr>
          <w:lang w:val="es-ES"/>
        </w:rPr>
        <w:t>se ha</w:t>
      </w:r>
      <w:r w:rsidR="000475AF">
        <w:rPr>
          <w:lang w:val="es-ES"/>
        </w:rPr>
        <w:t xml:space="preserve">bía </w:t>
      </w:r>
      <w:r w:rsidRPr="001D759A">
        <w:rPr>
          <w:lang w:val="es-ES"/>
        </w:rPr>
        <w:t>proporcionad</w:t>
      </w:r>
      <w:r w:rsidR="0060644D" w:rsidRPr="001D759A">
        <w:rPr>
          <w:lang w:val="es-ES"/>
        </w:rPr>
        <w:t xml:space="preserve">o </w:t>
      </w:r>
      <w:r w:rsidRPr="001D759A">
        <w:rPr>
          <w:lang w:val="es-ES"/>
        </w:rPr>
        <w:t xml:space="preserve">periódicamente al CAIG información sobre el ejercicio de la función de ética. </w:t>
      </w:r>
      <w:r w:rsidR="005723B6" w:rsidRPr="001D759A">
        <w:rPr>
          <w:lang w:val="es-ES"/>
        </w:rPr>
        <w:t xml:space="preserve">La Oficina de Ética siguió prestando asesoramiento y orientación en materia de ética al personal de </w:t>
      </w:r>
      <w:r w:rsidR="00103D78">
        <w:rPr>
          <w:lang w:val="es-ES"/>
        </w:rPr>
        <w:t>la UIT</w:t>
      </w:r>
      <w:r w:rsidR="005723B6" w:rsidRPr="001D759A">
        <w:rPr>
          <w:lang w:val="es-ES"/>
        </w:rPr>
        <w:t xml:space="preserve"> sobre una amplia gama de cuestiones relacionadas con la ética, incluidas las relativas a la integridad institucional, los conflictos de intereses, las actividades externas y las cuestiones relacionadas con el empleo, entre otras. </w:t>
      </w:r>
      <w:r w:rsidRPr="001D759A">
        <w:rPr>
          <w:lang w:val="es-ES"/>
        </w:rPr>
        <w:t xml:space="preserve">Como complemento de la información facilitada </w:t>
      </w:r>
      <w:r w:rsidRPr="001D759A">
        <w:rPr>
          <w:lang w:val="es-ES"/>
        </w:rPr>
        <w:lastRenderedPageBreak/>
        <w:t xml:space="preserve">sobre el fortalecimiento del marco reglamentario de </w:t>
      </w:r>
      <w:r w:rsidR="005457EE">
        <w:rPr>
          <w:lang w:val="es-ES"/>
        </w:rPr>
        <w:t>la Unión</w:t>
      </w:r>
      <w:r w:rsidRPr="001D759A">
        <w:rPr>
          <w:lang w:val="es-ES"/>
        </w:rPr>
        <w:t>, informó de que,</w:t>
      </w:r>
      <w:r w:rsidR="005723B6" w:rsidRPr="001D759A">
        <w:rPr>
          <w:lang w:val="es-ES"/>
        </w:rPr>
        <w:t xml:space="preserve"> para 2025, el examen de las declaraciones de intereses presentadas se </w:t>
      </w:r>
      <w:r w:rsidR="000475AF">
        <w:rPr>
          <w:lang w:val="es-ES"/>
        </w:rPr>
        <w:t xml:space="preserve">había </w:t>
      </w:r>
      <w:r w:rsidR="005723B6" w:rsidRPr="001D759A">
        <w:rPr>
          <w:lang w:val="es-ES"/>
        </w:rPr>
        <w:t>complet</w:t>
      </w:r>
      <w:r w:rsidR="000475AF">
        <w:rPr>
          <w:lang w:val="es-ES"/>
        </w:rPr>
        <w:t>ado</w:t>
      </w:r>
      <w:r w:rsidR="005723B6" w:rsidRPr="001D759A">
        <w:rPr>
          <w:lang w:val="es-ES"/>
        </w:rPr>
        <w:t xml:space="preserve"> en septiembre de 2025. En el cuarto trimestre de 2025 se llevó a cabo una sólida preparación para maximizar el aumento del cumplimiento del ejercicio de 2026, que había alcanzado el 100 % de cumplimiento en febrero de 2026</w:t>
      </w:r>
      <w:r w:rsidRPr="001D759A">
        <w:rPr>
          <w:lang w:val="es-ES"/>
        </w:rPr>
        <w:t>.</w:t>
      </w:r>
    </w:p>
    <w:p w14:paraId="727DE54A" w14:textId="0DCE256B" w:rsidR="000719A8" w:rsidRPr="001D759A" w:rsidRDefault="000719A8" w:rsidP="000719A8">
      <w:pPr>
        <w:rPr>
          <w:lang w:val="es-ES"/>
        </w:rPr>
      </w:pPr>
      <w:r w:rsidRPr="001D759A">
        <w:rPr>
          <w:lang w:val="es-ES"/>
        </w:rPr>
        <w:t>27.2</w:t>
      </w:r>
      <w:r w:rsidRPr="001D759A">
        <w:rPr>
          <w:lang w:val="es-ES"/>
        </w:rPr>
        <w:tab/>
        <w:t xml:space="preserve">En general, los consejeros acogieron con beneplácito la mejora de los informes de la Secretaría sobre la función de ética de </w:t>
      </w:r>
      <w:r w:rsidR="00103D78">
        <w:rPr>
          <w:lang w:val="es-ES"/>
        </w:rPr>
        <w:t>la UIT</w:t>
      </w:r>
      <w:r w:rsidRPr="001D759A">
        <w:rPr>
          <w:lang w:val="es-ES"/>
        </w:rPr>
        <w:t xml:space="preserve">, que demostraba la capacidad de respuesta a las solicitudes de los Estados Miembros, las recomendaciones de la DCI y los principios de la reforma de las </w:t>
      </w:r>
      <w:r w:rsidR="000E31A1">
        <w:rPr>
          <w:lang w:val="es-ES"/>
        </w:rPr>
        <w:t>Naciones Unidas</w:t>
      </w:r>
      <w:r w:rsidRPr="001D759A">
        <w:rPr>
          <w:lang w:val="es-ES"/>
        </w:rPr>
        <w:t>, aunque algun</w:t>
      </w:r>
      <w:r w:rsidR="0060644D" w:rsidRPr="001D759A">
        <w:rPr>
          <w:lang w:val="es-ES"/>
        </w:rPr>
        <w:t>o</w:t>
      </w:r>
      <w:r w:rsidRPr="001D759A">
        <w:rPr>
          <w:lang w:val="es-ES"/>
        </w:rPr>
        <w:t>s destacaron la necesidad de que los datos presentados fueran completos, en aras de la plena transparencia. Se lamentó el retraso de la publicación del Documento C26/INF/</w:t>
      </w:r>
      <w:r w:rsidR="005723B6" w:rsidRPr="001D759A">
        <w:rPr>
          <w:lang w:val="es-ES"/>
        </w:rPr>
        <w:t>2</w:t>
      </w:r>
      <w:r w:rsidRPr="001D759A">
        <w:rPr>
          <w:lang w:val="es-ES"/>
        </w:rPr>
        <w:t xml:space="preserve">7. También se sugirió que la información sobre la labor de la Oficina de Ética debería ser fácilmente accesible en el sitio web de </w:t>
      </w:r>
      <w:r w:rsidR="005457EE">
        <w:rPr>
          <w:lang w:val="es-ES"/>
        </w:rPr>
        <w:t>la Unión</w:t>
      </w:r>
      <w:r w:rsidRPr="001D759A">
        <w:rPr>
          <w:lang w:val="es-ES"/>
        </w:rPr>
        <w:t xml:space="preserve"> y que los materiales adicionales, como el plan de trabajo de la Oficina para 2025, se difundieran más ampliamente.</w:t>
      </w:r>
    </w:p>
    <w:p w14:paraId="62D23700" w14:textId="01EAC4CE" w:rsidR="000719A8" w:rsidRPr="001D759A" w:rsidRDefault="000719A8" w:rsidP="000719A8">
      <w:pPr>
        <w:rPr>
          <w:lang w:val="es-ES"/>
        </w:rPr>
      </w:pPr>
      <w:r w:rsidRPr="001D759A">
        <w:rPr>
          <w:lang w:val="es-ES"/>
        </w:rPr>
        <w:t>27.3</w:t>
      </w:r>
      <w:r w:rsidRPr="001D759A">
        <w:rPr>
          <w:lang w:val="es-ES"/>
        </w:rPr>
        <w:tab/>
        <w:t xml:space="preserve">Si bien la creación de una Oficina de Ética de </w:t>
      </w:r>
      <w:r w:rsidR="00103D78">
        <w:rPr>
          <w:lang w:val="es-ES"/>
        </w:rPr>
        <w:t>la UIT</w:t>
      </w:r>
      <w:r w:rsidRPr="001D759A">
        <w:rPr>
          <w:lang w:val="es-ES"/>
        </w:rPr>
        <w:t xml:space="preserve"> había sido acogida con satisfacción, se expresó preocupación por la rotación del personal clave y la consiguiente falta de continuidad en la redacción y presentación de los informes. Una consejera preguntó si el</w:t>
      </w:r>
      <w:r w:rsidR="00A97D37" w:rsidRPr="001D759A">
        <w:rPr>
          <w:lang w:val="es-ES"/>
        </w:rPr>
        <w:t> </w:t>
      </w:r>
      <w:r w:rsidRPr="001D759A">
        <w:rPr>
          <w:lang w:val="es-ES"/>
        </w:rPr>
        <w:t>Oficial de Ética recién nombrado sería contratado a largo plazo. Otro consejero, al observar que el compromiso de la Oficina con la independencia debía formularse en términos más estrictos, preguntó cuál era la posición de la Oficina de Ética con respecto al modelo de las "tres líneas de defensa" formulado por el Instituto de Auditores Internos y</w:t>
      </w:r>
      <w:r w:rsidR="00DB4F4B" w:rsidRPr="001D759A">
        <w:rPr>
          <w:lang w:val="es-ES"/>
        </w:rPr>
        <w:t xml:space="preserve"> si</w:t>
      </w:r>
      <w:r w:rsidRPr="001D759A">
        <w:rPr>
          <w:lang w:val="es-ES"/>
        </w:rPr>
        <w:t xml:space="preserve"> los riesgos éticos formaban parte del marco de gestión de riesgos institucionales de </w:t>
      </w:r>
      <w:r w:rsidR="005457EE">
        <w:rPr>
          <w:lang w:val="es-ES"/>
        </w:rPr>
        <w:t>la Unión</w:t>
      </w:r>
      <w:r w:rsidRPr="001D759A">
        <w:rPr>
          <w:lang w:val="es-ES"/>
        </w:rPr>
        <w:t>.</w:t>
      </w:r>
    </w:p>
    <w:p w14:paraId="3594E33A" w14:textId="63B33783" w:rsidR="000719A8" w:rsidRPr="001D759A" w:rsidRDefault="000719A8" w:rsidP="000719A8">
      <w:pPr>
        <w:rPr>
          <w:lang w:val="es-ES"/>
        </w:rPr>
      </w:pPr>
      <w:r w:rsidRPr="001D759A">
        <w:rPr>
          <w:lang w:val="es-ES"/>
        </w:rPr>
        <w:t>27.4</w:t>
      </w:r>
      <w:r w:rsidRPr="001D759A">
        <w:rPr>
          <w:lang w:val="es-ES"/>
        </w:rPr>
        <w:tab/>
        <w:t xml:space="preserve">Se expresó apoyo a los esfuerzos por fomentar una cultura empresarial que promueva un lugar de trabajo seguro, digno de confianza y propicio, en el que el personal se sintiera facultado para pronunciarse en defensa de los valores éticos y donde la ética estuviera integrada en la adopción cotidiana de decisiones y en la práctica institucional. La función de ética debería formar parte integrante de las actividades más amplias de transformación de </w:t>
      </w:r>
      <w:r w:rsidR="00103D78">
        <w:rPr>
          <w:lang w:val="es-ES"/>
        </w:rPr>
        <w:t>la UIT</w:t>
      </w:r>
      <w:r w:rsidRPr="001D759A">
        <w:rPr>
          <w:lang w:val="es-ES"/>
        </w:rPr>
        <w:t>. El aumento registrado de las consultas resultaba alentador, ya que indica</w:t>
      </w:r>
      <w:r w:rsidR="00FE4B2E" w:rsidRPr="001D759A">
        <w:rPr>
          <w:lang w:val="es-ES"/>
        </w:rPr>
        <w:t>b</w:t>
      </w:r>
      <w:r w:rsidRPr="001D759A">
        <w:rPr>
          <w:lang w:val="es-ES"/>
        </w:rPr>
        <w:t xml:space="preserve">a un aumento de la confianza del personal en el proceso. Un consejero, refiriéndose a las elecciones que tendrán lugar en la PP-26, sugirió que se reforzaran las directrices éticas aplicables para garantizar la claridad, la coherencia y su debida observancia por todos los implicados. Otros insistieron en la necesidad de distinguir entre la denuncia de irregularidades, que estaba debidamente contemplada en la política de </w:t>
      </w:r>
      <w:r w:rsidR="005457EE">
        <w:rPr>
          <w:lang w:val="es-ES"/>
        </w:rPr>
        <w:t>la Unión</w:t>
      </w:r>
      <w:r w:rsidRPr="001D759A">
        <w:rPr>
          <w:lang w:val="es-ES"/>
        </w:rPr>
        <w:t xml:space="preserve"> sobre protección contra las represalias, y la difusión de información falsa, acusaciones falsas o material difamatorio que pueda dañar la reputación de la organización y de su personal, y establecer responsabilidades claras respecto de cada </w:t>
      </w:r>
      <w:proofErr w:type="gramStart"/>
      <w:r w:rsidRPr="001D759A">
        <w:rPr>
          <w:lang w:val="es-ES"/>
        </w:rPr>
        <w:t>uno de ell</w:t>
      </w:r>
      <w:r w:rsidR="00BE59E0">
        <w:rPr>
          <w:lang w:val="es-ES"/>
        </w:rPr>
        <w:t>a</w:t>
      </w:r>
      <w:r w:rsidRPr="001D759A">
        <w:rPr>
          <w:lang w:val="es-ES"/>
        </w:rPr>
        <w:t>s</w:t>
      </w:r>
      <w:proofErr w:type="gramEnd"/>
      <w:r w:rsidRPr="001D759A">
        <w:rPr>
          <w:lang w:val="es-ES"/>
        </w:rPr>
        <w:t>.</w:t>
      </w:r>
    </w:p>
    <w:p w14:paraId="2BDDF4F3" w14:textId="60FFD3AF" w:rsidR="000719A8" w:rsidRPr="001D759A" w:rsidRDefault="000719A8" w:rsidP="000719A8">
      <w:pPr>
        <w:rPr>
          <w:lang w:val="es-ES"/>
        </w:rPr>
      </w:pPr>
      <w:r w:rsidRPr="001D759A">
        <w:rPr>
          <w:lang w:val="es-ES"/>
        </w:rPr>
        <w:t>27.5</w:t>
      </w:r>
      <w:r w:rsidR="00C12E38" w:rsidRPr="001D759A">
        <w:rPr>
          <w:lang w:val="es-ES"/>
        </w:rPr>
        <w:tab/>
      </w:r>
      <w:r w:rsidRPr="001D759A">
        <w:rPr>
          <w:lang w:val="es-ES"/>
        </w:rPr>
        <w:t xml:space="preserve">Una consejera solicitó a la Secretaría que compartiera los resultados de las encuestas realizadas bajo los auspicios del grupo especial de la Junta de los Jefes Ejecutivos del Sistema de las </w:t>
      </w:r>
      <w:r w:rsidR="000E31A1">
        <w:rPr>
          <w:lang w:val="es-ES"/>
        </w:rPr>
        <w:t>Naciones Unidas</w:t>
      </w:r>
      <w:r w:rsidRPr="001D759A">
        <w:rPr>
          <w:lang w:val="es-ES"/>
        </w:rPr>
        <w:t xml:space="preserve"> para la Coordinación (JJE) sobre</w:t>
      </w:r>
      <w:r w:rsidR="00B534AC" w:rsidRPr="001D759A">
        <w:rPr>
          <w:lang w:val="es-ES"/>
        </w:rPr>
        <w:t xml:space="preserve"> la</w:t>
      </w:r>
      <w:r w:rsidRPr="001D759A">
        <w:rPr>
          <w:lang w:val="es-ES"/>
        </w:rPr>
        <w:t xml:space="preserve"> lucha contra el acoso sexual y preguntó cuáles de las recomendaciones del examen de la DCI de 2025 sobre las políticas y prácticas para prevenir la explotación y los abusos sexuales y responder a ellos en las organizaciones del sistema de las </w:t>
      </w:r>
      <w:r w:rsidR="000E31A1">
        <w:rPr>
          <w:lang w:val="es-ES"/>
        </w:rPr>
        <w:t>Naciones Unidas</w:t>
      </w:r>
      <w:r w:rsidR="00A91E5B" w:rsidRPr="00C52838">
        <w:rPr>
          <w:lang w:val="es-ES"/>
        </w:rPr>
        <w:t xml:space="preserve"> (</w:t>
      </w:r>
      <w:hyperlink r:id="rId113" w:history="1">
        <w:r w:rsidR="00A91E5B" w:rsidRPr="00C52838">
          <w:rPr>
            <w:rStyle w:val="Hyperlink"/>
            <w:lang w:val="es-ES"/>
          </w:rPr>
          <w:t>JIU/REP/2025/2</w:t>
        </w:r>
      </w:hyperlink>
      <w:r w:rsidR="00A91E5B" w:rsidRPr="00C52838">
        <w:rPr>
          <w:lang w:val="es-ES"/>
        </w:rPr>
        <w:t>)</w:t>
      </w:r>
      <w:r w:rsidRPr="001D759A">
        <w:rPr>
          <w:lang w:val="es-ES"/>
        </w:rPr>
        <w:t xml:space="preserve"> no se habían incorporado al proyecto de política de la Secretaría sobre la prevención de la explotación y el abuso sexuales (PSEA). La Secretaría debería compartir el Plan de Acción de la PSEA con los Estados Miembros, hacer obligatoria la formación en PSEA y responsabilizar al personal de su cumplimiento. La misma consejera preguntó por la tasa de finalización de la formación </w:t>
      </w:r>
      <w:r w:rsidRPr="001D759A">
        <w:rPr>
          <w:lang w:val="es-ES"/>
        </w:rPr>
        <w:lastRenderedPageBreak/>
        <w:t>obligatoria en ética e integridad, que parece inaceptablemente baja, especialmente entre los altos funcionarios, preguntó cómo hará cumplir la Secretaría la responsabilidad y pidió aclaraciones sobre la naturaleza de las consultas sobre ética. Otra consejera</w:t>
      </w:r>
      <w:r w:rsidR="00B534AC" w:rsidRPr="001D759A">
        <w:rPr>
          <w:lang w:val="es-ES"/>
        </w:rPr>
        <w:t xml:space="preserve"> </w:t>
      </w:r>
      <w:r w:rsidRPr="001D759A">
        <w:rPr>
          <w:lang w:val="es-ES"/>
        </w:rPr>
        <w:t>solicitó información adicional sobre la diferencia entre las declaraciones de actividades externas y las declaraciones de intereses.</w:t>
      </w:r>
    </w:p>
    <w:p w14:paraId="7D0ACFB0" w14:textId="3A374102" w:rsidR="000719A8" w:rsidRPr="001D759A" w:rsidRDefault="000719A8" w:rsidP="000719A8">
      <w:pPr>
        <w:rPr>
          <w:lang w:val="es-ES"/>
        </w:rPr>
      </w:pPr>
      <w:r w:rsidRPr="001D759A">
        <w:rPr>
          <w:lang w:val="es-ES"/>
        </w:rPr>
        <w:t>27.6</w:t>
      </w:r>
      <w:r w:rsidRPr="001D759A">
        <w:rPr>
          <w:lang w:val="es-ES"/>
        </w:rPr>
        <w:tab/>
        <w:t xml:space="preserve">La Oficial Superior de Ética de la Oficina de Ética de las </w:t>
      </w:r>
      <w:r w:rsidR="000E31A1">
        <w:rPr>
          <w:lang w:val="es-ES"/>
        </w:rPr>
        <w:t>Naciones Unidas</w:t>
      </w:r>
      <w:r w:rsidRPr="001D759A">
        <w:rPr>
          <w:lang w:val="es-ES"/>
        </w:rPr>
        <w:t xml:space="preserve">, en respuesta a los comentarios, mencionó que la Carta de la Oficina de Ética de </w:t>
      </w:r>
      <w:r w:rsidR="00103D78">
        <w:rPr>
          <w:lang w:val="es-ES"/>
        </w:rPr>
        <w:t>la UIT</w:t>
      </w:r>
      <w:r w:rsidRPr="001D759A">
        <w:rPr>
          <w:lang w:val="es-ES"/>
        </w:rPr>
        <w:t xml:space="preserve"> establece su misión y los principios por los que se rige en términos claros que están plenamente en consonancia con las recomendaciones de la DCI y demuestran el compromiso de la dirección de respetar </w:t>
      </w:r>
      <w:r w:rsidR="005723B6" w:rsidRPr="001D759A">
        <w:rPr>
          <w:lang w:val="es-ES"/>
        </w:rPr>
        <w:t>la</w:t>
      </w:r>
      <w:r w:rsidRPr="001D759A">
        <w:rPr>
          <w:lang w:val="es-ES"/>
        </w:rPr>
        <w:t xml:space="preserve"> independencia</w:t>
      </w:r>
      <w:r w:rsidR="005723B6" w:rsidRPr="001D759A">
        <w:rPr>
          <w:lang w:val="es-ES"/>
        </w:rPr>
        <w:t xml:space="preserve"> de la Oficina de Ética</w:t>
      </w:r>
      <w:r w:rsidRPr="001D759A">
        <w:rPr>
          <w:lang w:val="es-ES"/>
        </w:rPr>
        <w:t xml:space="preserve">. La Oficina </w:t>
      </w:r>
      <w:r w:rsidR="005723B6" w:rsidRPr="001D759A">
        <w:rPr>
          <w:lang w:val="es-ES"/>
        </w:rPr>
        <w:t xml:space="preserve">de Ética </w:t>
      </w:r>
      <w:r w:rsidRPr="001D759A">
        <w:rPr>
          <w:lang w:val="es-ES"/>
        </w:rPr>
        <w:t xml:space="preserve">realiza sus funciones sin interferencia de otras </w:t>
      </w:r>
      <w:r w:rsidR="00BC14E0" w:rsidRPr="001D759A">
        <w:rPr>
          <w:lang w:val="es-ES"/>
        </w:rPr>
        <w:t>partes de la organización</w:t>
      </w:r>
      <w:r w:rsidRPr="001D759A">
        <w:rPr>
          <w:lang w:val="es-ES"/>
        </w:rPr>
        <w:t>. Se proporcionó orientación y asesoramiento al personal sobre cuestiones éticas, incluida la declaración de actividades externas, para garantizar la detección y gestión de posibles conflictos de intereses o riesgos para la reputación de la organización.</w:t>
      </w:r>
    </w:p>
    <w:p w14:paraId="22CE82BC" w14:textId="49B07592" w:rsidR="000719A8" w:rsidRPr="001D759A" w:rsidRDefault="000719A8" w:rsidP="000719A8">
      <w:pPr>
        <w:rPr>
          <w:lang w:val="es-ES"/>
        </w:rPr>
      </w:pPr>
      <w:r w:rsidRPr="001D759A">
        <w:rPr>
          <w:lang w:val="es-ES"/>
        </w:rPr>
        <w:t>27.7</w:t>
      </w:r>
      <w:r w:rsidRPr="001D759A">
        <w:rPr>
          <w:lang w:val="es-ES"/>
        </w:rPr>
        <w:tab/>
        <w:t>La Jefa del Departamento de Gestión de los Recursos Humanos añadió que se esperaba que se nombrara al nuevo Oficial de Ética en junio de 2026 mediante un contrato de duración determinada y que la Oficina de Ética contaría con una dotación estable de personal en el futuro previsible. La tasa global de finalización de la formación obligatoria del personal en materia de ética e integridad había aumentado al 61 % en el conjunto del personal, pero estaba sujeta a fluctuaciones. Todo</w:t>
      </w:r>
      <w:r w:rsidR="00D53D1E">
        <w:rPr>
          <w:lang w:val="es-ES"/>
        </w:rPr>
        <w:t>s los empleados deb</w:t>
      </w:r>
      <w:r w:rsidR="00BE59E0">
        <w:rPr>
          <w:lang w:val="es-ES"/>
        </w:rPr>
        <w:t>ía</w:t>
      </w:r>
      <w:r w:rsidR="00D53D1E">
        <w:rPr>
          <w:lang w:val="es-ES"/>
        </w:rPr>
        <w:t>n</w:t>
      </w:r>
      <w:r w:rsidRPr="001D759A">
        <w:rPr>
          <w:lang w:val="es-ES"/>
        </w:rPr>
        <w:t xml:space="preserve"> completar la formación dentro de los tres meses siguientes a su entrada en funciones, independientemente del tipo de contrato. Se promovió el cumplimiento mediante campañas de sensibilización, comunicaciones específicas y recordatorios periódicos</w:t>
      </w:r>
      <w:r w:rsidR="004C174B">
        <w:rPr>
          <w:lang w:val="es-ES"/>
        </w:rPr>
        <w:t>. S</w:t>
      </w:r>
      <w:r w:rsidRPr="001D759A">
        <w:rPr>
          <w:lang w:val="es-ES"/>
        </w:rPr>
        <w:t xml:space="preserve">u seguimiento se realizó en estrecha colaboración con </w:t>
      </w:r>
      <w:r w:rsidR="00D53D1E">
        <w:rPr>
          <w:lang w:val="es-ES"/>
        </w:rPr>
        <w:t>los Coordinadores de Recursos Humanos</w:t>
      </w:r>
      <w:r w:rsidRPr="001D759A">
        <w:rPr>
          <w:lang w:val="es-ES"/>
        </w:rPr>
        <w:t xml:space="preserve"> y se vinculó al proceso de gestión del desempeño. La Secretaría te</w:t>
      </w:r>
      <w:r w:rsidR="00BE59E0">
        <w:rPr>
          <w:lang w:val="es-ES"/>
        </w:rPr>
        <w:t>nía</w:t>
      </w:r>
      <w:r w:rsidRPr="001D759A">
        <w:rPr>
          <w:lang w:val="es-ES"/>
        </w:rPr>
        <w:t xml:space="preserve"> previsto reforzar la observancia mediante la gestión de contratos, de modo que no se prorrogue ningún contrato a menos que se haya completado la formación obligatoria. En lo que respecta a la</w:t>
      </w:r>
      <w:r w:rsidR="00A97D37" w:rsidRPr="001D759A">
        <w:rPr>
          <w:lang w:val="es-ES"/>
        </w:rPr>
        <w:t> </w:t>
      </w:r>
      <w:r w:rsidRPr="001D759A">
        <w:rPr>
          <w:lang w:val="es-ES"/>
        </w:rPr>
        <w:t>PSEA, la única recomendación de la DCI que no se ha</w:t>
      </w:r>
      <w:r w:rsidR="00BE59E0">
        <w:rPr>
          <w:lang w:val="es-ES"/>
        </w:rPr>
        <w:t>bía</w:t>
      </w:r>
      <w:r w:rsidRPr="001D759A">
        <w:rPr>
          <w:lang w:val="es-ES"/>
        </w:rPr>
        <w:t xml:space="preserve"> incorporado al proyecto de política de </w:t>
      </w:r>
      <w:r w:rsidR="005457EE">
        <w:rPr>
          <w:lang w:val="es-ES"/>
        </w:rPr>
        <w:t>la Unión</w:t>
      </w:r>
      <w:r w:rsidRPr="001D759A">
        <w:rPr>
          <w:lang w:val="es-ES"/>
        </w:rPr>
        <w:t xml:space="preserve"> se refiere a la fusión de las políticas de </w:t>
      </w:r>
      <w:r w:rsidR="005457EE">
        <w:rPr>
          <w:lang w:val="es-ES"/>
        </w:rPr>
        <w:t>la Unión</w:t>
      </w:r>
      <w:r w:rsidRPr="001D759A">
        <w:rPr>
          <w:lang w:val="es-ES"/>
        </w:rPr>
        <w:t xml:space="preserve"> en materia de acoso sexual y de protección contra la explotación y el abuso sexuales. Por el momento, la Secretaría considera</w:t>
      </w:r>
      <w:r w:rsidR="00BE59E0">
        <w:rPr>
          <w:lang w:val="es-ES"/>
        </w:rPr>
        <w:t>ba</w:t>
      </w:r>
      <w:r w:rsidRPr="001D759A">
        <w:rPr>
          <w:lang w:val="es-ES"/>
        </w:rPr>
        <w:t xml:space="preserve"> pragmática mantener las dos políticas separadas, pero mantiene su compromiso de supervisar las tendencias en todo el sistema de las </w:t>
      </w:r>
      <w:r w:rsidR="000E31A1">
        <w:rPr>
          <w:lang w:val="es-ES"/>
        </w:rPr>
        <w:t>Naciones Unidas</w:t>
      </w:r>
      <w:r w:rsidRPr="001D759A">
        <w:rPr>
          <w:lang w:val="es-ES"/>
        </w:rPr>
        <w:t xml:space="preserve">. De conformidad con los resultados de la encuesta sobre acoso sexual realizada por el grupo especial de la JJE, se han racionalizado los procesos internos y se han aclarado las funciones y responsabilidades mediante las órdenes de servicio pertinentes para facilitar una tramitación más oportuna de los casos. Se ha reforzado la rendición de cuentas mediante una clara delimitación de responsabilidades en todas las funciones pertinentes y el fortalecimiento de los mecanismos de supervisión, y se ha integrado en las políticas y prácticas un enfoque centrado en las víctimas. </w:t>
      </w:r>
    </w:p>
    <w:p w14:paraId="695E16B8" w14:textId="5CD3C6EA" w:rsidR="00F70066" w:rsidRPr="001D759A" w:rsidRDefault="00F70066" w:rsidP="00950DAB">
      <w:pPr>
        <w:keepNext/>
        <w:keepLines/>
        <w:spacing w:after="120"/>
        <w:rPr>
          <w:lang w:val="es-ES"/>
        </w:rPr>
      </w:pPr>
      <w:r w:rsidRPr="001D759A">
        <w:rPr>
          <w:lang w:val="es-ES"/>
        </w:rPr>
        <w:lastRenderedPageBreak/>
        <w:t>2</w:t>
      </w:r>
      <w:r w:rsidR="00D5731C" w:rsidRPr="001D759A">
        <w:rPr>
          <w:lang w:val="es-ES"/>
        </w:rPr>
        <w:t>7</w:t>
      </w:r>
      <w:r w:rsidRPr="001D759A">
        <w:rPr>
          <w:lang w:val="es-ES"/>
        </w:rPr>
        <w:t>.</w:t>
      </w:r>
      <w:r w:rsidR="008207A1" w:rsidRPr="001D759A">
        <w:rPr>
          <w:lang w:val="es-ES"/>
        </w:rPr>
        <w:t>8</w:t>
      </w:r>
      <w:r w:rsidRPr="001D759A">
        <w:rPr>
          <w:lang w:val="es-ES"/>
        </w:rPr>
        <w:tab/>
        <w:t xml:space="preserve">La Comisión </w:t>
      </w:r>
      <w:r w:rsidRPr="001D759A">
        <w:rPr>
          <w:b/>
          <w:bCs/>
          <w:lang w:val="es-ES"/>
        </w:rPr>
        <w:t>acordó</w:t>
      </w:r>
      <w:r w:rsidRPr="001D759A">
        <w:rPr>
          <w:lang w:val="es-ES"/>
        </w:rPr>
        <w:t xml:space="preserve"> llegar a la siguiente conclusión:</w:t>
      </w:r>
    </w:p>
    <w:tbl>
      <w:tblPr>
        <w:tblStyle w:val="TableGrid"/>
        <w:tblW w:w="5000" w:type="pct"/>
        <w:tblInd w:w="-147" w:type="dxa"/>
        <w:tblLook w:val="04A0" w:firstRow="1" w:lastRow="0" w:firstColumn="1" w:lastColumn="0" w:noHBand="0" w:noVBand="1"/>
      </w:tblPr>
      <w:tblGrid>
        <w:gridCol w:w="9061"/>
      </w:tblGrid>
      <w:tr w:rsidR="00F70066" w:rsidRPr="0057685D" w14:paraId="62093818" w14:textId="77777777" w:rsidTr="00950DAB">
        <w:tc>
          <w:tcPr>
            <w:tcW w:w="9208" w:type="dxa"/>
            <w:hideMark/>
          </w:tcPr>
          <w:p w14:paraId="599A87E7" w14:textId="78518AFE" w:rsidR="00F70066" w:rsidRPr="001D759A" w:rsidRDefault="00F70066" w:rsidP="00950DAB">
            <w:pPr>
              <w:keepNext/>
              <w:keepLines/>
              <w:tabs>
                <w:tab w:val="clear" w:pos="567"/>
                <w:tab w:val="left" w:pos="605"/>
              </w:tabs>
              <w:spacing w:after="80"/>
              <w:ind w:left="40"/>
              <w:rPr>
                <w:lang w:val="es-ES"/>
              </w:rPr>
            </w:pPr>
            <w:r w:rsidRPr="001D759A">
              <w:rPr>
                <w:rFonts w:eastAsia="Calibri" w:cs="Calibri"/>
                <w:lang w:val="es-ES"/>
              </w:rPr>
              <w:t>2</w:t>
            </w:r>
            <w:r w:rsidR="00D5731C" w:rsidRPr="001D759A">
              <w:rPr>
                <w:rFonts w:eastAsia="Calibri" w:cs="Calibri"/>
                <w:lang w:val="es-ES"/>
              </w:rPr>
              <w:t>7</w:t>
            </w:r>
            <w:r w:rsidRPr="001D759A">
              <w:rPr>
                <w:rFonts w:eastAsia="Calibri" w:cs="Calibri"/>
                <w:szCs w:val="24"/>
                <w:lang w:val="es-ES"/>
              </w:rPr>
              <w:t>.</w:t>
            </w:r>
            <w:r w:rsidR="008207A1" w:rsidRPr="001D759A">
              <w:rPr>
                <w:rFonts w:eastAsia="Calibri" w:cs="Calibri"/>
                <w:szCs w:val="24"/>
                <w:lang w:val="es-ES"/>
              </w:rPr>
              <w:t>9</w:t>
            </w:r>
            <w:r w:rsidRPr="001D759A">
              <w:rPr>
                <w:lang w:val="es-ES"/>
              </w:rPr>
              <w:tab/>
              <w:t>La Comisión recomienda al Consejo que:</w:t>
            </w:r>
          </w:p>
          <w:p w14:paraId="0112A6D2" w14:textId="44EE84A3" w:rsidR="00F70066" w:rsidRDefault="00F70066" w:rsidP="007E15B7">
            <w:pPr>
              <w:pStyle w:val="enumlev1"/>
              <w:tabs>
                <w:tab w:val="clear" w:pos="567"/>
              </w:tabs>
              <w:spacing w:after="120"/>
              <w:ind w:left="605"/>
              <w:rPr>
                <w:lang w:val="es-ES"/>
              </w:rPr>
            </w:pPr>
            <w:r w:rsidRPr="001D759A">
              <w:rPr>
                <w:lang w:val="es-ES"/>
              </w:rPr>
              <w:t>•</w:t>
            </w:r>
            <w:r w:rsidRPr="001D759A">
              <w:rPr>
                <w:lang w:val="es-ES"/>
              </w:rPr>
              <w:tab/>
            </w:r>
            <w:r w:rsidR="008207A1" w:rsidRPr="00F15C54">
              <w:rPr>
                <w:rFonts w:cs="Calibri"/>
                <w:szCs w:val="24"/>
                <w:lang w:val="es-ES"/>
              </w:rPr>
              <w:t>tome</w:t>
            </w:r>
            <w:r w:rsidR="008207A1" w:rsidRPr="001D759A">
              <w:rPr>
                <w:lang w:val="es-ES"/>
              </w:rPr>
              <w:t xml:space="preserve"> nota del </w:t>
            </w:r>
            <w:r w:rsidR="00B534AC" w:rsidRPr="001D759A">
              <w:rPr>
                <w:lang w:val="es-ES"/>
              </w:rPr>
              <w:t>i</w:t>
            </w:r>
            <w:r w:rsidR="008207A1" w:rsidRPr="001D759A">
              <w:rPr>
                <w:lang w:val="es-ES"/>
              </w:rPr>
              <w:t xml:space="preserve">nforme </w:t>
            </w:r>
            <w:r w:rsidR="005723B6" w:rsidRPr="001D759A">
              <w:rPr>
                <w:lang w:val="es-ES"/>
              </w:rPr>
              <w:t>contenido</w:t>
            </w:r>
            <w:r w:rsidR="008207A1" w:rsidRPr="001D759A">
              <w:rPr>
                <w:lang w:val="es-ES"/>
              </w:rPr>
              <w:t xml:space="preserve"> en los Documentos </w:t>
            </w:r>
            <w:hyperlink r:id="rId114" w:history="1">
              <w:r w:rsidR="008207A1" w:rsidRPr="001D759A">
                <w:rPr>
                  <w:rStyle w:val="Hyperlink"/>
                  <w:lang w:val="es-ES"/>
                </w:rPr>
                <w:t>C26/14</w:t>
              </w:r>
            </w:hyperlink>
            <w:r w:rsidR="008207A1" w:rsidRPr="001D759A">
              <w:rPr>
                <w:lang w:val="es-ES"/>
              </w:rPr>
              <w:t xml:space="preserve"> y </w:t>
            </w:r>
            <w:hyperlink r:id="rId115" w:history="1">
              <w:r w:rsidR="008207A1" w:rsidRPr="001D759A">
                <w:rPr>
                  <w:rStyle w:val="Hyperlink"/>
                  <w:lang w:val="es-ES"/>
                </w:rPr>
                <w:t>C26/INF/27</w:t>
              </w:r>
            </w:hyperlink>
            <w:r w:rsidR="005E0D5B">
              <w:rPr>
                <w:lang w:val="es-ES"/>
              </w:rPr>
              <w:t>; y</w:t>
            </w:r>
          </w:p>
          <w:p w14:paraId="33ABD4A3" w14:textId="4ACAFC9A" w:rsidR="005E0D5B" w:rsidRPr="001D759A" w:rsidRDefault="00EC4DFB" w:rsidP="00F15C54">
            <w:pPr>
              <w:pStyle w:val="enumlev1"/>
              <w:tabs>
                <w:tab w:val="clear" w:pos="567"/>
              </w:tabs>
              <w:spacing w:after="120"/>
              <w:ind w:left="605"/>
              <w:rPr>
                <w:lang w:val="es-ES"/>
              </w:rPr>
            </w:pPr>
            <w:r w:rsidRPr="001D759A">
              <w:rPr>
                <w:lang w:val="es-ES"/>
              </w:rPr>
              <w:t>•</w:t>
            </w:r>
            <w:r w:rsidRPr="001D759A">
              <w:rPr>
                <w:lang w:val="es-ES"/>
              </w:rPr>
              <w:tab/>
            </w:r>
            <w:r>
              <w:rPr>
                <w:lang w:val="es-ES"/>
              </w:rPr>
              <w:t>e</w:t>
            </w:r>
            <w:r w:rsidR="005E0D5B">
              <w:rPr>
                <w:lang w:val="es-ES"/>
              </w:rPr>
              <w:t xml:space="preserve">ncargue a la Secretaría que presente, antes del 31 de julio de 2026, un informe </w:t>
            </w:r>
            <w:r w:rsidR="005E0D5B" w:rsidRPr="00F15C54">
              <w:rPr>
                <w:rFonts w:cs="Calibri"/>
                <w:szCs w:val="24"/>
                <w:lang w:val="es-ES"/>
              </w:rPr>
              <w:t>actualizado</w:t>
            </w:r>
            <w:r w:rsidR="005E0D5B">
              <w:rPr>
                <w:lang w:val="es-ES"/>
              </w:rPr>
              <w:t xml:space="preserve"> con la información solicitada durante los debates del Consejo, indicada en el §</w:t>
            </w:r>
            <w:r w:rsidR="00F15C54">
              <w:rPr>
                <w:lang w:val="es-ES"/>
              </w:rPr>
              <w:t> </w:t>
            </w:r>
            <w:r w:rsidR="005E0D5B">
              <w:rPr>
                <w:lang w:val="es-ES"/>
              </w:rPr>
              <w:t>27.5 anterior.</w:t>
            </w:r>
          </w:p>
        </w:tc>
      </w:tr>
    </w:tbl>
    <w:p w14:paraId="5250FD45" w14:textId="77777777" w:rsidR="00634ACB" w:rsidRPr="001D759A" w:rsidRDefault="00F70066" w:rsidP="00634ACB">
      <w:pPr>
        <w:pStyle w:val="Heading1"/>
        <w:rPr>
          <w:lang w:val="es-ES"/>
        </w:rPr>
      </w:pPr>
      <w:r w:rsidRPr="001D759A">
        <w:rPr>
          <w:bCs/>
          <w:lang w:val="es-ES"/>
        </w:rPr>
        <w:t>2</w:t>
      </w:r>
      <w:r w:rsidR="00D5731C" w:rsidRPr="001D759A">
        <w:rPr>
          <w:bCs/>
          <w:lang w:val="es-ES"/>
        </w:rPr>
        <w:t>8</w:t>
      </w:r>
      <w:r w:rsidRPr="001D759A">
        <w:rPr>
          <w:bCs/>
          <w:lang w:val="es-ES"/>
        </w:rPr>
        <w:tab/>
      </w:r>
      <w:r w:rsidRPr="001D759A">
        <w:rPr>
          <w:lang w:val="es-ES"/>
        </w:rPr>
        <w:t>Informe de la Unidad de Supervisión</w:t>
      </w:r>
      <w:r w:rsidR="00F50B08" w:rsidRPr="001D759A">
        <w:rPr>
          <w:lang w:val="es-ES"/>
        </w:rPr>
        <w:t xml:space="preserve"> sobre la función de auditoría interna (Documento </w:t>
      </w:r>
      <w:hyperlink r:id="rId116" w:history="1">
        <w:r w:rsidR="00F50B08" w:rsidRPr="001D759A">
          <w:rPr>
            <w:rStyle w:val="Hyperlink"/>
            <w:rFonts w:eastAsia="Times New Roman" w:cs="Times New Roman"/>
            <w:szCs w:val="24"/>
            <w:lang w:val="es-ES"/>
          </w:rPr>
          <w:t>C26/44</w:t>
        </w:r>
      </w:hyperlink>
      <w:r w:rsidR="00F50B08" w:rsidRPr="001D759A">
        <w:rPr>
          <w:lang w:val="es-ES"/>
        </w:rPr>
        <w:t>)</w:t>
      </w:r>
    </w:p>
    <w:p w14:paraId="6D65DB07" w14:textId="5D2C12F8" w:rsidR="00F50B08" w:rsidRPr="001D759A" w:rsidRDefault="0035774A" w:rsidP="00660957">
      <w:pPr>
        <w:rPr>
          <w:lang w:val="es-ES"/>
        </w:rPr>
      </w:pPr>
      <w:r w:rsidRPr="001D759A">
        <w:rPr>
          <w:lang w:val="es-ES"/>
        </w:rPr>
        <w:t>28.1</w:t>
      </w:r>
      <w:r w:rsidRPr="001D759A">
        <w:rPr>
          <w:lang w:val="es-ES"/>
        </w:rPr>
        <w:tab/>
      </w:r>
      <w:r w:rsidR="00660957" w:rsidRPr="001D759A">
        <w:rPr>
          <w:lang w:val="es-ES"/>
        </w:rPr>
        <w:t xml:space="preserve">La Jefa de la Unidad de Supervisión presentó el Informe del Documento C26/44, relativo a las actividades de auditoría interna de la Unidad de Supervisión correspondientes al periodo comprendido entre abril de 2025 y febrero de 2026. Entre esas actividades se contaban una auditoría de la Oficina Zonal para </w:t>
      </w:r>
      <w:r w:rsidR="00C87E98" w:rsidRPr="001D759A">
        <w:rPr>
          <w:lang w:val="es-ES"/>
        </w:rPr>
        <w:t>A</w:t>
      </w:r>
      <w:r w:rsidR="00660957" w:rsidRPr="001D759A">
        <w:rPr>
          <w:lang w:val="es-ES"/>
        </w:rPr>
        <w:t xml:space="preserve">sia </w:t>
      </w:r>
      <w:r w:rsidR="00D1453A">
        <w:rPr>
          <w:lang w:val="es-ES"/>
        </w:rPr>
        <w:t>Sudo</w:t>
      </w:r>
      <w:r w:rsidR="00660957" w:rsidRPr="001D759A">
        <w:rPr>
          <w:lang w:val="es-ES"/>
        </w:rPr>
        <w:t>riental</w:t>
      </w:r>
      <w:r w:rsidR="00B84651" w:rsidRPr="001D759A">
        <w:rPr>
          <w:lang w:val="es-ES"/>
        </w:rPr>
        <w:t>,</w:t>
      </w:r>
      <w:r w:rsidR="00660957" w:rsidRPr="001D759A">
        <w:rPr>
          <w:lang w:val="es-ES"/>
        </w:rPr>
        <w:t xml:space="preserve"> y una inspección de las disposiciones de la BDT en materia de viajes</w:t>
      </w:r>
      <w:r w:rsidR="00F50B08" w:rsidRPr="001D759A">
        <w:rPr>
          <w:lang w:val="es-ES"/>
        </w:rPr>
        <w:t>, con todas las recomendaciones resultantes para la BDT desde su aplicación</w:t>
      </w:r>
      <w:r w:rsidR="00660957" w:rsidRPr="001D759A">
        <w:rPr>
          <w:lang w:val="es-ES"/>
        </w:rPr>
        <w:t>.</w:t>
      </w:r>
    </w:p>
    <w:p w14:paraId="70DAE1B6" w14:textId="3A9FDAEC" w:rsidR="00660957" w:rsidRPr="001D759A" w:rsidRDefault="00F50B08" w:rsidP="003E05FB">
      <w:pPr>
        <w:rPr>
          <w:lang w:val="es-ES"/>
        </w:rPr>
      </w:pPr>
      <w:r w:rsidRPr="001D759A">
        <w:rPr>
          <w:lang w:val="es-ES"/>
        </w:rPr>
        <w:t>28.2</w:t>
      </w:r>
      <w:r w:rsidRPr="001D759A">
        <w:rPr>
          <w:lang w:val="es-ES"/>
        </w:rPr>
        <w:tab/>
        <w:t>Por otra parte, también se ha</w:t>
      </w:r>
      <w:r w:rsidR="00BE59E0">
        <w:rPr>
          <w:lang w:val="es-ES"/>
        </w:rPr>
        <w:t>bía</w:t>
      </w:r>
      <w:r w:rsidRPr="001D759A">
        <w:rPr>
          <w:lang w:val="es-ES"/>
        </w:rPr>
        <w:t xml:space="preserve"> presentado a título informativo al Consejo </w:t>
      </w:r>
      <w:r w:rsidR="00660957" w:rsidRPr="001D759A">
        <w:rPr>
          <w:lang w:val="es-ES"/>
        </w:rPr>
        <w:t>el Documento</w:t>
      </w:r>
      <w:r w:rsidR="00756112">
        <w:rPr>
          <w:lang w:val="es-ES"/>
        </w:rPr>
        <w:t> </w:t>
      </w:r>
      <w:hyperlink r:id="rId117" w:history="1">
        <w:r w:rsidR="0047507A" w:rsidRPr="005A3C5B">
          <w:rPr>
            <w:rStyle w:val="Hyperlink"/>
            <w:rFonts w:eastAsia="Calibri" w:cs="Calibri"/>
            <w:lang w:val="es-ES"/>
          </w:rPr>
          <w:t>C26/INF/5</w:t>
        </w:r>
      </w:hyperlink>
      <w:r w:rsidR="00660957" w:rsidRPr="001D759A">
        <w:rPr>
          <w:lang w:val="es-ES"/>
        </w:rPr>
        <w:t xml:space="preserve"> sobre el seguimiento de las recomendaciones de auditoría forense y auditoría interna.</w:t>
      </w:r>
      <w:r w:rsidR="00141196">
        <w:rPr>
          <w:lang w:val="es-ES"/>
        </w:rPr>
        <w:t xml:space="preserve"> </w:t>
      </w:r>
      <w:r w:rsidR="00660957" w:rsidRPr="001D759A">
        <w:rPr>
          <w:lang w:val="es-ES"/>
        </w:rPr>
        <w:t xml:space="preserve">En respuesta a las preguntas y observaciones de los consejeros y de un observador, </w:t>
      </w:r>
      <w:r w:rsidRPr="001D759A">
        <w:rPr>
          <w:lang w:val="es-ES"/>
        </w:rPr>
        <w:t xml:space="preserve">la Jefa de la Unidad de Supervisión </w:t>
      </w:r>
      <w:r w:rsidR="00660957" w:rsidRPr="001D759A">
        <w:rPr>
          <w:lang w:val="es-ES"/>
        </w:rPr>
        <w:t>dijo que</w:t>
      </w:r>
      <w:r w:rsidRPr="001D759A">
        <w:rPr>
          <w:lang w:val="es-ES"/>
        </w:rPr>
        <w:t xml:space="preserve"> se toma</w:t>
      </w:r>
      <w:r w:rsidR="00442022" w:rsidRPr="001D759A">
        <w:rPr>
          <w:lang w:val="es-ES"/>
        </w:rPr>
        <w:t>ba</w:t>
      </w:r>
      <w:r w:rsidRPr="001D759A">
        <w:rPr>
          <w:lang w:val="es-ES"/>
        </w:rPr>
        <w:t xml:space="preserve"> buena nota de los comentarios sobre las auditorías basadas en el rendimiento. E</w:t>
      </w:r>
      <w:r w:rsidR="00660957" w:rsidRPr="001D759A">
        <w:rPr>
          <w:lang w:val="es-ES"/>
        </w:rPr>
        <w:t>n el momento de publicación de</w:t>
      </w:r>
      <w:r w:rsidRPr="001D759A">
        <w:rPr>
          <w:lang w:val="es-ES"/>
        </w:rPr>
        <w:t xml:space="preserve"> </w:t>
      </w:r>
      <w:r w:rsidR="00660957" w:rsidRPr="001D759A">
        <w:rPr>
          <w:lang w:val="es-ES"/>
        </w:rPr>
        <w:t>l</w:t>
      </w:r>
      <w:r w:rsidRPr="001D759A">
        <w:rPr>
          <w:lang w:val="es-ES"/>
        </w:rPr>
        <w:t>os</w:t>
      </w:r>
      <w:r w:rsidR="00660957" w:rsidRPr="001D759A">
        <w:rPr>
          <w:lang w:val="es-ES"/>
        </w:rPr>
        <w:t xml:space="preserve"> informe</w:t>
      </w:r>
      <w:r w:rsidRPr="001D759A">
        <w:rPr>
          <w:lang w:val="es-ES"/>
        </w:rPr>
        <w:t>s</w:t>
      </w:r>
      <w:r w:rsidR="00660957" w:rsidRPr="001D759A">
        <w:rPr>
          <w:lang w:val="es-ES"/>
        </w:rPr>
        <w:t xml:space="preserve"> de auditoría correspondiente, no se habían aplicado las recomendaciones preexistentes, </w:t>
      </w:r>
      <w:r w:rsidRPr="001D759A">
        <w:rPr>
          <w:lang w:val="es-ES"/>
        </w:rPr>
        <w:t xml:space="preserve">pero </w:t>
      </w:r>
      <w:r w:rsidR="00660957" w:rsidRPr="001D759A">
        <w:rPr>
          <w:lang w:val="es-ES"/>
        </w:rPr>
        <w:t xml:space="preserve">muchas de las cuales </w:t>
      </w:r>
      <w:r w:rsidR="00BE59E0">
        <w:rPr>
          <w:lang w:val="es-ES"/>
        </w:rPr>
        <w:t>ya se habían aplicado</w:t>
      </w:r>
      <w:r w:rsidR="00660957" w:rsidRPr="001D759A">
        <w:rPr>
          <w:lang w:val="es-ES"/>
        </w:rPr>
        <w:t>.</w:t>
      </w:r>
      <w:r w:rsidR="003E05FB">
        <w:rPr>
          <w:lang w:val="es-ES"/>
        </w:rPr>
        <w:t xml:space="preserve"> </w:t>
      </w:r>
      <w:r w:rsidR="00660957" w:rsidRPr="001D759A">
        <w:rPr>
          <w:lang w:val="es-ES"/>
        </w:rPr>
        <w:t>La función de auditoría interna de la Unidad había evitado repetir las recomendaciones y había optado, en su lugar, por evaluar la situación en el marco de sus actividades de seguimiento, realizadas con anterioridad a las reuniones del Grupo Asesor Independiente sobre Gestión (CAIG).</w:t>
      </w:r>
      <w:r w:rsidR="003E05FB">
        <w:rPr>
          <w:lang w:val="es-ES"/>
        </w:rPr>
        <w:t xml:space="preserve"> </w:t>
      </w:r>
      <w:r w:rsidR="00660957" w:rsidRPr="001D759A">
        <w:rPr>
          <w:lang w:val="es-ES"/>
        </w:rPr>
        <w:t xml:space="preserve">Durante el periodo considerado se habían aplicado en total 43 recomendaciones de auditoría interna, los retrasos resultantes de las medidas adoptadas por la dirección eran la causa primera de la tardía implementación. No había habido solapamientos entre las recomendaciones de auditoría preexistentes en curso de aplicación y las formuladas más recientemente. Señaló a la atención de los presentes el Documento </w:t>
      </w:r>
      <w:hyperlink r:id="rId118" w:history="1">
        <w:r w:rsidR="0047507A" w:rsidRPr="005A3C5B">
          <w:rPr>
            <w:rStyle w:val="Hyperlink"/>
            <w:rFonts w:eastAsia="Calibri" w:cs="Calibri"/>
            <w:lang w:val="es-ES"/>
          </w:rPr>
          <w:t>C26/INF/23</w:t>
        </w:r>
      </w:hyperlink>
      <w:r w:rsidR="00660957" w:rsidRPr="001D759A">
        <w:rPr>
          <w:lang w:val="es-ES"/>
        </w:rPr>
        <w:t xml:space="preserve">, que contenía información sobre el panel de cumplimiento de </w:t>
      </w:r>
      <w:r w:rsidR="00103D78">
        <w:rPr>
          <w:lang w:val="es-ES"/>
        </w:rPr>
        <w:t>la UIT</w:t>
      </w:r>
      <w:r w:rsidR="00660957" w:rsidRPr="001D759A">
        <w:rPr>
          <w:lang w:val="es-ES"/>
        </w:rPr>
        <w:t xml:space="preserve"> para los consejeros, en el que pueden hacer un seguimiento del estadio de aplicación de todas las recomendaciones de supervisión interna y externa, aumentando así la transparencia y la accesibilidad.</w:t>
      </w:r>
    </w:p>
    <w:p w14:paraId="1811F649" w14:textId="6D96DD56" w:rsidR="00660957" w:rsidRPr="001D759A" w:rsidRDefault="0035774A" w:rsidP="00660957">
      <w:pPr>
        <w:rPr>
          <w:lang w:val="es-ES"/>
        </w:rPr>
      </w:pPr>
      <w:r w:rsidRPr="001D759A">
        <w:rPr>
          <w:lang w:val="es-ES"/>
        </w:rPr>
        <w:t>28.</w:t>
      </w:r>
      <w:r w:rsidR="0047507A">
        <w:rPr>
          <w:lang w:val="es-ES"/>
        </w:rPr>
        <w:t>3</w:t>
      </w:r>
      <w:r w:rsidRPr="001D759A">
        <w:rPr>
          <w:lang w:val="es-ES"/>
        </w:rPr>
        <w:tab/>
      </w:r>
      <w:r w:rsidR="00660957" w:rsidRPr="001D759A">
        <w:rPr>
          <w:lang w:val="es-ES"/>
        </w:rPr>
        <w:t>El control de calidad externo, que se lleva a cabo cada cinco años de conformidad con las Normas Mundiales de Auditoría Interna y la Carta de Supervisión, corrió a cargo del Instituto de Control y Auditoría Interna de Francia (IFACI), miembro del Instituto de Auditores Internos. El IFACI determinó que toda disconformidad debía resolverse antes de finales de 2026; la estrategia de auditoría interna forma parte de la Hoja de ruta de la Unidad y el plan de auditoría basada en riesgos remodelado se presentaría al CAIG en junio. La Unidad de Supervisión estaba colaborando con el CAIG para aplicar sus recomendaciones en materia de revisión del programa de auditoría (véase el §</w:t>
      </w:r>
      <w:r w:rsidR="00BE59E0">
        <w:rPr>
          <w:lang w:val="es-ES"/>
        </w:rPr>
        <w:t> </w:t>
      </w:r>
      <w:r w:rsidR="00660957" w:rsidRPr="001D759A">
        <w:rPr>
          <w:lang w:val="es-ES"/>
        </w:rPr>
        <w:t xml:space="preserve">48 del Documento </w:t>
      </w:r>
      <w:hyperlink r:id="rId119" w:history="1">
        <w:r w:rsidR="0047507A" w:rsidRPr="005A3C5B">
          <w:rPr>
            <w:rStyle w:val="Hyperlink"/>
            <w:rFonts w:eastAsia="Calibri" w:cs="Calibri"/>
            <w:lang w:val="es-ES"/>
          </w:rPr>
          <w:t>C26/22</w:t>
        </w:r>
      </w:hyperlink>
      <w:r w:rsidR="00660957" w:rsidRPr="001D759A">
        <w:rPr>
          <w:lang w:val="es-ES"/>
        </w:rPr>
        <w:t xml:space="preserve">). Por último, dijo que estaba en curso la auditoría del proyecto de nuevo edificio y que se había incluido en el plan de auditoría una auditoría sobre temas cibernéticos. Dijo haber tomado nota de las sugerencias formuladas en cuanto a la auditoría basada en el rendimiento y </w:t>
      </w:r>
      <w:r w:rsidR="00660957" w:rsidRPr="001D759A">
        <w:rPr>
          <w:lang w:val="es-ES"/>
        </w:rPr>
        <w:lastRenderedPageBreak/>
        <w:t xml:space="preserve">sobre los ámbitos concretos identificados para su posible auditoría, entre ellos la planificación de viajes y la utilización de la inteligencia artificial en </w:t>
      </w:r>
      <w:r w:rsidR="005457EE">
        <w:rPr>
          <w:lang w:val="es-ES"/>
        </w:rPr>
        <w:t>la Unión</w:t>
      </w:r>
      <w:r w:rsidR="00660957" w:rsidRPr="001D759A">
        <w:rPr>
          <w:lang w:val="es-ES"/>
        </w:rPr>
        <w:t xml:space="preserve">. </w:t>
      </w:r>
    </w:p>
    <w:p w14:paraId="0422090B" w14:textId="7EE07702" w:rsidR="00660957" w:rsidRPr="001D759A" w:rsidRDefault="0035774A" w:rsidP="00660957">
      <w:pPr>
        <w:rPr>
          <w:lang w:val="es-ES"/>
        </w:rPr>
      </w:pPr>
      <w:r w:rsidRPr="001D759A">
        <w:rPr>
          <w:lang w:val="es-ES"/>
        </w:rPr>
        <w:t>28.</w:t>
      </w:r>
      <w:r w:rsidR="0047507A">
        <w:rPr>
          <w:lang w:val="es-ES"/>
        </w:rPr>
        <w:t>4</w:t>
      </w:r>
      <w:r w:rsidRPr="001D759A">
        <w:rPr>
          <w:lang w:val="es-ES"/>
        </w:rPr>
        <w:tab/>
      </w:r>
      <w:r w:rsidR="00660957" w:rsidRPr="001D759A">
        <w:rPr>
          <w:lang w:val="es-ES"/>
        </w:rPr>
        <w:t>La Directora Adjunta de la BDT afirmó que se habían aplicado por completo las recomendaciones de auditoría relativas a los viajes de la BDT y a la Oficina Zonal para Asia Meridional y Oriental. Se había preparado una aplicación digital para modernizar y consolidar todos los procesos relacionados con los viajes en una única plataforma. La aplicación, que ya estaba en pleno funcionamiento, había mejorado el examen, la aprobación y la supervisión de todas las solicitudes de viaje de la BDT</w:t>
      </w:r>
      <w:r w:rsidR="000A4203">
        <w:rPr>
          <w:lang w:val="es-ES"/>
        </w:rPr>
        <w:t>,</w:t>
      </w:r>
      <w:r w:rsidR="00660957" w:rsidRPr="001D759A">
        <w:rPr>
          <w:lang w:val="es-ES"/>
        </w:rPr>
        <w:t xml:space="preserve"> había proporcionado un mayor control de las modalidades de viaje</w:t>
      </w:r>
      <w:r w:rsidR="000A4203">
        <w:rPr>
          <w:lang w:val="es-ES"/>
        </w:rPr>
        <w:t>,</w:t>
      </w:r>
      <w:r w:rsidR="00660957" w:rsidRPr="001D759A">
        <w:rPr>
          <w:lang w:val="es-ES"/>
        </w:rPr>
        <w:t xml:space="preserve"> y había mejorado la transparencia, la rendición de cuentas y la vigilancia de la gestión. Por recomendación de la Unidad de Supervisión, la aplicación se había presentado al Equipo de Transformación de </w:t>
      </w:r>
      <w:r w:rsidR="00103D78">
        <w:rPr>
          <w:lang w:val="es-ES"/>
        </w:rPr>
        <w:t>la UIT</w:t>
      </w:r>
      <w:r w:rsidR="00660957" w:rsidRPr="001D759A">
        <w:rPr>
          <w:lang w:val="es-ES"/>
        </w:rPr>
        <w:t>, que consideró que las demás Oficinas y la Secretaría General podrían utilizarla como prototipo.</w:t>
      </w:r>
      <w:r w:rsidRPr="001D759A">
        <w:rPr>
          <w:lang w:val="es-ES"/>
        </w:rPr>
        <w:t xml:space="preserve"> La BDT también aclaró que se había solicitado a la Oficina Regional para el Sudeste Asiático que clausurara los antiguos proyectos afectados por el fraude. Otras recomendaciones relacionadas con los proyectos </w:t>
      </w:r>
      <w:r w:rsidR="00D53D1E">
        <w:rPr>
          <w:lang w:val="es-ES"/>
        </w:rPr>
        <w:t>eran</w:t>
      </w:r>
      <w:r w:rsidRPr="001D759A">
        <w:rPr>
          <w:lang w:val="es-ES"/>
        </w:rPr>
        <w:t>, en su mayor parte, de carácter sistémico y se ref</w:t>
      </w:r>
      <w:r w:rsidR="00D53D1E">
        <w:rPr>
          <w:lang w:val="es-ES"/>
        </w:rPr>
        <w:t>erían</w:t>
      </w:r>
      <w:r w:rsidRPr="001D759A">
        <w:rPr>
          <w:lang w:val="es-ES"/>
        </w:rPr>
        <w:t xml:space="preserve"> a la contratación y la adquisición. Se ha</w:t>
      </w:r>
      <w:r w:rsidR="00BE59E0">
        <w:rPr>
          <w:lang w:val="es-ES"/>
        </w:rPr>
        <w:t>bían</w:t>
      </w:r>
      <w:r w:rsidRPr="001D759A">
        <w:rPr>
          <w:lang w:val="es-ES"/>
        </w:rPr>
        <w:t xml:space="preserve"> aplicado en coordinación con el FRMD y el HRMD. También se ha</w:t>
      </w:r>
      <w:r w:rsidR="00BE59E0">
        <w:rPr>
          <w:lang w:val="es-ES"/>
        </w:rPr>
        <w:t>bía</w:t>
      </w:r>
      <w:r w:rsidRPr="001D759A">
        <w:rPr>
          <w:lang w:val="es-ES"/>
        </w:rPr>
        <w:t xml:space="preserve">n aplicado las recomendaciones relativas a la formación del personal y a la priorización del uso de los fondos de los donantes con respecto a los fondos de </w:t>
      </w:r>
      <w:r w:rsidR="00103D78">
        <w:rPr>
          <w:lang w:val="es-ES"/>
        </w:rPr>
        <w:t>la UIT</w:t>
      </w:r>
      <w:r w:rsidRPr="001D759A">
        <w:rPr>
          <w:lang w:val="es-ES"/>
        </w:rPr>
        <w:t>.</w:t>
      </w:r>
    </w:p>
    <w:p w14:paraId="261D42D0" w14:textId="294B01D2" w:rsidR="00660957" w:rsidRPr="001D759A" w:rsidRDefault="0035774A" w:rsidP="00660957">
      <w:pPr>
        <w:rPr>
          <w:lang w:val="es-ES"/>
        </w:rPr>
      </w:pPr>
      <w:r w:rsidRPr="001D759A">
        <w:rPr>
          <w:lang w:val="es-ES"/>
        </w:rPr>
        <w:t>28.</w:t>
      </w:r>
      <w:r w:rsidR="003476A0">
        <w:rPr>
          <w:lang w:val="es-ES"/>
        </w:rPr>
        <w:t>5</w:t>
      </w:r>
      <w:r w:rsidRPr="001D759A">
        <w:rPr>
          <w:lang w:val="es-ES"/>
        </w:rPr>
        <w:tab/>
      </w:r>
      <w:r w:rsidR="00660957" w:rsidRPr="001D759A">
        <w:rPr>
          <w:lang w:val="es-ES"/>
        </w:rPr>
        <w:t xml:space="preserve">Los consejeros hicieron hincapié en el papel esencial de la función de auditoría interna en el fortalecimiento de la integridad, el desempeño, la buena gobernanza y la rendición de cuentas de </w:t>
      </w:r>
      <w:r w:rsidR="005457EE">
        <w:rPr>
          <w:lang w:val="es-ES"/>
        </w:rPr>
        <w:t>la Unión</w:t>
      </w:r>
      <w:r w:rsidR="00660957" w:rsidRPr="001D759A">
        <w:rPr>
          <w:lang w:val="es-ES"/>
        </w:rPr>
        <w:t>. Expresaron su reconocimiento por los progresos realizados en la aplicación de las recomendaciones de auditoría, señalaron que era necesario seguir realizando esfuerzos y alentaron a mantener la transparencia en la presentación de informes. Algunos consejeros destacaron la necesidad de adoptar nuevas medidas para reforzar la función de auditoría interna y la solidez de la Unidad de Supervisión, en particular mediante el fortalecimiento de elementos del mecanismo de las tres líneas de defensa, la revisión de la Carta de Supervisión y la evaluación del nivel de madurez de la función sobre la base del modelo de capacidad de auditoría interna. Una consejera destacó la importancia de permitir que la Unidad de Supervisión llevara a cabo su mandato sin procesos paralelos que pudieran diluir su eficacia o aumentar la injerencia del Consejo; el marco actual era adecuado para su propósito y debía permitirse que funcionara según lo previsto.</w:t>
      </w:r>
    </w:p>
    <w:p w14:paraId="4B98F0A4" w14:textId="11CC3331" w:rsidR="00660957" w:rsidRPr="001D759A" w:rsidRDefault="0035774A" w:rsidP="00660957">
      <w:pPr>
        <w:rPr>
          <w:lang w:val="es-ES"/>
        </w:rPr>
      </w:pPr>
      <w:r w:rsidRPr="001D759A">
        <w:rPr>
          <w:lang w:val="es-ES"/>
        </w:rPr>
        <w:t>28.</w:t>
      </w:r>
      <w:r w:rsidR="003476A0">
        <w:rPr>
          <w:lang w:val="es-ES"/>
        </w:rPr>
        <w:t>6</w:t>
      </w:r>
      <w:r w:rsidRPr="001D759A">
        <w:rPr>
          <w:lang w:val="es-ES"/>
        </w:rPr>
        <w:tab/>
      </w:r>
      <w:r w:rsidR="00660957" w:rsidRPr="001D759A">
        <w:rPr>
          <w:lang w:val="es-ES"/>
        </w:rPr>
        <w:t xml:space="preserve">Una consejera destacó que las auditorías deben conducir a medidas correctivas, valor mensurable, ahorro de costes, reducción de riesgos y mejoras operacionales tangibles. Varios consejeros solicitaron información adicional, en particular sobre por qué seguía en curso la aplicación de las recomendaciones formuladas en 2017, cómo se priorizaban las recomendaciones de auditoría, cuáles eran los criterios para seleccionar las recomendaciones de seguimiento y si se habían planificado auditorías de otras oficinas regionales o de zona y departamentos de la Sede. Entre las sugerencias de los consejeros figuraba que los futuros informes incluyeran un resumen anual del plan de auditoría basado en los riesgos y que el informe anual de auditoría contuviera una declaración exhaustiva de independencia, en consonancia con las prácticas idóneas. Un observador sugirió que la evaluación del riesgo del fraude institucional y el marco de rendición de cuentas de </w:t>
      </w:r>
      <w:r w:rsidR="00103D78">
        <w:rPr>
          <w:lang w:val="es-ES"/>
        </w:rPr>
        <w:t>la UIT</w:t>
      </w:r>
      <w:r w:rsidR="00660957" w:rsidRPr="001D759A">
        <w:rPr>
          <w:lang w:val="es-ES"/>
        </w:rPr>
        <w:t xml:space="preserve"> siguieran siendo cuestiones permanentes de auditoría periódica.</w:t>
      </w:r>
    </w:p>
    <w:p w14:paraId="44D45B3A" w14:textId="411C4081" w:rsidR="00660957" w:rsidRPr="001D759A" w:rsidRDefault="00660957" w:rsidP="00756112">
      <w:pPr>
        <w:keepNext/>
        <w:keepLines/>
        <w:tabs>
          <w:tab w:val="left" w:pos="6975"/>
        </w:tabs>
        <w:spacing w:after="120"/>
        <w:rPr>
          <w:lang w:val="es-ES"/>
        </w:rPr>
      </w:pPr>
      <w:r w:rsidRPr="001D759A">
        <w:rPr>
          <w:lang w:val="es-ES"/>
        </w:rPr>
        <w:lastRenderedPageBreak/>
        <w:t>28.</w:t>
      </w:r>
      <w:r w:rsidR="003476A0">
        <w:rPr>
          <w:lang w:val="es-ES"/>
        </w:rPr>
        <w:t>7</w:t>
      </w:r>
      <w:r w:rsidRPr="001D759A">
        <w:rPr>
          <w:lang w:val="es-ES"/>
        </w:rPr>
        <w:tab/>
        <w:t xml:space="preserve">La Comisión </w:t>
      </w:r>
      <w:r w:rsidRPr="001D759A">
        <w:rPr>
          <w:b/>
          <w:bCs/>
          <w:lang w:val="es-ES"/>
        </w:rPr>
        <w:t xml:space="preserve">acordó </w:t>
      </w:r>
      <w:r w:rsidRPr="001D759A">
        <w:rPr>
          <w:lang w:val="es-ES"/>
        </w:rPr>
        <w:t>llegar a la siguiente conclusión:</w:t>
      </w:r>
    </w:p>
    <w:tbl>
      <w:tblPr>
        <w:tblStyle w:val="TableGrid"/>
        <w:tblW w:w="5000" w:type="pct"/>
        <w:tblInd w:w="-147" w:type="dxa"/>
        <w:tblLook w:val="04A0" w:firstRow="1" w:lastRow="0" w:firstColumn="1" w:lastColumn="0" w:noHBand="0" w:noVBand="1"/>
      </w:tblPr>
      <w:tblGrid>
        <w:gridCol w:w="9061"/>
      </w:tblGrid>
      <w:tr w:rsidR="00C87E98" w:rsidRPr="0057685D" w14:paraId="64FAD28D" w14:textId="77777777" w:rsidTr="00C87E98">
        <w:tc>
          <w:tcPr>
            <w:tcW w:w="9061" w:type="dxa"/>
          </w:tcPr>
          <w:p w14:paraId="0BC6F27D" w14:textId="73E36808" w:rsidR="00C87E98" w:rsidRPr="001D759A" w:rsidRDefault="00C87E98" w:rsidP="00756112">
            <w:pPr>
              <w:keepNext/>
              <w:keepLines/>
              <w:tabs>
                <w:tab w:val="clear" w:pos="567"/>
                <w:tab w:val="left" w:pos="605"/>
              </w:tabs>
              <w:spacing w:after="80"/>
              <w:ind w:left="40"/>
              <w:rPr>
                <w:lang w:val="es-ES"/>
              </w:rPr>
            </w:pPr>
            <w:r w:rsidRPr="001D759A">
              <w:rPr>
                <w:lang w:val="es-ES"/>
              </w:rPr>
              <w:t>28.</w:t>
            </w:r>
            <w:r w:rsidR="003476A0">
              <w:rPr>
                <w:lang w:val="es-ES"/>
              </w:rPr>
              <w:t>8</w:t>
            </w:r>
            <w:r w:rsidRPr="001D759A">
              <w:rPr>
                <w:lang w:val="es-ES"/>
              </w:rPr>
              <w:tab/>
              <w:t>La Comisión recomienda al Consejo que:</w:t>
            </w:r>
          </w:p>
          <w:p w14:paraId="43F65A86" w14:textId="0442749A" w:rsidR="00C87E98" w:rsidRDefault="00C87E98" w:rsidP="00756112">
            <w:pPr>
              <w:pStyle w:val="enumlev1"/>
              <w:keepNext/>
              <w:keepLines/>
              <w:tabs>
                <w:tab w:val="clear" w:pos="567"/>
              </w:tabs>
              <w:spacing w:after="120"/>
              <w:ind w:left="605"/>
              <w:rPr>
                <w:rFonts w:cs="Calibri"/>
                <w:szCs w:val="24"/>
                <w:lang w:val="es-ES"/>
              </w:rPr>
            </w:pPr>
            <w:r w:rsidRPr="001D759A">
              <w:rPr>
                <w:lang w:val="es-ES"/>
              </w:rPr>
              <w:t>•</w:t>
            </w:r>
            <w:r w:rsidRPr="001D759A">
              <w:rPr>
                <w:lang w:val="es-ES"/>
              </w:rPr>
              <w:tab/>
              <w:t>tome nota del Informe contenido en el Documento</w:t>
            </w:r>
            <w:r w:rsidR="00BE59E0">
              <w:rPr>
                <w:lang w:val="es-ES"/>
              </w:rPr>
              <w:t xml:space="preserve"> </w:t>
            </w:r>
            <w:hyperlink r:id="rId120" w:history="1">
              <w:r w:rsidR="00E1594D" w:rsidRPr="00181D88">
                <w:rPr>
                  <w:rStyle w:val="Hyperlink"/>
                  <w:rFonts w:cs="Times New Roman"/>
                  <w:szCs w:val="20"/>
                  <w:lang w:val="es-ES"/>
                </w:rPr>
                <w:t>C26/44</w:t>
              </w:r>
            </w:hyperlink>
            <w:r w:rsidR="005E0D5B">
              <w:rPr>
                <w:rFonts w:cs="Calibri"/>
                <w:szCs w:val="24"/>
                <w:lang w:val="es-ES"/>
              </w:rPr>
              <w:t>; y</w:t>
            </w:r>
          </w:p>
          <w:p w14:paraId="2CC38CBC" w14:textId="2EBDF1E3" w:rsidR="005E0D5B" w:rsidRPr="001D759A" w:rsidRDefault="00F15C54" w:rsidP="00756112">
            <w:pPr>
              <w:pStyle w:val="enumlev1"/>
              <w:keepNext/>
              <w:keepLines/>
              <w:tabs>
                <w:tab w:val="clear" w:pos="567"/>
              </w:tabs>
              <w:spacing w:after="120"/>
              <w:ind w:left="605"/>
              <w:rPr>
                <w:lang w:val="es-ES"/>
              </w:rPr>
            </w:pPr>
            <w:r w:rsidRPr="001D759A">
              <w:rPr>
                <w:lang w:val="es-ES"/>
              </w:rPr>
              <w:t>•</w:t>
            </w:r>
            <w:r w:rsidRPr="001D759A">
              <w:rPr>
                <w:lang w:val="es-ES"/>
              </w:rPr>
              <w:tab/>
            </w:r>
            <w:r>
              <w:rPr>
                <w:lang w:val="es-ES"/>
              </w:rPr>
              <w:t>e</w:t>
            </w:r>
            <w:r w:rsidR="005E0D5B">
              <w:rPr>
                <w:rFonts w:cs="Calibri"/>
                <w:szCs w:val="24"/>
                <w:lang w:val="es-ES"/>
              </w:rPr>
              <w:t>ncargue a la Secretaría que presente, antes del 31 de julio de 2026, un informe actualizado con la información solicitada durante los debates del Consejo.</w:t>
            </w:r>
          </w:p>
        </w:tc>
      </w:tr>
    </w:tbl>
    <w:p w14:paraId="451D5F93" w14:textId="761AEC92" w:rsidR="00F70066" w:rsidRPr="001D759A" w:rsidRDefault="00F50B08" w:rsidP="00C87E98">
      <w:pPr>
        <w:pStyle w:val="Heading1"/>
        <w:rPr>
          <w:lang w:val="es-ES"/>
        </w:rPr>
      </w:pPr>
      <w:r w:rsidRPr="001D759A">
        <w:rPr>
          <w:lang w:val="es-ES"/>
        </w:rPr>
        <w:t>2</w:t>
      </w:r>
      <w:r w:rsidR="003476A0">
        <w:rPr>
          <w:lang w:val="es-ES"/>
        </w:rPr>
        <w:t>9</w:t>
      </w:r>
      <w:r w:rsidRPr="001D759A">
        <w:rPr>
          <w:lang w:val="es-ES"/>
        </w:rPr>
        <w:tab/>
        <w:t>Informe de la Unidad de Supervisión sobre la f</w:t>
      </w:r>
      <w:r w:rsidR="00F70066" w:rsidRPr="001D759A">
        <w:rPr>
          <w:lang w:val="es-ES"/>
        </w:rPr>
        <w:t xml:space="preserve">unción de investigación (Documento </w:t>
      </w:r>
      <w:hyperlink r:id="rId121" w:history="1">
        <w:r w:rsidR="00F70066" w:rsidRPr="001D759A">
          <w:rPr>
            <w:rStyle w:val="Hyperlink"/>
            <w:rFonts w:eastAsia="Times New Roman" w:cs="Times New Roman"/>
            <w:szCs w:val="20"/>
            <w:lang w:val="es-ES"/>
          </w:rPr>
          <w:t>C26/39</w:t>
        </w:r>
      </w:hyperlink>
      <w:r w:rsidR="00F70066" w:rsidRPr="001D759A">
        <w:rPr>
          <w:lang w:val="es-ES"/>
        </w:rPr>
        <w:t>)</w:t>
      </w:r>
    </w:p>
    <w:p w14:paraId="7F8E5D99" w14:textId="01F28C03" w:rsidR="005723B6" w:rsidRPr="001D759A" w:rsidRDefault="005723B6" w:rsidP="005723B6">
      <w:pPr>
        <w:rPr>
          <w:rFonts w:cs="Calibri"/>
          <w:lang w:val="es-ES"/>
        </w:rPr>
      </w:pPr>
      <w:r w:rsidRPr="001D759A">
        <w:rPr>
          <w:lang w:val="es-ES"/>
        </w:rPr>
        <w:t>2</w:t>
      </w:r>
      <w:r w:rsidR="003476A0">
        <w:rPr>
          <w:lang w:val="es-ES"/>
        </w:rPr>
        <w:t>9</w:t>
      </w:r>
      <w:r w:rsidRPr="001D759A">
        <w:rPr>
          <w:lang w:val="es-ES"/>
        </w:rPr>
        <w:t>.1</w:t>
      </w:r>
      <w:r w:rsidRPr="001D759A">
        <w:rPr>
          <w:lang w:val="es-ES"/>
        </w:rPr>
        <w:tab/>
        <w:t>La Jefa de la Unidad de Supervisión presentó el Documento C26/39, que contenía el informe de la Unidad de Supervisión sobre su función de investigación para el periodo comprendido entre el 1 de enero de 2025 y el 31 de diciembre de 2025. No se había restringido el acceso a los locales, al personal o a los registros durante el periodo. Se había registrado oficialmente un caso de injerencia en la independencia de las investigaciones. Durante el periodo abarcado por el informe, la Unidad de Supervisión había gestionado 76</w:t>
      </w:r>
      <w:r w:rsidR="00C12E38" w:rsidRPr="001D759A">
        <w:rPr>
          <w:lang w:val="es-ES"/>
        </w:rPr>
        <w:t> </w:t>
      </w:r>
      <w:r w:rsidRPr="001D759A">
        <w:rPr>
          <w:lang w:val="es-ES"/>
        </w:rPr>
        <w:t>casos, a saber, 51 nuevos y 25 arrastrados desde 2024. Se habían cerrado 58 casos. En total, se habían abierto 15 investigaciones: se habían resuelto 12, y seis de ellas se consideraron fundadas.</w:t>
      </w:r>
    </w:p>
    <w:p w14:paraId="18F5FBB1" w14:textId="50F20304" w:rsidR="00C12E38" w:rsidRPr="001D759A" w:rsidRDefault="005723B6" w:rsidP="00C12E38">
      <w:pPr>
        <w:rPr>
          <w:lang w:val="es-ES"/>
        </w:rPr>
      </w:pPr>
      <w:r w:rsidRPr="001D759A">
        <w:rPr>
          <w:lang w:val="es-ES"/>
        </w:rPr>
        <w:t>2</w:t>
      </w:r>
      <w:r w:rsidR="003476A0">
        <w:rPr>
          <w:lang w:val="es-ES"/>
        </w:rPr>
        <w:t>9</w:t>
      </w:r>
      <w:r w:rsidRPr="001D759A">
        <w:rPr>
          <w:lang w:val="es-ES"/>
        </w:rPr>
        <w:t>.2</w:t>
      </w:r>
      <w:r w:rsidRPr="001D759A">
        <w:rPr>
          <w:lang w:val="es-ES"/>
        </w:rPr>
        <w:tab/>
        <w:t>Como gesto significativo en favor de la transparencia, los consejeros acogieron con satisfacción el informe y el documento informativo publicado recientemente (Documento</w:t>
      </w:r>
      <w:r w:rsidR="00C12E38" w:rsidRPr="001D759A">
        <w:rPr>
          <w:lang w:val="es-ES"/>
        </w:rPr>
        <w:t> </w:t>
      </w:r>
      <w:hyperlink r:id="rId122" w:history="1">
        <w:r w:rsidR="0047507A" w:rsidRPr="005A3C5B">
          <w:rPr>
            <w:rStyle w:val="Hyperlink"/>
            <w:lang w:val="es-ES"/>
          </w:rPr>
          <w:t>C26/INF/28</w:t>
        </w:r>
      </w:hyperlink>
      <w:r w:rsidRPr="001D759A">
        <w:rPr>
          <w:lang w:val="es-ES"/>
        </w:rPr>
        <w:t>). Una consejera subrayó que la rendición de cuentas institucional requería una acción integrada y, por tanto, una presentación de informes integrada. Los Estados Miembros no deberían tener necesidad de solicitar información complementaria por escrito. De ahora en adelante, la administración de la oradora esperaría recibir informes completos, claros y exhaustivos por norma o, en caso contrario, revisaría su postura y sus contribuciones.</w:t>
      </w:r>
    </w:p>
    <w:p w14:paraId="6F0FE332" w14:textId="6F6A8592" w:rsidR="005723B6" w:rsidRPr="001D759A" w:rsidRDefault="005723B6" w:rsidP="00C12E38">
      <w:pPr>
        <w:rPr>
          <w:lang w:val="es-ES"/>
        </w:rPr>
      </w:pPr>
      <w:r w:rsidRPr="001D759A">
        <w:rPr>
          <w:lang w:val="es-ES"/>
        </w:rPr>
        <w:t>2</w:t>
      </w:r>
      <w:r w:rsidR="003476A0">
        <w:rPr>
          <w:lang w:val="es-ES"/>
        </w:rPr>
        <w:t>9</w:t>
      </w:r>
      <w:r w:rsidRPr="001D759A">
        <w:rPr>
          <w:lang w:val="es-ES"/>
        </w:rPr>
        <w:t>.3</w:t>
      </w:r>
      <w:r w:rsidRPr="001D759A">
        <w:rPr>
          <w:lang w:val="es-ES"/>
        </w:rPr>
        <w:tab/>
        <w:t>Varios consejeros señalaron el aumento notable del número de denuncias presentadas, con una proporción significativa de acusaciones de fraude y corrupción. Se solicitó más información sobre las medidas correctivas adoptadas cuando las denuncias resultaban fundadas. Se expresaron inquietudes con respecto a la elevada proporción de casos que se habían considerado inadmisibles; los consejeros quisieron saber si existía cierto desconocimiento de qué constituye una reclamación razonable. Antes de proceder a la investigación, se deberían realizar exámenes preliminares más exhaustivos. Se pidieron aclaraciones sobre la dotación de personal de la función de investigación.</w:t>
      </w:r>
    </w:p>
    <w:p w14:paraId="4F8BFAD6" w14:textId="34A30C74" w:rsidR="005723B6" w:rsidRPr="001D759A" w:rsidRDefault="005723B6" w:rsidP="005723B6">
      <w:pPr>
        <w:rPr>
          <w:lang w:val="es-ES"/>
        </w:rPr>
      </w:pPr>
      <w:r w:rsidRPr="001D759A">
        <w:rPr>
          <w:lang w:val="es-ES"/>
        </w:rPr>
        <w:t>2</w:t>
      </w:r>
      <w:r w:rsidR="003476A0">
        <w:rPr>
          <w:lang w:val="es-ES"/>
        </w:rPr>
        <w:t>9</w:t>
      </w:r>
      <w:r w:rsidRPr="001D759A">
        <w:rPr>
          <w:lang w:val="es-ES"/>
        </w:rPr>
        <w:t>.4</w:t>
      </w:r>
      <w:r w:rsidRPr="001D759A">
        <w:rPr>
          <w:lang w:val="es-ES"/>
        </w:rPr>
        <w:tab/>
        <w:t xml:space="preserve">Para garantizar la credibilidad de la función de supervisión, era preciso proteger por completo su independencia; cualquier concesión a este respecto era motivo de inquietud. Por consiguiente, los consejeros preguntaron qué salvaguardas se habían establecido para tal fin, qué lecciones se habían aprendido y qué medidas correctivas se habían adoptado para evitar cualquier injerencia adicional. Sería útil realizar una evaluación de la Unidad de Supervisión. Un consejero se mostró preocupado por la posibilidad de que se produjeran retrasos, dado el creciente número de denuncias presentadas, y advirtió que la imposibilidad de completar las investigaciones a tiempo podría erosionar la confianza en la función de supervisión. En el futuro, los informes deberían incluir información más detallada, como el número de casos por investigador, los recursos utilizados como proporción de los ingresos </w:t>
      </w:r>
      <w:r w:rsidRPr="001D759A">
        <w:rPr>
          <w:lang w:val="es-ES"/>
        </w:rPr>
        <w:lastRenderedPageBreak/>
        <w:t xml:space="preserve">de </w:t>
      </w:r>
      <w:r w:rsidR="00103D78">
        <w:rPr>
          <w:lang w:val="es-ES"/>
        </w:rPr>
        <w:t>la UIT</w:t>
      </w:r>
      <w:r w:rsidRPr="001D759A">
        <w:rPr>
          <w:lang w:val="es-ES"/>
        </w:rPr>
        <w:t xml:space="preserve"> y los plazos de </w:t>
      </w:r>
      <w:r w:rsidRPr="005A3C5B">
        <w:rPr>
          <w:lang w:val="es-ES"/>
        </w:rPr>
        <w:t>investigación</w:t>
      </w:r>
      <w:r w:rsidRPr="001D759A">
        <w:rPr>
          <w:lang w:val="es-ES"/>
        </w:rPr>
        <w:t xml:space="preserve">. Otra consejera subrayó la importancia de presentar información completa al Consejo, sobre todo datos desglosados por categoría de caso, para mejorar la transparencia y evidenciar las tendencias institucionales, especialmente en el caso de las numerosas denuncias que se habían considerado </w:t>
      </w:r>
      <w:r w:rsidR="00113F8D" w:rsidRPr="001D759A">
        <w:rPr>
          <w:lang w:val="es-ES"/>
        </w:rPr>
        <w:t>"</w:t>
      </w:r>
      <w:r w:rsidRPr="001D759A">
        <w:rPr>
          <w:lang w:val="es-ES"/>
        </w:rPr>
        <w:t>ajenas al mandato</w:t>
      </w:r>
      <w:r w:rsidR="00113F8D" w:rsidRPr="001D759A">
        <w:rPr>
          <w:lang w:val="es-ES"/>
        </w:rPr>
        <w:t>"</w:t>
      </w:r>
      <w:r w:rsidRPr="001D759A">
        <w:rPr>
          <w:lang w:val="es-ES"/>
        </w:rPr>
        <w:t xml:space="preserve"> o pertenecientes a la categoría "otros". La administración de la oradora no estaba de acuerdo con la afirmación de la Secretaría según la cual no todas las denuncias de conducta indebida merecían ser categorizadas; el uso de una terminología clara permitiría realizar comparaciones interanuales y facilitaría la adopción de decisiones fundamentadas.</w:t>
      </w:r>
    </w:p>
    <w:p w14:paraId="4822BF61" w14:textId="123CD566" w:rsidR="005723B6" w:rsidRPr="001D759A" w:rsidRDefault="005723B6" w:rsidP="005723B6">
      <w:pPr>
        <w:rPr>
          <w:rFonts w:eastAsia="Calibri" w:cs="Calibri"/>
          <w:lang w:val="es-ES"/>
        </w:rPr>
      </w:pPr>
      <w:r w:rsidRPr="001D759A">
        <w:rPr>
          <w:lang w:val="es-ES"/>
        </w:rPr>
        <w:t>2</w:t>
      </w:r>
      <w:r w:rsidR="003476A0">
        <w:rPr>
          <w:lang w:val="es-ES"/>
        </w:rPr>
        <w:t>9</w:t>
      </w:r>
      <w:r w:rsidRPr="001D759A">
        <w:rPr>
          <w:lang w:val="es-ES"/>
        </w:rPr>
        <w:t>.5</w:t>
      </w:r>
      <w:r w:rsidRPr="001D759A">
        <w:rPr>
          <w:lang w:val="es-ES"/>
        </w:rPr>
        <w:tab/>
        <w:t>En respuesta a las preguntas formuladas, la Jefa de la Unidad de Supervisión afirmó que el número de casos de fraude y corrupción denunciados se había ajustado a las expectativas; el HRMD había asumido los casos relacionados principalmente con el fraude de prestaciones y las medidas correctivas. Un caso de fraude había sido justificado con un asunto relacionado con los recursos humanos cuyos elementos se ha</w:t>
      </w:r>
      <w:r w:rsidR="00113F8D" w:rsidRPr="001D759A">
        <w:rPr>
          <w:lang w:val="es-ES"/>
        </w:rPr>
        <w:t>bía</w:t>
      </w:r>
      <w:r w:rsidRPr="001D759A">
        <w:rPr>
          <w:lang w:val="es-ES"/>
        </w:rPr>
        <w:t>n tratado en el</w:t>
      </w:r>
      <w:r w:rsidR="00113F8D" w:rsidRPr="001D759A">
        <w:rPr>
          <w:lang w:val="es-ES"/>
        </w:rPr>
        <w:t> </w:t>
      </w:r>
      <w:r w:rsidRPr="001D759A">
        <w:rPr>
          <w:lang w:val="es-ES"/>
        </w:rPr>
        <w:t>HRMD. En general, las tasas de conversión y justificación estaban en consonancia con las normas mundiales; los puntos de referencia y las mejores prácticas de la industria sugerían que, con funciones de cumplimiento consolidadas, entre el 40</w:t>
      </w:r>
      <w:r w:rsidR="00B54B97">
        <w:rPr>
          <w:lang w:val="es-ES"/>
        </w:rPr>
        <w:t> </w:t>
      </w:r>
      <w:r w:rsidRPr="001D759A">
        <w:rPr>
          <w:lang w:val="es-ES"/>
        </w:rPr>
        <w:t>% y el 60</w:t>
      </w:r>
      <w:r w:rsidR="00B54B97">
        <w:rPr>
          <w:lang w:val="es-ES"/>
        </w:rPr>
        <w:t> </w:t>
      </w:r>
      <w:r w:rsidRPr="001D759A">
        <w:rPr>
          <w:lang w:val="es-ES"/>
        </w:rPr>
        <w:t>% de las denuncias pasaban a investigaciones formales. La tasa de admisibilidad del 50</w:t>
      </w:r>
      <w:r w:rsidR="00956574" w:rsidRPr="001D759A">
        <w:rPr>
          <w:lang w:val="es-ES"/>
        </w:rPr>
        <w:t> </w:t>
      </w:r>
      <w:r w:rsidRPr="001D759A">
        <w:rPr>
          <w:lang w:val="es-ES"/>
        </w:rPr>
        <w:t>% no se consideró motivo de preocupación. La función de la Unidad de Supervisión, como responsable del mantenimiento de los registros, incluía tomar decisiones ajenas a su mandato. La Unidad de Supervisión era nueva y había realizado numerosas actividades de divulgación que habían contribuido a incrementar el número de denuncias. No resultaba sorprendente que hubiera aumentado la actividad, como tampoco el hecho de que no todas las denuncias estuvieran incluidas en el mandato de la Unidad, y la tendencia probablemente continuaría si se ampliara la divulgación. Aunque se había acumulado trabajo retrasado debido al incremento del número de casos y a la escasez de recursos, se había informado al CAIG de los factores adyuvantes, que se habían gestionado con recursos a corto plazo. Existía un puesto permanente de investigador P.4, al que se había añadido un puesto P.4 de corta duración válido hasta julio de 2026 que se estaba considerando renovar en estos momentos. Además, se contaba con la asistencia de un oficial de supervisión P.2 con contrato de corta duración. Las medidas disciplinarias no figuraban en el mandato de la Unidad de Supervisión y el</w:t>
      </w:r>
      <w:r w:rsidR="00956574" w:rsidRPr="001D759A">
        <w:rPr>
          <w:lang w:val="es-ES"/>
        </w:rPr>
        <w:t xml:space="preserve"> </w:t>
      </w:r>
      <w:r w:rsidRPr="001D759A">
        <w:rPr>
          <w:lang w:val="es-ES"/>
        </w:rPr>
        <w:t xml:space="preserve">HRMD se ocuparía de ellas en un informe para el Consejo. Podrían adoptarse otras medidas para establecer una presentación de informes acorde con las solicitudes de los consejeros y proporcionar información más detallada y desglosada, posiblemente en un documento informativo. Tomando nota de la solicitud de información específica sobre los tipos de casos clasificados como "otros", el uso de la categoría "otros" estaba plenamente en consonancia con la práctica de investigación de las </w:t>
      </w:r>
      <w:r w:rsidR="000E31A1">
        <w:rPr>
          <w:lang w:val="es-ES"/>
        </w:rPr>
        <w:t>Naciones Unidas</w:t>
      </w:r>
      <w:r w:rsidRPr="001D759A">
        <w:rPr>
          <w:lang w:val="es-ES"/>
        </w:rPr>
        <w:t>.</w:t>
      </w:r>
    </w:p>
    <w:p w14:paraId="7814CBB2" w14:textId="2DCC8678" w:rsidR="005723B6" w:rsidRPr="001D759A" w:rsidRDefault="005723B6" w:rsidP="00756112">
      <w:pPr>
        <w:keepNext/>
        <w:keepLines/>
        <w:spacing w:after="120"/>
        <w:rPr>
          <w:lang w:val="es-ES"/>
        </w:rPr>
      </w:pPr>
      <w:r w:rsidRPr="001D759A">
        <w:rPr>
          <w:lang w:val="es-ES"/>
        </w:rPr>
        <w:lastRenderedPageBreak/>
        <w:t>2</w:t>
      </w:r>
      <w:r w:rsidR="003476A0">
        <w:rPr>
          <w:lang w:val="es-ES"/>
        </w:rPr>
        <w:t>9</w:t>
      </w:r>
      <w:r w:rsidRPr="001D759A">
        <w:rPr>
          <w:lang w:val="es-ES"/>
        </w:rPr>
        <w:t>.6</w:t>
      </w:r>
      <w:r w:rsidRPr="001D759A">
        <w:rPr>
          <w:lang w:val="es-ES"/>
        </w:rPr>
        <w:tab/>
        <w:t xml:space="preserve">La Comisión </w:t>
      </w:r>
      <w:r w:rsidRPr="001D759A">
        <w:rPr>
          <w:b/>
          <w:bCs/>
          <w:lang w:val="es-ES"/>
        </w:rPr>
        <w:t xml:space="preserve">acordó </w:t>
      </w:r>
      <w:r w:rsidRPr="001D759A">
        <w:rPr>
          <w:lang w:val="es-ES"/>
        </w:rPr>
        <w:t>llegar a la siguiente conclusión:</w:t>
      </w:r>
    </w:p>
    <w:tbl>
      <w:tblPr>
        <w:tblStyle w:val="TableGrid"/>
        <w:tblW w:w="5000" w:type="pct"/>
        <w:tblInd w:w="-147" w:type="dxa"/>
        <w:tblLook w:val="04A0" w:firstRow="1" w:lastRow="0" w:firstColumn="1" w:lastColumn="0" w:noHBand="0" w:noVBand="1"/>
      </w:tblPr>
      <w:tblGrid>
        <w:gridCol w:w="9061"/>
      </w:tblGrid>
      <w:tr w:rsidR="00956574" w:rsidRPr="0057685D" w14:paraId="61086874" w14:textId="77777777" w:rsidTr="00956574">
        <w:tc>
          <w:tcPr>
            <w:tcW w:w="9208" w:type="dxa"/>
          </w:tcPr>
          <w:p w14:paraId="68EF9A7E" w14:textId="1A4F64DD" w:rsidR="00956574" w:rsidRPr="001D759A" w:rsidRDefault="00956574" w:rsidP="00756112">
            <w:pPr>
              <w:keepNext/>
              <w:keepLines/>
              <w:tabs>
                <w:tab w:val="clear" w:pos="567"/>
                <w:tab w:val="left" w:pos="605"/>
              </w:tabs>
              <w:spacing w:after="80"/>
              <w:ind w:left="40"/>
              <w:rPr>
                <w:rFonts w:eastAsia="Calibri" w:cs="Calibri"/>
                <w:szCs w:val="24"/>
                <w:lang w:val="es-ES"/>
              </w:rPr>
            </w:pPr>
            <w:r w:rsidRPr="001D759A">
              <w:rPr>
                <w:rFonts w:eastAsia="Calibri" w:cs="Calibri"/>
                <w:szCs w:val="24"/>
                <w:lang w:val="es-ES"/>
              </w:rPr>
              <w:t>2</w:t>
            </w:r>
            <w:r w:rsidR="003476A0">
              <w:rPr>
                <w:rFonts w:eastAsia="Calibri" w:cs="Calibri"/>
                <w:szCs w:val="24"/>
                <w:lang w:val="es-ES"/>
              </w:rPr>
              <w:t>9</w:t>
            </w:r>
            <w:r w:rsidRPr="001D759A">
              <w:rPr>
                <w:rFonts w:eastAsia="Calibri" w:cs="Calibri"/>
                <w:szCs w:val="24"/>
                <w:lang w:val="es-ES"/>
              </w:rPr>
              <w:t>.7</w:t>
            </w:r>
            <w:r w:rsidRPr="001D759A">
              <w:rPr>
                <w:rFonts w:eastAsia="Calibri" w:cs="Calibri"/>
                <w:szCs w:val="24"/>
                <w:lang w:val="es-ES"/>
              </w:rPr>
              <w:tab/>
              <w:t>La Comisión recomienda que el Consejo:</w:t>
            </w:r>
          </w:p>
          <w:p w14:paraId="61444716" w14:textId="3912BDE8" w:rsidR="00956574" w:rsidRDefault="00956574" w:rsidP="00756112">
            <w:pPr>
              <w:pStyle w:val="enumlev1"/>
              <w:keepNext/>
              <w:keepLines/>
              <w:tabs>
                <w:tab w:val="clear" w:pos="567"/>
              </w:tabs>
              <w:spacing w:after="120"/>
              <w:ind w:left="605"/>
              <w:rPr>
                <w:lang w:val="es-ES"/>
              </w:rPr>
            </w:pPr>
            <w:r w:rsidRPr="001D759A">
              <w:rPr>
                <w:lang w:val="es-ES"/>
              </w:rPr>
              <w:t>•</w:t>
            </w:r>
            <w:r w:rsidRPr="001D759A">
              <w:rPr>
                <w:lang w:val="es-ES"/>
              </w:rPr>
              <w:tab/>
              <w:t xml:space="preserve">tome nota del informe contenido en el Documento </w:t>
            </w:r>
            <w:hyperlink r:id="rId123" w:history="1">
              <w:r w:rsidR="0047507A" w:rsidRPr="005A3C5B">
                <w:rPr>
                  <w:rStyle w:val="Hyperlink"/>
                  <w:rFonts w:cs="Times New Roman"/>
                  <w:szCs w:val="20"/>
                  <w:lang w:val="es-ES"/>
                </w:rPr>
                <w:t>C26/39</w:t>
              </w:r>
            </w:hyperlink>
            <w:r w:rsidR="005E0D5B">
              <w:rPr>
                <w:lang w:val="es-ES"/>
              </w:rPr>
              <w:t>;</w:t>
            </w:r>
          </w:p>
          <w:p w14:paraId="4D2A33CA" w14:textId="48CBD147" w:rsidR="005E0D5B" w:rsidRDefault="00F15C54" w:rsidP="00756112">
            <w:pPr>
              <w:pStyle w:val="enumlev1"/>
              <w:keepNext/>
              <w:keepLines/>
              <w:tabs>
                <w:tab w:val="clear" w:pos="567"/>
              </w:tabs>
              <w:spacing w:after="120"/>
              <w:ind w:left="605"/>
              <w:rPr>
                <w:lang w:val="es-ES"/>
              </w:rPr>
            </w:pPr>
            <w:r w:rsidRPr="001D759A">
              <w:rPr>
                <w:lang w:val="es-ES"/>
              </w:rPr>
              <w:t>•</w:t>
            </w:r>
            <w:r w:rsidRPr="001D759A">
              <w:rPr>
                <w:lang w:val="es-ES"/>
              </w:rPr>
              <w:tab/>
            </w:r>
            <w:r>
              <w:rPr>
                <w:lang w:val="es-ES"/>
              </w:rPr>
              <w:t>a</w:t>
            </w:r>
            <w:r w:rsidR="005E0D5B">
              <w:rPr>
                <w:lang w:val="es-ES"/>
              </w:rPr>
              <w:t>nime a la Secretaría a tomar las medidas necesarias para asegurarse de que los casos archivados se consideran a nivel factual y jurídico; y</w:t>
            </w:r>
          </w:p>
          <w:p w14:paraId="5CB32E69" w14:textId="7A0D098F" w:rsidR="005E0D5B" w:rsidRPr="001D759A" w:rsidRDefault="00F15C54" w:rsidP="00756112">
            <w:pPr>
              <w:pStyle w:val="enumlev1"/>
              <w:keepNext/>
              <w:keepLines/>
              <w:tabs>
                <w:tab w:val="clear" w:pos="567"/>
              </w:tabs>
              <w:spacing w:after="120"/>
              <w:ind w:left="605"/>
              <w:rPr>
                <w:lang w:val="es-ES"/>
              </w:rPr>
            </w:pPr>
            <w:r w:rsidRPr="001D759A">
              <w:rPr>
                <w:lang w:val="es-ES"/>
              </w:rPr>
              <w:t>•</w:t>
            </w:r>
            <w:r w:rsidRPr="001D759A">
              <w:rPr>
                <w:lang w:val="es-ES"/>
              </w:rPr>
              <w:tab/>
            </w:r>
            <w:r>
              <w:rPr>
                <w:lang w:val="es-ES"/>
              </w:rPr>
              <w:t>e</w:t>
            </w:r>
            <w:r w:rsidR="005E0D5B">
              <w:rPr>
                <w:lang w:val="es-ES"/>
              </w:rPr>
              <w:t xml:space="preserve">ncargue a la Secretaría que presente, antes del 31 de julio de 2026, </w:t>
            </w:r>
            <w:r>
              <w:rPr>
                <w:lang w:val="es-ES"/>
              </w:rPr>
              <w:t>u</w:t>
            </w:r>
            <w:r w:rsidR="005E0D5B">
              <w:rPr>
                <w:lang w:val="es-ES"/>
              </w:rPr>
              <w:t>n informe actualizado con la información solicitada durante los debates del Consejo, incluso sobre la capacidad de la función de investigación y la adecuación de los recursos que se le han asignado.</w:t>
            </w:r>
          </w:p>
        </w:tc>
      </w:tr>
    </w:tbl>
    <w:p w14:paraId="778B7981" w14:textId="72DD3FC2" w:rsidR="00F70066" w:rsidRPr="001D759A" w:rsidRDefault="003476A0" w:rsidP="00A45EB9">
      <w:pPr>
        <w:pStyle w:val="Heading1"/>
        <w:rPr>
          <w:lang w:val="es-ES"/>
        </w:rPr>
      </w:pPr>
      <w:r>
        <w:rPr>
          <w:lang w:val="es-ES"/>
        </w:rPr>
        <w:t>30</w:t>
      </w:r>
      <w:r w:rsidR="00F50B08" w:rsidRPr="001D759A">
        <w:rPr>
          <w:lang w:val="es-ES"/>
        </w:rPr>
        <w:tab/>
        <w:t>Informe de la Unidad de Supervisión sobre el p</w:t>
      </w:r>
      <w:r w:rsidR="00F70066" w:rsidRPr="001D759A">
        <w:rPr>
          <w:lang w:val="es-ES"/>
        </w:rPr>
        <w:t xml:space="preserve">lan de evaluación bienal de la Unidad de Supervisión (2026-2027) (Documento </w:t>
      </w:r>
      <w:hyperlink r:id="rId124" w:history="1">
        <w:r w:rsidR="00F70066" w:rsidRPr="001D759A">
          <w:rPr>
            <w:rStyle w:val="Hyperlink"/>
            <w:rFonts w:eastAsia="Times New Roman" w:cs="Times New Roman"/>
            <w:szCs w:val="20"/>
            <w:lang w:val="es-ES"/>
          </w:rPr>
          <w:t>C26/45</w:t>
        </w:r>
      </w:hyperlink>
      <w:r w:rsidR="00F70066" w:rsidRPr="001D759A">
        <w:rPr>
          <w:lang w:val="es-ES"/>
        </w:rPr>
        <w:t>)</w:t>
      </w:r>
    </w:p>
    <w:p w14:paraId="4F6578F8" w14:textId="1AF29CCC" w:rsidR="005052FE" w:rsidRPr="001D759A" w:rsidRDefault="003476A0" w:rsidP="005052FE">
      <w:pPr>
        <w:rPr>
          <w:lang w:val="es-ES"/>
        </w:rPr>
      </w:pPr>
      <w:r>
        <w:rPr>
          <w:lang w:val="es-ES"/>
        </w:rPr>
        <w:t>30</w:t>
      </w:r>
      <w:r w:rsidR="005052FE" w:rsidRPr="001D759A">
        <w:rPr>
          <w:lang w:val="es-ES"/>
        </w:rPr>
        <w:t>.1</w:t>
      </w:r>
      <w:r w:rsidR="005052FE" w:rsidRPr="001D759A">
        <w:rPr>
          <w:lang w:val="es-ES"/>
        </w:rPr>
        <w:tab/>
        <w:t>La Jefa de la Unidad de Supervisión presentó el Documento C26/45, que contenía el plan de evaluaciones centralizada y descentralizada para 2026</w:t>
      </w:r>
      <w:r w:rsidR="005052FE" w:rsidRPr="001D759A">
        <w:rPr>
          <w:lang w:val="es-ES"/>
        </w:rPr>
        <w:noBreakHyphen/>
        <w:t xml:space="preserve">2027 que llevaría a cabo la función de evaluación de la Unidad de Supervisión, para su examen por el Consejo de conformidad con la Carta de Supervisión Interna de </w:t>
      </w:r>
      <w:r w:rsidR="00103D78">
        <w:rPr>
          <w:lang w:val="es-ES"/>
        </w:rPr>
        <w:t>la UIT</w:t>
      </w:r>
      <w:r w:rsidR="005052FE" w:rsidRPr="001D759A">
        <w:rPr>
          <w:lang w:val="es-ES"/>
        </w:rPr>
        <w:t xml:space="preserve">. </w:t>
      </w:r>
    </w:p>
    <w:p w14:paraId="02DE9F3C" w14:textId="42813307" w:rsidR="005052FE" w:rsidRPr="001D759A" w:rsidRDefault="003476A0" w:rsidP="005052FE">
      <w:pPr>
        <w:rPr>
          <w:lang w:val="es-ES"/>
        </w:rPr>
      </w:pPr>
      <w:r>
        <w:rPr>
          <w:lang w:val="es-ES"/>
        </w:rPr>
        <w:t>30</w:t>
      </w:r>
      <w:r w:rsidR="005052FE" w:rsidRPr="001D759A">
        <w:rPr>
          <w:lang w:val="es-ES"/>
        </w:rPr>
        <w:t>.2</w:t>
      </w:r>
      <w:r w:rsidR="005052FE" w:rsidRPr="001D759A">
        <w:rPr>
          <w:lang w:val="es-ES"/>
        </w:rPr>
        <w:tab/>
        <w:t>Los consejeros acogieron con beneplácito el plan y mostraron esperanza en que la nueva función de evaluación produjese resultados positivos. Se formularon preguntas sobre los aspectos prácticos de la función de supervisión, en particular los criterios con los que la</w:t>
      </w:r>
      <w:r w:rsidR="00F26FD5" w:rsidRPr="001D759A">
        <w:rPr>
          <w:lang w:val="es-ES"/>
        </w:rPr>
        <w:t> </w:t>
      </w:r>
      <w:r w:rsidR="005052FE" w:rsidRPr="001D759A">
        <w:rPr>
          <w:lang w:val="es-ES"/>
        </w:rPr>
        <w:t>Unidad de Supervisión decidiría si realizar una evaluación rápida o una evaluación normalizada, y cuáles eran los plazos para cada una. Un consejero propuso que se incluyera un objetivo general en el plan de evaluación. Los consejeros mostraron su deseo de saber cómo se habían establecido los ámbitos de evaluación, si el Consejo tendría la oportunidad de revisarlos y si se llevaría a cabo una evaluación de las repercusiones de las evaluaciones cuyos resultados se comunicarían al Consejo. Se formularon preguntas sobre el formato de las recomendaciones de evaluación y sobre la forma en que se supervisaría su aplicación; ¿se crearía un tablero de recomendaciones? Los consejeros pidieron que se aclarase cómo se dotaría de personal a la función de evaluación y propusieron que se llevase a cabo un análisis de costes y beneficios del modelo basado en consultores. Un consejero apoyó el examen del FD-</w:t>
      </w:r>
      <w:proofErr w:type="gramStart"/>
      <w:r w:rsidR="005052FE" w:rsidRPr="001D759A">
        <w:rPr>
          <w:lang w:val="es-ES"/>
        </w:rPr>
        <w:t>TIC</w:t>
      </w:r>
      <w:proofErr w:type="gramEnd"/>
      <w:r w:rsidR="005052FE" w:rsidRPr="001D759A">
        <w:rPr>
          <w:lang w:val="es-ES"/>
        </w:rPr>
        <w:t xml:space="preserve"> pero advirtió que, en la coyuntura del momento, una evaluación de </w:t>
      </w:r>
      <w:r w:rsidR="00D32D09">
        <w:rPr>
          <w:lang w:val="es-ES"/>
        </w:rPr>
        <w:t>"</w:t>
      </w:r>
      <w:r w:rsidR="005052FE" w:rsidRPr="001D759A">
        <w:rPr>
          <w:lang w:val="es-ES"/>
        </w:rPr>
        <w:t>AI for Good</w:t>
      </w:r>
      <w:r w:rsidR="00D32D09">
        <w:rPr>
          <w:lang w:val="es-ES"/>
        </w:rPr>
        <w:t>"</w:t>
      </w:r>
      <w:r w:rsidR="005052FE" w:rsidRPr="001D759A">
        <w:rPr>
          <w:lang w:val="es-ES"/>
        </w:rPr>
        <w:t xml:space="preserve"> sería prematura. Un observador acogió con beneplácito la función de evaluación como un aspecto fundamental de la gestión basada en los resultados y propuso que se creara un Grupo de contacto para los Estados Miembros, similar al Grupo de Evaluación de las</w:t>
      </w:r>
      <w:r w:rsidR="00F26FD5" w:rsidRPr="001D759A">
        <w:rPr>
          <w:lang w:val="es-ES"/>
        </w:rPr>
        <w:t> </w:t>
      </w:r>
      <w:r w:rsidR="000E31A1">
        <w:rPr>
          <w:lang w:val="es-ES"/>
        </w:rPr>
        <w:t>Naciones Unidas</w:t>
      </w:r>
      <w:r w:rsidR="005052FE" w:rsidRPr="001D759A">
        <w:rPr>
          <w:lang w:val="es-ES"/>
        </w:rPr>
        <w:t xml:space="preserve"> (UNEG). Sería útil organizar una sesión informativa oficiosa para los Estados Miembros a fin de compartir información más detallada sobre la función de evaluación a medida que esta se iba desarrollando. Debería evaluarse la transformación de </w:t>
      </w:r>
      <w:r w:rsidR="00103D78">
        <w:rPr>
          <w:lang w:val="es-ES"/>
        </w:rPr>
        <w:t>la UIT</w:t>
      </w:r>
      <w:r w:rsidR="005052FE" w:rsidRPr="001D759A">
        <w:rPr>
          <w:lang w:val="es-ES"/>
        </w:rPr>
        <w:t xml:space="preserve"> y los recursos humanos.</w:t>
      </w:r>
    </w:p>
    <w:p w14:paraId="3CC13F6D" w14:textId="03934742" w:rsidR="00F70066" w:rsidRPr="001D759A" w:rsidRDefault="003476A0" w:rsidP="005052FE">
      <w:pPr>
        <w:rPr>
          <w:lang w:val="es-ES"/>
        </w:rPr>
      </w:pPr>
      <w:r>
        <w:rPr>
          <w:lang w:val="es-ES"/>
        </w:rPr>
        <w:t>30</w:t>
      </w:r>
      <w:r w:rsidR="005052FE" w:rsidRPr="001D759A">
        <w:rPr>
          <w:lang w:val="es-ES"/>
        </w:rPr>
        <w:t>.3</w:t>
      </w:r>
      <w:r w:rsidR="005052FE" w:rsidRPr="001D759A">
        <w:rPr>
          <w:lang w:val="es-ES"/>
        </w:rPr>
        <w:tab/>
        <w:t xml:space="preserve">La Jefa de la Unidad de Supervisión declaró que se había tomado debida nota de las preocupaciones relativas a la evaluación de </w:t>
      </w:r>
      <w:r w:rsidR="00D32D09">
        <w:rPr>
          <w:lang w:val="es-ES"/>
        </w:rPr>
        <w:t>"</w:t>
      </w:r>
      <w:r w:rsidR="005052FE" w:rsidRPr="001D759A">
        <w:rPr>
          <w:lang w:val="es-ES"/>
        </w:rPr>
        <w:t>AI for Good</w:t>
      </w:r>
      <w:r w:rsidR="00D32D09">
        <w:rPr>
          <w:lang w:val="es-ES"/>
        </w:rPr>
        <w:t>"</w:t>
      </w:r>
      <w:r w:rsidR="005052FE" w:rsidRPr="001D759A">
        <w:rPr>
          <w:lang w:val="es-ES"/>
        </w:rPr>
        <w:t xml:space="preserve"> y </w:t>
      </w:r>
      <w:r w:rsidR="006233AB">
        <w:rPr>
          <w:lang w:val="es-ES"/>
        </w:rPr>
        <w:t xml:space="preserve">de </w:t>
      </w:r>
      <w:r w:rsidR="005052FE" w:rsidRPr="001D759A">
        <w:rPr>
          <w:lang w:val="es-ES"/>
        </w:rPr>
        <w:t>la solicitud de</w:t>
      </w:r>
      <w:r w:rsidR="006233AB">
        <w:rPr>
          <w:lang w:val="es-ES"/>
        </w:rPr>
        <w:t xml:space="preserve"> evaluar la</w:t>
      </w:r>
      <w:r w:rsidR="005052FE" w:rsidRPr="001D759A">
        <w:rPr>
          <w:lang w:val="es-ES"/>
        </w:rPr>
        <w:t xml:space="preserve"> transformación de los recursos humanos. El plan de evaluación se había elaborado en un amplio proceso de consultas, en particular con la alta dirección, y se habían examinado los riesgos y aspectos prácticos de la realización de las evaluaciones, así como su potencial para proporcionar información útil con miras a mejorar las funciones de la organización. Se había </w:t>
      </w:r>
      <w:r w:rsidR="005052FE" w:rsidRPr="001D759A">
        <w:rPr>
          <w:lang w:val="es-ES"/>
        </w:rPr>
        <w:lastRenderedPageBreak/>
        <w:t xml:space="preserve">estudiado la posibilidad de utilizar evaluaciones rápidas en el primer año de evaluaciones para gestionar las expectativas, en consonancia con la disponibilidad de recursos. Las evaluaciones normalizadas serían más completas y sólidas y requerirían más recursos. </w:t>
      </w:r>
      <w:r w:rsidR="002E155D" w:rsidRPr="001D759A">
        <w:rPr>
          <w:lang w:val="es-ES"/>
        </w:rPr>
        <w:t xml:space="preserve">Las evaluaciones rápidas ofrecen un medio práctico de ofrecer pruebas y resultan útiles cuando el plazo es corto y se dispone de menos recursos. </w:t>
      </w:r>
      <w:r w:rsidR="005052FE" w:rsidRPr="001D759A">
        <w:rPr>
          <w:lang w:val="es-ES"/>
        </w:rPr>
        <w:t>Podría añadirse una meta general a la declaración de misión al comienzo del plan de evaluación. Se estaba trabajando en el marco y la política de evaluación, y en la fase de determinación del alcance se elaboraría un marco para cada evaluación</w:t>
      </w:r>
      <w:r w:rsidR="002E155D" w:rsidRPr="001D759A">
        <w:rPr>
          <w:lang w:val="es-ES"/>
        </w:rPr>
        <w:t>, que se incluiría en el mandato</w:t>
      </w:r>
      <w:r w:rsidR="005052FE" w:rsidRPr="001D759A">
        <w:rPr>
          <w:lang w:val="es-ES"/>
        </w:rPr>
        <w:t xml:space="preserve">. El formato de la recomendación se ajustaría a las directrices del UNEG y se seguiría su aplicación a través de un tablero. Los informes de evaluación estarían a disposición del público y la Unidad de Supervisión informaría anualmente al Consejo. Se establecería un panel de revisión </w:t>
      </w:r>
      <w:r w:rsidR="002E155D" w:rsidRPr="001D759A">
        <w:rPr>
          <w:lang w:val="es-ES"/>
        </w:rPr>
        <w:t>para</w:t>
      </w:r>
      <w:r w:rsidR="005052FE" w:rsidRPr="001D759A">
        <w:rPr>
          <w:lang w:val="es-ES"/>
        </w:rPr>
        <w:t xml:space="preserve"> la selección </w:t>
      </w:r>
      <w:r w:rsidR="002E155D" w:rsidRPr="001D759A">
        <w:rPr>
          <w:lang w:val="es-ES"/>
        </w:rPr>
        <w:t>d</w:t>
      </w:r>
      <w:r w:rsidR="005052FE" w:rsidRPr="001D759A">
        <w:rPr>
          <w:lang w:val="es-ES"/>
        </w:rPr>
        <w:t>el equipo de evaluación</w:t>
      </w:r>
      <w:r w:rsidR="002E155D" w:rsidRPr="001D759A">
        <w:rPr>
          <w:lang w:val="es-ES"/>
        </w:rPr>
        <w:t xml:space="preserve"> o del/</w:t>
      </w:r>
      <w:proofErr w:type="gramStart"/>
      <w:r w:rsidR="002E155D" w:rsidRPr="001D759A">
        <w:rPr>
          <w:lang w:val="es-ES"/>
        </w:rPr>
        <w:t>de los evaluador</w:t>
      </w:r>
      <w:proofErr w:type="gramEnd"/>
      <w:r w:rsidR="002E155D" w:rsidRPr="001D759A">
        <w:rPr>
          <w:lang w:val="es-ES"/>
        </w:rPr>
        <w:t>(es), que llevaría a cabo la selección de manera transparente y de acuerdo con los criterios establecidos</w:t>
      </w:r>
      <w:r w:rsidR="005052FE" w:rsidRPr="001D759A">
        <w:rPr>
          <w:lang w:val="es-ES"/>
        </w:rPr>
        <w:t>.</w:t>
      </w:r>
    </w:p>
    <w:p w14:paraId="5CAB1249" w14:textId="6F461F44" w:rsidR="00F70066" w:rsidRPr="001D759A" w:rsidRDefault="003476A0" w:rsidP="00F70066">
      <w:pPr>
        <w:spacing w:after="120"/>
        <w:rPr>
          <w:lang w:val="es-ES"/>
        </w:rPr>
      </w:pPr>
      <w:r>
        <w:rPr>
          <w:lang w:val="es-ES"/>
        </w:rPr>
        <w:t>30</w:t>
      </w:r>
      <w:r w:rsidR="00F70066" w:rsidRPr="001D759A">
        <w:rPr>
          <w:lang w:val="es-ES"/>
        </w:rPr>
        <w:t>.</w:t>
      </w:r>
      <w:r w:rsidR="005052FE" w:rsidRPr="001D759A">
        <w:rPr>
          <w:lang w:val="es-ES"/>
        </w:rPr>
        <w:t>4</w:t>
      </w:r>
      <w:r w:rsidR="00F70066" w:rsidRPr="001D759A">
        <w:rPr>
          <w:lang w:val="es-ES"/>
        </w:rPr>
        <w:tab/>
      </w:r>
      <w:hyperlink r:id="rId125" w:history="1">
        <w:r w:rsidR="00F70066" w:rsidRPr="001D759A">
          <w:rPr>
            <w:lang w:val="es-ES"/>
          </w:rPr>
          <w:t xml:space="preserve">La Comisión </w:t>
        </w:r>
        <w:r w:rsidR="00F70066" w:rsidRPr="001D759A">
          <w:rPr>
            <w:b/>
            <w:bCs/>
            <w:lang w:val="es-ES"/>
          </w:rPr>
          <w:t>acordó</w:t>
        </w:r>
        <w:r w:rsidR="00F70066" w:rsidRPr="001D759A">
          <w:rPr>
            <w:lang w:val="es-ES"/>
          </w:rPr>
          <w:t xml:space="preserve"> llegar a la siguiente conclusión:</w:t>
        </w:r>
      </w:hyperlink>
    </w:p>
    <w:tbl>
      <w:tblPr>
        <w:tblStyle w:val="TableGrid"/>
        <w:tblW w:w="5000" w:type="pct"/>
        <w:tblInd w:w="-147" w:type="dxa"/>
        <w:tblLook w:val="04A0" w:firstRow="1" w:lastRow="0" w:firstColumn="1" w:lastColumn="0" w:noHBand="0" w:noVBand="1"/>
      </w:tblPr>
      <w:tblGrid>
        <w:gridCol w:w="9061"/>
      </w:tblGrid>
      <w:tr w:rsidR="00F70066" w:rsidRPr="0057685D" w14:paraId="1527BD8D" w14:textId="77777777" w:rsidTr="002E155D">
        <w:tc>
          <w:tcPr>
            <w:tcW w:w="9061" w:type="dxa"/>
            <w:hideMark/>
          </w:tcPr>
          <w:p w14:paraId="29E9649F" w14:textId="27E11AB4" w:rsidR="00F70066" w:rsidRPr="001D759A" w:rsidRDefault="003476A0" w:rsidP="008B73D9">
            <w:pPr>
              <w:tabs>
                <w:tab w:val="clear" w:pos="567"/>
                <w:tab w:val="left" w:pos="605"/>
              </w:tabs>
              <w:spacing w:after="80"/>
              <w:ind w:left="40"/>
              <w:rPr>
                <w:lang w:val="es-ES"/>
              </w:rPr>
            </w:pPr>
            <w:r>
              <w:rPr>
                <w:rFonts w:eastAsia="Calibri" w:cs="Calibri"/>
                <w:lang w:val="es-ES"/>
              </w:rPr>
              <w:t>30</w:t>
            </w:r>
            <w:r w:rsidR="00F70066" w:rsidRPr="001D759A">
              <w:rPr>
                <w:rFonts w:eastAsia="Calibri" w:cs="Calibri"/>
                <w:szCs w:val="24"/>
                <w:lang w:val="es-ES"/>
              </w:rPr>
              <w:t>.</w:t>
            </w:r>
            <w:r w:rsidR="005052FE" w:rsidRPr="001D759A">
              <w:rPr>
                <w:rFonts w:eastAsia="Calibri" w:cs="Calibri"/>
                <w:szCs w:val="24"/>
                <w:lang w:val="es-ES"/>
              </w:rPr>
              <w:t>5</w:t>
            </w:r>
            <w:r w:rsidR="00F70066" w:rsidRPr="001D759A">
              <w:rPr>
                <w:lang w:val="es-ES"/>
              </w:rPr>
              <w:tab/>
            </w:r>
            <w:r w:rsidR="00F70066" w:rsidRPr="001D759A">
              <w:rPr>
                <w:rFonts w:eastAsia="Calibri" w:cs="Calibri"/>
                <w:szCs w:val="24"/>
                <w:lang w:val="es-ES"/>
              </w:rPr>
              <w:t>La</w:t>
            </w:r>
            <w:r w:rsidR="00F70066" w:rsidRPr="001D759A">
              <w:rPr>
                <w:lang w:val="es-ES"/>
              </w:rPr>
              <w:t xml:space="preserve"> Comisión recomienda al Consejo que:</w:t>
            </w:r>
          </w:p>
          <w:p w14:paraId="37A37762" w14:textId="455AE6B9" w:rsidR="00F70066" w:rsidRPr="001D759A" w:rsidRDefault="00F70066" w:rsidP="008D027D">
            <w:pPr>
              <w:pStyle w:val="enumlev1"/>
              <w:tabs>
                <w:tab w:val="clear" w:pos="567"/>
              </w:tabs>
              <w:spacing w:after="120"/>
              <w:ind w:left="605"/>
              <w:rPr>
                <w:lang w:val="es-ES"/>
              </w:rPr>
            </w:pPr>
            <w:r w:rsidRPr="001D759A">
              <w:rPr>
                <w:lang w:val="es-ES"/>
              </w:rPr>
              <w:t>•</w:t>
            </w:r>
            <w:r w:rsidRPr="001D759A">
              <w:rPr>
                <w:lang w:val="es-ES"/>
              </w:rPr>
              <w:tab/>
            </w:r>
            <w:r w:rsidR="005052FE" w:rsidRPr="001D759A">
              <w:rPr>
                <w:lang w:val="es-ES"/>
              </w:rPr>
              <w:t xml:space="preserve">tome nota del informe contenido en el Documento </w:t>
            </w:r>
            <w:hyperlink r:id="rId126" w:history="1">
              <w:r w:rsidR="005052FE" w:rsidRPr="001D759A">
                <w:rPr>
                  <w:rStyle w:val="Hyperlink"/>
                  <w:rFonts w:cs="Times New Roman"/>
                  <w:szCs w:val="20"/>
                  <w:lang w:val="es-ES"/>
                </w:rPr>
                <w:t>C26/45</w:t>
              </w:r>
            </w:hyperlink>
            <w:r w:rsidR="005052FE" w:rsidRPr="001D759A">
              <w:rPr>
                <w:lang w:val="es-ES"/>
              </w:rPr>
              <w:t>.</w:t>
            </w:r>
          </w:p>
        </w:tc>
      </w:tr>
    </w:tbl>
    <w:p w14:paraId="0E4B345E" w14:textId="1950B222" w:rsidR="002E155D" w:rsidRPr="001D759A" w:rsidRDefault="003476A0" w:rsidP="00956574">
      <w:pPr>
        <w:pStyle w:val="Heading1"/>
        <w:rPr>
          <w:szCs w:val="24"/>
          <w:lang w:val="es-ES"/>
        </w:rPr>
      </w:pPr>
      <w:r>
        <w:rPr>
          <w:lang w:val="es-ES"/>
        </w:rPr>
        <w:t>31</w:t>
      </w:r>
      <w:r w:rsidR="002E155D" w:rsidRPr="001D759A">
        <w:rPr>
          <w:lang w:val="es-ES"/>
        </w:rPr>
        <w:tab/>
        <w:t xml:space="preserve">Tramitación por la Presidenta del Consejo de </w:t>
      </w:r>
      <w:r w:rsidR="00103D78">
        <w:rPr>
          <w:lang w:val="es-ES"/>
        </w:rPr>
        <w:t>la UIT</w:t>
      </w:r>
      <w:r w:rsidR="002E155D" w:rsidRPr="001D759A">
        <w:rPr>
          <w:lang w:val="es-ES"/>
        </w:rPr>
        <w:t xml:space="preserve"> de las acusaciones contra funcionarios electos entre junio de 2025 y abril de 2026 (Documento </w:t>
      </w:r>
      <w:hyperlink r:id="rId127" w:history="1">
        <w:r w:rsidR="002E155D" w:rsidRPr="001D759A">
          <w:rPr>
            <w:rStyle w:val="Hyperlink"/>
            <w:rFonts w:eastAsia="Times New Roman" w:cs="Times New Roman"/>
            <w:bCs/>
            <w:szCs w:val="20"/>
            <w:lang w:val="es-ES"/>
          </w:rPr>
          <w:t>C26/110</w:t>
        </w:r>
      </w:hyperlink>
      <w:r w:rsidR="002E155D" w:rsidRPr="001D759A">
        <w:rPr>
          <w:lang w:val="es-ES"/>
        </w:rPr>
        <w:t>)</w:t>
      </w:r>
      <w:hyperlink r:id="rId128" w:history="1"/>
    </w:p>
    <w:p w14:paraId="78BDFDF0" w14:textId="0C1BFDDA" w:rsidR="002E155D" w:rsidRPr="001D759A" w:rsidRDefault="003476A0" w:rsidP="00956574">
      <w:pPr>
        <w:rPr>
          <w:lang w:val="es-ES"/>
        </w:rPr>
      </w:pPr>
      <w:r>
        <w:rPr>
          <w:lang w:val="es-ES"/>
        </w:rPr>
        <w:t>31</w:t>
      </w:r>
      <w:r w:rsidR="002E155D" w:rsidRPr="001D759A">
        <w:rPr>
          <w:lang w:val="es-ES"/>
        </w:rPr>
        <w:t>.1</w:t>
      </w:r>
      <w:r w:rsidR="002E155D" w:rsidRPr="001D759A">
        <w:rPr>
          <w:lang w:val="es-ES"/>
        </w:rPr>
        <w:tab/>
        <w:t>La Presidenta del Consejo de 2025 presentó su informe, que figura en el Documento</w:t>
      </w:r>
      <w:r w:rsidR="00383F4E" w:rsidRPr="001D759A">
        <w:rPr>
          <w:lang w:val="es-ES"/>
        </w:rPr>
        <w:t> </w:t>
      </w:r>
      <w:r w:rsidR="002E155D" w:rsidRPr="001D759A">
        <w:rPr>
          <w:lang w:val="es-ES"/>
        </w:rPr>
        <w:t xml:space="preserve">C26/110, sobre </w:t>
      </w:r>
      <w:r w:rsidR="00660957" w:rsidRPr="001D759A">
        <w:rPr>
          <w:lang w:val="es-ES"/>
        </w:rPr>
        <w:t xml:space="preserve">la tramitación de </w:t>
      </w:r>
      <w:r w:rsidR="002E155D" w:rsidRPr="001D759A">
        <w:rPr>
          <w:lang w:val="es-ES"/>
        </w:rPr>
        <w:t xml:space="preserve">las acusaciones relativas a funcionarios electos presentadas </w:t>
      </w:r>
      <w:r w:rsidR="00660957" w:rsidRPr="001D759A">
        <w:rPr>
          <w:lang w:val="es-ES"/>
        </w:rPr>
        <w:t xml:space="preserve">durante el periodo comprendido </w:t>
      </w:r>
      <w:r w:rsidR="002E155D" w:rsidRPr="001D759A">
        <w:rPr>
          <w:lang w:val="es-ES"/>
        </w:rPr>
        <w:t xml:space="preserve">entre junio de 2025 y abril de 2026. El informe facilita información agrupada y anonimizada, de conformidad con el principio de </w:t>
      </w:r>
      <w:r w:rsidR="00383F4E" w:rsidRPr="001D759A">
        <w:rPr>
          <w:lang w:val="es-ES"/>
        </w:rPr>
        <w:t>"</w:t>
      </w:r>
      <w:r w:rsidR="002E155D" w:rsidRPr="001D759A">
        <w:rPr>
          <w:lang w:val="es-ES"/>
        </w:rPr>
        <w:t xml:space="preserve">información limitada necesaria" establecido en la Carta de Supervisión </w:t>
      </w:r>
      <w:r w:rsidR="00F50B08" w:rsidRPr="001D759A">
        <w:rPr>
          <w:lang w:val="es-ES"/>
        </w:rPr>
        <w:t xml:space="preserve">Interna </w:t>
      </w:r>
      <w:r w:rsidR="002E155D" w:rsidRPr="001D759A">
        <w:rPr>
          <w:lang w:val="es-ES"/>
        </w:rPr>
        <w:t xml:space="preserve">de </w:t>
      </w:r>
      <w:r w:rsidR="00103D78">
        <w:rPr>
          <w:lang w:val="es-ES"/>
        </w:rPr>
        <w:t>la UIT</w:t>
      </w:r>
      <w:r w:rsidR="002E155D" w:rsidRPr="001D759A">
        <w:rPr>
          <w:lang w:val="es-ES"/>
        </w:rPr>
        <w:t xml:space="preserve">. </w:t>
      </w:r>
      <w:r w:rsidR="00660957" w:rsidRPr="001D759A">
        <w:rPr>
          <w:lang w:val="es-ES"/>
        </w:rPr>
        <w:t xml:space="preserve">La Presidenta recordó que toda la información relativa a las denuncias de conducta indebida se mantiene estrictamente confidencial y describió el procedimiento aplicable en virtud de la Carta, que incluye el recurso a entidades de investigación externas independientes seleccionadas mediante los procedimientos de contratación de </w:t>
      </w:r>
      <w:r w:rsidR="00103D78">
        <w:rPr>
          <w:lang w:val="es-ES"/>
        </w:rPr>
        <w:t>la UIT</w:t>
      </w:r>
      <w:r w:rsidR="00660957" w:rsidRPr="001D759A">
        <w:rPr>
          <w:lang w:val="es-ES"/>
        </w:rPr>
        <w:t xml:space="preserve"> y, de ser posible, a los órganos de supervisión establecidos en el sistema de las </w:t>
      </w:r>
      <w:r w:rsidR="000E31A1">
        <w:rPr>
          <w:lang w:val="es-ES"/>
        </w:rPr>
        <w:t>Naciones Unidas</w:t>
      </w:r>
      <w:r w:rsidR="00660957" w:rsidRPr="001D759A">
        <w:rPr>
          <w:lang w:val="es-ES"/>
        </w:rPr>
        <w:t xml:space="preserve">. </w:t>
      </w:r>
      <w:r w:rsidR="002E155D" w:rsidRPr="001D759A">
        <w:rPr>
          <w:lang w:val="es-ES"/>
        </w:rPr>
        <w:t>Durante el periodo considerado se ha</w:t>
      </w:r>
      <w:r w:rsidR="00BE59E0">
        <w:rPr>
          <w:lang w:val="es-ES"/>
        </w:rPr>
        <w:t>bía</w:t>
      </w:r>
      <w:r w:rsidR="002E155D" w:rsidRPr="001D759A">
        <w:rPr>
          <w:lang w:val="es-ES"/>
        </w:rPr>
        <w:t xml:space="preserve">n registrado cuatro denuncias contra funcionarios de elección. Una de ellas se había cerrado en el momento de la admisión; otra, tras una evaluación preliminar; y las dos restantes </w:t>
      </w:r>
      <w:r w:rsidR="00660957" w:rsidRPr="001D759A">
        <w:rPr>
          <w:lang w:val="es-ES"/>
        </w:rPr>
        <w:t xml:space="preserve">se estaban revisando con arreglo al </w:t>
      </w:r>
      <w:r w:rsidR="002E155D" w:rsidRPr="001D759A">
        <w:rPr>
          <w:lang w:val="es-ES"/>
        </w:rPr>
        <w:t xml:space="preserve">proceso </w:t>
      </w:r>
      <w:r w:rsidR="00660957" w:rsidRPr="001D759A">
        <w:rPr>
          <w:lang w:val="es-ES"/>
        </w:rPr>
        <w:t>establecido</w:t>
      </w:r>
      <w:r w:rsidR="002E155D" w:rsidRPr="001D759A">
        <w:rPr>
          <w:lang w:val="es-ES"/>
        </w:rPr>
        <w:t>.</w:t>
      </w:r>
      <w:r w:rsidR="00660957" w:rsidRPr="001D759A">
        <w:rPr>
          <w:lang w:val="es-ES"/>
        </w:rPr>
        <w:t xml:space="preserve"> La Presidenta hizo hincapié en que no debían extraerse conclusiones sobre los asuntos pendientes mientras los procesos de revisión independientes siguieran en curso. Asimismo, señaló que la puesta en marcha de la función del </w:t>
      </w:r>
      <w:r w:rsidR="004D28AD">
        <w:rPr>
          <w:lang w:val="es-ES"/>
        </w:rPr>
        <w:t>O</w:t>
      </w:r>
      <w:r w:rsidR="00660957" w:rsidRPr="001D759A">
        <w:rPr>
          <w:lang w:val="es-ES"/>
        </w:rPr>
        <w:t xml:space="preserve">mbudsman constituía una vía adicional para la resolución informal de determinadas cuestiones relacionadas con el lugar de trabajo, incluso, si procede, </w:t>
      </w:r>
      <w:r w:rsidR="0035774A" w:rsidRPr="001D759A">
        <w:rPr>
          <w:lang w:val="es-ES"/>
        </w:rPr>
        <w:t>por</w:t>
      </w:r>
      <w:r w:rsidR="00660957" w:rsidRPr="001D759A">
        <w:rPr>
          <w:lang w:val="es-ES"/>
        </w:rPr>
        <w:t xml:space="preserve"> mediación.</w:t>
      </w:r>
    </w:p>
    <w:p w14:paraId="16391A6C" w14:textId="618125D7" w:rsidR="002E155D" w:rsidRPr="001D759A" w:rsidRDefault="003476A0" w:rsidP="002E155D">
      <w:pPr>
        <w:rPr>
          <w:lang w:val="es-ES"/>
        </w:rPr>
      </w:pPr>
      <w:r>
        <w:rPr>
          <w:lang w:val="es-ES"/>
        </w:rPr>
        <w:t>31</w:t>
      </w:r>
      <w:r w:rsidR="002E155D" w:rsidRPr="001D759A">
        <w:rPr>
          <w:lang w:val="es-ES"/>
        </w:rPr>
        <w:t>.2</w:t>
      </w:r>
      <w:r w:rsidR="002E155D" w:rsidRPr="001D759A">
        <w:rPr>
          <w:lang w:val="es-ES"/>
        </w:rPr>
        <w:tab/>
        <w:t xml:space="preserve">Los consejeros acogieron con satisfacción el informe y felicitaron a la Presidenta del Consejo de 2025 por su contribución a la transparencia y la justicia interna. Se valoraron positivamente el enfoque reactivo adoptado de forma oportuna para gestionar las denuncias y la independencia total de las investigaciones. A todos los Estados Miembros les resultaba beneficioso que la supervisión fuera independiente y profesional y no estuviera sujeta a interferencias políticas. Se pidieron aclaraciones sobre las limitaciones de capacidad </w:t>
      </w:r>
      <w:r w:rsidR="0035774A" w:rsidRPr="001D759A">
        <w:rPr>
          <w:lang w:val="es-ES"/>
        </w:rPr>
        <w:t xml:space="preserve">de otros </w:t>
      </w:r>
      <w:r w:rsidR="0035774A" w:rsidRPr="001D759A">
        <w:rPr>
          <w:lang w:val="es-ES"/>
        </w:rPr>
        <w:lastRenderedPageBreak/>
        <w:t xml:space="preserve">servicios de supervisión e investigación </w:t>
      </w:r>
      <w:r w:rsidR="002E155D" w:rsidRPr="001D759A">
        <w:rPr>
          <w:lang w:val="es-ES"/>
        </w:rPr>
        <w:t>que habían motivado la contratación de órganos de investigación externos; se agradecería recibir información sobre las repercusiones financieras de esas colaboraciones. Se precisaba una política clara sobre el papel del Consejo en la supervisión de las investigaciones.</w:t>
      </w:r>
    </w:p>
    <w:p w14:paraId="3E50C644" w14:textId="5A25771A" w:rsidR="002E155D" w:rsidRPr="001D759A" w:rsidRDefault="003476A0" w:rsidP="002E155D">
      <w:pPr>
        <w:rPr>
          <w:lang w:val="es-ES"/>
        </w:rPr>
      </w:pPr>
      <w:r>
        <w:rPr>
          <w:lang w:val="es-ES"/>
        </w:rPr>
        <w:t>31</w:t>
      </w:r>
      <w:r w:rsidR="002E155D" w:rsidRPr="001D759A">
        <w:rPr>
          <w:lang w:val="es-ES"/>
        </w:rPr>
        <w:t>.3</w:t>
      </w:r>
      <w:r w:rsidR="002E155D" w:rsidRPr="001D759A">
        <w:rPr>
          <w:lang w:val="es-ES"/>
        </w:rPr>
        <w:tab/>
        <w:t xml:space="preserve">La Presidenta del Consejo de 2025 afirmó que no se había podido establecer una colaboración plena con los órganos de supervisión de las </w:t>
      </w:r>
      <w:r w:rsidR="000E31A1">
        <w:rPr>
          <w:lang w:val="es-ES"/>
        </w:rPr>
        <w:t>Naciones Unidas</w:t>
      </w:r>
      <w:r w:rsidR="002E155D" w:rsidRPr="001D759A">
        <w:rPr>
          <w:lang w:val="es-ES"/>
        </w:rPr>
        <w:t xml:space="preserve"> en el plazo estipulado, por lo que había sido necesario contratar a entidades de investigación externas e independientes, de acuerdo con las normas de adquisiciones de </w:t>
      </w:r>
      <w:r w:rsidR="00103D78">
        <w:rPr>
          <w:lang w:val="es-ES"/>
        </w:rPr>
        <w:t>la UIT</w:t>
      </w:r>
      <w:r w:rsidR="002E155D" w:rsidRPr="001D759A">
        <w:rPr>
          <w:lang w:val="es-ES"/>
        </w:rPr>
        <w:t xml:space="preserve"> y los procedimientos financieros aplicables. De conformidad con la Carta de Supervisión, sólo se presentarán al Consejo los casos </w:t>
      </w:r>
      <w:r w:rsidR="00DE4913">
        <w:rPr>
          <w:lang w:val="es-ES"/>
        </w:rPr>
        <w:t xml:space="preserve">de conducta indebida </w:t>
      </w:r>
      <w:r w:rsidR="002E155D" w:rsidRPr="001D759A">
        <w:rPr>
          <w:lang w:val="es-ES"/>
        </w:rPr>
        <w:t>justificados.</w:t>
      </w:r>
    </w:p>
    <w:p w14:paraId="25CCB2BC" w14:textId="2F9BEF41" w:rsidR="002E155D" w:rsidRPr="001D759A" w:rsidRDefault="003476A0" w:rsidP="00956574">
      <w:pPr>
        <w:spacing w:after="120"/>
        <w:rPr>
          <w:lang w:val="es-ES"/>
        </w:rPr>
      </w:pPr>
      <w:r>
        <w:rPr>
          <w:lang w:val="es-ES"/>
        </w:rPr>
        <w:t>31</w:t>
      </w:r>
      <w:r w:rsidR="002E155D" w:rsidRPr="001D759A">
        <w:rPr>
          <w:lang w:val="es-ES"/>
        </w:rPr>
        <w:t>.4</w:t>
      </w:r>
      <w:r w:rsidR="002E155D" w:rsidRPr="001D759A">
        <w:rPr>
          <w:lang w:val="es-ES"/>
        </w:rPr>
        <w:tab/>
        <w:t xml:space="preserve">La Comisión </w:t>
      </w:r>
      <w:r w:rsidR="002E155D" w:rsidRPr="001D759A">
        <w:rPr>
          <w:b/>
          <w:bCs/>
          <w:lang w:val="es-ES"/>
        </w:rPr>
        <w:t xml:space="preserve">acordó </w:t>
      </w:r>
      <w:r w:rsidR="002E155D" w:rsidRPr="001D759A">
        <w:rPr>
          <w:lang w:val="es-ES"/>
        </w:rPr>
        <w:t>llegar a la siguiente conclusión:</w:t>
      </w:r>
    </w:p>
    <w:tbl>
      <w:tblPr>
        <w:tblStyle w:val="TableGrid"/>
        <w:tblW w:w="5000" w:type="pct"/>
        <w:tblInd w:w="-147" w:type="dxa"/>
        <w:tblLook w:val="04A0" w:firstRow="1" w:lastRow="0" w:firstColumn="1" w:lastColumn="0" w:noHBand="0" w:noVBand="1"/>
      </w:tblPr>
      <w:tblGrid>
        <w:gridCol w:w="9061"/>
      </w:tblGrid>
      <w:tr w:rsidR="00956574" w:rsidRPr="0057685D" w14:paraId="47736537" w14:textId="77777777" w:rsidTr="00956574">
        <w:tc>
          <w:tcPr>
            <w:tcW w:w="9061" w:type="dxa"/>
          </w:tcPr>
          <w:p w14:paraId="2C03638E" w14:textId="0C366F8D" w:rsidR="00956574" w:rsidRPr="001D759A" w:rsidRDefault="003476A0" w:rsidP="00956574">
            <w:pPr>
              <w:tabs>
                <w:tab w:val="clear" w:pos="567"/>
                <w:tab w:val="left" w:pos="605"/>
              </w:tabs>
              <w:spacing w:after="80"/>
              <w:ind w:left="40"/>
              <w:rPr>
                <w:rFonts w:eastAsia="Calibri" w:cs="Calibri"/>
                <w:lang w:val="es-ES"/>
              </w:rPr>
            </w:pPr>
            <w:r>
              <w:rPr>
                <w:rFonts w:eastAsia="Calibri" w:cs="Calibri"/>
                <w:lang w:val="es-ES"/>
              </w:rPr>
              <w:t>31</w:t>
            </w:r>
            <w:r w:rsidR="00956574" w:rsidRPr="001D759A">
              <w:rPr>
                <w:rFonts w:eastAsia="Calibri" w:cs="Calibri"/>
                <w:lang w:val="es-ES"/>
              </w:rPr>
              <w:t>.5</w:t>
            </w:r>
            <w:r w:rsidR="00956574" w:rsidRPr="001D759A">
              <w:rPr>
                <w:rFonts w:eastAsia="Calibri" w:cs="Calibri"/>
                <w:lang w:val="es-ES"/>
              </w:rPr>
              <w:tab/>
              <w:t xml:space="preserve">La </w:t>
            </w:r>
            <w:r w:rsidR="00956574" w:rsidRPr="001D759A">
              <w:rPr>
                <w:rFonts w:eastAsia="Calibri" w:cs="Calibri"/>
                <w:szCs w:val="24"/>
                <w:lang w:val="es-ES"/>
              </w:rPr>
              <w:t>Comisión</w:t>
            </w:r>
            <w:r w:rsidR="00956574" w:rsidRPr="001D759A">
              <w:rPr>
                <w:rFonts w:eastAsia="Calibri" w:cs="Calibri"/>
                <w:lang w:val="es-ES"/>
              </w:rPr>
              <w:t xml:space="preserve"> recomienda que el Consejo:</w:t>
            </w:r>
          </w:p>
          <w:p w14:paraId="16FEC90B" w14:textId="5DC06668" w:rsidR="00956574" w:rsidRPr="001D759A" w:rsidRDefault="00956574" w:rsidP="00956574">
            <w:pPr>
              <w:pStyle w:val="enumlev1"/>
              <w:tabs>
                <w:tab w:val="clear" w:pos="567"/>
              </w:tabs>
              <w:spacing w:after="120"/>
              <w:ind w:left="605"/>
              <w:rPr>
                <w:rFonts w:eastAsia="Calibri" w:cs="Calibri"/>
                <w:lang w:val="es-ES"/>
              </w:rPr>
            </w:pPr>
            <w:r w:rsidRPr="001D759A">
              <w:rPr>
                <w:rFonts w:eastAsia="Calibri" w:cs="Calibri"/>
                <w:lang w:val="es-ES"/>
              </w:rPr>
              <w:t>•</w:t>
            </w:r>
            <w:r w:rsidRPr="001D759A">
              <w:rPr>
                <w:rFonts w:eastAsia="Calibri" w:cs="Calibri"/>
                <w:lang w:val="es-ES"/>
              </w:rPr>
              <w:tab/>
              <w:t xml:space="preserve">tome nota del informe contenido en el Documento </w:t>
            </w:r>
            <w:hyperlink r:id="rId129" w:history="1">
              <w:r w:rsidRPr="001D759A">
                <w:rPr>
                  <w:rStyle w:val="Hyperlink"/>
                  <w:rFonts w:eastAsia="Calibri" w:cs="Calibri"/>
                  <w:lang w:val="es-ES"/>
                </w:rPr>
                <w:t>C26/110</w:t>
              </w:r>
            </w:hyperlink>
            <w:r w:rsidRPr="001D759A">
              <w:rPr>
                <w:rFonts w:eastAsia="Calibri" w:cs="Calibri"/>
                <w:lang w:val="es-ES"/>
              </w:rPr>
              <w:t>.</w:t>
            </w:r>
          </w:p>
        </w:tc>
      </w:tr>
    </w:tbl>
    <w:p w14:paraId="309F809F" w14:textId="1F622D05" w:rsidR="00F70066" w:rsidRPr="001D759A" w:rsidRDefault="003476A0" w:rsidP="00F70066">
      <w:pPr>
        <w:pStyle w:val="Heading1"/>
        <w:rPr>
          <w:lang w:val="es-ES"/>
        </w:rPr>
      </w:pPr>
      <w:r>
        <w:rPr>
          <w:bCs/>
          <w:lang w:val="es-ES"/>
        </w:rPr>
        <w:t>32</w:t>
      </w:r>
      <w:r w:rsidR="00F70066" w:rsidRPr="001D759A">
        <w:rPr>
          <w:bCs/>
          <w:lang w:val="es-ES"/>
        </w:rPr>
        <w:tab/>
      </w:r>
      <w:r w:rsidR="00F70066" w:rsidRPr="001D759A">
        <w:rPr>
          <w:lang w:val="es-ES"/>
        </w:rPr>
        <w:t>Decimoquinto Informe del Comité Asesor Independiente sobre la</w:t>
      </w:r>
      <w:r w:rsidR="000719A0" w:rsidRPr="001D759A">
        <w:rPr>
          <w:lang w:val="es-ES"/>
        </w:rPr>
        <w:t xml:space="preserve"> </w:t>
      </w:r>
      <w:r w:rsidR="00F70066" w:rsidRPr="001D759A">
        <w:rPr>
          <w:lang w:val="es-ES"/>
        </w:rPr>
        <w:t xml:space="preserve">Gestión (CAIG) (Documento </w:t>
      </w:r>
      <w:hyperlink r:id="rId130" w:history="1">
        <w:r w:rsidR="00F70066" w:rsidRPr="001D759A">
          <w:rPr>
            <w:rStyle w:val="Hyperlink"/>
            <w:rFonts w:eastAsia="Times New Roman" w:cs="Times New Roman"/>
            <w:szCs w:val="20"/>
            <w:lang w:val="es-ES"/>
          </w:rPr>
          <w:t>C26/22</w:t>
        </w:r>
      </w:hyperlink>
      <w:r w:rsidR="00F70066" w:rsidRPr="001D759A">
        <w:rPr>
          <w:lang w:val="es-ES"/>
        </w:rPr>
        <w:t>)</w:t>
      </w:r>
    </w:p>
    <w:p w14:paraId="20ADCA86" w14:textId="2F27318B" w:rsidR="008F72E4" w:rsidRPr="00BF5B24" w:rsidRDefault="003476A0" w:rsidP="008F72E4">
      <w:pPr>
        <w:rPr>
          <w:rFonts w:eastAsia="Calibri" w:cs="Calibri"/>
          <w:lang w:val="es-ES"/>
        </w:rPr>
      </w:pPr>
      <w:r>
        <w:rPr>
          <w:lang w:val="es-ES"/>
        </w:rPr>
        <w:t>32</w:t>
      </w:r>
      <w:r w:rsidR="008F72E4" w:rsidRPr="00BF5B24">
        <w:rPr>
          <w:lang w:val="es-ES"/>
        </w:rPr>
        <w:t>.1</w:t>
      </w:r>
      <w:r w:rsidR="008F72E4" w:rsidRPr="00BF5B24">
        <w:rPr>
          <w:lang w:val="es-ES"/>
        </w:rPr>
        <w:tab/>
        <w:t xml:space="preserve">El Presidente del CAIG presentó el </w:t>
      </w:r>
      <w:r w:rsidR="00003661">
        <w:rPr>
          <w:lang w:val="es-ES"/>
        </w:rPr>
        <w:t>15</w:t>
      </w:r>
      <w:r w:rsidR="00990D4A">
        <w:rPr>
          <w:lang w:val="es-ES"/>
        </w:rPr>
        <w:t>.</w:t>
      </w:r>
      <w:r w:rsidR="00003661">
        <w:rPr>
          <w:lang w:val="es-ES"/>
        </w:rPr>
        <w:t>º</w:t>
      </w:r>
      <w:r w:rsidR="00003661" w:rsidRPr="00BF5B24">
        <w:rPr>
          <w:lang w:val="es-ES"/>
        </w:rPr>
        <w:t xml:space="preserve"> </w:t>
      </w:r>
      <w:r w:rsidR="008F72E4" w:rsidRPr="00BF5B24">
        <w:rPr>
          <w:lang w:val="es-ES"/>
        </w:rPr>
        <w:t>informe del CAIG, contenido en el Documento</w:t>
      </w:r>
      <w:r w:rsidR="00756112">
        <w:rPr>
          <w:lang w:val="es-ES"/>
        </w:rPr>
        <w:t> </w:t>
      </w:r>
      <w:r w:rsidR="008F72E4" w:rsidRPr="00BF5B24">
        <w:rPr>
          <w:lang w:val="es-ES"/>
        </w:rPr>
        <w:t>C2</w:t>
      </w:r>
      <w:r w:rsidR="00322B95">
        <w:rPr>
          <w:lang w:val="es-ES"/>
        </w:rPr>
        <w:t>6</w:t>
      </w:r>
      <w:r w:rsidR="008F72E4" w:rsidRPr="00BF5B24">
        <w:rPr>
          <w:lang w:val="es-ES"/>
        </w:rPr>
        <w:t xml:space="preserve">/22. Destacó que, en el desempeño de sus funciones de conformidad con su mandato, su plan de trabajo y las peticiones de la dirección de </w:t>
      </w:r>
      <w:r w:rsidR="00103D78">
        <w:rPr>
          <w:lang w:val="es-ES"/>
        </w:rPr>
        <w:t>la UIT</w:t>
      </w:r>
      <w:r w:rsidR="008F72E4" w:rsidRPr="00BF5B24">
        <w:rPr>
          <w:lang w:val="es-ES"/>
        </w:rPr>
        <w:t xml:space="preserve"> y del Consejo, el Comité había llevado a cabo sus actividades de supervisión y asesoramiento de manera independiente y sin interferencias. No había surgido ningún menoscabo real o percibido de su independencia durante el periodo del que se informa. El CAIG se había beneficiado del pleno apoyo y cooperación de la dirección y el personal por conducto de su labor, en particular a través de una colaboración periódica y constructiva. Cada reunión del CAIG había incluido una sesión de apertura y una sesión de clausura con la Secretaria General y/o el Vicesecretario General.</w:t>
      </w:r>
    </w:p>
    <w:p w14:paraId="463F2A61" w14:textId="254D52E6" w:rsidR="008F72E4" w:rsidRPr="00BF5B24" w:rsidRDefault="003476A0" w:rsidP="00062836">
      <w:pPr>
        <w:tabs>
          <w:tab w:val="left" w:pos="851"/>
        </w:tabs>
        <w:rPr>
          <w:rFonts w:cs="Calibri"/>
          <w:lang w:val="es-ES"/>
        </w:rPr>
      </w:pPr>
      <w:r>
        <w:rPr>
          <w:lang w:val="es-ES"/>
        </w:rPr>
        <w:t>32.2</w:t>
      </w:r>
      <w:r w:rsidR="008F72E4" w:rsidRPr="00BF5B24">
        <w:rPr>
          <w:lang w:val="es-ES"/>
        </w:rPr>
        <w:tab/>
        <w:t xml:space="preserve">Con arreglo a la Resolución 162 (Rev. Bucarest, 2022) de la </w:t>
      </w:r>
      <w:r w:rsidR="00003661">
        <w:rPr>
          <w:lang w:val="es-ES"/>
        </w:rPr>
        <w:t>Conferencia de Plenipotenciarios</w:t>
      </w:r>
      <w:r w:rsidR="008F72E4" w:rsidRPr="00BF5B24">
        <w:rPr>
          <w:lang w:val="es-ES"/>
        </w:rPr>
        <w:t xml:space="preserve">, en la que se pidió </w:t>
      </w:r>
      <w:r w:rsidR="00003661">
        <w:rPr>
          <w:lang w:val="es-ES"/>
        </w:rPr>
        <w:t>el</w:t>
      </w:r>
      <w:r w:rsidR="00003661" w:rsidRPr="00BF5B24">
        <w:rPr>
          <w:lang w:val="es-ES"/>
        </w:rPr>
        <w:t xml:space="preserve"> </w:t>
      </w:r>
      <w:r w:rsidR="008F72E4" w:rsidRPr="00BF5B24">
        <w:rPr>
          <w:lang w:val="es-ES"/>
        </w:rPr>
        <w:t xml:space="preserve">examen periódico del mandato del CAIG, el mandato actualizado revisado por el Comité y la dirección de </w:t>
      </w:r>
      <w:r w:rsidR="00103D78">
        <w:rPr>
          <w:lang w:val="es-ES"/>
        </w:rPr>
        <w:t>la UIT</w:t>
      </w:r>
      <w:r w:rsidR="008F72E4" w:rsidRPr="00BF5B24">
        <w:rPr>
          <w:lang w:val="es-ES"/>
        </w:rPr>
        <w:t xml:space="preserve"> se presentó al Consejo en el Anexo</w:t>
      </w:r>
      <w:r w:rsidR="00990D4A">
        <w:rPr>
          <w:lang w:val="es-ES"/>
        </w:rPr>
        <w:t> </w:t>
      </w:r>
      <w:r w:rsidR="008F72E4" w:rsidRPr="00BF5B24">
        <w:rPr>
          <w:lang w:val="es-ES"/>
        </w:rPr>
        <w:t>3 del informe.</w:t>
      </w:r>
    </w:p>
    <w:p w14:paraId="0049B1D2" w14:textId="032F273C" w:rsidR="008F72E4" w:rsidRPr="00BF5B24" w:rsidRDefault="003476A0" w:rsidP="008F72E4">
      <w:pPr>
        <w:rPr>
          <w:rFonts w:cs="Calibri"/>
          <w:lang w:val="es-ES"/>
        </w:rPr>
      </w:pPr>
      <w:r>
        <w:rPr>
          <w:lang w:val="es-ES"/>
        </w:rPr>
        <w:t>32</w:t>
      </w:r>
      <w:r w:rsidR="00990D4A">
        <w:rPr>
          <w:lang w:val="es-ES"/>
        </w:rPr>
        <w:t>.</w:t>
      </w:r>
      <w:r>
        <w:rPr>
          <w:lang w:val="es-ES"/>
        </w:rPr>
        <w:t>3</w:t>
      </w:r>
      <w:r w:rsidR="008F72E4" w:rsidRPr="00BF5B24">
        <w:rPr>
          <w:lang w:val="es-ES"/>
        </w:rPr>
        <w:tab/>
        <w:t>Refiriéndose a las cinco recomendaciones contenidas en el informe, el Presidente del</w:t>
      </w:r>
      <w:r w:rsidR="00756112">
        <w:rPr>
          <w:lang w:val="es-ES"/>
        </w:rPr>
        <w:t> </w:t>
      </w:r>
      <w:r w:rsidR="008F72E4" w:rsidRPr="00BF5B24">
        <w:rPr>
          <w:lang w:val="es-ES"/>
        </w:rPr>
        <w:t xml:space="preserve">CAIG observó que, a pesar del complejo entorno mundial, marcado por tensiones geopolíticas que afectaban al multilateralismo y presiones financieras sobre los Estados Miembros, </w:t>
      </w:r>
      <w:r w:rsidR="00103D78">
        <w:rPr>
          <w:lang w:val="es-ES"/>
        </w:rPr>
        <w:t>la UIT</w:t>
      </w:r>
      <w:r w:rsidR="008F72E4" w:rsidRPr="00BF5B24">
        <w:rPr>
          <w:lang w:val="es-ES"/>
        </w:rPr>
        <w:t xml:space="preserve"> había entrado en una fase más estable y disciplinada, en particular respecto de los procesos de gestión y elaboración de informes financieros. Sin embargo, esos progresos debían consolidarse en adelante, a través de una aplicación y ejecución más fuertes. Las estrategias de reforma tenían que ir más allá de la planificación y reflejarse en acciones prácticas con propiedad, responsabilidad y plazos claros. La gestión de riesgos debía formar parte integrante de la toma de decisiones y la priorización</w:t>
      </w:r>
      <w:r w:rsidR="00BE59E0">
        <w:rPr>
          <w:lang w:val="es-ES"/>
        </w:rPr>
        <w:t xml:space="preserve">, </w:t>
      </w:r>
      <w:r w:rsidR="008F72E4" w:rsidRPr="00BF5B24">
        <w:rPr>
          <w:lang w:val="es-ES"/>
        </w:rPr>
        <w:t>lo que exigía un cambio cultural más amplio en toda la organización.</w:t>
      </w:r>
    </w:p>
    <w:p w14:paraId="26376BF4" w14:textId="534FECC2" w:rsidR="008F72E4" w:rsidRPr="00BF5B24" w:rsidRDefault="003476A0" w:rsidP="008F72E4">
      <w:pPr>
        <w:rPr>
          <w:lang w:val="es-ES"/>
        </w:rPr>
      </w:pPr>
      <w:r>
        <w:rPr>
          <w:lang w:val="es-ES"/>
        </w:rPr>
        <w:t>32.4</w:t>
      </w:r>
      <w:r w:rsidR="008F72E4" w:rsidRPr="00BF5B24">
        <w:rPr>
          <w:lang w:val="es-ES"/>
        </w:rPr>
        <w:tab/>
        <w:t>El Presidente elogió la ultimación anticipada del proyecto de estados financieros de</w:t>
      </w:r>
      <w:r w:rsidR="00181D88">
        <w:rPr>
          <w:lang w:val="es-ES"/>
        </w:rPr>
        <w:t> </w:t>
      </w:r>
      <w:r w:rsidR="008F72E4" w:rsidRPr="00BF5B24">
        <w:rPr>
          <w:lang w:val="es-ES"/>
        </w:rPr>
        <w:t xml:space="preserve">2025 y la calidad de la labor llevada a cabo por el Departamento de Gestión de Recursos Financieros durante el periodo del que se informa. El CAIG se había reunido con el Auditor </w:t>
      </w:r>
      <w:r w:rsidR="008F72E4" w:rsidRPr="00BF5B24">
        <w:rPr>
          <w:lang w:val="es-ES"/>
        </w:rPr>
        <w:lastRenderedPageBreak/>
        <w:t>Externo al final del ejercicio financiero y no se habían identificado cuestiones pendientes importantes ni dificultades mayores. Al mismo tiempo, seguía habiendo desafíos estructurales.</w:t>
      </w:r>
      <w:r w:rsidR="008F72E4">
        <w:rPr>
          <w:lang w:val="es-ES"/>
        </w:rPr>
        <w:t xml:space="preserve"> </w:t>
      </w:r>
      <w:r w:rsidR="008F72E4" w:rsidRPr="00BF5B24">
        <w:rPr>
          <w:lang w:val="es-ES"/>
        </w:rPr>
        <w:t xml:space="preserve">El crecimiento nominal nulo prolongado de la unidad contributiva siguió erosionando el poder adquisitivo de </w:t>
      </w:r>
      <w:r w:rsidR="00103D78">
        <w:rPr>
          <w:lang w:val="es-ES"/>
        </w:rPr>
        <w:t>la UIT</w:t>
      </w:r>
      <w:r w:rsidR="008F72E4" w:rsidRPr="00BF5B24">
        <w:rPr>
          <w:lang w:val="es-ES"/>
        </w:rPr>
        <w:t xml:space="preserve">, mientras que los crecientes costes del personal pusieron de manifiesto la necesidad de contar con una planificación integrada de la fuerza de trabajo y los recursos financieros respaldada por indicadores de eficiencia medibles. Si bien los ahorros no estaban necesariamente relacionados con la eficiencia estructural, el Comité apoyaba las prioridades estratégicas que la dirección de </w:t>
      </w:r>
      <w:r w:rsidR="00103D78">
        <w:rPr>
          <w:lang w:val="es-ES"/>
        </w:rPr>
        <w:t>la UIT</w:t>
      </w:r>
      <w:r w:rsidR="008F72E4" w:rsidRPr="00BF5B24">
        <w:rPr>
          <w:lang w:val="es-ES"/>
        </w:rPr>
        <w:t xml:space="preserve"> había definido para su utilización. El CAIG recomendó que se revisase la estructura de presentación del presupuesto para reflejar mejor la distribución del personal y que se sustentasen los costes entre los sectores y la Secretaría General.</w:t>
      </w:r>
    </w:p>
    <w:p w14:paraId="37353EFE" w14:textId="0D16A1A2" w:rsidR="008F72E4" w:rsidRPr="00BF5B24" w:rsidRDefault="003476A0" w:rsidP="008F72E4">
      <w:pPr>
        <w:rPr>
          <w:rFonts w:cs="Calibri"/>
          <w:lang w:val="es-ES"/>
        </w:rPr>
      </w:pPr>
      <w:r>
        <w:rPr>
          <w:lang w:val="es-ES"/>
        </w:rPr>
        <w:t>32.5</w:t>
      </w:r>
      <w:r w:rsidR="008F72E4" w:rsidRPr="00BF5B24">
        <w:rPr>
          <w:lang w:val="es-ES"/>
        </w:rPr>
        <w:tab/>
        <w:t>El CAIG había recomendado volver a estructurar el plan de auditoría interna para que adoptase la forma de un modelo basado en los riesgos con una mayor implicación de las Unidades Operacionales. Respecto de las investigaciones, se seguiría trabajando para aclarar las métricas conexas y se proporcionaría información actualizada al Consejo en su debido momento. El CAIG también había observado la carga de trabajo de casos cada vez mayor y las demandas crecientes de servicios de ética y asesoramiento, en particular en relación con la cultura del lugar de trabajo, y había subrayado la necesidad de fortalecer el respeto, el civismo y la confianza en la organización. El Comité expresó apoyo a la implementación de la nueva Carta de Gobernanza Digital y a los esfuerzos en curso en materia de modernización de las TI, a la vez que observó un bajo nivel de madurez de la arquitectura empresarial, la fragmentación de los sistemas y la importancia de contar con una gobernanza de datos más fuerte como condición indispensable para las iniciativas relacionadas con la IA. Por consiguiente, había recomendado que se hiciese una cartografía exhaustiva de los sistemas basados en la nube y basados en servidores, vinculada con las ganancias de eficiencia medibles y los posibles ahorros. Por último, el Comité recomendó que se hiciese una valoración externa de la madurez del sistema interno de justicia y del sistema de reparación, que seguía fragmentado y se beneficiaría de la simplificación y la modernización.</w:t>
      </w:r>
    </w:p>
    <w:p w14:paraId="10BE65DA" w14:textId="311B9FD1" w:rsidR="008F72E4" w:rsidRPr="00BF5B24" w:rsidRDefault="003476A0" w:rsidP="008F72E4">
      <w:pPr>
        <w:rPr>
          <w:lang w:val="es-ES"/>
        </w:rPr>
      </w:pPr>
      <w:r>
        <w:rPr>
          <w:lang w:val="es-ES"/>
        </w:rPr>
        <w:t>32.6</w:t>
      </w:r>
      <w:r w:rsidR="008F72E4" w:rsidRPr="00BF5B24">
        <w:rPr>
          <w:lang w:val="es-ES"/>
        </w:rPr>
        <w:tab/>
        <w:t xml:space="preserve">Sobre la planificación estratégica, el CAIG había hecho énfasis en la importancia de que hubiese una mayor adecuación entre la planificación estratégica, la planificación financiera y los indicadores de desempeño, y de garantizar a la vez que las prioridades institucionales seguían estando en consonancia con la capacidad de implementación real de </w:t>
      </w:r>
      <w:r w:rsidR="005457EE">
        <w:rPr>
          <w:lang w:val="es-ES"/>
        </w:rPr>
        <w:t>la Unión</w:t>
      </w:r>
      <w:r w:rsidR="008F72E4" w:rsidRPr="00BF5B24">
        <w:rPr>
          <w:lang w:val="es-ES"/>
        </w:rPr>
        <w:t xml:space="preserve">. </w:t>
      </w:r>
      <w:r w:rsidR="00103D78">
        <w:rPr>
          <w:lang w:val="es-ES"/>
        </w:rPr>
        <w:t>La UIT</w:t>
      </w:r>
      <w:r w:rsidR="008F72E4" w:rsidRPr="00BF5B24">
        <w:rPr>
          <w:lang w:val="es-ES"/>
        </w:rPr>
        <w:t xml:space="preserve"> había realizado avances significativos y estaba funcionando con una situación institucional más fuerte, </w:t>
      </w:r>
      <w:r w:rsidR="00003661">
        <w:rPr>
          <w:lang w:val="es-ES"/>
        </w:rPr>
        <w:t xml:space="preserve">pero </w:t>
      </w:r>
      <w:r w:rsidR="008F72E4" w:rsidRPr="00BF5B24">
        <w:rPr>
          <w:lang w:val="es-ES"/>
        </w:rPr>
        <w:t>la organización debía ahora pasar de manera más decisiva de la planificación a la ejecución a través de una rendición de cuentas más contundente, una disciplina de implementación, una toma de decisiones basada en los riesgos y una atención continua a la eficiencia. El CAIG seguía comprometido a apoyar al Consejo a ese respecto.</w:t>
      </w:r>
    </w:p>
    <w:p w14:paraId="73560BEC" w14:textId="0C7EFC8A" w:rsidR="008F72E4" w:rsidRDefault="00EA7A65" w:rsidP="008F72E4">
      <w:pPr>
        <w:rPr>
          <w:lang w:val="es-ES"/>
        </w:rPr>
      </w:pPr>
      <w:r>
        <w:rPr>
          <w:lang w:val="es-ES"/>
        </w:rPr>
        <w:t>32.7</w:t>
      </w:r>
      <w:r w:rsidR="008F72E4" w:rsidRPr="00BF5B24">
        <w:rPr>
          <w:lang w:val="es-ES"/>
        </w:rPr>
        <w:tab/>
        <w:t xml:space="preserve">Los consejeros expresaron un fuerte apoyo por el trabajo llevado a cabo por el CAIG y acogieron con beneplácito la sincera y exhaustiva presentación del Presidente, y la declaración sobre la independencia del Comité. También se valoró la disposición del personal y la dirección de </w:t>
      </w:r>
      <w:r w:rsidR="00103D78">
        <w:rPr>
          <w:lang w:val="es-ES"/>
        </w:rPr>
        <w:t>la UIT</w:t>
      </w:r>
      <w:r w:rsidR="008F72E4" w:rsidRPr="00BF5B24">
        <w:rPr>
          <w:lang w:val="es-ES"/>
        </w:rPr>
        <w:t xml:space="preserve"> para cooperar plenamente con el CAIG. Los consejeros elogiaron la franqueza del informe y acogieron con beneplácito sus cinco recomendaciones, recalcando la importancia de su aplicación oportuna. Un consejero preguntó si las recomendaciones quedarían reflejadas en el panel de cumplimiento de la implementación. Otro consejero observó que, al formular las recomendaciones, se debía seguir teniendo </w:t>
      </w:r>
      <w:r w:rsidR="008F72E4" w:rsidRPr="00BF5B24">
        <w:rPr>
          <w:lang w:val="es-ES"/>
        </w:rPr>
        <w:lastRenderedPageBreak/>
        <w:t xml:space="preserve">debidamente en cuenta la estructura institucional de </w:t>
      </w:r>
      <w:r w:rsidR="00103D78">
        <w:rPr>
          <w:lang w:val="es-ES"/>
        </w:rPr>
        <w:t>la UIT</w:t>
      </w:r>
      <w:r w:rsidR="000E34DF">
        <w:rPr>
          <w:lang w:val="es-ES"/>
        </w:rPr>
        <w:t>,</w:t>
      </w:r>
      <w:r w:rsidR="008F72E4" w:rsidRPr="00BF5B24">
        <w:rPr>
          <w:lang w:val="es-ES"/>
        </w:rPr>
        <w:t xml:space="preserve"> y las funciones respectivas de gobernanza y supervisión del Consejo y la Conferencia de Plenipotenciarios.</w:t>
      </w:r>
    </w:p>
    <w:p w14:paraId="4714519F" w14:textId="5DE7CBAA" w:rsidR="008F72E4" w:rsidRPr="00BF5B24" w:rsidRDefault="00EA7A65" w:rsidP="008F72E4">
      <w:pPr>
        <w:rPr>
          <w:lang w:val="es-ES"/>
        </w:rPr>
      </w:pPr>
      <w:r>
        <w:rPr>
          <w:lang w:val="es-ES"/>
        </w:rPr>
        <w:t>32.8</w:t>
      </w:r>
      <w:r w:rsidR="008F72E4" w:rsidRPr="00BF5B24">
        <w:rPr>
          <w:lang w:val="es-ES"/>
        </w:rPr>
        <w:tab/>
        <w:t xml:space="preserve">Los consejeros acogieron con beneplácito el enfoque del informe sobre la gestión de riesgos, los controles internos y la rendición de cuentas; e hicieron énfasis en la necesidad de contar con informes claros e indicadores medibles para demostrar las ganancias de eficiencia. Una gestión basada en resultados más fuerte requiere una mejor adecuación entre los objetivos estratégicos de </w:t>
      </w:r>
      <w:r w:rsidR="00103D78">
        <w:rPr>
          <w:lang w:val="es-ES"/>
        </w:rPr>
        <w:t>la UIT</w:t>
      </w:r>
      <w:r w:rsidR="008F72E4" w:rsidRPr="00BF5B24">
        <w:rPr>
          <w:lang w:val="es-ES"/>
        </w:rPr>
        <w:t xml:space="preserve"> y las actividades diarias del personal mediante más indicadores orientados a los resultados. La rendición de cuentas también debe incorporar el uso efectivo de los recursos humanos; en particular las repercusiones en el personal de las actividades que se considera que no tienen efectos financieros directos.</w:t>
      </w:r>
    </w:p>
    <w:p w14:paraId="718C2863" w14:textId="7AE5D63D" w:rsidR="008F72E4" w:rsidRPr="00BF5B24" w:rsidRDefault="00EA7A65" w:rsidP="00181D88">
      <w:pPr>
        <w:tabs>
          <w:tab w:val="left" w:pos="851"/>
        </w:tabs>
        <w:rPr>
          <w:lang w:val="es-ES"/>
        </w:rPr>
      </w:pPr>
      <w:r>
        <w:rPr>
          <w:lang w:val="es-ES"/>
        </w:rPr>
        <w:t>32.9</w:t>
      </w:r>
      <w:r w:rsidR="00181D88">
        <w:rPr>
          <w:lang w:val="es-ES"/>
        </w:rPr>
        <w:tab/>
      </w:r>
      <w:r w:rsidR="008F72E4" w:rsidRPr="00BF5B24">
        <w:rPr>
          <w:lang w:val="es-ES"/>
        </w:rPr>
        <w:t xml:space="preserve">Un consejero preguntó cómo podrían reconciliarse las diferencias entre los enfoques aplicados por EY en su evaluación sobre la gestión de riesgos y los de la DCI. Varios consejeros destacaron la importancia de aplicar una gestión de riesgos moderna </w:t>
      </w:r>
      <w:r w:rsidR="00003661">
        <w:rPr>
          <w:lang w:val="es-ES"/>
        </w:rPr>
        <w:t xml:space="preserve">e integral </w:t>
      </w:r>
      <w:r w:rsidR="008F72E4" w:rsidRPr="00BF5B24">
        <w:rPr>
          <w:lang w:val="es-ES"/>
        </w:rPr>
        <w:t xml:space="preserve">en toda </w:t>
      </w:r>
      <w:r w:rsidR="00103D78">
        <w:rPr>
          <w:lang w:val="es-ES"/>
        </w:rPr>
        <w:t>la UIT</w:t>
      </w:r>
      <w:r w:rsidR="008F72E4" w:rsidRPr="00BF5B24">
        <w:rPr>
          <w:lang w:val="es-ES"/>
        </w:rPr>
        <w:t xml:space="preserve">. Se acogió con beneplácito la propuesta de examen exhaustivo del sistema interno de justicia. Si bien los consejeros también respaldaron los esfuerzos para revisar el formato de presentación del presupuesto a fin de lograr una representación más equilibrada de los costes, se pidieron detalles adicionales sobre las repercusiones prácticas de dichas </w:t>
      </w:r>
      <w:proofErr w:type="spellStart"/>
      <w:r w:rsidR="008F72E4" w:rsidRPr="00BF5B24">
        <w:rPr>
          <w:lang w:val="es-ES"/>
        </w:rPr>
        <w:t>revisiones</w:t>
      </w:r>
      <w:proofErr w:type="spellEnd"/>
      <w:r w:rsidR="008F72E4" w:rsidRPr="00BF5B24">
        <w:rPr>
          <w:lang w:val="es-ES"/>
        </w:rPr>
        <w:t>. Por último, era necesario seguir debatiendo sobre la mejora del proceso de selección de los miembros del CAIG.</w:t>
      </w:r>
    </w:p>
    <w:p w14:paraId="28F63FD3" w14:textId="52E22062" w:rsidR="008F72E4" w:rsidRDefault="00EA7A65" w:rsidP="003E05FB">
      <w:pPr>
        <w:tabs>
          <w:tab w:val="clear" w:pos="567"/>
          <w:tab w:val="left" w:pos="709"/>
        </w:tabs>
        <w:spacing w:after="120"/>
        <w:rPr>
          <w:lang w:val="es-ES"/>
        </w:rPr>
      </w:pPr>
      <w:r>
        <w:rPr>
          <w:lang w:val="es-ES"/>
        </w:rPr>
        <w:t>32.10</w:t>
      </w:r>
      <w:r w:rsidR="008F72E4" w:rsidRPr="00BF5B24">
        <w:rPr>
          <w:lang w:val="es-ES"/>
        </w:rPr>
        <w:tab/>
        <w:t>El Presidente del CAIG agradeció el apoyo de los Estados Miembros y el reconocimiento positivo de la labor y franqueza del CAIG. Tomó nota de todos los comentarios formulados por los consejeros y dio las gracias por la apertura demostrada por la Secretaría a la hora de implicar al CAIG en una amplia variedad de procesos. El CAIG seguiría contribuyendo de manera independiente y constructiva, en particular en esferas como las consultas sobre la gestión de riesgos con EY, en cuyo marco se había tenido en cuenta su aportación. Confirmó que, tras la aprobación del informe por el Consejo, las recomendaciones se incorporarían en el sistema conjunto de seguimiento del cumplimiento para supervisar la implementación.</w:t>
      </w:r>
    </w:p>
    <w:p w14:paraId="09FB3DAC" w14:textId="14546548" w:rsidR="008F72E4" w:rsidRDefault="00EA7A65" w:rsidP="003E05FB">
      <w:pPr>
        <w:tabs>
          <w:tab w:val="clear" w:pos="567"/>
          <w:tab w:val="left" w:pos="709"/>
        </w:tabs>
        <w:spacing w:after="120"/>
        <w:rPr>
          <w:lang w:val="es-ES"/>
        </w:rPr>
      </w:pPr>
      <w:r>
        <w:rPr>
          <w:lang w:val="es-ES"/>
        </w:rPr>
        <w:t>32.11</w:t>
      </w:r>
      <w:r w:rsidR="008F72E4" w:rsidRPr="00BF5B24">
        <w:rPr>
          <w:lang w:val="es-ES"/>
        </w:rPr>
        <w:tab/>
        <w:t xml:space="preserve">La Secretaria General dio las gracias al CAIG y a su Presidente por su trabajo y destacó la importante función desempeñada por el CAIG en la arquitectura de rendición de cuentas y supervisión de </w:t>
      </w:r>
      <w:r w:rsidR="005457EE">
        <w:rPr>
          <w:lang w:val="es-ES"/>
        </w:rPr>
        <w:t>la Unión</w:t>
      </w:r>
      <w:r w:rsidR="008F72E4" w:rsidRPr="00BF5B24">
        <w:rPr>
          <w:lang w:val="es-ES"/>
        </w:rPr>
        <w:t xml:space="preserve">. Por conducto de su asesoramiento independiente, su información estratégica y su perspectiva externa, el CAIG realizaba una valiosa contribución para sustentar las tomas de decisiones. La Secretaria General tomó nota de las cinco recomendaciones contenidas en el informe y confirmó que la Secretaría trabajaría estrechamente con el CAIG para garantizar su seguimiento eficaz y su integración en los esfuerzos de transformación en curso de </w:t>
      </w:r>
      <w:r w:rsidR="005457EE">
        <w:rPr>
          <w:lang w:val="es-ES"/>
        </w:rPr>
        <w:t>la Unión</w:t>
      </w:r>
      <w:r w:rsidR="008F72E4" w:rsidRPr="00BF5B24">
        <w:rPr>
          <w:lang w:val="es-ES"/>
        </w:rPr>
        <w:t>.</w:t>
      </w:r>
    </w:p>
    <w:p w14:paraId="62A7C001" w14:textId="15D3219D" w:rsidR="00F70066" w:rsidRPr="001D759A" w:rsidRDefault="00EA7A65" w:rsidP="00484644">
      <w:pPr>
        <w:keepNext/>
        <w:keepLines/>
        <w:tabs>
          <w:tab w:val="clear" w:pos="567"/>
          <w:tab w:val="left" w:pos="709"/>
        </w:tabs>
        <w:spacing w:after="120"/>
        <w:rPr>
          <w:lang w:val="es-ES"/>
        </w:rPr>
      </w:pPr>
      <w:r>
        <w:rPr>
          <w:lang w:val="es-ES"/>
        </w:rPr>
        <w:t>32.12</w:t>
      </w:r>
      <w:r w:rsidR="00F70066" w:rsidRPr="001D759A">
        <w:rPr>
          <w:lang w:val="es-ES"/>
        </w:rPr>
        <w:tab/>
        <w:t xml:space="preserve">La Comisión </w:t>
      </w:r>
      <w:r w:rsidR="00F70066" w:rsidRPr="001D759A">
        <w:rPr>
          <w:b/>
          <w:bCs/>
          <w:lang w:val="es-ES"/>
        </w:rPr>
        <w:t>acordó</w:t>
      </w:r>
      <w:r w:rsidR="00F70066" w:rsidRPr="001D759A">
        <w:rPr>
          <w:lang w:val="es-ES"/>
        </w:rPr>
        <w:t xml:space="preserve"> llegar a la siguiente conclusión:</w:t>
      </w:r>
    </w:p>
    <w:tbl>
      <w:tblPr>
        <w:tblStyle w:val="TableGrid"/>
        <w:tblW w:w="5000" w:type="pct"/>
        <w:tblInd w:w="-147" w:type="dxa"/>
        <w:tblLook w:val="04A0" w:firstRow="1" w:lastRow="0" w:firstColumn="1" w:lastColumn="0" w:noHBand="0" w:noVBand="1"/>
      </w:tblPr>
      <w:tblGrid>
        <w:gridCol w:w="9061"/>
      </w:tblGrid>
      <w:tr w:rsidR="00F70066" w:rsidRPr="0057685D" w14:paraId="02B31218" w14:textId="77777777" w:rsidTr="00E0741C">
        <w:tc>
          <w:tcPr>
            <w:tcW w:w="9061" w:type="dxa"/>
            <w:hideMark/>
          </w:tcPr>
          <w:p w14:paraId="587DC239" w14:textId="7030999B" w:rsidR="00F70066" w:rsidRPr="001D759A" w:rsidRDefault="00EA7A65" w:rsidP="00AA4761">
            <w:pPr>
              <w:tabs>
                <w:tab w:val="clear" w:pos="567"/>
                <w:tab w:val="left" w:pos="743"/>
              </w:tabs>
              <w:ind w:left="34"/>
              <w:rPr>
                <w:lang w:val="es-ES"/>
              </w:rPr>
            </w:pPr>
            <w:r>
              <w:rPr>
                <w:rFonts w:eastAsia="Calibri" w:cs="Calibri"/>
                <w:lang w:val="es-ES"/>
              </w:rPr>
              <w:t>32.13</w:t>
            </w:r>
            <w:r w:rsidR="00F70066" w:rsidRPr="001D759A">
              <w:rPr>
                <w:lang w:val="es-ES"/>
              </w:rPr>
              <w:tab/>
              <w:t>La Comisión recomienda al Consejo que:</w:t>
            </w:r>
          </w:p>
          <w:p w14:paraId="33B004C0" w14:textId="7EAAFF83" w:rsidR="00F70066" w:rsidRPr="001D759A" w:rsidRDefault="00F70066" w:rsidP="00AA4761">
            <w:pPr>
              <w:pStyle w:val="enumlev1"/>
              <w:tabs>
                <w:tab w:val="clear" w:pos="567"/>
              </w:tabs>
              <w:spacing w:after="120"/>
              <w:ind w:left="749" w:hanging="709"/>
              <w:rPr>
                <w:lang w:val="es-ES"/>
              </w:rPr>
            </w:pPr>
            <w:r w:rsidRPr="001D759A">
              <w:rPr>
                <w:lang w:val="es-ES"/>
              </w:rPr>
              <w:t>•</w:t>
            </w:r>
            <w:r w:rsidRPr="001D759A">
              <w:rPr>
                <w:lang w:val="es-ES"/>
              </w:rPr>
              <w:tab/>
            </w:r>
            <w:r w:rsidR="00F50B08" w:rsidRPr="001D759A">
              <w:rPr>
                <w:lang w:val="es-ES"/>
              </w:rPr>
              <w:t xml:space="preserve">apruebe el informe contenido en el Documento </w:t>
            </w:r>
            <w:hyperlink r:id="rId131" w:history="1">
              <w:r w:rsidR="00F50B08" w:rsidRPr="00184AC5">
                <w:rPr>
                  <w:rFonts w:eastAsia="Times New Roman" w:cs="Times New Roman"/>
                  <w:bCs/>
                  <w:color w:val="4F81BD"/>
                  <w:szCs w:val="20"/>
                  <w:lang w:val="es-ES"/>
                </w:rPr>
                <w:t>C26/22</w:t>
              </w:r>
            </w:hyperlink>
            <w:r w:rsidR="00F50B08" w:rsidRPr="001D759A">
              <w:rPr>
                <w:lang w:val="es-ES"/>
              </w:rPr>
              <w:t xml:space="preserve"> y las recomendaciones incluidas en él</w:t>
            </w:r>
            <w:r w:rsidR="000E34DF">
              <w:rPr>
                <w:lang w:val="es-ES"/>
              </w:rPr>
              <w:t>,</w:t>
            </w:r>
            <w:r w:rsidR="00F50B08" w:rsidRPr="001D759A">
              <w:rPr>
                <w:lang w:val="es-ES"/>
              </w:rPr>
              <w:t xml:space="preserve"> que habrá de aplicar la Secretaría.</w:t>
            </w:r>
          </w:p>
        </w:tc>
      </w:tr>
    </w:tbl>
    <w:p w14:paraId="571E980A" w14:textId="5FBD4FC9" w:rsidR="00E0741C" w:rsidRPr="001D759A" w:rsidRDefault="00E0741C" w:rsidP="00067DB0">
      <w:pPr>
        <w:pStyle w:val="Heading1"/>
        <w:rPr>
          <w:lang w:val="es-ES"/>
        </w:rPr>
      </w:pPr>
      <w:r w:rsidRPr="001D759A">
        <w:rPr>
          <w:lang w:val="es-ES"/>
        </w:rPr>
        <w:lastRenderedPageBreak/>
        <w:t>3</w:t>
      </w:r>
      <w:r w:rsidR="00CC4AE7">
        <w:rPr>
          <w:lang w:val="es-ES"/>
        </w:rPr>
        <w:t>3</w:t>
      </w:r>
      <w:r w:rsidRPr="001D759A">
        <w:rPr>
          <w:lang w:val="es-ES"/>
        </w:rPr>
        <w:tab/>
      </w:r>
      <w:r w:rsidR="00DE4913">
        <w:rPr>
          <w:lang w:val="es-ES"/>
        </w:rPr>
        <w:t>Contribución sobre</w:t>
      </w:r>
      <w:r w:rsidR="00DE4913" w:rsidRPr="001D759A">
        <w:rPr>
          <w:lang w:val="es-ES"/>
        </w:rPr>
        <w:t xml:space="preserve"> </w:t>
      </w:r>
      <w:r w:rsidRPr="001D759A">
        <w:rPr>
          <w:lang w:val="es-ES"/>
        </w:rPr>
        <w:t>la representación equitativa de las seis regiones en el Comité Asesor Independiente sobre la Gestión (CAIG) (Documento</w:t>
      </w:r>
      <w:r w:rsidR="005A3C5B">
        <w:rPr>
          <w:lang w:val="es-ES"/>
        </w:rPr>
        <w:t> </w:t>
      </w:r>
      <w:hyperlink r:id="rId132" w:history="1">
        <w:r w:rsidR="00DE4913" w:rsidRPr="00184AC5">
          <w:rPr>
            <w:bCs/>
            <w:color w:val="4F81BD" w:themeColor="accent1"/>
            <w:szCs w:val="28"/>
            <w:lang w:val="es-ES"/>
          </w:rPr>
          <w:t>C26/92</w:t>
        </w:r>
      </w:hyperlink>
      <w:r w:rsidRPr="001D759A">
        <w:rPr>
          <w:lang w:val="es-ES"/>
        </w:rPr>
        <w:t>)</w:t>
      </w:r>
    </w:p>
    <w:p w14:paraId="57C4952C" w14:textId="4110C42B" w:rsidR="00DE4913" w:rsidRDefault="00DE4913" w:rsidP="00E0741C">
      <w:pPr>
        <w:keepNext/>
        <w:keepLines/>
        <w:spacing w:after="120"/>
        <w:rPr>
          <w:lang w:val="es-ES"/>
        </w:rPr>
      </w:pPr>
      <w:r>
        <w:rPr>
          <w:lang w:val="es-ES"/>
        </w:rPr>
        <w:t>3</w:t>
      </w:r>
      <w:r w:rsidR="00CC4AE7">
        <w:rPr>
          <w:lang w:val="es-ES"/>
        </w:rPr>
        <w:t>3</w:t>
      </w:r>
      <w:r>
        <w:rPr>
          <w:lang w:val="es-ES"/>
        </w:rPr>
        <w:t>.1</w:t>
      </w:r>
      <w:r>
        <w:rPr>
          <w:lang w:val="es-ES"/>
        </w:rPr>
        <w:tab/>
      </w:r>
      <w:r w:rsidRPr="00DE4913">
        <w:rPr>
          <w:lang w:val="es-ES"/>
        </w:rPr>
        <w:t xml:space="preserve">Con el apoyo del consejero de China, el observador de la Federación de Rusia presentó la contribución </w:t>
      </w:r>
      <w:r w:rsidR="00CC4AE7">
        <w:rPr>
          <w:lang w:val="es-ES"/>
        </w:rPr>
        <w:t>multipaís</w:t>
      </w:r>
      <w:r w:rsidRPr="00DE4913">
        <w:rPr>
          <w:lang w:val="es-ES"/>
        </w:rPr>
        <w:t xml:space="preserve"> que figura en el Documento C26/92 en nombre de siete países observadores. En dicha contribución se p</w:t>
      </w:r>
      <w:r w:rsidR="006233AB">
        <w:rPr>
          <w:lang w:val="es-ES"/>
        </w:rPr>
        <w:t>edía</w:t>
      </w:r>
      <w:r w:rsidRPr="00DE4913">
        <w:rPr>
          <w:lang w:val="es-ES"/>
        </w:rPr>
        <w:t xml:space="preserve"> que las seis regiones de </w:t>
      </w:r>
      <w:r w:rsidR="00103D78">
        <w:rPr>
          <w:lang w:val="es-ES"/>
        </w:rPr>
        <w:t>la UIT</w:t>
      </w:r>
      <w:r w:rsidRPr="00DE4913">
        <w:rPr>
          <w:lang w:val="es-ES"/>
        </w:rPr>
        <w:t xml:space="preserve"> estén representadas por igual en la composición del </w:t>
      </w:r>
      <w:r>
        <w:rPr>
          <w:lang w:val="es-ES"/>
        </w:rPr>
        <w:t>CAIG</w:t>
      </w:r>
      <w:r w:rsidRPr="00DE4913">
        <w:rPr>
          <w:lang w:val="es-ES"/>
        </w:rPr>
        <w:t xml:space="preserve">, </w:t>
      </w:r>
      <w:r w:rsidR="00E1594D">
        <w:rPr>
          <w:lang w:val="es-ES"/>
        </w:rPr>
        <w:t>en consonancia</w:t>
      </w:r>
      <w:r w:rsidRPr="00DE4913">
        <w:rPr>
          <w:lang w:val="es-ES"/>
        </w:rPr>
        <w:t xml:space="preserve"> con la Resolución 162 (Rev. Bucarest, 2022) de la Conferencia de Plenipotenciarios, relativa al </w:t>
      </w:r>
      <w:r>
        <w:rPr>
          <w:lang w:val="es-ES"/>
        </w:rPr>
        <w:t>CAIG</w:t>
      </w:r>
      <w:r w:rsidRPr="00DE4913">
        <w:rPr>
          <w:lang w:val="es-ES"/>
        </w:rPr>
        <w:t xml:space="preserve"> y a su mandato. </w:t>
      </w:r>
      <w:r w:rsidR="00003661">
        <w:rPr>
          <w:lang w:val="es-ES"/>
        </w:rPr>
        <w:t>S</w:t>
      </w:r>
      <w:r w:rsidR="00E1594D">
        <w:rPr>
          <w:lang w:val="es-ES"/>
        </w:rPr>
        <w:t>eñaló que la composición actual d</w:t>
      </w:r>
      <w:r w:rsidRPr="00DE4913">
        <w:rPr>
          <w:lang w:val="es-ES"/>
        </w:rPr>
        <w:t xml:space="preserve">el </w:t>
      </w:r>
      <w:r>
        <w:rPr>
          <w:lang w:val="es-ES"/>
        </w:rPr>
        <w:t>CAIG</w:t>
      </w:r>
      <w:r w:rsidRPr="00DE4913">
        <w:rPr>
          <w:lang w:val="es-ES"/>
        </w:rPr>
        <w:t xml:space="preserve"> </w:t>
      </w:r>
      <w:r w:rsidR="00E1594D">
        <w:rPr>
          <w:lang w:val="es-ES"/>
        </w:rPr>
        <w:t>e</w:t>
      </w:r>
      <w:r w:rsidR="006233AB">
        <w:rPr>
          <w:lang w:val="es-ES"/>
        </w:rPr>
        <w:t>ra</w:t>
      </w:r>
      <w:r w:rsidR="00E1594D">
        <w:rPr>
          <w:lang w:val="es-ES"/>
        </w:rPr>
        <w:t xml:space="preserve"> de </w:t>
      </w:r>
      <w:r w:rsidRPr="00DE4913">
        <w:rPr>
          <w:lang w:val="es-ES"/>
        </w:rPr>
        <w:t>dos miembros de la región de Europa y ninguno de la región de la Comunidad de Estados Independientes (CEI).</w:t>
      </w:r>
    </w:p>
    <w:p w14:paraId="306E990E" w14:textId="7B2C4193" w:rsidR="00DE4913" w:rsidRDefault="00DE4913" w:rsidP="00E0741C">
      <w:pPr>
        <w:keepNext/>
        <w:keepLines/>
        <w:spacing w:after="120"/>
        <w:rPr>
          <w:lang w:val="es-ES"/>
        </w:rPr>
      </w:pPr>
      <w:r>
        <w:rPr>
          <w:lang w:val="es-ES"/>
        </w:rPr>
        <w:t>3</w:t>
      </w:r>
      <w:r w:rsidR="00CC4AE7">
        <w:rPr>
          <w:lang w:val="es-ES"/>
        </w:rPr>
        <w:t>3</w:t>
      </w:r>
      <w:r>
        <w:rPr>
          <w:lang w:val="es-ES"/>
        </w:rPr>
        <w:t>.2</w:t>
      </w:r>
      <w:r>
        <w:rPr>
          <w:lang w:val="es-ES"/>
        </w:rPr>
        <w:tab/>
      </w:r>
      <w:r w:rsidR="00CC4AE7">
        <w:rPr>
          <w:lang w:val="es-ES"/>
        </w:rPr>
        <w:t>Un</w:t>
      </w:r>
      <w:r w:rsidR="00CC4AE7" w:rsidRPr="00DE4913">
        <w:rPr>
          <w:lang w:val="es-ES"/>
        </w:rPr>
        <w:t xml:space="preserve"> </w:t>
      </w:r>
      <w:r w:rsidRPr="00DE4913">
        <w:rPr>
          <w:lang w:val="es-ES"/>
        </w:rPr>
        <w:t xml:space="preserve">consejero acogió con satisfacción la contribución y </w:t>
      </w:r>
      <w:r w:rsidR="00E1594D">
        <w:rPr>
          <w:lang w:val="es-ES"/>
        </w:rPr>
        <w:t xml:space="preserve">reconoció la </w:t>
      </w:r>
      <w:r w:rsidRPr="00DE4913">
        <w:rPr>
          <w:lang w:val="es-ES"/>
        </w:rPr>
        <w:t>importancia de que haya una representación geográfica equitativa</w:t>
      </w:r>
      <w:r w:rsidR="00003661">
        <w:rPr>
          <w:lang w:val="es-ES"/>
        </w:rPr>
        <w:t>;</w:t>
      </w:r>
      <w:r w:rsidRPr="00DE4913">
        <w:rPr>
          <w:lang w:val="es-ES"/>
        </w:rPr>
        <w:t xml:space="preserve"> </w:t>
      </w:r>
      <w:r w:rsidR="00003661">
        <w:rPr>
          <w:lang w:val="es-ES"/>
        </w:rPr>
        <w:t>s</w:t>
      </w:r>
      <w:r w:rsidRPr="00DE4913">
        <w:rPr>
          <w:lang w:val="es-ES"/>
        </w:rPr>
        <w:t xml:space="preserve">in embargo, </w:t>
      </w:r>
      <w:r w:rsidR="00E1594D">
        <w:rPr>
          <w:lang w:val="es-ES"/>
        </w:rPr>
        <w:t xml:space="preserve">recordó que </w:t>
      </w:r>
      <w:r w:rsidRPr="00DE4913">
        <w:rPr>
          <w:lang w:val="es-ES"/>
        </w:rPr>
        <w:t xml:space="preserve">en el mandato del </w:t>
      </w:r>
      <w:r>
        <w:rPr>
          <w:lang w:val="es-ES"/>
        </w:rPr>
        <w:t xml:space="preserve">CAIG </w:t>
      </w:r>
      <w:r w:rsidRPr="00DE4913">
        <w:rPr>
          <w:lang w:val="es-ES"/>
        </w:rPr>
        <w:t xml:space="preserve">se </w:t>
      </w:r>
      <w:r w:rsidR="00CC4AE7">
        <w:rPr>
          <w:lang w:val="es-ES"/>
        </w:rPr>
        <w:t xml:space="preserve">establece como criterio </w:t>
      </w:r>
      <w:r w:rsidRPr="00DE4913">
        <w:rPr>
          <w:lang w:val="es-ES"/>
        </w:rPr>
        <w:t>priori</w:t>
      </w:r>
      <w:r w:rsidR="00CC4AE7">
        <w:rPr>
          <w:lang w:val="es-ES"/>
        </w:rPr>
        <w:t>tario</w:t>
      </w:r>
      <w:r w:rsidRPr="00DE4913">
        <w:rPr>
          <w:lang w:val="es-ES"/>
        </w:rPr>
        <w:t xml:space="preserve"> la competencia profesional</w:t>
      </w:r>
      <w:r w:rsidR="00CC4AE7">
        <w:rPr>
          <w:lang w:val="es-ES"/>
        </w:rPr>
        <w:t xml:space="preserve">, mientras que </w:t>
      </w:r>
      <w:r w:rsidRPr="00DE4913">
        <w:rPr>
          <w:lang w:val="es-ES"/>
        </w:rPr>
        <w:t xml:space="preserve">la representación geográfica </w:t>
      </w:r>
      <w:r w:rsidR="00CC4AE7">
        <w:rPr>
          <w:lang w:val="es-ES"/>
        </w:rPr>
        <w:t xml:space="preserve">se debe aplicar </w:t>
      </w:r>
      <w:r w:rsidR="005A3C5B">
        <w:rPr>
          <w:lang w:val="es-ES"/>
        </w:rPr>
        <w:t>"</w:t>
      </w:r>
      <w:r w:rsidRPr="00DE4913">
        <w:rPr>
          <w:lang w:val="es-ES"/>
        </w:rPr>
        <w:t>en la medida de lo posible</w:t>
      </w:r>
      <w:r w:rsidR="005A3C5B">
        <w:rPr>
          <w:lang w:val="es-ES"/>
        </w:rPr>
        <w:t>"</w:t>
      </w:r>
      <w:r w:rsidRPr="00DE4913">
        <w:rPr>
          <w:lang w:val="es-ES"/>
        </w:rPr>
        <w:t xml:space="preserve">. </w:t>
      </w:r>
      <w:r w:rsidR="00CC4AE7">
        <w:rPr>
          <w:lang w:val="es-ES"/>
        </w:rPr>
        <w:t xml:space="preserve">Añadió </w:t>
      </w:r>
      <w:proofErr w:type="gramStart"/>
      <w:r w:rsidR="00CC4AE7">
        <w:rPr>
          <w:lang w:val="es-ES"/>
        </w:rPr>
        <w:t>que</w:t>
      </w:r>
      <w:proofErr w:type="gramEnd"/>
      <w:r w:rsidR="00CC4AE7">
        <w:rPr>
          <w:lang w:val="es-ES"/>
        </w:rPr>
        <w:t xml:space="preserve"> si los Estados Miembros desean </w:t>
      </w:r>
      <w:r w:rsidRPr="00DE4913">
        <w:rPr>
          <w:lang w:val="es-ES"/>
        </w:rPr>
        <w:t xml:space="preserve">que la representación geográfica se considere al mismo nivel que la competencia profesional, la Conferencia de Plenipotenciarios </w:t>
      </w:r>
      <w:r w:rsidR="00CC4AE7">
        <w:rPr>
          <w:lang w:val="es-ES"/>
        </w:rPr>
        <w:t xml:space="preserve">tendría que </w:t>
      </w:r>
      <w:r w:rsidRPr="00DE4913">
        <w:rPr>
          <w:lang w:val="es-ES"/>
        </w:rPr>
        <w:t xml:space="preserve">revisar el mandato para </w:t>
      </w:r>
      <w:r w:rsidR="00CC4AE7">
        <w:rPr>
          <w:lang w:val="es-ES"/>
        </w:rPr>
        <w:t>evitar diferentes interpretaciones</w:t>
      </w:r>
      <w:r>
        <w:rPr>
          <w:lang w:val="es-ES"/>
        </w:rPr>
        <w:t>.</w:t>
      </w:r>
    </w:p>
    <w:p w14:paraId="4BB0AA92" w14:textId="097E6D40" w:rsidR="00DE4913" w:rsidRDefault="00DE4913" w:rsidP="00E0741C">
      <w:pPr>
        <w:keepNext/>
        <w:keepLines/>
        <w:spacing w:after="120"/>
        <w:rPr>
          <w:lang w:val="es-ES"/>
        </w:rPr>
      </w:pPr>
      <w:r>
        <w:rPr>
          <w:lang w:val="es-ES"/>
        </w:rPr>
        <w:t>3</w:t>
      </w:r>
      <w:r w:rsidR="00CC4AE7">
        <w:rPr>
          <w:lang w:val="es-ES"/>
        </w:rPr>
        <w:t>3</w:t>
      </w:r>
      <w:r>
        <w:rPr>
          <w:lang w:val="es-ES"/>
        </w:rPr>
        <w:t>.3</w:t>
      </w:r>
      <w:r>
        <w:rPr>
          <w:lang w:val="es-ES"/>
        </w:rPr>
        <w:tab/>
      </w:r>
      <w:r w:rsidRPr="00DE4913">
        <w:rPr>
          <w:lang w:val="es-ES"/>
        </w:rPr>
        <w:t xml:space="preserve">Otros consejeros </w:t>
      </w:r>
      <w:r w:rsidR="00CC4AE7">
        <w:rPr>
          <w:lang w:val="es-ES"/>
        </w:rPr>
        <w:t>reiteraron que</w:t>
      </w:r>
      <w:r w:rsidR="00CC4AE7" w:rsidRPr="00DE4913">
        <w:rPr>
          <w:lang w:val="es-ES"/>
        </w:rPr>
        <w:t xml:space="preserve"> </w:t>
      </w:r>
      <w:r w:rsidR="00CC4AE7">
        <w:rPr>
          <w:lang w:val="es-ES"/>
        </w:rPr>
        <w:t xml:space="preserve">la selección de </w:t>
      </w:r>
      <w:r w:rsidRPr="00DE4913">
        <w:rPr>
          <w:lang w:val="es-ES"/>
        </w:rPr>
        <w:t xml:space="preserve">los miembros del </w:t>
      </w:r>
      <w:r w:rsidR="00142BC5">
        <w:rPr>
          <w:lang w:val="es-ES"/>
        </w:rPr>
        <w:t>CAIG</w:t>
      </w:r>
      <w:r w:rsidR="00CC4AE7">
        <w:rPr>
          <w:lang w:val="es-ES"/>
        </w:rPr>
        <w:t xml:space="preserve"> debería basarse principalmente en el mérito y estar orientada por la competencia profesional</w:t>
      </w:r>
      <w:r w:rsidRPr="00DE4913">
        <w:rPr>
          <w:lang w:val="es-ES"/>
        </w:rPr>
        <w:t>.</w:t>
      </w:r>
      <w:r w:rsidR="00CC4AE7">
        <w:rPr>
          <w:lang w:val="es-ES"/>
        </w:rPr>
        <w:t xml:space="preserve"> Ahora bien, algun</w:t>
      </w:r>
      <w:r w:rsidR="00003661">
        <w:rPr>
          <w:lang w:val="es-ES"/>
        </w:rPr>
        <w:t>o</w:t>
      </w:r>
      <w:r w:rsidR="00CC4AE7">
        <w:rPr>
          <w:lang w:val="es-ES"/>
        </w:rPr>
        <w:t xml:space="preserve">s </w:t>
      </w:r>
      <w:r w:rsidR="00003661">
        <w:rPr>
          <w:lang w:val="es-ES"/>
        </w:rPr>
        <w:t xml:space="preserve">consejeros y un observador </w:t>
      </w:r>
      <w:r w:rsidR="00CC4AE7">
        <w:rPr>
          <w:lang w:val="es-ES"/>
        </w:rPr>
        <w:t xml:space="preserve">destacaron que </w:t>
      </w:r>
      <w:r w:rsidRPr="00DE4913">
        <w:rPr>
          <w:lang w:val="es-ES"/>
        </w:rPr>
        <w:t xml:space="preserve">la representación </w:t>
      </w:r>
      <w:r w:rsidR="00CC4AE7">
        <w:rPr>
          <w:lang w:val="es-ES"/>
        </w:rPr>
        <w:t xml:space="preserve">geográfica </w:t>
      </w:r>
      <w:r w:rsidRPr="00DE4913">
        <w:rPr>
          <w:lang w:val="es-ES"/>
        </w:rPr>
        <w:t>equitativa sigue siendo un factor importante</w:t>
      </w:r>
      <w:r w:rsidR="00CC4AE7">
        <w:rPr>
          <w:lang w:val="es-ES"/>
        </w:rPr>
        <w:t xml:space="preserve"> </w:t>
      </w:r>
      <w:proofErr w:type="gramStart"/>
      <w:r w:rsidR="00CC4AE7">
        <w:rPr>
          <w:lang w:val="es-ES"/>
        </w:rPr>
        <w:t>a</w:t>
      </w:r>
      <w:proofErr w:type="gramEnd"/>
      <w:r w:rsidR="00CC4AE7">
        <w:rPr>
          <w:lang w:val="es-ES"/>
        </w:rPr>
        <w:t xml:space="preserve"> tener en cuenta</w:t>
      </w:r>
      <w:r w:rsidR="00142BC5">
        <w:rPr>
          <w:lang w:val="es-ES"/>
        </w:rPr>
        <w:t>.</w:t>
      </w:r>
    </w:p>
    <w:p w14:paraId="5DEBA00E" w14:textId="7CAAC45B" w:rsidR="00E0741C" w:rsidRPr="001D759A" w:rsidRDefault="005A3C5B" w:rsidP="00E0741C">
      <w:pPr>
        <w:keepNext/>
        <w:keepLines/>
        <w:spacing w:after="120"/>
        <w:rPr>
          <w:lang w:val="es-ES"/>
        </w:rPr>
      </w:pPr>
      <w:r>
        <w:rPr>
          <w:lang w:val="es-ES"/>
        </w:rPr>
        <w:t>3</w:t>
      </w:r>
      <w:r w:rsidR="00CC4AE7">
        <w:rPr>
          <w:lang w:val="es-ES"/>
        </w:rPr>
        <w:t>3</w:t>
      </w:r>
      <w:r>
        <w:rPr>
          <w:lang w:val="es-ES"/>
        </w:rPr>
        <w:t>.4</w:t>
      </w:r>
      <w:r w:rsidR="00E0741C" w:rsidRPr="001D759A">
        <w:rPr>
          <w:lang w:val="es-ES"/>
        </w:rPr>
        <w:tab/>
        <w:t xml:space="preserve">La Comisión </w:t>
      </w:r>
      <w:r w:rsidR="00E0741C" w:rsidRPr="001D759A">
        <w:rPr>
          <w:b/>
          <w:bCs/>
          <w:lang w:val="es-ES"/>
        </w:rPr>
        <w:t>acordó</w:t>
      </w:r>
      <w:r w:rsidR="00E0741C" w:rsidRPr="001D759A">
        <w:rPr>
          <w:lang w:val="es-ES"/>
        </w:rPr>
        <w:t xml:space="preserve"> llegar a la siguiente conclusión:</w:t>
      </w:r>
    </w:p>
    <w:tbl>
      <w:tblPr>
        <w:tblStyle w:val="TableGrid"/>
        <w:tblW w:w="5000" w:type="pct"/>
        <w:tblInd w:w="-147" w:type="dxa"/>
        <w:tblLook w:val="04A0" w:firstRow="1" w:lastRow="0" w:firstColumn="1" w:lastColumn="0" w:noHBand="0" w:noVBand="1"/>
      </w:tblPr>
      <w:tblGrid>
        <w:gridCol w:w="9061"/>
      </w:tblGrid>
      <w:tr w:rsidR="00E0741C" w:rsidRPr="0057685D" w14:paraId="293CD748" w14:textId="77777777" w:rsidTr="00180302">
        <w:tc>
          <w:tcPr>
            <w:tcW w:w="9208" w:type="dxa"/>
            <w:hideMark/>
          </w:tcPr>
          <w:p w14:paraId="33680EE1" w14:textId="1F4FA5F2" w:rsidR="00E0741C" w:rsidRPr="001D759A" w:rsidRDefault="005A3C5B" w:rsidP="00180302">
            <w:pPr>
              <w:keepNext/>
              <w:keepLines/>
              <w:tabs>
                <w:tab w:val="clear" w:pos="567"/>
                <w:tab w:val="left" w:pos="605"/>
              </w:tabs>
              <w:spacing w:after="80"/>
              <w:ind w:left="40"/>
              <w:rPr>
                <w:lang w:val="es-ES"/>
              </w:rPr>
            </w:pPr>
            <w:r>
              <w:rPr>
                <w:rFonts w:eastAsia="Calibri" w:cs="Calibri"/>
                <w:lang w:val="es-ES"/>
              </w:rPr>
              <w:t>3</w:t>
            </w:r>
            <w:r w:rsidR="00CC4AE7">
              <w:rPr>
                <w:rFonts w:eastAsia="Calibri" w:cs="Calibri"/>
                <w:lang w:val="es-ES"/>
              </w:rPr>
              <w:t>3</w:t>
            </w:r>
            <w:r>
              <w:rPr>
                <w:rFonts w:eastAsia="Calibri" w:cs="Calibri"/>
                <w:lang w:val="es-ES"/>
              </w:rPr>
              <w:t>.5</w:t>
            </w:r>
            <w:r w:rsidR="00E0741C" w:rsidRPr="001D759A">
              <w:rPr>
                <w:lang w:val="es-ES"/>
              </w:rPr>
              <w:tab/>
              <w:t>La Comisión recomienda al Consejo que:</w:t>
            </w:r>
          </w:p>
          <w:p w14:paraId="3A0FA6C1" w14:textId="68360AF5" w:rsidR="00E0741C" w:rsidRPr="001D759A" w:rsidRDefault="00E0741C" w:rsidP="006A513D">
            <w:pPr>
              <w:pStyle w:val="enumlev1"/>
              <w:tabs>
                <w:tab w:val="clear" w:pos="567"/>
              </w:tabs>
              <w:ind w:left="605"/>
              <w:rPr>
                <w:lang w:val="es-ES"/>
              </w:rPr>
            </w:pPr>
            <w:r w:rsidRPr="001D759A">
              <w:rPr>
                <w:lang w:val="es-ES"/>
              </w:rPr>
              <w:t>•</w:t>
            </w:r>
            <w:r w:rsidRPr="001D759A">
              <w:rPr>
                <w:lang w:val="es-ES"/>
              </w:rPr>
              <w:tab/>
            </w:r>
            <w:r w:rsidR="00142BC5">
              <w:rPr>
                <w:lang w:val="es-ES"/>
              </w:rPr>
              <w:t>tome nota de las opiniones manifestadas por los consejeros y los observadores sobre la propuesta contenida en el Documento</w:t>
            </w:r>
            <w:r w:rsidR="00756112">
              <w:rPr>
                <w:lang w:val="es-ES"/>
              </w:rPr>
              <w:t xml:space="preserve"> </w:t>
            </w:r>
            <w:hyperlink r:id="rId133" w:history="1">
              <w:r w:rsidR="00E1594D" w:rsidRPr="00181D88">
                <w:rPr>
                  <w:rStyle w:val="Hyperlink"/>
                  <w:rFonts w:cs="Times New Roman"/>
                  <w:szCs w:val="20"/>
                  <w:lang w:val="es-ES"/>
                </w:rPr>
                <w:t>C26/92</w:t>
              </w:r>
            </w:hyperlink>
            <w:r w:rsidR="00756112" w:rsidRPr="00756112">
              <w:rPr>
                <w:lang w:val="es-ES"/>
              </w:rPr>
              <w:t>;</w:t>
            </w:r>
            <w:r w:rsidRPr="001D759A">
              <w:rPr>
                <w:lang w:val="es-ES"/>
              </w:rPr>
              <w:t xml:space="preserve"> y</w:t>
            </w:r>
          </w:p>
          <w:p w14:paraId="057D0BDD" w14:textId="0A7D1F2C" w:rsidR="00E0741C" w:rsidRPr="001D759A" w:rsidRDefault="00E0741C" w:rsidP="006A513D">
            <w:pPr>
              <w:pStyle w:val="enumlev1"/>
              <w:tabs>
                <w:tab w:val="clear" w:pos="567"/>
              </w:tabs>
              <w:spacing w:after="120"/>
              <w:ind w:left="605"/>
              <w:rPr>
                <w:lang w:val="es-ES"/>
              </w:rPr>
            </w:pPr>
            <w:r w:rsidRPr="001D759A">
              <w:rPr>
                <w:lang w:val="es-ES"/>
              </w:rPr>
              <w:t>•</w:t>
            </w:r>
            <w:r w:rsidRPr="001D759A">
              <w:rPr>
                <w:lang w:val="es-ES"/>
              </w:rPr>
              <w:tab/>
            </w:r>
            <w:r w:rsidR="00142BC5">
              <w:rPr>
                <w:rFonts w:cs="Calibri"/>
                <w:szCs w:val="24"/>
                <w:lang w:val="es-ES"/>
              </w:rPr>
              <w:t>invite a los Estados Miembros a pres</w:t>
            </w:r>
            <w:r w:rsidR="00756112">
              <w:rPr>
                <w:rFonts w:cs="Calibri"/>
                <w:szCs w:val="24"/>
                <w:lang w:val="es-ES"/>
              </w:rPr>
              <w:t>en</w:t>
            </w:r>
            <w:r w:rsidR="00142BC5">
              <w:rPr>
                <w:rFonts w:cs="Calibri"/>
                <w:szCs w:val="24"/>
                <w:lang w:val="es-ES"/>
              </w:rPr>
              <w:t xml:space="preserve">tar propuestas a la Conferencia de </w:t>
            </w:r>
            <w:r w:rsidR="00142BC5" w:rsidRPr="006A513D">
              <w:rPr>
                <w:rFonts w:eastAsia="Calibri" w:cs="Calibri"/>
                <w:lang w:val="es-ES"/>
              </w:rPr>
              <w:t>Plenipotenciarios</w:t>
            </w:r>
            <w:r w:rsidR="00142BC5">
              <w:rPr>
                <w:rFonts w:cs="Calibri"/>
                <w:szCs w:val="24"/>
                <w:lang w:val="es-ES"/>
              </w:rPr>
              <w:t xml:space="preserve"> (Doha, 2026) sobre la revisión de la Resolución 162 (Rev.</w:t>
            </w:r>
            <w:r w:rsidR="00756112">
              <w:rPr>
                <w:rFonts w:cs="Calibri"/>
                <w:szCs w:val="24"/>
                <w:lang w:val="es-ES"/>
              </w:rPr>
              <w:t> </w:t>
            </w:r>
            <w:r w:rsidR="00142BC5">
              <w:rPr>
                <w:rFonts w:cs="Calibri"/>
                <w:szCs w:val="24"/>
                <w:lang w:val="es-ES"/>
              </w:rPr>
              <w:t>Bucarest,</w:t>
            </w:r>
            <w:r w:rsidR="00756112">
              <w:rPr>
                <w:rFonts w:cs="Calibri"/>
                <w:szCs w:val="24"/>
                <w:lang w:val="es-ES"/>
              </w:rPr>
              <w:t> </w:t>
            </w:r>
            <w:r w:rsidR="00142BC5">
              <w:rPr>
                <w:rFonts w:cs="Calibri"/>
                <w:szCs w:val="24"/>
                <w:lang w:val="es-ES"/>
              </w:rPr>
              <w:t>2022), si procede</w:t>
            </w:r>
            <w:r w:rsidRPr="001D759A">
              <w:rPr>
                <w:rFonts w:cs="Calibri"/>
                <w:szCs w:val="24"/>
                <w:lang w:val="es-ES"/>
              </w:rPr>
              <w:t>.</w:t>
            </w:r>
          </w:p>
        </w:tc>
      </w:tr>
    </w:tbl>
    <w:p w14:paraId="2AC9DC1E" w14:textId="3E3BDE4E" w:rsidR="00F70066" w:rsidRPr="001D759A" w:rsidRDefault="00F70066" w:rsidP="00F70066">
      <w:pPr>
        <w:pStyle w:val="Heading1"/>
        <w:rPr>
          <w:lang w:val="es-ES"/>
        </w:rPr>
      </w:pPr>
      <w:r w:rsidRPr="001D759A">
        <w:rPr>
          <w:lang w:val="es-ES"/>
        </w:rPr>
        <w:t>3</w:t>
      </w:r>
      <w:r w:rsidR="00CC4AE7">
        <w:rPr>
          <w:lang w:val="es-ES"/>
        </w:rPr>
        <w:t>4</w:t>
      </w:r>
      <w:r w:rsidRPr="001D759A">
        <w:rPr>
          <w:bCs/>
          <w:lang w:val="es-ES"/>
        </w:rPr>
        <w:tab/>
      </w:r>
      <w:r w:rsidR="000719A0" w:rsidRPr="001D759A">
        <w:rPr>
          <w:lang w:val="es-ES"/>
        </w:rPr>
        <w:t xml:space="preserve">Informe no verificado de </w:t>
      </w:r>
      <w:proofErr w:type="gramStart"/>
      <w:r w:rsidR="000719A0" w:rsidRPr="001D759A">
        <w:rPr>
          <w:lang w:val="es-ES"/>
        </w:rPr>
        <w:t>gestión financiera y estados financieros</w:t>
      </w:r>
      <w:proofErr w:type="gramEnd"/>
      <w:r w:rsidR="000719A0" w:rsidRPr="001D759A">
        <w:rPr>
          <w:lang w:val="es-ES"/>
        </w:rPr>
        <w:t xml:space="preserve"> para el ejercicio financiero</w:t>
      </w:r>
      <w:r w:rsidR="00B455A5" w:rsidRPr="001D759A">
        <w:rPr>
          <w:lang w:val="es-ES"/>
        </w:rPr>
        <w:t xml:space="preserve"> </w:t>
      </w:r>
      <w:r w:rsidR="000719A0" w:rsidRPr="001D759A">
        <w:rPr>
          <w:lang w:val="es-ES"/>
        </w:rPr>
        <w:t xml:space="preserve">2025 (Documento </w:t>
      </w:r>
      <w:hyperlink r:id="rId134" w:history="1">
        <w:r w:rsidR="000719A0" w:rsidRPr="00184AC5">
          <w:rPr>
            <w:bCs/>
            <w:color w:val="4F81BD" w:themeColor="accent1"/>
            <w:szCs w:val="22"/>
            <w:lang w:val="es-ES"/>
          </w:rPr>
          <w:t>C26/36</w:t>
        </w:r>
      </w:hyperlink>
      <w:r w:rsidR="000719A0" w:rsidRPr="001D759A">
        <w:rPr>
          <w:lang w:val="es-ES"/>
        </w:rPr>
        <w:t>)</w:t>
      </w:r>
    </w:p>
    <w:p w14:paraId="755A63C4" w14:textId="01FFA48C" w:rsidR="00A64B98" w:rsidRPr="001D759A" w:rsidRDefault="00F70066" w:rsidP="00A64B98">
      <w:pPr>
        <w:rPr>
          <w:lang w:val="es-ES"/>
        </w:rPr>
      </w:pPr>
      <w:r w:rsidRPr="001D759A">
        <w:rPr>
          <w:lang w:val="es-ES"/>
        </w:rPr>
        <w:t>3</w:t>
      </w:r>
      <w:r w:rsidR="00CC4AE7">
        <w:rPr>
          <w:lang w:val="es-ES"/>
        </w:rPr>
        <w:t>4</w:t>
      </w:r>
      <w:r w:rsidRPr="001D759A">
        <w:rPr>
          <w:lang w:val="es-ES"/>
        </w:rPr>
        <w:t>.1</w:t>
      </w:r>
      <w:r w:rsidRPr="001D759A">
        <w:rPr>
          <w:lang w:val="es-ES"/>
        </w:rPr>
        <w:tab/>
      </w:r>
      <w:r w:rsidR="00A64B98" w:rsidRPr="001D759A">
        <w:rPr>
          <w:lang w:val="es-ES"/>
        </w:rPr>
        <w:t xml:space="preserve">La Secretaria General, explicando que el Auditor Externo no había podido asistir a la sesión de 2026 del Consejo (Consejo-26), dijo que los resultados financieros para 2025 demostraron una contundente gestión de los recursos de los Estados Miembros: se había conseguido un superávit presupuestario y un cumplimiento pleno con las Normas Internacionales de Contabilidad del Sector Público (IPSAS). Asimismo, se habían logrado importantes avances respecto de la aplicación de las recomendaciones de la auditoría externa, impulsando con ello las operaciones de </w:t>
      </w:r>
      <w:r w:rsidR="005457EE">
        <w:rPr>
          <w:lang w:val="es-ES"/>
        </w:rPr>
        <w:t>la Unión</w:t>
      </w:r>
      <w:r w:rsidR="00A64B98" w:rsidRPr="001D759A">
        <w:rPr>
          <w:lang w:val="es-ES"/>
        </w:rPr>
        <w:t xml:space="preserve"> y sus estructuras de gobernanza. El hecho de contar con sólidas bases financieras permitió a </w:t>
      </w:r>
      <w:r w:rsidR="005457EE">
        <w:rPr>
          <w:lang w:val="es-ES"/>
        </w:rPr>
        <w:t>la Unión</w:t>
      </w:r>
      <w:r w:rsidR="00A64B98" w:rsidRPr="001D759A">
        <w:rPr>
          <w:lang w:val="es-ES"/>
        </w:rPr>
        <w:t xml:space="preserve"> cumplir su mandato, en particular cerrar la brecha digital, aprovechar la IA de manera responsable y apoyar la transformación digital sostenible en todo el mundo.</w:t>
      </w:r>
    </w:p>
    <w:p w14:paraId="27B2532F" w14:textId="1FD33078" w:rsidR="00A64B98" w:rsidRPr="001D759A" w:rsidRDefault="00A64B98" w:rsidP="00A64B98">
      <w:pPr>
        <w:rPr>
          <w:lang w:val="es-ES"/>
        </w:rPr>
      </w:pPr>
      <w:r w:rsidRPr="001D759A">
        <w:rPr>
          <w:lang w:val="es-ES"/>
        </w:rPr>
        <w:lastRenderedPageBreak/>
        <w:t>3</w:t>
      </w:r>
      <w:r w:rsidR="00CC4AE7">
        <w:rPr>
          <w:lang w:val="es-ES"/>
        </w:rPr>
        <w:t>4</w:t>
      </w:r>
      <w:r w:rsidRPr="001D759A">
        <w:rPr>
          <w:lang w:val="es-ES"/>
        </w:rPr>
        <w:t>.2</w:t>
      </w:r>
      <w:r w:rsidRPr="001D759A">
        <w:rPr>
          <w:lang w:val="es-ES"/>
        </w:rPr>
        <w:tab/>
        <w:t xml:space="preserve">El Jefe del Departamento de Gestión de Recursos Financieros proporcionó una reseña del Documento C26/36, que contenía el informe no verificado de gestión financiera y los estados financieros para el ejercicio financiero 2025, que se habían presentado de conformidad con el Artículo 29 del Reglamento Financiero y las Reglas Financieras de </w:t>
      </w:r>
      <w:r w:rsidR="005457EE">
        <w:rPr>
          <w:lang w:val="es-ES"/>
        </w:rPr>
        <w:t>la Unión</w:t>
      </w:r>
      <w:r w:rsidRPr="001D759A">
        <w:rPr>
          <w:lang w:val="es-ES"/>
        </w:rPr>
        <w:t>. Algunos de los aspectos destacados del ejercicio financiero 2025 fueron: el aumento en 11,7</w:t>
      </w:r>
      <w:r w:rsidR="005457EE">
        <w:rPr>
          <w:lang w:val="es-ES"/>
        </w:rPr>
        <w:t> millones CHF</w:t>
      </w:r>
      <w:r w:rsidRPr="001D759A">
        <w:rPr>
          <w:lang w:val="es-ES"/>
        </w:rPr>
        <w:t xml:space="preserve"> de los ingresos totales generales, ampliamente debido a un incremento de las contribuciones extrapresupuestarias, el crecimiento de las ventas de publicaciones y otros ingresos, como un ajuste actuarial positivo en relación con los gastos de repatriación del personal; una reducción en 20,9</w:t>
      </w:r>
      <w:r w:rsidR="005457EE">
        <w:rPr>
          <w:lang w:val="es-ES"/>
        </w:rPr>
        <w:t> millones CHF</w:t>
      </w:r>
      <w:r w:rsidRPr="001D759A">
        <w:rPr>
          <w:lang w:val="es-ES"/>
        </w:rPr>
        <w:t xml:space="preserve"> de los gastos, debida principalmente a la depreciación del proyecto de nuevo edificio; una disminución de los ingresos/gastos financieros, debida principalmente a las pérdidas por tipo de cambio; y una reducción en 56,4</w:t>
      </w:r>
      <w:r w:rsidR="005457EE">
        <w:rPr>
          <w:lang w:val="es-ES"/>
        </w:rPr>
        <w:t> millones CHF</w:t>
      </w:r>
      <w:r w:rsidRPr="001D759A">
        <w:rPr>
          <w:lang w:val="es-ES"/>
        </w:rPr>
        <w:t xml:space="preserve"> de la correlación activo-pasivo, relacionada con las disminuciones de las obligaciones del seguro médico posterior a la separación del servicio (ASHI).</w:t>
      </w:r>
    </w:p>
    <w:p w14:paraId="7F2E0B03" w14:textId="094647F0" w:rsidR="00A64B98" w:rsidRPr="001D759A" w:rsidRDefault="00A64B98" w:rsidP="00A64B98">
      <w:pPr>
        <w:rPr>
          <w:rFonts w:cs="Calibri"/>
          <w:lang w:val="es-ES"/>
        </w:rPr>
      </w:pPr>
      <w:r w:rsidRPr="001D759A">
        <w:rPr>
          <w:lang w:val="es-ES"/>
        </w:rPr>
        <w:t>3</w:t>
      </w:r>
      <w:r w:rsidR="00FF41B0">
        <w:rPr>
          <w:lang w:val="es-ES"/>
        </w:rPr>
        <w:t>4</w:t>
      </w:r>
      <w:r w:rsidRPr="001D759A">
        <w:rPr>
          <w:lang w:val="es-ES"/>
        </w:rPr>
        <w:t>.3</w:t>
      </w:r>
      <w:r w:rsidRPr="001D759A">
        <w:rPr>
          <w:lang w:val="es-ES"/>
        </w:rPr>
        <w:tab/>
        <w:t xml:space="preserve">En respuesta a varias preguntas y comentarios, el orador dijo que, con arreglo a las IPSAS, se requería un informe financiero anual basado en una contabilidad de ejercicio, mientras que </w:t>
      </w:r>
      <w:r w:rsidR="005457EE">
        <w:rPr>
          <w:lang w:val="es-ES"/>
        </w:rPr>
        <w:t>la Unión</w:t>
      </w:r>
      <w:r w:rsidRPr="001D759A">
        <w:rPr>
          <w:lang w:val="es-ES"/>
        </w:rPr>
        <w:t xml:space="preserve"> operaba sobre la base de un presupuesto bienal basado en los resultados, que se presentaba en base al principio de caja modificado. En el documento se había proporcionado información sobre las diferencias resultantes entre las cantidades presupuestadas y reales. En otras palabras, el enfoque de </w:t>
      </w:r>
      <w:r w:rsidR="00103D78">
        <w:rPr>
          <w:lang w:val="es-ES"/>
        </w:rPr>
        <w:t>la UIT</w:t>
      </w:r>
      <w:r w:rsidRPr="001D759A">
        <w:rPr>
          <w:lang w:val="es-ES"/>
        </w:rPr>
        <w:t xml:space="preserve"> basado en el principio de caja modificado reflejaba un superávit presupuestario de 10,2</w:t>
      </w:r>
      <w:r w:rsidR="005457EE">
        <w:rPr>
          <w:lang w:val="es-ES"/>
        </w:rPr>
        <w:t> millones CHF</w:t>
      </w:r>
      <w:r w:rsidRPr="001D759A">
        <w:rPr>
          <w:lang w:val="es-ES"/>
        </w:rPr>
        <w:t>; sin embargo, según el método de las IPSAS, el estado de resultados financieros reflejaba un déficit de</w:t>
      </w:r>
      <w:r w:rsidR="000A35F0">
        <w:rPr>
          <w:lang w:val="es-ES"/>
        </w:rPr>
        <w:t> </w:t>
      </w:r>
      <w:r w:rsidRPr="001D759A">
        <w:rPr>
          <w:lang w:val="es-ES"/>
        </w:rPr>
        <w:t>9,9</w:t>
      </w:r>
      <w:r w:rsidR="005457EE">
        <w:rPr>
          <w:lang w:val="es-ES"/>
        </w:rPr>
        <w:t> millones CHF</w:t>
      </w:r>
      <w:r w:rsidRPr="001D759A">
        <w:rPr>
          <w:lang w:val="es-ES"/>
        </w:rPr>
        <w:t xml:space="preserve">, que se debía en gran parte a las partidas no monetarias que no se incluían en el presupuesto de </w:t>
      </w:r>
      <w:r w:rsidR="00103D78">
        <w:rPr>
          <w:lang w:val="es-ES"/>
        </w:rPr>
        <w:t>la UIT</w:t>
      </w:r>
      <w:r w:rsidRPr="001D759A">
        <w:rPr>
          <w:lang w:val="es-ES"/>
        </w:rPr>
        <w:t>, como las cargas relacionadas con el seguro médico posterior a la separación del servicio, las pérdidas por tipo de cambio y la depreciación de los activos.</w:t>
      </w:r>
    </w:p>
    <w:p w14:paraId="2469633C" w14:textId="176D916D" w:rsidR="00A64B98" w:rsidRPr="001D759A" w:rsidRDefault="00A64B98" w:rsidP="00A64B98">
      <w:pPr>
        <w:rPr>
          <w:rFonts w:cs="Calibri"/>
          <w:lang w:val="es-ES"/>
        </w:rPr>
      </w:pPr>
      <w:r w:rsidRPr="001D759A">
        <w:rPr>
          <w:lang w:val="es-ES"/>
        </w:rPr>
        <w:t>3</w:t>
      </w:r>
      <w:r w:rsidR="00FF41B0">
        <w:rPr>
          <w:lang w:val="es-ES"/>
        </w:rPr>
        <w:t>4</w:t>
      </w:r>
      <w:r w:rsidRPr="001D759A">
        <w:rPr>
          <w:lang w:val="es-ES"/>
        </w:rPr>
        <w:t>.4</w:t>
      </w:r>
      <w:r w:rsidRPr="001D759A">
        <w:rPr>
          <w:lang w:val="es-ES"/>
        </w:rPr>
        <w:tab/>
        <w:t xml:space="preserve">Respecto de las cuentas no verificadas, el orador explicó que, de conformidad con el Reglamento Financiero y las Reglas Financieras de </w:t>
      </w:r>
      <w:r w:rsidR="005457EE">
        <w:rPr>
          <w:lang w:val="es-ES"/>
        </w:rPr>
        <w:t>la Unión</w:t>
      </w:r>
      <w:r w:rsidRPr="001D759A">
        <w:rPr>
          <w:lang w:val="es-ES"/>
        </w:rPr>
        <w:t xml:space="preserve">, los estados financieros se presentaban al Auditor Externo antes del 31 de marzo siguiente al cierre del ejercicio al que se referían. Dado que, en los años en que se celebraba la Conferencia de Plenipotenciarios, la sesión del Consejo tenía lugar seis meses antes de la conferencia, normalmente en marzo o abril, era imposible que el Auditor Externo pudiese emitir su informe auditado en ese periodo de tiempo. El informe auditado se publicaría a finales de junio y se presentaría en la sesión plenaria final del Consejo de 2026, justo antes de la PP-26. Si se desea, se podría incluir un debate sobre el informe auditado en la sesión informativa que se celebra entre sesiones sobre el proyecto de </w:t>
      </w:r>
      <w:r w:rsidR="00490FED">
        <w:rPr>
          <w:lang w:val="es-ES"/>
        </w:rPr>
        <w:t>P</w:t>
      </w:r>
      <w:r w:rsidRPr="001D759A">
        <w:rPr>
          <w:lang w:val="es-ES"/>
        </w:rPr>
        <w:t xml:space="preserve">lan </w:t>
      </w:r>
      <w:r w:rsidR="00490FED">
        <w:rPr>
          <w:lang w:val="es-ES"/>
        </w:rPr>
        <w:t>F</w:t>
      </w:r>
      <w:r w:rsidRPr="001D759A">
        <w:rPr>
          <w:lang w:val="es-ES"/>
        </w:rPr>
        <w:t>inanciero para 2028-2031.</w:t>
      </w:r>
    </w:p>
    <w:p w14:paraId="7A10B30F" w14:textId="35C4AB45" w:rsidR="00A64B98" w:rsidRPr="001D759A" w:rsidRDefault="00A64B98" w:rsidP="00A64B98">
      <w:pPr>
        <w:rPr>
          <w:lang w:val="es-ES"/>
        </w:rPr>
      </w:pPr>
      <w:r w:rsidRPr="001D759A">
        <w:rPr>
          <w:lang w:val="es-ES"/>
        </w:rPr>
        <w:t>3</w:t>
      </w:r>
      <w:r w:rsidR="00FF41B0">
        <w:rPr>
          <w:lang w:val="es-ES"/>
        </w:rPr>
        <w:t>4</w:t>
      </w:r>
      <w:r w:rsidRPr="001D759A">
        <w:rPr>
          <w:lang w:val="es-ES"/>
        </w:rPr>
        <w:t>.5</w:t>
      </w:r>
      <w:r w:rsidRPr="001D759A">
        <w:rPr>
          <w:lang w:val="es-ES"/>
        </w:rPr>
        <w:tab/>
        <w:t xml:space="preserve">El incremento de los costes de personal se debió a varios factores, como los ajustes de la escala de sueldos del Servicio General y las categorías Profesional y superiores acordados tras la aprobación del presupuesto de 2025 en 2023; los aumentos periódicos de las contribuciones para pensiones; y un aumento de las cargas netas del servicio del seguro médico posterior a la separación del servicio. El aumento de los costes de los servicios contractuales estuvo relacionado con la necesidad de recurrir a expertos para llevar a cabo proyectos cuando el trabajo no podía gestionarse internamente. El orador destacó los costes asociados a la categoría de gastos de viajes, que incluían los vuelos y las dietas. Se proporcionó información a ese respecto, desglosada por Sectores, en los estados financieros </w:t>
      </w:r>
      <w:r w:rsidRPr="001D759A">
        <w:rPr>
          <w:lang w:val="es-ES"/>
        </w:rPr>
        <w:lastRenderedPageBreak/>
        <w:t xml:space="preserve">y en sus notas. Los gastos de viaje asociados a la asistencia a conferencias de </w:t>
      </w:r>
      <w:r w:rsidR="00103D78">
        <w:rPr>
          <w:lang w:val="es-ES"/>
        </w:rPr>
        <w:t>la UIT</w:t>
      </w:r>
      <w:r w:rsidRPr="001D759A">
        <w:rPr>
          <w:lang w:val="es-ES"/>
        </w:rPr>
        <w:t xml:space="preserve"> fuera de Ginebra eran asumidos principalmente por el país anfitrión correspondiente.</w:t>
      </w:r>
    </w:p>
    <w:p w14:paraId="6DB2447A" w14:textId="2F8C49A9" w:rsidR="00A64B98" w:rsidRPr="001D759A" w:rsidRDefault="00A64B98" w:rsidP="00A64B98">
      <w:pPr>
        <w:rPr>
          <w:rFonts w:cs="Calibri"/>
          <w:lang w:val="es-ES"/>
        </w:rPr>
      </w:pPr>
      <w:r w:rsidRPr="001D759A">
        <w:rPr>
          <w:lang w:val="es-ES"/>
        </w:rPr>
        <w:t>3</w:t>
      </w:r>
      <w:r w:rsidR="00FF41B0">
        <w:rPr>
          <w:lang w:val="es-ES"/>
        </w:rPr>
        <w:t>4</w:t>
      </w:r>
      <w:r w:rsidRPr="001D759A">
        <w:rPr>
          <w:lang w:val="es-ES"/>
        </w:rPr>
        <w:t>.6</w:t>
      </w:r>
      <w:r w:rsidRPr="001D759A">
        <w:rPr>
          <w:lang w:val="es-ES"/>
        </w:rPr>
        <w:tab/>
        <w:t xml:space="preserve">En relación con las pérdidas por tipo de cambio, si bien el franco suizo era la moneda funcional y utilizada en la presentación de informes de </w:t>
      </w:r>
      <w:r w:rsidR="005457EE">
        <w:rPr>
          <w:lang w:val="es-ES"/>
        </w:rPr>
        <w:t>la Unión</w:t>
      </w:r>
      <w:r w:rsidRPr="001D759A">
        <w:rPr>
          <w:lang w:val="es-ES"/>
        </w:rPr>
        <w:t>, los tipos de interés en esa moneda eran insignificantes. Por ello, las inversiones a corto plazo se hacían en gran parte en dólares de los Estados Unidos y euros. Si bien ese enfoque había resultado favorable en</w:t>
      </w:r>
      <w:r w:rsidR="00F26FD5" w:rsidRPr="001D759A">
        <w:rPr>
          <w:lang w:val="es-ES"/>
        </w:rPr>
        <w:t> </w:t>
      </w:r>
      <w:r w:rsidRPr="001D759A">
        <w:rPr>
          <w:lang w:val="es-ES"/>
        </w:rPr>
        <w:t>2024, los tipos de interés habían disminuido en 2025. De manera análoga, los proyectos que estaban gestionados en otras monedas tuvieron que convertirse en francos suizos a efectos contables, dando lugar a diferencias de valoración. Estaba previsto garantizar que todos los proyectos se gestionasen en francos suizos para simplificar el problema.</w:t>
      </w:r>
    </w:p>
    <w:p w14:paraId="6AF9EA3D" w14:textId="6062C01A" w:rsidR="00A64B98" w:rsidRPr="001D759A" w:rsidRDefault="00A64B98" w:rsidP="00A64B98">
      <w:pPr>
        <w:rPr>
          <w:lang w:val="es-ES"/>
        </w:rPr>
      </w:pPr>
      <w:r w:rsidRPr="001D759A">
        <w:rPr>
          <w:lang w:val="es-ES"/>
        </w:rPr>
        <w:t>3</w:t>
      </w:r>
      <w:r w:rsidR="00FF41B0">
        <w:rPr>
          <w:lang w:val="es-ES"/>
        </w:rPr>
        <w:t>4</w:t>
      </w:r>
      <w:r w:rsidRPr="001D759A">
        <w:rPr>
          <w:lang w:val="es-ES"/>
        </w:rPr>
        <w:t>.7</w:t>
      </w:r>
      <w:r w:rsidRPr="001D759A">
        <w:rPr>
          <w:lang w:val="es-ES"/>
        </w:rPr>
        <w:tab/>
        <w:t xml:space="preserve">Los consejeros acogieron con beneplácito el informe y elogiaron los esfuerzos de </w:t>
      </w:r>
      <w:r w:rsidR="005457EE">
        <w:rPr>
          <w:lang w:val="es-ES"/>
        </w:rPr>
        <w:t>la Unión</w:t>
      </w:r>
      <w:r w:rsidRPr="001D759A">
        <w:rPr>
          <w:lang w:val="es-ES"/>
        </w:rPr>
        <w:t xml:space="preserve"> por mejorar la situación financiera de </w:t>
      </w:r>
      <w:r w:rsidR="00103D78">
        <w:rPr>
          <w:lang w:val="es-ES"/>
        </w:rPr>
        <w:t>la UIT</w:t>
      </w:r>
      <w:r w:rsidRPr="001D759A">
        <w:rPr>
          <w:lang w:val="es-ES"/>
        </w:rPr>
        <w:t xml:space="preserve">, destacando en particular la reducción del déficit, el aumento de los ingresos y el superávit presupuestario. Algunos consejeros expresaron preocupación por las pérdidas asociadas a las fluctuaciones de los tipos de cambio. Un consejero subrayó la necesidad de adoptar medidas para proteger la estabilidad financiera de </w:t>
      </w:r>
      <w:r w:rsidR="005457EE">
        <w:rPr>
          <w:lang w:val="es-ES"/>
        </w:rPr>
        <w:t>la Unión</w:t>
      </w:r>
      <w:r w:rsidRPr="001D759A">
        <w:rPr>
          <w:lang w:val="es-ES"/>
        </w:rPr>
        <w:t xml:space="preserve"> contra la volatilidad futura del mercado financiero y poner fin a la tendencia al alza de los costes de personal. Otro consejero, observando que las obligaciones a largo plazo de </w:t>
      </w:r>
      <w:r w:rsidR="005457EE">
        <w:rPr>
          <w:lang w:val="es-ES"/>
        </w:rPr>
        <w:t>la Unión</w:t>
      </w:r>
      <w:r w:rsidRPr="001D759A">
        <w:rPr>
          <w:lang w:val="es-ES"/>
        </w:rPr>
        <w:t xml:space="preserve"> superaban el nivel de sus activos, instó a proseguir los esfuerzos sobre la racionalización y la gestión de riesgos. Los futuros informes deberían incluir información a ese respecto, así como datos desglosados sobre los costes de viaje y los gastos asociados a los acuerdos contractuales. Asimismo, el orador pidió información sobre los casos específicos en los que se aplicarían las normas IPSAS 40 a 44 y las posibles repercusiones financieras de ello.</w:t>
      </w:r>
    </w:p>
    <w:p w14:paraId="109C11FC" w14:textId="7E35B7E9" w:rsidR="00A64B98" w:rsidRPr="001D759A" w:rsidRDefault="00A64B98" w:rsidP="00A64B98">
      <w:pPr>
        <w:spacing w:line="259" w:lineRule="auto"/>
        <w:rPr>
          <w:lang w:val="es-ES"/>
        </w:rPr>
      </w:pPr>
      <w:r w:rsidRPr="001D759A">
        <w:rPr>
          <w:lang w:val="es-ES"/>
        </w:rPr>
        <w:t>3</w:t>
      </w:r>
      <w:r w:rsidR="00FF41B0">
        <w:rPr>
          <w:lang w:val="es-ES"/>
        </w:rPr>
        <w:t>4</w:t>
      </w:r>
      <w:r w:rsidRPr="001D759A">
        <w:rPr>
          <w:lang w:val="es-ES"/>
        </w:rPr>
        <w:t>.8</w:t>
      </w:r>
      <w:r w:rsidRPr="001D759A">
        <w:rPr>
          <w:lang w:val="es-ES"/>
        </w:rPr>
        <w:tab/>
        <w:t>Un consejero, observando que los activos de la cuenta de provisión superaban con creces el umbral establecido por el Acuerdo 5 (Rev. Bucarest, 2022) de la Conferencia de Plenipotenciarios, destacó la importancia de que hubiese mayor financiación para el desarrollo sostenible en vista de las amplias necesidades en materia de transformación digital en todo el mundo, en especial para los países en desarrollo y los PMA. Por tanto, era necesario seguir debatiendo sobre los mecanismos de financiación específica. Un consejero pidió prudencia en la atribución del ahorro de costes procedente de la ejecución del presupuesto de 2025, en vista del déficit acumulado. Otro consejero subrayó la necesidad de realizar más esfuerzos para garantizar que las cuentas por cobrar se recaudaban de manera oportuna.</w:t>
      </w:r>
    </w:p>
    <w:p w14:paraId="4279687F" w14:textId="6DDD6120" w:rsidR="00F70066" w:rsidRPr="001D759A" w:rsidRDefault="00F70066" w:rsidP="00484644">
      <w:pPr>
        <w:keepNext/>
        <w:keepLines/>
        <w:spacing w:after="120"/>
        <w:rPr>
          <w:lang w:val="es-ES"/>
        </w:rPr>
      </w:pPr>
      <w:r w:rsidRPr="001D759A">
        <w:rPr>
          <w:lang w:val="es-ES"/>
        </w:rPr>
        <w:lastRenderedPageBreak/>
        <w:t>3</w:t>
      </w:r>
      <w:r w:rsidR="00FF41B0">
        <w:rPr>
          <w:lang w:val="es-ES"/>
        </w:rPr>
        <w:t>4</w:t>
      </w:r>
      <w:r w:rsidRPr="001D759A">
        <w:rPr>
          <w:lang w:val="es-ES"/>
        </w:rPr>
        <w:t>.</w:t>
      </w:r>
      <w:r w:rsidR="00A64B98" w:rsidRPr="001D759A">
        <w:rPr>
          <w:lang w:val="es-ES"/>
        </w:rPr>
        <w:t>9</w:t>
      </w:r>
      <w:r w:rsidRPr="001D759A">
        <w:rPr>
          <w:lang w:val="es-ES"/>
        </w:rPr>
        <w:tab/>
        <w:t xml:space="preserve">La Comisión </w:t>
      </w:r>
      <w:r w:rsidRPr="001D759A">
        <w:rPr>
          <w:b/>
          <w:bCs/>
          <w:lang w:val="es-ES"/>
        </w:rPr>
        <w:t>acordó</w:t>
      </w:r>
      <w:r w:rsidRPr="001D759A">
        <w:rPr>
          <w:lang w:val="es-ES"/>
        </w:rPr>
        <w:t xml:space="preserve"> llegar a la siguiente conclusión:</w:t>
      </w:r>
    </w:p>
    <w:tbl>
      <w:tblPr>
        <w:tblStyle w:val="TableGrid"/>
        <w:tblW w:w="5000" w:type="pct"/>
        <w:tblInd w:w="-147" w:type="dxa"/>
        <w:tblLook w:val="04A0" w:firstRow="1" w:lastRow="0" w:firstColumn="1" w:lastColumn="0" w:noHBand="0" w:noVBand="1"/>
      </w:tblPr>
      <w:tblGrid>
        <w:gridCol w:w="9061"/>
      </w:tblGrid>
      <w:tr w:rsidR="00F70066" w:rsidRPr="0057685D" w14:paraId="65D5259C" w14:textId="77777777" w:rsidTr="007C468C">
        <w:tc>
          <w:tcPr>
            <w:tcW w:w="9208" w:type="dxa"/>
            <w:hideMark/>
          </w:tcPr>
          <w:p w14:paraId="46AAB2E4" w14:textId="60E3EFA6" w:rsidR="00F70066" w:rsidRPr="001D759A" w:rsidRDefault="00F70066" w:rsidP="00136B32">
            <w:pPr>
              <w:keepNext/>
              <w:keepLines/>
              <w:tabs>
                <w:tab w:val="clear" w:pos="567"/>
                <w:tab w:val="left" w:pos="709"/>
                <w:tab w:val="left" w:pos="747"/>
              </w:tabs>
              <w:ind w:left="34"/>
              <w:rPr>
                <w:lang w:val="es-ES"/>
              </w:rPr>
            </w:pPr>
            <w:r w:rsidRPr="001D759A">
              <w:rPr>
                <w:rFonts w:eastAsia="Calibri" w:cs="Calibri"/>
                <w:lang w:val="es-ES"/>
              </w:rPr>
              <w:t>3</w:t>
            </w:r>
            <w:r w:rsidR="00FF41B0">
              <w:rPr>
                <w:rFonts w:eastAsia="Calibri" w:cs="Calibri"/>
                <w:lang w:val="es-ES"/>
              </w:rPr>
              <w:t>4</w:t>
            </w:r>
            <w:r w:rsidRPr="001D759A">
              <w:rPr>
                <w:rFonts w:eastAsia="Calibri" w:cs="Calibri"/>
                <w:szCs w:val="24"/>
                <w:lang w:val="es-ES"/>
              </w:rPr>
              <w:t>.</w:t>
            </w:r>
            <w:r w:rsidR="00A64B98" w:rsidRPr="001D759A">
              <w:rPr>
                <w:rFonts w:eastAsia="Calibri" w:cs="Calibri"/>
                <w:szCs w:val="24"/>
                <w:lang w:val="es-ES"/>
              </w:rPr>
              <w:t>10</w:t>
            </w:r>
            <w:r w:rsidRPr="001D759A">
              <w:rPr>
                <w:lang w:val="es-ES"/>
              </w:rPr>
              <w:tab/>
              <w:t>La Comisión recomienda al Consejo que:</w:t>
            </w:r>
          </w:p>
          <w:p w14:paraId="639B7C99" w14:textId="470A3F45" w:rsidR="005E0D5B" w:rsidRPr="004C0D99" w:rsidRDefault="00F70066" w:rsidP="008D027D">
            <w:pPr>
              <w:pStyle w:val="enumlev1"/>
              <w:keepNext/>
              <w:keepLines/>
              <w:tabs>
                <w:tab w:val="clear" w:pos="567"/>
              </w:tabs>
              <w:spacing w:after="120"/>
              <w:ind w:left="743" w:hanging="709"/>
              <w:rPr>
                <w:lang w:val="es-ES"/>
              </w:rPr>
            </w:pPr>
            <w:r w:rsidRPr="001D759A">
              <w:rPr>
                <w:lang w:val="es-ES"/>
              </w:rPr>
              <w:t>•</w:t>
            </w:r>
            <w:r w:rsidRPr="001D759A">
              <w:rPr>
                <w:lang w:val="es-ES"/>
              </w:rPr>
              <w:tab/>
            </w:r>
            <w:r w:rsidR="00A64B98" w:rsidRPr="001D759A">
              <w:rPr>
                <w:lang w:val="es-ES"/>
              </w:rPr>
              <w:t xml:space="preserve">tome nota del informe no verificado de gestión financiera y los estados financieros contenidos en el Documento </w:t>
            </w:r>
            <w:hyperlink r:id="rId135" w:history="1">
              <w:r w:rsidR="00A64B98" w:rsidRPr="001D759A">
                <w:rPr>
                  <w:rStyle w:val="Hyperlink"/>
                  <w:lang w:val="es-ES"/>
                </w:rPr>
                <w:t>C26/36</w:t>
              </w:r>
            </w:hyperlink>
            <w:r w:rsidR="005E0D5B" w:rsidRPr="004C0D99">
              <w:rPr>
                <w:lang w:val="es-ES"/>
              </w:rPr>
              <w:t>, y de que</w:t>
            </w:r>
            <w:r w:rsidR="006216E7">
              <w:rPr>
                <w:lang w:val="es-ES"/>
              </w:rPr>
              <w:t xml:space="preserve"> el</w:t>
            </w:r>
            <w:r w:rsidR="005E0D5B" w:rsidRPr="004C0D99">
              <w:rPr>
                <w:lang w:val="es-ES"/>
              </w:rPr>
              <w:t xml:space="preserve"> </w:t>
            </w:r>
            <w:r w:rsidR="006216E7">
              <w:rPr>
                <w:lang w:val="es-ES"/>
              </w:rPr>
              <w:t>I</w:t>
            </w:r>
            <w:r w:rsidR="005E0D5B" w:rsidRPr="004C0D99">
              <w:rPr>
                <w:lang w:val="es-ES"/>
              </w:rPr>
              <w:t>nforme de gestión financiera auditado y el Informe del Auditor Externo estarán disponibles a finales de junio de 2026;</w:t>
            </w:r>
            <w:r w:rsidR="00F15C54">
              <w:rPr>
                <w:lang w:val="es-ES"/>
              </w:rPr>
              <w:t xml:space="preserve"> y</w:t>
            </w:r>
          </w:p>
          <w:p w14:paraId="4792CD27" w14:textId="6F2A17B9" w:rsidR="00F70066" w:rsidRPr="001D759A" w:rsidRDefault="00F15C54" w:rsidP="00F15C54">
            <w:pPr>
              <w:pStyle w:val="enumlev1"/>
              <w:keepNext/>
              <w:keepLines/>
              <w:tabs>
                <w:tab w:val="clear" w:pos="567"/>
              </w:tabs>
              <w:spacing w:after="120"/>
              <w:ind w:left="743" w:hanging="709"/>
              <w:rPr>
                <w:lang w:val="es-ES"/>
              </w:rPr>
            </w:pPr>
            <w:r w:rsidRPr="001D759A">
              <w:rPr>
                <w:lang w:val="es-ES"/>
              </w:rPr>
              <w:t>•</w:t>
            </w:r>
            <w:r w:rsidRPr="001D759A">
              <w:rPr>
                <w:lang w:val="es-ES"/>
              </w:rPr>
              <w:tab/>
            </w:r>
            <w:r>
              <w:rPr>
                <w:lang w:val="es-ES"/>
              </w:rPr>
              <w:t>e</w:t>
            </w:r>
            <w:r w:rsidR="005E0D5B" w:rsidRPr="004C0D99">
              <w:rPr>
                <w:lang w:val="es-ES"/>
              </w:rPr>
              <w:t xml:space="preserve">ncargue a la Secretaría que programe una sesión de información con el Auditor Externo para abordar el informe auditado, posiblemente coincidiendo </w:t>
            </w:r>
            <w:r w:rsidR="006602F4">
              <w:rPr>
                <w:lang w:val="es-ES"/>
              </w:rPr>
              <w:t>c</w:t>
            </w:r>
            <w:r w:rsidR="005E0D5B" w:rsidRPr="004C0D99">
              <w:rPr>
                <w:lang w:val="es-ES"/>
              </w:rPr>
              <w:t>on la sesión de información dedicada al proyecto de Plan Financiero para el periodo 2028-2031</w:t>
            </w:r>
            <w:r w:rsidR="00A64B98" w:rsidRPr="001D759A">
              <w:rPr>
                <w:lang w:val="es-ES"/>
              </w:rPr>
              <w:t>.</w:t>
            </w:r>
          </w:p>
        </w:tc>
      </w:tr>
    </w:tbl>
    <w:p w14:paraId="3D10C6B6" w14:textId="2805BA96" w:rsidR="00F70066" w:rsidRPr="001D759A" w:rsidRDefault="00F70066" w:rsidP="00990F94">
      <w:pPr>
        <w:pStyle w:val="Heading1"/>
        <w:rPr>
          <w:lang w:val="es-ES"/>
        </w:rPr>
      </w:pPr>
      <w:r w:rsidRPr="001D759A">
        <w:rPr>
          <w:lang w:val="es-ES"/>
        </w:rPr>
        <w:t>3</w:t>
      </w:r>
      <w:r w:rsidR="00DF3A76">
        <w:rPr>
          <w:lang w:val="es-ES"/>
        </w:rPr>
        <w:t>5</w:t>
      </w:r>
      <w:r w:rsidRPr="001D759A">
        <w:rPr>
          <w:lang w:val="es-ES"/>
        </w:rPr>
        <w:tab/>
      </w:r>
      <w:r w:rsidR="00715FA2" w:rsidRPr="001D759A">
        <w:rPr>
          <w:lang w:val="es-ES"/>
        </w:rPr>
        <w:t xml:space="preserve">Informes de la DCI sobre cuestiones que afectan a todo el sistema de </w:t>
      </w:r>
      <w:r w:rsidR="000E31A1">
        <w:rPr>
          <w:lang w:val="es-ES"/>
        </w:rPr>
        <w:t>Naciones Unidas</w:t>
      </w:r>
      <w:r w:rsidR="00715FA2" w:rsidRPr="001D759A">
        <w:rPr>
          <w:lang w:val="es-ES"/>
        </w:rPr>
        <w:t xml:space="preserve"> para 2025 y recomendaciones a los órganos legislativos (Documento </w:t>
      </w:r>
      <w:hyperlink r:id="rId136" w:history="1">
        <w:r w:rsidR="00715FA2" w:rsidRPr="00184AC5">
          <w:rPr>
            <w:color w:val="4F81BD" w:themeColor="accent1"/>
            <w:szCs w:val="22"/>
            <w:lang w:val="es-ES"/>
          </w:rPr>
          <w:t>C26/57</w:t>
        </w:r>
      </w:hyperlink>
      <w:r w:rsidR="00715FA2" w:rsidRPr="001D759A">
        <w:rPr>
          <w:lang w:val="es-ES"/>
        </w:rPr>
        <w:t>)</w:t>
      </w:r>
    </w:p>
    <w:p w14:paraId="2A6251E3" w14:textId="4E8430BF" w:rsidR="008C7727" w:rsidRPr="001D759A" w:rsidRDefault="008C7727" w:rsidP="008C7727">
      <w:pPr>
        <w:rPr>
          <w:lang w:val="es-ES"/>
        </w:rPr>
      </w:pPr>
      <w:r w:rsidRPr="001D759A">
        <w:rPr>
          <w:lang w:val="es-ES"/>
        </w:rPr>
        <w:t>3</w:t>
      </w:r>
      <w:r w:rsidR="00FF41B0">
        <w:rPr>
          <w:lang w:val="es-ES"/>
        </w:rPr>
        <w:t>5</w:t>
      </w:r>
      <w:r w:rsidRPr="001D759A">
        <w:rPr>
          <w:lang w:val="es-ES"/>
        </w:rPr>
        <w:t>.1</w:t>
      </w:r>
      <w:r w:rsidRPr="001D759A">
        <w:rPr>
          <w:lang w:val="es-ES"/>
        </w:rPr>
        <w:tab/>
        <w:t>Siguiendo la recomendación del Consejo, en su reunión de 2025, la Secretaria General dio la bienvenida a la representante de la DCI ante el Consejo en calidad de observadora y asesora, de conformidad con las modalidades propuestas por el GTC-RHF. Señaló que era la primera vez que la DCI participaba en el debate sobre los informes a nivel de todo el sistema. Afirmó que la Secretaría había emprendido una iniciativa integral en toda la organización para reforzar el seguimiento y la presentación de informes sobre las recomendaciones de la</w:t>
      </w:r>
      <w:r w:rsidR="000B3843" w:rsidRPr="001D759A">
        <w:rPr>
          <w:lang w:val="es-ES"/>
        </w:rPr>
        <w:t> </w:t>
      </w:r>
      <w:r w:rsidRPr="001D759A">
        <w:rPr>
          <w:lang w:val="es-ES"/>
        </w:rPr>
        <w:t>DCI, logrando una tasa de aceptación del 82</w:t>
      </w:r>
      <w:r w:rsidR="00103D78">
        <w:rPr>
          <w:lang w:val="es-ES"/>
        </w:rPr>
        <w:t> %</w:t>
      </w:r>
      <w:r w:rsidRPr="001D759A">
        <w:rPr>
          <w:lang w:val="es-ES"/>
        </w:rPr>
        <w:t xml:space="preserve"> y una tasa de aplicación del 87</w:t>
      </w:r>
      <w:r w:rsidR="00103D78">
        <w:rPr>
          <w:lang w:val="es-ES"/>
        </w:rPr>
        <w:t> %</w:t>
      </w:r>
      <w:r w:rsidRPr="001D759A">
        <w:rPr>
          <w:lang w:val="es-ES"/>
        </w:rPr>
        <w:t xml:space="preserve"> en general, y que estaba plenamente comprometida a seguir en ese sentido.</w:t>
      </w:r>
    </w:p>
    <w:p w14:paraId="18EC28B1" w14:textId="6941594E" w:rsidR="008C7727" w:rsidRPr="001D759A" w:rsidRDefault="008C7727" w:rsidP="008C7727">
      <w:pPr>
        <w:rPr>
          <w:lang w:val="es-ES"/>
        </w:rPr>
      </w:pPr>
      <w:r w:rsidRPr="001D759A">
        <w:rPr>
          <w:lang w:val="es-ES"/>
        </w:rPr>
        <w:t>3</w:t>
      </w:r>
      <w:r w:rsidR="00FF41B0">
        <w:rPr>
          <w:lang w:val="es-ES"/>
        </w:rPr>
        <w:t>5</w:t>
      </w:r>
      <w:r w:rsidRPr="001D759A">
        <w:rPr>
          <w:lang w:val="es-ES"/>
        </w:rPr>
        <w:t>.2</w:t>
      </w:r>
      <w:r w:rsidRPr="001D759A">
        <w:rPr>
          <w:lang w:val="es-ES"/>
        </w:rPr>
        <w:tab/>
        <w:t xml:space="preserve">Un representante de la Secretaría General presentó el Documento C26/57, que exponía los informes de la DCI del programa de trabajo para 2025 sobre las cuestiones que afectan a todo el sistema de las </w:t>
      </w:r>
      <w:r w:rsidR="000E31A1">
        <w:rPr>
          <w:lang w:val="es-ES"/>
        </w:rPr>
        <w:t>Naciones Unidas</w:t>
      </w:r>
      <w:r w:rsidRPr="001D759A">
        <w:rPr>
          <w:lang w:val="es-ES"/>
        </w:rPr>
        <w:t xml:space="preserve"> y el conjunto de cinco recomendaciones dirigidas a los órganos rectores de </w:t>
      </w:r>
      <w:r w:rsidR="00103D78">
        <w:rPr>
          <w:lang w:val="es-ES"/>
        </w:rPr>
        <w:t>la UIT</w:t>
      </w:r>
      <w:r w:rsidRPr="001D759A">
        <w:rPr>
          <w:lang w:val="es-ES"/>
        </w:rPr>
        <w:t xml:space="preserve">, a saber: las Recomendaciones 1 y 3 sobre el examen de las políticas y prácticas para determinar las tasas de gastos de apoyo a los programas en las organizaciones del sistema de las </w:t>
      </w:r>
      <w:r w:rsidR="000E31A1">
        <w:rPr>
          <w:lang w:val="es-ES"/>
        </w:rPr>
        <w:t>Naciones Unidas</w:t>
      </w:r>
      <w:r w:rsidRPr="001D759A">
        <w:rPr>
          <w:lang w:val="es-ES"/>
        </w:rPr>
        <w:t xml:space="preserve"> (</w:t>
      </w:r>
      <w:hyperlink r:id="rId137" w:history="1">
        <w:r w:rsidRPr="001D759A">
          <w:rPr>
            <w:rStyle w:val="Hyperlink"/>
            <w:lang w:val="es-ES"/>
          </w:rPr>
          <w:t>JIU/REP/2025/4</w:t>
        </w:r>
      </w:hyperlink>
      <w:r w:rsidRPr="001D759A">
        <w:rPr>
          <w:lang w:val="es-ES"/>
        </w:rPr>
        <w:t xml:space="preserve">); la Recomendación 7 sobre el examen de las evaluaciones de las organizaciones del sistema de las </w:t>
      </w:r>
      <w:r w:rsidR="000E31A1">
        <w:rPr>
          <w:lang w:val="es-ES"/>
        </w:rPr>
        <w:t>Naciones Unidas</w:t>
      </w:r>
      <w:r w:rsidRPr="001D759A">
        <w:rPr>
          <w:lang w:val="es-ES"/>
        </w:rPr>
        <w:t xml:space="preserve"> realizadas por iniciativa de los donantes y otras solicitudes de los donantes relacionadas con la supervisión en el contexto de los acuerdos de financiación y el principio de auditoría única de las </w:t>
      </w:r>
      <w:r w:rsidR="000E31A1">
        <w:rPr>
          <w:lang w:val="es-ES"/>
        </w:rPr>
        <w:t>Naciones Unidas</w:t>
      </w:r>
      <w:r w:rsidRPr="001D759A">
        <w:rPr>
          <w:lang w:val="es-ES"/>
        </w:rPr>
        <w:t xml:space="preserve"> (</w:t>
      </w:r>
      <w:hyperlink r:id="rId138" w:history="1">
        <w:r w:rsidRPr="001D759A">
          <w:rPr>
            <w:rStyle w:val="Hyperlink"/>
            <w:lang w:val="es-ES"/>
          </w:rPr>
          <w:t>JIU/REP/2025/3</w:t>
        </w:r>
      </w:hyperlink>
      <w:r w:rsidRPr="001D759A">
        <w:rPr>
          <w:lang w:val="es-ES"/>
        </w:rPr>
        <w:t xml:space="preserve">); y las Recomendaciones 3 y 13 sobre el examen de las políticas y prácticas para prevenir la explotación y los abusos sexuales en las organizaciones del sistema de las </w:t>
      </w:r>
      <w:r w:rsidR="000E31A1">
        <w:rPr>
          <w:lang w:val="es-ES"/>
        </w:rPr>
        <w:t>Naciones Unidas</w:t>
      </w:r>
      <w:r w:rsidRPr="001D759A">
        <w:rPr>
          <w:lang w:val="es-ES"/>
        </w:rPr>
        <w:t xml:space="preserve"> y responder a ellos (</w:t>
      </w:r>
      <w:hyperlink r:id="rId139" w:history="1">
        <w:r w:rsidRPr="001D759A">
          <w:rPr>
            <w:rStyle w:val="Hyperlink"/>
            <w:lang w:val="es-ES"/>
          </w:rPr>
          <w:t>JIU/REP/2025/2</w:t>
        </w:r>
      </w:hyperlink>
      <w:r w:rsidRPr="001D759A">
        <w:rPr>
          <w:lang w:val="es-ES"/>
        </w:rPr>
        <w:t>). La Secretaría recomendó la aceptación de las cinco recomendaciones.</w:t>
      </w:r>
      <w:hyperlink r:id="rId140" w:history="1"/>
      <w:hyperlink r:id="rId141" w:history="1"/>
      <w:hyperlink r:id="rId142" w:history="1"/>
    </w:p>
    <w:p w14:paraId="36E1BCC2" w14:textId="62128688" w:rsidR="008C7727" w:rsidRPr="001D759A" w:rsidRDefault="008C7727" w:rsidP="00136B32">
      <w:pPr>
        <w:rPr>
          <w:lang w:val="es-ES"/>
        </w:rPr>
      </w:pPr>
      <w:r w:rsidRPr="001D759A">
        <w:rPr>
          <w:lang w:val="es-ES"/>
        </w:rPr>
        <w:t>3</w:t>
      </w:r>
      <w:r w:rsidR="00FF41B0">
        <w:rPr>
          <w:lang w:val="es-ES"/>
        </w:rPr>
        <w:t>5</w:t>
      </w:r>
      <w:r w:rsidRPr="001D759A">
        <w:rPr>
          <w:lang w:val="es-ES"/>
        </w:rPr>
        <w:t>.3</w:t>
      </w:r>
      <w:r w:rsidRPr="001D759A">
        <w:rPr>
          <w:lang w:val="es-ES"/>
        </w:rPr>
        <w:tab/>
        <w:t xml:space="preserve">En respuesta a una pregunta de un consejero, el representante de la Secretaría General dijo que la intención que se perseguía con las históricas reservas a los Estatutos de la DCI, como se establece en la Resolución 38 (Nairobi, 1982) de la Conferencia de Plenipotenciarios, había sido proteger el mandato de </w:t>
      </w:r>
      <w:r w:rsidR="00103D78">
        <w:rPr>
          <w:lang w:val="es-ES"/>
        </w:rPr>
        <w:t>la UIT</w:t>
      </w:r>
      <w:r w:rsidRPr="001D759A">
        <w:rPr>
          <w:lang w:val="es-ES"/>
        </w:rPr>
        <w:t xml:space="preserve">. El examen de dichas reservas era prerrogativa de la Conferencia de Plenipotenciarios. Añadió que cualquier modificación sería una cuestión de política general de los Estados Miembros y que las delegaciones </w:t>
      </w:r>
      <w:r w:rsidRPr="001D759A">
        <w:rPr>
          <w:lang w:val="es-ES"/>
        </w:rPr>
        <w:lastRenderedPageBreak/>
        <w:t>podrían sopesar si dicho cambio era necesario, dado que el sistema actual funcionaba con eficacia.</w:t>
      </w:r>
    </w:p>
    <w:p w14:paraId="0D1329A2" w14:textId="6696984E" w:rsidR="008C7727" w:rsidRPr="001D759A" w:rsidRDefault="008C7727" w:rsidP="008C7727">
      <w:pPr>
        <w:rPr>
          <w:lang w:val="es-ES"/>
        </w:rPr>
      </w:pPr>
      <w:r w:rsidRPr="001D759A">
        <w:rPr>
          <w:lang w:val="es-ES"/>
        </w:rPr>
        <w:t>3</w:t>
      </w:r>
      <w:r w:rsidR="00FF41B0">
        <w:rPr>
          <w:lang w:val="es-ES"/>
        </w:rPr>
        <w:t>5</w:t>
      </w:r>
      <w:r w:rsidRPr="001D759A">
        <w:rPr>
          <w:lang w:val="es-ES"/>
        </w:rPr>
        <w:t>.4</w:t>
      </w:r>
      <w:r w:rsidRPr="001D759A">
        <w:rPr>
          <w:lang w:val="es-ES"/>
        </w:rPr>
        <w:tab/>
        <w:t xml:space="preserve">En cuanto a la Recomendación 3 (JIU/REP/2025/2), el Jefe del Departamento de Gestión de los Recursos Humanos dijo que se estaba ultimando una revisión de la política de </w:t>
      </w:r>
      <w:r w:rsidR="00103D78">
        <w:rPr>
          <w:lang w:val="es-ES"/>
        </w:rPr>
        <w:t>la UIT</w:t>
      </w:r>
      <w:r w:rsidRPr="001D759A">
        <w:rPr>
          <w:lang w:val="es-ES"/>
        </w:rPr>
        <w:t xml:space="preserve"> sobre la protección contra la explotación y el abuso sexual </w:t>
      </w:r>
      <w:r w:rsidR="002E155D" w:rsidRPr="001D759A">
        <w:rPr>
          <w:lang w:val="es-ES"/>
        </w:rPr>
        <w:t xml:space="preserve">(PSEA) </w:t>
      </w:r>
      <w:r w:rsidRPr="001D759A">
        <w:rPr>
          <w:lang w:val="es-ES"/>
        </w:rPr>
        <w:t xml:space="preserve">llevada a cabo entre dicho Departamento y la Unidad de Asuntos Jurídicos. Por el momento, la Secretaría anticipaba que hubiese diferentes políticas en materia de </w:t>
      </w:r>
      <w:r w:rsidR="002E155D" w:rsidRPr="001D759A">
        <w:rPr>
          <w:lang w:val="es-ES"/>
        </w:rPr>
        <w:t>PSEA</w:t>
      </w:r>
      <w:r w:rsidRPr="001D759A">
        <w:rPr>
          <w:lang w:val="es-ES"/>
        </w:rPr>
        <w:t xml:space="preserve"> y el acoso, pero seguiría de cerca las tendencias en el sistema de las </w:t>
      </w:r>
      <w:r w:rsidR="000E31A1">
        <w:rPr>
          <w:lang w:val="es-ES"/>
        </w:rPr>
        <w:t>Naciones Unidas</w:t>
      </w:r>
      <w:r w:rsidRPr="001D759A">
        <w:rPr>
          <w:lang w:val="es-ES"/>
        </w:rPr>
        <w:t>.</w:t>
      </w:r>
    </w:p>
    <w:p w14:paraId="3330E672" w14:textId="3B30FB89" w:rsidR="008C7727" w:rsidRPr="001D759A" w:rsidRDefault="008C7727" w:rsidP="008C7727">
      <w:pPr>
        <w:rPr>
          <w:lang w:val="es-ES"/>
        </w:rPr>
      </w:pPr>
      <w:r w:rsidRPr="001D759A">
        <w:rPr>
          <w:lang w:val="es-ES"/>
        </w:rPr>
        <w:t>3</w:t>
      </w:r>
      <w:r w:rsidR="00FF41B0">
        <w:rPr>
          <w:lang w:val="es-ES"/>
        </w:rPr>
        <w:t>5</w:t>
      </w:r>
      <w:r w:rsidRPr="001D759A">
        <w:rPr>
          <w:lang w:val="es-ES"/>
        </w:rPr>
        <w:t>.5</w:t>
      </w:r>
      <w:r w:rsidRPr="001D759A">
        <w:rPr>
          <w:lang w:val="es-ES"/>
        </w:rPr>
        <w:tab/>
        <w:t xml:space="preserve">En respuesta a las preguntas de un consejero, la representante de la DCI dijo que la Dependencia incluía cada año en su plan de trabajo un examen de la dirección y administración de una organización del sistema de las </w:t>
      </w:r>
      <w:r w:rsidR="000E31A1">
        <w:rPr>
          <w:lang w:val="es-ES"/>
        </w:rPr>
        <w:t>Naciones Unidas</w:t>
      </w:r>
      <w:r w:rsidRPr="001D759A">
        <w:rPr>
          <w:lang w:val="es-ES"/>
        </w:rPr>
        <w:t xml:space="preserve">. Decidía la organización en cuestión sobre la base de varios criterios, a saber: si la organización había experimentado recientemente o experimentaría próximamente una reforma importante; si había un riesgo elevado de que se adoptasen medidas de rendición de cuentas; y si había habido un cambio en la jefatura ejecutiva. </w:t>
      </w:r>
      <w:r w:rsidR="00103D78">
        <w:rPr>
          <w:lang w:val="es-ES"/>
        </w:rPr>
        <w:t>La UIT</w:t>
      </w:r>
      <w:r w:rsidRPr="001D759A">
        <w:rPr>
          <w:lang w:val="es-ES"/>
        </w:rPr>
        <w:t xml:space="preserve"> fue objeto de un examen de dicho tipo en</w:t>
      </w:r>
      <w:r w:rsidR="00103D78">
        <w:rPr>
          <w:lang w:val="es-ES"/>
        </w:rPr>
        <w:t> </w:t>
      </w:r>
      <w:r w:rsidRPr="001D759A">
        <w:rPr>
          <w:lang w:val="es-ES"/>
        </w:rPr>
        <w:t xml:space="preserve">2016. La DCI tendría en cuenta las solicitudes emitidas por el Consejo u otro órgano rector en relación con un examen de la dirección y administración de una </w:t>
      </w:r>
      <w:proofErr w:type="gramStart"/>
      <w:r w:rsidRPr="001D759A">
        <w:rPr>
          <w:lang w:val="es-ES"/>
        </w:rPr>
        <w:t>organización</w:t>
      </w:r>
      <w:proofErr w:type="gramEnd"/>
      <w:r w:rsidRPr="001D759A">
        <w:rPr>
          <w:lang w:val="es-ES"/>
        </w:rPr>
        <w:t xml:space="preserve"> pero mantendría su independencia a la hora de determinar su plan de trabajo. Los inspectores solo podrían participar en los debates sobre los resultados de dicho examen mientras mantuvieran su contrato con la DCI.</w:t>
      </w:r>
    </w:p>
    <w:p w14:paraId="76057EE6" w14:textId="7B99237F" w:rsidR="008C7727" w:rsidRPr="001D759A" w:rsidRDefault="008C7727" w:rsidP="008C7727">
      <w:pPr>
        <w:rPr>
          <w:lang w:val="es-ES"/>
        </w:rPr>
      </w:pPr>
      <w:r w:rsidRPr="001D759A">
        <w:rPr>
          <w:lang w:val="es-ES"/>
        </w:rPr>
        <w:t>3</w:t>
      </w:r>
      <w:r w:rsidR="00FF41B0">
        <w:rPr>
          <w:lang w:val="es-ES"/>
        </w:rPr>
        <w:t>5</w:t>
      </w:r>
      <w:r w:rsidRPr="001D759A">
        <w:rPr>
          <w:lang w:val="es-ES"/>
        </w:rPr>
        <w:t>.6</w:t>
      </w:r>
      <w:r w:rsidRPr="001D759A">
        <w:rPr>
          <w:lang w:val="es-ES"/>
        </w:rPr>
        <w:tab/>
        <w:t>Varios consejeros acogieron con beneplácito la participación de la DCI en el debate y dijeron que deberían aceptarse las recomendaciones de la DCI</w:t>
      </w:r>
      <w:r w:rsidR="00631339">
        <w:rPr>
          <w:lang w:val="es-ES"/>
        </w:rPr>
        <w:t>,</w:t>
      </w:r>
      <w:r w:rsidRPr="001D759A">
        <w:rPr>
          <w:lang w:val="es-ES"/>
        </w:rPr>
        <w:t xml:space="preserve"> y uno de ellos observó que ya se habían aplicado varias de ellas. Algunos consejeros elogiaron en particular la recomendación relativa a una política independiente de recuperación de costes, pero pidieron aclaraciones sobre la manera en la que dicha política influiría o estaría influenciada por la Resolución 91 (Rev. Guadalajara, 2010) de la Conferencia de Plenipotenciarios. Subrayaron que era fundamental contar con una política coherente de recuperación de costes y costes de proyectos/programas para la sostenibilidad financiera de </w:t>
      </w:r>
      <w:r w:rsidR="005457EE">
        <w:rPr>
          <w:lang w:val="es-ES"/>
        </w:rPr>
        <w:t>la Unión</w:t>
      </w:r>
      <w:r w:rsidRPr="001D759A">
        <w:rPr>
          <w:lang w:val="es-ES"/>
        </w:rPr>
        <w:t xml:space="preserve"> y para garantizar una atribución de recursos eficiente y la adecuación de las actividades al mandato principal de </w:t>
      </w:r>
      <w:r w:rsidR="005457EE">
        <w:rPr>
          <w:lang w:val="es-ES"/>
        </w:rPr>
        <w:t>la Unión</w:t>
      </w:r>
      <w:r w:rsidRPr="001D759A">
        <w:rPr>
          <w:lang w:val="es-ES"/>
        </w:rPr>
        <w:t>.</w:t>
      </w:r>
    </w:p>
    <w:p w14:paraId="4BE23571" w14:textId="522F4530" w:rsidR="008C7727" w:rsidRPr="001D759A" w:rsidRDefault="008C7727" w:rsidP="008C7727">
      <w:pPr>
        <w:rPr>
          <w:lang w:val="es-ES"/>
        </w:rPr>
      </w:pPr>
      <w:r w:rsidRPr="001D759A">
        <w:rPr>
          <w:lang w:val="es-ES"/>
        </w:rPr>
        <w:t>3</w:t>
      </w:r>
      <w:r w:rsidR="00FF41B0">
        <w:rPr>
          <w:lang w:val="es-ES"/>
        </w:rPr>
        <w:t>5</w:t>
      </w:r>
      <w:r w:rsidRPr="001D759A">
        <w:rPr>
          <w:lang w:val="es-ES"/>
        </w:rPr>
        <w:t>.7</w:t>
      </w:r>
      <w:r w:rsidRPr="001D759A">
        <w:rPr>
          <w:lang w:val="es-ES"/>
        </w:rPr>
        <w:tab/>
        <w:t>En respuesta a las preguntas y comentarios formulados por los consejeros, el Jefe del Departamento de Gestión de Recursos Financieros dijo que el objetivo de la Recomendación</w:t>
      </w:r>
      <w:r w:rsidR="00110497" w:rsidRPr="001D759A">
        <w:rPr>
          <w:lang w:val="es-ES"/>
        </w:rPr>
        <w:t> </w:t>
      </w:r>
      <w:r w:rsidRPr="001D759A">
        <w:rPr>
          <w:lang w:val="es-ES"/>
        </w:rPr>
        <w:t xml:space="preserve">1 (JIU/REP/2025/4) era conseguir una política común ampliamente armonizada en todo el sistema de las </w:t>
      </w:r>
      <w:r w:rsidR="000E31A1">
        <w:rPr>
          <w:lang w:val="es-ES"/>
        </w:rPr>
        <w:t>Naciones Unidas</w:t>
      </w:r>
      <w:r w:rsidRPr="001D759A">
        <w:rPr>
          <w:lang w:val="es-ES"/>
        </w:rPr>
        <w:t xml:space="preserve"> en materia de recuperación de costes, que fuese a la vez compatible con los diferentes modelos institucionales de cada organización. En la Resolución 91 (Rev. Guadalajara, 2010) se estableció la política de </w:t>
      </w:r>
      <w:r w:rsidR="00103D78">
        <w:rPr>
          <w:lang w:val="es-ES"/>
        </w:rPr>
        <w:t>la UIT</w:t>
      </w:r>
      <w:r w:rsidRPr="001D759A">
        <w:rPr>
          <w:lang w:val="es-ES"/>
        </w:rPr>
        <w:t xml:space="preserve"> sobre ese asunto y debe claramente ser revisada. La Secretaría esperaría los resultados de los debates de la PP-26 a ese respecto antes de presentar propuestas para la Recomendación 1 (JIU/REP/2025/4).</w:t>
      </w:r>
    </w:p>
    <w:p w14:paraId="7A201409" w14:textId="53BD429B" w:rsidR="00F70066" w:rsidRPr="001D759A" w:rsidRDefault="00F70066" w:rsidP="000B3843">
      <w:pPr>
        <w:keepNext/>
        <w:keepLines/>
        <w:spacing w:after="120"/>
        <w:rPr>
          <w:lang w:val="es-ES"/>
        </w:rPr>
      </w:pPr>
      <w:r w:rsidRPr="001D759A">
        <w:rPr>
          <w:lang w:val="es-ES"/>
        </w:rPr>
        <w:lastRenderedPageBreak/>
        <w:t>3</w:t>
      </w:r>
      <w:r w:rsidR="00FF41B0">
        <w:rPr>
          <w:lang w:val="es-ES"/>
        </w:rPr>
        <w:t>5</w:t>
      </w:r>
      <w:r w:rsidRPr="001D759A">
        <w:rPr>
          <w:lang w:val="es-ES"/>
        </w:rPr>
        <w:t>.</w:t>
      </w:r>
      <w:r w:rsidR="008C7727" w:rsidRPr="001D759A">
        <w:rPr>
          <w:lang w:val="es-ES"/>
        </w:rPr>
        <w:t>8</w:t>
      </w:r>
      <w:r w:rsidRPr="001D759A">
        <w:rPr>
          <w:lang w:val="es-ES"/>
        </w:rPr>
        <w:tab/>
        <w:t xml:space="preserve">La Comisión </w:t>
      </w:r>
      <w:r w:rsidRPr="001D759A">
        <w:rPr>
          <w:b/>
          <w:bCs/>
          <w:lang w:val="es-ES"/>
        </w:rPr>
        <w:t>acordó</w:t>
      </w:r>
      <w:r w:rsidRPr="001D759A">
        <w:rPr>
          <w:lang w:val="es-ES"/>
        </w:rPr>
        <w:t xml:space="preserve"> llegar a la siguiente conclusión:</w:t>
      </w:r>
    </w:p>
    <w:tbl>
      <w:tblPr>
        <w:tblStyle w:val="TableGrid"/>
        <w:tblW w:w="5000" w:type="pct"/>
        <w:tblInd w:w="-147" w:type="dxa"/>
        <w:tblLook w:val="04A0" w:firstRow="1" w:lastRow="0" w:firstColumn="1" w:lastColumn="0" w:noHBand="0" w:noVBand="1"/>
      </w:tblPr>
      <w:tblGrid>
        <w:gridCol w:w="9061"/>
      </w:tblGrid>
      <w:tr w:rsidR="00F70066" w:rsidRPr="0057685D" w14:paraId="21901A00" w14:textId="77777777" w:rsidTr="007C468C">
        <w:tc>
          <w:tcPr>
            <w:tcW w:w="9350" w:type="dxa"/>
            <w:hideMark/>
          </w:tcPr>
          <w:p w14:paraId="3BADA6C3" w14:textId="1EB10A41" w:rsidR="00F70066" w:rsidRPr="001D759A" w:rsidRDefault="00F70066" w:rsidP="000B3843">
            <w:pPr>
              <w:keepNext/>
              <w:keepLines/>
              <w:tabs>
                <w:tab w:val="clear" w:pos="567"/>
                <w:tab w:val="left" w:pos="605"/>
              </w:tabs>
              <w:spacing w:after="80"/>
              <w:ind w:left="40"/>
              <w:rPr>
                <w:lang w:val="es-ES"/>
              </w:rPr>
            </w:pPr>
            <w:r w:rsidRPr="001D759A">
              <w:rPr>
                <w:rFonts w:eastAsia="Calibri" w:cs="Calibri"/>
                <w:lang w:val="es-ES"/>
              </w:rPr>
              <w:t>3</w:t>
            </w:r>
            <w:r w:rsidR="00FF41B0">
              <w:rPr>
                <w:rFonts w:eastAsia="Calibri" w:cs="Calibri"/>
                <w:lang w:val="es-ES"/>
              </w:rPr>
              <w:t>5</w:t>
            </w:r>
            <w:r w:rsidRPr="001D759A">
              <w:rPr>
                <w:rFonts w:eastAsia="Calibri" w:cs="Calibri"/>
                <w:szCs w:val="24"/>
                <w:lang w:val="es-ES"/>
              </w:rPr>
              <w:t>.</w:t>
            </w:r>
            <w:r w:rsidR="003F48D9" w:rsidRPr="001D759A">
              <w:rPr>
                <w:rFonts w:eastAsia="Calibri" w:cs="Calibri"/>
                <w:szCs w:val="24"/>
                <w:lang w:val="es-ES"/>
              </w:rPr>
              <w:t>9</w:t>
            </w:r>
            <w:r w:rsidRPr="001D759A">
              <w:rPr>
                <w:lang w:val="es-ES"/>
              </w:rPr>
              <w:tab/>
              <w:t>La Comisión recomienda al Consejo que:</w:t>
            </w:r>
          </w:p>
          <w:p w14:paraId="0FE36CAC" w14:textId="7A669925" w:rsidR="00F70066" w:rsidRPr="001D759A" w:rsidRDefault="00F70066" w:rsidP="000B3843">
            <w:pPr>
              <w:pStyle w:val="enumlev1"/>
              <w:keepNext/>
              <w:keepLines/>
              <w:tabs>
                <w:tab w:val="clear" w:pos="567"/>
              </w:tabs>
              <w:ind w:left="605"/>
              <w:rPr>
                <w:lang w:val="es-ES"/>
              </w:rPr>
            </w:pPr>
            <w:r w:rsidRPr="001D759A">
              <w:rPr>
                <w:lang w:val="es-ES"/>
              </w:rPr>
              <w:t>•</w:t>
            </w:r>
            <w:r w:rsidRPr="001D759A">
              <w:rPr>
                <w:lang w:val="es-ES"/>
              </w:rPr>
              <w:tab/>
            </w:r>
            <w:r w:rsidR="008C7727" w:rsidRPr="001D759A">
              <w:rPr>
                <w:lang w:val="es-ES"/>
              </w:rPr>
              <w:t xml:space="preserve">tome nota del informe contenido en el Documento </w:t>
            </w:r>
            <w:hyperlink r:id="rId143" w:history="1">
              <w:r w:rsidR="008C7727" w:rsidRPr="001D759A">
                <w:rPr>
                  <w:rStyle w:val="Hyperlink"/>
                  <w:rFonts w:cs="Times New Roman"/>
                  <w:szCs w:val="20"/>
                  <w:lang w:val="es-ES"/>
                </w:rPr>
                <w:t>C26/57</w:t>
              </w:r>
            </w:hyperlink>
            <w:r w:rsidR="000A35F0" w:rsidRPr="000A35F0">
              <w:rPr>
                <w:lang w:val="es-ES"/>
              </w:rPr>
              <w:t>;</w:t>
            </w:r>
            <w:r w:rsidR="008C7727" w:rsidRPr="001D759A">
              <w:rPr>
                <w:lang w:val="es-ES"/>
              </w:rPr>
              <w:t xml:space="preserve"> y</w:t>
            </w:r>
          </w:p>
          <w:p w14:paraId="22CCB031" w14:textId="3E440891" w:rsidR="00F70066" w:rsidRPr="001D759A" w:rsidRDefault="00F70066" w:rsidP="000B3843">
            <w:pPr>
              <w:pStyle w:val="enumlev1"/>
              <w:keepNext/>
              <w:keepLines/>
              <w:tabs>
                <w:tab w:val="clear" w:pos="567"/>
              </w:tabs>
              <w:spacing w:after="120"/>
              <w:ind w:left="605"/>
              <w:rPr>
                <w:lang w:val="es-ES"/>
              </w:rPr>
            </w:pPr>
            <w:r w:rsidRPr="001D759A">
              <w:rPr>
                <w:lang w:val="es-ES"/>
              </w:rPr>
              <w:t>•</w:t>
            </w:r>
            <w:r w:rsidRPr="001D759A">
              <w:rPr>
                <w:lang w:val="es-ES"/>
              </w:rPr>
              <w:tab/>
            </w:r>
            <w:r w:rsidR="008C7727" w:rsidRPr="001D759A">
              <w:rPr>
                <w:rFonts w:eastAsia="Aptos"/>
                <w:lang w:val="es-ES"/>
              </w:rPr>
              <w:t>acuerde</w:t>
            </w:r>
            <w:r w:rsidR="008C7727" w:rsidRPr="001D759A">
              <w:rPr>
                <w:rFonts w:cs="Calibri"/>
                <w:szCs w:val="24"/>
                <w:lang w:val="es-ES"/>
              </w:rPr>
              <w:t xml:space="preserve"> aceptar las cinco recomendaciones de la DCI contenidas en el Documento</w:t>
            </w:r>
            <w:r w:rsidR="00950DAB" w:rsidRPr="001D759A">
              <w:rPr>
                <w:rFonts w:cs="Calibri"/>
                <w:szCs w:val="24"/>
                <w:lang w:val="es-ES"/>
              </w:rPr>
              <w:t> </w:t>
            </w:r>
            <w:r w:rsidR="008C7727" w:rsidRPr="001D759A">
              <w:rPr>
                <w:lang w:val="es-ES"/>
              </w:rPr>
              <w:t>C26/57</w:t>
            </w:r>
            <w:r w:rsidR="008C7727" w:rsidRPr="001D759A">
              <w:rPr>
                <w:rFonts w:cs="Calibri"/>
                <w:szCs w:val="24"/>
                <w:lang w:val="es-ES"/>
              </w:rPr>
              <w:t>.</w:t>
            </w:r>
          </w:p>
        </w:tc>
      </w:tr>
    </w:tbl>
    <w:p w14:paraId="30422F71" w14:textId="08E32035" w:rsidR="00F70066" w:rsidRPr="001D759A" w:rsidRDefault="00F70066" w:rsidP="00F70066">
      <w:pPr>
        <w:pStyle w:val="Heading1"/>
        <w:rPr>
          <w:lang w:val="es-ES"/>
        </w:rPr>
      </w:pPr>
      <w:r w:rsidRPr="001D759A">
        <w:rPr>
          <w:lang w:val="es-ES"/>
        </w:rPr>
        <w:t>3</w:t>
      </w:r>
      <w:r w:rsidR="00FF41B0">
        <w:rPr>
          <w:lang w:val="es-ES"/>
        </w:rPr>
        <w:t>6</w:t>
      </w:r>
      <w:r w:rsidRPr="001D759A">
        <w:rPr>
          <w:bCs/>
          <w:lang w:val="es-ES"/>
        </w:rPr>
        <w:tab/>
      </w:r>
      <w:r w:rsidRPr="001D759A">
        <w:rPr>
          <w:lang w:val="es-ES"/>
        </w:rPr>
        <w:t xml:space="preserve">Fortalecimiento de la gestión de riesgos y del sistema de controles internos (Documento </w:t>
      </w:r>
      <w:hyperlink r:id="rId144" w:history="1">
        <w:r w:rsidRPr="001D759A">
          <w:rPr>
            <w:rStyle w:val="Hyperlink"/>
            <w:rFonts w:eastAsia="Times New Roman" w:cs="Times New Roman"/>
            <w:szCs w:val="20"/>
            <w:lang w:val="es-ES"/>
          </w:rPr>
          <w:t>C26/49</w:t>
        </w:r>
      </w:hyperlink>
      <w:r w:rsidRPr="001D759A">
        <w:rPr>
          <w:lang w:val="es-ES"/>
        </w:rPr>
        <w:t>)</w:t>
      </w:r>
    </w:p>
    <w:p w14:paraId="08E56081" w14:textId="5A95E089" w:rsidR="00196F7B" w:rsidRPr="001D759A" w:rsidRDefault="00196F7B" w:rsidP="00196F7B">
      <w:pPr>
        <w:rPr>
          <w:lang w:val="es-ES"/>
        </w:rPr>
      </w:pPr>
      <w:r w:rsidRPr="001D759A">
        <w:rPr>
          <w:lang w:val="es-ES"/>
        </w:rPr>
        <w:t>3</w:t>
      </w:r>
      <w:r w:rsidR="00FF41B0">
        <w:rPr>
          <w:lang w:val="es-ES"/>
        </w:rPr>
        <w:t>6</w:t>
      </w:r>
      <w:r w:rsidRPr="001D759A">
        <w:rPr>
          <w:lang w:val="es-ES"/>
        </w:rPr>
        <w:t>.1</w:t>
      </w:r>
      <w:r w:rsidRPr="001D759A">
        <w:rPr>
          <w:lang w:val="es-ES"/>
        </w:rPr>
        <w:tab/>
        <w:t>Un representante de la Secretaría General presentó el Documento C26/49, que contenía un informe sobre los avances en materia de fortalecimiento de la gestión de riesgos y del sistema de controles internos</w:t>
      </w:r>
      <w:r w:rsidR="00CE7C39" w:rsidRPr="001D759A">
        <w:rPr>
          <w:lang w:val="es-ES"/>
        </w:rPr>
        <w:t>. En el Informe se pres</w:t>
      </w:r>
      <w:r w:rsidR="00CA7761" w:rsidRPr="001D759A">
        <w:rPr>
          <w:lang w:val="es-ES"/>
        </w:rPr>
        <w:t>e</w:t>
      </w:r>
      <w:r w:rsidR="00CE7C39" w:rsidRPr="001D759A">
        <w:rPr>
          <w:lang w:val="es-ES"/>
        </w:rPr>
        <w:t>ntan algunas</w:t>
      </w:r>
      <w:r w:rsidR="00CA7761" w:rsidRPr="001D759A">
        <w:rPr>
          <w:lang w:val="es-ES"/>
        </w:rPr>
        <w:t xml:space="preserve"> </w:t>
      </w:r>
      <w:r w:rsidR="00CE7C39" w:rsidRPr="001D759A">
        <w:rPr>
          <w:lang w:val="es-ES"/>
        </w:rPr>
        <w:t>de las iniciativas y actividades recientes</w:t>
      </w:r>
      <w:r w:rsidRPr="001D759A">
        <w:rPr>
          <w:lang w:val="es-ES"/>
        </w:rPr>
        <w:t xml:space="preserve">, en particular la creación de un Grupo Especial sobre Gestión de Riesgos y Controles Internos, </w:t>
      </w:r>
      <w:r w:rsidR="00386326" w:rsidRPr="001D759A">
        <w:rPr>
          <w:lang w:val="es-ES"/>
        </w:rPr>
        <w:t xml:space="preserve">la realización de un diagnóstico del marco de gestión de riesgos de </w:t>
      </w:r>
      <w:r w:rsidR="00103D78">
        <w:rPr>
          <w:lang w:val="es-ES"/>
        </w:rPr>
        <w:t>la UIT</w:t>
      </w:r>
      <w:r w:rsidR="00386326" w:rsidRPr="001D759A">
        <w:rPr>
          <w:lang w:val="es-ES"/>
        </w:rPr>
        <w:t xml:space="preserve">, </w:t>
      </w:r>
      <w:r w:rsidRPr="001D759A">
        <w:rPr>
          <w:lang w:val="es-ES"/>
        </w:rPr>
        <w:t>una actualización del registro de riesgos institucionales, la realización de una evaluación independiente del riesgo de fraude</w:t>
      </w:r>
      <w:r w:rsidR="00386326" w:rsidRPr="001D759A">
        <w:rPr>
          <w:lang w:val="es-ES"/>
        </w:rPr>
        <w:t xml:space="preserve"> institucional</w:t>
      </w:r>
      <w:r w:rsidRPr="001D759A">
        <w:rPr>
          <w:lang w:val="es-ES"/>
        </w:rPr>
        <w:t xml:space="preserve">, </w:t>
      </w:r>
      <w:r w:rsidR="00386326" w:rsidRPr="001D759A">
        <w:rPr>
          <w:lang w:val="es-ES"/>
        </w:rPr>
        <w:t xml:space="preserve">los esfuerzos de transformación para la mejor armonización de los Planes Estratégico, Financiero y Operacional, que permitirá integrar mejor la gestión de riesgos en esos procesos de planificación, </w:t>
      </w:r>
      <w:r w:rsidRPr="001D759A">
        <w:rPr>
          <w:lang w:val="es-ES"/>
        </w:rPr>
        <w:t xml:space="preserve">la aplicación de recomendaciones formuladas por el anterior Auditor Externo (recomendaciones preexistentes) y la elaboración de un exhaustivo marco de delegación de autoridad para </w:t>
      </w:r>
      <w:r w:rsidR="00103D78">
        <w:rPr>
          <w:lang w:val="es-ES"/>
        </w:rPr>
        <w:t>la UIT</w:t>
      </w:r>
      <w:r w:rsidRPr="001D759A">
        <w:rPr>
          <w:lang w:val="es-ES"/>
        </w:rPr>
        <w:t>, que estaba siendo sometido a un examen final. Desde la publicación del informe</w:t>
      </w:r>
      <w:r w:rsidR="00386326" w:rsidRPr="001D759A">
        <w:rPr>
          <w:lang w:val="es-ES"/>
        </w:rPr>
        <w:t xml:space="preserve"> a</w:t>
      </w:r>
      <w:r w:rsidR="00CA7761" w:rsidRPr="001D759A">
        <w:rPr>
          <w:lang w:val="es-ES"/>
        </w:rPr>
        <w:t>l</w:t>
      </w:r>
      <w:r w:rsidR="00386326" w:rsidRPr="001D759A">
        <w:rPr>
          <w:lang w:val="es-ES"/>
        </w:rPr>
        <w:t xml:space="preserve"> Consejo a principios de abril de 2026</w:t>
      </w:r>
      <w:r w:rsidRPr="001D759A">
        <w:rPr>
          <w:lang w:val="es-ES"/>
        </w:rPr>
        <w:t xml:space="preserve">, la Secretaría había intensificado sus esfuerzos </w:t>
      </w:r>
      <w:r w:rsidR="00386326" w:rsidRPr="001D759A">
        <w:rPr>
          <w:lang w:val="es-ES"/>
        </w:rPr>
        <w:t>y aplicado</w:t>
      </w:r>
      <w:r w:rsidRPr="001D759A">
        <w:rPr>
          <w:lang w:val="es-ES"/>
        </w:rPr>
        <w:t xml:space="preserve"> las recomendaciones preexistentes pendientes y, en su informe al actual Auditor Externo, recomendaría que se cerrasen todas salvo cuatro. De esas últimas cuatro, </w:t>
      </w:r>
      <w:r w:rsidR="00386326" w:rsidRPr="001D759A">
        <w:rPr>
          <w:lang w:val="es-ES"/>
        </w:rPr>
        <w:t>tres</w:t>
      </w:r>
      <w:r w:rsidRPr="001D759A">
        <w:rPr>
          <w:lang w:val="es-ES"/>
        </w:rPr>
        <w:t xml:space="preserve"> concernían a la movilidad del personal y </w:t>
      </w:r>
      <w:r w:rsidR="00386326" w:rsidRPr="001D759A">
        <w:rPr>
          <w:lang w:val="es-ES"/>
        </w:rPr>
        <w:t xml:space="preserve">la Secretaría sugeriría que se actualizasen y volviesen a emitir para tomar en consideración los debates y observaciones de los Estados Miembros sobre la </w:t>
      </w:r>
      <w:r w:rsidRPr="001D759A">
        <w:rPr>
          <w:lang w:val="es-ES"/>
        </w:rPr>
        <w:t>presencia regional</w:t>
      </w:r>
      <w:r w:rsidR="00386326" w:rsidRPr="001D759A">
        <w:rPr>
          <w:lang w:val="es-ES"/>
        </w:rPr>
        <w:t xml:space="preserve"> durante la reunión de 2026 del Consejo</w:t>
      </w:r>
      <w:r w:rsidRPr="001D759A">
        <w:rPr>
          <w:lang w:val="es-ES"/>
        </w:rPr>
        <w:t>. La última recomendación preexistente guardaba relación con la formación de la función de auditoría</w:t>
      </w:r>
      <w:r w:rsidR="00386326" w:rsidRPr="001D759A">
        <w:rPr>
          <w:lang w:val="es-ES"/>
        </w:rPr>
        <w:t>, que</w:t>
      </w:r>
      <w:r w:rsidRPr="001D759A">
        <w:rPr>
          <w:lang w:val="es-ES"/>
        </w:rPr>
        <w:t xml:space="preserve"> se </w:t>
      </w:r>
      <w:r w:rsidR="00386326" w:rsidRPr="001D759A">
        <w:rPr>
          <w:lang w:val="es-ES"/>
        </w:rPr>
        <w:t>había vuelto</w:t>
      </w:r>
      <w:r w:rsidRPr="001D759A">
        <w:rPr>
          <w:lang w:val="es-ES"/>
        </w:rPr>
        <w:t xml:space="preserve"> a presentar en </w:t>
      </w:r>
      <w:r w:rsidR="00386326" w:rsidRPr="001D759A">
        <w:rPr>
          <w:lang w:val="es-ES"/>
        </w:rPr>
        <w:t>las recientes</w:t>
      </w:r>
      <w:r w:rsidRPr="001D759A">
        <w:rPr>
          <w:lang w:val="es-ES"/>
        </w:rPr>
        <w:t xml:space="preserve"> recomendaciones </w:t>
      </w:r>
      <w:r w:rsidR="00386326" w:rsidRPr="001D759A">
        <w:rPr>
          <w:lang w:val="es-ES"/>
        </w:rPr>
        <w:t>del Control de Calidad Externo de la función de auditoría interna, que son de carácter más general y confo</w:t>
      </w:r>
      <w:r w:rsidR="00CA7761" w:rsidRPr="001D759A">
        <w:rPr>
          <w:lang w:val="es-ES"/>
        </w:rPr>
        <w:t>r</w:t>
      </w:r>
      <w:r w:rsidR="00386326" w:rsidRPr="001D759A">
        <w:rPr>
          <w:lang w:val="es-ES"/>
        </w:rPr>
        <w:t>mes con las nuevas Normas Mundiales de Auditoría Interna</w:t>
      </w:r>
      <w:r w:rsidRPr="001D759A">
        <w:rPr>
          <w:lang w:val="es-ES"/>
        </w:rPr>
        <w:t>.</w:t>
      </w:r>
    </w:p>
    <w:p w14:paraId="2B04C1DB" w14:textId="52273ECA" w:rsidR="00196F7B" w:rsidRPr="001D759A" w:rsidRDefault="000F16D5" w:rsidP="00196F7B">
      <w:pPr>
        <w:rPr>
          <w:lang w:val="es-ES"/>
        </w:rPr>
      </w:pPr>
      <w:r>
        <w:rPr>
          <w:lang w:val="es-ES"/>
        </w:rPr>
        <w:t>36.2</w:t>
      </w:r>
      <w:r>
        <w:rPr>
          <w:lang w:val="es-ES"/>
        </w:rPr>
        <w:tab/>
      </w:r>
      <w:r w:rsidR="00196F7B" w:rsidRPr="001D759A">
        <w:rPr>
          <w:lang w:val="es-ES"/>
        </w:rPr>
        <w:t xml:space="preserve">Dos consejeros pidieron que se siguiera informando sobre la aplicación de las recomendaciones preexistentes, destacando que el cierre de una recomendación requería un análisis exhaustivo de la cuestión fundamental y la identificación de actividades, procesos y normas que podrían introducirse o modificarse a fin de integrar el cambio institucional. Un consejero pidió que se informase de manera más exhaustiva y se utilizasen indicadores para demostrar que las medidas descritas estaban siendo realmente aplicadas. Otro consejero expresó preocupación por que la gestión de riesgos permaneciese en el plano político en lugar de consistir en una práctica en </w:t>
      </w:r>
      <w:r w:rsidR="00103D78">
        <w:rPr>
          <w:lang w:val="es-ES"/>
        </w:rPr>
        <w:t>la UIT</w:t>
      </w:r>
      <w:r w:rsidR="00196F7B" w:rsidRPr="001D759A">
        <w:rPr>
          <w:lang w:val="es-ES"/>
        </w:rPr>
        <w:t>.</w:t>
      </w:r>
    </w:p>
    <w:p w14:paraId="708DC0FA" w14:textId="0881E7CD" w:rsidR="00196F7B" w:rsidRPr="001D759A" w:rsidRDefault="00196F7B" w:rsidP="00196F7B">
      <w:pPr>
        <w:rPr>
          <w:lang w:val="es-ES"/>
        </w:rPr>
      </w:pPr>
      <w:r w:rsidRPr="001D759A">
        <w:rPr>
          <w:lang w:val="es-ES"/>
        </w:rPr>
        <w:t>3</w:t>
      </w:r>
      <w:r w:rsidR="000F16D5">
        <w:rPr>
          <w:lang w:val="es-ES"/>
        </w:rPr>
        <w:t>6</w:t>
      </w:r>
      <w:r w:rsidRPr="001D759A">
        <w:rPr>
          <w:lang w:val="es-ES"/>
        </w:rPr>
        <w:t>.</w:t>
      </w:r>
      <w:r w:rsidR="00386326" w:rsidRPr="001D759A">
        <w:rPr>
          <w:lang w:val="es-ES"/>
        </w:rPr>
        <w:t>3</w:t>
      </w:r>
      <w:r w:rsidRPr="001D759A">
        <w:rPr>
          <w:lang w:val="es-ES"/>
        </w:rPr>
        <w:tab/>
        <w:t>Un consejero pidió que se elaborasen informes independientes sobre cada línea de defensa dado que, al combinar el debate sobre la gestión de riesgos, la conformidad y el control interno, el informe no ofrecía una visión clara de cada una de esas líneas, por no hablar de la eficacia y la dotación en recursos de todas ellas.</w:t>
      </w:r>
    </w:p>
    <w:p w14:paraId="09312F89" w14:textId="7AA66688" w:rsidR="00196F7B" w:rsidRPr="001D759A" w:rsidRDefault="00196F7B" w:rsidP="00196F7B">
      <w:pPr>
        <w:rPr>
          <w:lang w:val="es-ES"/>
        </w:rPr>
      </w:pPr>
      <w:r w:rsidRPr="001D759A">
        <w:rPr>
          <w:lang w:val="es-ES"/>
        </w:rPr>
        <w:lastRenderedPageBreak/>
        <w:t>3</w:t>
      </w:r>
      <w:r w:rsidR="000F16D5">
        <w:rPr>
          <w:lang w:val="es-ES"/>
        </w:rPr>
        <w:t>6</w:t>
      </w:r>
      <w:r w:rsidRPr="001D759A">
        <w:rPr>
          <w:lang w:val="es-ES"/>
        </w:rPr>
        <w:t>.</w:t>
      </w:r>
      <w:r w:rsidR="00386326" w:rsidRPr="001D759A">
        <w:rPr>
          <w:lang w:val="es-ES"/>
        </w:rPr>
        <w:t>4</w:t>
      </w:r>
      <w:r w:rsidRPr="001D759A">
        <w:rPr>
          <w:lang w:val="es-ES"/>
        </w:rPr>
        <w:tab/>
        <w:t>Un consejero, observando la creación del Grupo Especial sobre Gestión de Riesgos y Controles Internos y la creación propuesta de una Comisión de Gestión de Riesgos, preguntó si eran necesarios tantos niveles y si podrían fortalecerse mecanismos existentes para cumplir dichas funciones.</w:t>
      </w:r>
    </w:p>
    <w:p w14:paraId="3EF93FDC" w14:textId="5CB85F0C" w:rsidR="00196F7B" w:rsidRPr="001D759A" w:rsidRDefault="00196F7B" w:rsidP="00196F7B">
      <w:pPr>
        <w:rPr>
          <w:lang w:val="es-ES"/>
        </w:rPr>
      </w:pPr>
      <w:r w:rsidRPr="001D759A">
        <w:rPr>
          <w:lang w:val="es-ES"/>
        </w:rPr>
        <w:t>3</w:t>
      </w:r>
      <w:r w:rsidR="000F16D5">
        <w:rPr>
          <w:lang w:val="es-ES"/>
        </w:rPr>
        <w:t>6</w:t>
      </w:r>
      <w:r w:rsidRPr="001D759A">
        <w:rPr>
          <w:lang w:val="es-ES"/>
        </w:rPr>
        <w:t>.</w:t>
      </w:r>
      <w:r w:rsidR="00386326" w:rsidRPr="001D759A">
        <w:rPr>
          <w:lang w:val="es-ES"/>
        </w:rPr>
        <w:t>5</w:t>
      </w:r>
      <w:r w:rsidRPr="001D759A">
        <w:rPr>
          <w:lang w:val="es-ES"/>
        </w:rPr>
        <w:tab/>
        <w:t>Otro consejero acogió con satisfacción la creación del Grupo Especial y los avances realizados para hacer frente a las recomendaciones en materia de supervisión e incorporar la gestión de riesgos en la planificación operacional. Era imperativo garantizar la coordinación de las tres líneas de defensa y fortalecer los controles preventivos y la rendición de cuentas en la práctica.</w:t>
      </w:r>
    </w:p>
    <w:p w14:paraId="7B13B163" w14:textId="28234214" w:rsidR="00196F7B" w:rsidRPr="001D759A" w:rsidRDefault="00196F7B" w:rsidP="00196F7B">
      <w:pPr>
        <w:rPr>
          <w:lang w:val="es-ES"/>
        </w:rPr>
      </w:pPr>
      <w:r w:rsidRPr="001D759A">
        <w:rPr>
          <w:lang w:val="es-ES"/>
        </w:rPr>
        <w:t>3</w:t>
      </w:r>
      <w:r w:rsidR="000F16D5">
        <w:rPr>
          <w:lang w:val="es-ES"/>
        </w:rPr>
        <w:t>6</w:t>
      </w:r>
      <w:r w:rsidRPr="001D759A">
        <w:rPr>
          <w:lang w:val="es-ES"/>
        </w:rPr>
        <w:t>.</w:t>
      </w:r>
      <w:r w:rsidR="00386326" w:rsidRPr="001D759A">
        <w:rPr>
          <w:lang w:val="es-ES"/>
        </w:rPr>
        <w:t>6</w:t>
      </w:r>
      <w:r w:rsidRPr="001D759A">
        <w:rPr>
          <w:lang w:val="es-ES"/>
        </w:rPr>
        <w:tab/>
        <w:t>En respuesta a un comentario formulado por un consejero, el representante de la Secretaría General recordó que, por recomendación del Auditor Externo, se había encargado a EY que examinase la eficacia de la gestión de riesgos y fortaleciese la segunda línea de defensa. El enfoque de EY no se consideró un marco de referencia en la manera en la que lo era el modelo de la Junta de los Jefes Ejecutivos (JJE). El orador no veía ninguna contradicción, en particular porque la esencia del examen de EY estaba ampliamente en consonancia con la recomendaci</w:t>
      </w:r>
      <w:r w:rsidR="00386326" w:rsidRPr="001D759A">
        <w:rPr>
          <w:lang w:val="es-ES"/>
        </w:rPr>
        <w:t>ó</w:t>
      </w:r>
      <w:r w:rsidRPr="001D759A">
        <w:rPr>
          <w:lang w:val="es-ES"/>
        </w:rPr>
        <w:t>n del CAIG</w:t>
      </w:r>
      <w:r w:rsidR="00386326" w:rsidRPr="001D759A">
        <w:rPr>
          <w:lang w:val="es-ES"/>
        </w:rPr>
        <w:t xml:space="preserve"> aprobada por el Consejo</w:t>
      </w:r>
      <w:r w:rsidRPr="001D759A">
        <w:rPr>
          <w:lang w:val="es-ES"/>
        </w:rPr>
        <w:t xml:space="preserve">. Además, las estructuras de gobernanza propuestas eran útiles para garantizar la coordinación entre las tres líneas de defensa. </w:t>
      </w:r>
      <w:r w:rsidR="00386326" w:rsidRPr="001D759A">
        <w:rPr>
          <w:lang w:val="es-ES"/>
        </w:rPr>
        <w:t>Por otra parte, e</w:t>
      </w:r>
      <w:r w:rsidRPr="001D759A">
        <w:rPr>
          <w:lang w:val="es-ES"/>
        </w:rPr>
        <w:t>l Grupo Especial informaba periódicamente al Comité de Coordinación.</w:t>
      </w:r>
    </w:p>
    <w:p w14:paraId="0DD0AA48" w14:textId="6BAAB043" w:rsidR="00386326" w:rsidRPr="001D759A" w:rsidRDefault="00386326" w:rsidP="00CA7761">
      <w:pPr>
        <w:rPr>
          <w:rFonts w:eastAsiaTheme="minorHAnsi"/>
          <w:lang w:val="es-ES"/>
        </w:rPr>
      </w:pPr>
      <w:r w:rsidRPr="001D759A">
        <w:rPr>
          <w:lang w:val="es-ES"/>
        </w:rPr>
        <w:t>3</w:t>
      </w:r>
      <w:r w:rsidR="000F16D5">
        <w:rPr>
          <w:lang w:val="es-ES"/>
        </w:rPr>
        <w:t>6</w:t>
      </w:r>
      <w:r w:rsidRPr="001D759A">
        <w:rPr>
          <w:lang w:val="es-ES"/>
        </w:rPr>
        <w:t>.</w:t>
      </w:r>
      <w:r w:rsidR="00CA7761" w:rsidRPr="001D759A">
        <w:rPr>
          <w:lang w:val="es-ES"/>
        </w:rPr>
        <w:t>7</w:t>
      </w:r>
      <w:r w:rsidRPr="001D759A">
        <w:rPr>
          <w:lang w:val="es-ES"/>
        </w:rPr>
        <w:tab/>
        <w:t xml:space="preserve">En respuesta a los comentarios de los consejeros, el orador dijo que el proceso de saldar las recomendaciones preexistentes no era un ejercicio de marcar </w:t>
      </w:r>
      <w:proofErr w:type="gramStart"/>
      <w:r w:rsidRPr="001D759A">
        <w:rPr>
          <w:lang w:val="es-ES"/>
        </w:rPr>
        <w:t>casillas</w:t>
      </w:r>
      <w:proofErr w:type="gramEnd"/>
      <w:r w:rsidRPr="001D759A">
        <w:rPr>
          <w:lang w:val="es-ES"/>
        </w:rPr>
        <w:t xml:space="preserve"> sino que, en su lugar, requería la elaboración de un informe exhaustivo con base empírica al Auditor Externo para demostrar que la recomendación en cuestión se había aplicado en la práctica. Si el Auditor Externo no estaba satisfecho, no se daría por cerrada la recomendación.</w:t>
      </w:r>
    </w:p>
    <w:p w14:paraId="3D891455" w14:textId="2753522B" w:rsidR="00196F7B" w:rsidRPr="001D759A" w:rsidRDefault="00196F7B" w:rsidP="00196F7B">
      <w:pPr>
        <w:rPr>
          <w:rFonts w:eastAsiaTheme="minorHAnsi"/>
          <w:lang w:val="es-ES"/>
        </w:rPr>
      </w:pPr>
      <w:r w:rsidRPr="001D759A">
        <w:rPr>
          <w:lang w:val="es-ES"/>
        </w:rPr>
        <w:t>3</w:t>
      </w:r>
      <w:r w:rsidR="000F16D5">
        <w:rPr>
          <w:lang w:val="es-ES"/>
        </w:rPr>
        <w:t>6</w:t>
      </w:r>
      <w:r w:rsidRPr="001D759A">
        <w:rPr>
          <w:lang w:val="es-ES"/>
        </w:rPr>
        <w:t>.8</w:t>
      </w:r>
      <w:r w:rsidRPr="001D759A">
        <w:rPr>
          <w:lang w:val="es-ES"/>
        </w:rPr>
        <w:tab/>
        <w:t xml:space="preserve">El Vicesecretario General dijo que el nivel de implicación mostrado por los consejeros reflejaba la importancia de los controles internos y la gestión de riesgos para las operaciones y la planificación de </w:t>
      </w:r>
      <w:r w:rsidR="005457EE">
        <w:rPr>
          <w:lang w:val="es-ES"/>
        </w:rPr>
        <w:t>la Unión</w:t>
      </w:r>
      <w:r w:rsidRPr="001D759A">
        <w:rPr>
          <w:lang w:val="es-ES"/>
        </w:rPr>
        <w:t xml:space="preserve">. El mismo nivel de implicación y compromiso también era evidente por parte de la Secretaría. Los principales foros directivos, como el Comité de Coordinación y el grupo directivo más amplio, abordaban periódicamente la gestión de riesgos, tanto a nivel del marco conceptual como a nivel operativo práctico. El marco de gestión de riesgos y controles internos carecía de madurez, lo que explica que se hubiera contratado el examen de EY, que había sido recomendado por el Auditor Externo y había arrojado resultados en consonancia con los del CAIG. El examen había dado lugar a una hoja de ruta progresiva con etapas concretas y aplicables para mejorar la madurez del marco, como se describe en el informe. El panel de control del cumplimiento, descrito en el Documento </w:t>
      </w:r>
      <w:hyperlink r:id="rId145" w:history="1">
        <w:r w:rsidRPr="001D759A">
          <w:rPr>
            <w:rStyle w:val="Hyperlink"/>
            <w:lang w:val="es-ES"/>
          </w:rPr>
          <w:t>C26/INF/23</w:t>
        </w:r>
      </w:hyperlink>
      <w:r w:rsidRPr="001D759A">
        <w:rPr>
          <w:lang w:val="es-ES"/>
        </w:rPr>
        <w:t>, también se había creado y se había facilitado su acceso a los Estados Miembros para proporcionar una visión sobre la aplicación de las recomendaciones en materia de supervisión, que aparecían en su totalidad en el panel salvo las de la DCI. El seguimiento de las recomendaciones de la DCI se podía hacer mediante una herramienta de informes de la DCI, de la cual se reprodujo información pertinente en el Documento</w:t>
      </w:r>
      <w:r w:rsidR="00B07A6B">
        <w:rPr>
          <w:lang w:val="es-ES"/>
        </w:rPr>
        <w:t> </w:t>
      </w:r>
      <w:hyperlink r:id="rId146" w:history="1">
        <w:r w:rsidRPr="001D759A">
          <w:rPr>
            <w:rStyle w:val="Hyperlink"/>
            <w:lang w:val="es-ES"/>
          </w:rPr>
          <w:t>C26/INF/17</w:t>
        </w:r>
      </w:hyperlink>
      <w:r w:rsidRPr="001D759A">
        <w:rPr>
          <w:lang w:val="es-ES"/>
        </w:rPr>
        <w:t>.</w:t>
      </w:r>
      <w:hyperlink r:id="rId147" w:history="1"/>
      <w:hyperlink r:id="rId148" w:history="1"/>
    </w:p>
    <w:p w14:paraId="1A3F2CFC" w14:textId="370DE4FE" w:rsidR="00196F7B" w:rsidRPr="001D759A" w:rsidRDefault="00196F7B" w:rsidP="00484644">
      <w:pPr>
        <w:rPr>
          <w:rFonts w:eastAsia="Calibri" w:cs="Calibri"/>
          <w:lang w:val="es-ES"/>
        </w:rPr>
      </w:pPr>
      <w:r w:rsidRPr="001D759A">
        <w:rPr>
          <w:lang w:val="es-ES"/>
        </w:rPr>
        <w:t>3</w:t>
      </w:r>
      <w:r w:rsidR="000F16D5">
        <w:rPr>
          <w:lang w:val="es-ES"/>
        </w:rPr>
        <w:t>6</w:t>
      </w:r>
      <w:r w:rsidRPr="001D759A">
        <w:rPr>
          <w:lang w:val="es-ES"/>
        </w:rPr>
        <w:t>.9</w:t>
      </w:r>
      <w:r w:rsidRPr="001D759A">
        <w:rPr>
          <w:lang w:val="es-ES"/>
        </w:rPr>
        <w:tab/>
        <w:t>En respuesta a las preguntas de los consejeros, el orador dijo que la PP-26 entregaría el marco de delegación de autoridad y que la Secretaría también proporcionaría información adicional mediante la PP-26 a fin de subsanar las deficiencias identificadas por los consejeros.</w:t>
      </w:r>
    </w:p>
    <w:p w14:paraId="320A0F1F" w14:textId="0FCBD8BE" w:rsidR="00F70066" w:rsidRPr="001D759A" w:rsidRDefault="00D5731C" w:rsidP="000B3843">
      <w:pPr>
        <w:keepNext/>
        <w:keepLines/>
        <w:tabs>
          <w:tab w:val="clear" w:pos="567"/>
          <w:tab w:val="left" w:pos="709"/>
        </w:tabs>
        <w:spacing w:after="120"/>
        <w:rPr>
          <w:lang w:val="es-ES"/>
        </w:rPr>
      </w:pPr>
      <w:r w:rsidRPr="001D759A">
        <w:rPr>
          <w:lang w:val="es-ES"/>
        </w:rPr>
        <w:lastRenderedPageBreak/>
        <w:t>3</w:t>
      </w:r>
      <w:r w:rsidR="000F16D5">
        <w:rPr>
          <w:lang w:val="es-ES"/>
        </w:rPr>
        <w:t>6</w:t>
      </w:r>
      <w:r w:rsidRPr="001D759A">
        <w:rPr>
          <w:lang w:val="es-ES"/>
        </w:rPr>
        <w:t>.10</w:t>
      </w:r>
      <w:r w:rsidR="00F70066" w:rsidRPr="001D759A">
        <w:rPr>
          <w:lang w:val="es-ES"/>
        </w:rPr>
        <w:tab/>
        <w:t xml:space="preserve">La Comisión </w:t>
      </w:r>
      <w:r w:rsidR="00F70066" w:rsidRPr="001D759A">
        <w:rPr>
          <w:b/>
          <w:bCs/>
          <w:lang w:val="es-ES"/>
        </w:rPr>
        <w:t>acordó</w:t>
      </w:r>
      <w:r w:rsidR="00F70066" w:rsidRPr="001D759A">
        <w:rPr>
          <w:lang w:val="es-ES"/>
        </w:rPr>
        <w:t xml:space="preserve"> llegar a la siguiente conclusión:</w:t>
      </w:r>
    </w:p>
    <w:tbl>
      <w:tblPr>
        <w:tblStyle w:val="TableGrid"/>
        <w:tblW w:w="5000" w:type="pct"/>
        <w:tblInd w:w="-147" w:type="dxa"/>
        <w:tblLook w:val="04A0" w:firstRow="1" w:lastRow="0" w:firstColumn="1" w:lastColumn="0" w:noHBand="0" w:noVBand="1"/>
      </w:tblPr>
      <w:tblGrid>
        <w:gridCol w:w="9061"/>
      </w:tblGrid>
      <w:tr w:rsidR="00F70066" w:rsidRPr="0057685D" w14:paraId="497E462F" w14:textId="77777777" w:rsidTr="00950DAB">
        <w:tc>
          <w:tcPr>
            <w:tcW w:w="9350" w:type="dxa"/>
            <w:hideMark/>
          </w:tcPr>
          <w:p w14:paraId="46F2F21A" w14:textId="1A46AB18" w:rsidR="00F70066" w:rsidRPr="001D759A" w:rsidRDefault="00D5731C" w:rsidP="000B3843">
            <w:pPr>
              <w:keepNext/>
              <w:keepLines/>
              <w:tabs>
                <w:tab w:val="clear" w:pos="567"/>
                <w:tab w:val="left" w:pos="743"/>
              </w:tabs>
              <w:ind w:left="40"/>
              <w:rPr>
                <w:lang w:val="es-ES"/>
              </w:rPr>
            </w:pPr>
            <w:r w:rsidRPr="001D759A">
              <w:rPr>
                <w:rFonts w:eastAsia="Calibri" w:cs="Calibri"/>
                <w:szCs w:val="24"/>
                <w:lang w:val="es-ES"/>
              </w:rPr>
              <w:t>3</w:t>
            </w:r>
            <w:r w:rsidR="000F16D5">
              <w:rPr>
                <w:rFonts w:eastAsia="Calibri" w:cs="Calibri"/>
                <w:szCs w:val="24"/>
                <w:lang w:val="es-ES"/>
              </w:rPr>
              <w:t>6</w:t>
            </w:r>
            <w:r w:rsidRPr="001D759A">
              <w:rPr>
                <w:rFonts w:eastAsia="Calibri" w:cs="Calibri"/>
                <w:szCs w:val="24"/>
                <w:lang w:val="es-ES"/>
              </w:rPr>
              <w:t>.11</w:t>
            </w:r>
            <w:r w:rsidR="00F70066" w:rsidRPr="001D759A">
              <w:rPr>
                <w:lang w:val="es-ES"/>
              </w:rPr>
              <w:tab/>
              <w:t>La Comisión recomienda al Consejo que:</w:t>
            </w:r>
          </w:p>
          <w:p w14:paraId="47EB90B3" w14:textId="026FF80C" w:rsidR="00F70066" w:rsidRDefault="00F70066" w:rsidP="000B3843">
            <w:pPr>
              <w:pStyle w:val="enumlev1"/>
              <w:keepNext/>
              <w:keepLines/>
              <w:tabs>
                <w:tab w:val="clear" w:pos="567"/>
              </w:tabs>
              <w:spacing w:after="120"/>
              <w:ind w:left="749" w:hanging="709"/>
              <w:rPr>
                <w:rFonts w:cs="Calibri"/>
                <w:szCs w:val="24"/>
                <w:lang w:val="es-ES"/>
              </w:rPr>
            </w:pPr>
            <w:r w:rsidRPr="001D759A">
              <w:rPr>
                <w:lang w:val="es-ES"/>
              </w:rPr>
              <w:t>•</w:t>
            </w:r>
            <w:r w:rsidRPr="001D759A">
              <w:rPr>
                <w:lang w:val="es-ES"/>
              </w:rPr>
              <w:tab/>
            </w:r>
            <w:r w:rsidR="00D5731C" w:rsidRPr="001D759A">
              <w:rPr>
                <w:rFonts w:cs="Calibri"/>
                <w:szCs w:val="24"/>
                <w:lang w:val="es-ES"/>
              </w:rPr>
              <w:t xml:space="preserve">tome nota del informe contenido en el Documento </w:t>
            </w:r>
            <w:hyperlink r:id="rId149" w:history="1">
              <w:r w:rsidR="00D5731C" w:rsidRPr="001D759A">
                <w:rPr>
                  <w:rStyle w:val="Hyperlink"/>
                  <w:rFonts w:cs="Times New Roman"/>
                  <w:szCs w:val="20"/>
                  <w:lang w:val="es-ES"/>
                </w:rPr>
                <w:t>C26/49</w:t>
              </w:r>
            </w:hyperlink>
            <w:r w:rsidR="005E0D5B">
              <w:rPr>
                <w:rFonts w:cs="Calibri"/>
                <w:szCs w:val="24"/>
                <w:lang w:val="es-ES"/>
              </w:rPr>
              <w:t>; y</w:t>
            </w:r>
          </w:p>
          <w:p w14:paraId="0AB7D54B" w14:textId="714C722D" w:rsidR="005E0D5B" w:rsidRPr="001D759A" w:rsidRDefault="00014309" w:rsidP="00014309">
            <w:pPr>
              <w:pStyle w:val="enumlev1"/>
              <w:keepNext/>
              <w:keepLines/>
              <w:tabs>
                <w:tab w:val="clear" w:pos="567"/>
              </w:tabs>
              <w:spacing w:after="120"/>
              <w:ind w:left="749" w:hanging="709"/>
              <w:rPr>
                <w:lang w:val="es-ES"/>
              </w:rPr>
            </w:pPr>
            <w:r w:rsidRPr="001D759A">
              <w:rPr>
                <w:lang w:val="es-ES"/>
              </w:rPr>
              <w:t>•</w:t>
            </w:r>
            <w:r w:rsidRPr="001D759A">
              <w:rPr>
                <w:lang w:val="es-ES"/>
              </w:rPr>
              <w:tab/>
            </w:r>
            <w:r>
              <w:rPr>
                <w:lang w:val="es-ES"/>
              </w:rPr>
              <w:t>t</w:t>
            </w:r>
            <w:r w:rsidR="005E0D5B">
              <w:rPr>
                <w:rFonts w:cs="Calibri"/>
                <w:szCs w:val="24"/>
                <w:lang w:val="es-ES"/>
              </w:rPr>
              <w:t xml:space="preserve">ome nota de que </w:t>
            </w:r>
            <w:r w:rsidR="00BB0238">
              <w:rPr>
                <w:rFonts w:cs="Calibri"/>
                <w:szCs w:val="24"/>
                <w:lang w:val="es-ES"/>
              </w:rPr>
              <w:t>el marco de delegación de autoridad se presentará a la PP-26 y que la Secretaría presentará asimismo a la PP-26 otros informes en respuesta a las carencias identificadas por los consejeros.</w:t>
            </w:r>
          </w:p>
        </w:tc>
      </w:tr>
    </w:tbl>
    <w:p w14:paraId="4BF44E2D" w14:textId="0AD79268" w:rsidR="00F70066" w:rsidRPr="001D759A" w:rsidRDefault="00F70066" w:rsidP="00F70066">
      <w:pPr>
        <w:pStyle w:val="Heading1"/>
        <w:rPr>
          <w:lang w:val="es-ES"/>
        </w:rPr>
      </w:pPr>
      <w:r w:rsidRPr="001D759A">
        <w:rPr>
          <w:lang w:val="es-ES"/>
        </w:rPr>
        <w:t>3</w:t>
      </w:r>
      <w:r w:rsidR="000F16D5">
        <w:rPr>
          <w:lang w:val="es-ES"/>
        </w:rPr>
        <w:t>7</w:t>
      </w:r>
      <w:r w:rsidRPr="001D759A">
        <w:rPr>
          <w:lang w:val="es-ES"/>
        </w:rPr>
        <w:tab/>
        <w:t xml:space="preserve">Informe sobre los progresos en la ejecución del Plan de Transformación de Recursos Humanos y la Resolución 48 (Rev. Bucarest, 2022) (Documento </w:t>
      </w:r>
      <w:hyperlink r:id="rId150" w:history="1">
        <w:r w:rsidRPr="001D759A">
          <w:rPr>
            <w:rStyle w:val="Hyperlink"/>
            <w:rFonts w:eastAsia="Times New Roman" w:cs="Times New Roman"/>
            <w:szCs w:val="20"/>
            <w:lang w:val="es-ES"/>
          </w:rPr>
          <w:t>C26/66</w:t>
        </w:r>
      </w:hyperlink>
      <w:r w:rsidRPr="001D759A">
        <w:rPr>
          <w:lang w:val="es-ES"/>
        </w:rPr>
        <w:t>)</w:t>
      </w:r>
    </w:p>
    <w:p w14:paraId="2B54BE79" w14:textId="22F55ACE" w:rsidR="006200B5" w:rsidRPr="00D63882" w:rsidRDefault="006200B5" w:rsidP="00484644">
      <w:pPr>
        <w:rPr>
          <w:lang w:val="es-ES"/>
        </w:rPr>
      </w:pPr>
      <w:r w:rsidRPr="00D63882">
        <w:rPr>
          <w:lang w:val="es-ES"/>
        </w:rPr>
        <w:t>37.1</w:t>
      </w:r>
      <w:r w:rsidRPr="00D63882">
        <w:rPr>
          <w:lang w:val="es-ES"/>
        </w:rPr>
        <w:tab/>
        <w:t>La Jefa del Departamento de Gestión de los Recursos Humanos ofreció una reseña de la información contenida en el Documento C26/66, que contenía el informe sobre los progresos en la ejecución del Plan de Transformación de Recursos Humanos (PTRH) y la Resolución 48 (Rev. Bucarest, 2022) de la Conferencia de Plenipotenciarios. Destacó algunos de los principales resultados que se habían conseguido en el marco de los tres pilares del</w:t>
      </w:r>
      <w:r w:rsidR="000A35F0">
        <w:rPr>
          <w:lang w:val="es-ES"/>
        </w:rPr>
        <w:t> </w:t>
      </w:r>
      <w:r w:rsidRPr="00D63882">
        <w:rPr>
          <w:lang w:val="es-ES"/>
        </w:rPr>
        <w:t xml:space="preserve">PTRH (a saber, las personas, la cultura y los servicios), durante el periodo del que se informa. Además, la oradora destacó el Programa para Jóvenes Profesionales (YPP) de </w:t>
      </w:r>
      <w:r w:rsidR="005457EE">
        <w:rPr>
          <w:lang w:val="es-ES"/>
        </w:rPr>
        <w:t>la Unión</w:t>
      </w:r>
      <w:r w:rsidRPr="00D63882">
        <w:rPr>
          <w:lang w:val="es-ES"/>
        </w:rPr>
        <w:t>, que había recibido más de 3</w:t>
      </w:r>
      <w:r w:rsidR="00484644">
        <w:rPr>
          <w:lang w:val="es-ES"/>
        </w:rPr>
        <w:t> </w:t>
      </w:r>
      <w:r w:rsidRPr="00D63882">
        <w:rPr>
          <w:lang w:val="es-ES"/>
        </w:rPr>
        <w:t xml:space="preserve">500 candidaturas. Seis jóvenes profesionales de PMA habían sido seleccionados como el primer grupo de YPP para trabajar en </w:t>
      </w:r>
      <w:r w:rsidR="005457EE">
        <w:rPr>
          <w:lang w:val="es-ES"/>
        </w:rPr>
        <w:t>la Unión</w:t>
      </w:r>
      <w:r w:rsidRPr="00D63882">
        <w:rPr>
          <w:lang w:val="es-ES"/>
        </w:rPr>
        <w:t xml:space="preserve"> aportando perspectivas frescas, innovación técnica y energía renovada a sus equipos. Para 2027, estaba previsto aumentar el tamaño del segundo grupo, incluir a las oficinas regionales en el programa y centrarlo en los jóvenes talentos de países en desarrollo, PMA, PDSL y PEID. La oradora dio las gracias a </w:t>
      </w:r>
      <w:r w:rsidR="00631339">
        <w:rPr>
          <w:lang w:val="es-ES"/>
        </w:rPr>
        <w:t>lo</w:t>
      </w:r>
      <w:r w:rsidRPr="00D63882">
        <w:rPr>
          <w:lang w:val="es-ES"/>
        </w:rPr>
        <w:t xml:space="preserve">s Estados Miembros que habían contribuido a la iniciativa y pidió que los miembros de </w:t>
      </w:r>
      <w:r w:rsidR="005457EE">
        <w:rPr>
          <w:lang w:val="es-ES"/>
        </w:rPr>
        <w:t>la Unión</w:t>
      </w:r>
      <w:r w:rsidRPr="00D63882">
        <w:rPr>
          <w:lang w:val="es-ES"/>
        </w:rPr>
        <w:t xml:space="preserve"> continuaran brindando apoyo.</w:t>
      </w:r>
    </w:p>
    <w:p w14:paraId="6D1BF3A2" w14:textId="1D4DFD9B" w:rsidR="006200B5" w:rsidRPr="00D63882" w:rsidRDefault="006200B5" w:rsidP="00484644">
      <w:pPr>
        <w:rPr>
          <w:lang w:val="es-ES"/>
        </w:rPr>
      </w:pPr>
      <w:r w:rsidRPr="00D63882">
        <w:rPr>
          <w:lang w:val="es-ES"/>
        </w:rPr>
        <w:t>37.2</w:t>
      </w:r>
      <w:r w:rsidRPr="00D63882">
        <w:rPr>
          <w:lang w:val="es-ES"/>
        </w:rPr>
        <w:tab/>
        <w:t xml:space="preserve">Los jóvenes profesionales de Côte d’Ivoire, Ghana, India, Malawi y Pakistán formularon declaraciones sobre la experiencia que habían adquirido en </w:t>
      </w:r>
      <w:r w:rsidR="00103D78">
        <w:rPr>
          <w:lang w:val="es-ES"/>
        </w:rPr>
        <w:t>la UIT</w:t>
      </w:r>
      <w:r w:rsidRPr="00D63882">
        <w:rPr>
          <w:lang w:val="es-ES"/>
        </w:rPr>
        <w:t>, donde trabajaron en esferas que iban desde los servicios espaciales hasta la resiliencia de los cables submarinos y la ciberseguridad.</w:t>
      </w:r>
    </w:p>
    <w:p w14:paraId="645E7939" w14:textId="3AF4C373" w:rsidR="006200B5" w:rsidRDefault="006200B5" w:rsidP="00484644">
      <w:pPr>
        <w:rPr>
          <w:lang w:val="es-ES"/>
        </w:rPr>
      </w:pPr>
      <w:r w:rsidRPr="00D63882">
        <w:rPr>
          <w:lang w:val="es-ES"/>
        </w:rPr>
        <w:t>37.3</w:t>
      </w:r>
      <w:r w:rsidRPr="00D63882">
        <w:rPr>
          <w:lang w:val="es-ES"/>
        </w:rPr>
        <w:tab/>
        <w:t>El consejero de Japón anunció que su gobierno haría una contribución de 300</w:t>
      </w:r>
      <w:r w:rsidR="00484644">
        <w:rPr>
          <w:lang w:val="es-ES"/>
        </w:rPr>
        <w:t> </w:t>
      </w:r>
      <w:r w:rsidRPr="00D63882">
        <w:rPr>
          <w:lang w:val="es-ES"/>
        </w:rPr>
        <w:t>000 USD para apoyar al segundo grupo de YPP, demostrando con ello su continuo compromiso con el programa.</w:t>
      </w:r>
    </w:p>
    <w:p w14:paraId="175D64CA" w14:textId="0D8F71A9" w:rsidR="006200B5" w:rsidRPr="00D63882" w:rsidRDefault="006200B5" w:rsidP="00484644">
      <w:pPr>
        <w:rPr>
          <w:lang w:val="es-ES"/>
        </w:rPr>
      </w:pPr>
      <w:r w:rsidRPr="00D63882">
        <w:rPr>
          <w:lang w:val="es-ES"/>
        </w:rPr>
        <w:t>37.4</w:t>
      </w:r>
      <w:r w:rsidRPr="00D63882">
        <w:rPr>
          <w:lang w:val="es-ES"/>
        </w:rPr>
        <w:tab/>
        <w:t xml:space="preserve">En el debate que siguió a continuación, los consejeros elogiaron al Departamento de Gestión de los Recursos Humanos por sus esfuerzos durante el periodo que abarca el informe, en particular en el lanzamiento del YPP para atraer a jóvenes talentos; el fomento de la mejora de las capacidades digitales; el progreso hacia la paridad de género; la racionalización de los procesos de gestión del desempeño; y la mejora de las tasas de finalización de la formación obligatoria. Sin embargo, algunos consejeros pidieron que se realizasen esfuerzos concertados para mejorar las tasas de finalización de formaciones sobre ética e integridad, prevención de la explotación y el abuso sexuales, y prevención del acoso sexual y otras conductas prohibidas. Los informes futuros deberían incluir información sobre las medidas adoptadas </w:t>
      </w:r>
      <w:r w:rsidR="00D53D1E">
        <w:rPr>
          <w:lang w:val="es-ES"/>
        </w:rPr>
        <w:t>para mejorar la tasa de compleción de las formaciones obligatorias de</w:t>
      </w:r>
      <w:r w:rsidRPr="00D63882">
        <w:rPr>
          <w:lang w:val="es-ES"/>
        </w:rPr>
        <w:t xml:space="preserve"> los responsables y el personal. Una consejera sugirió que el Departamento de Gestión de los Recursos Humanos actualizase el sistema de gestión del desempeño para exigir que todo </w:t>
      </w:r>
      <w:r w:rsidRPr="00D63882">
        <w:rPr>
          <w:lang w:val="es-ES"/>
        </w:rPr>
        <w:lastRenderedPageBreak/>
        <w:t xml:space="preserve">el personal estuviese al día de las actividades de formación obligatoria antes de poder ser evaluado satisfactoriamente. Pidió a la </w:t>
      </w:r>
      <w:r w:rsidR="00C817F3">
        <w:rPr>
          <w:lang w:val="es-ES"/>
        </w:rPr>
        <w:t>S</w:t>
      </w:r>
      <w:r w:rsidRPr="00D63882">
        <w:rPr>
          <w:lang w:val="es-ES"/>
        </w:rPr>
        <w:t>ecretaría que comunicase a los Estados Miembros su plan de acción sobre la prevención de la explotación y el abuso sexuales</w:t>
      </w:r>
      <w:r w:rsidR="00484644">
        <w:rPr>
          <w:lang w:val="es-ES"/>
        </w:rPr>
        <w:t>,</w:t>
      </w:r>
      <w:r w:rsidRPr="00D63882">
        <w:rPr>
          <w:lang w:val="es-ES"/>
        </w:rPr>
        <w:t xml:space="preserve"> y los resultados del estudio anual de la JJE sobre las denuncias de acoso sexual para facilitar la transparencia y la rendición de cuentas.</w:t>
      </w:r>
    </w:p>
    <w:p w14:paraId="74F04E21" w14:textId="24BE3674" w:rsidR="006200B5" w:rsidRPr="00D63882" w:rsidRDefault="006200B5" w:rsidP="00484644">
      <w:pPr>
        <w:rPr>
          <w:lang w:val="es-ES"/>
        </w:rPr>
      </w:pPr>
      <w:r w:rsidRPr="00D63882">
        <w:rPr>
          <w:lang w:val="es-ES"/>
        </w:rPr>
        <w:t>37.5</w:t>
      </w:r>
      <w:r w:rsidRPr="00D63882">
        <w:rPr>
          <w:lang w:val="es-ES"/>
        </w:rPr>
        <w:tab/>
        <w:t>Algunos consejeros señalaron los persistentes desequilibrios en la diversidad de la fuerza de trabajo, en particular respecto de la distribución geográfica equitativa, y pidieron información adicional sobre las medidas de contratación especiales que se habían implementado para hacer frente a la cuestión, de conformidad con la Resolución 48 (Rev.</w:t>
      </w:r>
      <w:r w:rsidR="00605253">
        <w:rPr>
          <w:lang w:val="es-ES"/>
        </w:rPr>
        <w:t> </w:t>
      </w:r>
      <w:r w:rsidRPr="00D63882">
        <w:rPr>
          <w:lang w:val="es-ES"/>
        </w:rPr>
        <w:t xml:space="preserve">Bucarest, 2022). Los informes futuros deberían incluir indicadores y datos mejorados sobre la actual composición de la fuerza de trabajo de </w:t>
      </w:r>
      <w:r w:rsidR="005457EE">
        <w:rPr>
          <w:lang w:val="es-ES"/>
        </w:rPr>
        <w:t>la Unión</w:t>
      </w:r>
      <w:r w:rsidRPr="00D63882">
        <w:rPr>
          <w:lang w:val="es-ES"/>
        </w:rPr>
        <w:t xml:space="preserve">, desglosados por región y género. Un consejero sugirió que se podrían utilizar medidas destinadas a conseguir la paridad de género como modelo para mejorar la representación geográfica, en particular de los países en desarrollo, entre los miembros del personal de </w:t>
      </w:r>
      <w:r w:rsidR="00103D78">
        <w:rPr>
          <w:lang w:val="es-ES"/>
        </w:rPr>
        <w:t>la UIT</w:t>
      </w:r>
      <w:r w:rsidRPr="00D63882">
        <w:rPr>
          <w:lang w:val="es-ES"/>
        </w:rPr>
        <w:t xml:space="preserve">. Otro consejero </w:t>
      </w:r>
      <w:r w:rsidR="00D53D1E">
        <w:rPr>
          <w:lang w:val="es-ES"/>
        </w:rPr>
        <w:t>destacó los esfuerzos invertidos y</w:t>
      </w:r>
      <w:r w:rsidRPr="00D63882">
        <w:rPr>
          <w:lang w:val="es-ES"/>
        </w:rPr>
        <w:t xml:space="preserve"> los progresos realizados respecto de la paridad de género, a la vez que instó a que se adoptasen otras medidas en </w:t>
      </w:r>
      <w:r w:rsidR="00991944">
        <w:rPr>
          <w:lang w:val="es-ES"/>
        </w:rPr>
        <w:t>ese sentido</w:t>
      </w:r>
      <w:r w:rsidRPr="00D63882">
        <w:rPr>
          <w:lang w:val="es-ES"/>
        </w:rPr>
        <w:t>. Asimismo, se alentó al Departamento de Gestión de los Recursos Humanos a que acelerase la finalización de las reformas de contratación y los marcos de planificación de la fuerza de trabajo y a que aumentase las inversiones en la formación del personal.</w:t>
      </w:r>
    </w:p>
    <w:p w14:paraId="41F24365" w14:textId="197AEFEF" w:rsidR="006200B5" w:rsidRPr="00D63882" w:rsidRDefault="006200B5" w:rsidP="00484644">
      <w:pPr>
        <w:rPr>
          <w:lang w:val="es-ES"/>
        </w:rPr>
      </w:pPr>
      <w:r w:rsidRPr="00D63882">
        <w:rPr>
          <w:lang w:val="es-ES"/>
        </w:rPr>
        <w:t>37.6</w:t>
      </w:r>
      <w:r w:rsidRPr="00D63882">
        <w:rPr>
          <w:lang w:val="es-ES"/>
        </w:rPr>
        <w:tab/>
        <w:t xml:space="preserve">Respecto de la planificación de la fuerza de trabajo, algunos consejeros hicieron énfasis en la naturaleza especializada de la labor de </w:t>
      </w:r>
      <w:r w:rsidR="005457EE">
        <w:rPr>
          <w:lang w:val="es-ES"/>
        </w:rPr>
        <w:t>la Unión</w:t>
      </w:r>
      <w:r w:rsidRPr="00D63882">
        <w:rPr>
          <w:lang w:val="es-ES"/>
        </w:rPr>
        <w:t xml:space="preserve"> y pidieron información sobre los efectos del programa de cese voluntario en la redistribución de la carga de trabajo, la transmisión de conocimientos y el ánimo del personal. Un consejero pidió información detallada sobre la nueva política en materia de consultorías, en particular la manera en la que garantizaría que se recurriese a los consultores exclusivamente para las necesidades a corto plazo y funciones no centrales del personal y la forma en la que contribuiría a mejorar la transparencia, la supervisión del desempeño y la representación regional. Los informes futuros deberían incluir pruebas sobre los efectos medibles de las actividades del Departamento de Gestión de los Recursos Humanos sobre el desempeño institucional y la prestación de servicios.</w:t>
      </w:r>
    </w:p>
    <w:p w14:paraId="061059D4" w14:textId="14DE1E25" w:rsidR="006200B5" w:rsidRDefault="006200B5" w:rsidP="00484644">
      <w:pPr>
        <w:rPr>
          <w:lang w:val="es-ES"/>
        </w:rPr>
      </w:pPr>
      <w:r w:rsidRPr="00D63882">
        <w:rPr>
          <w:lang w:val="es-ES"/>
        </w:rPr>
        <w:t>37.7</w:t>
      </w:r>
      <w:r w:rsidRPr="00D63882">
        <w:rPr>
          <w:lang w:val="es-ES"/>
        </w:rPr>
        <w:tab/>
        <w:t>En respuesta a los comentarios y las preguntas de los consejeros y agradeciendo al Gobierno de Japón su generosa contribución, la Jefa del Departamento de Gestión de los Recursos Humanos dijo que, respecto de la diversidad geográfica, si bien la contratación se hacía con base en los méritos, se daba prioridad a los aspectos de la diversidad de conformidad con las resoluciones y normas pertinentes. Entre las medidas que se estaban adoptando para mejorar la diversidad de la fuerza de trabajo estaba la divulgación específica mediante foros en línea a fin de atraer a los mejores candidatos de todo el mundo</w:t>
      </w:r>
      <w:r w:rsidR="00991944">
        <w:rPr>
          <w:lang w:val="es-ES"/>
        </w:rPr>
        <w:t xml:space="preserve"> y mediante programas como YPP que sirven para integrar a los jóvenes talentos</w:t>
      </w:r>
      <w:r w:rsidRPr="00D63882">
        <w:rPr>
          <w:lang w:val="es-ES"/>
        </w:rPr>
        <w:t>.</w:t>
      </w:r>
    </w:p>
    <w:p w14:paraId="3C52CF37" w14:textId="657606B0" w:rsidR="006200B5" w:rsidRPr="00D63882" w:rsidRDefault="006200B5" w:rsidP="00484644">
      <w:pPr>
        <w:rPr>
          <w:lang w:val="es-ES"/>
        </w:rPr>
      </w:pPr>
      <w:r w:rsidRPr="00D63882">
        <w:rPr>
          <w:lang w:val="es-ES"/>
        </w:rPr>
        <w:t>37.8</w:t>
      </w:r>
      <w:r w:rsidRPr="00D63882">
        <w:rPr>
          <w:lang w:val="es-ES"/>
        </w:rPr>
        <w:tab/>
        <w:t xml:space="preserve">La planificación estratégica de la fuerza de trabajo implicaba la identificación de la ubicación más apropiada para los puestos en cuanto quedaban vacantes con motivo del cese o la jubilación del personal, mejorando con ello la presencia regional, fortaleciendo la planificación de la sucesión y garantizando que los responsables tenían las funciones y competencias necesarias para cumplir sus objetivos. La mejora de las competencias del personal fue un pilar a ese respecto, y el Departamento de Gestión de los Recursos Humanos trabajaba continuamente para mejorar la formación y el desarrollo y guardaba una estrecha relación con el Equipo de Transformación para impulsar la mejora de las competencias en </w:t>
      </w:r>
      <w:r w:rsidRPr="00D63882">
        <w:rPr>
          <w:lang w:val="es-ES"/>
        </w:rPr>
        <w:lastRenderedPageBreak/>
        <w:t xml:space="preserve">materia de IA. La oradora agradeció los comentarios de los consejeros sobre el presupuesto de la formación y seguiría abogando por su aumento. También se estaban aprovechando las oportunidades de formación en el sistema general de las </w:t>
      </w:r>
      <w:r w:rsidR="000E31A1">
        <w:rPr>
          <w:lang w:val="es-ES"/>
        </w:rPr>
        <w:t>Naciones Unidas</w:t>
      </w:r>
      <w:r w:rsidRPr="00D63882">
        <w:rPr>
          <w:lang w:val="es-ES"/>
        </w:rPr>
        <w:t>. Según los datos más recientes sobre la formación obligatoria, el 76</w:t>
      </w:r>
      <w:r w:rsidR="00B54B97">
        <w:rPr>
          <w:lang w:val="es-ES"/>
        </w:rPr>
        <w:t> </w:t>
      </w:r>
      <w:r w:rsidRPr="00D63882">
        <w:rPr>
          <w:lang w:val="es-ES"/>
        </w:rPr>
        <w:t xml:space="preserve">% de los miembros del personal permanente, continuo, de duración fija y </w:t>
      </w:r>
      <w:r w:rsidR="00C3785F">
        <w:rPr>
          <w:lang w:val="es-ES"/>
        </w:rPr>
        <w:t xml:space="preserve">de </w:t>
      </w:r>
      <w:r w:rsidRPr="00D63882">
        <w:rPr>
          <w:lang w:val="es-ES"/>
        </w:rPr>
        <w:t>corta duración había completado la formación en materia de prevención de la explotación y el abuso sexuales.</w:t>
      </w:r>
    </w:p>
    <w:p w14:paraId="4FE44978" w14:textId="4D8C2AD0" w:rsidR="006200B5" w:rsidRDefault="006200B5" w:rsidP="00484644">
      <w:pPr>
        <w:rPr>
          <w:lang w:val="es-ES"/>
        </w:rPr>
      </w:pPr>
      <w:r w:rsidRPr="00D63882">
        <w:rPr>
          <w:lang w:val="es-ES"/>
        </w:rPr>
        <w:t>37.9</w:t>
      </w:r>
      <w:r w:rsidRPr="00D63882">
        <w:rPr>
          <w:lang w:val="es-ES"/>
        </w:rPr>
        <w:tab/>
        <w:t xml:space="preserve">Los 15 miembros del personal que habían dejado la organización en el marco del programa de cese voluntario habían estado cerca de la jubilación o bien habían deseado cesar en sus funciones por otros motivos. En vista de la competencia, los conocimientos y la experiencia del personal, se tenían en cuenta las necesidades generales de </w:t>
      </w:r>
      <w:r w:rsidR="005457EE">
        <w:rPr>
          <w:lang w:val="es-ES"/>
        </w:rPr>
        <w:t>la Unión</w:t>
      </w:r>
      <w:r w:rsidRPr="00D63882">
        <w:rPr>
          <w:lang w:val="es-ES"/>
        </w:rPr>
        <w:t xml:space="preserve"> a la hora de adoptar decisiones sobre dichos ceses. Era fundamental garantizar que </w:t>
      </w:r>
      <w:r w:rsidR="005457EE">
        <w:rPr>
          <w:lang w:val="es-ES"/>
        </w:rPr>
        <w:t>la Unión</w:t>
      </w:r>
      <w:r w:rsidRPr="00D63882">
        <w:rPr>
          <w:lang w:val="es-ES"/>
        </w:rPr>
        <w:t xml:space="preserve"> tuviese una combinación apropiada de conocimientos institucionales y nuevos talentos.</w:t>
      </w:r>
    </w:p>
    <w:p w14:paraId="03E36E4B" w14:textId="37CD0CB7" w:rsidR="006200B5" w:rsidRPr="00D63882" w:rsidRDefault="006200B5" w:rsidP="00C3785F">
      <w:pPr>
        <w:tabs>
          <w:tab w:val="clear" w:pos="567"/>
          <w:tab w:val="left" w:pos="709"/>
        </w:tabs>
        <w:rPr>
          <w:lang w:val="es-ES"/>
        </w:rPr>
      </w:pPr>
      <w:r w:rsidRPr="00D63882">
        <w:rPr>
          <w:lang w:val="es-ES"/>
        </w:rPr>
        <w:t>37.</w:t>
      </w:r>
      <w:r w:rsidR="00A91E5B">
        <w:rPr>
          <w:lang w:val="es-ES"/>
        </w:rPr>
        <w:t>10</w:t>
      </w:r>
      <w:r w:rsidR="00C3785F">
        <w:rPr>
          <w:lang w:val="es-ES"/>
        </w:rPr>
        <w:tab/>
      </w:r>
      <w:r w:rsidRPr="00D63882">
        <w:rPr>
          <w:lang w:val="es-ES"/>
        </w:rPr>
        <w:t>Respecto de la cultura del lugar de trabajo y las relaciones con el personal, la oradora hizo énfasis en que el Departamento de Gestión de los Recursos Humanos trabajaba estrechamente con el Consejo del Personal, en particular para realizar un seguimiento de los resultados de la encuesta sobre la implicación de los empleados. De hecho, habían unido sus fuerzas para desarrollar e implementar un programa relacionado con las conclusiones de la encuesta. Además, el Departamento de Gestión de los Recursos Humanos había llevado a cabo actividades de formación sobre la seguridad psicológica y la cultura de la libertad de expresión. Se estaban adoptando una serie de enfoques para hacer frente a las cuestiones relativas a la gestión del desempeño. Por ejemplo, se estaban revisando órdenes de servicio conexas, se habían previsto talleres sobre la definición de objetivos y se había elaborado un conjunto de herramientas para ayudar a los responsables a gestionar el bajo desempeño, lo que permitía al Departamento de Gestión de los Recursos Humanos orientarlos paso a paso a lo largo del proceso.</w:t>
      </w:r>
    </w:p>
    <w:p w14:paraId="083C372B" w14:textId="0A530842" w:rsidR="006200B5" w:rsidRDefault="006200B5" w:rsidP="00FB26C4">
      <w:pPr>
        <w:tabs>
          <w:tab w:val="left" w:pos="709"/>
        </w:tabs>
        <w:rPr>
          <w:rFonts w:eastAsia="Calibri"/>
          <w:lang w:val="es-ES"/>
        </w:rPr>
      </w:pPr>
      <w:r w:rsidRPr="00D63882">
        <w:rPr>
          <w:lang w:val="es-ES"/>
        </w:rPr>
        <w:t>37.</w:t>
      </w:r>
      <w:r w:rsidR="00A91E5B">
        <w:rPr>
          <w:lang w:val="es-ES"/>
        </w:rPr>
        <w:t>11</w:t>
      </w:r>
      <w:r w:rsidRPr="00D63882">
        <w:rPr>
          <w:lang w:val="es-ES"/>
        </w:rPr>
        <w:tab/>
      </w:r>
      <w:r w:rsidR="00FB26C4">
        <w:rPr>
          <w:lang w:val="es-ES"/>
        </w:rPr>
        <w:tab/>
      </w:r>
      <w:r w:rsidRPr="00D63882">
        <w:rPr>
          <w:lang w:val="es-ES"/>
        </w:rPr>
        <w:t xml:space="preserve">Por último, la oradora confirmó que el Departamento de Gestión de los Recursos Humanos prepararía un informe sobre el significado de un cambio institucional "importante" para seguir debatiéndolo en la PP-26, si el Consejo aprobaba la recomendación del GTC-RHF sobre dicho asunto (Documento </w:t>
      </w:r>
      <w:hyperlink r:id="rId151" w:history="1">
        <w:r w:rsidRPr="00184AC5">
          <w:rPr>
            <w:rFonts w:cs="Arial"/>
            <w:color w:val="4F81BD"/>
            <w:szCs w:val="22"/>
            <w:lang w:val="es-ES"/>
          </w:rPr>
          <w:t>C26/50(Rev.1)</w:t>
        </w:r>
      </w:hyperlink>
      <w:r w:rsidRPr="00184AC5">
        <w:rPr>
          <w:lang w:val="es-ES"/>
        </w:rPr>
        <w:t>,</w:t>
      </w:r>
      <w:r w:rsidRPr="00D63882">
        <w:rPr>
          <w:lang w:val="es-ES"/>
        </w:rPr>
        <w:t xml:space="preserve"> § 10.6). </w:t>
      </w:r>
      <w:hyperlink r:id="rId152" w:history="1"/>
    </w:p>
    <w:p w14:paraId="0F1A973B" w14:textId="2E707E41" w:rsidR="00F70066" w:rsidRPr="001D759A" w:rsidRDefault="00F70066" w:rsidP="000A35F0">
      <w:pPr>
        <w:tabs>
          <w:tab w:val="clear" w:pos="567"/>
          <w:tab w:val="clear" w:pos="1134"/>
          <w:tab w:val="clear" w:pos="1701"/>
          <w:tab w:val="clear" w:pos="2268"/>
          <w:tab w:val="clear" w:pos="2835"/>
          <w:tab w:val="left" w:pos="709"/>
        </w:tabs>
        <w:spacing w:after="120"/>
        <w:rPr>
          <w:lang w:val="es-ES"/>
        </w:rPr>
      </w:pPr>
      <w:r w:rsidRPr="001D759A">
        <w:rPr>
          <w:lang w:val="es-ES"/>
        </w:rPr>
        <w:t>3</w:t>
      </w:r>
      <w:r w:rsidR="000F16D5">
        <w:rPr>
          <w:lang w:val="es-ES"/>
        </w:rPr>
        <w:t>7</w:t>
      </w:r>
      <w:r w:rsidRPr="001D759A">
        <w:rPr>
          <w:lang w:val="es-ES"/>
        </w:rPr>
        <w:t>.</w:t>
      </w:r>
      <w:r w:rsidR="006200B5">
        <w:rPr>
          <w:lang w:val="es-ES"/>
        </w:rPr>
        <w:t>1</w:t>
      </w:r>
      <w:r w:rsidR="00A91E5B">
        <w:rPr>
          <w:lang w:val="es-ES"/>
        </w:rPr>
        <w:t>2</w:t>
      </w:r>
      <w:r w:rsidRPr="001D759A">
        <w:rPr>
          <w:lang w:val="es-ES"/>
        </w:rPr>
        <w:tab/>
        <w:t xml:space="preserve">La Comisión </w:t>
      </w:r>
      <w:r w:rsidRPr="001D759A">
        <w:rPr>
          <w:b/>
          <w:bCs/>
          <w:lang w:val="es-ES"/>
        </w:rPr>
        <w:t>acordó</w:t>
      </w:r>
      <w:r w:rsidRPr="001D759A">
        <w:rPr>
          <w:lang w:val="es-ES"/>
        </w:rPr>
        <w:t xml:space="preserve"> llegar a la siguiente conclusión:</w:t>
      </w:r>
    </w:p>
    <w:tbl>
      <w:tblPr>
        <w:tblStyle w:val="TableGrid"/>
        <w:tblW w:w="5000" w:type="pct"/>
        <w:tblInd w:w="-147" w:type="dxa"/>
        <w:tblLook w:val="04A0" w:firstRow="1" w:lastRow="0" w:firstColumn="1" w:lastColumn="0" w:noHBand="0" w:noVBand="1"/>
      </w:tblPr>
      <w:tblGrid>
        <w:gridCol w:w="9061"/>
      </w:tblGrid>
      <w:tr w:rsidR="00F70066" w:rsidRPr="0057685D" w14:paraId="7BC730ED" w14:textId="77777777" w:rsidTr="00950DAB">
        <w:tc>
          <w:tcPr>
            <w:tcW w:w="9208" w:type="dxa"/>
            <w:hideMark/>
          </w:tcPr>
          <w:p w14:paraId="0A285FEB" w14:textId="7D8A5EE4" w:rsidR="00F70066" w:rsidRPr="001D759A" w:rsidRDefault="00F70066" w:rsidP="000A35F0">
            <w:pPr>
              <w:tabs>
                <w:tab w:val="clear" w:pos="567"/>
                <w:tab w:val="left" w:pos="743"/>
              </w:tabs>
              <w:ind w:left="40"/>
              <w:rPr>
                <w:lang w:val="es-ES"/>
              </w:rPr>
            </w:pPr>
            <w:r w:rsidRPr="001D759A">
              <w:rPr>
                <w:rFonts w:eastAsia="Calibri" w:cs="Calibri"/>
                <w:lang w:val="es-ES"/>
              </w:rPr>
              <w:t>3</w:t>
            </w:r>
            <w:r w:rsidR="000F16D5">
              <w:rPr>
                <w:rFonts w:eastAsia="Calibri" w:cs="Calibri"/>
                <w:lang w:val="es-ES"/>
              </w:rPr>
              <w:t>7</w:t>
            </w:r>
            <w:r w:rsidRPr="001D759A">
              <w:rPr>
                <w:rFonts w:eastAsia="Calibri" w:cs="Calibri"/>
                <w:szCs w:val="24"/>
                <w:lang w:val="es-ES"/>
              </w:rPr>
              <w:t>.</w:t>
            </w:r>
            <w:r w:rsidR="003369F8">
              <w:rPr>
                <w:rFonts w:eastAsia="Calibri" w:cs="Calibri"/>
                <w:szCs w:val="24"/>
                <w:lang w:val="es-ES"/>
              </w:rPr>
              <w:t>1</w:t>
            </w:r>
            <w:r w:rsidR="00A91E5B">
              <w:rPr>
                <w:rFonts w:eastAsia="Calibri" w:cs="Calibri"/>
                <w:szCs w:val="24"/>
                <w:lang w:val="es-ES"/>
              </w:rPr>
              <w:t>3</w:t>
            </w:r>
            <w:r w:rsidRPr="001D759A">
              <w:rPr>
                <w:lang w:val="es-ES"/>
              </w:rPr>
              <w:tab/>
              <w:t>La Comisión recomienda al Consejo que:</w:t>
            </w:r>
          </w:p>
          <w:p w14:paraId="5B1EB5B1" w14:textId="1CC5203C" w:rsidR="00F70066" w:rsidRDefault="00F70066" w:rsidP="000A35F0">
            <w:pPr>
              <w:pStyle w:val="enumlev1"/>
              <w:tabs>
                <w:tab w:val="clear" w:pos="567"/>
              </w:tabs>
              <w:spacing w:after="120"/>
              <w:ind w:left="749" w:hanging="709"/>
              <w:rPr>
                <w:rFonts w:cs="Calibri"/>
                <w:szCs w:val="24"/>
                <w:lang w:val="es-ES"/>
              </w:rPr>
            </w:pPr>
            <w:r w:rsidRPr="001D759A">
              <w:rPr>
                <w:lang w:val="es-ES"/>
              </w:rPr>
              <w:t>•</w:t>
            </w:r>
            <w:r w:rsidRPr="001D759A">
              <w:rPr>
                <w:lang w:val="es-ES"/>
              </w:rPr>
              <w:tab/>
            </w:r>
            <w:r w:rsidR="006200B5" w:rsidRPr="00DF3A76">
              <w:rPr>
                <w:rFonts w:cs="Calibri"/>
                <w:szCs w:val="24"/>
                <w:lang w:val="es-ES"/>
              </w:rPr>
              <w:t>tome</w:t>
            </w:r>
            <w:r w:rsidR="006200B5" w:rsidRPr="00D63882">
              <w:rPr>
                <w:rFonts w:cs="Calibri"/>
                <w:lang w:val="es-ES"/>
              </w:rPr>
              <w:t xml:space="preserve"> nota del informe sobre los progresos en la ejecución del Plan de Transformación de Recursos Humanos y la Resolución 48 (</w:t>
            </w:r>
            <w:r w:rsidR="006200B5">
              <w:rPr>
                <w:rFonts w:cs="Calibri"/>
                <w:lang w:val="es-ES"/>
              </w:rPr>
              <w:t>R</w:t>
            </w:r>
            <w:r w:rsidR="006200B5" w:rsidRPr="00D63882">
              <w:rPr>
                <w:rFonts w:cs="Calibri"/>
                <w:lang w:val="es-ES"/>
              </w:rPr>
              <w:t xml:space="preserve">ev. Bucarest, 2022) de la Conferencia de Plenipotenciarios, contenido en el Documento </w:t>
            </w:r>
            <w:hyperlink r:id="rId153" w:history="1">
              <w:r w:rsidR="006200B5" w:rsidRPr="00184AC5">
                <w:rPr>
                  <w:rFonts w:eastAsia="Times New Roman" w:cs="Arial"/>
                  <w:color w:val="4F81BD"/>
                  <w:lang w:val="es-ES"/>
                </w:rPr>
                <w:t>C26/66</w:t>
              </w:r>
            </w:hyperlink>
            <w:r w:rsidR="00BB0238">
              <w:rPr>
                <w:rFonts w:cs="Calibri"/>
                <w:szCs w:val="24"/>
                <w:lang w:val="es-ES"/>
              </w:rPr>
              <w:t>; y</w:t>
            </w:r>
          </w:p>
          <w:p w14:paraId="429F7E90" w14:textId="3F72F345" w:rsidR="00BB0238" w:rsidRPr="001D759A" w:rsidRDefault="00014309" w:rsidP="000A35F0">
            <w:pPr>
              <w:pStyle w:val="enumlev1"/>
              <w:tabs>
                <w:tab w:val="clear" w:pos="567"/>
              </w:tabs>
              <w:spacing w:after="120"/>
              <w:ind w:left="749" w:hanging="709"/>
              <w:rPr>
                <w:lang w:val="es-ES"/>
              </w:rPr>
            </w:pPr>
            <w:r w:rsidRPr="001D759A">
              <w:rPr>
                <w:lang w:val="es-ES"/>
              </w:rPr>
              <w:t>•</w:t>
            </w:r>
            <w:r w:rsidRPr="001D759A">
              <w:rPr>
                <w:lang w:val="es-ES"/>
              </w:rPr>
              <w:tab/>
            </w:r>
            <w:r>
              <w:rPr>
                <w:rFonts w:cs="Calibri"/>
                <w:lang w:val="es-ES"/>
              </w:rPr>
              <w:t>e</w:t>
            </w:r>
            <w:r w:rsidR="00BB0238" w:rsidRPr="00014309">
              <w:rPr>
                <w:rFonts w:cs="Calibri"/>
                <w:lang w:val="es-ES"/>
              </w:rPr>
              <w:t>ncargue</w:t>
            </w:r>
            <w:r w:rsidR="00BB0238">
              <w:rPr>
                <w:lang w:val="es-ES"/>
              </w:rPr>
              <w:t xml:space="preserve"> a la Secretaría que presente, antes del 31 de julio de 2026, un informe en el que se detallen las medidas contra el comportamiento indebido y de responsabilidad adoptadas por la Secretaría. </w:t>
            </w:r>
          </w:p>
        </w:tc>
      </w:tr>
    </w:tbl>
    <w:p w14:paraId="23ACF367" w14:textId="34EE653A" w:rsidR="00F70066" w:rsidRPr="001D759A" w:rsidRDefault="00F70066" w:rsidP="000A35F0">
      <w:pPr>
        <w:pStyle w:val="Heading1"/>
        <w:rPr>
          <w:lang w:val="es-ES"/>
        </w:rPr>
      </w:pPr>
      <w:r w:rsidRPr="001D759A">
        <w:rPr>
          <w:lang w:val="es-ES"/>
        </w:rPr>
        <w:lastRenderedPageBreak/>
        <w:t>3</w:t>
      </w:r>
      <w:r w:rsidR="000F16D5">
        <w:rPr>
          <w:lang w:val="es-ES"/>
        </w:rPr>
        <w:t>8</w:t>
      </w:r>
      <w:r w:rsidRPr="001D759A">
        <w:rPr>
          <w:lang w:val="es-ES"/>
        </w:rPr>
        <w:tab/>
        <w:t xml:space="preserve">Modificación de las condiciones de servicio en el </w:t>
      </w:r>
      <w:r w:rsidR="00715FA2" w:rsidRPr="001D759A">
        <w:rPr>
          <w:lang w:val="es-ES"/>
        </w:rPr>
        <w:t>régimen</w:t>
      </w:r>
      <w:r w:rsidRPr="001D759A">
        <w:rPr>
          <w:lang w:val="es-ES"/>
        </w:rPr>
        <w:t xml:space="preserve"> común de las </w:t>
      </w:r>
      <w:r w:rsidR="000E31A1">
        <w:rPr>
          <w:lang w:val="es-ES"/>
        </w:rPr>
        <w:t>Naciones Unidas</w:t>
      </w:r>
      <w:r w:rsidRPr="001D759A">
        <w:rPr>
          <w:lang w:val="es-ES"/>
        </w:rPr>
        <w:t xml:space="preserve"> (Documento </w:t>
      </w:r>
      <w:hyperlink r:id="rId154" w:history="1">
        <w:r w:rsidRPr="001D759A">
          <w:rPr>
            <w:rStyle w:val="Hyperlink"/>
            <w:rFonts w:eastAsia="Times New Roman" w:cs="Times New Roman"/>
            <w:szCs w:val="20"/>
            <w:lang w:val="es-ES"/>
          </w:rPr>
          <w:t>C26/23</w:t>
        </w:r>
      </w:hyperlink>
      <w:r w:rsidRPr="001D759A">
        <w:rPr>
          <w:lang w:val="es-ES"/>
        </w:rPr>
        <w:t>)</w:t>
      </w:r>
    </w:p>
    <w:p w14:paraId="46B21500" w14:textId="0EA1F24E" w:rsidR="00A43A8D" w:rsidRPr="0082151B" w:rsidRDefault="00A43A8D" w:rsidP="000A35F0">
      <w:pPr>
        <w:keepNext/>
        <w:keepLines/>
        <w:rPr>
          <w:lang w:val="es-ES"/>
        </w:rPr>
      </w:pPr>
      <w:r>
        <w:rPr>
          <w:lang w:val="es-ES"/>
        </w:rPr>
        <w:t>38.1</w:t>
      </w:r>
      <w:r>
        <w:rPr>
          <w:lang w:val="es-ES"/>
        </w:rPr>
        <w:tab/>
        <w:t xml:space="preserve">La Jefa del HRMD presentó el Documento C26/23, que contenía un informe sobre los cambios recientes en las condiciones de servicio de conformidad con la Resolución 80/236 de la AGNU, de </w:t>
      </w:r>
      <w:r w:rsidR="00991944">
        <w:rPr>
          <w:lang w:val="es-ES"/>
        </w:rPr>
        <w:t xml:space="preserve">30 </w:t>
      </w:r>
      <w:r>
        <w:rPr>
          <w:lang w:val="es-ES"/>
        </w:rPr>
        <w:t xml:space="preserve">de diciembre de 2025, sobre el régimen común de las </w:t>
      </w:r>
      <w:r w:rsidR="000E31A1">
        <w:rPr>
          <w:lang w:val="es-ES"/>
        </w:rPr>
        <w:t>Naciones Unidas</w:t>
      </w:r>
      <w:r>
        <w:rPr>
          <w:lang w:val="es-ES"/>
        </w:rPr>
        <w:t>, adoptada sobre la base de las recomendaciones formuladas por la Comisión de Administración Pública Internacional.</w:t>
      </w:r>
    </w:p>
    <w:p w14:paraId="38DC840E" w14:textId="2B548434" w:rsidR="00A43A8D" w:rsidRPr="0082151B" w:rsidRDefault="00A43A8D" w:rsidP="00A43A8D">
      <w:pPr>
        <w:rPr>
          <w:lang w:val="es-ES"/>
        </w:rPr>
      </w:pPr>
      <w:r>
        <w:rPr>
          <w:lang w:val="es-ES"/>
        </w:rPr>
        <w:t>38.2</w:t>
      </w:r>
      <w:r>
        <w:rPr>
          <w:lang w:val="es-ES"/>
        </w:rPr>
        <w:tab/>
        <w:t xml:space="preserve">El Jefe del FRMD, en respuesta a las preguntas de un consejero y de un observador sobre las consecuencias financieras de la modificación, explicó que, en la medida de lo posible, esta se sufragaría con cargo al presupuesto ordinario. Recordó que, en caso necesario, el Consejo había autorizado al Secretario General, en su Resolución 1435 (C25), relativa al presupuesto bienal de </w:t>
      </w:r>
      <w:r w:rsidR="005457EE">
        <w:rPr>
          <w:lang w:val="es-ES"/>
        </w:rPr>
        <w:t>la Unión</w:t>
      </w:r>
      <w:r>
        <w:rPr>
          <w:lang w:val="es-ES"/>
        </w:rPr>
        <w:t xml:space="preserve"> para 2026-2027, a ajustar las consignaciones en relación con los gastos relacionados con los cambios de las condiciones de servicio en el régimen común de las </w:t>
      </w:r>
      <w:r w:rsidR="000E31A1">
        <w:rPr>
          <w:lang w:val="es-ES"/>
        </w:rPr>
        <w:t>Naciones Unidas</w:t>
      </w:r>
      <w:r>
        <w:rPr>
          <w:lang w:val="es-ES"/>
        </w:rPr>
        <w:t xml:space="preserve"> mediante la utilización de la Cuenta de Provisión.</w:t>
      </w:r>
    </w:p>
    <w:p w14:paraId="7EC2EBDE" w14:textId="667A2A81" w:rsidR="00A43A8D" w:rsidRPr="0082151B" w:rsidRDefault="00A43A8D" w:rsidP="0055515A">
      <w:pPr>
        <w:rPr>
          <w:lang w:val="es-ES"/>
        </w:rPr>
      </w:pPr>
      <w:r>
        <w:rPr>
          <w:lang w:val="es-ES"/>
        </w:rPr>
        <w:t>38.3</w:t>
      </w:r>
      <w:r>
        <w:rPr>
          <w:lang w:val="es-ES"/>
        </w:rPr>
        <w:tab/>
        <w:t xml:space="preserve">Varios consejeros y un observador destacaron la importancia de mantener la armonización con el régimen común de las </w:t>
      </w:r>
      <w:r w:rsidR="000E31A1">
        <w:rPr>
          <w:lang w:val="es-ES"/>
        </w:rPr>
        <w:t>Naciones Unidas</w:t>
      </w:r>
      <w:r>
        <w:rPr>
          <w:lang w:val="es-ES"/>
        </w:rPr>
        <w:t xml:space="preserve"> y de adherirse a las Resoluciones de la AGNU.</w:t>
      </w:r>
    </w:p>
    <w:p w14:paraId="24261F84" w14:textId="2A52A892" w:rsidR="00F70066" w:rsidRPr="001D759A" w:rsidRDefault="00F70066" w:rsidP="00950DAB">
      <w:pPr>
        <w:keepNext/>
        <w:keepLines/>
        <w:spacing w:after="120"/>
        <w:rPr>
          <w:lang w:val="es-ES"/>
        </w:rPr>
      </w:pPr>
      <w:r w:rsidRPr="001D759A">
        <w:rPr>
          <w:lang w:val="es-ES"/>
        </w:rPr>
        <w:t>3</w:t>
      </w:r>
      <w:r w:rsidR="00A43A8D">
        <w:rPr>
          <w:lang w:val="es-ES"/>
        </w:rPr>
        <w:t>8</w:t>
      </w:r>
      <w:r w:rsidRPr="001D759A">
        <w:rPr>
          <w:lang w:val="es-ES"/>
        </w:rPr>
        <w:t>.</w:t>
      </w:r>
      <w:r w:rsidR="00A43A8D">
        <w:rPr>
          <w:lang w:val="es-ES"/>
        </w:rPr>
        <w:t>4</w:t>
      </w:r>
      <w:r w:rsidRPr="001D759A">
        <w:rPr>
          <w:lang w:val="es-ES"/>
        </w:rPr>
        <w:tab/>
        <w:t xml:space="preserve">La Comisión </w:t>
      </w:r>
      <w:r w:rsidRPr="001D759A">
        <w:rPr>
          <w:b/>
          <w:bCs/>
          <w:lang w:val="es-ES"/>
        </w:rPr>
        <w:t>acordó</w:t>
      </w:r>
      <w:r w:rsidRPr="001D759A">
        <w:rPr>
          <w:lang w:val="es-ES"/>
        </w:rPr>
        <w:t xml:space="preserve"> llegar a la siguiente conclusión:</w:t>
      </w:r>
    </w:p>
    <w:tbl>
      <w:tblPr>
        <w:tblStyle w:val="TableGrid"/>
        <w:tblW w:w="5000" w:type="pct"/>
        <w:tblInd w:w="-147" w:type="dxa"/>
        <w:tblLook w:val="04A0" w:firstRow="1" w:lastRow="0" w:firstColumn="1" w:lastColumn="0" w:noHBand="0" w:noVBand="1"/>
      </w:tblPr>
      <w:tblGrid>
        <w:gridCol w:w="9061"/>
      </w:tblGrid>
      <w:tr w:rsidR="00F70066" w:rsidRPr="0057685D" w14:paraId="79A3B4E4" w14:textId="77777777" w:rsidTr="00950DAB">
        <w:tc>
          <w:tcPr>
            <w:tcW w:w="9208" w:type="dxa"/>
            <w:hideMark/>
          </w:tcPr>
          <w:p w14:paraId="6593D08F" w14:textId="63D9D1D7" w:rsidR="00F70066" w:rsidRPr="001D759A" w:rsidRDefault="00F70066" w:rsidP="00950DAB">
            <w:pPr>
              <w:keepNext/>
              <w:keepLines/>
              <w:tabs>
                <w:tab w:val="clear" w:pos="567"/>
                <w:tab w:val="left" w:pos="605"/>
              </w:tabs>
              <w:spacing w:after="80"/>
              <w:ind w:left="40"/>
              <w:rPr>
                <w:lang w:val="es-ES"/>
              </w:rPr>
            </w:pPr>
            <w:r w:rsidRPr="001D759A">
              <w:rPr>
                <w:rFonts w:eastAsia="Calibri" w:cs="Calibri"/>
                <w:lang w:val="es-ES"/>
              </w:rPr>
              <w:t>3</w:t>
            </w:r>
            <w:r w:rsidR="00A43A8D">
              <w:rPr>
                <w:rFonts w:eastAsia="Calibri" w:cs="Calibri"/>
                <w:lang w:val="es-ES"/>
              </w:rPr>
              <w:t>8</w:t>
            </w:r>
            <w:r w:rsidRPr="001D759A">
              <w:rPr>
                <w:rFonts w:eastAsia="Calibri" w:cs="Calibri"/>
                <w:szCs w:val="24"/>
                <w:lang w:val="es-ES"/>
              </w:rPr>
              <w:t>.</w:t>
            </w:r>
            <w:r w:rsidR="00A43A8D">
              <w:rPr>
                <w:rFonts w:eastAsia="Calibri" w:cs="Calibri"/>
                <w:szCs w:val="24"/>
                <w:lang w:val="es-ES"/>
              </w:rPr>
              <w:t>5</w:t>
            </w:r>
            <w:r w:rsidRPr="001D759A">
              <w:rPr>
                <w:lang w:val="es-ES"/>
              </w:rPr>
              <w:tab/>
              <w:t>La Comisión recomienda al Consejo que:</w:t>
            </w:r>
          </w:p>
          <w:p w14:paraId="72B4F455" w14:textId="3B822514" w:rsidR="00F70066" w:rsidRPr="001D759A" w:rsidRDefault="00F70066" w:rsidP="0055515A">
            <w:pPr>
              <w:pStyle w:val="enumlev1"/>
              <w:tabs>
                <w:tab w:val="clear" w:pos="567"/>
              </w:tabs>
              <w:ind w:left="605"/>
              <w:rPr>
                <w:lang w:val="es-ES"/>
              </w:rPr>
            </w:pPr>
            <w:r w:rsidRPr="001D759A">
              <w:rPr>
                <w:lang w:val="es-ES"/>
              </w:rPr>
              <w:t>•</w:t>
            </w:r>
            <w:r w:rsidRPr="001D759A">
              <w:rPr>
                <w:lang w:val="es-ES"/>
              </w:rPr>
              <w:tab/>
            </w:r>
            <w:r w:rsidR="00A43A8D">
              <w:rPr>
                <w:lang w:val="es-ES"/>
              </w:rPr>
              <w:t xml:space="preserve">tome nota de la aplicación por la Secretaria General de las Resoluciones de la Asamblea General de las </w:t>
            </w:r>
            <w:r w:rsidR="000E31A1">
              <w:rPr>
                <w:lang w:val="es-ES"/>
              </w:rPr>
              <w:t>Naciones Unidas</w:t>
            </w:r>
            <w:r w:rsidR="00A43A8D">
              <w:rPr>
                <w:lang w:val="es-ES"/>
              </w:rPr>
              <w:t xml:space="preserve"> relativas a la modificación de las condiciones de servicio del personal de nombramiento, de conformidad con el Estatuto y el Reglamento del Personal de </w:t>
            </w:r>
            <w:r w:rsidR="00103D78">
              <w:rPr>
                <w:lang w:val="es-ES"/>
              </w:rPr>
              <w:t>la UIT</w:t>
            </w:r>
            <w:r w:rsidR="00A43A8D">
              <w:rPr>
                <w:lang w:val="es-ES"/>
              </w:rPr>
              <w:t>, los procedimientos establecidos de la Comisión de Administración Pública Internacional y la Resolución 647 del Consejo (C-1969, modificada por última vez C03)</w:t>
            </w:r>
            <w:r w:rsidRPr="001D759A">
              <w:rPr>
                <w:lang w:val="es-ES"/>
              </w:rPr>
              <w:t>; y</w:t>
            </w:r>
          </w:p>
          <w:p w14:paraId="230E60C9" w14:textId="7F06E6C5" w:rsidR="00F70066" w:rsidRPr="001D759A" w:rsidRDefault="00F70066" w:rsidP="0055515A">
            <w:pPr>
              <w:pStyle w:val="enumlev1"/>
              <w:tabs>
                <w:tab w:val="clear" w:pos="567"/>
              </w:tabs>
              <w:spacing w:after="120"/>
              <w:ind w:left="605"/>
              <w:rPr>
                <w:lang w:val="es-ES"/>
              </w:rPr>
            </w:pPr>
            <w:r w:rsidRPr="001D759A">
              <w:rPr>
                <w:lang w:val="es-ES"/>
              </w:rPr>
              <w:t>•</w:t>
            </w:r>
            <w:r w:rsidRPr="001D759A">
              <w:rPr>
                <w:lang w:val="es-ES"/>
              </w:rPr>
              <w:tab/>
            </w:r>
            <w:r w:rsidR="00A43A8D">
              <w:rPr>
                <w:lang w:val="es-ES"/>
              </w:rPr>
              <w:t xml:space="preserve">apruebe la escala de sueldos y la escala de remuneración pensionable aplicables a los funcionarios de elección, presentadas en el proyecto de Resolución contenido en </w:t>
            </w:r>
            <w:r w:rsidR="00A43A8D" w:rsidRPr="008142E1">
              <w:rPr>
                <w:lang w:val="es-ES"/>
              </w:rPr>
              <w:t xml:space="preserve">el </w:t>
            </w:r>
            <w:hyperlink w:anchor="ANEXO_E" w:history="1">
              <w:r w:rsidR="00A43A8D" w:rsidRPr="008142E1">
                <w:rPr>
                  <w:rStyle w:val="Hyperlink"/>
                  <w:b/>
                  <w:bCs/>
                  <w:lang w:val="es-ES"/>
                </w:rPr>
                <w:t xml:space="preserve">Anexo </w:t>
              </w:r>
              <w:r w:rsidR="0045217F" w:rsidRPr="008142E1">
                <w:rPr>
                  <w:rStyle w:val="Hyperlink"/>
                  <w:b/>
                  <w:bCs/>
                  <w:lang w:val="es-ES"/>
                </w:rPr>
                <w:t>E</w:t>
              </w:r>
            </w:hyperlink>
            <w:r w:rsidR="00A43A8D">
              <w:rPr>
                <w:lang w:val="es-ES"/>
              </w:rPr>
              <w:t xml:space="preserve"> al presente Informe</w:t>
            </w:r>
            <w:r w:rsidRPr="001D759A">
              <w:rPr>
                <w:rFonts w:cs="Calibri"/>
                <w:szCs w:val="24"/>
                <w:lang w:val="es-ES"/>
              </w:rPr>
              <w:t>.</w:t>
            </w:r>
          </w:p>
        </w:tc>
      </w:tr>
    </w:tbl>
    <w:p w14:paraId="185F7FAC" w14:textId="3B12BAC7" w:rsidR="00F70066" w:rsidRPr="001D759A" w:rsidRDefault="00F70066" w:rsidP="00F70066">
      <w:pPr>
        <w:pStyle w:val="Heading1"/>
        <w:rPr>
          <w:lang w:val="es-ES"/>
        </w:rPr>
      </w:pPr>
      <w:r w:rsidRPr="001D759A">
        <w:rPr>
          <w:lang w:val="es-ES"/>
        </w:rPr>
        <w:t>3</w:t>
      </w:r>
      <w:r w:rsidR="009B346F">
        <w:rPr>
          <w:lang w:val="es-ES"/>
        </w:rPr>
        <w:t>9</w:t>
      </w:r>
      <w:r w:rsidRPr="001D759A">
        <w:rPr>
          <w:lang w:val="es-ES"/>
        </w:rPr>
        <w:tab/>
        <w:t xml:space="preserve">Plan Estratégico de Recursos Humanos de </w:t>
      </w:r>
      <w:r w:rsidR="00103D78">
        <w:rPr>
          <w:lang w:val="es-ES"/>
        </w:rPr>
        <w:t>la UIT</w:t>
      </w:r>
      <w:r w:rsidRPr="001D759A">
        <w:rPr>
          <w:lang w:val="es-ES"/>
        </w:rPr>
        <w:t xml:space="preserve"> para 2026-2027 (Documento </w:t>
      </w:r>
      <w:hyperlink r:id="rId155" w:history="1">
        <w:r w:rsidRPr="001D759A">
          <w:rPr>
            <w:rStyle w:val="Hyperlink"/>
            <w:rFonts w:eastAsia="Times New Roman" w:cs="Times New Roman"/>
            <w:szCs w:val="20"/>
            <w:lang w:val="es-ES"/>
          </w:rPr>
          <w:t>C26/67</w:t>
        </w:r>
      </w:hyperlink>
      <w:r w:rsidRPr="001D759A">
        <w:rPr>
          <w:lang w:val="es-ES"/>
        </w:rPr>
        <w:t>)</w:t>
      </w:r>
    </w:p>
    <w:p w14:paraId="23E5ADAB" w14:textId="2FB4B1E4" w:rsidR="002228AC" w:rsidRPr="003D52A6" w:rsidRDefault="002228AC" w:rsidP="002228AC">
      <w:pPr>
        <w:rPr>
          <w:lang w:val="es-ES"/>
        </w:rPr>
      </w:pPr>
      <w:r>
        <w:rPr>
          <w:lang w:val="es-ES"/>
        </w:rPr>
        <w:t>39.1</w:t>
      </w:r>
      <w:r>
        <w:rPr>
          <w:lang w:val="es-ES"/>
        </w:rPr>
        <w:tab/>
      </w:r>
      <w:r w:rsidRPr="003D52A6">
        <w:rPr>
          <w:lang w:val="es-ES"/>
        </w:rPr>
        <w:t xml:space="preserve">La Jefa de HRMD presentó el </w:t>
      </w:r>
      <w:r w:rsidR="00EB2C6A">
        <w:rPr>
          <w:lang w:val="es-ES"/>
        </w:rPr>
        <w:t>D</w:t>
      </w:r>
      <w:r w:rsidRPr="003D52A6">
        <w:rPr>
          <w:lang w:val="es-ES"/>
        </w:rPr>
        <w:t xml:space="preserve">ocumento C26/67, que </w:t>
      </w:r>
      <w:r>
        <w:rPr>
          <w:lang w:val="es-ES"/>
        </w:rPr>
        <w:t>contiene</w:t>
      </w:r>
      <w:r w:rsidRPr="003D52A6">
        <w:rPr>
          <w:lang w:val="es-ES"/>
        </w:rPr>
        <w:t xml:space="preserve"> el Plan Estratégico de Recursos Humanos (HRSP) de </w:t>
      </w:r>
      <w:r w:rsidR="00103D78">
        <w:rPr>
          <w:lang w:val="es-ES"/>
        </w:rPr>
        <w:t>la UIT</w:t>
      </w:r>
      <w:r w:rsidRPr="003D52A6">
        <w:rPr>
          <w:lang w:val="es-ES"/>
        </w:rPr>
        <w:t xml:space="preserve"> para el período 2026-2027, en consonancia con el Plan Estratégico de </w:t>
      </w:r>
      <w:r w:rsidR="00103D78">
        <w:rPr>
          <w:lang w:val="es-ES"/>
        </w:rPr>
        <w:t>la UIT</w:t>
      </w:r>
      <w:r w:rsidRPr="003D52A6">
        <w:rPr>
          <w:lang w:val="es-ES"/>
        </w:rPr>
        <w:t xml:space="preserve"> </w:t>
      </w:r>
      <w:r>
        <w:rPr>
          <w:lang w:val="es-ES"/>
        </w:rPr>
        <w:t xml:space="preserve">para </w:t>
      </w:r>
      <w:r w:rsidRPr="003D52A6">
        <w:rPr>
          <w:lang w:val="es-ES"/>
        </w:rPr>
        <w:t xml:space="preserve">2024-2027 y la Resolución 48 (Rev. Bucarest, 2022) de la Conferencia de Plenipotenciarios. </w:t>
      </w:r>
      <w:r>
        <w:rPr>
          <w:lang w:val="es-ES"/>
        </w:rPr>
        <w:t xml:space="preserve">Dicho Plan </w:t>
      </w:r>
      <w:r w:rsidRPr="003D52A6">
        <w:rPr>
          <w:lang w:val="es-ES"/>
        </w:rPr>
        <w:t xml:space="preserve">se estructuró </w:t>
      </w:r>
      <w:r>
        <w:rPr>
          <w:lang w:val="es-ES"/>
        </w:rPr>
        <w:t>con arreglo a</w:t>
      </w:r>
      <w:r w:rsidRPr="003D52A6">
        <w:rPr>
          <w:lang w:val="es-ES"/>
        </w:rPr>
        <w:t xml:space="preserve"> cinco pilares que se </w:t>
      </w:r>
      <w:r>
        <w:rPr>
          <w:lang w:val="es-ES"/>
        </w:rPr>
        <w:t>fortalecen</w:t>
      </w:r>
      <w:r w:rsidRPr="003D52A6">
        <w:rPr>
          <w:lang w:val="es-ES"/>
        </w:rPr>
        <w:t xml:space="preserve"> mutuamente, cada uno de los cuales </w:t>
      </w:r>
      <w:r>
        <w:rPr>
          <w:lang w:val="es-ES"/>
        </w:rPr>
        <w:t>abarca varias</w:t>
      </w:r>
      <w:r w:rsidRPr="003D52A6">
        <w:rPr>
          <w:lang w:val="es-ES"/>
        </w:rPr>
        <w:t xml:space="preserve"> iniciativas para el bienio 2026</w:t>
      </w:r>
      <w:r w:rsidR="00955BE1">
        <w:rPr>
          <w:lang w:val="es-ES"/>
        </w:rPr>
        <w:noBreakHyphen/>
      </w:r>
      <w:r w:rsidRPr="003D52A6">
        <w:rPr>
          <w:lang w:val="es-ES"/>
        </w:rPr>
        <w:t xml:space="preserve">2027. </w:t>
      </w:r>
      <w:r>
        <w:rPr>
          <w:lang w:val="es-ES"/>
        </w:rPr>
        <w:t>S</w:t>
      </w:r>
      <w:r w:rsidRPr="003D52A6">
        <w:rPr>
          <w:lang w:val="es-ES"/>
        </w:rPr>
        <w:t xml:space="preserve">e </w:t>
      </w:r>
      <w:r>
        <w:rPr>
          <w:lang w:val="es-ES"/>
        </w:rPr>
        <w:t xml:space="preserve">prevé llevar a cabo su ejecución en el marco </w:t>
      </w:r>
      <w:r w:rsidRPr="003D52A6">
        <w:rPr>
          <w:lang w:val="es-ES"/>
        </w:rPr>
        <w:t xml:space="preserve">del plan de trabajo anual </w:t>
      </w:r>
      <w:r>
        <w:rPr>
          <w:lang w:val="es-ES"/>
        </w:rPr>
        <w:t>de</w:t>
      </w:r>
      <w:r w:rsidRPr="003D52A6">
        <w:rPr>
          <w:lang w:val="es-ES"/>
        </w:rPr>
        <w:t xml:space="preserve"> HRMD, </w:t>
      </w:r>
      <w:r>
        <w:rPr>
          <w:lang w:val="es-ES"/>
        </w:rPr>
        <w:t>sobre la base de</w:t>
      </w:r>
      <w:r w:rsidRPr="003D52A6">
        <w:rPr>
          <w:lang w:val="es-ES"/>
        </w:rPr>
        <w:t xml:space="preserve"> una hoja de ruta de implementación en la que se establecen</w:t>
      </w:r>
      <w:r>
        <w:rPr>
          <w:lang w:val="es-ES"/>
        </w:rPr>
        <w:t xml:space="preserve"> varios</w:t>
      </w:r>
      <w:r w:rsidRPr="003D52A6">
        <w:rPr>
          <w:lang w:val="es-ES"/>
        </w:rPr>
        <w:t xml:space="preserve"> indicadores y plazos. Se </w:t>
      </w:r>
      <w:r>
        <w:rPr>
          <w:lang w:val="es-ES"/>
        </w:rPr>
        <w:t>informará de</w:t>
      </w:r>
      <w:r w:rsidRPr="003D52A6">
        <w:rPr>
          <w:lang w:val="es-ES"/>
        </w:rPr>
        <w:t xml:space="preserve"> los avances </w:t>
      </w:r>
      <w:r>
        <w:rPr>
          <w:lang w:val="es-ES"/>
        </w:rPr>
        <w:t xml:space="preserve">registrados </w:t>
      </w:r>
      <w:r w:rsidRPr="003D52A6">
        <w:rPr>
          <w:lang w:val="es-ES"/>
        </w:rPr>
        <w:t xml:space="preserve">a través de los canales de gobernanza establecidos, y los resultados y datos recopilados </w:t>
      </w:r>
      <w:r>
        <w:rPr>
          <w:lang w:val="es-ES"/>
        </w:rPr>
        <w:t>servirán</w:t>
      </w:r>
      <w:r w:rsidRPr="003D52A6">
        <w:rPr>
          <w:lang w:val="es-ES"/>
        </w:rPr>
        <w:t xml:space="preserve"> de referencia para orientar el ciclo del plan estratégico </w:t>
      </w:r>
      <w:r>
        <w:rPr>
          <w:lang w:val="es-ES"/>
        </w:rPr>
        <w:t>ulterior</w:t>
      </w:r>
      <w:r w:rsidRPr="003D52A6">
        <w:rPr>
          <w:lang w:val="es-ES"/>
        </w:rPr>
        <w:t xml:space="preserve"> y la elaboración de indicadores y objetivos actualizados.</w:t>
      </w:r>
    </w:p>
    <w:p w14:paraId="3D44360A" w14:textId="3D75FCD6" w:rsidR="002228AC" w:rsidRPr="003D52A6" w:rsidRDefault="002228AC" w:rsidP="002228AC">
      <w:pPr>
        <w:rPr>
          <w:lang w:val="es-ES"/>
        </w:rPr>
      </w:pPr>
      <w:r>
        <w:rPr>
          <w:lang w:val="es-ES"/>
        </w:rPr>
        <w:lastRenderedPageBreak/>
        <w:t>39.2</w:t>
      </w:r>
      <w:r>
        <w:rPr>
          <w:lang w:val="es-ES"/>
        </w:rPr>
        <w:tab/>
        <w:t>Varias</w:t>
      </w:r>
      <w:r w:rsidRPr="003D52A6">
        <w:rPr>
          <w:lang w:val="es-ES"/>
        </w:rPr>
        <w:t xml:space="preserve"> consejer</w:t>
      </w:r>
      <w:r>
        <w:rPr>
          <w:lang w:val="es-ES"/>
        </w:rPr>
        <w:t>a</w:t>
      </w:r>
      <w:r w:rsidRPr="003D52A6">
        <w:rPr>
          <w:lang w:val="es-ES"/>
        </w:rPr>
        <w:t xml:space="preserve">s y un observador elogiaron el HRSP, </w:t>
      </w:r>
      <w:r>
        <w:rPr>
          <w:lang w:val="es-ES"/>
        </w:rPr>
        <w:t>cuyo hincapié en el</w:t>
      </w:r>
      <w:r w:rsidRPr="003D52A6">
        <w:rPr>
          <w:lang w:val="es-ES"/>
        </w:rPr>
        <w:t xml:space="preserve"> bienestar del personal, la inclusión y el compromiso de los empleados</w:t>
      </w:r>
      <w:r>
        <w:rPr>
          <w:lang w:val="es-ES"/>
        </w:rPr>
        <w:t xml:space="preserve"> se acogió con satisfacción</w:t>
      </w:r>
      <w:r w:rsidRPr="003D52A6">
        <w:rPr>
          <w:lang w:val="es-ES"/>
        </w:rPr>
        <w:t xml:space="preserve">. Se reconoció que la eficacia institucional y la resiliencia </w:t>
      </w:r>
      <w:r>
        <w:rPr>
          <w:lang w:val="es-ES"/>
        </w:rPr>
        <w:t>orgánica</w:t>
      </w:r>
      <w:r w:rsidRPr="003D52A6">
        <w:rPr>
          <w:lang w:val="es-ES"/>
        </w:rPr>
        <w:t xml:space="preserve"> </w:t>
      </w:r>
      <w:r>
        <w:rPr>
          <w:lang w:val="es-ES"/>
        </w:rPr>
        <w:t>guardan una estrecha relación con</w:t>
      </w:r>
      <w:r w:rsidRPr="003D52A6">
        <w:rPr>
          <w:lang w:val="es-ES"/>
        </w:rPr>
        <w:t xml:space="preserve"> la capacidad de </w:t>
      </w:r>
      <w:r w:rsidR="00103D78">
        <w:rPr>
          <w:lang w:val="es-ES"/>
        </w:rPr>
        <w:t>la UIT</w:t>
      </w:r>
      <w:r w:rsidRPr="003D52A6">
        <w:rPr>
          <w:lang w:val="es-ES"/>
        </w:rPr>
        <w:t xml:space="preserve"> para atraer, desarrollar y </w:t>
      </w:r>
      <w:r>
        <w:rPr>
          <w:lang w:val="es-ES"/>
        </w:rPr>
        <w:t>mantener</w:t>
      </w:r>
      <w:r w:rsidRPr="003D52A6">
        <w:rPr>
          <w:lang w:val="es-ES"/>
        </w:rPr>
        <w:t xml:space="preserve"> personal calificado en </w:t>
      </w:r>
      <w:r>
        <w:rPr>
          <w:lang w:val="es-ES"/>
        </w:rPr>
        <w:t xml:space="preserve">el marco de </w:t>
      </w:r>
      <w:r w:rsidRPr="003D52A6">
        <w:rPr>
          <w:lang w:val="es-ES"/>
        </w:rPr>
        <w:t xml:space="preserve">un entorno digital en constante evolución. Se destacó el énfasis en el liderazgo y la gestión </w:t>
      </w:r>
      <w:r>
        <w:rPr>
          <w:lang w:val="es-ES"/>
        </w:rPr>
        <w:t>de personal</w:t>
      </w:r>
      <w:r w:rsidRPr="003D52A6">
        <w:rPr>
          <w:lang w:val="es-ES"/>
        </w:rPr>
        <w:t xml:space="preserve"> como motores clave del futuro de </w:t>
      </w:r>
      <w:r w:rsidR="00103D78">
        <w:rPr>
          <w:lang w:val="es-ES"/>
        </w:rPr>
        <w:t>la UIT</w:t>
      </w:r>
      <w:r w:rsidRPr="003D52A6">
        <w:rPr>
          <w:lang w:val="es-ES"/>
        </w:rPr>
        <w:t xml:space="preserve">, y se subrayó la importancia de garantizar </w:t>
      </w:r>
      <w:r w:rsidR="00991944">
        <w:rPr>
          <w:lang w:val="es-ES"/>
        </w:rPr>
        <w:t>l</w:t>
      </w:r>
      <w:r w:rsidRPr="003D52A6">
        <w:rPr>
          <w:lang w:val="es-ES"/>
        </w:rPr>
        <w:t xml:space="preserve">a representación geográfica en las prácticas de contratación, en particular </w:t>
      </w:r>
      <w:r>
        <w:rPr>
          <w:lang w:val="es-ES"/>
        </w:rPr>
        <w:t>respecto de</w:t>
      </w:r>
      <w:r w:rsidRPr="003D52A6">
        <w:rPr>
          <w:lang w:val="es-ES"/>
        </w:rPr>
        <w:t xml:space="preserve"> los países en desarrollo.</w:t>
      </w:r>
    </w:p>
    <w:p w14:paraId="7CDA01F5" w14:textId="26B1B335" w:rsidR="002228AC" w:rsidRPr="003D52A6" w:rsidRDefault="002228AC" w:rsidP="002228AC">
      <w:pPr>
        <w:rPr>
          <w:lang w:val="es-ES"/>
        </w:rPr>
      </w:pPr>
      <w:r>
        <w:rPr>
          <w:lang w:val="es-ES"/>
        </w:rPr>
        <w:t>39.3</w:t>
      </w:r>
      <w:r>
        <w:rPr>
          <w:lang w:val="es-ES"/>
        </w:rPr>
        <w:tab/>
      </w:r>
      <w:r w:rsidRPr="003D52A6">
        <w:rPr>
          <w:lang w:val="es-ES"/>
        </w:rPr>
        <w:t xml:space="preserve">Un miembro del Consejo, tras </w:t>
      </w:r>
      <w:r>
        <w:rPr>
          <w:lang w:val="es-ES"/>
        </w:rPr>
        <w:t>subrayar</w:t>
      </w:r>
      <w:r w:rsidRPr="003D52A6">
        <w:rPr>
          <w:lang w:val="es-ES"/>
        </w:rPr>
        <w:t xml:space="preserve"> la importancia de </w:t>
      </w:r>
      <w:r>
        <w:rPr>
          <w:lang w:val="es-ES"/>
        </w:rPr>
        <w:t>mantener un</w:t>
      </w:r>
      <w:r w:rsidRPr="003D52A6">
        <w:rPr>
          <w:lang w:val="es-ES"/>
        </w:rPr>
        <w:t xml:space="preserve"> alcance </w:t>
      </w:r>
      <w:r>
        <w:rPr>
          <w:lang w:val="es-ES"/>
        </w:rPr>
        <w:t xml:space="preserve">realista </w:t>
      </w:r>
      <w:r w:rsidRPr="003D52A6">
        <w:rPr>
          <w:lang w:val="es-ES"/>
        </w:rPr>
        <w:t>de las actividades</w:t>
      </w:r>
      <w:r>
        <w:rPr>
          <w:lang w:val="es-ES"/>
        </w:rPr>
        <w:t xml:space="preserve"> con arreglo a</w:t>
      </w:r>
      <w:r w:rsidRPr="003D52A6">
        <w:rPr>
          <w:lang w:val="es-ES"/>
        </w:rPr>
        <w:t xml:space="preserve"> los recursos existentes, señaló que la hoja de ruta de implementación se beneficiar</w:t>
      </w:r>
      <w:r w:rsidR="00EB2C6A">
        <w:rPr>
          <w:lang w:val="es-ES"/>
        </w:rPr>
        <w:t>ía</w:t>
      </w:r>
      <w:r w:rsidRPr="003D52A6">
        <w:rPr>
          <w:lang w:val="es-ES"/>
        </w:rPr>
        <w:t xml:space="preserve"> de la inclusión de datos de referencia más claros</w:t>
      </w:r>
      <w:r>
        <w:rPr>
          <w:lang w:val="es-ES"/>
        </w:rPr>
        <w:t>,</w:t>
      </w:r>
      <w:r w:rsidRPr="003D52A6">
        <w:rPr>
          <w:lang w:val="es-ES"/>
        </w:rPr>
        <w:t xml:space="preserve"> objetivos</w:t>
      </w:r>
      <w:r>
        <w:rPr>
          <w:lang w:val="es-ES"/>
        </w:rPr>
        <w:t xml:space="preserve"> y</w:t>
      </w:r>
      <w:r w:rsidRPr="003D52A6">
        <w:rPr>
          <w:lang w:val="es-ES"/>
        </w:rPr>
        <w:t xml:space="preserve"> cuantificables. Un observador</w:t>
      </w:r>
      <w:r>
        <w:rPr>
          <w:lang w:val="es-ES"/>
        </w:rPr>
        <w:t xml:space="preserve"> propuso</w:t>
      </w:r>
      <w:r w:rsidRPr="003D52A6">
        <w:rPr>
          <w:lang w:val="es-ES"/>
        </w:rPr>
        <w:t xml:space="preserve"> que, </w:t>
      </w:r>
      <w:r>
        <w:rPr>
          <w:lang w:val="es-ES"/>
        </w:rPr>
        <w:t>con objeto de mejor</w:t>
      </w:r>
      <w:r w:rsidRPr="003D52A6">
        <w:rPr>
          <w:lang w:val="es-ES"/>
        </w:rPr>
        <w:t xml:space="preserve">ar la implementación del HRSP, </w:t>
      </w:r>
      <w:r w:rsidR="00991944">
        <w:rPr>
          <w:lang w:val="es-ES"/>
        </w:rPr>
        <w:t>se examinen</w:t>
      </w:r>
      <w:r w:rsidRPr="003D52A6">
        <w:rPr>
          <w:lang w:val="es-ES"/>
        </w:rPr>
        <w:t xml:space="preserve"> los resultados del HRTP </w:t>
      </w:r>
      <w:r>
        <w:rPr>
          <w:lang w:val="es-ES"/>
        </w:rPr>
        <w:t>para</w:t>
      </w:r>
      <w:r w:rsidRPr="003D52A6">
        <w:rPr>
          <w:lang w:val="es-ES"/>
        </w:rPr>
        <w:t xml:space="preserve"> </w:t>
      </w:r>
      <w:r>
        <w:rPr>
          <w:lang w:val="es-ES"/>
        </w:rPr>
        <w:t>establecer conclusiones sobre el</w:t>
      </w:r>
      <w:r w:rsidRPr="003D52A6">
        <w:rPr>
          <w:lang w:val="es-ES"/>
        </w:rPr>
        <w:t xml:space="preserve"> futuro y </w:t>
      </w:r>
      <w:r w:rsidR="00991944">
        <w:rPr>
          <w:lang w:val="es-ES"/>
        </w:rPr>
        <w:t>facilitar</w:t>
      </w:r>
      <w:r w:rsidRPr="003D52A6">
        <w:rPr>
          <w:lang w:val="es-ES"/>
        </w:rPr>
        <w:t xml:space="preserve"> la aplicación de la gestión basada en resultados. </w:t>
      </w:r>
    </w:p>
    <w:p w14:paraId="528A1C86" w14:textId="77F4E36C" w:rsidR="002228AC" w:rsidRPr="003D52A6" w:rsidRDefault="002228AC" w:rsidP="002228AC">
      <w:pPr>
        <w:rPr>
          <w:lang w:val="es-ES"/>
        </w:rPr>
      </w:pPr>
      <w:r>
        <w:rPr>
          <w:lang w:val="es-ES"/>
        </w:rPr>
        <w:t>39.4</w:t>
      </w:r>
      <w:r>
        <w:rPr>
          <w:lang w:val="es-ES"/>
        </w:rPr>
        <w:tab/>
        <w:t xml:space="preserve">Otra </w:t>
      </w:r>
      <w:r w:rsidRPr="003D52A6">
        <w:rPr>
          <w:lang w:val="es-ES"/>
        </w:rPr>
        <w:t>consejera</w:t>
      </w:r>
      <w:r>
        <w:rPr>
          <w:lang w:val="es-ES"/>
        </w:rPr>
        <w:t xml:space="preserve"> </w:t>
      </w:r>
      <w:r w:rsidRPr="003D52A6">
        <w:rPr>
          <w:lang w:val="es-ES"/>
        </w:rPr>
        <w:t xml:space="preserve">señaló que la revisión periódica de los perfiles </w:t>
      </w:r>
      <w:r>
        <w:rPr>
          <w:lang w:val="es-ES"/>
        </w:rPr>
        <w:t>profesionales</w:t>
      </w:r>
      <w:r w:rsidRPr="003D52A6">
        <w:rPr>
          <w:lang w:val="es-ES"/>
        </w:rPr>
        <w:t xml:space="preserve"> y las actividades asignadas </w:t>
      </w:r>
      <w:r>
        <w:rPr>
          <w:lang w:val="es-ES"/>
        </w:rPr>
        <w:t>puede contribuir</w:t>
      </w:r>
      <w:r w:rsidRPr="003D52A6">
        <w:rPr>
          <w:lang w:val="es-ES"/>
        </w:rPr>
        <w:t xml:space="preserve"> a optimizar el </w:t>
      </w:r>
      <w:r>
        <w:rPr>
          <w:lang w:val="es-ES"/>
        </w:rPr>
        <w:t>aprovechamiento</w:t>
      </w:r>
      <w:r w:rsidRPr="003D52A6">
        <w:rPr>
          <w:lang w:val="es-ES"/>
        </w:rPr>
        <w:t xml:space="preserve"> de las capacidad</w:t>
      </w:r>
      <w:r>
        <w:rPr>
          <w:lang w:val="es-ES"/>
        </w:rPr>
        <w:t>es</w:t>
      </w:r>
      <w:r w:rsidRPr="003D52A6">
        <w:rPr>
          <w:lang w:val="es-ES"/>
        </w:rPr>
        <w:t xml:space="preserve"> existentes, </w:t>
      </w:r>
      <w:r>
        <w:rPr>
          <w:lang w:val="es-ES"/>
        </w:rPr>
        <w:t>al tiempo que facilita</w:t>
      </w:r>
      <w:r w:rsidRPr="003D52A6">
        <w:rPr>
          <w:lang w:val="es-ES"/>
        </w:rPr>
        <w:t xml:space="preserve"> </w:t>
      </w:r>
      <w:r>
        <w:rPr>
          <w:lang w:val="es-ES"/>
        </w:rPr>
        <w:t>a</w:t>
      </w:r>
      <w:r w:rsidRPr="003D52A6">
        <w:rPr>
          <w:lang w:val="es-ES"/>
        </w:rPr>
        <w:t xml:space="preserve">l personal actual </w:t>
      </w:r>
      <w:r>
        <w:rPr>
          <w:lang w:val="es-ES"/>
        </w:rPr>
        <w:t>la realización de</w:t>
      </w:r>
      <w:r w:rsidRPr="003D52A6">
        <w:rPr>
          <w:lang w:val="es-ES"/>
        </w:rPr>
        <w:t xml:space="preserve"> tareas incipientes siempre que </w:t>
      </w:r>
      <w:r>
        <w:rPr>
          <w:lang w:val="es-ES"/>
        </w:rPr>
        <w:t xml:space="preserve">ello </w:t>
      </w:r>
      <w:r w:rsidRPr="003D52A6">
        <w:rPr>
          <w:lang w:val="es-ES"/>
        </w:rPr>
        <w:t>sea posible</w:t>
      </w:r>
      <w:r>
        <w:rPr>
          <w:lang w:val="es-ES"/>
        </w:rPr>
        <w:t>, y se promueve</w:t>
      </w:r>
      <w:r w:rsidRPr="003D52A6">
        <w:rPr>
          <w:lang w:val="es-ES"/>
        </w:rPr>
        <w:t xml:space="preserve"> la eficiencia </w:t>
      </w:r>
      <w:r>
        <w:rPr>
          <w:lang w:val="es-ES"/>
        </w:rPr>
        <w:t>habida cuenta de</w:t>
      </w:r>
      <w:r w:rsidRPr="003D52A6">
        <w:rPr>
          <w:lang w:val="es-ES"/>
        </w:rPr>
        <w:t xml:space="preserve"> las limitaciones de recursos. La adopción de ese enfoque, al tiempo que </w:t>
      </w:r>
      <w:r>
        <w:rPr>
          <w:lang w:val="es-ES"/>
        </w:rPr>
        <w:t>permite mantener</w:t>
      </w:r>
      <w:r w:rsidRPr="003D52A6">
        <w:rPr>
          <w:lang w:val="es-ES"/>
        </w:rPr>
        <w:t xml:space="preserve"> la flexibilidad para recurrir a recursos externos cuando sea necesario, </w:t>
      </w:r>
      <w:r>
        <w:rPr>
          <w:lang w:val="es-ES"/>
        </w:rPr>
        <w:t>puede</w:t>
      </w:r>
      <w:r w:rsidRPr="003D52A6">
        <w:rPr>
          <w:lang w:val="es-ES"/>
        </w:rPr>
        <w:t xml:space="preserve"> contribuir a </w:t>
      </w:r>
      <w:r>
        <w:rPr>
          <w:lang w:val="es-ES"/>
        </w:rPr>
        <w:t>lograr una</w:t>
      </w:r>
      <w:r w:rsidRPr="003D52A6">
        <w:rPr>
          <w:lang w:val="es-ES"/>
        </w:rPr>
        <w:t xml:space="preserve"> mayor </w:t>
      </w:r>
      <w:r>
        <w:rPr>
          <w:lang w:val="es-ES"/>
        </w:rPr>
        <w:t>versatilidad</w:t>
      </w:r>
      <w:r w:rsidRPr="003D52A6">
        <w:rPr>
          <w:lang w:val="es-ES"/>
        </w:rPr>
        <w:t xml:space="preserve"> </w:t>
      </w:r>
      <w:r>
        <w:rPr>
          <w:lang w:val="es-ES"/>
        </w:rPr>
        <w:t>del personal</w:t>
      </w:r>
      <w:r w:rsidRPr="003D52A6">
        <w:rPr>
          <w:lang w:val="es-ES"/>
        </w:rPr>
        <w:t xml:space="preserve">, una mejor optimización de los recursos y una mayor eficacia </w:t>
      </w:r>
      <w:r>
        <w:rPr>
          <w:lang w:val="es-ES"/>
        </w:rPr>
        <w:t>orgánica</w:t>
      </w:r>
      <w:r w:rsidRPr="003D52A6">
        <w:rPr>
          <w:lang w:val="es-ES"/>
        </w:rPr>
        <w:t xml:space="preserve"> en general. Un observador</w:t>
      </w:r>
      <w:r>
        <w:rPr>
          <w:lang w:val="es-ES"/>
        </w:rPr>
        <w:t xml:space="preserve"> subrayó </w:t>
      </w:r>
      <w:r w:rsidRPr="003D52A6">
        <w:rPr>
          <w:lang w:val="es-ES"/>
        </w:rPr>
        <w:t xml:space="preserve">la importancia de garantizar que </w:t>
      </w:r>
      <w:r>
        <w:rPr>
          <w:lang w:val="es-ES"/>
        </w:rPr>
        <w:t>toda</w:t>
      </w:r>
      <w:r w:rsidRPr="003D52A6">
        <w:rPr>
          <w:lang w:val="es-ES"/>
        </w:rPr>
        <w:t xml:space="preserve"> posible </w:t>
      </w:r>
      <w:r>
        <w:rPr>
          <w:lang w:val="es-ES"/>
        </w:rPr>
        <w:t>utilización</w:t>
      </w:r>
      <w:r w:rsidRPr="003D52A6">
        <w:rPr>
          <w:lang w:val="es-ES"/>
        </w:rPr>
        <w:t xml:space="preserve"> de la IA en la labor de la </w:t>
      </w:r>
      <w:r w:rsidR="00C817F3">
        <w:rPr>
          <w:lang w:val="es-ES"/>
        </w:rPr>
        <w:t>S</w:t>
      </w:r>
      <w:r w:rsidRPr="003D52A6">
        <w:rPr>
          <w:lang w:val="es-ES"/>
        </w:rPr>
        <w:t>ecretaría fuera supervisad</w:t>
      </w:r>
      <w:r>
        <w:rPr>
          <w:lang w:val="es-ES"/>
        </w:rPr>
        <w:t>a</w:t>
      </w:r>
      <w:r w:rsidRPr="003D52A6">
        <w:rPr>
          <w:lang w:val="es-ES"/>
        </w:rPr>
        <w:t xml:space="preserve"> por miembros del personal.</w:t>
      </w:r>
    </w:p>
    <w:p w14:paraId="17751893" w14:textId="20417770" w:rsidR="002228AC" w:rsidRPr="003D52A6" w:rsidRDefault="002228AC" w:rsidP="002228AC">
      <w:pPr>
        <w:rPr>
          <w:lang w:val="es-ES"/>
        </w:rPr>
      </w:pPr>
      <w:r>
        <w:rPr>
          <w:lang w:val="es-ES"/>
        </w:rPr>
        <w:t>39.5</w:t>
      </w:r>
      <w:r>
        <w:rPr>
          <w:lang w:val="es-ES"/>
        </w:rPr>
        <w:tab/>
        <w:t>Habida cuenta de</w:t>
      </w:r>
      <w:r w:rsidRPr="003D52A6">
        <w:rPr>
          <w:lang w:val="es-ES"/>
        </w:rPr>
        <w:t xml:space="preserve"> la intención manifestada de establecer modalidades contractuales más flexibles, se </w:t>
      </w:r>
      <w:r>
        <w:rPr>
          <w:lang w:val="es-ES"/>
        </w:rPr>
        <w:t>alentó e</w:t>
      </w:r>
      <w:r w:rsidRPr="003D52A6">
        <w:rPr>
          <w:lang w:val="es-ES"/>
        </w:rPr>
        <w:t xml:space="preserve">l </w:t>
      </w:r>
      <w:r>
        <w:rPr>
          <w:lang w:val="es-ES"/>
        </w:rPr>
        <w:t>riguroso</w:t>
      </w:r>
      <w:r w:rsidRPr="003D52A6">
        <w:rPr>
          <w:lang w:val="es-ES"/>
        </w:rPr>
        <w:t xml:space="preserve"> cumplimiento </w:t>
      </w:r>
      <w:r>
        <w:rPr>
          <w:lang w:val="es-ES"/>
        </w:rPr>
        <w:t>del reglamento y de las normas</w:t>
      </w:r>
      <w:r w:rsidRPr="003D52A6">
        <w:rPr>
          <w:lang w:val="es-ES"/>
        </w:rPr>
        <w:t xml:space="preserve"> de la CAPI. Tras </w:t>
      </w:r>
      <w:r>
        <w:rPr>
          <w:lang w:val="es-ES"/>
        </w:rPr>
        <w:t>subrayar</w:t>
      </w:r>
      <w:r w:rsidRPr="003D52A6">
        <w:rPr>
          <w:lang w:val="es-ES"/>
        </w:rPr>
        <w:t xml:space="preserve"> la importancia de la contratación basada en el mérito, una consejera destacó que, en agosto de 2025, la Unidad de Supervisión </w:t>
      </w:r>
      <w:r>
        <w:rPr>
          <w:lang w:val="es-ES"/>
        </w:rPr>
        <w:t>manifestó</w:t>
      </w:r>
      <w:r w:rsidRPr="003D52A6">
        <w:rPr>
          <w:lang w:val="es-ES"/>
        </w:rPr>
        <w:t xml:space="preserve"> su </w:t>
      </w:r>
      <w:r>
        <w:rPr>
          <w:lang w:val="es-ES"/>
        </w:rPr>
        <w:t>inquietud</w:t>
      </w:r>
      <w:r w:rsidRPr="003D52A6">
        <w:rPr>
          <w:lang w:val="es-ES"/>
        </w:rPr>
        <w:t xml:space="preserve"> por los procesos de contratación a corto plazo llevados a cabo sin concurso y que HRMD aún </w:t>
      </w:r>
      <w:r>
        <w:rPr>
          <w:lang w:val="es-ES"/>
        </w:rPr>
        <w:t>estudiaba</w:t>
      </w:r>
      <w:r w:rsidRPr="003D52A6">
        <w:rPr>
          <w:lang w:val="es-ES"/>
        </w:rPr>
        <w:t xml:space="preserve"> la posibilidad de introducir declaraciones </w:t>
      </w:r>
      <w:r>
        <w:rPr>
          <w:lang w:val="es-ES"/>
        </w:rPr>
        <w:t>sobre</w:t>
      </w:r>
      <w:r w:rsidRPr="003D52A6">
        <w:rPr>
          <w:lang w:val="es-ES"/>
        </w:rPr>
        <w:t xml:space="preserve"> conflicto de intereses y búsqueda de candidatos. Solicitó un compromiso de la HRMD y la </w:t>
      </w:r>
      <w:r w:rsidR="00C817F3">
        <w:rPr>
          <w:lang w:val="es-ES"/>
        </w:rPr>
        <w:t>S</w:t>
      </w:r>
      <w:r w:rsidRPr="003D52A6">
        <w:rPr>
          <w:lang w:val="es-ES"/>
        </w:rPr>
        <w:t xml:space="preserve">ecretaría para aplicar </w:t>
      </w:r>
      <w:r>
        <w:rPr>
          <w:lang w:val="es-ES"/>
        </w:rPr>
        <w:t>esas</w:t>
      </w:r>
      <w:r w:rsidRPr="003D52A6">
        <w:rPr>
          <w:lang w:val="es-ES"/>
        </w:rPr>
        <w:t xml:space="preserve"> medidas de rendición de cuentas de sentido común</w:t>
      </w:r>
      <w:r>
        <w:rPr>
          <w:lang w:val="es-ES"/>
        </w:rPr>
        <w:t>,</w:t>
      </w:r>
      <w:r w:rsidRPr="003D52A6">
        <w:rPr>
          <w:lang w:val="es-ES"/>
        </w:rPr>
        <w:t xml:space="preserve"> a más tardar en la PP-26.</w:t>
      </w:r>
    </w:p>
    <w:p w14:paraId="023C755B" w14:textId="06A099D2" w:rsidR="002228AC" w:rsidRPr="003D52A6" w:rsidRDefault="002228AC" w:rsidP="002228AC">
      <w:pPr>
        <w:rPr>
          <w:lang w:val="es-ES"/>
        </w:rPr>
      </w:pPr>
      <w:r>
        <w:rPr>
          <w:lang w:val="es-ES"/>
        </w:rPr>
        <w:t>39.6</w:t>
      </w:r>
      <w:r>
        <w:rPr>
          <w:lang w:val="es-ES"/>
        </w:rPr>
        <w:tab/>
        <w:t>La Jefa de HRMD, a raíz de</w:t>
      </w:r>
      <w:r w:rsidRPr="003D52A6">
        <w:rPr>
          <w:lang w:val="es-ES"/>
        </w:rPr>
        <w:t xml:space="preserve"> las preguntas de los consejeros, afirmó que el marco de indicadores fundamentales de rendimiento y </w:t>
      </w:r>
      <w:r>
        <w:rPr>
          <w:lang w:val="es-ES"/>
        </w:rPr>
        <w:t>el sistema de medición basado</w:t>
      </w:r>
      <w:r w:rsidRPr="003D52A6">
        <w:rPr>
          <w:lang w:val="es-ES"/>
        </w:rPr>
        <w:t xml:space="preserve"> en resultados </w:t>
      </w:r>
      <w:r>
        <w:rPr>
          <w:lang w:val="es-ES"/>
        </w:rPr>
        <w:t>seguirán fortaleciéndose</w:t>
      </w:r>
      <w:r w:rsidRPr="003D52A6">
        <w:rPr>
          <w:lang w:val="es-ES"/>
        </w:rPr>
        <w:t xml:space="preserve">. La armonización entre las funciones y las necesidades de la organización ya se ha mejorado. Se </w:t>
      </w:r>
      <w:r>
        <w:rPr>
          <w:lang w:val="es-ES"/>
        </w:rPr>
        <w:t>favoreció el</w:t>
      </w:r>
      <w:r w:rsidRPr="003D52A6">
        <w:rPr>
          <w:lang w:val="es-ES"/>
        </w:rPr>
        <w:t xml:space="preserve"> </w:t>
      </w:r>
      <w:r>
        <w:rPr>
          <w:lang w:val="es-ES"/>
        </w:rPr>
        <w:t xml:space="preserve">aprovechamiento del </w:t>
      </w:r>
      <w:r w:rsidRPr="003D52A6">
        <w:rPr>
          <w:lang w:val="es-ES"/>
        </w:rPr>
        <w:t xml:space="preserve">talento interno y los nombramientos en </w:t>
      </w:r>
      <w:r>
        <w:rPr>
          <w:lang w:val="es-ES"/>
        </w:rPr>
        <w:t>el marco</w:t>
      </w:r>
      <w:r w:rsidRPr="003D52A6">
        <w:rPr>
          <w:lang w:val="es-ES"/>
        </w:rPr>
        <w:t xml:space="preserve"> de acuerdos de servicios especiales se anunciaron de conformidad con el marco normativo pertinente. Todas las personas contratadas por </w:t>
      </w:r>
      <w:r w:rsidR="00103D78">
        <w:rPr>
          <w:lang w:val="es-ES"/>
        </w:rPr>
        <w:t>la UIT</w:t>
      </w:r>
      <w:r>
        <w:rPr>
          <w:lang w:val="es-ES"/>
        </w:rPr>
        <w:t>,</w:t>
      </w:r>
      <w:r w:rsidRPr="003D52A6">
        <w:rPr>
          <w:lang w:val="es-ES"/>
        </w:rPr>
        <w:t xml:space="preserve"> </w:t>
      </w:r>
      <w:r>
        <w:rPr>
          <w:lang w:val="es-ES"/>
        </w:rPr>
        <w:t>con independencia de su función,</w:t>
      </w:r>
      <w:r w:rsidRPr="003D52A6">
        <w:rPr>
          <w:lang w:val="es-ES"/>
        </w:rPr>
        <w:t xml:space="preserve"> </w:t>
      </w:r>
      <w:r>
        <w:rPr>
          <w:lang w:val="es-ES"/>
        </w:rPr>
        <w:t>se sometieron</w:t>
      </w:r>
      <w:r w:rsidRPr="003D52A6">
        <w:rPr>
          <w:lang w:val="es-ES"/>
        </w:rPr>
        <w:t xml:space="preserve"> a un proceso de selección antes de incorporarse. El proceso de armonización con la iniciativa </w:t>
      </w:r>
      <w:r>
        <w:rPr>
          <w:lang w:val="es-ES"/>
        </w:rPr>
        <w:t>ONU</w:t>
      </w:r>
      <w:r w:rsidRPr="003D52A6">
        <w:rPr>
          <w:lang w:val="es-ES"/>
        </w:rPr>
        <w:t xml:space="preserve">80 siguió </w:t>
      </w:r>
      <w:r>
        <w:rPr>
          <w:lang w:val="es-ES"/>
        </w:rPr>
        <w:t>su</w:t>
      </w:r>
      <w:r w:rsidRPr="003D52A6">
        <w:rPr>
          <w:lang w:val="es-ES"/>
        </w:rPr>
        <w:t xml:space="preserve"> curso; </w:t>
      </w:r>
      <w:r>
        <w:rPr>
          <w:lang w:val="es-ES"/>
        </w:rPr>
        <w:t>prosiguieron</w:t>
      </w:r>
      <w:r w:rsidRPr="003D52A6">
        <w:rPr>
          <w:lang w:val="es-ES"/>
        </w:rPr>
        <w:t xml:space="preserve"> los esfuerzos </w:t>
      </w:r>
      <w:r>
        <w:rPr>
          <w:lang w:val="es-ES"/>
        </w:rPr>
        <w:t>encaminados a</w:t>
      </w:r>
      <w:r w:rsidRPr="003D52A6">
        <w:rPr>
          <w:lang w:val="es-ES"/>
        </w:rPr>
        <w:t xml:space="preserve"> introducir mejoras y </w:t>
      </w:r>
      <w:r>
        <w:rPr>
          <w:lang w:val="es-ES"/>
        </w:rPr>
        <w:t xml:space="preserve">a </w:t>
      </w:r>
      <w:r w:rsidRPr="003D52A6">
        <w:rPr>
          <w:lang w:val="es-ES"/>
        </w:rPr>
        <w:t xml:space="preserve">aumentar la eficiencia </w:t>
      </w:r>
      <w:r>
        <w:rPr>
          <w:lang w:val="es-ES"/>
        </w:rPr>
        <w:t>a tenor de la citada</w:t>
      </w:r>
      <w:r w:rsidRPr="003D52A6">
        <w:rPr>
          <w:lang w:val="es-ES"/>
        </w:rPr>
        <w:t xml:space="preserve"> iniciativa.</w:t>
      </w:r>
    </w:p>
    <w:p w14:paraId="160FB650" w14:textId="6D946268" w:rsidR="00F70066" w:rsidRPr="001D759A" w:rsidRDefault="00F70066" w:rsidP="000B3843">
      <w:pPr>
        <w:keepNext/>
        <w:keepLines/>
        <w:spacing w:after="120"/>
        <w:rPr>
          <w:lang w:val="es-ES"/>
        </w:rPr>
      </w:pPr>
      <w:r w:rsidRPr="001D759A">
        <w:rPr>
          <w:lang w:val="es-ES"/>
        </w:rPr>
        <w:lastRenderedPageBreak/>
        <w:t>3</w:t>
      </w:r>
      <w:r w:rsidR="009B346F">
        <w:rPr>
          <w:lang w:val="es-ES"/>
        </w:rPr>
        <w:t>9</w:t>
      </w:r>
      <w:r w:rsidRPr="001D759A">
        <w:rPr>
          <w:lang w:val="es-ES"/>
        </w:rPr>
        <w:t>.</w:t>
      </w:r>
      <w:r w:rsidR="002228AC">
        <w:rPr>
          <w:lang w:val="es-ES"/>
        </w:rPr>
        <w:t>7</w:t>
      </w:r>
      <w:r w:rsidRPr="001D759A">
        <w:rPr>
          <w:lang w:val="es-ES"/>
        </w:rPr>
        <w:tab/>
        <w:t xml:space="preserve">La Comisión </w:t>
      </w:r>
      <w:r w:rsidRPr="001D759A">
        <w:rPr>
          <w:b/>
          <w:bCs/>
          <w:lang w:val="es-ES"/>
        </w:rPr>
        <w:t>acordó</w:t>
      </w:r>
      <w:r w:rsidRPr="001D759A">
        <w:rPr>
          <w:lang w:val="es-ES"/>
        </w:rPr>
        <w:t xml:space="preserve"> llegar a la siguiente conclusión:</w:t>
      </w:r>
    </w:p>
    <w:tbl>
      <w:tblPr>
        <w:tblStyle w:val="TableGrid"/>
        <w:tblW w:w="5000" w:type="pct"/>
        <w:tblInd w:w="-147" w:type="dxa"/>
        <w:tblLook w:val="04A0" w:firstRow="1" w:lastRow="0" w:firstColumn="1" w:lastColumn="0" w:noHBand="0" w:noVBand="1"/>
      </w:tblPr>
      <w:tblGrid>
        <w:gridCol w:w="9061"/>
      </w:tblGrid>
      <w:tr w:rsidR="00F70066" w:rsidRPr="0057685D" w14:paraId="61B5262D" w14:textId="77777777" w:rsidTr="00950DAB">
        <w:tc>
          <w:tcPr>
            <w:tcW w:w="9208" w:type="dxa"/>
            <w:hideMark/>
          </w:tcPr>
          <w:p w14:paraId="73D1E0F8" w14:textId="2370E622" w:rsidR="00F70066" w:rsidRPr="001D759A" w:rsidRDefault="00F70066" w:rsidP="000B3843">
            <w:pPr>
              <w:keepNext/>
              <w:keepLines/>
              <w:tabs>
                <w:tab w:val="clear" w:pos="567"/>
                <w:tab w:val="left" w:pos="605"/>
              </w:tabs>
              <w:spacing w:after="80"/>
              <w:ind w:left="40"/>
              <w:rPr>
                <w:lang w:val="es-ES"/>
              </w:rPr>
            </w:pPr>
            <w:r w:rsidRPr="001D759A">
              <w:rPr>
                <w:rFonts w:eastAsia="Calibri" w:cs="Calibri"/>
                <w:lang w:val="es-ES"/>
              </w:rPr>
              <w:t>3</w:t>
            </w:r>
            <w:r w:rsidR="009B346F">
              <w:rPr>
                <w:rFonts w:eastAsia="Calibri" w:cs="Calibri"/>
                <w:lang w:val="es-ES"/>
              </w:rPr>
              <w:t>9</w:t>
            </w:r>
            <w:r w:rsidRPr="001D759A">
              <w:rPr>
                <w:rFonts w:eastAsia="Calibri" w:cs="Calibri"/>
                <w:szCs w:val="24"/>
                <w:lang w:val="es-ES"/>
              </w:rPr>
              <w:t>.</w:t>
            </w:r>
            <w:r w:rsidR="00955BE1">
              <w:rPr>
                <w:rFonts w:eastAsia="Calibri" w:cs="Calibri"/>
                <w:szCs w:val="24"/>
                <w:lang w:val="es-ES"/>
              </w:rPr>
              <w:t>8</w:t>
            </w:r>
            <w:r w:rsidRPr="001D759A">
              <w:rPr>
                <w:lang w:val="es-ES"/>
              </w:rPr>
              <w:tab/>
              <w:t>La Comisión recomienda al Consejo que:</w:t>
            </w:r>
          </w:p>
          <w:p w14:paraId="6DAB5A53" w14:textId="75B8E475" w:rsidR="00F70066" w:rsidRPr="001D759A" w:rsidRDefault="00F70066" w:rsidP="00955BE1">
            <w:pPr>
              <w:pStyle w:val="enumlev1"/>
              <w:tabs>
                <w:tab w:val="clear" w:pos="567"/>
              </w:tabs>
              <w:spacing w:after="120"/>
              <w:ind w:left="605"/>
              <w:rPr>
                <w:lang w:val="es-ES"/>
              </w:rPr>
            </w:pPr>
            <w:r w:rsidRPr="001D759A">
              <w:rPr>
                <w:lang w:val="es-ES"/>
              </w:rPr>
              <w:t>•</w:t>
            </w:r>
            <w:r w:rsidRPr="001D759A">
              <w:rPr>
                <w:lang w:val="es-ES"/>
              </w:rPr>
              <w:tab/>
            </w:r>
            <w:r w:rsidR="002228AC">
              <w:rPr>
                <w:rFonts w:cs="Calibri"/>
                <w:szCs w:val="24"/>
                <w:lang w:val="es-ES"/>
              </w:rPr>
              <w:t xml:space="preserve">apruebe el Plan Estratégico de Recursos Humanos de </w:t>
            </w:r>
            <w:r w:rsidR="00103D78">
              <w:rPr>
                <w:rFonts w:cs="Calibri"/>
                <w:szCs w:val="24"/>
                <w:lang w:val="es-ES"/>
              </w:rPr>
              <w:t>la UIT</w:t>
            </w:r>
            <w:r w:rsidR="002228AC">
              <w:rPr>
                <w:rFonts w:cs="Calibri"/>
                <w:szCs w:val="24"/>
                <w:lang w:val="es-ES"/>
              </w:rPr>
              <w:t xml:space="preserve"> para 2026</w:t>
            </w:r>
            <w:r w:rsidR="00955BE1">
              <w:rPr>
                <w:rFonts w:cs="Calibri"/>
                <w:szCs w:val="24"/>
                <w:lang w:val="es-ES"/>
              </w:rPr>
              <w:noBreakHyphen/>
            </w:r>
            <w:r w:rsidR="002228AC">
              <w:rPr>
                <w:rFonts w:cs="Calibri"/>
                <w:szCs w:val="24"/>
                <w:lang w:val="es-ES"/>
              </w:rPr>
              <w:t xml:space="preserve">2027 contenido en el Documento </w:t>
            </w:r>
            <w:hyperlink r:id="rId156" w:history="1">
              <w:r w:rsidR="002228AC" w:rsidRPr="002020A7">
                <w:rPr>
                  <w:rStyle w:val="Hyperlink"/>
                  <w:lang w:val="es-ES"/>
                </w:rPr>
                <w:t>C26/67</w:t>
              </w:r>
            </w:hyperlink>
            <w:r w:rsidRPr="001D759A">
              <w:rPr>
                <w:rFonts w:cs="Calibri"/>
                <w:szCs w:val="24"/>
                <w:lang w:val="es-ES"/>
              </w:rPr>
              <w:t>.</w:t>
            </w:r>
          </w:p>
        </w:tc>
      </w:tr>
    </w:tbl>
    <w:p w14:paraId="7D866848" w14:textId="061132F9" w:rsidR="00F70066" w:rsidRPr="001D759A" w:rsidRDefault="009B346F" w:rsidP="00F70066">
      <w:pPr>
        <w:pStyle w:val="Heading1"/>
        <w:rPr>
          <w:lang w:val="es-ES"/>
        </w:rPr>
      </w:pPr>
      <w:r>
        <w:rPr>
          <w:lang w:val="es-ES"/>
        </w:rPr>
        <w:t>40</w:t>
      </w:r>
      <w:r w:rsidR="00F70066" w:rsidRPr="001D759A">
        <w:rPr>
          <w:bCs/>
          <w:lang w:val="es-ES"/>
        </w:rPr>
        <w:tab/>
      </w:r>
      <w:r w:rsidR="00F70066" w:rsidRPr="001D759A">
        <w:rPr>
          <w:lang w:val="es-ES"/>
        </w:rPr>
        <w:t xml:space="preserve">Fortalecimiento de los cimientos digitales de </w:t>
      </w:r>
      <w:r w:rsidR="00103D78">
        <w:rPr>
          <w:lang w:val="es-ES"/>
        </w:rPr>
        <w:t>la UIT</w:t>
      </w:r>
      <w:r w:rsidR="00F70066" w:rsidRPr="001D759A">
        <w:rPr>
          <w:lang w:val="es-ES"/>
        </w:rPr>
        <w:t xml:space="preserve"> para la transformación – Estrategia, arquitectura institucional, gobernanza de TIC y modelo operativo de TI (Documento </w:t>
      </w:r>
      <w:hyperlink r:id="rId157" w:history="1">
        <w:r w:rsidR="00F70066" w:rsidRPr="001D759A">
          <w:rPr>
            <w:rStyle w:val="Hyperlink"/>
            <w:rFonts w:eastAsia="Times New Roman" w:cs="Times New Roman"/>
            <w:szCs w:val="20"/>
            <w:lang w:val="es-ES"/>
          </w:rPr>
          <w:t>C26/62</w:t>
        </w:r>
      </w:hyperlink>
      <w:r w:rsidR="00F70066" w:rsidRPr="001D759A">
        <w:rPr>
          <w:lang w:val="es-ES"/>
        </w:rPr>
        <w:t>)</w:t>
      </w:r>
    </w:p>
    <w:p w14:paraId="7604B632" w14:textId="6910455E" w:rsidR="003837AB" w:rsidRPr="009B7DBB" w:rsidRDefault="003837AB" w:rsidP="003837AB">
      <w:pPr>
        <w:rPr>
          <w:lang w:val="es-ES"/>
        </w:rPr>
      </w:pPr>
      <w:r>
        <w:rPr>
          <w:lang w:val="es-ES"/>
        </w:rPr>
        <w:t>40.1</w:t>
      </w:r>
      <w:r>
        <w:rPr>
          <w:lang w:val="es-ES"/>
        </w:rPr>
        <w:tab/>
      </w:r>
      <w:r w:rsidRPr="009B7DBB">
        <w:rPr>
          <w:lang w:val="es-ES"/>
        </w:rPr>
        <w:t xml:space="preserve">La </w:t>
      </w:r>
      <w:r>
        <w:rPr>
          <w:lang w:val="es-ES"/>
        </w:rPr>
        <w:t>Jefa</w:t>
      </w:r>
      <w:r w:rsidRPr="009B7DBB">
        <w:rPr>
          <w:lang w:val="es-ES"/>
        </w:rPr>
        <w:t xml:space="preserve"> de Sistemas de Información presentó el informe que figura en el </w:t>
      </w:r>
      <w:r>
        <w:rPr>
          <w:lang w:val="es-ES"/>
        </w:rPr>
        <w:t>D</w:t>
      </w:r>
      <w:r w:rsidRPr="009B7DBB">
        <w:rPr>
          <w:lang w:val="es-ES"/>
        </w:rPr>
        <w:t>ocumento</w:t>
      </w:r>
      <w:r w:rsidR="00184AC5">
        <w:rPr>
          <w:lang w:val="es-ES"/>
        </w:rPr>
        <w:t> </w:t>
      </w:r>
      <w:r w:rsidRPr="009B7DBB">
        <w:rPr>
          <w:lang w:val="es-ES"/>
        </w:rPr>
        <w:t xml:space="preserve">C26/62, relativo al fortalecimiento de </w:t>
      </w:r>
      <w:r>
        <w:rPr>
          <w:lang w:val="es-ES"/>
        </w:rPr>
        <w:t>las bases</w:t>
      </w:r>
      <w:r w:rsidRPr="009B7DBB">
        <w:rPr>
          <w:lang w:val="es-ES"/>
        </w:rPr>
        <w:t xml:space="preserve"> digitales intern</w:t>
      </w:r>
      <w:r>
        <w:rPr>
          <w:lang w:val="es-ES"/>
        </w:rPr>
        <w:t>a</w:t>
      </w:r>
      <w:r w:rsidRPr="009B7DBB">
        <w:rPr>
          <w:lang w:val="es-ES"/>
        </w:rPr>
        <w:t xml:space="preserve">s de </w:t>
      </w:r>
      <w:r w:rsidR="005457EE">
        <w:rPr>
          <w:lang w:val="es-ES"/>
        </w:rPr>
        <w:t>la Unión</w:t>
      </w:r>
      <w:r w:rsidRPr="009B7DBB">
        <w:rPr>
          <w:lang w:val="es-ES"/>
        </w:rPr>
        <w:t xml:space="preserve"> para</w:t>
      </w:r>
      <w:r>
        <w:rPr>
          <w:lang w:val="es-ES"/>
        </w:rPr>
        <w:t xml:space="preserve"> facilitar</w:t>
      </w:r>
      <w:r w:rsidRPr="009B7DBB">
        <w:rPr>
          <w:lang w:val="es-ES"/>
        </w:rPr>
        <w:t xml:space="preserve"> la transformación. En el documento se </w:t>
      </w:r>
      <w:r>
        <w:rPr>
          <w:lang w:val="es-ES"/>
        </w:rPr>
        <w:t>esbozan</w:t>
      </w:r>
      <w:r w:rsidRPr="009B7DBB">
        <w:rPr>
          <w:lang w:val="es-ES"/>
        </w:rPr>
        <w:t xml:space="preserve"> los avances </w:t>
      </w:r>
      <w:r>
        <w:rPr>
          <w:lang w:val="es-ES"/>
        </w:rPr>
        <w:t>registrados</w:t>
      </w:r>
      <w:r w:rsidRPr="009B7DBB">
        <w:rPr>
          <w:lang w:val="es-ES"/>
        </w:rPr>
        <w:t xml:space="preserve"> en </w:t>
      </w:r>
      <w:r>
        <w:rPr>
          <w:lang w:val="es-ES"/>
        </w:rPr>
        <w:t>cuanto al</w:t>
      </w:r>
      <w:r w:rsidRPr="009B7DBB">
        <w:rPr>
          <w:lang w:val="es-ES"/>
        </w:rPr>
        <w:t xml:space="preserve"> desarrollo de los elementos fundamentales necesarios para</w:t>
      </w:r>
      <w:r>
        <w:rPr>
          <w:lang w:val="es-ES"/>
        </w:rPr>
        <w:t xml:space="preserve"> facilitar</w:t>
      </w:r>
      <w:r w:rsidRPr="009B7DBB">
        <w:rPr>
          <w:lang w:val="es-ES"/>
        </w:rPr>
        <w:t xml:space="preserve"> la transición de </w:t>
      </w:r>
      <w:r w:rsidR="005457EE">
        <w:rPr>
          <w:lang w:val="es-ES"/>
        </w:rPr>
        <w:t>la Unión</w:t>
      </w:r>
      <w:r w:rsidRPr="009B7DBB">
        <w:rPr>
          <w:lang w:val="es-ES"/>
        </w:rPr>
        <w:t xml:space="preserve"> hacia una organización más resiliente </w:t>
      </w:r>
      <w:r>
        <w:rPr>
          <w:lang w:val="es-ES"/>
        </w:rPr>
        <w:t>en el plano digital</w:t>
      </w:r>
      <w:r w:rsidRPr="009B7DBB">
        <w:rPr>
          <w:lang w:val="es-ES"/>
        </w:rPr>
        <w:t>, segura, basada en datos y habilitada para la inteligencia artificial. Ofreció una visión general de dichos elementos fundamentales</w:t>
      </w:r>
      <w:r>
        <w:rPr>
          <w:lang w:val="es-ES"/>
        </w:rPr>
        <w:t xml:space="preserve">, a saber, </w:t>
      </w:r>
      <w:r w:rsidRPr="009B7DBB">
        <w:rPr>
          <w:lang w:val="es-ES"/>
        </w:rPr>
        <w:t>una estrategia de transformación digital y un plan estratégico para el período 2026</w:t>
      </w:r>
      <w:r w:rsidR="005936CB">
        <w:rPr>
          <w:lang w:val="es-ES"/>
        </w:rPr>
        <w:noBreakHyphen/>
      </w:r>
      <w:r w:rsidRPr="009B7DBB">
        <w:rPr>
          <w:lang w:val="es-ES"/>
        </w:rPr>
        <w:t xml:space="preserve">2027, un programa de arquitectura empresarial, un marco de gobernanza digital y un modelo </w:t>
      </w:r>
      <w:r>
        <w:rPr>
          <w:lang w:val="es-ES"/>
        </w:rPr>
        <w:t>operacional</w:t>
      </w:r>
      <w:r w:rsidRPr="009B7DBB">
        <w:rPr>
          <w:lang w:val="es-ES"/>
        </w:rPr>
        <w:t xml:space="preserve"> rediseñado del Departamento de Servicios de Información (ISD)</w:t>
      </w:r>
      <w:r>
        <w:rPr>
          <w:lang w:val="es-ES"/>
        </w:rPr>
        <w:t>,</w:t>
      </w:r>
      <w:r w:rsidRPr="009B7DBB">
        <w:rPr>
          <w:lang w:val="es-ES"/>
        </w:rPr>
        <w:t xml:space="preserve"> que</w:t>
      </w:r>
      <w:r w:rsidR="00EB2C6A">
        <w:rPr>
          <w:lang w:val="es-ES"/>
        </w:rPr>
        <w:t xml:space="preserve">, </w:t>
      </w:r>
      <w:r>
        <w:rPr>
          <w:lang w:val="es-ES"/>
        </w:rPr>
        <w:t xml:space="preserve">en su conjunto, constituyen </w:t>
      </w:r>
      <w:r w:rsidRPr="009B7DBB">
        <w:rPr>
          <w:lang w:val="es-ES"/>
        </w:rPr>
        <w:t xml:space="preserve">un sistema de transformación digital interna </w:t>
      </w:r>
      <w:r>
        <w:rPr>
          <w:lang w:val="es-ES"/>
        </w:rPr>
        <w:t>plenamente</w:t>
      </w:r>
      <w:r w:rsidRPr="009B7DBB">
        <w:rPr>
          <w:lang w:val="es-ES"/>
        </w:rPr>
        <w:t xml:space="preserve"> integrado. Se </w:t>
      </w:r>
      <w:r>
        <w:rPr>
          <w:lang w:val="es-ES"/>
        </w:rPr>
        <w:t>proporciona</w:t>
      </w:r>
      <w:r w:rsidRPr="009B7DBB">
        <w:rPr>
          <w:lang w:val="es-ES"/>
        </w:rPr>
        <w:t xml:space="preserve"> información adicional </w:t>
      </w:r>
      <w:r>
        <w:rPr>
          <w:lang w:val="es-ES"/>
        </w:rPr>
        <w:t xml:space="preserve">al respecto </w:t>
      </w:r>
      <w:r w:rsidRPr="009B7DBB">
        <w:rPr>
          <w:lang w:val="es-ES"/>
        </w:rPr>
        <w:t xml:space="preserve">en el </w:t>
      </w:r>
      <w:r w:rsidR="00184AC5">
        <w:rPr>
          <w:lang w:val="es-ES"/>
        </w:rPr>
        <w:t>D</w:t>
      </w:r>
      <w:r w:rsidRPr="009B7DBB">
        <w:rPr>
          <w:lang w:val="es-ES"/>
        </w:rPr>
        <w:t>ocumento</w:t>
      </w:r>
      <w:r w:rsidR="00184AC5">
        <w:rPr>
          <w:lang w:val="es-ES"/>
        </w:rPr>
        <w:t> </w:t>
      </w:r>
      <w:hyperlink r:id="rId158" w:history="1">
        <w:r w:rsidR="00A91E5B" w:rsidRPr="00C52838">
          <w:rPr>
            <w:rStyle w:val="Hyperlink"/>
            <w:lang w:val="es-ES"/>
          </w:rPr>
          <w:t>C26/INF/6</w:t>
        </w:r>
      </w:hyperlink>
      <w:r w:rsidRPr="009B7DBB">
        <w:rPr>
          <w:lang w:val="es-ES"/>
        </w:rPr>
        <w:t>.</w:t>
      </w:r>
    </w:p>
    <w:p w14:paraId="2DCE92C7" w14:textId="33784FAC" w:rsidR="003837AB" w:rsidRPr="009B7DBB" w:rsidRDefault="003837AB" w:rsidP="003837AB">
      <w:pPr>
        <w:rPr>
          <w:lang w:val="es-ES"/>
        </w:rPr>
      </w:pPr>
      <w:r>
        <w:rPr>
          <w:lang w:val="es-ES"/>
        </w:rPr>
        <w:t>40.2</w:t>
      </w:r>
      <w:r>
        <w:rPr>
          <w:lang w:val="es-ES"/>
        </w:rPr>
        <w:tab/>
      </w:r>
      <w:r w:rsidRPr="009B7DBB">
        <w:rPr>
          <w:lang w:val="es-ES"/>
        </w:rPr>
        <w:t xml:space="preserve">Los consejeros elogiaron los avances </w:t>
      </w:r>
      <w:r>
        <w:rPr>
          <w:lang w:val="es-ES"/>
        </w:rPr>
        <w:t>registrados</w:t>
      </w:r>
      <w:r w:rsidRPr="009B7DBB">
        <w:rPr>
          <w:lang w:val="es-ES"/>
        </w:rPr>
        <w:t xml:space="preserve"> en la hoja de ruta de transformación digital interna de </w:t>
      </w:r>
      <w:r w:rsidR="005457EE">
        <w:rPr>
          <w:lang w:val="es-ES"/>
        </w:rPr>
        <w:t>la Unión</w:t>
      </w:r>
      <w:r w:rsidRPr="009B7DBB">
        <w:rPr>
          <w:lang w:val="es-ES"/>
        </w:rPr>
        <w:t xml:space="preserve"> y </w:t>
      </w:r>
      <w:r>
        <w:rPr>
          <w:lang w:val="es-ES"/>
        </w:rPr>
        <w:t>acogieron con satisfacción</w:t>
      </w:r>
      <w:r w:rsidRPr="009B7DBB">
        <w:rPr>
          <w:lang w:val="es-ES"/>
        </w:rPr>
        <w:t xml:space="preserve"> el enfoque </w:t>
      </w:r>
      <w:r>
        <w:rPr>
          <w:lang w:val="es-ES"/>
        </w:rPr>
        <w:t>integral</w:t>
      </w:r>
      <w:r w:rsidRPr="009B7DBB">
        <w:rPr>
          <w:lang w:val="es-ES"/>
        </w:rPr>
        <w:t xml:space="preserve"> esbozado en el documento. Se acogió con </w:t>
      </w:r>
      <w:r>
        <w:rPr>
          <w:lang w:val="es-ES"/>
        </w:rPr>
        <w:t>beneplácito</w:t>
      </w:r>
      <w:r w:rsidRPr="009B7DBB">
        <w:rPr>
          <w:lang w:val="es-ES"/>
        </w:rPr>
        <w:t xml:space="preserve"> la introducción de una arquitectura empresarial; en futuros informes, </w:t>
      </w:r>
      <w:r>
        <w:rPr>
          <w:lang w:val="es-ES"/>
        </w:rPr>
        <w:t>ser</w:t>
      </w:r>
      <w:r w:rsidR="00EB2C6A">
        <w:rPr>
          <w:lang w:val="es-ES"/>
        </w:rPr>
        <w:t>ía</w:t>
      </w:r>
      <w:r w:rsidRPr="009B7DBB">
        <w:rPr>
          <w:lang w:val="es-ES"/>
        </w:rPr>
        <w:t xml:space="preserve"> útil incluir información sobre los resultados relacionados con la gobernanza, el análisis y la planificación, así como sobre la gestión de riesgos de información, ciberseguridad y obsolescencia tecnológica. </w:t>
      </w:r>
      <w:r w:rsidR="00991944">
        <w:rPr>
          <w:lang w:val="es-ES"/>
        </w:rPr>
        <w:t>Los consejeros destacaron que la estrategia digital interna del ISD es muy amplia e impresionante y que deberá contar con la financiación adecuada</w:t>
      </w:r>
      <w:r w:rsidR="00642F0D">
        <w:rPr>
          <w:lang w:val="es-ES"/>
        </w:rPr>
        <w:t>,</w:t>
      </w:r>
      <w:r w:rsidR="00991944">
        <w:rPr>
          <w:lang w:val="es-ES"/>
        </w:rPr>
        <w:t xml:space="preserve"> no simplemente con la reasignación de ahorros. </w:t>
      </w:r>
      <w:r w:rsidRPr="009B7DBB">
        <w:rPr>
          <w:lang w:val="es-ES"/>
        </w:rPr>
        <w:t xml:space="preserve">Un consejero hizo hincapié en que la inclusividad y la transparencia en la gobernanza de las TIC </w:t>
      </w:r>
      <w:r>
        <w:rPr>
          <w:lang w:val="es-ES"/>
        </w:rPr>
        <w:t>son</w:t>
      </w:r>
      <w:r w:rsidRPr="009B7DBB">
        <w:rPr>
          <w:lang w:val="es-ES"/>
        </w:rPr>
        <w:t xml:space="preserve"> esenciales; la reforma digital deb</w:t>
      </w:r>
      <w:r>
        <w:rPr>
          <w:lang w:val="es-ES"/>
        </w:rPr>
        <w:t xml:space="preserve">e </w:t>
      </w:r>
      <w:r w:rsidRPr="009B7DBB">
        <w:rPr>
          <w:lang w:val="es-ES"/>
        </w:rPr>
        <w:t xml:space="preserve">tener en cuenta las necesidades y </w:t>
      </w:r>
      <w:r>
        <w:rPr>
          <w:lang w:val="es-ES"/>
        </w:rPr>
        <w:t>la situación</w:t>
      </w:r>
      <w:r w:rsidRPr="009B7DBB">
        <w:rPr>
          <w:lang w:val="es-ES"/>
        </w:rPr>
        <w:t xml:space="preserve"> de todos los Estados </w:t>
      </w:r>
      <w:r>
        <w:rPr>
          <w:lang w:val="es-ES"/>
        </w:rPr>
        <w:t>M</w:t>
      </w:r>
      <w:r w:rsidRPr="009B7DBB">
        <w:rPr>
          <w:lang w:val="es-ES"/>
        </w:rPr>
        <w:t xml:space="preserve">iembros y </w:t>
      </w:r>
      <w:r>
        <w:rPr>
          <w:lang w:val="es-ES"/>
        </w:rPr>
        <w:t>redundar</w:t>
      </w:r>
      <w:r w:rsidRPr="009B7DBB">
        <w:rPr>
          <w:lang w:val="es-ES"/>
        </w:rPr>
        <w:t xml:space="preserve"> en beneficios tangibles para los países en desarrollo. </w:t>
      </w:r>
      <w:r>
        <w:rPr>
          <w:lang w:val="es-ES"/>
        </w:rPr>
        <w:t>Ser</w:t>
      </w:r>
      <w:r w:rsidR="00EB2C6A">
        <w:rPr>
          <w:lang w:val="es-ES"/>
        </w:rPr>
        <w:t>ía</w:t>
      </w:r>
      <w:r w:rsidRPr="009B7DBB">
        <w:rPr>
          <w:lang w:val="es-ES"/>
        </w:rPr>
        <w:t xml:space="preserve"> útil disponer de información sobre los criterios </w:t>
      </w:r>
      <w:r>
        <w:rPr>
          <w:lang w:val="es-ES"/>
        </w:rPr>
        <w:t>de</w:t>
      </w:r>
      <w:r w:rsidRPr="009B7DBB">
        <w:rPr>
          <w:lang w:val="es-ES"/>
        </w:rPr>
        <w:t xml:space="preserve"> externalización, </w:t>
      </w:r>
      <w:r w:rsidR="00991944">
        <w:rPr>
          <w:lang w:val="es-ES"/>
        </w:rPr>
        <w:t xml:space="preserve">además de una aclaración sobre la </w:t>
      </w:r>
      <w:r w:rsidR="00DC59CD">
        <w:rPr>
          <w:lang w:val="es-ES"/>
        </w:rPr>
        <w:t>conexión</w:t>
      </w:r>
      <w:r w:rsidR="00991944">
        <w:rPr>
          <w:lang w:val="es-ES"/>
        </w:rPr>
        <w:t xml:space="preserve"> entre los distintos proyectos de consultoría, en particular los que implican a EY y el </w:t>
      </w:r>
      <w:r w:rsidRPr="009503EC">
        <w:rPr>
          <w:lang w:val="es-ES"/>
        </w:rPr>
        <w:t xml:space="preserve">Centro Internacional de Cálculos Electrónicos de las </w:t>
      </w:r>
      <w:r w:rsidR="000E31A1">
        <w:rPr>
          <w:lang w:val="es-ES"/>
        </w:rPr>
        <w:t>Naciones Unidas</w:t>
      </w:r>
      <w:r>
        <w:rPr>
          <w:lang w:val="es-ES"/>
        </w:rPr>
        <w:t xml:space="preserve"> (CICE)</w:t>
      </w:r>
      <w:r w:rsidRPr="009B7DBB">
        <w:rPr>
          <w:lang w:val="es-ES"/>
        </w:rPr>
        <w:t>.</w:t>
      </w:r>
    </w:p>
    <w:p w14:paraId="68E1A472" w14:textId="4C2E994B" w:rsidR="003837AB" w:rsidRPr="009B7DBB" w:rsidRDefault="003837AB" w:rsidP="003837AB">
      <w:pPr>
        <w:rPr>
          <w:lang w:val="es-ES"/>
        </w:rPr>
      </w:pPr>
      <w:r>
        <w:rPr>
          <w:lang w:val="es-ES"/>
        </w:rPr>
        <w:t>40.3</w:t>
      </w:r>
      <w:r>
        <w:rPr>
          <w:lang w:val="es-ES"/>
        </w:rPr>
        <w:tab/>
        <w:t>A raíz de</w:t>
      </w:r>
      <w:r w:rsidRPr="009B7DBB">
        <w:rPr>
          <w:lang w:val="es-ES"/>
        </w:rPr>
        <w:t xml:space="preserve"> las preguntas y </w:t>
      </w:r>
      <w:r>
        <w:rPr>
          <w:lang w:val="es-ES"/>
        </w:rPr>
        <w:t>las observaciones formuladas</w:t>
      </w:r>
      <w:r w:rsidRPr="009B7DBB">
        <w:rPr>
          <w:lang w:val="es-ES"/>
        </w:rPr>
        <w:t xml:space="preserve">, </w:t>
      </w:r>
      <w:r w:rsidR="00991944">
        <w:rPr>
          <w:lang w:val="es-ES"/>
        </w:rPr>
        <w:t>en relación con la asignación de fondos a las actividades relacionadas con la IA</w:t>
      </w:r>
      <w:r w:rsidR="00DC59CD">
        <w:rPr>
          <w:lang w:val="es-ES"/>
        </w:rPr>
        <w:t>,</w:t>
      </w:r>
      <w:r w:rsidR="00991944">
        <w:rPr>
          <w:lang w:val="es-ES"/>
        </w:rPr>
        <w:t xml:space="preserve"> </w:t>
      </w:r>
      <w:r w:rsidRPr="009B7DBB">
        <w:rPr>
          <w:lang w:val="es-ES"/>
        </w:rPr>
        <w:t xml:space="preserve">la </w:t>
      </w:r>
      <w:r>
        <w:rPr>
          <w:lang w:val="es-ES"/>
        </w:rPr>
        <w:t>Jefa de Sistemas</w:t>
      </w:r>
      <w:r w:rsidRPr="009B7DBB">
        <w:rPr>
          <w:lang w:val="es-ES"/>
        </w:rPr>
        <w:t xml:space="preserve"> de Información</w:t>
      </w:r>
      <w:r>
        <w:rPr>
          <w:lang w:val="es-ES"/>
        </w:rPr>
        <w:t xml:space="preserve"> señaló</w:t>
      </w:r>
      <w:r w:rsidRPr="009B7DBB">
        <w:rPr>
          <w:lang w:val="es-ES"/>
        </w:rPr>
        <w:t xml:space="preserve"> que la </w:t>
      </w:r>
      <w:r>
        <w:rPr>
          <w:lang w:val="es-ES"/>
        </w:rPr>
        <w:t xml:space="preserve">propuesta de </w:t>
      </w:r>
      <w:r w:rsidRPr="009B7DBB">
        <w:rPr>
          <w:lang w:val="es-ES"/>
        </w:rPr>
        <w:t xml:space="preserve">asignación de 1 millón de francos suizos del superávit presupuestario, tal y como se describe en el </w:t>
      </w:r>
      <w:r>
        <w:rPr>
          <w:lang w:val="es-ES"/>
        </w:rPr>
        <w:t>D</w:t>
      </w:r>
      <w:r w:rsidRPr="009B7DBB">
        <w:rPr>
          <w:lang w:val="es-ES"/>
        </w:rPr>
        <w:t>ocumento C26/42, se destin</w:t>
      </w:r>
      <w:r>
        <w:rPr>
          <w:lang w:val="es-ES"/>
        </w:rPr>
        <w:t>a</w:t>
      </w:r>
      <w:r w:rsidRPr="009B7DBB">
        <w:rPr>
          <w:lang w:val="es-ES"/>
        </w:rPr>
        <w:t xml:space="preserve"> a iniciativas de IA orientadas al exterior, </w:t>
      </w:r>
      <w:r>
        <w:rPr>
          <w:lang w:val="es-ES"/>
        </w:rPr>
        <w:t>al tiempo</w:t>
      </w:r>
      <w:r w:rsidRPr="009B7DBB">
        <w:rPr>
          <w:lang w:val="es-ES"/>
        </w:rPr>
        <w:t xml:space="preserve"> que la inversión en capacidad interna de IA se </w:t>
      </w:r>
      <w:r>
        <w:rPr>
          <w:lang w:val="es-ES"/>
        </w:rPr>
        <w:t>aborda mediante</w:t>
      </w:r>
      <w:r w:rsidRPr="009B7DBB">
        <w:rPr>
          <w:lang w:val="es-ES"/>
        </w:rPr>
        <w:t xml:space="preserve"> inversiones de capital en TIC. Se </w:t>
      </w:r>
      <w:r>
        <w:rPr>
          <w:lang w:val="es-ES"/>
        </w:rPr>
        <w:t>lleva</w:t>
      </w:r>
      <w:r w:rsidRPr="009B7DBB">
        <w:rPr>
          <w:lang w:val="es-ES"/>
        </w:rPr>
        <w:t xml:space="preserve"> a cabo </w:t>
      </w:r>
      <w:r>
        <w:rPr>
          <w:lang w:val="es-ES"/>
        </w:rPr>
        <w:t xml:space="preserve">actualmente </w:t>
      </w:r>
      <w:r w:rsidRPr="009B7DBB">
        <w:rPr>
          <w:lang w:val="es-ES"/>
        </w:rPr>
        <w:t xml:space="preserve">un análisis de costes de iniciativas </w:t>
      </w:r>
      <w:r>
        <w:rPr>
          <w:lang w:val="es-ES"/>
        </w:rPr>
        <w:t>con arreglo a</w:t>
      </w:r>
      <w:r w:rsidRPr="009B7DBB">
        <w:rPr>
          <w:lang w:val="es-ES"/>
        </w:rPr>
        <w:t xml:space="preserve"> los recursos presupuestarios disponibles</w:t>
      </w:r>
      <w:r>
        <w:rPr>
          <w:lang w:val="es-ES"/>
        </w:rPr>
        <w:t>, y</w:t>
      </w:r>
      <w:r w:rsidRPr="009B7DBB">
        <w:rPr>
          <w:lang w:val="es-ES"/>
        </w:rPr>
        <w:t xml:space="preserve"> la asignación de ahorro presupuestario</w:t>
      </w:r>
      <w:r>
        <w:rPr>
          <w:lang w:val="es-ES"/>
        </w:rPr>
        <w:t xml:space="preserve"> contribuirá</w:t>
      </w:r>
      <w:r w:rsidRPr="009B7DBB">
        <w:rPr>
          <w:lang w:val="es-ES"/>
        </w:rPr>
        <w:t xml:space="preserve"> a </w:t>
      </w:r>
      <w:r>
        <w:rPr>
          <w:lang w:val="es-ES"/>
        </w:rPr>
        <w:t>facilitar</w:t>
      </w:r>
      <w:r w:rsidRPr="009B7DBB">
        <w:rPr>
          <w:lang w:val="es-ES"/>
        </w:rPr>
        <w:t xml:space="preserve"> varias iniciativas </w:t>
      </w:r>
      <w:r>
        <w:rPr>
          <w:lang w:val="es-ES"/>
        </w:rPr>
        <w:t>primordiales</w:t>
      </w:r>
      <w:r w:rsidRPr="009B7DBB">
        <w:rPr>
          <w:lang w:val="es-ES"/>
        </w:rPr>
        <w:t xml:space="preserve">. </w:t>
      </w:r>
      <w:r>
        <w:rPr>
          <w:lang w:val="es-ES"/>
        </w:rPr>
        <w:t>El aumento de</w:t>
      </w:r>
      <w:r w:rsidRPr="009B7DBB">
        <w:rPr>
          <w:lang w:val="es-ES"/>
        </w:rPr>
        <w:t xml:space="preserve"> eficiencia debe aprovecharse para el desarrollo de la IA. </w:t>
      </w:r>
      <w:r>
        <w:rPr>
          <w:lang w:val="es-ES"/>
        </w:rPr>
        <w:t>Es</w:t>
      </w:r>
      <w:r w:rsidRPr="009B7DBB">
        <w:rPr>
          <w:lang w:val="es-ES"/>
        </w:rPr>
        <w:t xml:space="preserve"> necesario reducir la deuda técnica</w:t>
      </w:r>
      <w:r>
        <w:rPr>
          <w:lang w:val="es-ES"/>
        </w:rPr>
        <w:t xml:space="preserve">, </w:t>
      </w:r>
      <w:r w:rsidRPr="009B7DBB">
        <w:rPr>
          <w:lang w:val="es-ES"/>
        </w:rPr>
        <w:t xml:space="preserve">actualizar las TIC y desarrollar las capacidades de IA y de datos. </w:t>
      </w:r>
      <w:r>
        <w:rPr>
          <w:lang w:val="es-ES"/>
        </w:rPr>
        <w:t xml:space="preserve">En consecuencia, es </w:t>
      </w:r>
      <w:r>
        <w:rPr>
          <w:lang w:val="es-ES"/>
        </w:rPr>
        <w:lastRenderedPageBreak/>
        <w:t>fundamental</w:t>
      </w:r>
      <w:r w:rsidRPr="009B7DBB">
        <w:rPr>
          <w:lang w:val="es-ES"/>
        </w:rPr>
        <w:t xml:space="preserve"> realizar nuevas inversiones, </w:t>
      </w:r>
      <w:r>
        <w:rPr>
          <w:lang w:val="es-ES"/>
        </w:rPr>
        <w:t>habida cuenta de</w:t>
      </w:r>
      <w:r w:rsidRPr="009B7DBB">
        <w:rPr>
          <w:lang w:val="es-ES"/>
        </w:rPr>
        <w:t xml:space="preserve"> los costes de modernización, mejora y mantenimiento</w:t>
      </w:r>
      <w:r>
        <w:rPr>
          <w:lang w:val="es-ES"/>
        </w:rPr>
        <w:t xml:space="preserve"> ininterrumpidos</w:t>
      </w:r>
      <w:r w:rsidRPr="009B7DBB">
        <w:rPr>
          <w:lang w:val="es-ES"/>
        </w:rPr>
        <w:t>.</w:t>
      </w:r>
    </w:p>
    <w:p w14:paraId="336EA68C" w14:textId="02238A95" w:rsidR="003837AB" w:rsidRPr="009B7DBB" w:rsidRDefault="003837AB" w:rsidP="003837AB">
      <w:pPr>
        <w:rPr>
          <w:lang w:val="es-ES"/>
        </w:rPr>
      </w:pPr>
      <w:r>
        <w:rPr>
          <w:lang w:val="es-ES"/>
        </w:rPr>
        <w:t>40.4</w:t>
      </w:r>
      <w:r>
        <w:rPr>
          <w:lang w:val="es-ES"/>
        </w:rPr>
        <w:tab/>
      </w:r>
      <w:r w:rsidRPr="009B7DBB">
        <w:rPr>
          <w:lang w:val="es-ES"/>
        </w:rPr>
        <w:t>La transformación digital se estruct</w:t>
      </w:r>
      <w:r>
        <w:rPr>
          <w:lang w:val="es-ES"/>
        </w:rPr>
        <w:t>ura</w:t>
      </w:r>
      <w:r w:rsidRPr="009B7DBB">
        <w:rPr>
          <w:lang w:val="es-ES"/>
        </w:rPr>
        <w:t xml:space="preserve"> </w:t>
      </w:r>
      <w:r>
        <w:rPr>
          <w:lang w:val="es-ES"/>
        </w:rPr>
        <w:t>a tenor de</w:t>
      </w:r>
      <w:r w:rsidRPr="009B7DBB">
        <w:rPr>
          <w:lang w:val="es-ES"/>
        </w:rPr>
        <w:t xml:space="preserve"> </w:t>
      </w:r>
      <w:r>
        <w:rPr>
          <w:lang w:val="es-ES"/>
        </w:rPr>
        <w:t>los flujos</w:t>
      </w:r>
      <w:r w:rsidRPr="009B7DBB">
        <w:rPr>
          <w:lang w:val="es-ES"/>
        </w:rPr>
        <w:t xml:space="preserve"> de valor de </w:t>
      </w:r>
      <w:r w:rsidR="005457EE">
        <w:rPr>
          <w:lang w:val="es-ES"/>
        </w:rPr>
        <w:t>la Unión</w:t>
      </w:r>
      <w:r w:rsidRPr="009B7DBB">
        <w:rPr>
          <w:lang w:val="es-ES"/>
        </w:rPr>
        <w:t xml:space="preserve">, </w:t>
      </w:r>
      <w:r>
        <w:rPr>
          <w:lang w:val="es-ES"/>
        </w:rPr>
        <w:t>y hace hincapié en la prestación de</w:t>
      </w:r>
      <w:r w:rsidRPr="009B7DBB">
        <w:rPr>
          <w:lang w:val="es-ES"/>
        </w:rPr>
        <w:t xml:space="preserve"> servicios a los Estados </w:t>
      </w:r>
      <w:r>
        <w:rPr>
          <w:lang w:val="es-ES"/>
        </w:rPr>
        <w:t>M</w:t>
      </w:r>
      <w:r w:rsidRPr="009B7DBB">
        <w:rPr>
          <w:lang w:val="es-ES"/>
        </w:rPr>
        <w:t xml:space="preserve">iembros, </w:t>
      </w:r>
      <w:r>
        <w:rPr>
          <w:lang w:val="es-ES"/>
        </w:rPr>
        <w:t>el apoyo</w:t>
      </w:r>
      <w:r w:rsidRPr="009B7DBB">
        <w:rPr>
          <w:lang w:val="es-ES"/>
        </w:rPr>
        <w:t xml:space="preserve"> a los </w:t>
      </w:r>
      <w:r>
        <w:rPr>
          <w:lang w:val="es-ES"/>
        </w:rPr>
        <w:t>S</w:t>
      </w:r>
      <w:r w:rsidRPr="009B7DBB">
        <w:rPr>
          <w:lang w:val="es-ES"/>
        </w:rPr>
        <w:t>ectores y</w:t>
      </w:r>
      <w:r>
        <w:rPr>
          <w:lang w:val="es-ES"/>
        </w:rPr>
        <w:t xml:space="preserve"> la capacitación del </w:t>
      </w:r>
      <w:r w:rsidRPr="009B7DBB">
        <w:rPr>
          <w:lang w:val="es-ES"/>
        </w:rPr>
        <w:t xml:space="preserve">personal </w:t>
      </w:r>
      <w:r>
        <w:rPr>
          <w:lang w:val="es-ES"/>
        </w:rPr>
        <w:t>en el cumplimiento de</w:t>
      </w:r>
      <w:r w:rsidRPr="009B7DBB">
        <w:rPr>
          <w:lang w:val="es-ES"/>
        </w:rPr>
        <w:t xml:space="preserve"> su mandato. Se </w:t>
      </w:r>
      <w:r>
        <w:rPr>
          <w:lang w:val="es-ES"/>
        </w:rPr>
        <w:t>desarrolla</w:t>
      </w:r>
      <w:r w:rsidRPr="009B7DBB">
        <w:rPr>
          <w:lang w:val="es-ES"/>
        </w:rPr>
        <w:t xml:space="preserve"> un enfoque integra</w:t>
      </w:r>
      <w:r>
        <w:rPr>
          <w:lang w:val="es-ES"/>
        </w:rPr>
        <w:t>l sobre</w:t>
      </w:r>
      <w:r w:rsidRPr="009B7DBB">
        <w:rPr>
          <w:lang w:val="es-ES"/>
        </w:rPr>
        <w:t xml:space="preserve"> </w:t>
      </w:r>
      <w:r w:rsidR="00642F0D">
        <w:rPr>
          <w:lang w:val="es-ES"/>
        </w:rPr>
        <w:t xml:space="preserve">la </w:t>
      </w:r>
      <w:r w:rsidRPr="009B7DBB">
        <w:rPr>
          <w:lang w:val="es-ES"/>
        </w:rPr>
        <w:t xml:space="preserve">gobernanza de los datos, inteligencia artificial y ciberseguridad, </w:t>
      </w:r>
      <w:r>
        <w:rPr>
          <w:lang w:val="es-ES"/>
        </w:rPr>
        <w:t xml:space="preserve">estrechamente vinculado </w:t>
      </w:r>
      <w:r w:rsidRPr="009B7DBB">
        <w:rPr>
          <w:lang w:val="es-ES"/>
        </w:rPr>
        <w:t xml:space="preserve">con el Consejo, sus </w:t>
      </w:r>
      <w:r>
        <w:rPr>
          <w:lang w:val="es-ES"/>
        </w:rPr>
        <w:t>G</w:t>
      </w:r>
      <w:r w:rsidRPr="009B7DBB">
        <w:rPr>
          <w:lang w:val="es-ES"/>
        </w:rPr>
        <w:t xml:space="preserve">rupos de </w:t>
      </w:r>
      <w:r w:rsidR="00EB2C6A">
        <w:rPr>
          <w:lang w:val="es-ES"/>
        </w:rPr>
        <w:t>T</w:t>
      </w:r>
      <w:r w:rsidRPr="009B7DBB">
        <w:rPr>
          <w:lang w:val="es-ES"/>
        </w:rPr>
        <w:t xml:space="preserve">rabajo y el </w:t>
      </w:r>
      <w:r>
        <w:rPr>
          <w:lang w:val="es-ES"/>
        </w:rPr>
        <w:t>CAIG</w:t>
      </w:r>
      <w:r w:rsidRPr="009B7DBB">
        <w:rPr>
          <w:lang w:val="es-ES"/>
        </w:rPr>
        <w:t>.</w:t>
      </w:r>
    </w:p>
    <w:p w14:paraId="36F80960" w14:textId="76AE2302" w:rsidR="003837AB" w:rsidRPr="009B7DBB" w:rsidRDefault="003837AB" w:rsidP="003837AB">
      <w:pPr>
        <w:rPr>
          <w:lang w:val="es-ES"/>
        </w:rPr>
      </w:pPr>
      <w:r>
        <w:rPr>
          <w:lang w:val="es-ES"/>
        </w:rPr>
        <w:t>40.5</w:t>
      </w:r>
      <w:r>
        <w:rPr>
          <w:lang w:val="es-ES"/>
        </w:rPr>
        <w:tab/>
      </w:r>
      <w:r w:rsidRPr="009B7DBB">
        <w:rPr>
          <w:lang w:val="es-ES"/>
        </w:rPr>
        <w:t>En el marco del plan estratégico</w:t>
      </w:r>
      <w:r w:rsidR="009D511C">
        <w:rPr>
          <w:lang w:val="es-ES"/>
        </w:rPr>
        <w:t xml:space="preserve"> </w:t>
      </w:r>
      <w:r w:rsidR="00991944">
        <w:rPr>
          <w:lang w:val="es-ES"/>
        </w:rPr>
        <w:t>del ISD</w:t>
      </w:r>
      <w:r w:rsidRPr="009B7DBB">
        <w:rPr>
          <w:lang w:val="es-ES"/>
        </w:rPr>
        <w:t xml:space="preserve">, se ha </w:t>
      </w:r>
      <w:r w:rsidR="00991944">
        <w:rPr>
          <w:lang w:val="es-ES"/>
        </w:rPr>
        <w:t>definido</w:t>
      </w:r>
      <w:r w:rsidRPr="009B7DBB">
        <w:rPr>
          <w:lang w:val="es-ES"/>
        </w:rPr>
        <w:t xml:space="preserve"> un marco </w:t>
      </w:r>
      <w:r>
        <w:rPr>
          <w:lang w:val="es-ES"/>
        </w:rPr>
        <w:t>de supervisión del</w:t>
      </w:r>
      <w:r w:rsidRPr="009B7DBB">
        <w:rPr>
          <w:lang w:val="es-ES"/>
        </w:rPr>
        <w:t xml:space="preserve"> rendimiento y </w:t>
      </w:r>
      <w:r w:rsidR="00991944">
        <w:rPr>
          <w:lang w:val="es-ES"/>
        </w:rPr>
        <w:t xml:space="preserve">gestión </w:t>
      </w:r>
      <w:r w:rsidRPr="009B7DBB">
        <w:rPr>
          <w:lang w:val="es-ES"/>
        </w:rPr>
        <w:t>de riesgos. La arquitectura empresarial</w:t>
      </w:r>
      <w:r w:rsidR="00991944">
        <w:rPr>
          <w:lang w:val="es-ES"/>
        </w:rPr>
        <w:t>, como uno de sus ejes esenciales,</w:t>
      </w:r>
      <w:r w:rsidRPr="009B7DBB">
        <w:rPr>
          <w:lang w:val="es-ES"/>
        </w:rPr>
        <w:t xml:space="preserve"> </w:t>
      </w:r>
      <w:r>
        <w:rPr>
          <w:lang w:val="es-ES"/>
        </w:rPr>
        <w:t>proporciona</w:t>
      </w:r>
      <w:r w:rsidRPr="009B7DBB">
        <w:rPr>
          <w:lang w:val="es-ES"/>
        </w:rPr>
        <w:t xml:space="preserve"> una visión </w:t>
      </w:r>
      <w:r w:rsidR="00991944">
        <w:rPr>
          <w:lang w:val="es-ES"/>
        </w:rPr>
        <w:t>clara del panorama de T</w:t>
      </w:r>
      <w:r w:rsidR="00EB2C6A">
        <w:rPr>
          <w:lang w:val="es-ES"/>
        </w:rPr>
        <w:t>I</w:t>
      </w:r>
      <w:r w:rsidRPr="009B7DBB">
        <w:rPr>
          <w:lang w:val="es-ES"/>
        </w:rPr>
        <w:t xml:space="preserve"> en toda </w:t>
      </w:r>
      <w:r w:rsidR="005457EE">
        <w:rPr>
          <w:lang w:val="es-ES"/>
        </w:rPr>
        <w:t>la Unión</w:t>
      </w:r>
      <w:r w:rsidRPr="009B7DBB">
        <w:rPr>
          <w:lang w:val="es-ES"/>
        </w:rPr>
        <w:t xml:space="preserve"> y sus </w:t>
      </w:r>
      <w:r w:rsidR="00991944">
        <w:rPr>
          <w:lang w:val="es-ES"/>
        </w:rPr>
        <w:t>S</w:t>
      </w:r>
      <w:r w:rsidR="00991944" w:rsidRPr="009B7DBB">
        <w:rPr>
          <w:lang w:val="es-ES"/>
        </w:rPr>
        <w:t>ectores</w:t>
      </w:r>
      <w:r w:rsidRPr="009B7DBB">
        <w:rPr>
          <w:lang w:val="es-ES"/>
        </w:rPr>
        <w:t xml:space="preserve">, </w:t>
      </w:r>
      <w:r>
        <w:rPr>
          <w:lang w:val="es-ES"/>
        </w:rPr>
        <w:t>cuy</w:t>
      </w:r>
      <w:r w:rsidR="00991944">
        <w:rPr>
          <w:lang w:val="es-ES"/>
        </w:rPr>
        <w:t>o valor</w:t>
      </w:r>
      <w:r>
        <w:rPr>
          <w:lang w:val="es-ES"/>
        </w:rPr>
        <w:t xml:space="preserve"> ha reconocido</w:t>
      </w:r>
      <w:r w:rsidRPr="009B7DBB">
        <w:rPr>
          <w:lang w:val="es-ES"/>
        </w:rPr>
        <w:t xml:space="preserve"> el </w:t>
      </w:r>
      <w:r>
        <w:rPr>
          <w:lang w:val="es-ES"/>
        </w:rPr>
        <w:t>CAIG</w:t>
      </w:r>
      <w:r w:rsidRPr="009B7DBB">
        <w:rPr>
          <w:lang w:val="es-ES"/>
        </w:rPr>
        <w:t xml:space="preserve">. </w:t>
      </w:r>
      <w:r w:rsidR="00E83666">
        <w:rPr>
          <w:lang w:val="es-ES"/>
        </w:rPr>
        <w:t>Como parte de la iniciativa EA se han emprendido, en colaboración con los Sectores, trabajos concretos para identificar los mínimos actuales y definir las futuras necesidades en materia de capacidad de TIC. Por ejemplo, la colaboración con la BR ha permitido identificar requisitos y capacidades auxiliares en esferas como la ciberseguridad. Ese trabajo contribuirá a avanzar la hoja de ruta de transformación digital interna y a definir prioridades en las decisiones de orden financiero. Además, s</w:t>
      </w:r>
      <w:r w:rsidRPr="009B7DBB">
        <w:rPr>
          <w:lang w:val="es-ES"/>
        </w:rPr>
        <w:t xml:space="preserve">e </w:t>
      </w:r>
      <w:r w:rsidR="00E83666">
        <w:rPr>
          <w:lang w:val="es-ES"/>
        </w:rPr>
        <w:t>está elaborando</w:t>
      </w:r>
      <w:r w:rsidRPr="009B7DBB">
        <w:rPr>
          <w:lang w:val="es-ES"/>
        </w:rPr>
        <w:t xml:space="preserve"> un conjunto de 25 principios </w:t>
      </w:r>
      <w:r w:rsidR="00E83666">
        <w:rPr>
          <w:lang w:val="es-ES"/>
        </w:rPr>
        <w:t xml:space="preserve">aplicables a toda </w:t>
      </w:r>
      <w:r w:rsidR="00103D78">
        <w:rPr>
          <w:lang w:val="es-ES"/>
        </w:rPr>
        <w:t>la UIT</w:t>
      </w:r>
      <w:r w:rsidR="00E83666">
        <w:rPr>
          <w:lang w:val="es-ES"/>
        </w:rPr>
        <w:t xml:space="preserve"> </w:t>
      </w:r>
      <w:r w:rsidRPr="009B7DBB">
        <w:rPr>
          <w:lang w:val="es-ES"/>
        </w:rPr>
        <w:t xml:space="preserve">para </w:t>
      </w:r>
      <w:r w:rsidR="00E83666">
        <w:rPr>
          <w:lang w:val="es-ES"/>
        </w:rPr>
        <w:t>orientar</w:t>
      </w:r>
      <w:r>
        <w:rPr>
          <w:lang w:val="es-ES"/>
        </w:rPr>
        <w:t xml:space="preserve"> la gobernanza, </w:t>
      </w:r>
      <w:r w:rsidR="00E83666">
        <w:rPr>
          <w:lang w:val="es-ES"/>
        </w:rPr>
        <w:t xml:space="preserve">afianzar </w:t>
      </w:r>
      <w:r>
        <w:rPr>
          <w:lang w:val="es-ES"/>
        </w:rPr>
        <w:t xml:space="preserve">la toma de </w:t>
      </w:r>
      <w:r w:rsidRPr="009B7DBB">
        <w:rPr>
          <w:lang w:val="es-ES"/>
        </w:rPr>
        <w:t>decisiones y</w:t>
      </w:r>
      <w:r>
        <w:rPr>
          <w:lang w:val="es-ES"/>
        </w:rPr>
        <w:t xml:space="preserve"> racionaliza</w:t>
      </w:r>
      <w:r w:rsidR="00E83666">
        <w:rPr>
          <w:lang w:val="es-ES"/>
        </w:rPr>
        <w:t>r las</w:t>
      </w:r>
      <w:r w:rsidRPr="009B7DBB">
        <w:rPr>
          <w:lang w:val="es-ES"/>
        </w:rPr>
        <w:t xml:space="preserve"> inversiones y sistemas </w:t>
      </w:r>
      <w:r>
        <w:rPr>
          <w:lang w:val="es-ES"/>
        </w:rPr>
        <w:t>para</w:t>
      </w:r>
      <w:r w:rsidRPr="009B7DBB">
        <w:rPr>
          <w:lang w:val="es-ES"/>
        </w:rPr>
        <w:t xml:space="preserve"> evitar </w:t>
      </w:r>
      <w:r w:rsidR="00054E1C">
        <w:rPr>
          <w:lang w:val="es-ES"/>
        </w:rPr>
        <w:t xml:space="preserve">la </w:t>
      </w:r>
      <w:r w:rsidRPr="009B7DBB">
        <w:rPr>
          <w:lang w:val="es-ES"/>
        </w:rPr>
        <w:t>duplicidad</w:t>
      </w:r>
      <w:r>
        <w:rPr>
          <w:lang w:val="es-ES"/>
        </w:rPr>
        <w:t xml:space="preserve"> de actividades</w:t>
      </w:r>
      <w:r w:rsidRPr="009B7DBB">
        <w:rPr>
          <w:lang w:val="es-ES"/>
        </w:rPr>
        <w:t>.</w:t>
      </w:r>
    </w:p>
    <w:p w14:paraId="7DF656B3" w14:textId="38C1E9BE" w:rsidR="003837AB" w:rsidRPr="001D759A" w:rsidRDefault="003837AB" w:rsidP="00F70066">
      <w:pPr>
        <w:rPr>
          <w:lang w:val="es-ES"/>
        </w:rPr>
      </w:pPr>
      <w:r>
        <w:rPr>
          <w:lang w:val="es-ES"/>
        </w:rPr>
        <w:t>40.6</w:t>
      </w:r>
      <w:r>
        <w:rPr>
          <w:lang w:val="es-ES"/>
        </w:rPr>
        <w:tab/>
        <w:t>Con respecto</w:t>
      </w:r>
      <w:r w:rsidRPr="009B7DBB">
        <w:rPr>
          <w:lang w:val="es-ES"/>
        </w:rPr>
        <w:t xml:space="preserve"> a los vínculos entre EY</w:t>
      </w:r>
      <w:r>
        <w:rPr>
          <w:lang w:val="es-ES"/>
        </w:rPr>
        <w:t xml:space="preserve"> </w:t>
      </w:r>
      <w:r w:rsidRPr="009B7DBB">
        <w:rPr>
          <w:lang w:val="es-ES"/>
        </w:rPr>
        <w:t xml:space="preserve">y el CICE, EY </w:t>
      </w:r>
      <w:r>
        <w:rPr>
          <w:lang w:val="es-ES"/>
        </w:rPr>
        <w:t>llevó</w:t>
      </w:r>
      <w:r w:rsidRPr="009B7DBB">
        <w:rPr>
          <w:lang w:val="es-ES"/>
        </w:rPr>
        <w:t xml:space="preserve"> a cabo una evaluación estratégica </w:t>
      </w:r>
      <w:r>
        <w:rPr>
          <w:lang w:val="es-ES"/>
        </w:rPr>
        <w:t>general</w:t>
      </w:r>
      <w:r w:rsidRPr="009B7DBB">
        <w:rPr>
          <w:lang w:val="es-ES"/>
        </w:rPr>
        <w:t xml:space="preserve"> en 2023. </w:t>
      </w:r>
      <w:r>
        <w:rPr>
          <w:lang w:val="es-ES"/>
        </w:rPr>
        <w:t>Se han registrado muchos cambios</w:t>
      </w:r>
      <w:r w:rsidRPr="009B7DBB">
        <w:rPr>
          <w:lang w:val="es-ES"/>
        </w:rPr>
        <w:t xml:space="preserve"> en el período transcurrido</w:t>
      </w:r>
      <w:r>
        <w:rPr>
          <w:lang w:val="es-ES"/>
        </w:rPr>
        <w:t xml:space="preserve"> desde entonces,</w:t>
      </w:r>
      <w:r w:rsidRPr="009B7DBB">
        <w:rPr>
          <w:lang w:val="es-ES"/>
        </w:rPr>
        <w:t xml:space="preserve"> y </w:t>
      </w:r>
      <w:r>
        <w:rPr>
          <w:lang w:val="es-ES"/>
        </w:rPr>
        <w:t>es necesario realizar</w:t>
      </w:r>
      <w:r w:rsidRPr="009B7DBB">
        <w:rPr>
          <w:lang w:val="es-ES"/>
        </w:rPr>
        <w:t xml:space="preserve"> una evaluación actualizada. </w:t>
      </w:r>
      <w:r w:rsidR="00E83666">
        <w:rPr>
          <w:lang w:val="es-ES"/>
        </w:rPr>
        <w:t>El CICE colaboró en la implementación y lanzamiento</w:t>
      </w:r>
      <w:r w:rsidR="009F3F2D">
        <w:rPr>
          <w:lang w:val="es-ES"/>
        </w:rPr>
        <w:t xml:space="preserve"> </w:t>
      </w:r>
      <w:r w:rsidR="00E83666">
        <w:rPr>
          <w:lang w:val="es-ES"/>
        </w:rPr>
        <w:t xml:space="preserve">del programa Arquitectura empresarial. </w:t>
      </w:r>
      <w:r w:rsidRPr="009B7DBB">
        <w:rPr>
          <w:lang w:val="es-ES"/>
        </w:rPr>
        <w:t xml:space="preserve">En lo </w:t>
      </w:r>
      <w:r>
        <w:rPr>
          <w:lang w:val="es-ES"/>
        </w:rPr>
        <w:t>referente</w:t>
      </w:r>
      <w:r w:rsidRPr="009B7DBB">
        <w:rPr>
          <w:lang w:val="es-ES"/>
        </w:rPr>
        <w:t xml:space="preserve"> al Comité de Alto Nivel sobre Gestión (</w:t>
      </w:r>
      <w:r>
        <w:rPr>
          <w:lang w:val="es-ES"/>
        </w:rPr>
        <w:t>CANG</w:t>
      </w:r>
      <w:r w:rsidRPr="009B7DBB">
        <w:rPr>
          <w:lang w:val="es-ES"/>
        </w:rPr>
        <w:t xml:space="preserve">), </w:t>
      </w:r>
      <w:r w:rsidR="00103D78">
        <w:rPr>
          <w:lang w:val="es-ES"/>
        </w:rPr>
        <w:t>la UIT</w:t>
      </w:r>
      <w:r w:rsidRPr="009B7DBB">
        <w:rPr>
          <w:lang w:val="es-ES"/>
        </w:rPr>
        <w:t xml:space="preserve"> ha participado en varios grupos y ha liderado </w:t>
      </w:r>
      <w:r>
        <w:rPr>
          <w:lang w:val="es-ES"/>
        </w:rPr>
        <w:t>diversas actividades</w:t>
      </w:r>
      <w:r w:rsidRPr="009B7DBB">
        <w:rPr>
          <w:lang w:val="es-ES"/>
        </w:rPr>
        <w:t xml:space="preserve"> del </w:t>
      </w:r>
      <w:r>
        <w:rPr>
          <w:lang w:val="es-ES"/>
        </w:rPr>
        <w:t>CANG</w:t>
      </w:r>
      <w:r w:rsidRPr="009B7DBB">
        <w:rPr>
          <w:lang w:val="es-ES"/>
        </w:rPr>
        <w:t xml:space="preserve"> en el marco de la iniciativa </w:t>
      </w:r>
      <w:r>
        <w:rPr>
          <w:lang w:val="es-ES"/>
        </w:rPr>
        <w:t>ONU</w:t>
      </w:r>
      <w:r w:rsidRPr="009B7DBB">
        <w:rPr>
          <w:lang w:val="es-ES"/>
        </w:rPr>
        <w:t xml:space="preserve">80, </w:t>
      </w:r>
      <w:r>
        <w:rPr>
          <w:lang w:val="es-ES"/>
        </w:rPr>
        <w:t>en particular</w:t>
      </w:r>
      <w:r w:rsidRPr="009B7DBB">
        <w:rPr>
          <w:lang w:val="es-ES"/>
        </w:rPr>
        <w:t xml:space="preserve"> en materia de </w:t>
      </w:r>
      <w:r w:rsidR="00E83666">
        <w:rPr>
          <w:lang w:val="es-ES"/>
        </w:rPr>
        <w:t>utilización de la AI para la traducción y los servicios de conferencias digitales</w:t>
      </w:r>
      <w:r w:rsidRPr="009B7DBB">
        <w:rPr>
          <w:lang w:val="es-ES"/>
        </w:rPr>
        <w:t>.</w:t>
      </w:r>
      <w:r w:rsidR="00E83666">
        <w:rPr>
          <w:lang w:val="es-ES"/>
        </w:rPr>
        <w:t xml:space="preserve"> Esta estrategia se adecúa perfectamente al GT15 de ONU80. Centrarse en un núcleo digital resiliente, plataformas compartidas, la nube, la ciberseguridad y una arquitectura empresarial obra directamente en pro del objetivo de reducir la fragmentación y aprovechar la compartición de tecnologías en el sistema de las </w:t>
      </w:r>
      <w:r w:rsidR="000E31A1">
        <w:rPr>
          <w:lang w:val="es-ES"/>
        </w:rPr>
        <w:t>Naciones Unidas</w:t>
      </w:r>
      <w:r w:rsidR="00E83666">
        <w:rPr>
          <w:lang w:val="es-ES"/>
        </w:rPr>
        <w:t>.</w:t>
      </w:r>
    </w:p>
    <w:p w14:paraId="5B4FCDA6" w14:textId="471CE784" w:rsidR="00F70066" w:rsidRPr="001D759A" w:rsidRDefault="009B346F" w:rsidP="008B73D9">
      <w:pPr>
        <w:spacing w:after="120"/>
        <w:rPr>
          <w:lang w:val="es-ES"/>
        </w:rPr>
      </w:pPr>
      <w:r>
        <w:rPr>
          <w:lang w:val="es-ES"/>
        </w:rPr>
        <w:t>40</w:t>
      </w:r>
      <w:r w:rsidR="00F70066" w:rsidRPr="001D759A">
        <w:rPr>
          <w:lang w:val="es-ES"/>
        </w:rPr>
        <w:t>.</w:t>
      </w:r>
      <w:r w:rsidR="00955BE1">
        <w:rPr>
          <w:lang w:val="es-ES"/>
        </w:rPr>
        <w:t>7</w:t>
      </w:r>
      <w:r w:rsidR="00F70066" w:rsidRPr="001D759A">
        <w:rPr>
          <w:lang w:val="es-ES"/>
        </w:rPr>
        <w:tab/>
        <w:t xml:space="preserve">La Comisión </w:t>
      </w:r>
      <w:r w:rsidR="00F70066" w:rsidRPr="001D759A">
        <w:rPr>
          <w:b/>
          <w:bCs/>
          <w:lang w:val="es-ES"/>
        </w:rPr>
        <w:t>acordó</w:t>
      </w:r>
      <w:r w:rsidR="00F70066" w:rsidRPr="001D759A">
        <w:rPr>
          <w:lang w:val="es-ES"/>
        </w:rPr>
        <w:t xml:space="preserve"> llegar a la siguiente conclusión:</w:t>
      </w:r>
    </w:p>
    <w:tbl>
      <w:tblPr>
        <w:tblStyle w:val="TableGrid"/>
        <w:tblW w:w="5000" w:type="pct"/>
        <w:tblInd w:w="-147" w:type="dxa"/>
        <w:tblLook w:val="04A0" w:firstRow="1" w:lastRow="0" w:firstColumn="1" w:lastColumn="0" w:noHBand="0" w:noVBand="1"/>
      </w:tblPr>
      <w:tblGrid>
        <w:gridCol w:w="9061"/>
      </w:tblGrid>
      <w:tr w:rsidR="00F70066" w:rsidRPr="0057685D" w14:paraId="7B70B5FE" w14:textId="77777777" w:rsidTr="00950DAB">
        <w:tc>
          <w:tcPr>
            <w:tcW w:w="9208" w:type="dxa"/>
            <w:hideMark/>
          </w:tcPr>
          <w:p w14:paraId="1F913FF5" w14:textId="5302BB19" w:rsidR="00F70066" w:rsidRPr="001D759A" w:rsidRDefault="009B346F" w:rsidP="008B73D9">
            <w:pPr>
              <w:tabs>
                <w:tab w:val="clear" w:pos="567"/>
                <w:tab w:val="left" w:pos="605"/>
              </w:tabs>
              <w:spacing w:after="80"/>
              <w:ind w:left="40"/>
              <w:rPr>
                <w:lang w:val="es-ES"/>
              </w:rPr>
            </w:pPr>
            <w:r>
              <w:rPr>
                <w:rFonts w:eastAsia="Calibri" w:cs="Calibri"/>
                <w:lang w:val="es-ES"/>
              </w:rPr>
              <w:t>40</w:t>
            </w:r>
            <w:r w:rsidR="00F70066" w:rsidRPr="001D759A">
              <w:rPr>
                <w:rFonts w:eastAsia="Calibri" w:cs="Calibri"/>
                <w:szCs w:val="24"/>
                <w:lang w:val="es-ES"/>
              </w:rPr>
              <w:t>.</w:t>
            </w:r>
            <w:r w:rsidR="00955BE1">
              <w:rPr>
                <w:rFonts w:eastAsia="Calibri" w:cs="Calibri"/>
                <w:szCs w:val="24"/>
                <w:lang w:val="es-ES"/>
              </w:rPr>
              <w:t>8</w:t>
            </w:r>
            <w:r w:rsidR="00F70066" w:rsidRPr="001D759A">
              <w:rPr>
                <w:lang w:val="es-ES"/>
              </w:rPr>
              <w:tab/>
              <w:t>La Comisión recomienda al Consejo que:</w:t>
            </w:r>
          </w:p>
          <w:p w14:paraId="224F6E00" w14:textId="586EBAF7" w:rsidR="00F70066" w:rsidRPr="001D759A" w:rsidRDefault="00F70066" w:rsidP="00955BE1">
            <w:pPr>
              <w:pStyle w:val="enumlev1"/>
              <w:tabs>
                <w:tab w:val="clear" w:pos="567"/>
              </w:tabs>
              <w:ind w:left="605"/>
              <w:rPr>
                <w:lang w:val="es-ES"/>
              </w:rPr>
            </w:pPr>
            <w:r w:rsidRPr="001D759A">
              <w:rPr>
                <w:lang w:val="es-ES"/>
              </w:rPr>
              <w:t>•</w:t>
            </w:r>
            <w:r w:rsidRPr="001D759A">
              <w:rPr>
                <w:lang w:val="es-ES"/>
              </w:rPr>
              <w:tab/>
            </w:r>
            <w:r w:rsidR="003837AB" w:rsidRPr="009B7DBB">
              <w:rPr>
                <w:lang w:val="es-ES"/>
              </w:rPr>
              <w:t xml:space="preserve">tome nota de los </w:t>
            </w:r>
            <w:r w:rsidR="003837AB">
              <w:rPr>
                <w:lang w:val="es-ES"/>
              </w:rPr>
              <w:t xml:space="preserve">progresos descritos </w:t>
            </w:r>
            <w:r w:rsidR="003837AB" w:rsidRPr="009B7DBB">
              <w:rPr>
                <w:lang w:val="es-ES"/>
              </w:rPr>
              <w:t xml:space="preserve">en el </w:t>
            </w:r>
            <w:r w:rsidR="003837AB">
              <w:rPr>
                <w:lang w:val="es-ES"/>
              </w:rPr>
              <w:t>D</w:t>
            </w:r>
            <w:r w:rsidR="003837AB" w:rsidRPr="009B7DBB">
              <w:rPr>
                <w:lang w:val="es-ES"/>
              </w:rPr>
              <w:t>ocumento</w:t>
            </w:r>
            <w:r w:rsidR="003837AB">
              <w:rPr>
                <w:lang w:val="es-ES"/>
              </w:rPr>
              <w:t xml:space="preserve"> </w:t>
            </w:r>
            <w:hyperlink r:id="rId159" w:history="1">
              <w:r w:rsidR="003837AB" w:rsidRPr="00F61806">
                <w:rPr>
                  <w:rStyle w:val="Hyperlink"/>
                  <w:rFonts w:cs="Times New Roman"/>
                  <w:szCs w:val="20"/>
                  <w:lang w:val="es-ES"/>
                </w:rPr>
                <w:t>C26/62</w:t>
              </w:r>
            </w:hyperlink>
            <w:r w:rsidRPr="001D759A">
              <w:rPr>
                <w:lang w:val="es-ES"/>
              </w:rPr>
              <w:t>;</w:t>
            </w:r>
          </w:p>
          <w:p w14:paraId="610D2CFC" w14:textId="2F1C8D84" w:rsidR="00F70066" w:rsidRDefault="00F70066" w:rsidP="00955BE1">
            <w:pPr>
              <w:pStyle w:val="enumlev1"/>
              <w:tabs>
                <w:tab w:val="clear" w:pos="567"/>
              </w:tabs>
              <w:spacing w:after="120"/>
              <w:ind w:left="605"/>
              <w:rPr>
                <w:rFonts w:cs="Calibri"/>
                <w:szCs w:val="24"/>
                <w:lang w:val="es-ES"/>
              </w:rPr>
            </w:pPr>
            <w:r w:rsidRPr="001D759A">
              <w:rPr>
                <w:lang w:val="es-ES"/>
              </w:rPr>
              <w:t>•</w:t>
            </w:r>
            <w:r w:rsidRPr="001D759A">
              <w:rPr>
                <w:lang w:val="es-ES"/>
              </w:rPr>
              <w:tab/>
            </w:r>
            <w:r w:rsidR="003837AB" w:rsidRPr="009B7DBB">
              <w:rPr>
                <w:lang w:val="es-ES"/>
              </w:rPr>
              <w:t>proporcione</w:t>
            </w:r>
            <w:r w:rsidR="003837AB">
              <w:rPr>
                <w:lang w:val="es-ES"/>
              </w:rPr>
              <w:t>, en su caso,</w:t>
            </w:r>
            <w:r w:rsidR="003837AB" w:rsidRPr="009B7DBB">
              <w:rPr>
                <w:lang w:val="es-ES"/>
              </w:rPr>
              <w:t xml:space="preserve"> las orientaciones </w:t>
            </w:r>
            <w:r w:rsidR="003837AB">
              <w:rPr>
                <w:lang w:val="es-ES"/>
              </w:rPr>
              <w:t>pertinentes</w:t>
            </w:r>
            <w:r w:rsidR="00BB0238">
              <w:rPr>
                <w:rFonts w:cs="Calibri"/>
                <w:szCs w:val="24"/>
                <w:lang w:val="es-ES"/>
              </w:rPr>
              <w:t>;</w:t>
            </w:r>
          </w:p>
          <w:p w14:paraId="5DF40335" w14:textId="7705B860" w:rsidR="00BB0238" w:rsidRPr="00BB0238" w:rsidRDefault="002020A7" w:rsidP="002020A7">
            <w:pPr>
              <w:pStyle w:val="enumlev1"/>
              <w:tabs>
                <w:tab w:val="clear" w:pos="567"/>
              </w:tabs>
              <w:ind w:left="605"/>
              <w:rPr>
                <w:lang w:val="es-ES"/>
              </w:rPr>
            </w:pPr>
            <w:r w:rsidRPr="001D759A">
              <w:rPr>
                <w:lang w:val="es-ES"/>
              </w:rPr>
              <w:t>•</w:t>
            </w:r>
            <w:r w:rsidRPr="001D759A">
              <w:rPr>
                <w:lang w:val="es-ES"/>
              </w:rPr>
              <w:tab/>
            </w:r>
            <w:r>
              <w:rPr>
                <w:lang w:val="es-ES"/>
              </w:rPr>
              <w:t>i</w:t>
            </w:r>
            <w:r w:rsidR="00BB0238" w:rsidRPr="002020A7">
              <w:rPr>
                <w:lang w:val="es-ES"/>
              </w:rPr>
              <w:t>nvite</w:t>
            </w:r>
            <w:r w:rsidR="00BB0238">
              <w:rPr>
                <w:rFonts w:cs="Calibri"/>
                <w:szCs w:val="24"/>
                <w:lang w:val="es-ES"/>
              </w:rPr>
              <w:t xml:space="preserve"> a la Secretaría a presentar su proyecto de estrategia de transformación digital a la consideración del GTC-RHF; y</w:t>
            </w:r>
          </w:p>
          <w:p w14:paraId="5C3BC13A" w14:textId="1DD8CECE" w:rsidR="00BB0238" w:rsidRPr="001D759A" w:rsidRDefault="002020A7" w:rsidP="002020A7">
            <w:pPr>
              <w:pStyle w:val="enumlev1"/>
              <w:tabs>
                <w:tab w:val="clear" w:pos="567"/>
              </w:tabs>
              <w:spacing w:after="120"/>
              <w:ind w:left="605"/>
              <w:rPr>
                <w:lang w:val="es-ES"/>
              </w:rPr>
            </w:pPr>
            <w:r w:rsidRPr="001D759A">
              <w:rPr>
                <w:lang w:val="es-ES"/>
              </w:rPr>
              <w:t>•</w:t>
            </w:r>
            <w:r w:rsidRPr="001D759A">
              <w:rPr>
                <w:lang w:val="es-ES"/>
              </w:rPr>
              <w:tab/>
            </w:r>
            <w:r w:rsidR="00184AC5">
              <w:rPr>
                <w:lang w:val="es-ES"/>
              </w:rPr>
              <w:t>informe</w:t>
            </w:r>
            <w:r w:rsidR="00BB0238">
              <w:rPr>
                <w:lang w:val="es-ES"/>
              </w:rPr>
              <w:t xml:space="preserve"> periódicamente al GTC-RHF sobre las actividades relacionadas con las TI y la transformación digital.</w:t>
            </w:r>
          </w:p>
        </w:tc>
      </w:tr>
    </w:tbl>
    <w:p w14:paraId="2E02CF01" w14:textId="73B3422C" w:rsidR="00F70066" w:rsidRPr="001D759A" w:rsidRDefault="009B346F" w:rsidP="00F70066">
      <w:pPr>
        <w:pStyle w:val="Heading1"/>
        <w:rPr>
          <w:lang w:val="es-ES"/>
        </w:rPr>
      </w:pPr>
      <w:r>
        <w:rPr>
          <w:lang w:val="es-ES"/>
        </w:rPr>
        <w:lastRenderedPageBreak/>
        <w:t>41</w:t>
      </w:r>
      <w:r w:rsidR="00F70066" w:rsidRPr="001D759A">
        <w:rPr>
          <w:lang w:val="es-ES"/>
        </w:rPr>
        <w:tab/>
        <w:t xml:space="preserve">Mejora de la coordinación intersectorial en </w:t>
      </w:r>
      <w:r w:rsidR="00103D78">
        <w:rPr>
          <w:lang w:val="es-ES"/>
        </w:rPr>
        <w:t>la UIT</w:t>
      </w:r>
      <w:r w:rsidR="00F70066" w:rsidRPr="001D759A">
        <w:rPr>
          <w:lang w:val="es-ES"/>
        </w:rPr>
        <w:t xml:space="preserve"> (Documento </w:t>
      </w:r>
      <w:hyperlink r:id="rId160" w:history="1">
        <w:r w:rsidR="00F70066" w:rsidRPr="001D759A">
          <w:rPr>
            <w:rStyle w:val="Hyperlink"/>
            <w:rFonts w:eastAsia="Times New Roman" w:cs="Times New Roman"/>
            <w:szCs w:val="20"/>
            <w:lang w:val="es-ES"/>
          </w:rPr>
          <w:t>C26/27</w:t>
        </w:r>
      </w:hyperlink>
      <w:r w:rsidR="00F70066" w:rsidRPr="001D759A">
        <w:rPr>
          <w:lang w:val="es-ES"/>
        </w:rPr>
        <w:t>)</w:t>
      </w:r>
    </w:p>
    <w:p w14:paraId="3CCC2B69" w14:textId="39DB81BD" w:rsidR="00F70066" w:rsidRPr="001D759A" w:rsidRDefault="00393A84" w:rsidP="00393A84">
      <w:pPr>
        <w:pStyle w:val="Heading1"/>
        <w:spacing w:before="160"/>
        <w:rPr>
          <w:lang w:val="es-ES"/>
        </w:rPr>
      </w:pPr>
      <w:r>
        <w:rPr>
          <w:lang w:val="es-ES"/>
        </w:rPr>
        <w:tab/>
      </w:r>
      <w:proofErr w:type="spellStart"/>
      <w:r w:rsidR="00F70066" w:rsidRPr="00393A84">
        <w:t>Propuesta</w:t>
      </w:r>
      <w:proofErr w:type="spellEnd"/>
      <w:r w:rsidR="00F70066" w:rsidRPr="001D759A">
        <w:rPr>
          <w:lang w:val="es-ES"/>
        </w:rPr>
        <w:t xml:space="preserve"> de revisión de la Resolución 191 (Rev. Bucarest, 2022) de la </w:t>
      </w:r>
      <w:proofErr w:type="spellStart"/>
      <w:r w:rsidR="00F70066" w:rsidRPr="00393A84">
        <w:t>Conferencia</w:t>
      </w:r>
      <w:proofErr w:type="spellEnd"/>
      <w:r w:rsidR="00F70066" w:rsidRPr="001D759A">
        <w:rPr>
          <w:lang w:val="es-ES"/>
        </w:rPr>
        <w:t xml:space="preserve"> de Plenipotenciarios sobre la estrategia de coordinación de los trabajos</w:t>
      </w:r>
      <w:r>
        <w:rPr>
          <w:lang w:val="es-ES"/>
        </w:rPr>
        <w:t xml:space="preserve"> </w:t>
      </w:r>
      <w:r w:rsidR="00F70066" w:rsidRPr="001D759A">
        <w:rPr>
          <w:lang w:val="es-ES"/>
        </w:rPr>
        <w:t>de los</w:t>
      </w:r>
      <w:r w:rsidR="00F47D7B">
        <w:rPr>
          <w:lang w:val="es-ES"/>
        </w:rPr>
        <w:t xml:space="preserve"> </w:t>
      </w:r>
      <w:r w:rsidR="00F70066" w:rsidRPr="001D759A">
        <w:rPr>
          <w:lang w:val="es-ES"/>
        </w:rPr>
        <w:t xml:space="preserve">tres sectores de </w:t>
      </w:r>
      <w:r w:rsidR="005457EE">
        <w:rPr>
          <w:lang w:val="es-ES"/>
        </w:rPr>
        <w:t>la Unión</w:t>
      </w:r>
      <w:r w:rsidR="00F70066" w:rsidRPr="001D759A">
        <w:rPr>
          <w:lang w:val="es-ES"/>
        </w:rPr>
        <w:t xml:space="preserve"> (Documento </w:t>
      </w:r>
      <w:hyperlink r:id="rId161" w:history="1">
        <w:r w:rsidR="00F70066" w:rsidRPr="001D759A">
          <w:rPr>
            <w:rStyle w:val="Hyperlink"/>
            <w:rFonts w:eastAsia="Times New Roman" w:cs="Times New Roman"/>
            <w:szCs w:val="20"/>
            <w:lang w:val="es-ES"/>
          </w:rPr>
          <w:t>C26/89</w:t>
        </w:r>
      </w:hyperlink>
      <w:r w:rsidR="00F70066" w:rsidRPr="001D759A">
        <w:rPr>
          <w:lang w:val="es-ES"/>
        </w:rPr>
        <w:t>)</w:t>
      </w:r>
    </w:p>
    <w:p w14:paraId="7FAA3102" w14:textId="350D13B1" w:rsidR="00F70066" w:rsidRPr="001D759A" w:rsidRDefault="00393A84" w:rsidP="00393A84">
      <w:pPr>
        <w:pStyle w:val="Heading1"/>
        <w:spacing w:before="160"/>
        <w:rPr>
          <w:lang w:val="es-ES"/>
        </w:rPr>
      </w:pPr>
      <w:r>
        <w:rPr>
          <w:lang w:val="es-ES"/>
        </w:rPr>
        <w:tab/>
      </w:r>
      <w:proofErr w:type="spellStart"/>
      <w:r w:rsidR="00F70066" w:rsidRPr="00393A84">
        <w:t>Propuesta</w:t>
      </w:r>
      <w:proofErr w:type="spellEnd"/>
      <w:r w:rsidR="00F70066" w:rsidRPr="001D759A">
        <w:rPr>
          <w:lang w:val="es-ES"/>
        </w:rPr>
        <w:t xml:space="preserve"> de revisión de la Resolución 58 (Rev. </w:t>
      </w:r>
      <w:proofErr w:type="spellStart"/>
      <w:r w:rsidR="00F70066" w:rsidRPr="001D759A">
        <w:rPr>
          <w:lang w:val="es-ES"/>
        </w:rPr>
        <w:t>Busán</w:t>
      </w:r>
      <w:proofErr w:type="spellEnd"/>
      <w:r w:rsidR="00F70066" w:rsidRPr="001D759A">
        <w:rPr>
          <w:lang w:val="es-ES"/>
        </w:rPr>
        <w:t>, 2014) de la Conferencia</w:t>
      </w:r>
      <w:r>
        <w:rPr>
          <w:lang w:val="es-ES"/>
        </w:rPr>
        <w:t xml:space="preserve"> </w:t>
      </w:r>
      <w:r w:rsidR="00F70066" w:rsidRPr="001D759A">
        <w:rPr>
          <w:lang w:val="es-ES"/>
        </w:rPr>
        <w:t xml:space="preserve">de Plenipotenciarios (Documento </w:t>
      </w:r>
      <w:hyperlink r:id="rId162" w:history="1">
        <w:r w:rsidR="00F70066" w:rsidRPr="001D759A">
          <w:rPr>
            <w:rStyle w:val="Hyperlink"/>
            <w:rFonts w:eastAsia="Times New Roman" w:cs="Times New Roman"/>
            <w:szCs w:val="20"/>
            <w:lang w:val="es-ES"/>
          </w:rPr>
          <w:t>C26/88</w:t>
        </w:r>
      </w:hyperlink>
      <w:r w:rsidR="00F70066" w:rsidRPr="001D759A">
        <w:rPr>
          <w:lang w:val="es-ES"/>
        </w:rPr>
        <w:t>)</w:t>
      </w:r>
    </w:p>
    <w:p w14:paraId="27F40B07" w14:textId="012CE297" w:rsidR="00CB728E" w:rsidRPr="00463E74" w:rsidRDefault="00CB728E" w:rsidP="00CB728E">
      <w:pPr>
        <w:rPr>
          <w:lang w:val="es-ES"/>
        </w:rPr>
      </w:pPr>
      <w:r w:rsidRPr="00463E74">
        <w:rPr>
          <w:lang w:val="es-ES"/>
        </w:rPr>
        <w:t>41.1</w:t>
      </w:r>
      <w:r w:rsidRPr="0028296E">
        <w:rPr>
          <w:lang w:val="es-ES"/>
        </w:rPr>
        <w:tab/>
      </w:r>
      <w:r w:rsidRPr="00463E74">
        <w:rPr>
          <w:lang w:val="es-ES"/>
        </w:rPr>
        <w:t xml:space="preserve">Un representante de la Secretaría General presentó el informe que figura en el Documento C26/27 sobre la mejora de la coordinación intersectorial en </w:t>
      </w:r>
      <w:r w:rsidR="00103D78">
        <w:rPr>
          <w:lang w:val="es-ES"/>
        </w:rPr>
        <w:t>la UIT</w:t>
      </w:r>
      <w:r w:rsidRPr="00463E74">
        <w:rPr>
          <w:lang w:val="es-ES"/>
        </w:rPr>
        <w:t xml:space="preserve">. El informe aborda la aplicación de la Resolución 191 (Rev. Bucarest, 2022) de la Conferencia de Plenipotenciarios, relativa a la estrategia de coordinación de las actividades de los tres Sectores de </w:t>
      </w:r>
      <w:r w:rsidR="005457EE">
        <w:rPr>
          <w:lang w:val="es-ES"/>
        </w:rPr>
        <w:t>la Unión</w:t>
      </w:r>
      <w:r w:rsidRPr="00463E74">
        <w:rPr>
          <w:lang w:val="es-ES"/>
        </w:rPr>
        <w:t xml:space="preserve"> y la Secretaría General. En </w:t>
      </w:r>
      <w:r w:rsidR="00EB2C6A">
        <w:rPr>
          <w:lang w:val="es-ES"/>
        </w:rPr>
        <w:t xml:space="preserve">él </w:t>
      </w:r>
      <w:r w:rsidRPr="00463E74">
        <w:rPr>
          <w:lang w:val="es-ES"/>
        </w:rPr>
        <w:t>se reseña la labor administrativa realizada por la Secretaría, se destaca la lista actualizada de temas que requieren coordinación intersectorial y la correspondiente recopilación de resoluciones, y se sintetiza la labor del Grupo de Coordinación Intersectorial (GCIS) sobre cuestiones de interés mutuo.</w:t>
      </w:r>
    </w:p>
    <w:p w14:paraId="5857E2C2" w14:textId="240DF6F0" w:rsidR="00CB728E" w:rsidRPr="0028296E" w:rsidRDefault="00CB728E" w:rsidP="00CB728E">
      <w:pPr>
        <w:rPr>
          <w:lang w:val="es-ES"/>
        </w:rPr>
      </w:pPr>
      <w:r w:rsidRPr="0028296E">
        <w:rPr>
          <w:lang w:val="es-ES"/>
        </w:rPr>
        <w:t>41.2</w:t>
      </w:r>
      <w:r w:rsidRPr="0028296E">
        <w:rPr>
          <w:lang w:val="es-ES"/>
        </w:rPr>
        <w:tab/>
        <w:t xml:space="preserve">El </w:t>
      </w:r>
      <w:r>
        <w:rPr>
          <w:lang w:val="es-ES"/>
        </w:rPr>
        <w:t>P</w:t>
      </w:r>
      <w:r w:rsidRPr="0028296E">
        <w:rPr>
          <w:lang w:val="es-ES"/>
        </w:rPr>
        <w:t xml:space="preserve">residente del </w:t>
      </w:r>
      <w:r>
        <w:rPr>
          <w:lang w:val="es-ES"/>
        </w:rPr>
        <w:t>GCIS</w:t>
      </w:r>
      <w:r w:rsidRPr="0028296E">
        <w:rPr>
          <w:lang w:val="es-ES"/>
        </w:rPr>
        <w:t xml:space="preserve"> presentó una visión general de la labor del Grupo, tal y como se refleja en </w:t>
      </w:r>
      <w:r w:rsidRPr="00463E74">
        <w:rPr>
          <w:lang w:val="es-ES"/>
        </w:rPr>
        <w:t xml:space="preserve">el Documento C26/27. Explicó que </w:t>
      </w:r>
      <w:r w:rsidRPr="0028296E">
        <w:rPr>
          <w:lang w:val="es-ES"/>
        </w:rPr>
        <w:t xml:space="preserve">el </w:t>
      </w:r>
      <w:r>
        <w:rPr>
          <w:lang w:val="es-ES"/>
        </w:rPr>
        <w:t>GCIS</w:t>
      </w:r>
      <w:r w:rsidRPr="0028296E">
        <w:rPr>
          <w:lang w:val="es-ES"/>
        </w:rPr>
        <w:t xml:space="preserve"> </w:t>
      </w:r>
      <w:r w:rsidR="00EB2C6A">
        <w:rPr>
          <w:lang w:val="es-ES"/>
        </w:rPr>
        <w:t>constituía</w:t>
      </w:r>
      <w:r w:rsidRPr="0028296E">
        <w:rPr>
          <w:lang w:val="es-ES"/>
        </w:rPr>
        <w:t xml:space="preserve"> un mecanismo </w:t>
      </w:r>
      <w:r>
        <w:rPr>
          <w:lang w:val="es-ES"/>
        </w:rPr>
        <w:t>basado en</w:t>
      </w:r>
      <w:r w:rsidRPr="0028296E">
        <w:rPr>
          <w:lang w:val="es-ES"/>
        </w:rPr>
        <w:t xml:space="preserve"> contribuciones, que ha</w:t>
      </w:r>
      <w:r w:rsidR="00EB2C6A">
        <w:rPr>
          <w:lang w:val="es-ES"/>
        </w:rPr>
        <w:t>bía</w:t>
      </w:r>
      <w:r w:rsidRPr="0028296E">
        <w:rPr>
          <w:lang w:val="es-ES"/>
        </w:rPr>
        <w:t xml:space="preserve"> </w:t>
      </w:r>
      <w:r>
        <w:rPr>
          <w:lang w:val="es-ES"/>
        </w:rPr>
        <w:t>contado</w:t>
      </w:r>
      <w:r w:rsidRPr="0028296E">
        <w:rPr>
          <w:lang w:val="es-ES"/>
        </w:rPr>
        <w:t xml:space="preserve"> con la </w:t>
      </w:r>
      <w:proofErr w:type="gramStart"/>
      <w:r w:rsidRPr="0028296E">
        <w:rPr>
          <w:lang w:val="es-ES"/>
        </w:rPr>
        <w:t>participación activa</w:t>
      </w:r>
      <w:proofErr w:type="gramEnd"/>
      <w:r w:rsidRPr="0028296E">
        <w:rPr>
          <w:lang w:val="es-ES"/>
        </w:rPr>
        <w:t xml:space="preserve"> de los Grupos Asesores de </w:t>
      </w:r>
      <w:r>
        <w:rPr>
          <w:lang w:val="es-ES"/>
        </w:rPr>
        <w:t xml:space="preserve">los </w:t>
      </w:r>
      <w:r w:rsidRPr="0028296E">
        <w:rPr>
          <w:lang w:val="es-ES"/>
        </w:rPr>
        <w:t>Sector</w:t>
      </w:r>
      <w:r>
        <w:rPr>
          <w:lang w:val="es-ES"/>
        </w:rPr>
        <w:t>es</w:t>
      </w:r>
      <w:r w:rsidRPr="0028296E">
        <w:rPr>
          <w:lang w:val="es-ES"/>
        </w:rPr>
        <w:t xml:space="preserve"> y ha</w:t>
      </w:r>
      <w:r w:rsidR="00EB2C6A">
        <w:rPr>
          <w:lang w:val="es-ES"/>
        </w:rPr>
        <w:t>bía</w:t>
      </w:r>
      <w:r w:rsidRPr="0028296E">
        <w:rPr>
          <w:lang w:val="es-ES"/>
        </w:rPr>
        <w:t xml:space="preserve"> desempeñado un papel clave en el fortalecimiento de la coordinación entre los miembros de </w:t>
      </w:r>
      <w:r w:rsidR="00103D78">
        <w:rPr>
          <w:lang w:val="es-ES"/>
        </w:rPr>
        <w:t>la UIT</w:t>
      </w:r>
      <w:r w:rsidRPr="0028296E">
        <w:rPr>
          <w:lang w:val="es-ES"/>
        </w:rPr>
        <w:t xml:space="preserve">. Sus actividades </w:t>
      </w:r>
      <w:r>
        <w:rPr>
          <w:lang w:val="es-ES"/>
        </w:rPr>
        <w:t>hacen hincapié</w:t>
      </w:r>
      <w:r w:rsidRPr="0028296E">
        <w:rPr>
          <w:lang w:val="es-ES"/>
        </w:rPr>
        <w:t xml:space="preserve"> en </w:t>
      </w:r>
      <w:r>
        <w:rPr>
          <w:lang w:val="es-ES"/>
        </w:rPr>
        <w:t>esferas</w:t>
      </w:r>
      <w:r w:rsidRPr="0028296E">
        <w:rPr>
          <w:lang w:val="es-ES"/>
        </w:rPr>
        <w:t xml:space="preserve"> temáticas, </w:t>
      </w:r>
      <w:r>
        <w:rPr>
          <w:lang w:val="es-ES"/>
        </w:rPr>
        <w:t>ampliadas</w:t>
      </w:r>
      <w:r w:rsidRPr="0028296E">
        <w:rPr>
          <w:lang w:val="es-ES"/>
        </w:rPr>
        <w:t xml:space="preserve"> recientemente para incluir la participación </w:t>
      </w:r>
      <w:r>
        <w:rPr>
          <w:lang w:val="es-ES"/>
        </w:rPr>
        <w:t>del sector industrial</w:t>
      </w:r>
      <w:r w:rsidRPr="0028296E">
        <w:rPr>
          <w:lang w:val="es-ES"/>
        </w:rPr>
        <w:t xml:space="preserve">. El </w:t>
      </w:r>
      <w:r>
        <w:rPr>
          <w:lang w:val="es-ES"/>
        </w:rPr>
        <w:t>GCIS</w:t>
      </w:r>
      <w:r w:rsidRPr="0028296E">
        <w:rPr>
          <w:lang w:val="es-ES"/>
        </w:rPr>
        <w:t xml:space="preserve"> ha establecido un </w:t>
      </w:r>
      <w:r>
        <w:rPr>
          <w:lang w:val="es-ES"/>
        </w:rPr>
        <w:t>G</w:t>
      </w:r>
      <w:r w:rsidRPr="0028296E">
        <w:rPr>
          <w:lang w:val="es-ES"/>
        </w:rPr>
        <w:t xml:space="preserve">rupo de </w:t>
      </w:r>
      <w:r>
        <w:rPr>
          <w:lang w:val="es-ES"/>
        </w:rPr>
        <w:t>R</w:t>
      </w:r>
      <w:r w:rsidRPr="0028296E">
        <w:rPr>
          <w:lang w:val="es-ES"/>
        </w:rPr>
        <w:t xml:space="preserve">elator para racionalizar las </w:t>
      </w:r>
      <w:r>
        <w:rPr>
          <w:lang w:val="es-ES"/>
        </w:rPr>
        <w:t>R</w:t>
      </w:r>
      <w:r w:rsidRPr="0028296E">
        <w:rPr>
          <w:lang w:val="es-ES"/>
        </w:rPr>
        <w:t xml:space="preserve">esoluciones y ha añadido la eficiencia como nuevo tema, con el fin de promover el intercambio de prácticas idóneas entre los tres Sectores. Se ha llevado a cabo un ejercicio de </w:t>
      </w:r>
      <w:r>
        <w:rPr>
          <w:lang w:val="es-ES"/>
        </w:rPr>
        <w:t>análisis de correspondencias</w:t>
      </w:r>
      <w:r w:rsidRPr="0028296E">
        <w:rPr>
          <w:lang w:val="es-ES"/>
        </w:rPr>
        <w:t xml:space="preserve"> para mejorar la armonización </w:t>
      </w:r>
      <w:r>
        <w:rPr>
          <w:lang w:val="es-ES"/>
        </w:rPr>
        <w:t>de la labor</w:t>
      </w:r>
      <w:r w:rsidRPr="0028296E">
        <w:rPr>
          <w:lang w:val="es-ES"/>
        </w:rPr>
        <w:t xml:space="preserve"> </w:t>
      </w:r>
      <w:r>
        <w:rPr>
          <w:lang w:val="es-ES"/>
        </w:rPr>
        <w:t>de</w:t>
      </w:r>
      <w:r w:rsidRPr="0028296E">
        <w:rPr>
          <w:lang w:val="es-ES"/>
        </w:rPr>
        <w:t xml:space="preserve"> toda </w:t>
      </w:r>
      <w:r w:rsidR="005457EE">
        <w:rPr>
          <w:lang w:val="es-ES"/>
        </w:rPr>
        <w:t>la Unión</w:t>
      </w:r>
      <w:r w:rsidRPr="0028296E">
        <w:rPr>
          <w:lang w:val="es-ES"/>
        </w:rPr>
        <w:t xml:space="preserve">, </w:t>
      </w:r>
      <w:r>
        <w:rPr>
          <w:lang w:val="es-ES"/>
        </w:rPr>
        <w:t>que se encuentra</w:t>
      </w:r>
      <w:r w:rsidRPr="0028296E">
        <w:rPr>
          <w:lang w:val="es-ES"/>
        </w:rPr>
        <w:t xml:space="preserve"> actualmente en fase de revisión. Se alentó la participación y las contribuciones a la labor del </w:t>
      </w:r>
      <w:r>
        <w:rPr>
          <w:lang w:val="es-ES"/>
        </w:rPr>
        <w:t>GCIS</w:t>
      </w:r>
      <w:r w:rsidRPr="0028296E">
        <w:rPr>
          <w:lang w:val="es-ES"/>
        </w:rPr>
        <w:t xml:space="preserve">. </w:t>
      </w:r>
      <w:r>
        <w:rPr>
          <w:lang w:val="es-ES"/>
        </w:rPr>
        <w:t>Por otro lado, e</w:t>
      </w:r>
      <w:r w:rsidRPr="0028296E">
        <w:rPr>
          <w:lang w:val="es-ES"/>
        </w:rPr>
        <w:t xml:space="preserve">l </w:t>
      </w:r>
      <w:r>
        <w:rPr>
          <w:lang w:val="es-ES"/>
        </w:rPr>
        <w:t>p</w:t>
      </w:r>
      <w:r w:rsidRPr="0028296E">
        <w:rPr>
          <w:lang w:val="es-ES"/>
        </w:rPr>
        <w:t xml:space="preserve">residente informó </w:t>
      </w:r>
      <w:r>
        <w:rPr>
          <w:lang w:val="es-ES"/>
        </w:rPr>
        <w:t>a la Comisión</w:t>
      </w:r>
      <w:r w:rsidRPr="0028296E">
        <w:rPr>
          <w:lang w:val="es-ES"/>
        </w:rPr>
        <w:t xml:space="preserve"> de que el </w:t>
      </w:r>
      <w:r>
        <w:rPr>
          <w:lang w:val="es-ES"/>
        </w:rPr>
        <w:t>GCIS</w:t>
      </w:r>
      <w:r w:rsidRPr="0028296E">
        <w:rPr>
          <w:lang w:val="es-ES"/>
        </w:rPr>
        <w:t xml:space="preserve"> </w:t>
      </w:r>
      <w:r>
        <w:rPr>
          <w:lang w:val="es-ES"/>
        </w:rPr>
        <w:t>había previsto</w:t>
      </w:r>
      <w:r w:rsidRPr="0028296E">
        <w:rPr>
          <w:lang w:val="es-ES"/>
        </w:rPr>
        <w:t xml:space="preserve"> presentar un informe independiente al Consejo para </w:t>
      </w:r>
      <w:r>
        <w:rPr>
          <w:lang w:val="es-ES"/>
        </w:rPr>
        <w:t>fomentar</w:t>
      </w:r>
      <w:r w:rsidRPr="0028296E">
        <w:rPr>
          <w:lang w:val="es-ES"/>
        </w:rPr>
        <w:t xml:space="preserve"> la visibilidad y </w:t>
      </w:r>
      <w:r>
        <w:rPr>
          <w:lang w:val="es-ES"/>
        </w:rPr>
        <w:t>repercusión</w:t>
      </w:r>
      <w:r w:rsidRPr="0028296E">
        <w:rPr>
          <w:lang w:val="es-ES"/>
        </w:rPr>
        <w:t xml:space="preserve"> de su labor.</w:t>
      </w:r>
    </w:p>
    <w:p w14:paraId="3EA316CD" w14:textId="0C857BE8" w:rsidR="00CB728E" w:rsidRPr="0028296E" w:rsidRDefault="00CB728E" w:rsidP="00CB728E">
      <w:pPr>
        <w:rPr>
          <w:lang w:val="es-ES"/>
        </w:rPr>
      </w:pPr>
      <w:r w:rsidRPr="0028296E">
        <w:rPr>
          <w:lang w:val="es-ES"/>
        </w:rPr>
        <w:t>41.3</w:t>
      </w:r>
      <w:r w:rsidRPr="0028296E">
        <w:rPr>
          <w:lang w:val="es-ES"/>
        </w:rPr>
        <w:tab/>
        <w:t xml:space="preserve">Con el apoyo de dos consejeros, el observador de la Federación de Rusia presentó dos contribuciones de varios países en los documentos C26/89 y C26/88, cada una </w:t>
      </w:r>
      <w:r>
        <w:rPr>
          <w:lang w:val="es-ES"/>
        </w:rPr>
        <w:t xml:space="preserve">de ellas </w:t>
      </w:r>
      <w:r w:rsidRPr="0028296E">
        <w:rPr>
          <w:lang w:val="es-ES"/>
        </w:rPr>
        <w:t>en nombre de tres países. Las contribuciones propo</w:t>
      </w:r>
      <w:r>
        <w:rPr>
          <w:lang w:val="es-ES"/>
        </w:rPr>
        <w:t>nen</w:t>
      </w:r>
      <w:r w:rsidRPr="0028296E">
        <w:rPr>
          <w:lang w:val="es-ES"/>
        </w:rPr>
        <w:t xml:space="preserve"> enmiendas a las </w:t>
      </w:r>
      <w:r>
        <w:rPr>
          <w:lang w:val="es-ES"/>
        </w:rPr>
        <w:t>R</w:t>
      </w:r>
      <w:r w:rsidRPr="0028296E">
        <w:rPr>
          <w:lang w:val="es-ES"/>
        </w:rPr>
        <w:t>esoluciones 191 (Rev.</w:t>
      </w:r>
      <w:r w:rsidR="00463E74">
        <w:rPr>
          <w:lang w:val="es-ES"/>
        </w:rPr>
        <w:t> </w:t>
      </w:r>
      <w:r w:rsidRPr="0028296E">
        <w:rPr>
          <w:lang w:val="es-ES"/>
        </w:rPr>
        <w:t xml:space="preserve">Bucarest, 2022) y 58 (Rev. </w:t>
      </w:r>
      <w:proofErr w:type="spellStart"/>
      <w:r w:rsidRPr="0028296E">
        <w:rPr>
          <w:lang w:val="es-ES"/>
        </w:rPr>
        <w:t>Bus</w:t>
      </w:r>
      <w:r w:rsidR="00463E74">
        <w:rPr>
          <w:lang w:val="es-ES"/>
        </w:rPr>
        <w:t>á</w:t>
      </w:r>
      <w:r w:rsidRPr="0028296E">
        <w:rPr>
          <w:lang w:val="es-ES"/>
        </w:rPr>
        <w:t>n</w:t>
      </w:r>
      <w:proofErr w:type="spellEnd"/>
      <w:r w:rsidRPr="0028296E">
        <w:rPr>
          <w:lang w:val="es-ES"/>
        </w:rPr>
        <w:t xml:space="preserve">, 2014), respectivamente. Se </w:t>
      </w:r>
      <w:r>
        <w:rPr>
          <w:lang w:val="es-ES"/>
        </w:rPr>
        <w:t>señaló</w:t>
      </w:r>
      <w:r w:rsidRPr="0028296E">
        <w:rPr>
          <w:lang w:val="es-ES"/>
        </w:rPr>
        <w:t xml:space="preserve"> que las </w:t>
      </w:r>
      <w:r>
        <w:rPr>
          <w:lang w:val="es-ES"/>
        </w:rPr>
        <w:t>propuestas de revisión</w:t>
      </w:r>
      <w:r w:rsidRPr="0028296E">
        <w:rPr>
          <w:lang w:val="es-ES"/>
        </w:rPr>
        <w:t xml:space="preserve"> se habían elaborado teniendo en cuenta las observaciones formuladas durante las consultas </w:t>
      </w:r>
      <w:r>
        <w:rPr>
          <w:lang w:val="es-ES"/>
        </w:rPr>
        <w:t>celebradas en el marco de varios G</w:t>
      </w:r>
      <w:r w:rsidRPr="0028296E">
        <w:rPr>
          <w:lang w:val="es-ES"/>
        </w:rPr>
        <w:t xml:space="preserve">rupos de </w:t>
      </w:r>
      <w:r w:rsidR="00EB2C6A">
        <w:rPr>
          <w:lang w:val="es-ES"/>
        </w:rPr>
        <w:t>T</w:t>
      </w:r>
      <w:r w:rsidRPr="0028296E">
        <w:rPr>
          <w:lang w:val="es-ES"/>
        </w:rPr>
        <w:t xml:space="preserve">rabajo del Consejo, </w:t>
      </w:r>
      <w:r>
        <w:rPr>
          <w:lang w:val="es-ES"/>
        </w:rPr>
        <w:t xml:space="preserve">y que se habían llevado a cabo </w:t>
      </w:r>
      <w:r w:rsidRPr="0028296E">
        <w:rPr>
          <w:lang w:val="es-ES"/>
        </w:rPr>
        <w:t xml:space="preserve">análisis comparativos de las disposiciones de las </w:t>
      </w:r>
      <w:r>
        <w:rPr>
          <w:lang w:val="es-ES"/>
        </w:rPr>
        <w:t>R</w:t>
      </w:r>
      <w:r w:rsidRPr="0028296E">
        <w:rPr>
          <w:lang w:val="es-ES"/>
        </w:rPr>
        <w:t xml:space="preserve">esoluciones y sus correspondientes </w:t>
      </w:r>
      <w:r>
        <w:rPr>
          <w:lang w:val="es-ES"/>
        </w:rPr>
        <w:t>R</w:t>
      </w:r>
      <w:r w:rsidRPr="0028296E">
        <w:rPr>
          <w:lang w:val="es-ES"/>
        </w:rPr>
        <w:t xml:space="preserve">esoluciones </w:t>
      </w:r>
      <w:r>
        <w:rPr>
          <w:lang w:val="es-ES"/>
        </w:rPr>
        <w:t>de cada Sector</w:t>
      </w:r>
      <w:r w:rsidRPr="0028296E">
        <w:rPr>
          <w:lang w:val="es-ES"/>
        </w:rPr>
        <w:t xml:space="preserve">, con miras a mejorar la armonización y reducir </w:t>
      </w:r>
      <w:r>
        <w:rPr>
          <w:lang w:val="es-ES"/>
        </w:rPr>
        <w:t xml:space="preserve">la </w:t>
      </w:r>
      <w:r w:rsidRPr="0028296E">
        <w:rPr>
          <w:lang w:val="es-ES"/>
        </w:rPr>
        <w:t>duplicación</w:t>
      </w:r>
      <w:r>
        <w:rPr>
          <w:lang w:val="es-ES"/>
        </w:rPr>
        <w:t xml:space="preserve"> de actividades</w:t>
      </w:r>
      <w:r w:rsidRPr="0028296E">
        <w:rPr>
          <w:lang w:val="es-ES"/>
        </w:rPr>
        <w:t xml:space="preserve">. En caso de que las </w:t>
      </w:r>
      <w:r>
        <w:rPr>
          <w:lang w:val="es-ES"/>
        </w:rPr>
        <w:t xml:space="preserve">propuestas de </w:t>
      </w:r>
      <w:r w:rsidRPr="0028296E">
        <w:rPr>
          <w:lang w:val="es-ES"/>
        </w:rPr>
        <w:t xml:space="preserve">enmienda se aprueben en la PP-26, la cuestión de la revisión o derogación de las </w:t>
      </w:r>
      <w:r>
        <w:rPr>
          <w:lang w:val="es-ES"/>
        </w:rPr>
        <w:t>R</w:t>
      </w:r>
      <w:r w:rsidRPr="0028296E">
        <w:rPr>
          <w:lang w:val="es-ES"/>
        </w:rPr>
        <w:t xml:space="preserve">esoluciones conexas </w:t>
      </w:r>
      <w:r>
        <w:rPr>
          <w:lang w:val="es-ES"/>
        </w:rPr>
        <w:t>de cada Sector</w:t>
      </w:r>
      <w:r w:rsidRPr="0028296E">
        <w:rPr>
          <w:lang w:val="es-ES"/>
        </w:rPr>
        <w:t xml:space="preserve"> se examinaría en la </w:t>
      </w:r>
      <w:r>
        <w:rPr>
          <w:lang w:val="es-ES"/>
        </w:rPr>
        <w:t>AR</w:t>
      </w:r>
      <w:r w:rsidRPr="0028296E">
        <w:rPr>
          <w:lang w:val="es-ES"/>
        </w:rPr>
        <w:t>-27, la AMNT-28 y la CMDT-29, previa presentación de propuestas por los Estados Miembros y los Miembros de Sector.</w:t>
      </w:r>
    </w:p>
    <w:p w14:paraId="11AE86A6" w14:textId="089ABEF8" w:rsidR="00CB728E" w:rsidRPr="0028296E" w:rsidRDefault="00CB728E" w:rsidP="00CB728E">
      <w:pPr>
        <w:rPr>
          <w:lang w:val="es-ES"/>
        </w:rPr>
      </w:pPr>
      <w:r w:rsidRPr="0028296E">
        <w:rPr>
          <w:lang w:val="es-ES"/>
        </w:rPr>
        <w:t>41.4</w:t>
      </w:r>
      <w:r w:rsidRPr="0028296E">
        <w:rPr>
          <w:lang w:val="es-ES"/>
        </w:rPr>
        <w:tab/>
        <w:t xml:space="preserve">Los consejeros acogieron con satisfacción el informe y la información actualizada facilitada por el </w:t>
      </w:r>
      <w:r>
        <w:rPr>
          <w:lang w:val="es-ES"/>
        </w:rPr>
        <w:t>p</w:t>
      </w:r>
      <w:r w:rsidRPr="0028296E">
        <w:rPr>
          <w:lang w:val="es-ES"/>
        </w:rPr>
        <w:t xml:space="preserve">residente del </w:t>
      </w:r>
      <w:r>
        <w:rPr>
          <w:lang w:val="es-ES"/>
        </w:rPr>
        <w:t>GCIS</w:t>
      </w:r>
      <w:r w:rsidRPr="0028296E">
        <w:rPr>
          <w:lang w:val="es-ES"/>
        </w:rPr>
        <w:t>, y elogiaron la amplia labor realizada para aplicar la Resolución 191 (Rev. Bucarest, 2022). Se hizo hincapié en que la coordinación intersectorial debería ser un proceso continu</w:t>
      </w:r>
      <w:r>
        <w:rPr>
          <w:lang w:val="es-ES"/>
        </w:rPr>
        <w:t>ad</w:t>
      </w:r>
      <w:r w:rsidRPr="0028296E">
        <w:rPr>
          <w:lang w:val="es-ES"/>
        </w:rPr>
        <w:t xml:space="preserve">o en la Secretaría General y las Oficinas, con el fin de </w:t>
      </w:r>
      <w:r>
        <w:rPr>
          <w:lang w:val="es-ES"/>
        </w:rPr>
        <w:t>mejorar</w:t>
      </w:r>
      <w:r w:rsidRPr="0028296E">
        <w:rPr>
          <w:lang w:val="es-ES"/>
        </w:rPr>
        <w:t xml:space="preserve"> la armonización, reducir la duplicación </w:t>
      </w:r>
      <w:r>
        <w:rPr>
          <w:lang w:val="es-ES"/>
        </w:rPr>
        <w:t>de actividades</w:t>
      </w:r>
      <w:r w:rsidRPr="0028296E">
        <w:rPr>
          <w:lang w:val="es-ES"/>
        </w:rPr>
        <w:t xml:space="preserve">, mejorar la excelencia </w:t>
      </w:r>
      <w:r>
        <w:rPr>
          <w:lang w:val="es-ES"/>
        </w:rPr>
        <w:lastRenderedPageBreak/>
        <w:t>operacional</w:t>
      </w:r>
      <w:r w:rsidRPr="0028296E">
        <w:rPr>
          <w:lang w:val="es-ES"/>
        </w:rPr>
        <w:t xml:space="preserve"> y </w:t>
      </w:r>
      <w:r>
        <w:rPr>
          <w:lang w:val="es-ES"/>
        </w:rPr>
        <w:t>fomentar</w:t>
      </w:r>
      <w:r w:rsidRPr="0028296E">
        <w:rPr>
          <w:lang w:val="es-ES"/>
        </w:rPr>
        <w:t xml:space="preserve"> la eficiencia. Varios consejeros </w:t>
      </w:r>
      <w:r>
        <w:rPr>
          <w:lang w:val="es-ES"/>
        </w:rPr>
        <w:t>alentaron</w:t>
      </w:r>
      <w:r w:rsidRPr="0028296E">
        <w:rPr>
          <w:lang w:val="es-ES"/>
        </w:rPr>
        <w:t xml:space="preserve"> a que se informara al Consejo de las mejoras en </w:t>
      </w:r>
      <w:r>
        <w:rPr>
          <w:lang w:val="es-ES"/>
        </w:rPr>
        <w:t>materia de</w:t>
      </w:r>
      <w:r w:rsidRPr="0028296E">
        <w:rPr>
          <w:lang w:val="es-ES"/>
        </w:rPr>
        <w:t xml:space="preserve"> eficiencia </w:t>
      </w:r>
      <w:r>
        <w:rPr>
          <w:lang w:val="es-ES"/>
        </w:rPr>
        <w:t>dimanantes de</w:t>
      </w:r>
      <w:r w:rsidRPr="0028296E">
        <w:rPr>
          <w:lang w:val="es-ES"/>
        </w:rPr>
        <w:t xml:space="preserve"> la coordinación intersectorial. También se </w:t>
      </w:r>
      <w:r>
        <w:rPr>
          <w:lang w:val="es-ES"/>
        </w:rPr>
        <w:t>subrayó</w:t>
      </w:r>
      <w:r w:rsidRPr="0028296E">
        <w:rPr>
          <w:lang w:val="es-ES"/>
        </w:rPr>
        <w:t xml:space="preserve"> la importancia de promover un enfoque coherente, de </w:t>
      </w:r>
      <w:r w:rsidR="00463E74">
        <w:rPr>
          <w:lang w:val="es-ES"/>
        </w:rPr>
        <w:t>"</w:t>
      </w:r>
      <w:r w:rsidRPr="0028296E">
        <w:rPr>
          <w:lang w:val="es-ES"/>
        </w:rPr>
        <w:t>Una so</w:t>
      </w:r>
      <w:r w:rsidR="00103D78">
        <w:rPr>
          <w:lang w:val="es-ES"/>
        </w:rPr>
        <w:t>la UIT</w:t>
      </w:r>
      <w:r w:rsidR="00463E74">
        <w:rPr>
          <w:lang w:val="es-ES"/>
        </w:rPr>
        <w:t>"</w:t>
      </w:r>
      <w:r w:rsidRPr="0028296E">
        <w:rPr>
          <w:lang w:val="es-ES"/>
        </w:rPr>
        <w:t xml:space="preserve">, en cuestiones de interés mutuo </w:t>
      </w:r>
      <w:r>
        <w:rPr>
          <w:lang w:val="es-ES"/>
        </w:rPr>
        <w:t>más allá de</w:t>
      </w:r>
      <w:r w:rsidRPr="0028296E">
        <w:rPr>
          <w:lang w:val="es-ES"/>
        </w:rPr>
        <w:t xml:space="preserve"> los mandatos sectoriales. Si bien </w:t>
      </w:r>
      <w:r>
        <w:rPr>
          <w:lang w:val="es-ES"/>
        </w:rPr>
        <w:t>es</w:t>
      </w:r>
      <w:r w:rsidRPr="0028296E">
        <w:rPr>
          <w:lang w:val="es-ES"/>
        </w:rPr>
        <w:t xml:space="preserve"> necesaria una asignación clara de funciones y responsabilidades para evitar la duplicación</w:t>
      </w:r>
      <w:r>
        <w:rPr>
          <w:lang w:val="es-ES"/>
        </w:rPr>
        <w:t xml:space="preserve"> de actividades</w:t>
      </w:r>
      <w:r w:rsidRPr="0028296E">
        <w:rPr>
          <w:lang w:val="es-ES"/>
        </w:rPr>
        <w:t xml:space="preserve"> y maximizar las sinergias, los consejeros </w:t>
      </w:r>
      <w:r>
        <w:rPr>
          <w:lang w:val="es-ES"/>
        </w:rPr>
        <w:t>destacaron</w:t>
      </w:r>
      <w:r w:rsidRPr="0028296E">
        <w:rPr>
          <w:lang w:val="es-ES"/>
        </w:rPr>
        <w:t xml:space="preserve"> </w:t>
      </w:r>
      <w:r>
        <w:rPr>
          <w:lang w:val="es-ES"/>
        </w:rPr>
        <w:t>la necesidad de</w:t>
      </w:r>
      <w:r w:rsidRPr="0028296E">
        <w:rPr>
          <w:lang w:val="es-ES"/>
        </w:rPr>
        <w:t xml:space="preserve"> seguir respetando los mandatos específicos de cada Sector. </w:t>
      </w:r>
      <w:r>
        <w:rPr>
          <w:lang w:val="es-ES"/>
        </w:rPr>
        <w:t xml:space="preserve">El análisis de </w:t>
      </w:r>
      <w:r w:rsidRPr="0028296E">
        <w:rPr>
          <w:lang w:val="es-ES"/>
        </w:rPr>
        <w:t>resoluciones se consideró</w:t>
      </w:r>
      <w:r>
        <w:rPr>
          <w:lang w:val="es-ES"/>
        </w:rPr>
        <w:t>, de forma</w:t>
      </w:r>
      <w:r w:rsidRPr="0028296E">
        <w:rPr>
          <w:lang w:val="es-ES"/>
        </w:rPr>
        <w:t xml:space="preserve"> general</w:t>
      </w:r>
      <w:r>
        <w:rPr>
          <w:lang w:val="es-ES"/>
        </w:rPr>
        <w:t>,</w:t>
      </w:r>
      <w:r w:rsidRPr="0028296E">
        <w:rPr>
          <w:lang w:val="es-ES"/>
        </w:rPr>
        <w:t xml:space="preserve"> un</w:t>
      </w:r>
      <w:r>
        <w:rPr>
          <w:lang w:val="es-ES"/>
        </w:rPr>
        <w:t>a labor particularmente útil, habida cuenta del</w:t>
      </w:r>
      <w:r w:rsidRPr="0028296E">
        <w:rPr>
          <w:lang w:val="es-ES"/>
        </w:rPr>
        <w:t xml:space="preserve"> número </w:t>
      </w:r>
      <w:r>
        <w:rPr>
          <w:lang w:val="es-ES"/>
        </w:rPr>
        <w:t xml:space="preserve">cada vez mayor </w:t>
      </w:r>
      <w:r w:rsidRPr="0028296E">
        <w:rPr>
          <w:lang w:val="es-ES"/>
        </w:rPr>
        <w:t xml:space="preserve">de resoluciones aprobadas cada año en las conferencias y asambleas de </w:t>
      </w:r>
      <w:r w:rsidR="00103D78">
        <w:rPr>
          <w:lang w:val="es-ES"/>
        </w:rPr>
        <w:t>la UIT</w:t>
      </w:r>
      <w:r w:rsidRPr="0028296E" w:rsidDel="006A25BC">
        <w:rPr>
          <w:lang w:val="es-ES"/>
        </w:rPr>
        <w:t xml:space="preserve">. </w:t>
      </w:r>
      <w:r w:rsidRPr="0028296E">
        <w:rPr>
          <w:lang w:val="es-ES"/>
        </w:rPr>
        <w:t xml:space="preserve">Un consejero preguntó por qué en el informe solo se enumeran tres </w:t>
      </w:r>
      <w:r>
        <w:rPr>
          <w:lang w:val="es-ES"/>
        </w:rPr>
        <w:t>esferas</w:t>
      </w:r>
      <w:r w:rsidRPr="0028296E">
        <w:rPr>
          <w:lang w:val="es-ES"/>
        </w:rPr>
        <w:t xml:space="preserve"> que requ</w:t>
      </w:r>
      <w:r>
        <w:rPr>
          <w:lang w:val="es-ES"/>
        </w:rPr>
        <w:t>ieren</w:t>
      </w:r>
      <w:r w:rsidRPr="0028296E">
        <w:rPr>
          <w:lang w:val="es-ES"/>
        </w:rPr>
        <w:t xml:space="preserve"> coordinación. </w:t>
      </w:r>
      <w:r>
        <w:rPr>
          <w:lang w:val="es-ES"/>
        </w:rPr>
        <w:t>Y añadió que conviene fortalecer la función del GCIS</w:t>
      </w:r>
      <w:r w:rsidRPr="0028296E">
        <w:rPr>
          <w:lang w:val="es-ES"/>
        </w:rPr>
        <w:t>.</w:t>
      </w:r>
    </w:p>
    <w:p w14:paraId="6F704F6A" w14:textId="11F8D53F" w:rsidR="00CB728E" w:rsidRPr="0028296E" w:rsidRDefault="00CB728E" w:rsidP="00CB728E">
      <w:pPr>
        <w:rPr>
          <w:lang w:val="es-ES"/>
        </w:rPr>
      </w:pPr>
      <w:r w:rsidRPr="0028296E">
        <w:rPr>
          <w:lang w:val="es-ES"/>
        </w:rPr>
        <w:t>41.5</w:t>
      </w:r>
      <w:r w:rsidRPr="0028296E">
        <w:rPr>
          <w:lang w:val="es-ES"/>
        </w:rPr>
        <w:tab/>
        <w:t xml:space="preserve">Los consejeros </w:t>
      </w:r>
      <w:r>
        <w:rPr>
          <w:lang w:val="es-ES"/>
        </w:rPr>
        <w:t>manifestaron</w:t>
      </w:r>
      <w:r w:rsidRPr="0028296E">
        <w:rPr>
          <w:lang w:val="es-ES"/>
        </w:rPr>
        <w:t xml:space="preserve"> su apoyo a </w:t>
      </w:r>
      <w:r>
        <w:rPr>
          <w:lang w:val="es-ES"/>
        </w:rPr>
        <w:t>ambas</w:t>
      </w:r>
      <w:r w:rsidRPr="0028296E">
        <w:rPr>
          <w:lang w:val="es-ES"/>
        </w:rPr>
        <w:t xml:space="preserve"> contribuciones de varios países y reconocieron </w:t>
      </w:r>
      <w:r>
        <w:rPr>
          <w:lang w:val="es-ES"/>
        </w:rPr>
        <w:t>la utilidad</w:t>
      </w:r>
      <w:r w:rsidRPr="0028296E">
        <w:rPr>
          <w:lang w:val="es-ES"/>
        </w:rPr>
        <w:t xml:space="preserve"> de armonizar las resoluciones entre la Conferencia de Plenipotenciarios y las conferencias y asambleas sectoriales. Se acogieron con satisfacción los esfuerzos </w:t>
      </w:r>
      <w:r>
        <w:rPr>
          <w:lang w:val="es-ES"/>
        </w:rPr>
        <w:t>desplegados para</w:t>
      </w:r>
      <w:r w:rsidRPr="0028296E">
        <w:rPr>
          <w:lang w:val="es-ES"/>
        </w:rPr>
        <w:t xml:space="preserve"> revisar </w:t>
      </w:r>
      <w:r>
        <w:rPr>
          <w:lang w:val="es-ES"/>
        </w:rPr>
        <w:t>ambas</w:t>
      </w:r>
      <w:r w:rsidRPr="0028296E">
        <w:rPr>
          <w:lang w:val="es-ES"/>
        </w:rPr>
        <w:t xml:space="preserve"> resoluciones, </w:t>
      </w:r>
      <w:r>
        <w:rPr>
          <w:lang w:val="es-ES"/>
        </w:rPr>
        <w:t>antes de la celebración de</w:t>
      </w:r>
      <w:r w:rsidRPr="0028296E">
        <w:rPr>
          <w:lang w:val="es-ES"/>
        </w:rPr>
        <w:t xml:space="preserve"> la</w:t>
      </w:r>
      <w:r w:rsidR="00184AC5">
        <w:rPr>
          <w:lang w:val="es-ES"/>
        </w:rPr>
        <w:t> </w:t>
      </w:r>
      <w:r w:rsidRPr="0028296E">
        <w:rPr>
          <w:lang w:val="es-ES"/>
        </w:rPr>
        <w:t>PP</w:t>
      </w:r>
      <w:r w:rsidR="00463E74">
        <w:rPr>
          <w:lang w:val="es-ES"/>
        </w:rPr>
        <w:noBreakHyphen/>
      </w:r>
      <w:r w:rsidRPr="0028296E">
        <w:rPr>
          <w:lang w:val="es-ES"/>
        </w:rPr>
        <w:t xml:space="preserve">26, </w:t>
      </w:r>
      <w:r>
        <w:rPr>
          <w:lang w:val="es-ES"/>
        </w:rPr>
        <w:t>en el marco de</w:t>
      </w:r>
      <w:r w:rsidRPr="0028296E">
        <w:rPr>
          <w:lang w:val="es-ES"/>
        </w:rPr>
        <w:t xml:space="preserve"> una iniciativa más amplia de racionalización y coordinación intersectorial. Varias delegaciones recordaron que la necesidad de racionalizar las resoluciones ya se había debatido en </w:t>
      </w:r>
      <w:r>
        <w:rPr>
          <w:lang w:val="es-ES"/>
        </w:rPr>
        <w:t>la reunión de 2025 del</w:t>
      </w:r>
      <w:r w:rsidRPr="0028296E">
        <w:rPr>
          <w:lang w:val="es-ES"/>
        </w:rPr>
        <w:t xml:space="preserve"> Consejo y en los </w:t>
      </w:r>
      <w:r w:rsidR="00EB2C6A">
        <w:rPr>
          <w:lang w:val="es-ES"/>
        </w:rPr>
        <w:t>G</w:t>
      </w:r>
      <w:r w:rsidRPr="0028296E">
        <w:rPr>
          <w:lang w:val="es-ES"/>
        </w:rPr>
        <w:t xml:space="preserve">rupos de </w:t>
      </w:r>
      <w:r w:rsidR="00EB2C6A">
        <w:rPr>
          <w:lang w:val="es-ES"/>
        </w:rPr>
        <w:t>T</w:t>
      </w:r>
      <w:r w:rsidRPr="0028296E">
        <w:rPr>
          <w:lang w:val="es-ES"/>
        </w:rPr>
        <w:t>rabajo del Consejo. Se señaló además que las propuestas</w:t>
      </w:r>
      <w:r>
        <w:rPr>
          <w:lang w:val="es-ES"/>
        </w:rPr>
        <w:t xml:space="preserve"> de revisión</w:t>
      </w:r>
      <w:r w:rsidRPr="0028296E">
        <w:rPr>
          <w:lang w:val="es-ES"/>
        </w:rPr>
        <w:t xml:space="preserve"> </w:t>
      </w:r>
      <w:r>
        <w:rPr>
          <w:lang w:val="es-ES"/>
        </w:rPr>
        <w:t>pueden mejorar</w:t>
      </w:r>
      <w:r w:rsidRPr="0028296E">
        <w:rPr>
          <w:lang w:val="es-ES"/>
        </w:rPr>
        <w:t xml:space="preserve"> la coordinación, tanto </w:t>
      </w:r>
      <w:r>
        <w:rPr>
          <w:lang w:val="es-ES"/>
        </w:rPr>
        <w:t>en</w:t>
      </w:r>
      <w:r w:rsidRPr="0028296E">
        <w:rPr>
          <w:lang w:val="es-ES"/>
        </w:rPr>
        <w:t xml:space="preserve"> </w:t>
      </w:r>
      <w:r w:rsidR="00103D78">
        <w:rPr>
          <w:lang w:val="es-ES"/>
        </w:rPr>
        <w:t>la UIT</w:t>
      </w:r>
      <w:r w:rsidRPr="0028296E">
        <w:rPr>
          <w:lang w:val="es-ES"/>
        </w:rPr>
        <w:t xml:space="preserve"> como entre </w:t>
      </w:r>
      <w:r w:rsidR="00103D78">
        <w:rPr>
          <w:lang w:val="es-ES"/>
        </w:rPr>
        <w:t>la UIT</w:t>
      </w:r>
      <w:r w:rsidRPr="0028296E">
        <w:rPr>
          <w:lang w:val="es-ES"/>
        </w:rPr>
        <w:t xml:space="preserve"> y las organizaciones regionales de telecomunicaciones, y que, </w:t>
      </w:r>
      <w:r>
        <w:rPr>
          <w:lang w:val="es-ES"/>
        </w:rPr>
        <w:t>en consecuencia</w:t>
      </w:r>
      <w:r w:rsidRPr="0028296E">
        <w:rPr>
          <w:lang w:val="es-ES"/>
        </w:rPr>
        <w:t xml:space="preserve">, </w:t>
      </w:r>
      <w:r>
        <w:rPr>
          <w:lang w:val="es-ES"/>
        </w:rPr>
        <w:t>deben ser objeto de</w:t>
      </w:r>
      <w:r w:rsidRPr="0028296E">
        <w:rPr>
          <w:lang w:val="es-ES"/>
        </w:rPr>
        <w:t xml:space="preserve"> un examen </w:t>
      </w:r>
      <w:r>
        <w:rPr>
          <w:lang w:val="es-ES"/>
        </w:rPr>
        <w:t>pormenorizado</w:t>
      </w:r>
      <w:r w:rsidRPr="0028296E">
        <w:rPr>
          <w:lang w:val="es-ES"/>
        </w:rPr>
        <w:t>.</w:t>
      </w:r>
    </w:p>
    <w:p w14:paraId="02275682" w14:textId="74B55C44" w:rsidR="00CB728E" w:rsidRPr="0082151B" w:rsidRDefault="00CB728E" w:rsidP="0082151B">
      <w:pPr>
        <w:rPr>
          <w:lang w:val="es-ES"/>
        </w:rPr>
      </w:pPr>
      <w:r w:rsidRPr="00463E74">
        <w:rPr>
          <w:lang w:val="es-ES"/>
        </w:rPr>
        <w:t>41.6</w:t>
      </w:r>
      <w:r w:rsidRPr="00463E74">
        <w:rPr>
          <w:lang w:val="es-ES"/>
        </w:rPr>
        <w:tab/>
        <w:t xml:space="preserve">Un representante de la Secretaría General </w:t>
      </w:r>
      <w:r>
        <w:rPr>
          <w:lang w:val="es-ES"/>
        </w:rPr>
        <w:t>reiteró</w:t>
      </w:r>
      <w:r w:rsidRPr="0028296E">
        <w:rPr>
          <w:lang w:val="es-ES"/>
        </w:rPr>
        <w:t xml:space="preserve"> el compromiso de la Secretaría de seguir reforzando la coordinación intersectorial. Señaló que el </w:t>
      </w:r>
      <w:r>
        <w:rPr>
          <w:lang w:val="es-ES"/>
        </w:rPr>
        <w:t>análisis</w:t>
      </w:r>
      <w:r w:rsidRPr="0028296E">
        <w:rPr>
          <w:lang w:val="es-ES"/>
        </w:rPr>
        <w:t xml:space="preserve"> público en línea de las resoluciones se actualiza tras cada conferencia o asamblea. </w:t>
      </w:r>
      <w:r>
        <w:rPr>
          <w:lang w:val="es-ES"/>
        </w:rPr>
        <w:t>L</w:t>
      </w:r>
      <w:r w:rsidRPr="0028296E">
        <w:rPr>
          <w:lang w:val="es-ES"/>
        </w:rPr>
        <w:t xml:space="preserve">as actividades emprendidas en el marco de la iniciativa </w:t>
      </w:r>
      <w:r>
        <w:rPr>
          <w:lang w:val="es-ES"/>
        </w:rPr>
        <w:t>ONU</w:t>
      </w:r>
      <w:r w:rsidRPr="0028296E">
        <w:rPr>
          <w:lang w:val="es-ES"/>
        </w:rPr>
        <w:t>80</w:t>
      </w:r>
      <w:r>
        <w:rPr>
          <w:lang w:val="es-ES"/>
        </w:rPr>
        <w:t xml:space="preserve"> constituyen un </w:t>
      </w:r>
      <w:r w:rsidRPr="0028296E">
        <w:rPr>
          <w:lang w:val="es-ES"/>
        </w:rPr>
        <w:t xml:space="preserve">ejemplo </w:t>
      </w:r>
      <w:r>
        <w:rPr>
          <w:lang w:val="es-ES"/>
        </w:rPr>
        <w:t>de</w:t>
      </w:r>
      <w:r w:rsidRPr="0028296E">
        <w:rPr>
          <w:lang w:val="es-ES"/>
        </w:rPr>
        <w:t xml:space="preserve"> coordinación intersectorial </w:t>
      </w:r>
      <w:r>
        <w:rPr>
          <w:lang w:val="es-ES"/>
        </w:rPr>
        <w:t>particularmente</w:t>
      </w:r>
      <w:r w:rsidRPr="0028296E">
        <w:rPr>
          <w:lang w:val="es-ES"/>
        </w:rPr>
        <w:t xml:space="preserve"> satisfactoria. Se ha</w:t>
      </w:r>
      <w:r>
        <w:rPr>
          <w:lang w:val="es-ES"/>
        </w:rPr>
        <w:t>n</w:t>
      </w:r>
      <w:r w:rsidRPr="0028296E">
        <w:rPr>
          <w:lang w:val="es-ES"/>
        </w:rPr>
        <w:t xml:space="preserve"> identificado más de 40 </w:t>
      </w:r>
      <w:r>
        <w:rPr>
          <w:lang w:val="es-ES"/>
        </w:rPr>
        <w:t>esferas</w:t>
      </w:r>
      <w:r w:rsidRPr="0028296E">
        <w:rPr>
          <w:lang w:val="es-ES"/>
        </w:rPr>
        <w:t xml:space="preserve"> de interés común en </w:t>
      </w:r>
      <w:r>
        <w:rPr>
          <w:lang w:val="es-ES"/>
        </w:rPr>
        <w:t>las</w:t>
      </w:r>
      <w:r w:rsidRPr="0028296E">
        <w:rPr>
          <w:lang w:val="es-ES"/>
        </w:rPr>
        <w:t xml:space="preserve"> que la coordinación intersectorial resultaría beneficiosa; </w:t>
      </w:r>
      <w:r>
        <w:rPr>
          <w:lang w:val="es-ES"/>
        </w:rPr>
        <w:t>las</w:t>
      </w:r>
      <w:r w:rsidRPr="0028296E">
        <w:rPr>
          <w:lang w:val="es-ES"/>
        </w:rPr>
        <w:t xml:space="preserve"> tres mencionad</w:t>
      </w:r>
      <w:r>
        <w:rPr>
          <w:lang w:val="es-ES"/>
        </w:rPr>
        <w:t>a</w:t>
      </w:r>
      <w:r w:rsidRPr="0028296E">
        <w:rPr>
          <w:lang w:val="es-ES"/>
        </w:rPr>
        <w:t xml:space="preserve">s en el informe </w:t>
      </w:r>
      <w:r>
        <w:rPr>
          <w:lang w:val="es-ES"/>
        </w:rPr>
        <w:t>constituyen</w:t>
      </w:r>
      <w:r w:rsidRPr="0028296E">
        <w:rPr>
          <w:lang w:val="es-ES"/>
        </w:rPr>
        <w:t xml:space="preserve"> ejemplos de medidas de coordinación </w:t>
      </w:r>
      <w:r>
        <w:rPr>
          <w:lang w:val="es-ES"/>
        </w:rPr>
        <w:t>satisfactorias</w:t>
      </w:r>
      <w:r w:rsidRPr="0028296E">
        <w:rPr>
          <w:lang w:val="es-ES"/>
        </w:rPr>
        <w:t xml:space="preserve">. </w:t>
      </w:r>
      <w:r>
        <w:rPr>
          <w:lang w:val="es-ES"/>
        </w:rPr>
        <w:t>Las</w:t>
      </w:r>
      <w:r w:rsidRPr="0028296E">
        <w:rPr>
          <w:lang w:val="es-ES"/>
        </w:rPr>
        <w:t xml:space="preserve"> demás </w:t>
      </w:r>
      <w:r>
        <w:rPr>
          <w:lang w:val="es-ES"/>
        </w:rPr>
        <w:t>esferas</w:t>
      </w:r>
      <w:r w:rsidRPr="0028296E">
        <w:rPr>
          <w:lang w:val="es-ES"/>
        </w:rPr>
        <w:t xml:space="preserve"> </w:t>
      </w:r>
      <w:r>
        <w:rPr>
          <w:lang w:val="es-ES"/>
        </w:rPr>
        <w:t>figuran publicadas</w:t>
      </w:r>
      <w:r w:rsidRPr="0028296E">
        <w:rPr>
          <w:lang w:val="es-ES"/>
        </w:rPr>
        <w:t xml:space="preserve"> en el sitio web del </w:t>
      </w:r>
      <w:r>
        <w:rPr>
          <w:lang w:val="es-ES"/>
        </w:rPr>
        <w:t>GCIS,</w:t>
      </w:r>
      <w:r w:rsidRPr="0028296E">
        <w:rPr>
          <w:lang w:val="es-ES"/>
        </w:rPr>
        <w:t xml:space="preserve"> y el </w:t>
      </w:r>
      <w:r>
        <w:rPr>
          <w:lang w:val="es-ES"/>
        </w:rPr>
        <w:t>D</w:t>
      </w:r>
      <w:r w:rsidRPr="0028296E">
        <w:rPr>
          <w:lang w:val="es-ES"/>
        </w:rPr>
        <w:t xml:space="preserve">ocumento C26/35 </w:t>
      </w:r>
      <w:r>
        <w:rPr>
          <w:lang w:val="es-ES"/>
        </w:rPr>
        <w:t>contiene</w:t>
      </w:r>
      <w:r w:rsidRPr="0028296E">
        <w:rPr>
          <w:lang w:val="es-ES"/>
        </w:rPr>
        <w:t xml:space="preserve"> otros ejemplos</w:t>
      </w:r>
      <w:r w:rsidRPr="00463E74">
        <w:rPr>
          <w:lang w:val="es-ES"/>
        </w:rPr>
        <w:t>.</w:t>
      </w:r>
    </w:p>
    <w:p w14:paraId="5B06469A" w14:textId="47AB9BC6" w:rsidR="00F70066" w:rsidRPr="001D759A" w:rsidRDefault="00CB728E" w:rsidP="00950DAB">
      <w:pPr>
        <w:keepNext/>
        <w:keepLines/>
        <w:spacing w:after="120"/>
        <w:rPr>
          <w:lang w:val="es-ES"/>
        </w:rPr>
      </w:pPr>
      <w:r>
        <w:rPr>
          <w:lang w:val="es-ES"/>
        </w:rPr>
        <w:t>41.7</w:t>
      </w:r>
      <w:r w:rsidR="00F70066" w:rsidRPr="001D759A">
        <w:rPr>
          <w:lang w:val="es-ES"/>
        </w:rPr>
        <w:tab/>
        <w:t xml:space="preserve">La Comisión </w:t>
      </w:r>
      <w:r w:rsidR="00F70066" w:rsidRPr="001D759A">
        <w:rPr>
          <w:b/>
          <w:bCs/>
          <w:lang w:val="es-ES"/>
        </w:rPr>
        <w:t>acordó</w:t>
      </w:r>
      <w:r w:rsidR="00F70066" w:rsidRPr="001D759A">
        <w:rPr>
          <w:lang w:val="es-ES"/>
        </w:rPr>
        <w:t xml:space="preserve"> llegar a la siguiente conclusión:</w:t>
      </w:r>
    </w:p>
    <w:tbl>
      <w:tblPr>
        <w:tblStyle w:val="TableGrid"/>
        <w:tblW w:w="5000" w:type="pct"/>
        <w:tblInd w:w="-147" w:type="dxa"/>
        <w:tblLook w:val="04A0" w:firstRow="1" w:lastRow="0" w:firstColumn="1" w:lastColumn="0" w:noHBand="0" w:noVBand="1"/>
      </w:tblPr>
      <w:tblGrid>
        <w:gridCol w:w="9061"/>
      </w:tblGrid>
      <w:tr w:rsidR="00F70066" w:rsidRPr="0057685D" w14:paraId="50C00409" w14:textId="77777777" w:rsidTr="00950DAB">
        <w:tc>
          <w:tcPr>
            <w:tcW w:w="9208" w:type="dxa"/>
            <w:hideMark/>
          </w:tcPr>
          <w:p w14:paraId="1ACF69A6" w14:textId="0D7AD423" w:rsidR="00F70066" w:rsidRPr="001D759A" w:rsidRDefault="00CB728E" w:rsidP="00950DAB">
            <w:pPr>
              <w:keepNext/>
              <w:keepLines/>
              <w:tabs>
                <w:tab w:val="clear" w:pos="567"/>
                <w:tab w:val="left" w:pos="605"/>
              </w:tabs>
              <w:spacing w:after="80"/>
              <w:ind w:left="40"/>
              <w:rPr>
                <w:lang w:val="es-ES"/>
              </w:rPr>
            </w:pPr>
            <w:r>
              <w:rPr>
                <w:rFonts w:eastAsia="Calibri" w:cs="Calibri"/>
                <w:lang w:val="es-ES"/>
              </w:rPr>
              <w:t>41.8</w:t>
            </w:r>
            <w:r w:rsidR="00F70066" w:rsidRPr="001D759A">
              <w:rPr>
                <w:lang w:val="es-ES"/>
              </w:rPr>
              <w:tab/>
              <w:t>La Comisión recomienda al Consejo que:</w:t>
            </w:r>
          </w:p>
          <w:p w14:paraId="2214C7C5" w14:textId="0D9634F9" w:rsidR="00F70066" w:rsidRPr="001D759A" w:rsidRDefault="00F70066" w:rsidP="00463E74">
            <w:pPr>
              <w:pStyle w:val="enumlev1"/>
              <w:tabs>
                <w:tab w:val="clear" w:pos="567"/>
              </w:tabs>
              <w:ind w:left="605"/>
              <w:rPr>
                <w:lang w:val="es-ES"/>
              </w:rPr>
            </w:pPr>
            <w:r w:rsidRPr="001D759A">
              <w:rPr>
                <w:lang w:val="es-ES"/>
              </w:rPr>
              <w:t>•</w:t>
            </w:r>
            <w:r w:rsidRPr="001D759A">
              <w:rPr>
                <w:lang w:val="es-ES"/>
              </w:rPr>
              <w:tab/>
            </w:r>
            <w:r w:rsidR="00CB728E" w:rsidRPr="0028296E">
              <w:rPr>
                <w:rFonts w:eastAsia="Times New Roman" w:cs="Times New Roman"/>
                <w:szCs w:val="20"/>
                <w:lang w:val="es-ES"/>
              </w:rPr>
              <w:t xml:space="preserve">tome nota del informe </w:t>
            </w:r>
            <w:r w:rsidR="00CB728E" w:rsidRPr="0028296E">
              <w:rPr>
                <w:rFonts w:eastAsia="Times New Roman" w:cs="Calibri"/>
                <w:szCs w:val="20"/>
                <w:lang w:val="es-ES"/>
              </w:rPr>
              <w:t xml:space="preserve">que figura en </w:t>
            </w:r>
            <w:r w:rsidR="00CB728E" w:rsidRPr="0028296E">
              <w:rPr>
                <w:rFonts w:eastAsia="Calibri" w:cs="Calibri"/>
                <w:szCs w:val="20"/>
                <w:lang w:val="es-ES"/>
              </w:rPr>
              <w:t xml:space="preserve">el </w:t>
            </w:r>
            <w:r w:rsidR="00CB728E">
              <w:rPr>
                <w:rFonts w:eastAsia="Calibri" w:cs="Calibri"/>
                <w:szCs w:val="20"/>
                <w:lang w:val="es-ES"/>
              </w:rPr>
              <w:t>D</w:t>
            </w:r>
            <w:r w:rsidR="00CB728E" w:rsidRPr="0028296E">
              <w:rPr>
                <w:rFonts w:eastAsia="Calibri" w:cs="Calibri"/>
                <w:szCs w:val="20"/>
                <w:lang w:val="es-ES"/>
              </w:rPr>
              <w:t xml:space="preserve">ocumento </w:t>
            </w:r>
            <w:hyperlink r:id="rId163" w:history="1">
              <w:r w:rsidR="00CB728E" w:rsidRPr="00184AC5">
                <w:rPr>
                  <w:rFonts w:eastAsia="Times New Roman" w:cs="Times New Roman"/>
                  <w:bCs/>
                  <w:color w:val="4F81BD"/>
                  <w:szCs w:val="20"/>
                  <w:lang w:val="es-ES"/>
                </w:rPr>
                <w:t>C26/27</w:t>
              </w:r>
            </w:hyperlink>
            <w:r w:rsidR="00CB728E" w:rsidRPr="0028296E">
              <w:rPr>
                <w:rFonts w:eastAsia="Times New Roman" w:cs="Times New Roman"/>
                <w:szCs w:val="20"/>
                <w:lang w:val="es-ES"/>
              </w:rPr>
              <w:t xml:space="preserve"> y de las contribuciones de </w:t>
            </w:r>
            <w:r w:rsidR="00CB728E" w:rsidRPr="00463E74">
              <w:rPr>
                <w:lang w:val="es-ES"/>
              </w:rPr>
              <w:t>varios</w:t>
            </w:r>
            <w:r w:rsidR="00CB728E" w:rsidRPr="0028296E">
              <w:rPr>
                <w:rFonts w:eastAsia="Times New Roman" w:cs="Times New Roman"/>
                <w:szCs w:val="20"/>
                <w:lang w:val="es-ES"/>
              </w:rPr>
              <w:t xml:space="preserve"> países que figuran en los </w:t>
            </w:r>
            <w:r w:rsidR="00CB728E">
              <w:rPr>
                <w:rFonts w:eastAsia="Times New Roman" w:cs="Times New Roman"/>
                <w:szCs w:val="20"/>
                <w:lang w:val="es-ES"/>
              </w:rPr>
              <w:t>D</w:t>
            </w:r>
            <w:r w:rsidR="00CB728E" w:rsidRPr="0028296E">
              <w:rPr>
                <w:rFonts w:eastAsia="Times New Roman" w:cs="Times New Roman"/>
                <w:szCs w:val="20"/>
                <w:lang w:val="es-ES"/>
              </w:rPr>
              <w:t xml:space="preserve">ocumentos </w:t>
            </w:r>
            <w:hyperlink r:id="rId164" w:history="1">
              <w:r w:rsidR="002228AC" w:rsidRPr="00D221CE">
                <w:rPr>
                  <w:rStyle w:val="Hyperlink"/>
                  <w:rFonts w:cs="Times New Roman"/>
                  <w:szCs w:val="20"/>
                  <w:lang w:val="es-ES"/>
                </w:rPr>
                <w:t>C26/89</w:t>
              </w:r>
            </w:hyperlink>
            <w:r w:rsidR="002228AC" w:rsidRPr="00D221CE">
              <w:rPr>
                <w:lang w:val="es-ES"/>
              </w:rPr>
              <w:t xml:space="preserve"> </w:t>
            </w:r>
            <w:r w:rsidR="00CB728E" w:rsidRPr="0028296E">
              <w:rPr>
                <w:rFonts w:eastAsia="Times New Roman" w:cs="Times New Roman"/>
                <w:szCs w:val="20"/>
                <w:lang w:val="es-ES"/>
              </w:rPr>
              <w:t xml:space="preserve">y </w:t>
            </w:r>
            <w:hyperlink r:id="rId165" w:history="1">
              <w:r w:rsidR="002228AC" w:rsidRPr="00D221CE">
                <w:rPr>
                  <w:rStyle w:val="Hyperlink"/>
                  <w:rFonts w:cs="Times New Roman"/>
                  <w:szCs w:val="20"/>
                  <w:lang w:val="es-ES"/>
                </w:rPr>
                <w:t>C26/88</w:t>
              </w:r>
            </w:hyperlink>
            <w:r w:rsidR="00CB728E" w:rsidRPr="0028296E">
              <w:rPr>
                <w:rFonts w:eastAsia="Times New Roman" w:cs="Times New Roman"/>
                <w:szCs w:val="20"/>
                <w:lang w:val="es-ES"/>
              </w:rPr>
              <w:t xml:space="preserve">; </w:t>
            </w:r>
            <w:r w:rsidR="00CB728E">
              <w:rPr>
                <w:rFonts w:eastAsia="Times New Roman" w:cs="Times New Roman"/>
                <w:szCs w:val="20"/>
                <w:lang w:val="es-ES"/>
              </w:rPr>
              <w:t>e</w:t>
            </w:r>
          </w:p>
          <w:p w14:paraId="12408877" w14:textId="254486C1" w:rsidR="00F70066" w:rsidRPr="001D759A" w:rsidRDefault="00F70066" w:rsidP="0082151B">
            <w:pPr>
              <w:pStyle w:val="enumlev1"/>
              <w:tabs>
                <w:tab w:val="clear" w:pos="567"/>
              </w:tabs>
              <w:spacing w:after="120"/>
              <w:ind w:left="605"/>
              <w:rPr>
                <w:lang w:val="es-ES"/>
              </w:rPr>
            </w:pPr>
            <w:r w:rsidRPr="001D759A">
              <w:rPr>
                <w:lang w:val="es-ES"/>
              </w:rPr>
              <w:t>•</w:t>
            </w:r>
            <w:r w:rsidRPr="001D759A">
              <w:rPr>
                <w:lang w:val="es-ES"/>
              </w:rPr>
              <w:tab/>
            </w:r>
            <w:r w:rsidR="00CB728E" w:rsidRPr="0028296E">
              <w:rPr>
                <w:rFonts w:eastAsia="Times New Roman" w:cs="Calibri"/>
                <w:lang w:val="es-ES"/>
              </w:rPr>
              <w:t xml:space="preserve">invite al </w:t>
            </w:r>
            <w:r w:rsidR="00CB728E">
              <w:rPr>
                <w:rFonts w:eastAsia="Times New Roman" w:cs="Calibri"/>
                <w:lang w:val="es-ES"/>
              </w:rPr>
              <w:t>autor</w:t>
            </w:r>
            <w:r w:rsidR="00CB728E" w:rsidRPr="0028296E">
              <w:rPr>
                <w:rFonts w:eastAsia="Times New Roman" w:cs="Calibri"/>
                <w:lang w:val="es-ES"/>
              </w:rPr>
              <w:t xml:space="preserve"> de las contribuciones </w:t>
            </w:r>
            <w:r w:rsidR="00CB728E">
              <w:rPr>
                <w:rFonts w:eastAsia="Times New Roman" w:cs="Calibri"/>
                <w:lang w:val="es-ES"/>
              </w:rPr>
              <w:t>multipaís</w:t>
            </w:r>
            <w:r w:rsidR="00CB728E" w:rsidRPr="0028296E">
              <w:rPr>
                <w:rFonts w:eastAsia="Times New Roman" w:cs="Calibri"/>
                <w:lang w:val="es-ES"/>
              </w:rPr>
              <w:t xml:space="preserve"> a que </w:t>
            </w:r>
            <w:r w:rsidR="00CB728E">
              <w:rPr>
                <w:rFonts w:eastAsia="Times New Roman" w:cs="Calibri"/>
                <w:lang w:val="es-ES"/>
              </w:rPr>
              <w:t>someta</w:t>
            </w:r>
            <w:r w:rsidR="00CB728E" w:rsidRPr="0028296E">
              <w:rPr>
                <w:rFonts w:eastAsia="Times New Roman" w:cs="Calibri"/>
                <w:lang w:val="es-ES"/>
              </w:rPr>
              <w:t xml:space="preserve"> las propuestas a</w:t>
            </w:r>
            <w:r w:rsidR="00CB728E">
              <w:rPr>
                <w:rFonts w:eastAsia="Times New Roman" w:cs="Calibri"/>
                <w:lang w:val="es-ES"/>
              </w:rPr>
              <w:t xml:space="preserve">l </w:t>
            </w:r>
            <w:r w:rsidR="00CB728E" w:rsidRPr="00463E74">
              <w:rPr>
                <w:lang w:val="es-ES"/>
              </w:rPr>
              <w:t>examen</w:t>
            </w:r>
            <w:r w:rsidR="00CB728E">
              <w:rPr>
                <w:rFonts w:eastAsia="Times New Roman" w:cs="Calibri"/>
                <w:lang w:val="es-ES"/>
              </w:rPr>
              <w:t xml:space="preserve"> de</w:t>
            </w:r>
            <w:r w:rsidR="00CB728E" w:rsidRPr="0028296E">
              <w:rPr>
                <w:rFonts w:eastAsia="Times New Roman" w:cs="Calibri"/>
                <w:lang w:val="es-ES"/>
              </w:rPr>
              <w:t xml:space="preserve"> la Conferencia de Plenipotenciarios (Doha, 2026)</w:t>
            </w:r>
            <w:r w:rsidRPr="001D759A">
              <w:rPr>
                <w:rFonts w:cs="Calibri"/>
                <w:szCs w:val="24"/>
                <w:lang w:val="es-ES"/>
              </w:rPr>
              <w:t>.</w:t>
            </w:r>
          </w:p>
        </w:tc>
      </w:tr>
    </w:tbl>
    <w:p w14:paraId="7167C00F" w14:textId="77777777" w:rsidR="00F70066" w:rsidRPr="001D759A" w:rsidRDefault="00F70066" w:rsidP="00F70066">
      <w:pPr>
        <w:rPr>
          <w:lang w:val="es-ES"/>
        </w:rPr>
      </w:pPr>
      <w:r w:rsidRPr="001D759A">
        <w:rPr>
          <w:lang w:val="es-ES"/>
        </w:rPr>
        <w:br w:type="page"/>
      </w:r>
    </w:p>
    <w:p w14:paraId="343FE3C7" w14:textId="77777777" w:rsidR="00F70066" w:rsidRDefault="00F70066" w:rsidP="00F70066">
      <w:pPr>
        <w:pStyle w:val="AnnexNo"/>
        <w:rPr>
          <w:lang w:val="es-ES"/>
        </w:rPr>
      </w:pPr>
      <w:r w:rsidRPr="001D759A">
        <w:rPr>
          <w:lang w:val="es-ES"/>
        </w:rPr>
        <w:lastRenderedPageBreak/>
        <w:t>ANEX</w:t>
      </w:r>
      <w:bookmarkStart w:id="3" w:name="ANEXO_A"/>
      <w:bookmarkEnd w:id="3"/>
      <w:r w:rsidRPr="001D759A">
        <w:rPr>
          <w:lang w:val="es-ES"/>
        </w:rPr>
        <w:t>O A</w:t>
      </w:r>
    </w:p>
    <w:p w14:paraId="65AF621D" w14:textId="77777777" w:rsidR="000436D6" w:rsidRPr="00A0606F" w:rsidRDefault="000436D6" w:rsidP="000436D6">
      <w:pPr>
        <w:pStyle w:val="ResNo"/>
        <w:rPr>
          <w:lang w:val="es-ES"/>
        </w:rPr>
      </w:pPr>
      <w:r w:rsidRPr="00A0606F">
        <w:rPr>
          <w:lang w:val="es-ES"/>
        </w:rPr>
        <w:t>PROYECTO DE NUEVA RESOLUCIÓN […]</w:t>
      </w:r>
    </w:p>
    <w:p w14:paraId="1453E70D" w14:textId="4C242DA6" w:rsidR="000436D6" w:rsidRPr="00A0606F" w:rsidRDefault="000436D6" w:rsidP="000436D6">
      <w:pPr>
        <w:pStyle w:val="Restitle"/>
        <w:rPr>
          <w:lang w:val="es-ES"/>
        </w:rPr>
      </w:pPr>
      <w:r w:rsidRPr="00A0606F">
        <w:rPr>
          <w:lang w:val="es-ES"/>
        </w:rPr>
        <w:t xml:space="preserve">Parte contributiva de Ecuador a los gastos de </w:t>
      </w:r>
      <w:r w:rsidR="005457EE">
        <w:rPr>
          <w:lang w:val="es-ES"/>
        </w:rPr>
        <w:t>la Unión</w:t>
      </w:r>
    </w:p>
    <w:p w14:paraId="71D3A281" w14:textId="1379694C" w:rsidR="000436D6" w:rsidRPr="00A0606F" w:rsidRDefault="000436D6" w:rsidP="000436D6">
      <w:pPr>
        <w:pStyle w:val="Normalaftertitle"/>
        <w:rPr>
          <w:lang w:val="es-ES"/>
        </w:rPr>
      </w:pPr>
      <w:r w:rsidRPr="00A0606F">
        <w:rPr>
          <w:lang w:val="es-ES"/>
        </w:rPr>
        <w:t xml:space="preserve">El Consejo de </w:t>
      </w:r>
      <w:r w:rsidR="00103D78">
        <w:rPr>
          <w:lang w:val="es-ES"/>
        </w:rPr>
        <w:t>la UIT</w:t>
      </w:r>
      <w:r w:rsidRPr="00A0606F">
        <w:rPr>
          <w:lang w:val="es-ES"/>
        </w:rPr>
        <w:t>,</w:t>
      </w:r>
    </w:p>
    <w:p w14:paraId="5F0E2553" w14:textId="77777777" w:rsidR="000436D6" w:rsidRPr="00A0606F" w:rsidRDefault="000436D6" w:rsidP="000436D6">
      <w:pPr>
        <w:pStyle w:val="Call"/>
        <w:rPr>
          <w:lang w:val="es-ES"/>
        </w:rPr>
      </w:pPr>
      <w:r w:rsidRPr="00A0606F">
        <w:rPr>
          <w:lang w:val="es-ES"/>
        </w:rPr>
        <w:t>habida cuenta de</w:t>
      </w:r>
    </w:p>
    <w:p w14:paraId="3CBAC1BC" w14:textId="49C82D07" w:rsidR="000436D6" w:rsidRPr="0041545B" w:rsidRDefault="000436D6" w:rsidP="000436D6">
      <w:pPr>
        <w:rPr>
          <w:lang w:val="es-ES"/>
        </w:rPr>
      </w:pPr>
      <w:r w:rsidRPr="0041545B">
        <w:rPr>
          <w:lang w:val="es-ES"/>
        </w:rPr>
        <w:t>las disposiciones pertinentes del número</w:t>
      </w:r>
      <w:r w:rsidRPr="00A0606F">
        <w:rPr>
          <w:lang w:val="es-ES"/>
        </w:rPr>
        <w:t> </w:t>
      </w:r>
      <w:r w:rsidRPr="0041545B">
        <w:rPr>
          <w:lang w:val="es-ES"/>
        </w:rPr>
        <w:t xml:space="preserve">165A del Artículo 28 de la Constitución de </w:t>
      </w:r>
      <w:r w:rsidR="00103D78">
        <w:rPr>
          <w:lang w:val="es-ES"/>
        </w:rPr>
        <w:t>la UIT</w:t>
      </w:r>
      <w:r w:rsidRPr="0041545B">
        <w:rPr>
          <w:lang w:val="es-ES"/>
        </w:rPr>
        <w:t>,</w:t>
      </w:r>
    </w:p>
    <w:p w14:paraId="63A7284E" w14:textId="77777777" w:rsidR="000436D6" w:rsidRPr="00A0606F" w:rsidRDefault="000436D6" w:rsidP="000436D6">
      <w:pPr>
        <w:pStyle w:val="Call"/>
        <w:rPr>
          <w:lang w:val="es-ES"/>
        </w:rPr>
      </w:pPr>
      <w:r w:rsidRPr="00A0606F">
        <w:rPr>
          <w:lang w:val="es-ES"/>
        </w:rPr>
        <w:t>habiendo examinado</w:t>
      </w:r>
    </w:p>
    <w:p w14:paraId="1EC21E77" w14:textId="6D27ABC9" w:rsidR="000436D6" w:rsidRPr="0041545B" w:rsidRDefault="000436D6" w:rsidP="000436D6">
      <w:pPr>
        <w:rPr>
          <w:lang w:val="es-ES"/>
        </w:rPr>
      </w:pPr>
      <w:r w:rsidRPr="0041545B">
        <w:rPr>
          <w:lang w:val="es-ES"/>
        </w:rPr>
        <w:t xml:space="preserve">la Nota de la Secretaria General que figura en </w:t>
      </w:r>
      <w:r w:rsidR="00E83666">
        <w:rPr>
          <w:lang w:val="es-ES"/>
        </w:rPr>
        <w:t>los</w:t>
      </w:r>
      <w:r w:rsidRPr="0041545B">
        <w:rPr>
          <w:lang w:val="es-ES"/>
        </w:rPr>
        <w:t xml:space="preserve"> Documento</w:t>
      </w:r>
      <w:r w:rsidR="00E83666">
        <w:rPr>
          <w:lang w:val="es-ES"/>
        </w:rPr>
        <w:t>s</w:t>
      </w:r>
      <w:r w:rsidRPr="00A0606F">
        <w:rPr>
          <w:lang w:val="es-ES"/>
        </w:rPr>
        <w:t> </w:t>
      </w:r>
      <w:hyperlink r:id="rId166" w:history="1">
        <w:r w:rsidRPr="0041545B">
          <w:rPr>
            <w:rStyle w:val="Hyperlink"/>
            <w:rFonts w:eastAsia="Times New Roman" w:cs="Times New Roman"/>
            <w:szCs w:val="20"/>
            <w:lang w:val="es-ES"/>
          </w:rPr>
          <w:t>C26/54</w:t>
        </w:r>
      </w:hyperlink>
      <w:r w:rsidR="00E83666" w:rsidRPr="006C46B3">
        <w:rPr>
          <w:lang w:val="es-ES"/>
        </w:rPr>
        <w:t xml:space="preserve"> </w:t>
      </w:r>
      <w:r w:rsidR="009F3F2D">
        <w:rPr>
          <w:lang w:val="es-ES"/>
        </w:rPr>
        <w:t xml:space="preserve">y </w:t>
      </w:r>
      <w:hyperlink r:id="rId167" w:history="1">
        <w:r w:rsidR="00E83666" w:rsidRPr="009F3F2D">
          <w:rPr>
            <w:rStyle w:val="Hyperlink"/>
            <w:rFonts w:eastAsia="Times New Roman" w:cs="Times New Roman"/>
            <w:szCs w:val="20"/>
            <w:lang w:val="es-ES"/>
          </w:rPr>
          <w:t>C26/DT/5(Rev.</w:t>
        </w:r>
        <w:r w:rsidR="00A91E5B">
          <w:rPr>
            <w:rStyle w:val="Hyperlink"/>
            <w:rFonts w:eastAsia="Times New Roman" w:cs="Times New Roman"/>
            <w:szCs w:val="20"/>
            <w:lang w:val="es-ES"/>
          </w:rPr>
          <w:t>2</w:t>
        </w:r>
        <w:r w:rsidR="00E83666" w:rsidRPr="009F3F2D">
          <w:rPr>
            <w:rStyle w:val="Hyperlink"/>
            <w:rFonts w:eastAsia="Times New Roman" w:cs="Times New Roman"/>
            <w:szCs w:val="20"/>
            <w:lang w:val="es-ES"/>
          </w:rPr>
          <w:t>)</w:t>
        </w:r>
      </w:hyperlink>
      <w:r w:rsidRPr="0041545B">
        <w:rPr>
          <w:lang w:val="es-ES"/>
        </w:rPr>
        <w:t>,</w:t>
      </w:r>
    </w:p>
    <w:p w14:paraId="181784D0" w14:textId="77777777" w:rsidR="000436D6" w:rsidRPr="00A0606F" w:rsidRDefault="000436D6" w:rsidP="000436D6">
      <w:pPr>
        <w:pStyle w:val="Call"/>
        <w:rPr>
          <w:lang w:val="es-ES"/>
        </w:rPr>
      </w:pPr>
      <w:r w:rsidRPr="00A0606F">
        <w:rPr>
          <w:lang w:val="es-ES"/>
        </w:rPr>
        <w:t>resuelve</w:t>
      </w:r>
    </w:p>
    <w:p w14:paraId="594EE146" w14:textId="378346E3" w:rsidR="000436D6" w:rsidRPr="00EF332F" w:rsidRDefault="000436D6" w:rsidP="000436D6">
      <w:pPr>
        <w:rPr>
          <w:lang w:val="es-ES"/>
        </w:rPr>
      </w:pPr>
      <w:r w:rsidRPr="00EF332F">
        <w:rPr>
          <w:lang w:val="es-ES"/>
        </w:rPr>
        <w:t xml:space="preserve">autorizar a Ecuador a contribuir a los gastos de </w:t>
      </w:r>
      <w:r w:rsidR="005457EE">
        <w:rPr>
          <w:lang w:val="es-ES"/>
        </w:rPr>
        <w:t>la Unión</w:t>
      </w:r>
      <w:r w:rsidRPr="00EF332F">
        <w:rPr>
          <w:lang w:val="es-ES"/>
        </w:rPr>
        <w:t xml:space="preserve"> con arreglo a la clase de 1/8 de unidad, con efecto del 1 de enero de 2028 al 31 de diciembre de 2031</w:t>
      </w:r>
      <w:r w:rsidRPr="0082151B">
        <w:rPr>
          <w:lang w:val="es-ES"/>
        </w:rPr>
        <w:t xml:space="preserve">, o hasta que el Consejo </w:t>
      </w:r>
      <w:r w:rsidR="00862A4F">
        <w:rPr>
          <w:lang w:val="es-ES"/>
        </w:rPr>
        <w:t>determine</w:t>
      </w:r>
      <w:r w:rsidR="00862A4F" w:rsidRPr="0082151B">
        <w:rPr>
          <w:lang w:val="es-ES"/>
        </w:rPr>
        <w:t xml:space="preserve"> </w:t>
      </w:r>
      <w:r w:rsidRPr="0082151B">
        <w:rPr>
          <w:lang w:val="es-ES"/>
        </w:rPr>
        <w:t>que han cambiado las circunstancias por las que se concedió la excepción</w:t>
      </w:r>
      <w:r w:rsidRPr="00EF332F">
        <w:rPr>
          <w:lang w:val="es-ES"/>
        </w:rPr>
        <w:t>.</w:t>
      </w:r>
    </w:p>
    <w:p w14:paraId="6F6CB513" w14:textId="77777777" w:rsidR="000436D6" w:rsidRPr="0082151B" w:rsidRDefault="000436D6" w:rsidP="000436D6">
      <w:pPr>
        <w:spacing w:before="840"/>
        <w:jc w:val="center"/>
        <w:rPr>
          <w:lang w:val="es-ES"/>
        </w:rPr>
      </w:pPr>
      <w:r w:rsidRPr="0082151B">
        <w:rPr>
          <w:lang w:val="es-ES"/>
        </w:rPr>
        <w:t>*********</w:t>
      </w:r>
    </w:p>
    <w:p w14:paraId="52B6381A" w14:textId="77777777" w:rsidR="000436D6" w:rsidRDefault="000436D6">
      <w:pPr>
        <w:tabs>
          <w:tab w:val="clear" w:pos="567"/>
          <w:tab w:val="clear" w:pos="1134"/>
          <w:tab w:val="clear" w:pos="1701"/>
          <w:tab w:val="clear" w:pos="2268"/>
          <w:tab w:val="clear" w:pos="2835"/>
        </w:tabs>
        <w:overflowPunct/>
        <w:autoSpaceDE/>
        <w:autoSpaceDN/>
        <w:adjustRightInd/>
        <w:spacing w:before="0"/>
        <w:textAlignment w:val="auto"/>
        <w:rPr>
          <w:sz w:val="28"/>
          <w:lang w:val="es-ES"/>
        </w:rPr>
      </w:pPr>
      <w:r>
        <w:rPr>
          <w:lang w:val="es-ES"/>
        </w:rPr>
        <w:br w:type="page"/>
      </w:r>
    </w:p>
    <w:p w14:paraId="65BA3904" w14:textId="69BB54EF" w:rsidR="000436D6" w:rsidRPr="000436D6" w:rsidRDefault="000436D6" w:rsidP="000436D6">
      <w:pPr>
        <w:pStyle w:val="Annexref"/>
        <w:rPr>
          <w:lang w:val="es-ES"/>
        </w:rPr>
      </w:pPr>
      <w:r>
        <w:rPr>
          <w:lang w:val="es-ES"/>
        </w:rPr>
        <w:lastRenderedPageBreak/>
        <w:t>AN</w:t>
      </w:r>
      <w:bookmarkStart w:id="4" w:name="ANEXO_B"/>
      <w:bookmarkEnd w:id="4"/>
      <w:r>
        <w:rPr>
          <w:lang w:val="es-ES"/>
        </w:rPr>
        <w:t>EXO B</w:t>
      </w:r>
    </w:p>
    <w:p w14:paraId="12122B87" w14:textId="46254944" w:rsidR="00F70066" w:rsidRPr="001D759A" w:rsidRDefault="00F70066" w:rsidP="00F70066">
      <w:pPr>
        <w:pStyle w:val="AnnexNo"/>
        <w:spacing w:before="360"/>
        <w:rPr>
          <w:lang w:val="es-ES"/>
        </w:rPr>
      </w:pPr>
      <w:r w:rsidRPr="001D759A">
        <w:rPr>
          <w:lang w:val="es-ES"/>
        </w:rPr>
        <w:t xml:space="preserve">Proyecto de </w:t>
      </w:r>
      <w:r w:rsidR="003837AB">
        <w:rPr>
          <w:lang w:val="es-ES"/>
        </w:rPr>
        <w:t xml:space="preserve">nuevo </w:t>
      </w:r>
      <w:r w:rsidRPr="001D759A">
        <w:rPr>
          <w:lang w:val="es-ES"/>
        </w:rPr>
        <w:t>acuerdo […]</w:t>
      </w:r>
    </w:p>
    <w:p w14:paraId="5E1C928A" w14:textId="77777777" w:rsidR="00F70066" w:rsidRPr="001D759A" w:rsidRDefault="00F70066" w:rsidP="00F70066">
      <w:pPr>
        <w:pStyle w:val="Annextitle"/>
        <w:rPr>
          <w:lang w:val="es-ES"/>
        </w:rPr>
      </w:pPr>
      <w:r w:rsidRPr="001D759A">
        <w:rPr>
          <w:lang w:val="es-ES"/>
        </w:rPr>
        <w:t>Registro en pérdidas y ganancias de los intereses de mora</w:t>
      </w:r>
      <w:r w:rsidRPr="001D759A">
        <w:rPr>
          <w:lang w:val="es-ES"/>
        </w:rPr>
        <w:br/>
        <w:t>y las cantidades adeudadas incobrables</w:t>
      </w:r>
    </w:p>
    <w:p w14:paraId="092E9054" w14:textId="486E72C2" w:rsidR="00F70066" w:rsidRPr="001D759A" w:rsidRDefault="00F70066" w:rsidP="00F70066">
      <w:pPr>
        <w:pStyle w:val="Normalaftertitle"/>
        <w:rPr>
          <w:lang w:val="es-ES"/>
        </w:rPr>
      </w:pPr>
      <w:r w:rsidRPr="001D759A">
        <w:rPr>
          <w:lang w:val="es-ES"/>
        </w:rPr>
        <w:t xml:space="preserve">El Consejo de </w:t>
      </w:r>
      <w:r w:rsidR="00103D78">
        <w:rPr>
          <w:lang w:val="es-ES"/>
        </w:rPr>
        <w:t>la UIT</w:t>
      </w:r>
      <w:r w:rsidRPr="001D759A">
        <w:rPr>
          <w:lang w:val="es-ES"/>
        </w:rPr>
        <w:t>,</w:t>
      </w:r>
    </w:p>
    <w:p w14:paraId="5A6391F9" w14:textId="77777777" w:rsidR="00F70066" w:rsidRPr="001D759A" w:rsidRDefault="00F70066" w:rsidP="00F70066">
      <w:pPr>
        <w:pStyle w:val="Call"/>
        <w:rPr>
          <w:lang w:val="es-ES"/>
        </w:rPr>
      </w:pPr>
      <w:r w:rsidRPr="001D759A">
        <w:rPr>
          <w:lang w:val="es-ES"/>
        </w:rPr>
        <w:t>habiendo examinado</w:t>
      </w:r>
    </w:p>
    <w:p w14:paraId="38E3E4C9" w14:textId="77777777" w:rsidR="00F70066" w:rsidRPr="001D759A" w:rsidRDefault="00F70066" w:rsidP="00F70066">
      <w:pPr>
        <w:rPr>
          <w:lang w:val="es-ES"/>
        </w:rPr>
      </w:pPr>
      <w:r w:rsidRPr="001D759A">
        <w:rPr>
          <w:lang w:val="es-ES"/>
        </w:rPr>
        <w:t>el Informe de la Secretaria General sobre atrasos y cuentas especiales de atrasos (Documento </w:t>
      </w:r>
      <w:hyperlink r:id="rId168" w:history="1">
        <w:r w:rsidRPr="00184AC5">
          <w:rPr>
            <w:rStyle w:val="Hyperlink"/>
            <w:lang w:val="es-ES"/>
          </w:rPr>
          <w:t>C26/11</w:t>
        </w:r>
      </w:hyperlink>
      <w:r w:rsidRPr="001D759A">
        <w:rPr>
          <w:lang w:val="es-ES"/>
        </w:rPr>
        <w:t>),</w:t>
      </w:r>
    </w:p>
    <w:p w14:paraId="19CCB901" w14:textId="77777777" w:rsidR="00F70066" w:rsidRPr="001D759A" w:rsidRDefault="00F70066" w:rsidP="00F70066">
      <w:pPr>
        <w:pStyle w:val="Call"/>
        <w:rPr>
          <w:lang w:val="es-ES"/>
        </w:rPr>
      </w:pPr>
      <w:r w:rsidRPr="001D759A">
        <w:rPr>
          <w:lang w:val="es-ES"/>
        </w:rPr>
        <w:t>decide</w:t>
      </w:r>
    </w:p>
    <w:p w14:paraId="5DE227DD" w14:textId="486B1714" w:rsidR="00F70066" w:rsidRPr="001D759A" w:rsidRDefault="00F70066" w:rsidP="00884C49">
      <w:pPr>
        <w:spacing w:after="240"/>
        <w:rPr>
          <w:lang w:val="es-ES"/>
        </w:rPr>
      </w:pPr>
      <w:r w:rsidRPr="001D759A">
        <w:rPr>
          <w:color w:val="000000"/>
          <w:lang w:val="es-ES"/>
        </w:rPr>
        <w:t xml:space="preserve">aprobar el registro en pérdidas y ganancias de los intereses de mora y las cantidades adeudadas incobrables, por un importe total de </w:t>
      </w:r>
      <w:r w:rsidRPr="001D759A">
        <w:rPr>
          <w:b/>
          <w:bCs/>
          <w:color w:val="000000"/>
          <w:lang w:val="es-ES"/>
        </w:rPr>
        <w:t>566 815,60</w:t>
      </w:r>
      <w:r w:rsidR="005457EE">
        <w:rPr>
          <w:color w:val="000000"/>
          <w:lang w:val="es-ES"/>
        </w:rPr>
        <w:t> CHF</w:t>
      </w:r>
      <w:r w:rsidRPr="001D759A">
        <w:rPr>
          <w:color w:val="000000"/>
          <w:lang w:val="es-ES"/>
        </w:rPr>
        <w:t>, mediante la detracción de la Provisión para Cuentas Deudoras. Consúltese la información pormenorizada en el cuadro que figura a continuación:</w:t>
      </w:r>
    </w:p>
    <w:tbl>
      <w:tblPr>
        <w:tblW w:w="5000" w:type="pct"/>
        <w:jc w:val="center"/>
        <w:tblLook w:val="04A0" w:firstRow="1" w:lastRow="0" w:firstColumn="1" w:lastColumn="0" w:noHBand="0" w:noVBand="1"/>
      </w:tblPr>
      <w:tblGrid>
        <w:gridCol w:w="1124"/>
        <w:gridCol w:w="1134"/>
        <w:gridCol w:w="2694"/>
        <w:gridCol w:w="992"/>
        <w:gridCol w:w="992"/>
        <w:gridCol w:w="1136"/>
        <w:gridCol w:w="979"/>
      </w:tblGrid>
      <w:tr w:rsidR="00F70066" w:rsidRPr="001D759A" w14:paraId="18D76C56" w14:textId="77777777" w:rsidTr="0064286C">
        <w:trPr>
          <w:trHeight w:val="300"/>
          <w:tblHeader/>
          <w:jc w:val="center"/>
        </w:trPr>
        <w:tc>
          <w:tcPr>
            <w:tcW w:w="1124" w:type="dxa"/>
            <w:tcBorders>
              <w:top w:val="single" w:sz="8" w:space="0" w:color="auto"/>
              <w:left w:val="single" w:sz="8" w:space="0" w:color="auto"/>
              <w:bottom w:val="nil"/>
              <w:right w:val="single" w:sz="4" w:space="0" w:color="auto"/>
            </w:tcBorders>
            <w:shd w:val="clear" w:color="auto" w:fill="C0C0C0"/>
          </w:tcPr>
          <w:p w14:paraId="168E162B" w14:textId="77777777" w:rsidR="00F70066" w:rsidRPr="001D759A" w:rsidRDefault="00F70066" w:rsidP="00744625">
            <w:pPr>
              <w:pStyle w:val="Tablehead"/>
              <w:rPr>
                <w:sz w:val="16"/>
                <w:szCs w:val="14"/>
                <w:lang w:val="es-ES" w:eastAsia="en-GB"/>
              </w:rPr>
            </w:pPr>
            <w:r w:rsidRPr="001D759A">
              <w:rPr>
                <w:sz w:val="16"/>
                <w:szCs w:val="14"/>
                <w:lang w:val="es-ES" w:eastAsia="en-GB"/>
              </w:rPr>
              <w:t>N.º Cuenta</w:t>
            </w:r>
          </w:p>
        </w:tc>
        <w:tc>
          <w:tcPr>
            <w:tcW w:w="1134" w:type="dxa"/>
            <w:tcBorders>
              <w:top w:val="single" w:sz="8" w:space="0" w:color="auto"/>
              <w:left w:val="single" w:sz="8" w:space="0" w:color="auto"/>
              <w:bottom w:val="nil"/>
              <w:right w:val="single" w:sz="4" w:space="0" w:color="auto"/>
            </w:tcBorders>
            <w:shd w:val="clear" w:color="auto" w:fill="C0C0C0"/>
            <w:noWrap/>
            <w:vAlign w:val="center"/>
            <w:hideMark/>
          </w:tcPr>
          <w:p w14:paraId="63F52185" w14:textId="77777777" w:rsidR="00F70066" w:rsidRPr="001D759A" w:rsidRDefault="00F70066" w:rsidP="00744625">
            <w:pPr>
              <w:pStyle w:val="Tablehead"/>
              <w:rPr>
                <w:sz w:val="16"/>
                <w:szCs w:val="14"/>
                <w:lang w:val="es-ES" w:eastAsia="en-GB"/>
              </w:rPr>
            </w:pPr>
            <w:r w:rsidRPr="001D759A">
              <w:rPr>
                <w:sz w:val="16"/>
                <w:szCs w:val="14"/>
                <w:lang w:val="es-ES" w:eastAsia="en-GB"/>
              </w:rPr>
              <w:t>País</w:t>
            </w:r>
          </w:p>
        </w:tc>
        <w:tc>
          <w:tcPr>
            <w:tcW w:w="2694" w:type="dxa"/>
            <w:tcBorders>
              <w:top w:val="single" w:sz="8" w:space="0" w:color="auto"/>
              <w:left w:val="nil"/>
              <w:bottom w:val="nil"/>
              <w:right w:val="single" w:sz="4" w:space="0" w:color="auto"/>
            </w:tcBorders>
            <w:shd w:val="clear" w:color="auto" w:fill="C0C0C0"/>
            <w:noWrap/>
            <w:vAlign w:val="center"/>
            <w:hideMark/>
          </w:tcPr>
          <w:p w14:paraId="4E13EA78" w14:textId="77777777" w:rsidR="00F70066" w:rsidRPr="001D759A" w:rsidRDefault="00F70066" w:rsidP="00744625">
            <w:pPr>
              <w:pStyle w:val="Tablehead"/>
              <w:rPr>
                <w:sz w:val="16"/>
                <w:szCs w:val="14"/>
                <w:lang w:val="es-ES" w:eastAsia="en-GB"/>
              </w:rPr>
            </w:pPr>
            <w:r w:rsidRPr="001D759A">
              <w:rPr>
                <w:sz w:val="16"/>
                <w:szCs w:val="14"/>
                <w:lang w:val="es-ES" w:eastAsia="en-GB"/>
              </w:rPr>
              <w:t>Nombre de la organización</w:t>
            </w:r>
          </w:p>
        </w:tc>
        <w:tc>
          <w:tcPr>
            <w:tcW w:w="992" w:type="dxa"/>
            <w:tcBorders>
              <w:top w:val="single" w:sz="8" w:space="0" w:color="auto"/>
              <w:left w:val="nil"/>
              <w:bottom w:val="nil"/>
              <w:right w:val="single" w:sz="4" w:space="0" w:color="auto"/>
            </w:tcBorders>
            <w:shd w:val="clear" w:color="auto" w:fill="C0C0C0"/>
            <w:noWrap/>
            <w:vAlign w:val="center"/>
            <w:hideMark/>
          </w:tcPr>
          <w:p w14:paraId="6D16E0CC" w14:textId="77777777" w:rsidR="00F70066" w:rsidRPr="001D759A" w:rsidRDefault="00F70066" w:rsidP="00744625">
            <w:pPr>
              <w:pStyle w:val="Tablehead"/>
              <w:rPr>
                <w:sz w:val="16"/>
                <w:szCs w:val="14"/>
                <w:lang w:val="es-ES" w:eastAsia="en-GB"/>
              </w:rPr>
            </w:pPr>
            <w:r w:rsidRPr="001D759A">
              <w:rPr>
                <w:sz w:val="16"/>
                <w:szCs w:val="14"/>
                <w:lang w:val="es-ES" w:eastAsia="en-GB"/>
              </w:rPr>
              <w:t>Año</w:t>
            </w:r>
          </w:p>
        </w:tc>
        <w:tc>
          <w:tcPr>
            <w:tcW w:w="992" w:type="dxa"/>
            <w:tcBorders>
              <w:top w:val="single" w:sz="8" w:space="0" w:color="auto"/>
              <w:left w:val="nil"/>
              <w:bottom w:val="nil"/>
              <w:right w:val="single" w:sz="4" w:space="0" w:color="auto"/>
            </w:tcBorders>
            <w:shd w:val="clear" w:color="auto" w:fill="C0C0C0"/>
            <w:noWrap/>
            <w:vAlign w:val="center"/>
            <w:hideMark/>
          </w:tcPr>
          <w:p w14:paraId="21BADED5" w14:textId="77777777" w:rsidR="00F70066" w:rsidRPr="001D759A" w:rsidRDefault="00F70066" w:rsidP="00744625">
            <w:pPr>
              <w:pStyle w:val="Tablehead"/>
              <w:rPr>
                <w:sz w:val="16"/>
                <w:szCs w:val="14"/>
                <w:lang w:val="es-ES" w:eastAsia="en-GB"/>
              </w:rPr>
            </w:pPr>
            <w:r w:rsidRPr="001D759A">
              <w:rPr>
                <w:sz w:val="16"/>
                <w:szCs w:val="14"/>
                <w:lang w:val="es-ES" w:eastAsia="en-GB"/>
              </w:rPr>
              <w:t>Principal</w:t>
            </w:r>
          </w:p>
        </w:tc>
        <w:tc>
          <w:tcPr>
            <w:tcW w:w="1136" w:type="dxa"/>
            <w:tcBorders>
              <w:top w:val="single" w:sz="8" w:space="0" w:color="auto"/>
              <w:left w:val="nil"/>
              <w:bottom w:val="nil"/>
              <w:right w:val="single" w:sz="4" w:space="0" w:color="auto"/>
            </w:tcBorders>
            <w:shd w:val="clear" w:color="auto" w:fill="C0C0C0"/>
            <w:noWrap/>
            <w:vAlign w:val="center"/>
            <w:hideMark/>
          </w:tcPr>
          <w:p w14:paraId="19035A70" w14:textId="77777777" w:rsidR="00F70066" w:rsidRPr="001D759A" w:rsidRDefault="00F70066" w:rsidP="00744625">
            <w:pPr>
              <w:pStyle w:val="Tablehead"/>
              <w:rPr>
                <w:sz w:val="16"/>
                <w:szCs w:val="14"/>
                <w:lang w:val="es-ES" w:eastAsia="en-GB"/>
              </w:rPr>
            </w:pPr>
            <w:r w:rsidRPr="001D759A">
              <w:rPr>
                <w:sz w:val="16"/>
                <w:szCs w:val="14"/>
                <w:lang w:val="es-ES" w:eastAsia="en-GB"/>
              </w:rPr>
              <w:t>Intereses</w:t>
            </w:r>
          </w:p>
        </w:tc>
        <w:tc>
          <w:tcPr>
            <w:tcW w:w="979" w:type="dxa"/>
            <w:tcBorders>
              <w:top w:val="single" w:sz="8" w:space="0" w:color="auto"/>
              <w:left w:val="nil"/>
              <w:bottom w:val="nil"/>
              <w:right w:val="single" w:sz="8" w:space="0" w:color="auto"/>
            </w:tcBorders>
            <w:shd w:val="clear" w:color="auto" w:fill="C0C0C0"/>
            <w:noWrap/>
            <w:vAlign w:val="center"/>
            <w:hideMark/>
          </w:tcPr>
          <w:p w14:paraId="30B131FC" w14:textId="77777777" w:rsidR="00F70066" w:rsidRPr="001D759A" w:rsidRDefault="00F70066" w:rsidP="00744625">
            <w:pPr>
              <w:pStyle w:val="Tablehead"/>
              <w:ind w:right="112"/>
              <w:rPr>
                <w:sz w:val="16"/>
                <w:szCs w:val="14"/>
                <w:lang w:val="es-ES" w:eastAsia="en-GB"/>
              </w:rPr>
            </w:pPr>
            <w:r w:rsidRPr="001D759A">
              <w:rPr>
                <w:sz w:val="16"/>
                <w:szCs w:val="14"/>
                <w:lang w:val="es-ES" w:eastAsia="en-GB"/>
              </w:rPr>
              <w:t>Total</w:t>
            </w:r>
          </w:p>
        </w:tc>
      </w:tr>
      <w:tr w:rsidR="00F70066" w:rsidRPr="001D759A" w14:paraId="42228B6E" w14:textId="77777777" w:rsidTr="0064286C">
        <w:trPr>
          <w:trHeight w:val="45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1B63E647"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53305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285ECC2"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Côte d'Ivoire</w:t>
            </w:r>
          </w:p>
        </w:tc>
        <w:tc>
          <w:tcPr>
            <w:tcW w:w="2694" w:type="dxa"/>
            <w:tcBorders>
              <w:top w:val="single" w:sz="4" w:space="0" w:color="auto"/>
              <w:left w:val="nil"/>
              <w:bottom w:val="single" w:sz="4" w:space="0" w:color="auto"/>
              <w:right w:val="single" w:sz="4" w:space="0" w:color="auto"/>
            </w:tcBorders>
            <w:shd w:val="clear" w:color="auto" w:fill="FFFFFF" w:themeFill="background1"/>
            <w:hideMark/>
          </w:tcPr>
          <w:p w14:paraId="46D8CCCE" w14:textId="77777777" w:rsidR="00F70066" w:rsidRPr="005A3C5B" w:rsidRDefault="00F70066" w:rsidP="00744625">
            <w:pPr>
              <w:pStyle w:val="Tabletext"/>
              <w:rPr>
                <w:sz w:val="16"/>
                <w:szCs w:val="16"/>
                <w:lang w:eastAsia="en-GB"/>
              </w:rPr>
            </w:pPr>
            <w:r w:rsidRPr="001D759A">
              <w:rPr>
                <w:sz w:val="16"/>
                <w:szCs w:val="16"/>
                <w:lang w:eastAsia="en-GB"/>
              </w:rPr>
              <w:t>Autorité de Régulation des Télécommunications de Côte d'Ivoire (ARTCI</w:t>
            </w:r>
            <w:r w:rsidRPr="005A3C5B">
              <w:rPr>
                <w:sz w:val="16"/>
                <w:szCs w:val="16"/>
                <w:lang w:eastAsia="en-GB"/>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hideMark/>
          </w:tcPr>
          <w:p w14:paraId="0635DE1F"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2023-2025</w:t>
            </w:r>
          </w:p>
        </w:tc>
        <w:tc>
          <w:tcPr>
            <w:tcW w:w="992" w:type="dxa"/>
            <w:tcBorders>
              <w:top w:val="single" w:sz="4" w:space="0" w:color="auto"/>
              <w:left w:val="nil"/>
              <w:bottom w:val="single" w:sz="4" w:space="0" w:color="auto"/>
              <w:right w:val="single" w:sz="4" w:space="0" w:color="auto"/>
            </w:tcBorders>
            <w:shd w:val="clear" w:color="auto" w:fill="FFFFFF" w:themeFill="background1"/>
            <w:noWrap/>
            <w:hideMark/>
          </w:tcPr>
          <w:p w14:paraId="5B96F239"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0,00</w:t>
            </w:r>
          </w:p>
        </w:tc>
        <w:tc>
          <w:tcPr>
            <w:tcW w:w="1136" w:type="dxa"/>
            <w:tcBorders>
              <w:top w:val="single" w:sz="4" w:space="0" w:color="auto"/>
              <w:left w:val="nil"/>
              <w:bottom w:val="single" w:sz="4" w:space="0" w:color="auto"/>
              <w:right w:val="single" w:sz="4" w:space="0" w:color="auto"/>
            </w:tcBorders>
            <w:shd w:val="clear" w:color="auto" w:fill="FFFFFF" w:themeFill="background1"/>
            <w:noWrap/>
            <w:hideMark/>
          </w:tcPr>
          <w:p w14:paraId="48D75FEE"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91 315,30</w:t>
            </w:r>
          </w:p>
        </w:tc>
        <w:tc>
          <w:tcPr>
            <w:tcW w:w="979" w:type="dxa"/>
            <w:tcBorders>
              <w:top w:val="single" w:sz="4" w:space="0" w:color="auto"/>
              <w:left w:val="nil"/>
              <w:bottom w:val="single" w:sz="4" w:space="0" w:color="auto"/>
              <w:right w:val="single" w:sz="4" w:space="0" w:color="auto"/>
            </w:tcBorders>
            <w:shd w:val="clear" w:color="auto" w:fill="FFFFFF" w:themeFill="background1"/>
            <w:noWrap/>
            <w:hideMark/>
          </w:tcPr>
          <w:p w14:paraId="09880488"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91 315,30</w:t>
            </w:r>
          </w:p>
        </w:tc>
      </w:tr>
      <w:tr w:rsidR="00F70066" w:rsidRPr="001D759A" w14:paraId="6ABDCE5D" w14:textId="77777777" w:rsidTr="0064286C">
        <w:trPr>
          <w:trHeight w:val="300"/>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424BD360"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131</w:t>
            </w:r>
          </w:p>
        </w:tc>
        <w:tc>
          <w:tcPr>
            <w:tcW w:w="1134" w:type="dxa"/>
            <w:tcBorders>
              <w:top w:val="nil"/>
              <w:left w:val="single" w:sz="4" w:space="0" w:color="auto"/>
              <w:bottom w:val="single" w:sz="4" w:space="0" w:color="auto"/>
              <w:right w:val="single" w:sz="4" w:space="0" w:color="auto"/>
            </w:tcBorders>
            <w:shd w:val="clear" w:color="auto" w:fill="FFFFFF" w:themeFill="background1"/>
            <w:noWrap/>
            <w:hideMark/>
          </w:tcPr>
          <w:p w14:paraId="71F8F099"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Israel</w:t>
            </w:r>
          </w:p>
        </w:tc>
        <w:tc>
          <w:tcPr>
            <w:tcW w:w="2694" w:type="dxa"/>
            <w:tcBorders>
              <w:top w:val="nil"/>
              <w:left w:val="nil"/>
              <w:bottom w:val="single" w:sz="4" w:space="0" w:color="auto"/>
              <w:right w:val="single" w:sz="4" w:space="0" w:color="auto"/>
            </w:tcBorders>
            <w:shd w:val="clear" w:color="auto" w:fill="FFFFFF" w:themeFill="background1"/>
            <w:hideMark/>
          </w:tcPr>
          <w:p w14:paraId="76331EE8" w14:textId="77777777" w:rsidR="00F70066" w:rsidRPr="001D759A" w:rsidRDefault="00F70066" w:rsidP="00744625">
            <w:pPr>
              <w:pStyle w:val="Tabletext"/>
              <w:rPr>
                <w:sz w:val="16"/>
                <w:szCs w:val="16"/>
                <w:lang w:val="en-US" w:eastAsia="en-GB"/>
              </w:rPr>
            </w:pPr>
            <w:r w:rsidRPr="001D759A">
              <w:rPr>
                <w:sz w:val="16"/>
                <w:szCs w:val="16"/>
                <w:lang w:val="en-US" w:eastAsia="en-GB"/>
              </w:rPr>
              <w:t>Ministry of Communications</w:t>
            </w:r>
          </w:p>
        </w:tc>
        <w:tc>
          <w:tcPr>
            <w:tcW w:w="992" w:type="dxa"/>
            <w:tcBorders>
              <w:top w:val="nil"/>
              <w:left w:val="nil"/>
              <w:bottom w:val="single" w:sz="4" w:space="0" w:color="auto"/>
              <w:right w:val="single" w:sz="4" w:space="0" w:color="auto"/>
            </w:tcBorders>
            <w:shd w:val="clear" w:color="auto" w:fill="FFFFFF" w:themeFill="background1"/>
            <w:noWrap/>
            <w:hideMark/>
          </w:tcPr>
          <w:p w14:paraId="223597E7"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2025</w:t>
            </w:r>
          </w:p>
        </w:tc>
        <w:tc>
          <w:tcPr>
            <w:tcW w:w="992" w:type="dxa"/>
            <w:tcBorders>
              <w:top w:val="nil"/>
              <w:left w:val="nil"/>
              <w:bottom w:val="single" w:sz="4" w:space="0" w:color="auto"/>
              <w:right w:val="single" w:sz="4" w:space="0" w:color="auto"/>
            </w:tcBorders>
            <w:shd w:val="clear" w:color="auto" w:fill="FFFFFF" w:themeFill="background1"/>
            <w:noWrap/>
            <w:hideMark/>
          </w:tcPr>
          <w:p w14:paraId="7D1148DD"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0,00</w:t>
            </w:r>
          </w:p>
        </w:tc>
        <w:tc>
          <w:tcPr>
            <w:tcW w:w="1136" w:type="dxa"/>
            <w:tcBorders>
              <w:top w:val="nil"/>
              <w:left w:val="nil"/>
              <w:bottom w:val="single" w:sz="4" w:space="0" w:color="auto"/>
              <w:right w:val="single" w:sz="4" w:space="0" w:color="auto"/>
            </w:tcBorders>
            <w:shd w:val="clear" w:color="auto" w:fill="FFFFFF" w:themeFill="background1"/>
            <w:noWrap/>
            <w:hideMark/>
          </w:tcPr>
          <w:p w14:paraId="1B253F39"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7 314,00</w:t>
            </w:r>
          </w:p>
        </w:tc>
        <w:tc>
          <w:tcPr>
            <w:tcW w:w="979" w:type="dxa"/>
            <w:tcBorders>
              <w:top w:val="nil"/>
              <w:left w:val="nil"/>
              <w:bottom w:val="single" w:sz="4" w:space="0" w:color="auto"/>
              <w:right w:val="single" w:sz="4" w:space="0" w:color="auto"/>
            </w:tcBorders>
            <w:shd w:val="clear" w:color="auto" w:fill="FFFFFF" w:themeFill="background1"/>
            <w:noWrap/>
            <w:hideMark/>
          </w:tcPr>
          <w:p w14:paraId="7EF727C6"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7 314,00</w:t>
            </w:r>
          </w:p>
        </w:tc>
      </w:tr>
      <w:tr w:rsidR="00F70066" w:rsidRPr="001D759A" w14:paraId="1970144F" w14:textId="77777777" w:rsidTr="0064286C">
        <w:trPr>
          <w:trHeight w:val="450"/>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0EA2B44F"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14794</w:t>
            </w:r>
          </w:p>
        </w:tc>
        <w:tc>
          <w:tcPr>
            <w:tcW w:w="1134" w:type="dxa"/>
            <w:tcBorders>
              <w:top w:val="nil"/>
              <w:left w:val="single" w:sz="4" w:space="0" w:color="auto"/>
              <w:bottom w:val="single" w:sz="4" w:space="0" w:color="auto"/>
              <w:right w:val="single" w:sz="4" w:space="0" w:color="auto"/>
            </w:tcBorders>
            <w:shd w:val="clear" w:color="auto" w:fill="FFFFFF" w:themeFill="background1"/>
            <w:noWrap/>
          </w:tcPr>
          <w:p w14:paraId="12EBEB1B"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Kazajstán</w:t>
            </w:r>
          </w:p>
        </w:tc>
        <w:tc>
          <w:tcPr>
            <w:tcW w:w="2694" w:type="dxa"/>
            <w:tcBorders>
              <w:top w:val="nil"/>
              <w:left w:val="nil"/>
              <w:bottom w:val="single" w:sz="4" w:space="0" w:color="auto"/>
              <w:right w:val="single" w:sz="4" w:space="0" w:color="auto"/>
            </w:tcBorders>
            <w:shd w:val="clear" w:color="auto" w:fill="FFFFFF" w:themeFill="background1"/>
          </w:tcPr>
          <w:p w14:paraId="7FA72B51" w14:textId="77777777" w:rsidR="00F70066" w:rsidRPr="001D759A" w:rsidRDefault="00F70066" w:rsidP="00744625">
            <w:pPr>
              <w:pStyle w:val="Tabletext"/>
              <w:rPr>
                <w:sz w:val="16"/>
                <w:szCs w:val="16"/>
                <w:lang w:val="en-US" w:eastAsia="en-GB"/>
              </w:rPr>
            </w:pPr>
            <w:r w:rsidRPr="001D759A">
              <w:rPr>
                <w:sz w:val="16"/>
                <w:szCs w:val="16"/>
                <w:lang w:val="en-US" w:eastAsia="en-GB"/>
              </w:rPr>
              <w:t>Ministry of Artificial Intelligence and Digital Development</w:t>
            </w:r>
          </w:p>
        </w:tc>
        <w:tc>
          <w:tcPr>
            <w:tcW w:w="992" w:type="dxa"/>
            <w:tcBorders>
              <w:top w:val="nil"/>
              <w:left w:val="nil"/>
              <w:bottom w:val="single" w:sz="4" w:space="0" w:color="auto"/>
              <w:right w:val="single" w:sz="4" w:space="0" w:color="auto"/>
            </w:tcBorders>
            <w:shd w:val="clear" w:color="auto" w:fill="FFFFFF" w:themeFill="background1"/>
            <w:noWrap/>
          </w:tcPr>
          <w:p w14:paraId="4B35D1B0"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2024-2025</w:t>
            </w:r>
          </w:p>
        </w:tc>
        <w:tc>
          <w:tcPr>
            <w:tcW w:w="992" w:type="dxa"/>
            <w:tcBorders>
              <w:top w:val="nil"/>
              <w:left w:val="nil"/>
              <w:bottom w:val="single" w:sz="4" w:space="0" w:color="auto"/>
              <w:right w:val="single" w:sz="4" w:space="0" w:color="auto"/>
            </w:tcBorders>
            <w:shd w:val="clear" w:color="auto" w:fill="FFFFFF" w:themeFill="background1"/>
            <w:noWrap/>
          </w:tcPr>
          <w:p w14:paraId="6ABA322A"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0,00</w:t>
            </w:r>
          </w:p>
        </w:tc>
        <w:tc>
          <w:tcPr>
            <w:tcW w:w="1136" w:type="dxa"/>
            <w:tcBorders>
              <w:top w:val="nil"/>
              <w:left w:val="nil"/>
              <w:bottom w:val="single" w:sz="4" w:space="0" w:color="auto"/>
              <w:right w:val="single" w:sz="4" w:space="0" w:color="auto"/>
            </w:tcBorders>
            <w:shd w:val="clear" w:color="auto" w:fill="FFFFFF" w:themeFill="background1"/>
            <w:noWrap/>
          </w:tcPr>
          <w:p w14:paraId="04235E50"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5 313,25</w:t>
            </w:r>
          </w:p>
        </w:tc>
        <w:tc>
          <w:tcPr>
            <w:tcW w:w="979" w:type="dxa"/>
            <w:tcBorders>
              <w:top w:val="nil"/>
              <w:left w:val="nil"/>
              <w:bottom w:val="single" w:sz="4" w:space="0" w:color="auto"/>
              <w:right w:val="single" w:sz="4" w:space="0" w:color="auto"/>
            </w:tcBorders>
            <w:shd w:val="clear" w:color="auto" w:fill="FFFFFF" w:themeFill="background1"/>
            <w:noWrap/>
          </w:tcPr>
          <w:p w14:paraId="5BE5C980"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5 313,25</w:t>
            </w:r>
          </w:p>
        </w:tc>
      </w:tr>
      <w:tr w:rsidR="00F70066" w:rsidRPr="001D759A" w14:paraId="0F8F9127" w14:textId="77777777" w:rsidTr="0064286C">
        <w:trPr>
          <w:trHeight w:val="450"/>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7BC7E83F"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181</w:t>
            </w:r>
          </w:p>
        </w:tc>
        <w:tc>
          <w:tcPr>
            <w:tcW w:w="1134" w:type="dxa"/>
            <w:tcBorders>
              <w:top w:val="nil"/>
              <w:left w:val="single" w:sz="4" w:space="0" w:color="auto"/>
              <w:bottom w:val="single" w:sz="4" w:space="0" w:color="auto"/>
              <w:right w:val="single" w:sz="4" w:space="0" w:color="auto"/>
            </w:tcBorders>
            <w:shd w:val="clear" w:color="auto" w:fill="FFFFFF" w:themeFill="background1"/>
            <w:noWrap/>
            <w:hideMark/>
          </w:tcPr>
          <w:p w14:paraId="3F25B904"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Nigeria</w:t>
            </w:r>
          </w:p>
        </w:tc>
        <w:tc>
          <w:tcPr>
            <w:tcW w:w="2694" w:type="dxa"/>
            <w:tcBorders>
              <w:top w:val="nil"/>
              <w:left w:val="nil"/>
              <w:bottom w:val="single" w:sz="4" w:space="0" w:color="auto"/>
              <w:right w:val="single" w:sz="4" w:space="0" w:color="auto"/>
            </w:tcBorders>
            <w:shd w:val="clear" w:color="auto" w:fill="FFFFFF" w:themeFill="background1"/>
            <w:hideMark/>
          </w:tcPr>
          <w:p w14:paraId="2537994F" w14:textId="77777777" w:rsidR="00F70066" w:rsidRPr="001D759A" w:rsidRDefault="00F70066" w:rsidP="00744625">
            <w:pPr>
              <w:pStyle w:val="Tabletext"/>
              <w:rPr>
                <w:sz w:val="16"/>
                <w:szCs w:val="16"/>
                <w:lang w:val="en-US" w:eastAsia="en-GB"/>
              </w:rPr>
            </w:pPr>
            <w:r w:rsidRPr="001D759A">
              <w:rPr>
                <w:sz w:val="16"/>
                <w:szCs w:val="16"/>
                <w:lang w:val="en-US" w:eastAsia="en-GB"/>
              </w:rPr>
              <w:t>Federal Ministry of Communications and Digital Economy</w:t>
            </w:r>
          </w:p>
        </w:tc>
        <w:tc>
          <w:tcPr>
            <w:tcW w:w="992" w:type="dxa"/>
            <w:tcBorders>
              <w:top w:val="nil"/>
              <w:left w:val="nil"/>
              <w:bottom w:val="single" w:sz="4" w:space="0" w:color="auto"/>
              <w:right w:val="single" w:sz="4" w:space="0" w:color="auto"/>
            </w:tcBorders>
            <w:shd w:val="clear" w:color="auto" w:fill="FFFFFF" w:themeFill="background1"/>
            <w:noWrap/>
            <w:hideMark/>
          </w:tcPr>
          <w:p w14:paraId="610130C8"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2024-2025</w:t>
            </w:r>
          </w:p>
        </w:tc>
        <w:tc>
          <w:tcPr>
            <w:tcW w:w="992" w:type="dxa"/>
            <w:tcBorders>
              <w:top w:val="nil"/>
              <w:left w:val="nil"/>
              <w:bottom w:val="single" w:sz="4" w:space="0" w:color="auto"/>
              <w:right w:val="single" w:sz="4" w:space="0" w:color="auto"/>
            </w:tcBorders>
            <w:shd w:val="clear" w:color="auto" w:fill="FFFFFF" w:themeFill="background1"/>
            <w:noWrap/>
            <w:hideMark/>
          </w:tcPr>
          <w:p w14:paraId="05B954A2"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0,00</w:t>
            </w:r>
          </w:p>
        </w:tc>
        <w:tc>
          <w:tcPr>
            <w:tcW w:w="1136" w:type="dxa"/>
            <w:tcBorders>
              <w:top w:val="nil"/>
              <w:left w:val="nil"/>
              <w:bottom w:val="single" w:sz="4" w:space="0" w:color="auto"/>
              <w:right w:val="single" w:sz="4" w:space="0" w:color="auto"/>
            </w:tcBorders>
            <w:shd w:val="clear" w:color="auto" w:fill="FFFFFF" w:themeFill="background1"/>
            <w:noWrap/>
            <w:hideMark/>
          </w:tcPr>
          <w:p w14:paraId="31F07483"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65 137,00</w:t>
            </w:r>
          </w:p>
        </w:tc>
        <w:tc>
          <w:tcPr>
            <w:tcW w:w="979" w:type="dxa"/>
            <w:tcBorders>
              <w:top w:val="nil"/>
              <w:left w:val="nil"/>
              <w:bottom w:val="single" w:sz="4" w:space="0" w:color="auto"/>
              <w:right w:val="single" w:sz="4" w:space="0" w:color="auto"/>
            </w:tcBorders>
            <w:shd w:val="clear" w:color="auto" w:fill="FFFFFF" w:themeFill="background1"/>
            <w:noWrap/>
            <w:hideMark/>
          </w:tcPr>
          <w:p w14:paraId="70B29F20"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65 137,00</w:t>
            </w:r>
          </w:p>
        </w:tc>
      </w:tr>
      <w:tr w:rsidR="00F70066" w:rsidRPr="001D759A" w14:paraId="34EF6526" w14:textId="77777777" w:rsidTr="0064286C">
        <w:trPr>
          <w:trHeight w:val="315"/>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11C048D5"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195</w:t>
            </w:r>
          </w:p>
        </w:tc>
        <w:tc>
          <w:tcPr>
            <w:tcW w:w="1134" w:type="dxa"/>
            <w:tcBorders>
              <w:top w:val="nil"/>
              <w:left w:val="single" w:sz="4" w:space="0" w:color="auto"/>
              <w:bottom w:val="single" w:sz="4" w:space="0" w:color="auto"/>
              <w:right w:val="single" w:sz="4" w:space="0" w:color="auto"/>
            </w:tcBorders>
            <w:shd w:val="clear" w:color="auto" w:fill="FFFFFF" w:themeFill="background1"/>
            <w:noWrap/>
            <w:hideMark/>
          </w:tcPr>
          <w:p w14:paraId="18B6C7AE"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Pakistán</w:t>
            </w:r>
          </w:p>
        </w:tc>
        <w:tc>
          <w:tcPr>
            <w:tcW w:w="2694" w:type="dxa"/>
            <w:tcBorders>
              <w:top w:val="nil"/>
              <w:left w:val="nil"/>
              <w:bottom w:val="single" w:sz="4" w:space="0" w:color="auto"/>
              <w:right w:val="single" w:sz="4" w:space="0" w:color="auto"/>
            </w:tcBorders>
            <w:shd w:val="clear" w:color="auto" w:fill="FFFFFF" w:themeFill="background1"/>
            <w:hideMark/>
          </w:tcPr>
          <w:p w14:paraId="37172FCF" w14:textId="77777777" w:rsidR="00F70066" w:rsidRPr="001D759A" w:rsidRDefault="00F70066" w:rsidP="00744625">
            <w:pPr>
              <w:pStyle w:val="Tabletext"/>
              <w:rPr>
                <w:sz w:val="16"/>
                <w:szCs w:val="16"/>
                <w:lang w:val="en-US" w:eastAsia="en-GB"/>
              </w:rPr>
            </w:pPr>
            <w:r w:rsidRPr="001D759A">
              <w:rPr>
                <w:sz w:val="16"/>
                <w:szCs w:val="16"/>
                <w:lang w:val="en-US" w:eastAsia="en-GB"/>
              </w:rPr>
              <w:t>Ministry of Information Technology</w:t>
            </w:r>
          </w:p>
        </w:tc>
        <w:tc>
          <w:tcPr>
            <w:tcW w:w="992" w:type="dxa"/>
            <w:tcBorders>
              <w:top w:val="nil"/>
              <w:left w:val="nil"/>
              <w:bottom w:val="single" w:sz="4" w:space="0" w:color="auto"/>
              <w:right w:val="single" w:sz="4" w:space="0" w:color="auto"/>
            </w:tcBorders>
            <w:shd w:val="clear" w:color="auto" w:fill="FFFFFF" w:themeFill="background1"/>
            <w:noWrap/>
            <w:hideMark/>
          </w:tcPr>
          <w:p w14:paraId="0F91EAA0"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2025</w:t>
            </w:r>
          </w:p>
        </w:tc>
        <w:tc>
          <w:tcPr>
            <w:tcW w:w="992" w:type="dxa"/>
            <w:tcBorders>
              <w:top w:val="nil"/>
              <w:left w:val="nil"/>
              <w:bottom w:val="single" w:sz="4" w:space="0" w:color="auto"/>
              <w:right w:val="single" w:sz="4" w:space="0" w:color="auto"/>
            </w:tcBorders>
            <w:shd w:val="clear" w:color="auto" w:fill="FFFFFF" w:themeFill="background1"/>
            <w:noWrap/>
            <w:hideMark/>
          </w:tcPr>
          <w:p w14:paraId="6BE2A81B"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0,00</w:t>
            </w:r>
          </w:p>
        </w:tc>
        <w:tc>
          <w:tcPr>
            <w:tcW w:w="1136" w:type="dxa"/>
            <w:tcBorders>
              <w:top w:val="nil"/>
              <w:left w:val="nil"/>
              <w:bottom w:val="single" w:sz="4" w:space="0" w:color="auto"/>
              <w:right w:val="single" w:sz="4" w:space="0" w:color="auto"/>
            </w:tcBorders>
            <w:shd w:val="clear" w:color="auto" w:fill="FFFFFF" w:themeFill="background1"/>
            <w:noWrap/>
            <w:hideMark/>
          </w:tcPr>
          <w:p w14:paraId="7158058C"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1 972,60</w:t>
            </w:r>
          </w:p>
        </w:tc>
        <w:tc>
          <w:tcPr>
            <w:tcW w:w="979" w:type="dxa"/>
            <w:tcBorders>
              <w:top w:val="nil"/>
              <w:left w:val="nil"/>
              <w:bottom w:val="single" w:sz="4" w:space="0" w:color="auto"/>
              <w:right w:val="single" w:sz="4" w:space="0" w:color="auto"/>
            </w:tcBorders>
            <w:shd w:val="clear" w:color="auto" w:fill="FFFFFF" w:themeFill="background1"/>
            <w:noWrap/>
            <w:hideMark/>
          </w:tcPr>
          <w:p w14:paraId="58D9C1DF"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1 972,60</w:t>
            </w:r>
          </w:p>
        </w:tc>
      </w:tr>
      <w:tr w:rsidR="00F70066" w:rsidRPr="001D759A" w14:paraId="789523B5" w14:textId="77777777" w:rsidTr="0064286C">
        <w:trPr>
          <w:trHeight w:val="315"/>
          <w:jc w:val="center"/>
        </w:trPr>
        <w:tc>
          <w:tcPr>
            <w:tcW w:w="5944" w:type="dxa"/>
            <w:gridSpan w:val="4"/>
            <w:tcBorders>
              <w:top w:val="single" w:sz="8" w:space="0" w:color="auto"/>
              <w:left w:val="single" w:sz="8" w:space="0" w:color="auto"/>
              <w:bottom w:val="single" w:sz="8" w:space="0" w:color="000000" w:themeColor="text1"/>
              <w:right w:val="single" w:sz="8" w:space="0" w:color="000000" w:themeColor="text1"/>
            </w:tcBorders>
          </w:tcPr>
          <w:p w14:paraId="5F08342D" w14:textId="77777777" w:rsidR="00F70066" w:rsidRPr="001D759A" w:rsidRDefault="00F70066" w:rsidP="00744625">
            <w:pPr>
              <w:pStyle w:val="Tabletext"/>
              <w:jc w:val="center"/>
              <w:rPr>
                <w:b/>
                <w:bCs/>
                <w:i/>
                <w:iCs/>
                <w:sz w:val="16"/>
                <w:szCs w:val="16"/>
                <w:lang w:val="es-ES" w:eastAsia="en-GB"/>
              </w:rPr>
            </w:pPr>
            <w:r w:rsidRPr="001D759A">
              <w:rPr>
                <w:b/>
                <w:bCs/>
                <w:i/>
                <w:iCs/>
                <w:sz w:val="16"/>
                <w:szCs w:val="16"/>
                <w:lang w:val="es-ES" w:eastAsia="en-GB"/>
              </w:rPr>
              <w:t>1. Subtotal: Administraciones</w:t>
            </w:r>
          </w:p>
        </w:tc>
        <w:tc>
          <w:tcPr>
            <w:tcW w:w="992" w:type="dxa"/>
            <w:tcBorders>
              <w:top w:val="single" w:sz="8" w:space="0" w:color="auto"/>
              <w:left w:val="nil"/>
              <w:bottom w:val="single" w:sz="8" w:space="0" w:color="auto"/>
              <w:right w:val="single" w:sz="8" w:space="0" w:color="auto"/>
            </w:tcBorders>
            <w:noWrap/>
            <w:vAlign w:val="center"/>
            <w:hideMark/>
          </w:tcPr>
          <w:p w14:paraId="58C6863A" w14:textId="77777777" w:rsidR="00F70066" w:rsidRPr="001D759A" w:rsidRDefault="00F70066" w:rsidP="00744625">
            <w:pPr>
              <w:pStyle w:val="Tabletext"/>
              <w:jc w:val="center"/>
              <w:rPr>
                <w:b/>
                <w:bCs/>
                <w:sz w:val="16"/>
                <w:szCs w:val="16"/>
                <w:lang w:val="es-ES" w:eastAsia="en-GB"/>
              </w:rPr>
            </w:pPr>
            <w:r w:rsidRPr="001D759A">
              <w:rPr>
                <w:b/>
                <w:bCs/>
                <w:sz w:val="16"/>
                <w:szCs w:val="16"/>
                <w:lang w:val="es-ES" w:eastAsia="en-GB"/>
              </w:rPr>
              <w:t>0,00</w:t>
            </w:r>
          </w:p>
        </w:tc>
        <w:tc>
          <w:tcPr>
            <w:tcW w:w="1136" w:type="dxa"/>
            <w:tcBorders>
              <w:top w:val="single" w:sz="8" w:space="0" w:color="auto"/>
              <w:left w:val="nil"/>
              <w:bottom w:val="single" w:sz="8" w:space="0" w:color="auto"/>
              <w:right w:val="single" w:sz="8" w:space="0" w:color="auto"/>
            </w:tcBorders>
            <w:noWrap/>
            <w:vAlign w:val="center"/>
            <w:hideMark/>
          </w:tcPr>
          <w:p w14:paraId="53183DC7" w14:textId="77777777" w:rsidR="00F70066" w:rsidRPr="001D759A" w:rsidRDefault="00F70066" w:rsidP="00744625">
            <w:pPr>
              <w:pStyle w:val="Tabletext"/>
              <w:jc w:val="center"/>
              <w:rPr>
                <w:b/>
                <w:bCs/>
                <w:sz w:val="16"/>
                <w:szCs w:val="16"/>
                <w:lang w:val="es-ES" w:eastAsia="en-GB"/>
              </w:rPr>
            </w:pPr>
            <w:r w:rsidRPr="001D759A">
              <w:rPr>
                <w:b/>
                <w:bCs/>
                <w:sz w:val="16"/>
                <w:szCs w:val="16"/>
                <w:lang w:val="es-ES" w:eastAsia="en-GB"/>
              </w:rPr>
              <w:t>171 052,15</w:t>
            </w:r>
          </w:p>
        </w:tc>
        <w:tc>
          <w:tcPr>
            <w:tcW w:w="979" w:type="dxa"/>
            <w:tcBorders>
              <w:top w:val="single" w:sz="8" w:space="0" w:color="auto"/>
              <w:left w:val="nil"/>
              <w:bottom w:val="single" w:sz="8" w:space="0" w:color="auto"/>
              <w:right w:val="single" w:sz="8" w:space="0" w:color="auto"/>
            </w:tcBorders>
            <w:noWrap/>
            <w:vAlign w:val="center"/>
            <w:hideMark/>
          </w:tcPr>
          <w:p w14:paraId="6406EBE9" w14:textId="77777777" w:rsidR="00F70066" w:rsidRPr="001D759A" w:rsidRDefault="00F70066" w:rsidP="00744625">
            <w:pPr>
              <w:pStyle w:val="Tabletext"/>
              <w:jc w:val="center"/>
              <w:rPr>
                <w:b/>
                <w:bCs/>
                <w:sz w:val="16"/>
                <w:szCs w:val="16"/>
                <w:lang w:val="es-ES" w:eastAsia="en-GB"/>
              </w:rPr>
            </w:pPr>
            <w:r w:rsidRPr="001D759A">
              <w:rPr>
                <w:b/>
                <w:bCs/>
                <w:sz w:val="16"/>
                <w:szCs w:val="16"/>
                <w:lang w:val="es-ES" w:eastAsia="en-GB"/>
              </w:rPr>
              <w:t>171 052,15</w:t>
            </w:r>
          </w:p>
        </w:tc>
      </w:tr>
      <w:tr w:rsidR="00F70066" w:rsidRPr="001D759A" w14:paraId="381106D4" w14:textId="77777777" w:rsidTr="0064286C">
        <w:trPr>
          <w:trHeight w:val="28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0C87BD56" w14:textId="77777777" w:rsidR="00F70066" w:rsidRPr="001D759A" w:rsidRDefault="00F70066" w:rsidP="00744625">
            <w:pPr>
              <w:pStyle w:val="Tabletext"/>
              <w:jc w:val="center"/>
              <w:rPr>
                <w:sz w:val="16"/>
                <w:szCs w:val="16"/>
                <w:lang w:val="es-ES"/>
              </w:rPr>
            </w:pPr>
            <w:r w:rsidRPr="001D759A">
              <w:rPr>
                <w:sz w:val="16"/>
                <w:szCs w:val="16"/>
                <w:lang w:val="es-ES" w:eastAsia="en-GB"/>
              </w:rPr>
              <w:t>62460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7732FB" w14:textId="77777777" w:rsidR="00F70066" w:rsidRPr="001D759A" w:rsidRDefault="00F70066" w:rsidP="00744625">
            <w:pPr>
              <w:pStyle w:val="Tabletext"/>
              <w:jc w:val="center"/>
              <w:rPr>
                <w:sz w:val="16"/>
                <w:szCs w:val="16"/>
                <w:lang w:val="es-ES" w:eastAsia="en-GB"/>
              </w:rPr>
            </w:pPr>
            <w:r w:rsidRPr="001D759A">
              <w:rPr>
                <w:sz w:val="16"/>
                <w:szCs w:val="16"/>
                <w:lang w:val="es-ES"/>
              </w:rPr>
              <w:t>Camboya</w:t>
            </w:r>
          </w:p>
        </w:tc>
        <w:tc>
          <w:tcPr>
            <w:tcW w:w="2694" w:type="dxa"/>
            <w:tcBorders>
              <w:top w:val="single" w:sz="4" w:space="0" w:color="auto"/>
              <w:left w:val="nil"/>
              <w:bottom w:val="single" w:sz="4" w:space="0" w:color="auto"/>
              <w:right w:val="single" w:sz="4" w:space="0" w:color="auto"/>
            </w:tcBorders>
            <w:shd w:val="clear" w:color="auto" w:fill="FFFFFF" w:themeFill="background1"/>
            <w:hideMark/>
          </w:tcPr>
          <w:p w14:paraId="4DEB9D80" w14:textId="77777777" w:rsidR="00F70066" w:rsidRPr="001D759A" w:rsidRDefault="00F70066" w:rsidP="00744625">
            <w:pPr>
              <w:pStyle w:val="Tabletext"/>
              <w:rPr>
                <w:sz w:val="16"/>
                <w:szCs w:val="16"/>
                <w:lang w:val="en-US" w:eastAsia="en-GB"/>
              </w:rPr>
            </w:pPr>
            <w:r w:rsidRPr="001D759A">
              <w:rPr>
                <w:sz w:val="16"/>
                <w:szCs w:val="16"/>
                <w:lang w:val="en-US" w:eastAsia="en-GB"/>
              </w:rPr>
              <w:t>CHUAN WEI (Cambodia) Co Ltd, Phnom Penh</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63061AEE"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2020</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7C43F7B8"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7 950,00</w:t>
            </w:r>
          </w:p>
        </w:tc>
        <w:tc>
          <w:tcPr>
            <w:tcW w:w="1136" w:type="dxa"/>
            <w:tcBorders>
              <w:top w:val="single" w:sz="4" w:space="0" w:color="auto"/>
              <w:left w:val="nil"/>
              <w:bottom w:val="single" w:sz="4" w:space="0" w:color="auto"/>
              <w:right w:val="single" w:sz="4" w:space="0" w:color="auto"/>
            </w:tcBorders>
            <w:shd w:val="clear" w:color="auto" w:fill="FFFFFF" w:themeFill="background1"/>
            <w:noWrap/>
            <w:hideMark/>
          </w:tcPr>
          <w:p w14:paraId="56835730"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2 768,75</w:t>
            </w:r>
          </w:p>
        </w:tc>
        <w:tc>
          <w:tcPr>
            <w:tcW w:w="979" w:type="dxa"/>
            <w:tcBorders>
              <w:top w:val="single" w:sz="4" w:space="0" w:color="auto"/>
              <w:left w:val="nil"/>
              <w:bottom w:val="single" w:sz="4" w:space="0" w:color="auto"/>
              <w:right w:val="single" w:sz="4" w:space="0" w:color="auto"/>
            </w:tcBorders>
            <w:shd w:val="clear" w:color="auto" w:fill="FFFFFF" w:themeFill="background1"/>
            <w:hideMark/>
          </w:tcPr>
          <w:p w14:paraId="07B4A455"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10 718,75</w:t>
            </w:r>
          </w:p>
        </w:tc>
      </w:tr>
      <w:tr w:rsidR="00F70066" w:rsidRPr="001D759A" w14:paraId="701A6C43" w14:textId="77777777" w:rsidTr="0064286C">
        <w:trPr>
          <w:trHeight w:val="289"/>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003FC478" w14:textId="77777777" w:rsidR="00F70066" w:rsidRPr="001D759A" w:rsidRDefault="00F70066" w:rsidP="00744625">
            <w:pPr>
              <w:pStyle w:val="Tabletext"/>
              <w:jc w:val="center"/>
              <w:rPr>
                <w:sz w:val="16"/>
                <w:szCs w:val="16"/>
                <w:lang w:val="es-ES"/>
              </w:rPr>
            </w:pPr>
            <w:r w:rsidRPr="001D759A">
              <w:rPr>
                <w:sz w:val="16"/>
                <w:szCs w:val="16"/>
                <w:lang w:val="es-ES" w:eastAsia="en-GB"/>
              </w:rPr>
              <w:t>1200173860</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14:paraId="2960CDB7" w14:textId="77777777" w:rsidR="00F70066" w:rsidRPr="001D759A" w:rsidRDefault="00F70066" w:rsidP="00744625">
            <w:pPr>
              <w:pStyle w:val="Tabletext"/>
              <w:jc w:val="center"/>
              <w:rPr>
                <w:sz w:val="16"/>
                <w:szCs w:val="16"/>
                <w:lang w:val="es-ES" w:eastAsia="en-GB"/>
              </w:rPr>
            </w:pPr>
            <w:r w:rsidRPr="001D759A">
              <w:rPr>
                <w:sz w:val="16"/>
                <w:szCs w:val="16"/>
                <w:lang w:val="es-ES"/>
              </w:rPr>
              <w:t>China</w:t>
            </w:r>
          </w:p>
        </w:tc>
        <w:tc>
          <w:tcPr>
            <w:tcW w:w="2694" w:type="dxa"/>
            <w:tcBorders>
              <w:top w:val="nil"/>
              <w:left w:val="nil"/>
              <w:bottom w:val="single" w:sz="4" w:space="0" w:color="auto"/>
              <w:right w:val="single" w:sz="4" w:space="0" w:color="auto"/>
            </w:tcBorders>
            <w:shd w:val="clear" w:color="auto" w:fill="FFFFFF" w:themeFill="background1"/>
            <w:hideMark/>
          </w:tcPr>
          <w:p w14:paraId="01C0C013" w14:textId="77777777" w:rsidR="00F70066" w:rsidRPr="001D759A" w:rsidRDefault="00F70066" w:rsidP="00744625">
            <w:pPr>
              <w:pStyle w:val="Tabletext"/>
              <w:rPr>
                <w:sz w:val="16"/>
                <w:szCs w:val="16"/>
                <w:lang w:val="en-US" w:eastAsia="en-GB"/>
              </w:rPr>
            </w:pPr>
            <w:r w:rsidRPr="001D759A">
              <w:rPr>
                <w:sz w:val="16"/>
                <w:szCs w:val="16"/>
                <w:lang w:val="en-US" w:eastAsia="en-GB"/>
              </w:rPr>
              <w:t>Yong Xin Hua Yun Cultural, Beijing</w:t>
            </w:r>
          </w:p>
        </w:tc>
        <w:tc>
          <w:tcPr>
            <w:tcW w:w="992" w:type="dxa"/>
            <w:tcBorders>
              <w:top w:val="nil"/>
              <w:left w:val="nil"/>
              <w:bottom w:val="single" w:sz="4" w:space="0" w:color="auto"/>
              <w:right w:val="single" w:sz="4" w:space="0" w:color="auto"/>
            </w:tcBorders>
            <w:shd w:val="clear" w:color="auto" w:fill="FFFFFF" w:themeFill="background1"/>
            <w:noWrap/>
            <w:hideMark/>
          </w:tcPr>
          <w:p w14:paraId="5A954B8D"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2020</w:t>
            </w:r>
          </w:p>
        </w:tc>
        <w:tc>
          <w:tcPr>
            <w:tcW w:w="992" w:type="dxa"/>
            <w:tcBorders>
              <w:top w:val="nil"/>
              <w:left w:val="nil"/>
              <w:bottom w:val="single" w:sz="4" w:space="0" w:color="auto"/>
              <w:right w:val="single" w:sz="4" w:space="0" w:color="auto"/>
            </w:tcBorders>
            <w:shd w:val="clear" w:color="auto" w:fill="FFFFFF" w:themeFill="background1"/>
            <w:hideMark/>
          </w:tcPr>
          <w:p w14:paraId="2C805856"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31 800,00</w:t>
            </w:r>
          </w:p>
        </w:tc>
        <w:tc>
          <w:tcPr>
            <w:tcW w:w="1136" w:type="dxa"/>
            <w:tcBorders>
              <w:top w:val="nil"/>
              <w:left w:val="nil"/>
              <w:bottom w:val="single" w:sz="4" w:space="0" w:color="auto"/>
              <w:right w:val="single" w:sz="4" w:space="0" w:color="auto"/>
            </w:tcBorders>
            <w:shd w:val="clear" w:color="auto" w:fill="FFFFFF" w:themeFill="background1"/>
            <w:noWrap/>
            <w:hideMark/>
          </w:tcPr>
          <w:p w14:paraId="52C9AC3D"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11 074,70</w:t>
            </w:r>
          </w:p>
        </w:tc>
        <w:tc>
          <w:tcPr>
            <w:tcW w:w="979" w:type="dxa"/>
            <w:tcBorders>
              <w:top w:val="nil"/>
              <w:left w:val="nil"/>
              <w:bottom w:val="single" w:sz="4" w:space="0" w:color="auto"/>
              <w:right w:val="single" w:sz="4" w:space="0" w:color="auto"/>
            </w:tcBorders>
            <w:shd w:val="clear" w:color="auto" w:fill="FFFFFF" w:themeFill="background1"/>
            <w:hideMark/>
          </w:tcPr>
          <w:p w14:paraId="1DE18790"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42 874,70</w:t>
            </w:r>
          </w:p>
        </w:tc>
      </w:tr>
      <w:tr w:rsidR="00F70066" w:rsidRPr="001D759A" w14:paraId="4179A7C6" w14:textId="77777777" w:rsidTr="0064286C">
        <w:trPr>
          <w:trHeight w:val="289"/>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40B83516" w14:textId="77777777" w:rsidR="00F70066" w:rsidRPr="001D759A" w:rsidRDefault="00F70066" w:rsidP="00744625">
            <w:pPr>
              <w:pStyle w:val="Tabletext"/>
              <w:jc w:val="center"/>
              <w:rPr>
                <w:sz w:val="16"/>
                <w:szCs w:val="16"/>
                <w:lang w:val="es-ES"/>
              </w:rPr>
            </w:pPr>
            <w:r w:rsidRPr="001D759A">
              <w:rPr>
                <w:sz w:val="16"/>
                <w:szCs w:val="16"/>
                <w:lang w:val="es-ES" w:eastAsia="en-GB"/>
              </w:rPr>
              <w:t>1200119084</w:t>
            </w:r>
          </w:p>
        </w:tc>
        <w:tc>
          <w:tcPr>
            <w:tcW w:w="1134" w:type="dxa"/>
            <w:tcBorders>
              <w:top w:val="nil"/>
              <w:left w:val="single" w:sz="4" w:space="0" w:color="auto"/>
              <w:bottom w:val="single" w:sz="4" w:space="0" w:color="auto"/>
              <w:right w:val="single" w:sz="4" w:space="0" w:color="auto"/>
            </w:tcBorders>
            <w:shd w:val="clear" w:color="auto" w:fill="FFFFFF" w:themeFill="background1"/>
            <w:noWrap/>
            <w:hideMark/>
          </w:tcPr>
          <w:p w14:paraId="75D95273" w14:textId="77777777" w:rsidR="00F70066" w:rsidRPr="001D759A" w:rsidRDefault="00F70066" w:rsidP="00744625">
            <w:pPr>
              <w:pStyle w:val="Tabletext"/>
              <w:jc w:val="center"/>
              <w:rPr>
                <w:sz w:val="16"/>
                <w:szCs w:val="16"/>
                <w:lang w:val="es-ES" w:eastAsia="en-GB"/>
              </w:rPr>
            </w:pPr>
            <w:r w:rsidRPr="001D759A">
              <w:rPr>
                <w:sz w:val="16"/>
                <w:szCs w:val="16"/>
                <w:lang w:val="es-ES"/>
              </w:rPr>
              <w:t>Egipto</w:t>
            </w:r>
          </w:p>
        </w:tc>
        <w:tc>
          <w:tcPr>
            <w:tcW w:w="2694" w:type="dxa"/>
            <w:tcBorders>
              <w:top w:val="nil"/>
              <w:left w:val="nil"/>
              <w:bottom w:val="single" w:sz="4" w:space="0" w:color="auto"/>
              <w:right w:val="single" w:sz="4" w:space="0" w:color="auto"/>
            </w:tcBorders>
            <w:shd w:val="clear" w:color="auto" w:fill="FFFFFF" w:themeFill="background1"/>
            <w:hideMark/>
          </w:tcPr>
          <w:p w14:paraId="2D3CEE3B" w14:textId="77777777" w:rsidR="00F70066" w:rsidRPr="001D759A" w:rsidRDefault="00F70066" w:rsidP="00744625">
            <w:pPr>
              <w:pStyle w:val="Tabletext"/>
              <w:rPr>
                <w:sz w:val="16"/>
                <w:szCs w:val="16"/>
                <w:lang w:val="en-US" w:eastAsia="en-GB"/>
              </w:rPr>
            </w:pPr>
            <w:r w:rsidRPr="001D759A">
              <w:rPr>
                <w:sz w:val="16"/>
                <w:szCs w:val="16"/>
                <w:lang w:val="en-US" w:eastAsia="en-GB"/>
              </w:rPr>
              <w:t>Egypt-Japan Uni of Science &amp; Tech., Alexandria</w:t>
            </w:r>
          </w:p>
        </w:tc>
        <w:tc>
          <w:tcPr>
            <w:tcW w:w="992" w:type="dxa"/>
            <w:tcBorders>
              <w:top w:val="nil"/>
              <w:left w:val="nil"/>
              <w:bottom w:val="single" w:sz="4" w:space="0" w:color="auto"/>
              <w:right w:val="single" w:sz="4" w:space="0" w:color="auto"/>
            </w:tcBorders>
            <w:shd w:val="clear" w:color="auto" w:fill="FFFFFF" w:themeFill="background1"/>
            <w:noWrap/>
            <w:hideMark/>
          </w:tcPr>
          <w:p w14:paraId="158C0901"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2019</w:t>
            </w:r>
          </w:p>
        </w:tc>
        <w:tc>
          <w:tcPr>
            <w:tcW w:w="992" w:type="dxa"/>
            <w:tcBorders>
              <w:top w:val="nil"/>
              <w:left w:val="nil"/>
              <w:bottom w:val="single" w:sz="4" w:space="0" w:color="auto"/>
              <w:right w:val="single" w:sz="4" w:space="0" w:color="auto"/>
            </w:tcBorders>
            <w:shd w:val="clear" w:color="auto" w:fill="FFFFFF" w:themeFill="background1"/>
            <w:noWrap/>
            <w:hideMark/>
          </w:tcPr>
          <w:p w14:paraId="38422E5A"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1 987,50</w:t>
            </w:r>
          </w:p>
        </w:tc>
        <w:tc>
          <w:tcPr>
            <w:tcW w:w="1136" w:type="dxa"/>
            <w:tcBorders>
              <w:top w:val="nil"/>
              <w:left w:val="nil"/>
              <w:bottom w:val="single" w:sz="4" w:space="0" w:color="auto"/>
              <w:right w:val="single" w:sz="4" w:space="0" w:color="auto"/>
            </w:tcBorders>
            <w:shd w:val="clear" w:color="auto" w:fill="FFFFFF" w:themeFill="background1"/>
            <w:noWrap/>
            <w:hideMark/>
          </w:tcPr>
          <w:p w14:paraId="5DF8F501"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937,50</w:t>
            </w:r>
          </w:p>
        </w:tc>
        <w:tc>
          <w:tcPr>
            <w:tcW w:w="979" w:type="dxa"/>
            <w:tcBorders>
              <w:top w:val="nil"/>
              <w:left w:val="nil"/>
              <w:bottom w:val="single" w:sz="4" w:space="0" w:color="auto"/>
              <w:right w:val="single" w:sz="4" w:space="0" w:color="auto"/>
            </w:tcBorders>
            <w:shd w:val="clear" w:color="auto" w:fill="FFFFFF" w:themeFill="background1"/>
            <w:noWrap/>
            <w:hideMark/>
          </w:tcPr>
          <w:p w14:paraId="32DC1E0D"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2 925,00</w:t>
            </w:r>
          </w:p>
        </w:tc>
      </w:tr>
      <w:tr w:rsidR="00F70066" w:rsidRPr="001D759A" w14:paraId="50BBDAC4" w14:textId="77777777" w:rsidTr="0064286C">
        <w:trPr>
          <w:trHeight w:val="289"/>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7326229B" w14:textId="77777777" w:rsidR="00F70066" w:rsidRPr="001D759A" w:rsidRDefault="00F70066" w:rsidP="00744625">
            <w:pPr>
              <w:pStyle w:val="Tabletext"/>
              <w:jc w:val="center"/>
              <w:rPr>
                <w:sz w:val="16"/>
                <w:szCs w:val="16"/>
                <w:lang w:val="es-ES"/>
              </w:rPr>
            </w:pPr>
            <w:r w:rsidRPr="001D759A">
              <w:rPr>
                <w:sz w:val="16"/>
                <w:szCs w:val="16"/>
                <w:lang w:val="es-ES" w:eastAsia="en-GB"/>
              </w:rPr>
              <w:t>51559</w:t>
            </w:r>
          </w:p>
        </w:tc>
        <w:tc>
          <w:tcPr>
            <w:tcW w:w="1134" w:type="dxa"/>
            <w:tcBorders>
              <w:top w:val="nil"/>
              <w:left w:val="single" w:sz="4" w:space="0" w:color="auto"/>
              <w:bottom w:val="single" w:sz="4" w:space="0" w:color="auto"/>
              <w:right w:val="single" w:sz="4" w:space="0" w:color="auto"/>
            </w:tcBorders>
            <w:shd w:val="clear" w:color="auto" w:fill="FFFFFF" w:themeFill="background1"/>
            <w:noWrap/>
            <w:hideMark/>
          </w:tcPr>
          <w:p w14:paraId="190A7FAF" w14:textId="77777777" w:rsidR="00F70066" w:rsidRPr="001D759A" w:rsidRDefault="00F70066" w:rsidP="00744625">
            <w:pPr>
              <w:pStyle w:val="Tabletext"/>
              <w:jc w:val="center"/>
              <w:rPr>
                <w:sz w:val="16"/>
                <w:szCs w:val="16"/>
                <w:lang w:val="es-ES" w:eastAsia="en-GB"/>
              </w:rPr>
            </w:pPr>
            <w:r w:rsidRPr="001D759A">
              <w:rPr>
                <w:sz w:val="16"/>
                <w:szCs w:val="16"/>
                <w:lang w:val="es-ES"/>
              </w:rPr>
              <w:t>Egipto</w:t>
            </w:r>
          </w:p>
        </w:tc>
        <w:tc>
          <w:tcPr>
            <w:tcW w:w="2694" w:type="dxa"/>
            <w:tcBorders>
              <w:top w:val="nil"/>
              <w:left w:val="nil"/>
              <w:bottom w:val="single" w:sz="4" w:space="0" w:color="auto"/>
              <w:right w:val="single" w:sz="4" w:space="0" w:color="auto"/>
            </w:tcBorders>
            <w:shd w:val="clear" w:color="auto" w:fill="FFFFFF" w:themeFill="background1"/>
            <w:hideMark/>
          </w:tcPr>
          <w:p w14:paraId="42D11B4A" w14:textId="77777777" w:rsidR="00F70066" w:rsidRPr="001D759A" w:rsidRDefault="00F70066" w:rsidP="00744625">
            <w:pPr>
              <w:pStyle w:val="Tabletext"/>
              <w:rPr>
                <w:sz w:val="16"/>
                <w:szCs w:val="16"/>
                <w:lang w:val="en-US" w:eastAsia="en-GB"/>
              </w:rPr>
            </w:pPr>
            <w:r w:rsidRPr="001D759A">
              <w:rPr>
                <w:sz w:val="16"/>
                <w:szCs w:val="16"/>
                <w:lang w:val="en-US" w:eastAsia="en-GB"/>
              </w:rPr>
              <w:t>Orange Egypt, El Cairo</w:t>
            </w:r>
          </w:p>
        </w:tc>
        <w:tc>
          <w:tcPr>
            <w:tcW w:w="992" w:type="dxa"/>
            <w:tcBorders>
              <w:top w:val="nil"/>
              <w:left w:val="nil"/>
              <w:bottom w:val="single" w:sz="4" w:space="0" w:color="auto"/>
              <w:right w:val="single" w:sz="4" w:space="0" w:color="auto"/>
            </w:tcBorders>
            <w:shd w:val="clear" w:color="auto" w:fill="FFFFFF" w:themeFill="background1"/>
            <w:noWrap/>
            <w:hideMark/>
          </w:tcPr>
          <w:p w14:paraId="6B10C0FE"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2018-2019</w:t>
            </w:r>
          </w:p>
        </w:tc>
        <w:tc>
          <w:tcPr>
            <w:tcW w:w="992" w:type="dxa"/>
            <w:tcBorders>
              <w:top w:val="nil"/>
              <w:left w:val="nil"/>
              <w:bottom w:val="single" w:sz="4" w:space="0" w:color="auto"/>
              <w:right w:val="single" w:sz="4" w:space="0" w:color="auto"/>
            </w:tcBorders>
            <w:shd w:val="clear" w:color="auto" w:fill="FFFFFF" w:themeFill="background1"/>
            <w:noWrap/>
            <w:hideMark/>
          </w:tcPr>
          <w:p w14:paraId="7CC8CBAD"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1 987,50</w:t>
            </w:r>
          </w:p>
        </w:tc>
        <w:tc>
          <w:tcPr>
            <w:tcW w:w="1136" w:type="dxa"/>
            <w:tcBorders>
              <w:top w:val="nil"/>
              <w:left w:val="nil"/>
              <w:bottom w:val="single" w:sz="4" w:space="0" w:color="auto"/>
              <w:right w:val="single" w:sz="4" w:space="0" w:color="auto"/>
            </w:tcBorders>
            <w:shd w:val="clear" w:color="auto" w:fill="FFFFFF" w:themeFill="background1"/>
            <w:noWrap/>
            <w:hideMark/>
          </w:tcPr>
          <w:p w14:paraId="3E3AB258"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1 011,35</w:t>
            </w:r>
          </w:p>
        </w:tc>
        <w:tc>
          <w:tcPr>
            <w:tcW w:w="979" w:type="dxa"/>
            <w:tcBorders>
              <w:top w:val="nil"/>
              <w:left w:val="nil"/>
              <w:bottom w:val="single" w:sz="4" w:space="0" w:color="auto"/>
              <w:right w:val="single" w:sz="4" w:space="0" w:color="auto"/>
            </w:tcBorders>
            <w:shd w:val="clear" w:color="auto" w:fill="FFFFFF" w:themeFill="background1"/>
            <w:noWrap/>
            <w:hideMark/>
          </w:tcPr>
          <w:p w14:paraId="6CD8B59B"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2 998,85</w:t>
            </w:r>
          </w:p>
        </w:tc>
      </w:tr>
      <w:tr w:rsidR="00F70066" w:rsidRPr="001D759A" w14:paraId="277DB594" w14:textId="77777777" w:rsidTr="0064286C">
        <w:trPr>
          <w:trHeight w:val="289"/>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51C47AED" w14:textId="77777777" w:rsidR="00F70066" w:rsidRPr="001D759A" w:rsidRDefault="00F70066" w:rsidP="00744625">
            <w:pPr>
              <w:pStyle w:val="Tabletext"/>
              <w:jc w:val="center"/>
              <w:rPr>
                <w:sz w:val="16"/>
                <w:szCs w:val="16"/>
                <w:lang w:val="es-ES"/>
              </w:rPr>
            </w:pPr>
            <w:r w:rsidRPr="001D759A">
              <w:rPr>
                <w:sz w:val="16"/>
                <w:szCs w:val="16"/>
                <w:lang w:val="es-ES" w:eastAsia="en-GB"/>
              </w:rPr>
              <w:t>1200174479</w:t>
            </w:r>
          </w:p>
        </w:tc>
        <w:tc>
          <w:tcPr>
            <w:tcW w:w="1134" w:type="dxa"/>
            <w:tcBorders>
              <w:top w:val="nil"/>
              <w:left w:val="single" w:sz="4" w:space="0" w:color="auto"/>
              <w:bottom w:val="single" w:sz="4" w:space="0" w:color="auto"/>
              <w:right w:val="single" w:sz="4" w:space="0" w:color="auto"/>
            </w:tcBorders>
            <w:shd w:val="clear" w:color="auto" w:fill="FFFFFF" w:themeFill="background1"/>
            <w:noWrap/>
            <w:hideMark/>
          </w:tcPr>
          <w:p w14:paraId="79ACBB3F" w14:textId="77777777" w:rsidR="00F70066" w:rsidRPr="001D759A" w:rsidRDefault="00F70066" w:rsidP="00744625">
            <w:pPr>
              <w:pStyle w:val="Tabletext"/>
              <w:jc w:val="center"/>
              <w:rPr>
                <w:sz w:val="16"/>
                <w:szCs w:val="16"/>
                <w:lang w:val="es-ES" w:eastAsia="en-GB"/>
              </w:rPr>
            </w:pPr>
            <w:r w:rsidRPr="001D759A">
              <w:rPr>
                <w:sz w:val="16"/>
                <w:szCs w:val="16"/>
                <w:lang w:val="es-ES"/>
              </w:rPr>
              <w:t>Estonia</w:t>
            </w:r>
          </w:p>
        </w:tc>
        <w:tc>
          <w:tcPr>
            <w:tcW w:w="2694" w:type="dxa"/>
            <w:tcBorders>
              <w:top w:val="nil"/>
              <w:left w:val="nil"/>
              <w:bottom w:val="single" w:sz="4" w:space="0" w:color="auto"/>
              <w:right w:val="single" w:sz="4" w:space="0" w:color="auto"/>
            </w:tcBorders>
            <w:shd w:val="clear" w:color="auto" w:fill="FFFFFF" w:themeFill="background1"/>
            <w:hideMark/>
          </w:tcPr>
          <w:p w14:paraId="72986854" w14:textId="77777777" w:rsidR="00F70066" w:rsidRPr="001D759A" w:rsidRDefault="00F70066" w:rsidP="00744625">
            <w:pPr>
              <w:pStyle w:val="Tabletext"/>
              <w:rPr>
                <w:sz w:val="16"/>
                <w:szCs w:val="16"/>
                <w:lang w:val="en-US" w:eastAsia="en-GB"/>
              </w:rPr>
            </w:pPr>
            <w:proofErr w:type="spellStart"/>
            <w:r w:rsidRPr="001D759A">
              <w:rPr>
                <w:sz w:val="16"/>
                <w:szCs w:val="16"/>
                <w:lang w:val="en-US" w:eastAsia="en-GB"/>
              </w:rPr>
              <w:t>Clementvale</w:t>
            </w:r>
            <w:proofErr w:type="spellEnd"/>
            <w:r w:rsidRPr="001D759A">
              <w:rPr>
                <w:sz w:val="16"/>
                <w:szCs w:val="16"/>
                <w:lang w:val="en-US" w:eastAsia="en-GB"/>
              </w:rPr>
              <w:t xml:space="preserve"> Baltic, Tallin</w:t>
            </w:r>
          </w:p>
        </w:tc>
        <w:tc>
          <w:tcPr>
            <w:tcW w:w="992" w:type="dxa"/>
            <w:tcBorders>
              <w:top w:val="nil"/>
              <w:left w:val="nil"/>
              <w:bottom w:val="single" w:sz="4" w:space="0" w:color="auto"/>
              <w:right w:val="single" w:sz="4" w:space="0" w:color="auto"/>
            </w:tcBorders>
            <w:shd w:val="clear" w:color="auto" w:fill="FFFFFF" w:themeFill="background1"/>
            <w:noWrap/>
            <w:hideMark/>
          </w:tcPr>
          <w:p w14:paraId="5BE755E0"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2020</w:t>
            </w:r>
          </w:p>
        </w:tc>
        <w:tc>
          <w:tcPr>
            <w:tcW w:w="992" w:type="dxa"/>
            <w:tcBorders>
              <w:top w:val="nil"/>
              <w:left w:val="nil"/>
              <w:bottom w:val="single" w:sz="4" w:space="0" w:color="auto"/>
              <w:right w:val="single" w:sz="4" w:space="0" w:color="auto"/>
            </w:tcBorders>
            <w:shd w:val="clear" w:color="auto" w:fill="FFFFFF" w:themeFill="background1"/>
            <w:noWrap/>
            <w:hideMark/>
          </w:tcPr>
          <w:p w14:paraId="54D659DA"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9 716,84</w:t>
            </w:r>
          </w:p>
        </w:tc>
        <w:tc>
          <w:tcPr>
            <w:tcW w:w="1136" w:type="dxa"/>
            <w:tcBorders>
              <w:top w:val="nil"/>
              <w:left w:val="nil"/>
              <w:bottom w:val="single" w:sz="4" w:space="0" w:color="auto"/>
              <w:right w:val="single" w:sz="4" w:space="0" w:color="auto"/>
            </w:tcBorders>
            <w:shd w:val="clear" w:color="auto" w:fill="FFFFFF" w:themeFill="background1"/>
            <w:noWrap/>
            <w:hideMark/>
          </w:tcPr>
          <w:p w14:paraId="3E41D41E"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3 384,10</w:t>
            </w:r>
          </w:p>
        </w:tc>
        <w:tc>
          <w:tcPr>
            <w:tcW w:w="979" w:type="dxa"/>
            <w:tcBorders>
              <w:top w:val="nil"/>
              <w:left w:val="nil"/>
              <w:bottom w:val="single" w:sz="4" w:space="0" w:color="auto"/>
              <w:right w:val="single" w:sz="4" w:space="0" w:color="auto"/>
            </w:tcBorders>
            <w:shd w:val="clear" w:color="auto" w:fill="FFFFFF" w:themeFill="background1"/>
            <w:noWrap/>
            <w:hideMark/>
          </w:tcPr>
          <w:p w14:paraId="7E734728"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13 100,94</w:t>
            </w:r>
          </w:p>
        </w:tc>
      </w:tr>
      <w:tr w:rsidR="00F70066" w:rsidRPr="001D759A" w14:paraId="493B25E4" w14:textId="77777777" w:rsidTr="0064286C">
        <w:trPr>
          <w:trHeight w:val="289"/>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1CABC5E9" w14:textId="77777777" w:rsidR="00F70066" w:rsidRPr="001D759A" w:rsidRDefault="00F70066" w:rsidP="00744625">
            <w:pPr>
              <w:pStyle w:val="Tabletext"/>
              <w:jc w:val="center"/>
              <w:rPr>
                <w:sz w:val="16"/>
                <w:szCs w:val="16"/>
                <w:lang w:val="es-ES"/>
              </w:rPr>
            </w:pPr>
            <w:r w:rsidRPr="001D759A">
              <w:rPr>
                <w:sz w:val="16"/>
                <w:szCs w:val="16"/>
                <w:lang w:val="es-ES" w:eastAsia="en-GB"/>
              </w:rPr>
              <w:t>1200165052</w:t>
            </w:r>
          </w:p>
        </w:tc>
        <w:tc>
          <w:tcPr>
            <w:tcW w:w="1134" w:type="dxa"/>
            <w:tcBorders>
              <w:top w:val="nil"/>
              <w:left w:val="single" w:sz="4" w:space="0" w:color="auto"/>
              <w:bottom w:val="single" w:sz="4" w:space="0" w:color="auto"/>
              <w:right w:val="single" w:sz="4" w:space="0" w:color="auto"/>
            </w:tcBorders>
            <w:shd w:val="clear" w:color="auto" w:fill="FFFFFF" w:themeFill="background1"/>
            <w:noWrap/>
            <w:hideMark/>
          </w:tcPr>
          <w:p w14:paraId="04D438A4" w14:textId="77777777" w:rsidR="00F70066" w:rsidRPr="001D759A" w:rsidRDefault="00F70066" w:rsidP="00744625">
            <w:pPr>
              <w:pStyle w:val="Tabletext"/>
              <w:jc w:val="center"/>
              <w:rPr>
                <w:sz w:val="16"/>
                <w:szCs w:val="16"/>
                <w:lang w:val="es-ES" w:eastAsia="en-GB"/>
              </w:rPr>
            </w:pPr>
            <w:r w:rsidRPr="001D759A">
              <w:rPr>
                <w:sz w:val="16"/>
                <w:szCs w:val="16"/>
                <w:lang w:val="es-ES"/>
              </w:rPr>
              <w:t>India</w:t>
            </w:r>
          </w:p>
        </w:tc>
        <w:tc>
          <w:tcPr>
            <w:tcW w:w="2694" w:type="dxa"/>
            <w:tcBorders>
              <w:top w:val="nil"/>
              <w:left w:val="nil"/>
              <w:bottom w:val="single" w:sz="4" w:space="0" w:color="auto"/>
              <w:right w:val="single" w:sz="4" w:space="0" w:color="auto"/>
            </w:tcBorders>
            <w:shd w:val="clear" w:color="auto" w:fill="FFFFFF" w:themeFill="background1"/>
            <w:hideMark/>
          </w:tcPr>
          <w:p w14:paraId="5C8D9982" w14:textId="77777777" w:rsidR="00F70066" w:rsidRPr="001D759A" w:rsidRDefault="00F70066" w:rsidP="00744625">
            <w:pPr>
              <w:pStyle w:val="Tabletext"/>
              <w:rPr>
                <w:sz w:val="16"/>
                <w:szCs w:val="16"/>
                <w:lang w:val="en-US" w:eastAsia="en-GB"/>
              </w:rPr>
            </w:pPr>
            <w:r w:rsidRPr="001D759A">
              <w:rPr>
                <w:sz w:val="16"/>
                <w:szCs w:val="16"/>
                <w:lang w:val="en-US" w:eastAsia="en-GB"/>
              </w:rPr>
              <w:t>Konkan Railway Corp Ltd, Navi Mumbai</w:t>
            </w:r>
          </w:p>
        </w:tc>
        <w:tc>
          <w:tcPr>
            <w:tcW w:w="992" w:type="dxa"/>
            <w:tcBorders>
              <w:top w:val="nil"/>
              <w:left w:val="nil"/>
              <w:bottom w:val="single" w:sz="4" w:space="0" w:color="auto"/>
              <w:right w:val="single" w:sz="4" w:space="0" w:color="auto"/>
            </w:tcBorders>
            <w:shd w:val="clear" w:color="auto" w:fill="FFFFFF" w:themeFill="background1"/>
            <w:noWrap/>
            <w:hideMark/>
          </w:tcPr>
          <w:p w14:paraId="3F46F754"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2019</w:t>
            </w:r>
          </w:p>
        </w:tc>
        <w:tc>
          <w:tcPr>
            <w:tcW w:w="992" w:type="dxa"/>
            <w:tcBorders>
              <w:top w:val="nil"/>
              <w:left w:val="nil"/>
              <w:bottom w:val="single" w:sz="4" w:space="0" w:color="auto"/>
              <w:right w:val="single" w:sz="4" w:space="0" w:color="auto"/>
            </w:tcBorders>
            <w:shd w:val="clear" w:color="auto" w:fill="FFFFFF" w:themeFill="background1"/>
            <w:noWrap/>
            <w:hideMark/>
          </w:tcPr>
          <w:p w14:paraId="208B28F6"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1 987,50</w:t>
            </w:r>
          </w:p>
        </w:tc>
        <w:tc>
          <w:tcPr>
            <w:tcW w:w="1136" w:type="dxa"/>
            <w:tcBorders>
              <w:top w:val="nil"/>
              <w:left w:val="nil"/>
              <w:bottom w:val="single" w:sz="4" w:space="0" w:color="auto"/>
              <w:right w:val="single" w:sz="4" w:space="0" w:color="auto"/>
            </w:tcBorders>
            <w:shd w:val="clear" w:color="auto" w:fill="FFFFFF" w:themeFill="background1"/>
            <w:noWrap/>
            <w:hideMark/>
          </w:tcPr>
          <w:p w14:paraId="15AF17DF"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–37,35</w:t>
            </w:r>
          </w:p>
        </w:tc>
        <w:tc>
          <w:tcPr>
            <w:tcW w:w="979" w:type="dxa"/>
            <w:tcBorders>
              <w:top w:val="nil"/>
              <w:left w:val="nil"/>
              <w:bottom w:val="single" w:sz="4" w:space="0" w:color="auto"/>
              <w:right w:val="single" w:sz="4" w:space="0" w:color="auto"/>
            </w:tcBorders>
            <w:shd w:val="clear" w:color="auto" w:fill="FFFFFF" w:themeFill="background1"/>
            <w:noWrap/>
            <w:hideMark/>
          </w:tcPr>
          <w:p w14:paraId="793389D2"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1 950,15</w:t>
            </w:r>
          </w:p>
        </w:tc>
      </w:tr>
      <w:tr w:rsidR="00F70066" w:rsidRPr="001D759A" w14:paraId="317A842A" w14:textId="77777777" w:rsidTr="0064286C">
        <w:trPr>
          <w:trHeight w:val="289"/>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7D29652E" w14:textId="77777777" w:rsidR="00F70066" w:rsidRPr="001D759A" w:rsidRDefault="00F70066" w:rsidP="00744625">
            <w:pPr>
              <w:pStyle w:val="Tabletext"/>
              <w:jc w:val="center"/>
              <w:rPr>
                <w:sz w:val="16"/>
                <w:szCs w:val="16"/>
                <w:lang w:val="es-ES"/>
              </w:rPr>
            </w:pPr>
            <w:r w:rsidRPr="001D759A">
              <w:rPr>
                <w:sz w:val="16"/>
                <w:szCs w:val="16"/>
                <w:lang w:val="es-ES" w:eastAsia="en-GB"/>
              </w:rPr>
              <w:t>1200101301</w:t>
            </w:r>
          </w:p>
        </w:tc>
        <w:tc>
          <w:tcPr>
            <w:tcW w:w="1134" w:type="dxa"/>
            <w:tcBorders>
              <w:top w:val="nil"/>
              <w:left w:val="single" w:sz="4" w:space="0" w:color="auto"/>
              <w:bottom w:val="single" w:sz="4" w:space="0" w:color="auto"/>
              <w:right w:val="single" w:sz="4" w:space="0" w:color="auto"/>
            </w:tcBorders>
            <w:shd w:val="clear" w:color="auto" w:fill="FFFFFF" w:themeFill="background1"/>
            <w:noWrap/>
            <w:hideMark/>
          </w:tcPr>
          <w:p w14:paraId="381B8F3F" w14:textId="77777777" w:rsidR="00F70066" w:rsidRPr="001D759A" w:rsidRDefault="00F70066" w:rsidP="00744625">
            <w:pPr>
              <w:pStyle w:val="Tabletext"/>
              <w:jc w:val="center"/>
              <w:rPr>
                <w:sz w:val="16"/>
                <w:szCs w:val="16"/>
                <w:lang w:val="es-ES" w:eastAsia="en-GB"/>
              </w:rPr>
            </w:pPr>
            <w:r w:rsidRPr="001D759A">
              <w:rPr>
                <w:sz w:val="16"/>
                <w:szCs w:val="16"/>
                <w:lang w:val="es-ES"/>
              </w:rPr>
              <w:t>Irán</w:t>
            </w:r>
          </w:p>
        </w:tc>
        <w:tc>
          <w:tcPr>
            <w:tcW w:w="2694" w:type="dxa"/>
            <w:tcBorders>
              <w:top w:val="nil"/>
              <w:left w:val="nil"/>
              <w:bottom w:val="single" w:sz="4" w:space="0" w:color="auto"/>
              <w:right w:val="single" w:sz="4" w:space="0" w:color="auto"/>
            </w:tcBorders>
            <w:shd w:val="clear" w:color="auto" w:fill="FFFFFF" w:themeFill="background1"/>
            <w:hideMark/>
          </w:tcPr>
          <w:p w14:paraId="14532F58" w14:textId="77777777" w:rsidR="00F70066" w:rsidRPr="001D759A" w:rsidRDefault="00F70066" w:rsidP="00744625">
            <w:pPr>
              <w:pStyle w:val="Tabletext"/>
              <w:rPr>
                <w:sz w:val="16"/>
                <w:szCs w:val="16"/>
                <w:lang w:val="en-US" w:eastAsia="en-GB"/>
              </w:rPr>
            </w:pPr>
            <w:r w:rsidRPr="001D759A">
              <w:rPr>
                <w:sz w:val="16"/>
                <w:szCs w:val="16"/>
                <w:lang w:val="en-US" w:eastAsia="en-GB"/>
              </w:rPr>
              <w:t xml:space="preserve">Fac. of Appl Science of P&amp;T, </w:t>
            </w:r>
            <w:proofErr w:type="spellStart"/>
            <w:r w:rsidRPr="001D759A">
              <w:rPr>
                <w:sz w:val="16"/>
                <w:szCs w:val="16"/>
                <w:lang w:val="en-US" w:eastAsia="en-GB"/>
              </w:rPr>
              <w:t>Teherán</w:t>
            </w:r>
            <w:proofErr w:type="spellEnd"/>
          </w:p>
        </w:tc>
        <w:tc>
          <w:tcPr>
            <w:tcW w:w="992" w:type="dxa"/>
            <w:tcBorders>
              <w:top w:val="nil"/>
              <w:left w:val="nil"/>
              <w:bottom w:val="single" w:sz="4" w:space="0" w:color="auto"/>
              <w:right w:val="single" w:sz="4" w:space="0" w:color="auto"/>
            </w:tcBorders>
            <w:shd w:val="clear" w:color="auto" w:fill="FFFFFF" w:themeFill="background1"/>
            <w:noWrap/>
            <w:hideMark/>
          </w:tcPr>
          <w:p w14:paraId="564BF312"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2020</w:t>
            </w:r>
          </w:p>
        </w:tc>
        <w:tc>
          <w:tcPr>
            <w:tcW w:w="992" w:type="dxa"/>
            <w:tcBorders>
              <w:top w:val="nil"/>
              <w:left w:val="nil"/>
              <w:bottom w:val="single" w:sz="4" w:space="0" w:color="auto"/>
              <w:right w:val="single" w:sz="4" w:space="0" w:color="auto"/>
            </w:tcBorders>
            <w:shd w:val="clear" w:color="auto" w:fill="FFFFFF" w:themeFill="background1"/>
            <w:noWrap/>
            <w:hideMark/>
          </w:tcPr>
          <w:p w14:paraId="3AB8EAE8"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1 987,50</w:t>
            </w:r>
          </w:p>
        </w:tc>
        <w:tc>
          <w:tcPr>
            <w:tcW w:w="1136" w:type="dxa"/>
            <w:tcBorders>
              <w:top w:val="nil"/>
              <w:left w:val="nil"/>
              <w:bottom w:val="single" w:sz="4" w:space="0" w:color="auto"/>
              <w:right w:val="single" w:sz="4" w:space="0" w:color="auto"/>
            </w:tcBorders>
            <w:shd w:val="clear" w:color="auto" w:fill="FFFFFF" w:themeFill="background1"/>
            <w:noWrap/>
            <w:hideMark/>
          </w:tcPr>
          <w:p w14:paraId="6318994D"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672,25</w:t>
            </w:r>
          </w:p>
        </w:tc>
        <w:tc>
          <w:tcPr>
            <w:tcW w:w="979" w:type="dxa"/>
            <w:tcBorders>
              <w:top w:val="nil"/>
              <w:left w:val="nil"/>
              <w:bottom w:val="single" w:sz="4" w:space="0" w:color="auto"/>
              <w:right w:val="single" w:sz="4" w:space="0" w:color="auto"/>
            </w:tcBorders>
            <w:shd w:val="clear" w:color="auto" w:fill="FFFFFF" w:themeFill="background1"/>
            <w:noWrap/>
            <w:hideMark/>
          </w:tcPr>
          <w:p w14:paraId="41BE02B4"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2 659,75</w:t>
            </w:r>
          </w:p>
        </w:tc>
      </w:tr>
      <w:tr w:rsidR="00F70066" w:rsidRPr="001D759A" w14:paraId="1C2B0AC2" w14:textId="77777777" w:rsidTr="0064286C">
        <w:trPr>
          <w:trHeight w:val="289"/>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442D11C1" w14:textId="77777777" w:rsidR="00F70066" w:rsidRPr="001D759A" w:rsidRDefault="00F70066" w:rsidP="00744625">
            <w:pPr>
              <w:pStyle w:val="Tabletext"/>
              <w:jc w:val="center"/>
              <w:rPr>
                <w:sz w:val="16"/>
                <w:szCs w:val="16"/>
                <w:lang w:val="es-ES"/>
              </w:rPr>
            </w:pPr>
            <w:r w:rsidRPr="001D759A">
              <w:rPr>
                <w:sz w:val="16"/>
                <w:szCs w:val="16"/>
                <w:lang w:val="es-ES" w:eastAsia="en-GB"/>
              </w:rPr>
              <w:t>63074</w:t>
            </w:r>
          </w:p>
        </w:tc>
        <w:tc>
          <w:tcPr>
            <w:tcW w:w="1134" w:type="dxa"/>
            <w:tcBorders>
              <w:top w:val="nil"/>
              <w:left w:val="single" w:sz="4" w:space="0" w:color="auto"/>
              <w:bottom w:val="single" w:sz="4" w:space="0" w:color="auto"/>
              <w:right w:val="single" w:sz="4" w:space="0" w:color="auto"/>
            </w:tcBorders>
            <w:shd w:val="clear" w:color="auto" w:fill="FFFFFF" w:themeFill="background1"/>
            <w:noWrap/>
            <w:hideMark/>
          </w:tcPr>
          <w:p w14:paraId="100EF26E" w14:textId="77777777" w:rsidR="00F70066" w:rsidRPr="001D759A" w:rsidRDefault="00F70066" w:rsidP="00744625">
            <w:pPr>
              <w:pStyle w:val="Tabletext"/>
              <w:jc w:val="center"/>
              <w:rPr>
                <w:sz w:val="16"/>
                <w:szCs w:val="16"/>
                <w:lang w:val="es-ES" w:eastAsia="en-GB"/>
              </w:rPr>
            </w:pPr>
            <w:r w:rsidRPr="001D759A">
              <w:rPr>
                <w:sz w:val="16"/>
                <w:szCs w:val="16"/>
                <w:lang w:val="es-ES"/>
              </w:rPr>
              <w:t>Irán</w:t>
            </w:r>
          </w:p>
        </w:tc>
        <w:tc>
          <w:tcPr>
            <w:tcW w:w="2694" w:type="dxa"/>
            <w:tcBorders>
              <w:top w:val="nil"/>
              <w:left w:val="nil"/>
              <w:bottom w:val="single" w:sz="4" w:space="0" w:color="auto"/>
              <w:right w:val="single" w:sz="4" w:space="0" w:color="auto"/>
            </w:tcBorders>
            <w:shd w:val="clear" w:color="auto" w:fill="FFFFFF" w:themeFill="background1"/>
            <w:hideMark/>
          </w:tcPr>
          <w:p w14:paraId="28772D38" w14:textId="77777777" w:rsidR="00F70066" w:rsidRPr="001D759A" w:rsidRDefault="00F70066" w:rsidP="00744625">
            <w:pPr>
              <w:pStyle w:val="Tabletext"/>
              <w:rPr>
                <w:sz w:val="16"/>
                <w:szCs w:val="16"/>
                <w:lang w:val="en-US" w:eastAsia="en-GB"/>
              </w:rPr>
            </w:pPr>
            <w:r w:rsidRPr="001D759A">
              <w:rPr>
                <w:sz w:val="16"/>
                <w:szCs w:val="16"/>
                <w:lang w:val="en-US" w:eastAsia="en-GB"/>
              </w:rPr>
              <w:t xml:space="preserve">Iranian Net Com &amp; Elec Servs Co, </w:t>
            </w:r>
            <w:proofErr w:type="spellStart"/>
            <w:r w:rsidRPr="001D759A">
              <w:rPr>
                <w:sz w:val="16"/>
                <w:szCs w:val="16"/>
                <w:lang w:val="en-US" w:eastAsia="en-GB"/>
              </w:rPr>
              <w:t>Teherán</w:t>
            </w:r>
            <w:proofErr w:type="spellEnd"/>
          </w:p>
        </w:tc>
        <w:tc>
          <w:tcPr>
            <w:tcW w:w="992" w:type="dxa"/>
            <w:tcBorders>
              <w:top w:val="nil"/>
              <w:left w:val="nil"/>
              <w:bottom w:val="single" w:sz="4" w:space="0" w:color="auto"/>
              <w:right w:val="single" w:sz="4" w:space="0" w:color="auto"/>
            </w:tcBorders>
            <w:shd w:val="clear" w:color="auto" w:fill="FFFFFF" w:themeFill="background1"/>
            <w:noWrap/>
            <w:hideMark/>
          </w:tcPr>
          <w:p w14:paraId="7F0E8D37"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2019</w:t>
            </w:r>
          </w:p>
        </w:tc>
        <w:tc>
          <w:tcPr>
            <w:tcW w:w="992" w:type="dxa"/>
            <w:tcBorders>
              <w:top w:val="nil"/>
              <w:left w:val="nil"/>
              <w:bottom w:val="single" w:sz="4" w:space="0" w:color="auto"/>
              <w:right w:val="single" w:sz="4" w:space="0" w:color="auto"/>
            </w:tcBorders>
            <w:shd w:val="clear" w:color="auto" w:fill="FFFFFF" w:themeFill="background1"/>
            <w:noWrap/>
            <w:hideMark/>
          </w:tcPr>
          <w:p w14:paraId="6C4C68F2"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1 987,50</w:t>
            </w:r>
          </w:p>
        </w:tc>
        <w:tc>
          <w:tcPr>
            <w:tcW w:w="1136" w:type="dxa"/>
            <w:tcBorders>
              <w:top w:val="nil"/>
              <w:left w:val="nil"/>
              <w:bottom w:val="single" w:sz="4" w:space="0" w:color="auto"/>
              <w:right w:val="single" w:sz="4" w:space="0" w:color="auto"/>
            </w:tcBorders>
            <w:shd w:val="clear" w:color="auto" w:fill="FFFFFF" w:themeFill="background1"/>
            <w:noWrap/>
            <w:hideMark/>
          </w:tcPr>
          <w:p w14:paraId="4A62F065"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937,50</w:t>
            </w:r>
          </w:p>
        </w:tc>
        <w:tc>
          <w:tcPr>
            <w:tcW w:w="979" w:type="dxa"/>
            <w:tcBorders>
              <w:top w:val="nil"/>
              <w:left w:val="nil"/>
              <w:bottom w:val="single" w:sz="4" w:space="0" w:color="auto"/>
              <w:right w:val="single" w:sz="4" w:space="0" w:color="auto"/>
            </w:tcBorders>
            <w:shd w:val="clear" w:color="auto" w:fill="FFFFFF" w:themeFill="background1"/>
            <w:noWrap/>
            <w:hideMark/>
          </w:tcPr>
          <w:p w14:paraId="50AD1C7F"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2 925,00</w:t>
            </w:r>
          </w:p>
        </w:tc>
      </w:tr>
      <w:tr w:rsidR="00F70066" w:rsidRPr="001D759A" w14:paraId="04F0B190" w14:textId="77777777" w:rsidTr="0064286C">
        <w:trPr>
          <w:trHeight w:val="289"/>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3A48670E" w14:textId="77777777" w:rsidR="00F70066" w:rsidRPr="001D759A" w:rsidRDefault="00F70066" w:rsidP="00744625">
            <w:pPr>
              <w:pStyle w:val="Tabletext"/>
              <w:jc w:val="center"/>
              <w:rPr>
                <w:sz w:val="16"/>
                <w:szCs w:val="16"/>
                <w:lang w:val="es-ES"/>
              </w:rPr>
            </w:pPr>
            <w:r w:rsidRPr="001D759A">
              <w:rPr>
                <w:sz w:val="16"/>
                <w:szCs w:val="16"/>
                <w:lang w:val="es-ES" w:eastAsia="en-GB"/>
              </w:rPr>
              <w:t>1200101813</w:t>
            </w:r>
          </w:p>
        </w:tc>
        <w:tc>
          <w:tcPr>
            <w:tcW w:w="1134" w:type="dxa"/>
            <w:tcBorders>
              <w:top w:val="nil"/>
              <w:left w:val="single" w:sz="4" w:space="0" w:color="auto"/>
              <w:bottom w:val="single" w:sz="4" w:space="0" w:color="auto"/>
              <w:right w:val="single" w:sz="4" w:space="0" w:color="auto"/>
            </w:tcBorders>
            <w:shd w:val="clear" w:color="auto" w:fill="FFFFFF" w:themeFill="background1"/>
            <w:noWrap/>
            <w:hideMark/>
          </w:tcPr>
          <w:p w14:paraId="06A64EDE" w14:textId="77777777" w:rsidR="00F70066" w:rsidRPr="001D759A" w:rsidRDefault="00F70066" w:rsidP="00744625">
            <w:pPr>
              <w:pStyle w:val="Tabletext"/>
              <w:jc w:val="center"/>
              <w:rPr>
                <w:sz w:val="16"/>
                <w:szCs w:val="16"/>
                <w:lang w:val="es-ES" w:eastAsia="en-GB"/>
              </w:rPr>
            </w:pPr>
            <w:r w:rsidRPr="001D759A">
              <w:rPr>
                <w:sz w:val="16"/>
                <w:szCs w:val="16"/>
                <w:lang w:val="es-ES"/>
              </w:rPr>
              <w:t>Irán</w:t>
            </w:r>
          </w:p>
        </w:tc>
        <w:tc>
          <w:tcPr>
            <w:tcW w:w="2694" w:type="dxa"/>
            <w:tcBorders>
              <w:top w:val="nil"/>
              <w:left w:val="nil"/>
              <w:bottom w:val="single" w:sz="4" w:space="0" w:color="auto"/>
              <w:right w:val="single" w:sz="4" w:space="0" w:color="auto"/>
            </w:tcBorders>
            <w:shd w:val="clear" w:color="auto" w:fill="FFFFFF" w:themeFill="background1"/>
            <w:hideMark/>
          </w:tcPr>
          <w:p w14:paraId="352C58C4" w14:textId="77777777" w:rsidR="00F70066" w:rsidRPr="001D759A" w:rsidRDefault="00F70066" w:rsidP="00744625">
            <w:pPr>
              <w:pStyle w:val="Tabletext"/>
              <w:rPr>
                <w:sz w:val="16"/>
                <w:szCs w:val="16"/>
                <w:lang w:val="en-US" w:eastAsia="en-GB"/>
              </w:rPr>
            </w:pPr>
            <w:proofErr w:type="spellStart"/>
            <w:r w:rsidRPr="001D759A">
              <w:rPr>
                <w:sz w:val="16"/>
                <w:szCs w:val="16"/>
                <w:lang w:val="en-US" w:eastAsia="en-GB"/>
              </w:rPr>
              <w:t>Monenco</w:t>
            </w:r>
            <w:proofErr w:type="spellEnd"/>
            <w:r w:rsidRPr="001D759A">
              <w:rPr>
                <w:sz w:val="16"/>
                <w:szCs w:val="16"/>
                <w:lang w:val="en-US" w:eastAsia="en-GB"/>
              </w:rPr>
              <w:t xml:space="preserve"> Iran, </w:t>
            </w:r>
            <w:proofErr w:type="spellStart"/>
            <w:r w:rsidRPr="001D759A">
              <w:rPr>
                <w:sz w:val="16"/>
                <w:szCs w:val="16"/>
                <w:lang w:val="en-US" w:eastAsia="en-GB"/>
              </w:rPr>
              <w:t>Teherán</w:t>
            </w:r>
            <w:proofErr w:type="spellEnd"/>
          </w:p>
        </w:tc>
        <w:tc>
          <w:tcPr>
            <w:tcW w:w="992" w:type="dxa"/>
            <w:tcBorders>
              <w:top w:val="nil"/>
              <w:left w:val="nil"/>
              <w:bottom w:val="single" w:sz="4" w:space="0" w:color="auto"/>
              <w:right w:val="single" w:sz="4" w:space="0" w:color="auto"/>
            </w:tcBorders>
            <w:shd w:val="clear" w:color="auto" w:fill="FFFFFF" w:themeFill="background1"/>
            <w:noWrap/>
            <w:hideMark/>
          </w:tcPr>
          <w:p w14:paraId="015620F0"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2020</w:t>
            </w:r>
          </w:p>
        </w:tc>
        <w:tc>
          <w:tcPr>
            <w:tcW w:w="992" w:type="dxa"/>
            <w:tcBorders>
              <w:top w:val="nil"/>
              <w:left w:val="nil"/>
              <w:bottom w:val="single" w:sz="4" w:space="0" w:color="auto"/>
              <w:right w:val="single" w:sz="4" w:space="0" w:color="auto"/>
            </w:tcBorders>
            <w:shd w:val="clear" w:color="auto" w:fill="FFFFFF" w:themeFill="background1"/>
            <w:noWrap/>
            <w:hideMark/>
          </w:tcPr>
          <w:p w14:paraId="603A4079"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1 987,50</w:t>
            </w:r>
          </w:p>
        </w:tc>
        <w:tc>
          <w:tcPr>
            <w:tcW w:w="1136" w:type="dxa"/>
            <w:tcBorders>
              <w:top w:val="nil"/>
              <w:left w:val="nil"/>
              <w:bottom w:val="single" w:sz="4" w:space="0" w:color="auto"/>
              <w:right w:val="single" w:sz="4" w:space="0" w:color="auto"/>
            </w:tcBorders>
            <w:shd w:val="clear" w:color="auto" w:fill="FFFFFF" w:themeFill="background1"/>
            <w:noWrap/>
            <w:hideMark/>
          </w:tcPr>
          <w:p w14:paraId="35C83F05"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672,25</w:t>
            </w:r>
          </w:p>
        </w:tc>
        <w:tc>
          <w:tcPr>
            <w:tcW w:w="979" w:type="dxa"/>
            <w:tcBorders>
              <w:top w:val="nil"/>
              <w:left w:val="nil"/>
              <w:bottom w:val="single" w:sz="4" w:space="0" w:color="auto"/>
              <w:right w:val="single" w:sz="4" w:space="0" w:color="auto"/>
            </w:tcBorders>
            <w:shd w:val="clear" w:color="auto" w:fill="FFFFFF" w:themeFill="background1"/>
            <w:noWrap/>
            <w:hideMark/>
          </w:tcPr>
          <w:p w14:paraId="5E2678AF"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2 659,75</w:t>
            </w:r>
          </w:p>
        </w:tc>
      </w:tr>
      <w:tr w:rsidR="00F70066" w:rsidRPr="001D759A" w14:paraId="55A39D82" w14:textId="77777777" w:rsidTr="0064286C">
        <w:trPr>
          <w:trHeight w:val="289"/>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20D88894" w14:textId="77777777" w:rsidR="00F70066" w:rsidRPr="001D759A" w:rsidRDefault="00F70066" w:rsidP="00744625">
            <w:pPr>
              <w:pStyle w:val="Tabletext"/>
              <w:jc w:val="center"/>
              <w:rPr>
                <w:sz w:val="16"/>
                <w:szCs w:val="16"/>
                <w:lang w:val="es-ES"/>
              </w:rPr>
            </w:pPr>
            <w:r w:rsidRPr="001D759A">
              <w:rPr>
                <w:sz w:val="16"/>
                <w:szCs w:val="16"/>
                <w:lang w:val="es-ES" w:eastAsia="en-GB"/>
              </w:rPr>
              <w:t>1200175394</w:t>
            </w:r>
          </w:p>
        </w:tc>
        <w:tc>
          <w:tcPr>
            <w:tcW w:w="1134" w:type="dxa"/>
            <w:tcBorders>
              <w:top w:val="nil"/>
              <w:left w:val="single" w:sz="4" w:space="0" w:color="auto"/>
              <w:bottom w:val="single" w:sz="4" w:space="0" w:color="auto"/>
              <w:right w:val="single" w:sz="4" w:space="0" w:color="auto"/>
            </w:tcBorders>
            <w:shd w:val="clear" w:color="auto" w:fill="FFFFFF" w:themeFill="background1"/>
            <w:noWrap/>
            <w:hideMark/>
          </w:tcPr>
          <w:p w14:paraId="2DFC5023" w14:textId="77777777" w:rsidR="00F70066" w:rsidRPr="001D759A" w:rsidRDefault="00F70066" w:rsidP="00744625">
            <w:pPr>
              <w:pStyle w:val="Tabletext"/>
              <w:jc w:val="center"/>
              <w:rPr>
                <w:sz w:val="16"/>
                <w:szCs w:val="16"/>
                <w:lang w:val="es-ES" w:eastAsia="en-GB"/>
              </w:rPr>
            </w:pPr>
            <w:r w:rsidRPr="001D759A">
              <w:rPr>
                <w:sz w:val="16"/>
                <w:szCs w:val="16"/>
                <w:lang w:val="es-ES"/>
              </w:rPr>
              <w:t>Israel</w:t>
            </w:r>
          </w:p>
        </w:tc>
        <w:tc>
          <w:tcPr>
            <w:tcW w:w="2694" w:type="dxa"/>
            <w:tcBorders>
              <w:top w:val="nil"/>
              <w:left w:val="nil"/>
              <w:bottom w:val="single" w:sz="4" w:space="0" w:color="auto"/>
              <w:right w:val="single" w:sz="4" w:space="0" w:color="auto"/>
            </w:tcBorders>
            <w:shd w:val="clear" w:color="auto" w:fill="FFFFFF" w:themeFill="background1"/>
            <w:hideMark/>
          </w:tcPr>
          <w:p w14:paraId="439B154C" w14:textId="77777777" w:rsidR="00F70066" w:rsidRPr="001D759A" w:rsidRDefault="00F70066" w:rsidP="00744625">
            <w:pPr>
              <w:pStyle w:val="Tabletext"/>
              <w:rPr>
                <w:sz w:val="16"/>
                <w:szCs w:val="16"/>
                <w:lang w:val="en-US" w:eastAsia="en-GB"/>
              </w:rPr>
            </w:pPr>
            <w:proofErr w:type="spellStart"/>
            <w:r w:rsidRPr="001D759A">
              <w:rPr>
                <w:sz w:val="16"/>
                <w:szCs w:val="16"/>
                <w:lang w:val="en-US" w:eastAsia="en-GB"/>
              </w:rPr>
              <w:t>JpU</w:t>
            </w:r>
            <w:proofErr w:type="spellEnd"/>
            <w:r w:rsidRPr="001D759A">
              <w:rPr>
                <w:sz w:val="16"/>
                <w:szCs w:val="16"/>
                <w:lang w:val="en-US" w:eastAsia="en-GB"/>
              </w:rPr>
              <w:t xml:space="preserve"> Io Ltd, Petach Tikva</w:t>
            </w:r>
          </w:p>
        </w:tc>
        <w:tc>
          <w:tcPr>
            <w:tcW w:w="992" w:type="dxa"/>
            <w:tcBorders>
              <w:top w:val="nil"/>
              <w:left w:val="nil"/>
              <w:bottom w:val="single" w:sz="4" w:space="0" w:color="auto"/>
              <w:right w:val="single" w:sz="4" w:space="0" w:color="auto"/>
            </w:tcBorders>
            <w:shd w:val="clear" w:color="auto" w:fill="FFFFFF" w:themeFill="background1"/>
            <w:noWrap/>
            <w:hideMark/>
          </w:tcPr>
          <w:p w14:paraId="2F8CE27F"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2019</w:t>
            </w:r>
          </w:p>
        </w:tc>
        <w:tc>
          <w:tcPr>
            <w:tcW w:w="992" w:type="dxa"/>
            <w:tcBorders>
              <w:top w:val="nil"/>
              <w:left w:val="nil"/>
              <w:bottom w:val="single" w:sz="4" w:space="0" w:color="auto"/>
              <w:right w:val="single" w:sz="4" w:space="0" w:color="auto"/>
            </w:tcBorders>
            <w:shd w:val="clear" w:color="auto" w:fill="FFFFFF" w:themeFill="background1"/>
            <w:noWrap/>
            <w:hideMark/>
          </w:tcPr>
          <w:p w14:paraId="4AD9EC77"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3 533,33</w:t>
            </w:r>
          </w:p>
        </w:tc>
        <w:tc>
          <w:tcPr>
            <w:tcW w:w="1136" w:type="dxa"/>
            <w:tcBorders>
              <w:top w:val="nil"/>
              <w:left w:val="nil"/>
              <w:bottom w:val="single" w:sz="4" w:space="0" w:color="auto"/>
              <w:right w:val="single" w:sz="4" w:space="0" w:color="auto"/>
            </w:tcBorders>
            <w:shd w:val="clear" w:color="auto" w:fill="FFFFFF" w:themeFill="background1"/>
            <w:noWrap/>
            <w:hideMark/>
          </w:tcPr>
          <w:p w14:paraId="25517244"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1 666,75</w:t>
            </w:r>
          </w:p>
        </w:tc>
        <w:tc>
          <w:tcPr>
            <w:tcW w:w="979" w:type="dxa"/>
            <w:tcBorders>
              <w:top w:val="nil"/>
              <w:left w:val="nil"/>
              <w:bottom w:val="single" w:sz="4" w:space="0" w:color="auto"/>
              <w:right w:val="single" w:sz="4" w:space="0" w:color="auto"/>
            </w:tcBorders>
            <w:shd w:val="clear" w:color="auto" w:fill="FFFFFF" w:themeFill="background1"/>
            <w:noWrap/>
            <w:hideMark/>
          </w:tcPr>
          <w:p w14:paraId="409956CC"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5 200,08</w:t>
            </w:r>
          </w:p>
        </w:tc>
      </w:tr>
      <w:tr w:rsidR="00F70066" w:rsidRPr="001D759A" w14:paraId="145D3AA3" w14:textId="77777777" w:rsidTr="0064286C">
        <w:trPr>
          <w:trHeight w:val="289"/>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00DE766C" w14:textId="77777777" w:rsidR="00F70066" w:rsidRPr="001D759A" w:rsidRDefault="00F70066" w:rsidP="00744625">
            <w:pPr>
              <w:pStyle w:val="Tabletext"/>
              <w:jc w:val="center"/>
              <w:rPr>
                <w:sz w:val="16"/>
                <w:szCs w:val="16"/>
                <w:lang w:val="es-ES"/>
              </w:rPr>
            </w:pPr>
            <w:r w:rsidRPr="001D759A">
              <w:rPr>
                <w:sz w:val="16"/>
                <w:szCs w:val="16"/>
                <w:lang w:val="es-ES" w:eastAsia="en-GB"/>
              </w:rPr>
              <w:t>62772</w:t>
            </w:r>
          </w:p>
        </w:tc>
        <w:tc>
          <w:tcPr>
            <w:tcW w:w="1134" w:type="dxa"/>
            <w:tcBorders>
              <w:top w:val="nil"/>
              <w:left w:val="single" w:sz="4" w:space="0" w:color="auto"/>
              <w:bottom w:val="single" w:sz="4" w:space="0" w:color="auto"/>
              <w:right w:val="single" w:sz="4" w:space="0" w:color="auto"/>
            </w:tcBorders>
            <w:shd w:val="clear" w:color="auto" w:fill="FFFFFF" w:themeFill="background1"/>
            <w:noWrap/>
            <w:hideMark/>
          </w:tcPr>
          <w:p w14:paraId="7171B9D0" w14:textId="77777777" w:rsidR="00F70066" w:rsidRPr="001D759A" w:rsidRDefault="00F70066" w:rsidP="00744625">
            <w:pPr>
              <w:pStyle w:val="Tabletext"/>
              <w:jc w:val="center"/>
              <w:rPr>
                <w:sz w:val="16"/>
                <w:szCs w:val="16"/>
                <w:lang w:val="es-ES" w:eastAsia="en-GB"/>
              </w:rPr>
            </w:pPr>
            <w:r w:rsidRPr="001D759A">
              <w:rPr>
                <w:sz w:val="16"/>
                <w:szCs w:val="16"/>
                <w:lang w:val="es-ES"/>
              </w:rPr>
              <w:t>Israel</w:t>
            </w:r>
          </w:p>
        </w:tc>
        <w:tc>
          <w:tcPr>
            <w:tcW w:w="2694" w:type="dxa"/>
            <w:tcBorders>
              <w:top w:val="nil"/>
              <w:left w:val="nil"/>
              <w:bottom w:val="single" w:sz="4" w:space="0" w:color="auto"/>
              <w:right w:val="single" w:sz="4" w:space="0" w:color="auto"/>
            </w:tcBorders>
            <w:shd w:val="clear" w:color="auto" w:fill="FFFFFF" w:themeFill="background1"/>
            <w:hideMark/>
          </w:tcPr>
          <w:p w14:paraId="32F263B0" w14:textId="77777777" w:rsidR="00F70066" w:rsidRPr="001D759A" w:rsidRDefault="00F70066" w:rsidP="00744625">
            <w:pPr>
              <w:pStyle w:val="Tabletext"/>
              <w:rPr>
                <w:sz w:val="16"/>
                <w:szCs w:val="16"/>
                <w:lang w:val="en-US" w:eastAsia="en-GB"/>
              </w:rPr>
            </w:pPr>
            <w:proofErr w:type="spellStart"/>
            <w:r w:rsidRPr="001D759A">
              <w:rPr>
                <w:sz w:val="16"/>
                <w:szCs w:val="16"/>
                <w:lang w:val="en-US" w:eastAsia="en-GB"/>
              </w:rPr>
              <w:t>Sckipio</w:t>
            </w:r>
            <w:proofErr w:type="spellEnd"/>
            <w:r w:rsidRPr="001D759A">
              <w:rPr>
                <w:sz w:val="16"/>
                <w:szCs w:val="16"/>
                <w:lang w:val="en-US" w:eastAsia="en-GB"/>
              </w:rPr>
              <w:t xml:space="preserve"> Tech, Ramat Gan</w:t>
            </w:r>
          </w:p>
        </w:tc>
        <w:tc>
          <w:tcPr>
            <w:tcW w:w="992" w:type="dxa"/>
            <w:tcBorders>
              <w:top w:val="nil"/>
              <w:left w:val="nil"/>
              <w:bottom w:val="single" w:sz="4" w:space="0" w:color="auto"/>
              <w:right w:val="single" w:sz="4" w:space="0" w:color="auto"/>
            </w:tcBorders>
            <w:shd w:val="clear" w:color="auto" w:fill="FFFFFF" w:themeFill="background1"/>
            <w:noWrap/>
            <w:hideMark/>
          </w:tcPr>
          <w:p w14:paraId="17E7375F"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2020</w:t>
            </w:r>
          </w:p>
        </w:tc>
        <w:tc>
          <w:tcPr>
            <w:tcW w:w="992" w:type="dxa"/>
            <w:tcBorders>
              <w:top w:val="nil"/>
              <w:left w:val="nil"/>
              <w:bottom w:val="single" w:sz="4" w:space="0" w:color="auto"/>
              <w:right w:val="single" w:sz="4" w:space="0" w:color="auto"/>
            </w:tcBorders>
            <w:shd w:val="clear" w:color="auto" w:fill="FFFFFF" w:themeFill="background1"/>
            <w:noWrap/>
            <w:hideMark/>
          </w:tcPr>
          <w:p w14:paraId="1C440896"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10 600,00</w:t>
            </w:r>
          </w:p>
        </w:tc>
        <w:tc>
          <w:tcPr>
            <w:tcW w:w="1136" w:type="dxa"/>
            <w:tcBorders>
              <w:top w:val="nil"/>
              <w:left w:val="nil"/>
              <w:bottom w:val="single" w:sz="4" w:space="0" w:color="auto"/>
              <w:right w:val="single" w:sz="4" w:space="0" w:color="auto"/>
            </w:tcBorders>
            <w:shd w:val="clear" w:color="auto" w:fill="FFFFFF" w:themeFill="background1"/>
            <w:noWrap/>
            <w:hideMark/>
          </w:tcPr>
          <w:p w14:paraId="790A2A7F"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720,25</w:t>
            </w:r>
          </w:p>
        </w:tc>
        <w:tc>
          <w:tcPr>
            <w:tcW w:w="979" w:type="dxa"/>
            <w:tcBorders>
              <w:top w:val="nil"/>
              <w:left w:val="nil"/>
              <w:bottom w:val="single" w:sz="4" w:space="0" w:color="auto"/>
              <w:right w:val="single" w:sz="4" w:space="0" w:color="auto"/>
            </w:tcBorders>
            <w:shd w:val="clear" w:color="auto" w:fill="FFFFFF" w:themeFill="background1"/>
            <w:noWrap/>
            <w:hideMark/>
          </w:tcPr>
          <w:p w14:paraId="160D3955"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11 320,25</w:t>
            </w:r>
          </w:p>
        </w:tc>
      </w:tr>
      <w:tr w:rsidR="00F70066" w:rsidRPr="001D759A" w14:paraId="3965ACE4" w14:textId="77777777" w:rsidTr="0064286C">
        <w:trPr>
          <w:trHeight w:val="289"/>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579F4100" w14:textId="77777777" w:rsidR="00F70066" w:rsidRPr="001D759A" w:rsidRDefault="00F70066" w:rsidP="00744625">
            <w:pPr>
              <w:pStyle w:val="Tabletext"/>
              <w:jc w:val="center"/>
              <w:rPr>
                <w:sz w:val="16"/>
                <w:szCs w:val="16"/>
                <w:lang w:val="es-ES"/>
              </w:rPr>
            </w:pPr>
            <w:r w:rsidRPr="001D759A">
              <w:rPr>
                <w:sz w:val="16"/>
                <w:szCs w:val="16"/>
                <w:lang w:val="es-ES" w:eastAsia="en-GB"/>
              </w:rPr>
              <w:t>1200162990</w:t>
            </w:r>
          </w:p>
        </w:tc>
        <w:tc>
          <w:tcPr>
            <w:tcW w:w="1134" w:type="dxa"/>
            <w:tcBorders>
              <w:top w:val="nil"/>
              <w:left w:val="single" w:sz="4" w:space="0" w:color="auto"/>
              <w:bottom w:val="single" w:sz="4" w:space="0" w:color="auto"/>
              <w:right w:val="single" w:sz="4" w:space="0" w:color="auto"/>
            </w:tcBorders>
            <w:shd w:val="clear" w:color="auto" w:fill="FFFFFF" w:themeFill="background1"/>
            <w:noWrap/>
            <w:hideMark/>
          </w:tcPr>
          <w:p w14:paraId="138D8946" w14:textId="77777777" w:rsidR="00F70066" w:rsidRPr="001D759A" w:rsidRDefault="00F70066" w:rsidP="00744625">
            <w:pPr>
              <w:pStyle w:val="Tabletext"/>
              <w:jc w:val="center"/>
              <w:rPr>
                <w:sz w:val="16"/>
                <w:szCs w:val="16"/>
                <w:lang w:val="es-ES" w:eastAsia="en-GB"/>
              </w:rPr>
            </w:pPr>
            <w:r w:rsidRPr="001D759A">
              <w:rPr>
                <w:sz w:val="16"/>
                <w:szCs w:val="16"/>
                <w:lang w:val="es-ES"/>
              </w:rPr>
              <w:t>Corea</w:t>
            </w:r>
          </w:p>
        </w:tc>
        <w:tc>
          <w:tcPr>
            <w:tcW w:w="2694" w:type="dxa"/>
            <w:tcBorders>
              <w:top w:val="nil"/>
              <w:left w:val="nil"/>
              <w:bottom w:val="single" w:sz="4" w:space="0" w:color="auto"/>
              <w:right w:val="single" w:sz="4" w:space="0" w:color="auto"/>
            </w:tcBorders>
            <w:shd w:val="clear" w:color="auto" w:fill="FFFFFF" w:themeFill="background1"/>
            <w:hideMark/>
          </w:tcPr>
          <w:p w14:paraId="37D807F7" w14:textId="77777777" w:rsidR="00F70066" w:rsidRPr="001D759A" w:rsidRDefault="00F70066" w:rsidP="00744625">
            <w:pPr>
              <w:pStyle w:val="Tabletext"/>
              <w:rPr>
                <w:sz w:val="16"/>
                <w:szCs w:val="16"/>
                <w:lang w:val="en-US" w:eastAsia="en-GB"/>
              </w:rPr>
            </w:pPr>
            <w:r w:rsidRPr="001D759A">
              <w:rPr>
                <w:sz w:val="16"/>
                <w:szCs w:val="16"/>
                <w:lang w:val="en-US" w:eastAsia="en-GB"/>
              </w:rPr>
              <w:t xml:space="preserve">Grad School Seoul Nat. Uni, </w:t>
            </w:r>
            <w:proofErr w:type="spellStart"/>
            <w:r w:rsidRPr="001D759A">
              <w:rPr>
                <w:sz w:val="16"/>
                <w:szCs w:val="16"/>
                <w:lang w:val="en-US" w:eastAsia="en-GB"/>
              </w:rPr>
              <w:t>Seúl</w:t>
            </w:r>
            <w:proofErr w:type="spellEnd"/>
          </w:p>
        </w:tc>
        <w:tc>
          <w:tcPr>
            <w:tcW w:w="992" w:type="dxa"/>
            <w:tcBorders>
              <w:top w:val="nil"/>
              <w:left w:val="nil"/>
              <w:bottom w:val="single" w:sz="4" w:space="0" w:color="auto"/>
              <w:right w:val="single" w:sz="4" w:space="0" w:color="auto"/>
            </w:tcBorders>
            <w:shd w:val="clear" w:color="auto" w:fill="FFFFFF" w:themeFill="background1"/>
            <w:noWrap/>
            <w:hideMark/>
          </w:tcPr>
          <w:p w14:paraId="75B657C8"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2019</w:t>
            </w:r>
          </w:p>
        </w:tc>
        <w:tc>
          <w:tcPr>
            <w:tcW w:w="992" w:type="dxa"/>
            <w:tcBorders>
              <w:top w:val="nil"/>
              <w:left w:val="nil"/>
              <w:bottom w:val="single" w:sz="4" w:space="0" w:color="auto"/>
              <w:right w:val="single" w:sz="4" w:space="0" w:color="auto"/>
            </w:tcBorders>
            <w:shd w:val="clear" w:color="auto" w:fill="FFFFFF" w:themeFill="background1"/>
            <w:noWrap/>
            <w:hideMark/>
          </w:tcPr>
          <w:p w14:paraId="6F5297AD"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1 987,50</w:t>
            </w:r>
          </w:p>
        </w:tc>
        <w:tc>
          <w:tcPr>
            <w:tcW w:w="1136" w:type="dxa"/>
            <w:tcBorders>
              <w:top w:val="nil"/>
              <w:left w:val="nil"/>
              <w:bottom w:val="single" w:sz="4" w:space="0" w:color="auto"/>
              <w:right w:val="single" w:sz="4" w:space="0" w:color="auto"/>
            </w:tcBorders>
            <w:shd w:val="clear" w:color="auto" w:fill="FFFFFF" w:themeFill="background1"/>
            <w:noWrap/>
            <w:hideMark/>
          </w:tcPr>
          <w:p w14:paraId="4E91CA26"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937,50</w:t>
            </w:r>
          </w:p>
        </w:tc>
        <w:tc>
          <w:tcPr>
            <w:tcW w:w="979" w:type="dxa"/>
            <w:tcBorders>
              <w:top w:val="nil"/>
              <w:left w:val="nil"/>
              <w:bottom w:val="single" w:sz="4" w:space="0" w:color="auto"/>
              <w:right w:val="single" w:sz="4" w:space="0" w:color="auto"/>
            </w:tcBorders>
            <w:shd w:val="clear" w:color="auto" w:fill="FFFFFF" w:themeFill="background1"/>
            <w:noWrap/>
            <w:hideMark/>
          </w:tcPr>
          <w:p w14:paraId="4A04E8D9"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2 925,00</w:t>
            </w:r>
          </w:p>
        </w:tc>
      </w:tr>
      <w:tr w:rsidR="00F70066" w:rsidRPr="001D759A" w14:paraId="778437E3" w14:textId="77777777" w:rsidTr="0064286C">
        <w:trPr>
          <w:trHeight w:val="289"/>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0CA67B6D" w14:textId="77777777" w:rsidR="00F70066" w:rsidRPr="001D759A" w:rsidRDefault="00F70066" w:rsidP="00744625">
            <w:pPr>
              <w:pStyle w:val="Tabletext"/>
              <w:jc w:val="center"/>
              <w:rPr>
                <w:sz w:val="16"/>
                <w:szCs w:val="16"/>
                <w:lang w:val="es-ES"/>
              </w:rPr>
            </w:pPr>
            <w:r w:rsidRPr="001D759A">
              <w:rPr>
                <w:sz w:val="16"/>
                <w:szCs w:val="16"/>
                <w:lang w:val="es-ES" w:eastAsia="en-GB"/>
              </w:rPr>
              <w:t>1200193072</w:t>
            </w:r>
          </w:p>
        </w:tc>
        <w:tc>
          <w:tcPr>
            <w:tcW w:w="1134" w:type="dxa"/>
            <w:tcBorders>
              <w:top w:val="nil"/>
              <w:left w:val="single" w:sz="4" w:space="0" w:color="auto"/>
              <w:bottom w:val="single" w:sz="4" w:space="0" w:color="auto"/>
              <w:right w:val="single" w:sz="4" w:space="0" w:color="auto"/>
            </w:tcBorders>
            <w:shd w:val="clear" w:color="auto" w:fill="FFFFFF" w:themeFill="background1"/>
            <w:noWrap/>
            <w:hideMark/>
          </w:tcPr>
          <w:p w14:paraId="69D9BAD8" w14:textId="77777777" w:rsidR="00F70066" w:rsidRPr="001D759A" w:rsidRDefault="00F70066" w:rsidP="00744625">
            <w:pPr>
              <w:pStyle w:val="Tabletext"/>
              <w:jc w:val="center"/>
              <w:rPr>
                <w:sz w:val="16"/>
                <w:szCs w:val="16"/>
                <w:lang w:val="es-ES" w:eastAsia="en-GB"/>
              </w:rPr>
            </w:pPr>
            <w:r w:rsidRPr="001D759A">
              <w:rPr>
                <w:sz w:val="16"/>
                <w:szCs w:val="16"/>
                <w:lang w:val="es-ES"/>
              </w:rPr>
              <w:t>Corea</w:t>
            </w:r>
          </w:p>
        </w:tc>
        <w:tc>
          <w:tcPr>
            <w:tcW w:w="2694" w:type="dxa"/>
            <w:tcBorders>
              <w:top w:val="nil"/>
              <w:left w:val="nil"/>
              <w:bottom w:val="single" w:sz="4" w:space="0" w:color="auto"/>
              <w:right w:val="single" w:sz="4" w:space="0" w:color="auto"/>
            </w:tcBorders>
            <w:shd w:val="clear" w:color="auto" w:fill="FFFFFF" w:themeFill="background1"/>
            <w:hideMark/>
          </w:tcPr>
          <w:p w14:paraId="60E1DDCA" w14:textId="77777777" w:rsidR="00F70066" w:rsidRPr="001D759A" w:rsidRDefault="00F70066" w:rsidP="00744625">
            <w:pPr>
              <w:pStyle w:val="Tabletext"/>
              <w:rPr>
                <w:sz w:val="16"/>
                <w:szCs w:val="16"/>
                <w:lang w:val="en-US" w:eastAsia="en-GB"/>
              </w:rPr>
            </w:pPr>
            <w:r w:rsidRPr="001D759A">
              <w:rPr>
                <w:sz w:val="16"/>
                <w:szCs w:val="16"/>
                <w:lang w:val="en-US" w:eastAsia="en-GB"/>
              </w:rPr>
              <w:t xml:space="preserve">Smart Quantum Comm ITRC, </w:t>
            </w:r>
            <w:proofErr w:type="spellStart"/>
            <w:r w:rsidRPr="001D759A">
              <w:rPr>
                <w:sz w:val="16"/>
                <w:szCs w:val="16"/>
                <w:lang w:val="en-US" w:eastAsia="en-GB"/>
              </w:rPr>
              <w:t>Seúl</w:t>
            </w:r>
            <w:proofErr w:type="spellEnd"/>
          </w:p>
        </w:tc>
        <w:tc>
          <w:tcPr>
            <w:tcW w:w="992" w:type="dxa"/>
            <w:tcBorders>
              <w:top w:val="nil"/>
              <w:left w:val="nil"/>
              <w:bottom w:val="single" w:sz="4" w:space="0" w:color="auto"/>
              <w:right w:val="single" w:sz="4" w:space="0" w:color="auto"/>
            </w:tcBorders>
            <w:shd w:val="clear" w:color="auto" w:fill="FFFFFF" w:themeFill="background1"/>
            <w:noWrap/>
            <w:hideMark/>
          </w:tcPr>
          <w:p w14:paraId="540668BF"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2020</w:t>
            </w:r>
          </w:p>
        </w:tc>
        <w:tc>
          <w:tcPr>
            <w:tcW w:w="992" w:type="dxa"/>
            <w:tcBorders>
              <w:top w:val="nil"/>
              <w:left w:val="nil"/>
              <w:bottom w:val="single" w:sz="4" w:space="0" w:color="auto"/>
              <w:right w:val="single" w:sz="4" w:space="0" w:color="auto"/>
            </w:tcBorders>
            <w:shd w:val="clear" w:color="auto" w:fill="FFFFFF" w:themeFill="background1"/>
            <w:noWrap/>
            <w:hideMark/>
          </w:tcPr>
          <w:p w14:paraId="14ED437A"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1 821,88</w:t>
            </w:r>
          </w:p>
        </w:tc>
        <w:tc>
          <w:tcPr>
            <w:tcW w:w="1136" w:type="dxa"/>
            <w:tcBorders>
              <w:top w:val="nil"/>
              <w:left w:val="nil"/>
              <w:bottom w:val="single" w:sz="4" w:space="0" w:color="auto"/>
              <w:right w:val="single" w:sz="4" w:space="0" w:color="auto"/>
            </w:tcBorders>
            <w:shd w:val="clear" w:color="auto" w:fill="FFFFFF" w:themeFill="background1"/>
            <w:noWrap/>
            <w:hideMark/>
          </w:tcPr>
          <w:p w14:paraId="6D425BDC"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616,15</w:t>
            </w:r>
          </w:p>
        </w:tc>
        <w:tc>
          <w:tcPr>
            <w:tcW w:w="979" w:type="dxa"/>
            <w:tcBorders>
              <w:top w:val="nil"/>
              <w:left w:val="nil"/>
              <w:bottom w:val="single" w:sz="4" w:space="0" w:color="auto"/>
              <w:right w:val="single" w:sz="4" w:space="0" w:color="auto"/>
            </w:tcBorders>
            <w:shd w:val="clear" w:color="auto" w:fill="FFFFFF" w:themeFill="background1"/>
            <w:noWrap/>
            <w:hideMark/>
          </w:tcPr>
          <w:p w14:paraId="25CAFE22"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2 438,03</w:t>
            </w:r>
          </w:p>
        </w:tc>
      </w:tr>
      <w:tr w:rsidR="00F70066" w:rsidRPr="001D759A" w14:paraId="419C0B19" w14:textId="77777777" w:rsidTr="0064286C">
        <w:trPr>
          <w:trHeight w:val="289"/>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266101FE" w14:textId="77777777" w:rsidR="00F70066" w:rsidRPr="001D759A" w:rsidRDefault="00F70066" w:rsidP="00744625">
            <w:pPr>
              <w:pStyle w:val="Tabletext"/>
              <w:jc w:val="center"/>
              <w:rPr>
                <w:sz w:val="16"/>
                <w:szCs w:val="16"/>
                <w:lang w:val="es-ES"/>
              </w:rPr>
            </w:pPr>
            <w:r w:rsidRPr="001D759A">
              <w:rPr>
                <w:sz w:val="16"/>
                <w:szCs w:val="16"/>
                <w:lang w:val="es-ES" w:eastAsia="en-GB"/>
              </w:rPr>
              <w:t>60858</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14:paraId="729630EE" w14:textId="77777777" w:rsidR="00F70066" w:rsidRPr="001D759A" w:rsidRDefault="00F70066" w:rsidP="00744625">
            <w:pPr>
              <w:pStyle w:val="Tabletext"/>
              <w:jc w:val="center"/>
              <w:rPr>
                <w:sz w:val="16"/>
                <w:szCs w:val="16"/>
                <w:lang w:val="es-ES" w:eastAsia="en-GB"/>
              </w:rPr>
            </w:pPr>
            <w:r w:rsidRPr="001D759A">
              <w:rPr>
                <w:sz w:val="16"/>
                <w:szCs w:val="16"/>
                <w:lang w:val="es-ES"/>
              </w:rPr>
              <w:t>Kirguistán</w:t>
            </w:r>
          </w:p>
        </w:tc>
        <w:tc>
          <w:tcPr>
            <w:tcW w:w="2694" w:type="dxa"/>
            <w:tcBorders>
              <w:top w:val="nil"/>
              <w:left w:val="nil"/>
              <w:bottom w:val="single" w:sz="4" w:space="0" w:color="auto"/>
              <w:right w:val="single" w:sz="4" w:space="0" w:color="auto"/>
            </w:tcBorders>
            <w:shd w:val="clear" w:color="auto" w:fill="FFFFFF" w:themeFill="background1"/>
            <w:hideMark/>
          </w:tcPr>
          <w:p w14:paraId="06E01B7E" w14:textId="77777777" w:rsidR="00F70066" w:rsidRPr="001D759A" w:rsidRDefault="00F70066" w:rsidP="00744625">
            <w:pPr>
              <w:pStyle w:val="Tabletext"/>
              <w:rPr>
                <w:sz w:val="16"/>
                <w:szCs w:val="16"/>
                <w:lang w:val="en-US" w:eastAsia="en-GB"/>
              </w:rPr>
            </w:pPr>
            <w:proofErr w:type="spellStart"/>
            <w:r w:rsidRPr="001D759A">
              <w:rPr>
                <w:sz w:val="16"/>
                <w:szCs w:val="16"/>
                <w:lang w:val="en-US" w:eastAsia="en-GB"/>
              </w:rPr>
              <w:t>Kyrgyztelecom</w:t>
            </w:r>
            <w:proofErr w:type="spellEnd"/>
            <w:r w:rsidRPr="001D759A">
              <w:rPr>
                <w:sz w:val="16"/>
                <w:szCs w:val="16"/>
                <w:lang w:val="en-US" w:eastAsia="en-GB"/>
              </w:rPr>
              <w:t xml:space="preserve"> OJSC, Bishkek</w:t>
            </w:r>
          </w:p>
        </w:tc>
        <w:tc>
          <w:tcPr>
            <w:tcW w:w="992" w:type="dxa"/>
            <w:tcBorders>
              <w:top w:val="nil"/>
              <w:left w:val="nil"/>
              <w:bottom w:val="single" w:sz="4" w:space="0" w:color="auto"/>
              <w:right w:val="single" w:sz="4" w:space="0" w:color="auto"/>
            </w:tcBorders>
            <w:shd w:val="clear" w:color="auto" w:fill="FFFFFF" w:themeFill="background1"/>
            <w:hideMark/>
          </w:tcPr>
          <w:p w14:paraId="5E8B5C28"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2016-2017</w:t>
            </w:r>
          </w:p>
        </w:tc>
        <w:tc>
          <w:tcPr>
            <w:tcW w:w="992" w:type="dxa"/>
            <w:tcBorders>
              <w:top w:val="nil"/>
              <w:left w:val="nil"/>
              <w:bottom w:val="single" w:sz="4" w:space="0" w:color="auto"/>
              <w:right w:val="single" w:sz="4" w:space="0" w:color="auto"/>
            </w:tcBorders>
            <w:shd w:val="clear" w:color="auto" w:fill="FFFFFF" w:themeFill="background1"/>
            <w:hideMark/>
          </w:tcPr>
          <w:p w14:paraId="235B4AE4"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5 631,25</w:t>
            </w:r>
          </w:p>
        </w:tc>
        <w:tc>
          <w:tcPr>
            <w:tcW w:w="1136" w:type="dxa"/>
            <w:tcBorders>
              <w:top w:val="nil"/>
              <w:left w:val="nil"/>
              <w:bottom w:val="single" w:sz="4" w:space="0" w:color="auto"/>
              <w:right w:val="single" w:sz="4" w:space="0" w:color="auto"/>
            </w:tcBorders>
            <w:shd w:val="clear" w:color="auto" w:fill="FFFFFF" w:themeFill="background1"/>
            <w:noWrap/>
            <w:hideMark/>
          </w:tcPr>
          <w:p w14:paraId="0054D6F0"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4 075,10</w:t>
            </w:r>
          </w:p>
        </w:tc>
        <w:tc>
          <w:tcPr>
            <w:tcW w:w="979" w:type="dxa"/>
            <w:tcBorders>
              <w:top w:val="nil"/>
              <w:left w:val="nil"/>
              <w:bottom w:val="single" w:sz="4" w:space="0" w:color="auto"/>
              <w:right w:val="single" w:sz="4" w:space="0" w:color="auto"/>
            </w:tcBorders>
            <w:shd w:val="clear" w:color="auto" w:fill="FFFFFF" w:themeFill="background1"/>
            <w:hideMark/>
          </w:tcPr>
          <w:p w14:paraId="51C65AF3"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9 706,35</w:t>
            </w:r>
          </w:p>
        </w:tc>
      </w:tr>
      <w:tr w:rsidR="00F70066" w:rsidRPr="001D759A" w14:paraId="6C94E5EB" w14:textId="77777777" w:rsidTr="0064286C">
        <w:trPr>
          <w:trHeight w:val="28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98BF" w14:textId="77777777" w:rsidR="00F70066" w:rsidRPr="001D759A" w:rsidRDefault="00F70066" w:rsidP="00744625">
            <w:pPr>
              <w:pStyle w:val="Tabletext"/>
              <w:jc w:val="center"/>
              <w:rPr>
                <w:sz w:val="16"/>
                <w:szCs w:val="16"/>
                <w:lang w:val="es-ES"/>
              </w:rPr>
            </w:pPr>
            <w:r w:rsidRPr="001D759A">
              <w:rPr>
                <w:sz w:val="16"/>
                <w:szCs w:val="16"/>
                <w:lang w:val="es-ES" w:eastAsia="en-GB"/>
              </w:rPr>
              <w:lastRenderedPageBreak/>
              <w:t>63466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38AA8FC" w14:textId="77777777" w:rsidR="00F70066" w:rsidRPr="001D759A" w:rsidRDefault="00F70066" w:rsidP="00744625">
            <w:pPr>
              <w:pStyle w:val="Tabletext"/>
              <w:jc w:val="center"/>
              <w:rPr>
                <w:sz w:val="16"/>
                <w:szCs w:val="16"/>
                <w:lang w:val="es-ES" w:eastAsia="en-GB"/>
              </w:rPr>
            </w:pPr>
            <w:r w:rsidRPr="001D759A">
              <w:rPr>
                <w:sz w:val="16"/>
                <w:szCs w:val="16"/>
                <w:lang w:val="es-ES"/>
              </w:rPr>
              <w:t>Papúa Nueva Guinea</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819DF9" w14:textId="77777777" w:rsidR="00F70066" w:rsidRPr="001D759A" w:rsidRDefault="00F70066" w:rsidP="00744625">
            <w:pPr>
              <w:pStyle w:val="Tabletext"/>
              <w:rPr>
                <w:sz w:val="16"/>
                <w:szCs w:val="16"/>
                <w:lang w:val="en-US" w:eastAsia="en-GB"/>
              </w:rPr>
            </w:pPr>
            <w:r w:rsidRPr="001D759A">
              <w:rPr>
                <w:sz w:val="16"/>
                <w:szCs w:val="16"/>
                <w:lang w:val="en-US" w:eastAsia="en-GB"/>
              </w:rPr>
              <w:t>Awal Telecom Corp Ltd, Port Moresby</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C960571"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2017-2020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25B8B6E"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3 975,00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00CA75"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1 680,59</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263DFFE"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5 655,59</w:t>
            </w:r>
          </w:p>
        </w:tc>
      </w:tr>
      <w:tr w:rsidR="0064286C" w:rsidRPr="001D759A" w14:paraId="252CAF88" w14:textId="77777777" w:rsidTr="0064286C">
        <w:trPr>
          <w:trHeight w:val="40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27454FA0" w14:textId="77777777" w:rsidR="00F70066" w:rsidRPr="001D759A" w:rsidRDefault="00F70066" w:rsidP="00744625">
            <w:pPr>
              <w:pStyle w:val="Tabletext"/>
              <w:jc w:val="center"/>
              <w:rPr>
                <w:sz w:val="16"/>
                <w:szCs w:val="16"/>
                <w:lang w:val="es-ES"/>
              </w:rPr>
            </w:pPr>
            <w:r w:rsidRPr="001D759A">
              <w:rPr>
                <w:sz w:val="16"/>
                <w:szCs w:val="16"/>
                <w:lang w:val="es-ES" w:eastAsia="en-GB"/>
              </w:rPr>
              <w:t>1200039028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0C6C4B" w14:textId="77777777" w:rsidR="00F70066" w:rsidRPr="001D759A" w:rsidRDefault="00F70066" w:rsidP="00744625">
            <w:pPr>
              <w:pStyle w:val="Tabletext"/>
              <w:jc w:val="center"/>
              <w:rPr>
                <w:sz w:val="16"/>
                <w:szCs w:val="16"/>
                <w:lang w:val="es-ES" w:eastAsia="en-GB"/>
              </w:rPr>
            </w:pPr>
            <w:r w:rsidRPr="001D759A">
              <w:rPr>
                <w:sz w:val="16"/>
                <w:szCs w:val="16"/>
                <w:lang w:val="es-ES"/>
              </w:rPr>
              <w:t>Santo Tomé y Príncipe</w:t>
            </w:r>
          </w:p>
        </w:tc>
        <w:tc>
          <w:tcPr>
            <w:tcW w:w="2694" w:type="dxa"/>
            <w:tcBorders>
              <w:top w:val="single" w:sz="4" w:space="0" w:color="auto"/>
              <w:left w:val="nil"/>
              <w:bottom w:val="single" w:sz="4" w:space="0" w:color="auto"/>
              <w:right w:val="single" w:sz="4" w:space="0" w:color="auto"/>
            </w:tcBorders>
            <w:shd w:val="clear" w:color="auto" w:fill="FFFFFF" w:themeFill="background1"/>
            <w:hideMark/>
          </w:tcPr>
          <w:p w14:paraId="5CA33171" w14:textId="77777777" w:rsidR="00F70066" w:rsidRPr="001D759A" w:rsidRDefault="00F70066" w:rsidP="00744625">
            <w:pPr>
              <w:pStyle w:val="Tabletext"/>
              <w:rPr>
                <w:sz w:val="16"/>
                <w:szCs w:val="16"/>
                <w:lang w:val="en-US" w:eastAsia="en-GB"/>
              </w:rPr>
            </w:pPr>
            <w:proofErr w:type="spellStart"/>
            <w:r w:rsidRPr="001D759A">
              <w:rPr>
                <w:sz w:val="16"/>
                <w:szCs w:val="16"/>
                <w:lang w:val="en-US" w:eastAsia="en-GB"/>
              </w:rPr>
              <w:t>Unitel</w:t>
            </w:r>
            <w:proofErr w:type="spellEnd"/>
            <w:r w:rsidRPr="001D759A">
              <w:rPr>
                <w:sz w:val="16"/>
                <w:szCs w:val="16"/>
                <w:lang w:val="en-US" w:eastAsia="en-GB"/>
              </w:rPr>
              <w:t xml:space="preserve"> STP, Santo Tomé</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7BAC9EBA"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2020</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28524E3E"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3 975,00</w:t>
            </w:r>
          </w:p>
        </w:tc>
        <w:tc>
          <w:tcPr>
            <w:tcW w:w="1136" w:type="dxa"/>
            <w:tcBorders>
              <w:top w:val="single" w:sz="4" w:space="0" w:color="auto"/>
              <w:left w:val="nil"/>
              <w:bottom w:val="single" w:sz="4" w:space="0" w:color="auto"/>
              <w:right w:val="single" w:sz="4" w:space="0" w:color="auto"/>
            </w:tcBorders>
            <w:shd w:val="clear" w:color="auto" w:fill="FFFFFF" w:themeFill="background1"/>
            <w:noWrap/>
            <w:hideMark/>
          </w:tcPr>
          <w:p w14:paraId="78905FFC"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1 344,45</w:t>
            </w:r>
          </w:p>
        </w:tc>
        <w:tc>
          <w:tcPr>
            <w:tcW w:w="979" w:type="dxa"/>
            <w:tcBorders>
              <w:top w:val="single" w:sz="4" w:space="0" w:color="auto"/>
              <w:left w:val="nil"/>
              <w:bottom w:val="single" w:sz="4" w:space="0" w:color="auto"/>
              <w:right w:val="single" w:sz="4" w:space="0" w:color="auto"/>
            </w:tcBorders>
            <w:shd w:val="clear" w:color="auto" w:fill="FFFFFF" w:themeFill="background1"/>
            <w:hideMark/>
          </w:tcPr>
          <w:p w14:paraId="55BF40FB"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5 319,45</w:t>
            </w:r>
          </w:p>
        </w:tc>
      </w:tr>
      <w:tr w:rsidR="00F70066" w:rsidRPr="001D759A" w14:paraId="4FDFB5C9" w14:textId="77777777" w:rsidTr="0064286C">
        <w:trPr>
          <w:trHeight w:val="40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57856310" w14:textId="77777777" w:rsidR="00F70066" w:rsidRPr="001D759A" w:rsidRDefault="00F70066" w:rsidP="00744625">
            <w:pPr>
              <w:pStyle w:val="Tabletext"/>
              <w:jc w:val="center"/>
              <w:rPr>
                <w:sz w:val="16"/>
                <w:szCs w:val="16"/>
                <w:lang w:val="es-ES"/>
              </w:rPr>
            </w:pPr>
            <w:r w:rsidRPr="001D759A">
              <w:rPr>
                <w:sz w:val="16"/>
                <w:szCs w:val="16"/>
                <w:lang w:val="es-ES" w:eastAsia="en-GB"/>
              </w:rPr>
              <w:t>1200163575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3649AF" w14:textId="77777777" w:rsidR="00F70066" w:rsidRPr="001D759A" w:rsidRDefault="00F70066" w:rsidP="00744625">
            <w:pPr>
              <w:pStyle w:val="Tabletext"/>
              <w:jc w:val="center"/>
              <w:rPr>
                <w:sz w:val="16"/>
                <w:szCs w:val="16"/>
                <w:lang w:val="es-ES" w:eastAsia="en-GB"/>
              </w:rPr>
            </w:pPr>
            <w:r w:rsidRPr="001D759A">
              <w:rPr>
                <w:sz w:val="16"/>
                <w:szCs w:val="16"/>
                <w:lang w:val="es-ES"/>
              </w:rPr>
              <w:t>Suiza</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B5957E" w14:textId="77777777" w:rsidR="00F70066" w:rsidRPr="001D759A" w:rsidRDefault="00F70066" w:rsidP="00744625">
            <w:pPr>
              <w:pStyle w:val="Tabletext"/>
              <w:rPr>
                <w:sz w:val="16"/>
                <w:szCs w:val="16"/>
                <w:lang w:eastAsia="en-GB"/>
              </w:rPr>
            </w:pPr>
            <w:proofErr w:type="spellStart"/>
            <w:r w:rsidRPr="001D759A">
              <w:rPr>
                <w:sz w:val="16"/>
                <w:szCs w:val="16"/>
                <w:lang w:eastAsia="en-GB"/>
              </w:rPr>
              <w:t>Astrocast</w:t>
            </w:r>
            <w:proofErr w:type="spellEnd"/>
            <w:r w:rsidRPr="001D759A">
              <w:rPr>
                <w:sz w:val="16"/>
                <w:szCs w:val="16"/>
                <w:lang w:eastAsia="en-GB"/>
              </w:rPr>
              <w:t xml:space="preserve"> SA, Chavannes-près-Renens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34D13A"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4B585D"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3 975,00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389CDC4"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658,80</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A793D8"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4 633,80</w:t>
            </w:r>
          </w:p>
        </w:tc>
      </w:tr>
      <w:tr w:rsidR="00F70066" w:rsidRPr="001D759A" w14:paraId="237C9562" w14:textId="77777777" w:rsidTr="0064286C">
        <w:trPr>
          <w:trHeight w:val="28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544DC4A6"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1200011303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67DEBF9" w14:textId="77777777" w:rsidR="00F70066" w:rsidRPr="001D759A" w:rsidRDefault="00F70066" w:rsidP="00744625">
            <w:pPr>
              <w:pStyle w:val="Tabletext"/>
              <w:jc w:val="center"/>
              <w:rPr>
                <w:sz w:val="16"/>
                <w:szCs w:val="16"/>
                <w:lang w:val="es-ES"/>
              </w:rPr>
            </w:pPr>
            <w:r w:rsidRPr="001D759A">
              <w:rPr>
                <w:sz w:val="16"/>
                <w:szCs w:val="16"/>
                <w:lang w:val="es-ES"/>
              </w:rPr>
              <w:t>Suiza</w:t>
            </w:r>
          </w:p>
        </w:tc>
        <w:tc>
          <w:tcPr>
            <w:tcW w:w="2694" w:type="dxa"/>
            <w:tcBorders>
              <w:top w:val="single" w:sz="4" w:space="0" w:color="auto"/>
              <w:left w:val="nil"/>
              <w:bottom w:val="single" w:sz="4" w:space="0" w:color="auto"/>
              <w:right w:val="single" w:sz="4" w:space="0" w:color="auto"/>
            </w:tcBorders>
            <w:shd w:val="clear" w:color="auto" w:fill="FFFFFF" w:themeFill="background1"/>
          </w:tcPr>
          <w:p w14:paraId="67D276DD" w14:textId="77777777" w:rsidR="00F70066" w:rsidRPr="001D759A" w:rsidRDefault="00F70066" w:rsidP="00744625">
            <w:pPr>
              <w:pStyle w:val="Tabletext"/>
              <w:rPr>
                <w:sz w:val="16"/>
                <w:szCs w:val="16"/>
                <w:lang w:val="en-US" w:eastAsia="en-GB"/>
              </w:rPr>
            </w:pPr>
            <w:r w:rsidRPr="001D759A">
              <w:rPr>
                <w:sz w:val="16"/>
                <w:szCs w:val="16"/>
                <w:lang w:val="en-US" w:eastAsia="en-GB"/>
              </w:rPr>
              <w:t>High-Tech Bridge SA, Ginebra</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14:paraId="1026DA19"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2020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D89B471"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3 975,00</w:t>
            </w:r>
          </w:p>
        </w:tc>
        <w:tc>
          <w:tcPr>
            <w:tcW w:w="1136" w:type="dxa"/>
            <w:tcBorders>
              <w:top w:val="single" w:sz="4" w:space="0" w:color="auto"/>
              <w:left w:val="nil"/>
              <w:bottom w:val="single" w:sz="4" w:space="0" w:color="auto"/>
              <w:right w:val="single" w:sz="4" w:space="0" w:color="auto"/>
            </w:tcBorders>
            <w:shd w:val="clear" w:color="auto" w:fill="FFFFFF" w:themeFill="background1"/>
            <w:noWrap/>
          </w:tcPr>
          <w:p w14:paraId="66DC3834"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1 344,45</w:t>
            </w:r>
          </w:p>
        </w:tc>
        <w:tc>
          <w:tcPr>
            <w:tcW w:w="979" w:type="dxa"/>
            <w:tcBorders>
              <w:top w:val="single" w:sz="4" w:space="0" w:color="auto"/>
              <w:left w:val="nil"/>
              <w:bottom w:val="single" w:sz="4" w:space="0" w:color="auto"/>
              <w:right w:val="single" w:sz="4" w:space="0" w:color="auto"/>
            </w:tcBorders>
            <w:shd w:val="clear" w:color="auto" w:fill="FFFFFF" w:themeFill="background1"/>
          </w:tcPr>
          <w:p w14:paraId="296504F9"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5 319,45</w:t>
            </w:r>
          </w:p>
        </w:tc>
      </w:tr>
      <w:tr w:rsidR="00F70066" w:rsidRPr="001D759A" w14:paraId="5F042618" w14:textId="77777777" w:rsidTr="0064286C">
        <w:trPr>
          <w:trHeight w:val="28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7D7B8AAB" w14:textId="77777777" w:rsidR="00F70066" w:rsidRPr="001D759A" w:rsidRDefault="00F70066" w:rsidP="00744625">
            <w:pPr>
              <w:pStyle w:val="Tabletext"/>
              <w:jc w:val="center"/>
              <w:rPr>
                <w:sz w:val="16"/>
                <w:szCs w:val="16"/>
                <w:lang w:val="es-ES"/>
              </w:rPr>
            </w:pPr>
            <w:r w:rsidRPr="001D759A">
              <w:rPr>
                <w:sz w:val="16"/>
                <w:szCs w:val="16"/>
                <w:lang w:val="es-ES" w:eastAsia="en-GB"/>
              </w:rPr>
              <w:t>1200034986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83B990" w14:textId="77777777" w:rsidR="00F70066" w:rsidRPr="001D759A" w:rsidRDefault="00F70066" w:rsidP="00744625">
            <w:pPr>
              <w:pStyle w:val="Tabletext"/>
              <w:jc w:val="center"/>
              <w:rPr>
                <w:sz w:val="16"/>
                <w:szCs w:val="16"/>
                <w:lang w:val="es-ES" w:eastAsia="en-GB"/>
              </w:rPr>
            </w:pPr>
            <w:proofErr w:type="spellStart"/>
            <w:r w:rsidRPr="001D759A">
              <w:rPr>
                <w:sz w:val="16"/>
                <w:szCs w:val="16"/>
                <w:lang w:val="es-ES"/>
              </w:rPr>
              <w:t>Tanzanía</w:t>
            </w:r>
            <w:proofErr w:type="spellEnd"/>
          </w:p>
        </w:tc>
        <w:tc>
          <w:tcPr>
            <w:tcW w:w="2694" w:type="dxa"/>
            <w:tcBorders>
              <w:top w:val="single" w:sz="4" w:space="0" w:color="auto"/>
              <w:left w:val="nil"/>
              <w:bottom w:val="single" w:sz="4" w:space="0" w:color="auto"/>
              <w:right w:val="single" w:sz="4" w:space="0" w:color="auto"/>
            </w:tcBorders>
            <w:shd w:val="clear" w:color="auto" w:fill="FFFFFF" w:themeFill="background1"/>
            <w:hideMark/>
          </w:tcPr>
          <w:p w14:paraId="63726B1A" w14:textId="77777777" w:rsidR="00F70066" w:rsidRPr="001D759A" w:rsidRDefault="00F70066" w:rsidP="00744625">
            <w:pPr>
              <w:pStyle w:val="Tabletext"/>
              <w:rPr>
                <w:sz w:val="16"/>
                <w:szCs w:val="16"/>
                <w:lang w:val="en-US" w:eastAsia="en-GB"/>
              </w:rPr>
            </w:pPr>
            <w:r w:rsidRPr="001D759A">
              <w:rPr>
                <w:sz w:val="16"/>
                <w:szCs w:val="16"/>
                <w:lang w:val="en-US" w:eastAsia="en-GB"/>
              </w:rPr>
              <w:t>The Uni of Dodoma, Dodoma</w:t>
            </w:r>
          </w:p>
        </w:tc>
        <w:tc>
          <w:tcPr>
            <w:tcW w:w="992" w:type="dxa"/>
            <w:tcBorders>
              <w:top w:val="single" w:sz="4" w:space="0" w:color="auto"/>
              <w:left w:val="nil"/>
              <w:bottom w:val="single" w:sz="4" w:space="0" w:color="auto"/>
              <w:right w:val="single" w:sz="4" w:space="0" w:color="auto"/>
            </w:tcBorders>
            <w:shd w:val="clear" w:color="auto" w:fill="FFFFFF" w:themeFill="background1"/>
            <w:noWrap/>
            <w:hideMark/>
          </w:tcPr>
          <w:p w14:paraId="3783C194"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2020</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54A60B47"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1 821,88</w:t>
            </w:r>
          </w:p>
        </w:tc>
        <w:tc>
          <w:tcPr>
            <w:tcW w:w="1136" w:type="dxa"/>
            <w:tcBorders>
              <w:top w:val="single" w:sz="4" w:space="0" w:color="auto"/>
              <w:left w:val="nil"/>
              <w:bottom w:val="single" w:sz="4" w:space="0" w:color="auto"/>
              <w:right w:val="single" w:sz="4" w:space="0" w:color="auto"/>
            </w:tcBorders>
            <w:shd w:val="clear" w:color="auto" w:fill="FFFFFF" w:themeFill="background1"/>
            <w:noWrap/>
            <w:hideMark/>
          </w:tcPr>
          <w:p w14:paraId="010B8BB2"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616,15</w:t>
            </w:r>
          </w:p>
        </w:tc>
        <w:tc>
          <w:tcPr>
            <w:tcW w:w="979" w:type="dxa"/>
            <w:tcBorders>
              <w:top w:val="single" w:sz="4" w:space="0" w:color="auto"/>
              <w:left w:val="nil"/>
              <w:bottom w:val="single" w:sz="4" w:space="0" w:color="auto"/>
              <w:right w:val="single" w:sz="4" w:space="0" w:color="auto"/>
            </w:tcBorders>
            <w:shd w:val="clear" w:color="auto" w:fill="FFFFFF" w:themeFill="background1"/>
            <w:hideMark/>
          </w:tcPr>
          <w:p w14:paraId="32FAEA88"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2 438,03</w:t>
            </w:r>
          </w:p>
        </w:tc>
      </w:tr>
      <w:tr w:rsidR="00F70066" w:rsidRPr="001D759A" w14:paraId="4698A14A" w14:textId="77777777" w:rsidTr="0064286C">
        <w:trPr>
          <w:trHeight w:val="289"/>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3D363F06" w14:textId="77777777" w:rsidR="00F70066" w:rsidRPr="001D759A" w:rsidRDefault="00F70066" w:rsidP="00744625">
            <w:pPr>
              <w:pStyle w:val="Tabletext"/>
              <w:jc w:val="center"/>
              <w:rPr>
                <w:sz w:val="16"/>
                <w:szCs w:val="16"/>
                <w:lang w:val="es-ES"/>
              </w:rPr>
            </w:pPr>
            <w:r w:rsidRPr="001D759A">
              <w:rPr>
                <w:sz w:val="16"/>
                <w:szCs w:val="16"/>
                <w:lang w:val="es-ES" w:eastAsia="en-GB"/>
              </w:rPr>
              <w:t>27682</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14:paraId="651C924F" w14:textId="77777777" w:rsidR="00F70066" w:rsidRPr="001D759A" w:rsidRDefault="00F70066" w:rsidP="00744625">
            <w:pPr>
              <w:pStyle w:val="Tabletext"/>
              <w:jc w:val="center"/>
              <w:rPr>
                <w:sz w:val="16"/>
                <w:szCs w:val="16"/>
                <w:lang w:val="es-ES" w:eastAsia="en-GB"/>
              </w:rPr>
            </w:pPr>
            <w:r w:rsidRPr="001D759A">
              <w:rPr>
                <w:sz w:val="16"/>
                <w:szCs w:val="16"/>
                <w:lang w:val="es-ES"/>
              </w:rPr>
              <w:t>Túnez</w:t>
            </w:r>
          </w:p>
        </w:tc>
        <w:tc>
          <w:tcPr>
            <w:tcW w:w="2694" w:type="dxa"/>
            <w:tcBorders>
              <w:top w:val="nil"/>
              <w:left w:val="nil"/>
              <w:bottom w:val="single" w:sz="4" w:space="0" w:color="auto"/>
              <w:right w:val="single" w:sz="4" w:space="0" w:color="auto"/>
            </w:tcBorders>
            <w:shd w:val="clear" w:color="auto" w:fill="FFFFFF" w:themeFill="background1"/>
            <w:hideMark/>
          </w:tcPr>
          <w:p w14:paraId="1425C555" w14:textId="77777777" w:rsidR="00F70066" w:rsidRPr="005A3C5B" w:rsidRDefault="00F70066" w:rsidP="00744625">
            <w:pPr>
              <w:pStyle w:val="Tabletext"/>
              <w:rPr>
                <w:sz w:val="16"/>
                <w:szCs w:val="16"/>
                <w:lang w:eastAsia="en-GB"/>
              </w:rPr>
            </w:pPr>
            <w:r w:rsidRPr="005A3C5B">
              <w:rPr>
                <w:sz w:val="16"/>
                <w:szCs w:val="16"/>
                <w:lang w:eastAsia="en-GB"/>
              </w:rPr>
              <w:t xml:space="preserve">Agence Tunisienne d'Internet (ATI), </w:t>
            </w:r>
            <w:proofErr w:type="spellStart"/>
            <w:r w:rsidRPr="005A3C5B">
              <w:rPr>
                <w:sz w:val="16"/>
                <w:szCs w:val="16"/>
                <w:lang w:eastAsia="en-GB"/>
              </w:rPr>
              <w:t>Tunicia</w:t>
            </w:r>
            <w:proofErr w:type="spellEnd"/>
          </w:p>
        </w:tc>
        <w:tc>
          <w:tcPr>
            <w:tcW w:w="992" w:type="dxa"/>
            <w:tcBorders>
              <w:top w:val="nil"/>
              <w:left w:val="nil"/>
              <w:bottom w:val="single" w:sz="4" w:space="0" w:color="auto"/>
              <w:right w:val="single" w:sz="4" w:space="0" w:color="auto"/>
            </w:tcBorders>
            <w:shd w:val="clear" w:color="auto" w:fill="FFFFFF" w:themeFill="background1"/>
            <w:noWrap/>
            <w:hideMark/>
          </w:tcPr>
          <w:p w14:paraId="080FFF2F"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2018-2019</w:t>
            </w:r>
          </w:p>
        </w:tc>
        <w:tc>
          <w:tcPr>
            <w:tcW w:w="992" w:type="dxa"/>
            <w:tcBorders>
              <w:top w:val="nil"/>
              <w:left w:val="nil"/>
              <w:bottom w:val="single" w:sz="4" w:space="0" w:color="auto"/>
              <w:right w:val="single" w:sz="4" w:space="0" w:color="auto"/>
            </w:tcBorders>
            <w:shd w:val="clear" w:color="auto" w:fill="FFFFFF" w:themeFill="background1"/>
            <w:hideMark/>
          </w:tcPr>
          <w:p w14:paraId="68BD757B"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12 810,00</w:t>
            </w:r>
          </w:p>
        </w:tc>
        <w:tc>
          <w:tcPr>
            <w:tcW w:w="1136" w:type="dxa"/>
            <w:tcBorders>
              <w:top w:val="nil"/>
              <w:left w:val="nil"/>
              <w:bottom w:val="single" w:sz="4" w:space="0" w:color="auto"/>
              <w:right w:val="single" w:sz="4" w:space="0" w:color="auto"/>
            </w:tcBorders>
            <w:shd w:val="clear" w:color="auto" w:fill="FFFFFF" w:themeFill="background1"/>
            <w:noWrap/>
            <w:hideMark/>
          </w:tcPr>
          <w:p w14:paraId="4750CD7E"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6 450,10</w:t>
            </w:r>
          </w:p>
        </w:tc>
        <w:tc>
          <w:tcPr>
            <w:tcW w:w="979" w:type="dxa"/>
            <w:tcBorders>
              <w:top w:val="nil"/>
              <w:left w:val="nil"/>
              <w:bottom w:val="single" w:sz="4" w:space="0" w:color="auto"/>
              <w:right w:val="single" w:sz="4" w:space="0" w:color="auto"/>
            </w:tcBorders>
            <w:shd w:val="clear" w:color="auto" w:fill="FFFFFF" w:themeFill="background1"/>
            <w:hideMark/>
          </w:tcPr>
          <w:p w14:paraId="01E84480" w14:textId="77777777" w:rsidR="00F70066" w:rsidRPr="001D759A" w:rsidRDefault="00F70066" w:rsidP="00744625">
            <w:pPr>
              <w:pStyle w:val="Tabletext"/>
              <w:jc w:val="center"/>
              <w:rPr>
                <w:sz w:val="16"/>
                <w:szCs w:val="16"/>
                <w:lang w:val="es-ES" w:eastAsia="en-GB"/>
              </w:rPr>
            </w:pPr>
            <w:r w:rsidRPr="001D759A">
              <w:rPr>
                <w:sz w:val="16"/>
                <w:szCs w:val="16"/>
                <w:lang w:val="es-ES" w:eastAsia="en-GB"/>
              </w:rPr>
              <w:t>19 260,10</w:t>
            </w:r>
          </w:p>
        </w:tc>
      </w:tr>
      <w:tr w:rsidR="00F70066" w:rsidRPr="001D759A" w14:paraId="7524018A" w14:textId="77777777" w:rsidTr="0064286C">
        <w:trPr>
          <w:trHeight w:val="40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687075F7" w14:textId="77777777" w:rsidR="00F70066" w:rsidRPr="001D759A" w:rsidRDefault="00F70066" w:rsidP="00744625">
            <w:pPr>
              <w:pStyle w:val="Tabletext"/>
              <w:jc w:val="center"/>
              <w:rPr>
                <w:sz w:val="16"/>
                <w:szCs w:val="16"/>
                <w:lang w:val="es-ES"/>
              </w:rPr>
            </w:pPr>
            <w:r w:rsidRPr="001D759A">
              <w:rPr>
                <w:sz w:val="16"/>
                <w:szCs w:val="16"/>
                <w:lang w:val="es-ES" w:eastAsia="en-GB"/>
              </w:rPr>
              <w:t>63179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6A6CA8" w14:textId="77777777" w:rsidR="00F70066" w:rsidRPr="001D759A" w:rsidRDefault="00F70066" w:rsidP="00744625">
            <w:pPr>
              <w:pStyle w:val="Tabletext"/>
              <w:jc w:val="center"/>
              <w:rPr>
                <w:rFonts w:cs="Calibri"/>
                <w:sz w:val="16"/>
                <w:szCs w:val="16"/>
                <w:lang w:val="es-ES" w:eastAsia="en-GB"/>
              </w:rPr>
            </w:pPr>
            <w:r w:rsidRPr="001D759A">
              <w:rPr>
                <w:sz w:val="16"/>
                <w:szCs w:val="16"/>
                <w:lang w:val="es-ES"/>
              </w:rPr>
              <w:t>Emiratos Árabes Unidos</w:t>
            </w:r>
          </w:p>
        </w:tc>
        <w:tc>
          <w:tcPr>
            <w:tcW w:w="2694" w:type="dxa"/>
            <w:tcBorders>
              <w:top w:val="single" w:sz="4" w:space="0" w:color="auto"/>
              <w:left w:val="nil"/>
              <w:bottom w:val="single" w:sz="4" w:space="0" w:color="auto"/>
              <w:right w:val="single" w:sz="4" w:space="0" w:color="auto"/>
            </w:tcBorders>
            <w:shd w:val="clear" w:color="auto" w:fill="FFFFFF" w:themeFill="background1"/>
            <w:hideMark/>
          </w:tcPr>
          <w:p w14:paraId="36D74066" w14:textId="77777777" w:rsidR="00F70066" w:rsidRPr="001D759A" w:rsidRDefault="00F70066" w:rsidP="00744625">
            <w:pPr>
              <w:pStyle w:val="Tabletext"/>
              <w:rPr>
                <w:rFonts w:cs="Calibri"/>
                <w:sz w:val="16"/>
                <w:szCs w:val="16"/>
                <w:lang w:val="en-US" w:eastAsia="en-GB"/>
              </w:rPr>
            </w:pPr>
            <w:proofErr w:type="spellStart"/>
            <w:r w:rsidRPr="001D759A">
              <w:rPr>
                <w:rFonts w:cs="Calibri"/>
                <w:sz w:val="16"/>
                <w:szCs w:val="16"/>
                <w:lang w:val="en-US" w:eastAsia="en-GB"/>
              </w:rPr>
              <w:t>Teralight</w:t>
            </w:r>
            <w:proofErr w:type="spellEnd"/>
            <w:r w:rsidRPr="001D759A">
              <w:rPr>
                <w:rFonts w:cs="Calibri"/>
                <w:sz w:val="16"/>
                <w:szCs w:val="16"/>
                <w:lang w:val="en-US" w:eastAsia="en-GB"/>
              </w:rPr>
              <w:t xml:space="preserve"> FZ LLC, </w:t>
            </w:r>
            <w:proofErr w:type="spellStart"/>
            <w:r w:rsidRPr="001D759A">
              <w:rPr>
                <w:rFonts w:cs="Calibri"/>
                <w:sz w:val="16"/>
                <w:szCs w:val="16"/>
                <w:lang w:val="en-US" w:eastAsia="en-GB"/>
              </w:rPr>
              <w:t>Dubái</w:t>
            </w:r>
            <w:proofErr w:type="spellEnd"/>
          </w:p>
        </w:tc>
        <w:tc>
          <w:tcPr>
            <w:tcW w:w="992" w:type="dxa"/>
            <w:tcBorders>
              <w:top w:val="single" w:sz="4" w:space="0" w:color="auto"/>
              <w:left w:val="nil"/>
              <w:bottom w:val="single" w:sz="4" w:space="0" w:color="auto"/>
              <w:right w:val="single" w:sz="4" w:space="0" w:color="auto"/>
            </w:tcBorders>
            <w:shd w:val="clear" w:color="auto" w:fill="FFFFFF" w:themeFill="background1"/>
            <w:noWrap/>
            <w:hideMark/>
          </w:tcPr>
          <w:p w14:paraId="7ACE5AF3"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2016</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59840A92"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3 975,00</w:t>
            </w:r>
          </w:p>
        </w:tc>
        <w:tc>
          <w:tcPr>
            <w:tcW w:w="1136" w:type="dxa"/>
            <w:tcBorders>
              <w:top w:val="single" w:sz="4" w:space="0" w:color="auto"/>
              <w:left w:val="nil"/>
              <w:bottom w:val="single" w:sz="4" w:space="0" w:color="auto"/>
              <w:right w:val="single" w:sz="4" w:space="0" w:color="auto"/>
            </w:tcBorders>
            <w:shd w:val="clear" w:color="auto" w:fill="FFFFFF" w:themeFill="background1"/>
            <w:noWrap/>
            <w:hideMark/>
          </w:tcPr>
          <w:p w14:paraId="39966B44"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2 992,55</w:t>
            </w:r>
          </w:p>
        </w:tc>
        <w:tc>
          <w:tcPr>
            <w:tcW w:w="979" w:type="dxa"/>
            <w:tcBorders>
              <w:top w:val="single" w:sz="4" w:space="0" w:color="auto"/>
              <w:left w:val="nil"/>
              <w:bottom w:val="single" w:sz="4" w:space="0" w:color="auto"/>
              <w:right w:val="single" w:sz="4" w:space="0" w:color="auto"/>
            </w:tcBorders>
            <w:shd w:val="clear" w:color="auto" w:fill="FFFFFF" w:themeFill="background1"/>
            <w:hideMark/>
          </w:tcPr>
          <w:p w14:paraId="5A9DDC94"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6 967,55</w:t>
            </w:r>
          </w:p>
        </w:tc>
      </w:tr>
      <w:tr w:rsidR="00F70066" w:rsidRPr="001D759A" w14:paraId="0EB46EC3" w14:textId="77777777" w:rsidTr="0064286C">
        <w:trPr>
          <w:trHeight w:val="432"/>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015BFAEE" w14:textId="77777777" w:rsidR="00F70066" w:rsidRPr="001D759A" w:rsidRDefault="00F70066" w:rsidP="00744625">
            <w:pPr>
              <w:pStyle w:val="Tabletext"/>
              <w:jc w:val="center"/>
              <w:rPr>
                <w:sz w:val="16"/>
                <w:szCs w:val="16"/>
                <w:lang w:val="es-ES"/>
              </w:rPr>
            </w:pPr>
            <w:r w:rsidRPr="001D759A">
              <w:rPr>
                <w:sz w:val="16"/>
                <w:szCs w:val="16"/>
                <w:lang w:val="es-ES" w:eastAsia="en-GB"/>
              </w:rPr>
              <w:t>1200029784</w:t>
            </w:r>
          </w:p>
        </w:tc>
        <w:tc>
          <w:tcPr>
            <w:tcW w:w="1134" w:type="dxa"/>
            <w:tcBorders>
              <w:top w:val="nil"/>
              <w:left w:val="single" w:sz="4" w:space="0" w:color="auto"/>
              <w:bottom w:val="single" w:sz="4" w:space="0" w:color="auto"/>
              <w:right w:val="single" w:sz="4" w:space="0" w:color="auto"/>
            </w:tcBorders>
            <w:shd w:val="clear" w:color="auto" w:fill="FFFFFF" w:themeFill="background1"/>
            <w:noWrap/>
            <w:hideMark/>
          </w:tcPr>
          <w:p w14:paraId="40B6303D" w14:textId="77777777" w:rsidR="00F70066" w:rsidRPr="001D759A" w:rsidRDefault="00F70066" w:rsidP="00744625">
            <w:pPr>
              <w:pStyle w:val="Tabletext"/>
              <w:jc w:val="center"/>
              <w:rPr>
                <w:rFonts w:cs="Calibri"/>
                <w:sz w:val="16"/>
                <w:szCs w:val="16"/>
                <w:lang w:val="es-ES" w:eastAsia="en-GB"/>
              </w:rPr>
            </w:pPr>
            <w:r w:rsidRPr="001D759A">
              <w:rPr>
                <w:sz w:val="16"/>
                <w:szCs w:val="16"/>
                <w:lang w:val="es-ES"/>
              </w:rPr>
              <w:t>Reino Unido</w:t>
            </w:r>
          </w:p>
        </w:tc>
        <w:tc>
          <w:tcPr>
            <w:tcW w:w="2694" w:type="dxa"/>
            <w:tcBorders>
              <w:top w:val="nil"/>
              <w:left w:val="nil"/>
              <w:bottom w:val="single" w:sz="4" w:space="0" w:color="auto"/>
              <w:right w:val="single" w:sz="4" w:space="0" w:color="auto"/>
            </w:tcBorders>
            <w:shd w:val="clear" w:color="auto" w:fill="FFFFFF" w:themeFill="background1"/>
            <w:hideMark/>
          </w:tcPr>
          <w:p w14:paraId="28655B58" w14:textId="77777777" w:rsidR="00F70066" w:rsidRPr="005A3C5B" w:rsidRDefault="00F70066" w:rsidP="00744625">
            <w:pPr>
              <w:pStyle w:val="Tabletext"/>
              <w:rPr>
                <w:rFonts w:cs="Calibri"/>
                <w:sz w:val="16"/>
                <w:szCs w:val="16"/>
                <w:lang w:eastAsia="en-GB"/>
              </w:rPr>
            </w:pPr>
            <w:r w:rsidRPr="005A3C5B">
              <w:rPr>
                <w:rFonts w:cs="Calibri"/>
                <w:sz w:val="16"/>
                <w:szCs w:val="16"/>
                <w:lang w:eastAsia="en-GB"/>
              </w:rPr>
              <w:t>PTGI International Carrier (Ex. Primus Telecommunications Ltd.), Londres</w:t>
            </w:r>
          </w:p>
        </w:tc>
        <w:tc>
          <w:tcPr>
            <w:tcW w:w="992" w:type="dxa"/>
            <w:tcBorders>
              <w:top w:val="nil"/>
              <w:left w:val="nil"/>
              <w:bottom w:val="single" w:sz="4" w:space="0" w:color="auto"/>
              <w:right w:val="single" w:sz="4" w:space="0" w:color="auto"/>
            </w:tcBorders>
            <w:shd w:val="clear" w:color="auto" w:fill="FFFFFF" w:themeFill="background1"/>
            <w:noWrap/>
            <w:hideMark/>
          </w:tcPr>
          <w:p w14:paraId="536E1356"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2018-2024</w:t>
            </w:r>
          </w:p>
        </w:tc>
        <w:tc>
          <w:tcPr>
            <w:tcW w:w="992" w:type="dxa"/>
            <w:tcBorders>
              <w:top w:val="nil"/>
              <w:left w:val="nil"/>
              <w:bottom w:val="single" w:sz="4" w:space="0" w:color="auto"/>
              <w:right w:val="single" w:sz="4" w:space="0" w:color="auto"/>
            </w:tcBorders>
            <w:shd w:val="clear" w:color="auto" w:fill="FFFFFF" w:themeFill="background1"/>
            <w:noWrap/>
            <w:hideMark/>
          </w:tcPr>
          <w:p w14:paraId="40E8B850"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2 100,00</w:t>
            </w:r>
          </w:p>
        </w:tc>
        <w:tc>
          <w:tcPr>
            <w:tcW w:w="1136" w:type="dxa"/>
            <w:tcBorders>
              <w:top w:val="nil"/>
              <w:left w:val="nil"/>
              <w:bottom w:val="single" w:sz="4" w:space="0" w:color="auto"/>
              <w:right w:val="single" w:sz="4" w:space="0" w:color="auto"/>
            </w:tcBorders>
            <w:shd w:val="clear" w:color="auto" w:fill="FFFFFF" w:themeFill="background1"/>
            <w:noWrap/>
            <w:hideMark/>
          </w:tcPr>
          <w:p w14:paraId="3AF3A862"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0,00</w:t>
            </w:r>
          </w:p>
        </w:tc>
        <w:tc>
          <w:tcPr>
            <w:tcW w:w="979" w:type="dxa"/>
            <w:tcBorders>
              <w:top w:val="nil"/>
              <w:left w:val="nil"/>
              <w:bottom w:val="single" w:sz="4" w:space="0" w:color="auto"/>
              <w:right w:val="single" w:sz="4" w:space="0" w:color="auto"/>
            </w:tcBorders>
            <w:shd w:val="clear" w:color="auto" w:fill="FFFFFF" w:themeFill="background1"/>
            <w:noWrap/>
            <w:hideMark/>
          </w:tcPr>
          <w:p w14:paraId="308F90D8"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2 100,00</w:t>
            </w:r>
          </w:p>
        </w:tc>
      </w:tr>
      <w:tr w:rsidR="00F70066" w:rsidRPr="001D759A" w14:paraId="01500D0D" w14:textId="77777777" w:rsidTr="0064286C">
        <w:trPr>
          <w:trHeight w:val="450"/>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3B09DC79" w14:textId="77777777" w:rsidR="00F70066" w:rsidRPr="001D759A" w:rsidRDefault="00F70066" w:rsidP="00744625">
            <w:pPr>
              <w:pStyle w:val="Tabletext"/>
              <w:jc w:val="center"/>
              <w:rPr>
                <w:sz w:val="16"/>
                <w:szCs w:val="16"/>
                <w:lang w:val="es-ES"/>
              </w:rPr>
            </w:pPr>
            <w:r w:rsidRPr="001D759A">
              <w:rPr>
                <w:sz w:val="16"/>
                <w:szCs w:val="16"/>
                <w:lang w:val="es-ES" w:eastAsia="en-GB"/>
              </w:rPr>
              <w:t>1200195690</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14:paraId="045BD930" w14:textId="77777777" w:rsidR="00F70066" w:rsidRPr="001D759A" w:rsidRDefault="00F70066" w:rsidP="00744625">
            <w:pPr>
              <w:pStyle w:val="Tabletext"/>
              <w:jc w:val="center"/>
              <w:rPr>
                <w:rFonts w:cs="Calibri"/>
                <w:sz w:val="16"/>
                <w:szCs w:val="16"/>
                <w:lang w:val="es-ES" w:eastAsia="en-GB"/>
              </w:rPr>
            </w:pPr>
            <w:r w:rsidRPr="001D759A">
              <w:rPr>
                <w:sz w:val="16"/>
                <w:szCs w:val="16"/>
                <w:lang w:val="es-ES"/>
              </w:rPr>
              <w:t>Estados Unidos</w:t>
            </w:r>
          </w:p>
        </w:tc>
        <w:tc>
          <w:tcPr>
            <w:tcW w:w="2694" w:type="dxa"/>
            <w:tcBorders>
              <w:top w:val="nil"/>
              <w:left w:val="nil"/>
              <w:bottom w:val="single" w:sz="4" w:space="0" w:color="auto"/>
              <w:right w:val="single" w:sz="4" w:space="0" w:color="auto"/>
            </w:tcBorders>
            <w:shd w:val="clear" w:color="auto" w:fill="FFFFFF" w:themeFill="background1"/>
            <w:hideMark/>
          </w:tcPr>
          <w:p w14:paraId="52A7C800" w14:textId="77777777" w:rsidR="00F70066" w:rsidRPr="001D759A" w:rsidRDefault="00F70066" w:rsidP="00744625">
            <w:pPr>
              <w:pStyle w:val="Tabletext"/>
              <w:rPr>
                <w:rFonts w:cs="Calibri"/>
                <w:sz w:val="16"/>
                <w:szCs w:val="16"/>
                <w:lang w:val="en-US" w:eastAsia="en-GB"/>
              </w:rPr>
            </w:pPr>
            <w:proofErr w:type="spellStart"/>
            <w:r w:rsidRPr="001D759A">
              <w:rPr>
                <w:rFonts w:cs="Calibri"/>
                <w:sz w:val="16"/>
                <w:szCs w:val="16"/>
                <w:lang w:val="en-US" w:eastAsia="en-GB"/>
              </w:rPr>
              <w:t>Aumovio</w:t>
            </w:r>
            <w:proofErr w:type="spellEnd"/>
            <w:r w:rsidRPr="001D759A">
              <w:rPr>
                <w:rFonts w:cs="Calibri"/>
                <w:sz w:val="16"/>
                <w:szCs w:val="16"/>
                <w:lang w:val="en-US" w:eastAsia="en-GB"/>
              </w:rPr>
              <w:t xml:space="preserve"> Systems Inc. (Ex. Continental Automotive Systems Inc.), Deer Park</w:t>
            </w:r>
          </w:p>
        </w:tc>
        <w:tc>
          <w:tcPr>
            <w:tcW w:w="992" w:type="dxa"/>
            <w:tcBorders>
              <w:top w:val="nil"/>
              <w:left w:val="nil"/>
              <w:bottom w:val="single" w:sz="4" w:space="0" w:color="auto"/>
              <w:right w:val="single" w:sz="4" w:space="0" w:color="auto"/>
            </w:tcBorders>
            <w:shd w:val="clear" w:color="auto" w:fill="FFFFFF" w:themeFill="background1"/>
            <w:noWrap/>
            <w:hideMark/>
          </w:tcPr>
          <w:p w14:paraId="09B07F5F"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2020</w:t>
            </w:r>
          </w:p>
        </w:tc>
        <w:tc>
          <w:tcPr>
            <w:tcW w:w="992" w:type="dxa"/>
            <w:tcBorders>
              <w:top w:val="nil"/>
              <w:left w:val="nil"/>
              <w:bottom w:val="single" w:sz="4" w:space="0" w:color="auto"/>
              <w:right w:val="single" w:sz="4" w:space="0" w:color="auto"/>
            </w:tcBorders>
            <w:shd w:val="clear" w:color="auto" w:fill="FFFFFF" w:themeFill="background1"/>
            <w:hideMark/>
          </w:tcPr>
          <w:p w14:paraId="53130B0B"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6 183,33</w:t>
            </w:r>
          </w:p>
        </w:tc>
        <w:tc>
          <w:tcPr>
            <w:tcW w:w="1136" w:type="dxa"/>
            <w:tcBorders>
              <w:top w:val="nil"/>
              <w:left w:val="nil"/>
              <w:bottom w:val="single" w:sz="4" w:space="0" w:color="auto"/>
              <w:right w:val="single" w:sz="4" w:space="0" w:color="auto"/>
            </w:tcBorders>
            <w:shd w:val="clear" w:color="auto" w:fill="FFFFFF" w:themeFill="background1"/>
            <w:noWrap/>
            <w:hideMark/>
          </w:tcPr>
          <w:p w14:paraId="1C9B934B"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2 091,35</w:t>
            </w:r>
          </w:p>
        </w:tc>
        <w:tc>
          <w:tcPr>
            <w:tcW w:w="979" w:type="dxa"/>
            <w:tcBorders>
              <w:top w:val="nil"/>
              <w:left w:val="nil"/>
              <w:bottom w:val="single" w:sz="4" w:space="0" w:color="auto"/>
              <w:right w:val="single" w:sz="4" w:space="0" w:color="auto"/>
            </w:tcBorders>
            <w:shd w:val="clear" w:color="auto" w:fill="FFFFFF" w:themeFill="background1"/>
            <w:hideMark/>
          </w:tcPr>
          <w:p w14:paraId="176E661C"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8 274,68</w:t>
            </w:r>
          </w:p>
        </w:tc>
      </w:tr>
      <w:tr w:rsidR="00F70066" w:rsidRPr="001D759A" w14:paraId="5CC6743F" w14:textId="77777777" w:rsidTr="0064286C">
        <w:trPr>
          <w:trHeight w:val="289"/>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77116D22" w14:textId="77777777" w:rsidR="00F70066" w:rsidRPr="001D759A" w:rsidRDefault="00F70066" w:rsidP="00744625">
            <w:pPr>
              <w:pStyle w:val="Tabletext"/>
              <w:jc w:val="center"/>
              <w:rPr>
                <w:sz w:val="16"/>
                <w:szCs w:val="16"/>
                <w:lang w:val="es-ES"/>
              </w:rPr>
            </w:pPr>
            <w:r w:rsidRPr="001D759A">
              <w:rPr>
                <w:sz w:val="16"/>
                <w:szCs w:val="16"/>
                <w:lang w:val="es-ES" w:eastAsia="en-GB"/>
              </w:rPr>
              <w:t>1200114222</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14:paraId="7294A125" w14:textId="77777777" w:rsidR="00F70066" w:rsidRPr="001D759A" w:rsidRDefault="00F70066" w:rsidP="00744625">
            <w:pPr>
              <w:pStyle w:val="Tabletext"/>
              <w:jc w:val="center"/>
              <w:rPr>
                <w:rFonts w:cs="Calibri"/>
                <w:sz w:val="16"/>
                <w:szCs w:val="16"/>
                <w:lang w:val="es-ES" w:eastAsia="en-GB"/>
              </w:rPr>
            </w:pPr>
            <w:r w:rsidRPr="001D759A">
              <w:rPr>
                <w:sz w:val="16"/>
                <w:szCs w:val="16"/>
                <w:lang w:val="es-ES"/>
              </w:rPr>
              <w:t>Estados Unidos</w:t>
            </w:r>
          </w:p>
        </w:tc>
        <w:tc>
          <w:tcPr>
            <w:tcW w:w="2694" w:type="dxa"/>
            <w:tcBorders>
              <w:top w:val="nil"/>
              <w:left w:val="nil"/>
              <w:bottom w:val="single" w:sz="4" w:space="0" w:color="auto"/>
              <w:right w:val="single" w:sz="4" w:space="0" w:color="auto"/>
            </w:tcBorders>
            <w:shd w:val="clear" w:color="auto" w:fill="FFFFFF" w:themeFill="background1"/>
            <w:hideMark/>
          </w:tcPr>
          <w:p w14:paraId="4AF6EE1E" w14:textId="77777777" w:rsidR="00F70066" w:rsidRPr="001D759A" w:rsidRDefault="00F70066" w:rsidP="00744625">
            <w:pPr>
              <w:pStyle w:val="Tabletext"/>
              <w:rPr>
                <w:rFonts w:cs="Calibri"/>
                <w:sz w:val="16"/>
                <w:szCs w:val="16"/>
                <w:lang w:val="en-US" w:eastAsia="en-GB"/>
              </w:rPr>
            </w:pPr>
            <w:proofErr w:type="spellStart"/>
            <w:r w:rsidRPr="001D759A">
              <w:rPr>
                <w:rFonts w:cs="Calibri"/>
                <w:sz w:val="16"/>
                <w:szCs w:val="16"/>
                <w:lang w:val="en-US" w:eastAsia="en-GB"/>
              </w:rPr>
              <w:t>eCurrency</w:t>
            </w:r>
            <w:proofErr w:type="spellEnd"/>
            <w:r w:rsidRPr="001D759A">
              <w:rPr>
                <w:rFonts w:cs="Calibri"/>
                <w:sz w:val="16"/>
                <w:szCs w:val="16"/>
                <w:lang w:val="en-US" w:eastAsia="en-GB"/>
              </w:rPr>
              <w:t>, Oakland</w:t>
            </w:r>
          </w:p>
        </w:tc>
        <w:tc>
          <w:tcPr>
            <w:tcW w:w="992" w:type="dxa"/>
            <w:tcBorders>
              <w:top w:val="nil"/>
              <w:left w:val="nil"/>
              <w:bottom w:val="single" w:sz="4" w:space="0" w:color="auto"/>
              <w:right w:val="single" w:sz="4" w:space="0" w:color="auto"/>
            </w:tcBorders>
            <w:shd w:val="clear" w:color="auto" w:fill="FFFFFF" w:themeFill="background1"/>
            <w:noWrap/>
            <w:hideMark/>
          </w:tcPr>
          <w:p w14:paraId="7E19E177"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2019</w:t>
            </w:r>
          </w:p>
        </w:tc>
        <w:tc>
          <w:tcPr>
            <w:tcW w:w="992" w:type="dxa"/>
            <w:tcBorders>
              <w:top w:val="nil"/>
              <w:left w:val="nil"/>
              <w:bottom w:val="single" w:sz="4" w:space="0" w:color="auto"/>
              <w:right w:val="single" w:sz="4" w:space="0" w:color="auto"/>
            </w:tcBorders>
            <w:shd w:val="clear" w:color="auto" w:fill="FFFFFF" w:themeFill="background1"/>
            <w:noWrap/>
            <w:hideMark/>
          </w:tcPr>
          <w:p w14:paraId="41EB9A00"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31 800,00</w:t>
            </w:r>
          </w:p>
        </w:tc>
        <w:tc>
          <w:tcPr>
            <w:tcW w:w="1136" w:type="dxa"/>
            <w:tcBorders>
              <w:top w:val="nil"/>
              <w:left w:val="nil"/>
              <w:bottom w:val="single" w:sz="4" w:space="0" w:color="auto"/>
              <w:right w:val="single" w:sz="4" w:space="0" w:color="auto"/>
            </w:tcBorders>
            <w:shd w:val="clear" w:color="auto" w:fill="FFFFFF" w:themeFill="background1"/>
            <w:noWrap/>
            <w:hideMark/>
          </w:tcPr>
          <w:p w14:paraId="067FD0F0"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15 087,90</w:t>
            </w:r>
          </w:p>
        </w:tc>
        <w:tc>
          <w:tcPr>
            <w:tcW w:w="979" w:type="dxa"/>
            <w:tcBorders>
              <w:top w:val="nil"/>
              <w:left w:val="nil"/>
              <w:bottom w:val="single" w:sz="4" w:space="0" w:color="auto"/>
              <w:right w:val="single" w:sz="4" w:space="0" w:color="auto"/>
            </w:tcBorders>
            <w:shd w:val="clear" w:color="auto" w:fill="FFFFFF" w:themeFill="background1"/>
            <w:hideMark/>
          </w:tcPr>
          <w:p w14:paraId="707F3FFB"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46 887,90</w:t>
            </w:r>
          </w:p>
        </w:tc>
      </w:tr>
      <w:tr w:rsidR="00F70066" w:rsidRPr="001D759A" w14:paraId="42E64C5D" w14:textId="77777777" w:rsidTr="0064286C">
        <w:trPr>
          <w:trHeight w:val="289"/>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44667CAA" w14:textId="77777777" w:rsidR="00F70066" w:rsidRPr="001D759A" w:rsidRDefault="00F70066" w:rsidP="00744625">
            <w:pPr>
              <w:pStyle w:val="Tabletext"/>
              <w:jc w:val="center"/>
              <w:rPr>
                <w:sz w:val="16"/>
                <w:szCs w:val="16"/>
                <w:lang w:val="es-ES"/>
              </w:rPr>
            </w:pPr>
            <w:r w:rsidRPr="001D759A">
              <w:rPr>
                <w:sz w:val="16"/>
                <w:szCs w:val="16"/>
                <w:lang w:val="es-ES" w:eastAsia="en-GB"/>
              </w:rPr>
              <w:t>56563</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14:paraId="2AC94F30" w14:textId="77777777" w:rsidR="00F70066" w:rsidRPr="001D759A" w:rsidRDefault="00F70066" w:rsidP="00744625">
            <w:pPr>
              <w:pStyle w:val="Tabletext"/>
              <w:jc w:val="center"/>
              <w:rPr>
                <w:rFonts w:cs="Calibri"/>
                <w:sz w:val="16"/>
                <w:szCs w:val="16"/>
                <w:lang w:val="es-ES" w:eastAsia="en-GB"/>
              </w:rPr>
            </w:pPr>
            <w:r w:rsidRPr="001D759A">
              <w:rPr>
                <w:sz w:val="16"/>
                <w:szCs w:val="16"/>
                <w:lang w:val="es-ES"/>
              </w:rPr>
              <w:t>Estados Unidos</w:t>
            </w:r>
          </w:p>
        </w:tc>
        <w:tc>
          <w:tcPr>
            <w:tcW w:w="2694" w:type="dxa"/>
            <w:tcBorders>
              <w:top w:val="nil"/>
              <w:left w:val="nil"/>
              <w:bottom w:val="single" w:sz="4" w:space="0" w:color="auto"/>
              <w:right w:val="single" w:sz="4" w:space="0" w:color="auto"/>
            </w:tcBorders>
            <w:shd w:val="clear" w:color="auto" w:fill="FFFFFF" w:themeFill="background1"/>
            <w:hideMark/>
          </w:tcPr>
          <w:p w14:paraId="07EFBE94" w14:textId="77777777" w:rsidR="00F70066" w:rsidRPr="001D759A" w:rsidRDefault="00F70066" w:rsidP="00744625">
            <w:pPr>
              <w:pStyle w:val="Tabletext"/>
              <w:rPr>
                <w:rFonts w:cs="Calibri"/>
                <w:sz w:val="16"/>
                <w:szCs w:val="16"/>
                <w:lang w:val="en-US" w:eastAsia="en-GB"/>
              </w:rPr>
            </w:pPr>
            <w:r w:rsidRPr="001D759A">
              <w:rPr>
                <w:rFonts w:cs="Calibri"/>
                <w:sz w:val="16"/>
                <w:szCs w:val="16"/>
                <w:lang w:val="en-US" w:eastAsia="en-GB"/>
              </w:rPr>
              <w:t>Oration Technologies Inc, Omaha</w:t>
            </w:r>
          </w:p>
        </w:tc>
        <w:tc>
          <w:tcPr>
            <w:tcW w:w="992" w:type="dxa"/>
            <w:tcBorders>
              <w:top w:val="nil"/>
              <w:left w:val="nil"/>
              <w:bottom w:val="single" w:sz="4" w:space="0" w:color="auto"/>
              <w:right w:val="single" w:sz="4" w:space="0" w:color="auto"/>
            </w:tcBorders>
            <w:shd w:val="clear" w:color="auto" w:fill="FFFFFF" w:themeFill="background1"/>
            <w:noWrap/>
            <w:hideMark/>
          </w:tcPr>
          <w:p w14:paraId="136EFAF3"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2020</w:t>
            </w:r>
          </w:p>
        </w:tc>
        <w:tc>
          <w:tcPr>
            <w:tcW w:w="992" w:type="dxa"/>
            <w:tcBorders>
              <w:top w:val="nil"/>
              <w:left w:val="nil"/>
              <w:bottom w:val="single" w:sz="4" w:space="0" w:color="auto"/>
              <w:right w:val="single" w:sz="4" w:space="0" w:color="auto"/>
            </w:tcBorders>
            <w:shd w:val="clear" w:color="auto" w:fill="FFFFFF" w:themeFill="background1"/>
            <w:noWrap/>
            <w:hideMark/>
          </w:tcPr>
          <w:p w14:paraId="239E052F"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10 600,00</w:t>
            </w:r>
          </w:p>
        </w:tc>
        <w:tc>
          <w:tcPr>
            <w:tcW w:w="1136" w:type="dxa"/>
            <w:tcBorders>
              <w:top w:val="nil"/>
              <w:left w:val="nil"/>
              <w:bottom w:val="single" w:sz="4" w:space="0" w:color="auto"/>
              <w:right w:val="single" w:sz="4" w:space="0" w:color="auto"/>
            </w:tcBorders>
            <w:shd w:val="clear" w:color="auto" w:fill="FFFFFF" w:themeFill="background1"/>
            <w:noWrap/>
            <w:hideMark/>
          </w:tcPr>
          <w:p w14:paraId="0039ABCD"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3 691,50</w:t>
            </w:r>
          </w:p>
        </w:tc>
        <w:tc>
          <w:tcPr>
            <w:tcW w:w="979" w:type="dxa"/>
            <w:tcBorders>
              <w:top w:val="nil"/>
              <w:left w:val="nil"/>
              <w:bottom w:val="single" w:sz="4" w:space="0" w:color="auto"/>
              <w:right w:val="single" w:sz="4" w:space="0" w:color="auto"/>
            </w:tcBorders>
            <w:shd w:val="clear" w:color="auto" w:fill="FFFFFF" w:themeFill="background1"/>
            <w:hideMark/>
          </w:tcPr>
          <w:p w14:paraId="3F809524"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14 291,50</w:t>
            </w:r>
          </w:p>
        </w:tc>
      </w:tr>
      <w:tr w:rsidR="00F70066" w:rsidRPr="001D759A" w14:paraId="2499D59C" w14:textId="77777777" w:rsidTr="0064286C">
        <w:trPr>
          <w:trHeight w:val="289"/>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180C5C30" w14:textId="77777777" w:rsidR="00F70066" w:rsidRPr="001D759A" w:rsidRDefault="00F70066" w:rsidP="00744625">
            <w:pPr>
              <w:pStyle w:val="Tabletext"/>
              <w:jc w:val="center"/>
              <w:rPr>
                <w:sz w:val="16"/>
                <w:szCs w:val="16"/>
                <w:lang w:val="es-ES"/>
              </w:rPr>
            </w:pPr>
            <w:r w:rsidRPr="001D759A">
              <w:rPr>
                <w:sz w:val="16"/>
                <w:szCs w:val="16"/>
                <w:lang w:val="es-ES" w:eastAsia="en-GB"/>
              </w:rPr>
              <w:t>57874</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14:paraId="2D394D18" w14:textId="77777777" w:rsidR="00F70066" w:rsidRPr="001D759A" w:rsidRDefault="00F70066" w:rsidP="00744625">
            <w:pPr>
              <w:pStyle w:val="Tabletext"/>
              <w:jc w:val="center"/>
              <w:rPr>
                <w:rFonts w:cs="Calibri"/>
                <w:sz w:val="16"/>
                <w:szCs w:val="16"/>
                <w:lang w:val="es-ES" w:eastAsia="en-GB"/>
              </w:rPr>
            </w:pPr>
            <w:r w:rsidRPr="001D759A">
              <w:rPr>
                <w:sz w:val="16"/>
                <w:szCs w:val="16"/>
                <w:lang w:val="es-ES"/>
              </w:rPr>
              <w:t>Estados Unidos</w:t>
            </w:r>
          </w:p>
        </w:tc>
        <w:tc>
          <w:tcPr>
            <w:tcW w:w="2694" w:type="dxa"/>
            <w:tcBorders>
              <w:top w:val="nil"/>
              <w:left w:val="nil"/>
              <w:bottom w:val="single" w:sz="4" w:space="0" w:color="auto"/>
              <w:right w:val="single" w:sz="4" w:space="0" w:color="auto"/>
            </w:tcBorders>
            <w:shd w:val="clear" w:color="auto" w:fill="FFFFFF" w:themeFill="background1"/>
            <w:hideMark/>
          </w:tcPr>
          <w:p w14:paraId="0A4F5947" w14:textId="77777777" w:rsidR="00F70066" w:rsidRPr="001D759A" w:rsidRDefault="00F70066" w:rsidP="00744625">
            <w:pPr>
              <w:pStyle w:val="Tabletext"/>
              <w:rPr>
                <w:rFonts w:cs="Calibri"/>
                <w:sz w:val="16"/>
                <w:szCs w:val="16"/>
                <w:lang w:val="en-US" w:eastAsia="en-GB"/>
              </w:rPr>
            </w:pPr>
            <w:r w:rsidRPr="001D759A">
              <w:rPr>
                <w:rFonts w:cs="Calibri"/>
                <w:sz w:val="16"/>
                <w:szCs w:val="16"/>
                <w:lang w:val="en-US" w:eastAsia="en-GB"/>
              </w:rPr>
              <w:t>Space Systems Loral, Palo Alto</w:t>
            </w:r>
          </w:p>
        </w:tc>
        <w:tc>
          <w:tcPr>
            <w:tcW w:w="992" w:type="dxa"/>
            <w:tcBorders>
              <w:top w:val="nil"/>
              <w:left w:val="nil"/>
              <w:bottom w:val="single" w:sz="4" w:space="0" w:color="auto"/>
              <w:right w:val="single" w:sz="4" w:space="0" w:color="auto"/>
            </w:tcBorders>
            <w:shd w:val="clear" w:color="auto" w:fill="FFFFFF" w:themeFill="background1"/>
            <w:noWrap/>
            <w:hideMark/>
          </w:tcPr>
          <w:p w14:paraId="2120BE2E"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2019</w:t>
            </w:r>
          </w:p>
        </w:tc>
        <w:tc>
          <w:tcPr>
            <w:tcW w:w="992" w:type="dxa"/>
            <w:tcBorders>
              <w:top w:val="nil"/>
              <w:left w:val="nil"/>
              <w:bottom w:val="single" w:sz="4" w:space="0" w:color="auto"/>
              <w:right w:val="single" w:sz="4" w:space="0" w:color="auto"/>
            </w:tcBorders>
            <w:shd w:val="clear" w:color="auto" w:fill="FFFFFF" w:themeFill="background1"/>
            <w:noWrap/>
            <w:hideMark/>
          </w:tcPr>
          <w:p w14:paraId="002CA5D5"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10 600,00</w:t>
            </w:r>
          </w:p>
        </w:tc>
        <w:tc>
          <w:tcPr>
            <w:tcW w:w="1136" w:type="dxa"/>
            <w:tcBorders>
              <w:top w:val="nil"/>
              <w:left w:val="nil"/>
              <w:bottom w:val="single" w:sz="4" w:space="0" w:color="auto"/>
              <w:right w:val="single" w:sz="4" w:space="0" w:color="auto"/>
            </w:tcBorders>
            <w:shd w:val="clear" w:color="auto" w:fill="FFFFFF" w:themeFill="background1"/>
            <w:noWrap/>
            <w:hideMark/>
          </w:tcPr>
          <w:p w14:paraId="4BE29BEB"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5 000,20</w:t>
            </w:r>
          </w:p>
        </w:tc>
        <w:tc>
          <w:tcPr>
            <w:tcW w:w="979" w:type="dxa"/>
            <w:tcBorders>
              <w:top w:val="nil"/>
              <w:left w:val="nil"/>
              <w:bottom w:val="single" w:sz="4" w:space="0" w:color="auto"/>
              <w:right w:val="single" w:sz="4" w:space="0" w:color="auto"/>
            </w:tcBorders>
            <w:shd w:val="clear" w:color="auto" w:fill="FFFFFF" w:themeFill="background1"/>
            <w:hideMark/>
          </w:tcPr>
          <w:p w14:paraId="4F846169"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15 600,20</w:t>
            </w:r>
          </w:p>
        </w:tc>
      </w:tr>
      <w:tr w:rsidR="00F70066" w:rsidRPr="001D759A" w14:paraId="6F1C7FE8" w14:textId="77777777" w:rsidTr="0064286C">
        <w:trPr>
          <w:trHeight w:val="289"/>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3CA47AB1" w14:textId="77777777" w:rsidR="00F70066" w:rsidRPr="001D759A" w:rsidRDefault="00F70066" w:rsidP="00744625">
            <w:pPr>
              <w:pStyle w:val="Tabletext"/>
              <w:jc w:val="center"/>
              <w:rPr>
                <w:sz w:val="16"/>
                <w:szCs w:val="16"/>
                <w:lang w:val="es-ES"/>
              </w:rPr>
            </w:pPr>
            <w:r w:rsidRPr="001D759A">
              <w:rPr>
                <w:sz w:val="16"/>
                <w:szCs w:val="16"/>
                <w:lang w:val="es-ES" w:eastAsia="en-GB"/>
              </w:rPr>
              <w:t>59145</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14:paraId="0D03BAE9" w14:textId="77777777" w:rsidR="00F70066" w:rsidRPr="001D759A" w:rsidRDefault="00F70066" w:rsidP="00744625">
            <w:pPr>
              <w:pStyle w:val="Tabletext"/>
              <w:jc w:val="center"/>
              <w:rPr>
                <w:rFonts w:cs="Calibri"/>
                <w:sz w:val="16"/>
                <w:szCs w:val="16"/>
                <w:lang w:val="es-ES" w:eastAsia="en-GB"/>
              </w:rPr>
            </w:pPr>
            <w:r w:rsidRPr="001D759A">
              <w:rPr>
                <w:sz w:val="16"/>
                <w:szCs w:val="16"/>
                <w:lang w:val="es-ES"/>
              </w:rPr>
              <w:t>Estados Unidos</w:t>
            </w:r>
          </w:p>
        </w:tc>
        <w:tc>
          <w:tcPr>
            <w:tcW w:w="2694" w:type="dxa"/>
            <w:tcBorders>
              <w:top w:val="nil"/>
              <w:left w:val="nil"/>
              <w:bottom w:val="single" w:sz="4" w:space="0" w:color="auto"/>
              <w:right w:val="single" w:sz="4" w:space="0" w:color="auto"/>
            </w:tcBorders>
            <w:shd w:val="clear" w:color="auto" w:fill="FFFFFF" w:themeFill="background1"/>
            <w:hideMark/>
          </w:tcPr>
          <w:p w14:paraId="6326319E" w14:textId="77777777" w:rsidR="00F70066" w:rsidRPr="001D759A" w:rsidRDefault="00F70066" w:rsidP="00744625">
            <w:pPr>
              <w:pStyle w:val="Tabletext"/>
              <w:rPr>
                <w:rFonts w:cs="Calibri"/>
                <w:sz w:val="16"/>
                <w:szCs w:val="16"/>
                <w:lang w:val="en-US" w:eastAsia="en-GB"/>
              </w:rPr>
            </w:pPr>
            <w:r w:rsidRPr="001D759A">
              <w:rPr>
                <w:rFonts w:cs="Calibri"/>
                <w:sz w:val="16"/>
                <w:szCs w:val="16"/>
                <w:lang w:val="en-US" w:eastAsia="en-GB"/>
              </w:rPr>
              <w:t>Tektronix Inc, Beaverton</w:t>
            </w:r>
          </w:p>
        </w:tc>
        <w:tc>
          <w:tcPr>
            <w:tcW w:w="992" w:type="dxa"/>
            <w:tcBorders>
              <w:top w:val="nil"/>
              <w:left w:val="nil"/>
              <w:bottom w:val="single" w:sz="4" w:space="0" w:color="auto"/>
              <w:right w:val="single" w:sz="4" w:space="0" w:color="auto"/>
            </w:tcBorders>
            <w:shd w:val="clear" w:color="auto" w:fill="FFFFFF" w:themeFill="background1"/>
            <w:noWrap/>
            <w:hideMark/>
          </w:tcPr>
          <w:p w14:paraId="4B4A6459"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2017-2019</w:t>
            </w:r>
          </w:p>
        </w:tc>
        <w:tc>
          <w:tcPr>
            <w:tcW w:w="992" w:type="dxa"/>
            <w:tcBorders>
              <w:top w:val="nil"/>
              <w:left w:val="nil"/>
              <w:bottom w:val="single" w:sz="4" w:space="0" w:color="auto"/>
              <w:right w:val="single" w:sz="4" w:space="0" w:color="auto"/>
            </w:tcBorders>
            <w:shd w:val="clear" w:color="auto" w:fill="FFFFFF" w:themeFill="background1"/>
            <w:noWrap/>
            <w:hideMark/>
          </w:tcPr>
          <w:p w14:paraId="7FF87E06"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10 600,00</w:t>
            </w:r>
          </w:p>
        </w:tc>
        <w:tc>
          <w:tcPr>
            <w:tcW w:w="1136" w:type="dxa"/>
            <w:tcBorders>
              <w:top w:val="nil"/>
              <w:left w:val="nil"/>
              <w:bottom w:val="single" w:sz="4" w:space="0" w:color="auto"/>
              <w:right w:val="single" w:sz="4" w:space="0" w:color="auto"/>
            </w:tcBorders>
            <w:shd w:val="clear" w:color="auto" w:fill="FFFFFF" w:themeFill="background1"/>
            <w:noWrap/>
            <w:hideMark/>
          </w:tcPr>
          <w:p w14:paraId="7B07A842"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5 623,80</w:t>
            </w:r>
          </w:p>
        </w:tc>
        <w:tc>
          <w:tcPr>
            <w:tcW w:w="979" w:type="dxa"/>
            <w:tcBorders>
              <w:top w:val="nil"/>
              <w:left w:val="nil"/>
              <w:bottom w:val="single" w:sz="4" w:space="0" w:color="auto"/>
              <w:right w:val="single" w:sz="4" w:space="0" w:color="auto"/>
            </w:tcBorders>
            <w:shd w:val="clear" w:color="auto" w:fill="FFFFFF" w:themeFill="background1"/>
            <w:hideMark/>
          </w:tcPr>
          <w:p w14:paraId="6FCEE462"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16 223,80</w:t>
            </w:r>
          </w:p>
        </w:tc>
      </w:tr>
      <w:tr w:rsidR="00F70066" w:rsidRPr="001D759A" w14:paraId="76133891" w14:textId="77777777" w:rsidTr="0064286C">
        <w:trPr>
          <w:trHeight w:val="289"/>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3363CE4F" w14:textId="77777777" w:rsidR="00F70066" w:rsidRPr="001D759A" w:rsidRDefault="00F70066" w:rsidP="00744625">
            <w:pPr>
              <w:pStyle w:val="Tabletext"/>
              <w:jc w:val="center"/>
              <w:rPr>
                <w:sz w:val="16"/>
                <w:szCs w:val="16"/>
                <w:lang w:val="es-ES"/>
              </w:rPr>
            </w:pPr>
            <w:r w:rsidRPr="001D759A">
              <w:rPr>
                <w:sz w:val="16"/>
                <w:szCs w:val="16"/>
                <w:lang w:val="es-ES" w:eastAsia="en-GB"/>
              </w:rPr>
              <w:t>1200173056</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14:paraId="16EE7D40" w14:textId="77777777" w:rsidR="00F70066" w:rsidRPr="001D759A" w:rsidRDefault="00F70066" w:rsidP="00744625">
            <w:pPr>
              <w:pStyle w:val="Tabletext"/>
              <w:jc w:val="center"/>
              <w:rPr>
                <w:rFonts w:cs="Calibri"/>
                <w:sz w:val="16"/>
                <w:szCs w:val="16"/>
                <w:lang w:val="es-ES" w:eastAsia="en-GB"/>
              </w:rPr>
            </w:pPr>
            <w:r w:rsidRPr="001D759A">
              <w:rPr>
                <w:sz w:val="16"/>
                <w:szCs w:val="16"/>
                <w:lang w:val="es-ES"/>
              </w:rPr>
              <w:t>Estados Unidos</w:t>
            </w:r>
          </w:p>
        </w:tc>
        <w:tc>
          <w:tcPr>
            <w:tcW w:w="2694" w:type="dxa"/>
            <w:tcBorders>
              <w:top w:val="nil"/>
              <w:left w:val="nil"/>
              <w:bottom w:val="single" w:sz="4" w:space="0" w:color="auto"/>
              <w:right w:val="single" w:sz="4" w:space="0" w:color="auto"/>
            </w:tcBorders>
            <w:shd w:val="clear" w:color="auto" w:fill="FFFFFF" w:themeFill="background1"/>
            <w:hideMark/>
          </w:tcPr>
          <w:p w14:paraId="5647BDD7" w14:textId="77777777" w:rsidR="00F70066" w:rsidRPr="001D759A" w:rsidRDefault="00F70066" w:rsidP="00744625">
            <w:pPr>
              <w:pStyle w:val="Tabletext"/>
              <w:rPr>
                <w:rFonts w:cs="Calibri"/>
                <w:sz w:val="16"/>
                <w:szCs w:val="16"/>
                <w:lang w:val="en-US" w:eastAsia="en-GB"/>
              </w:rPr>
            </w:pPr>
            <w:r w:rsidRPr="001D759A">
              <w:rPr>
                <w:rFonts w:cs="Calibri"/>
                <w:sz w:val="16"/>
                <w:szCs w:val="16"/>
                <w:lang w:val="en-US" w:eastAsia="en-GB"/>
              </w:rPr>
              <w:t>Toda Network Corporation, San Francisco</w:t>
            </w:r>
          </w:p>
        </w:tc>
        <w:tc>
          <w:tcPr>
            <w:tcW w:w="992" w:type="dxa"/>
            <w:tcBorders>
              <w:top w:val="nil"/>
              <w:left w:val="nil"/>
              <w:bottom w:val="single" w:sz="4" w:space="0" w:color="auto"/>
              <w:right w:val="single" w:sz="4" w:space="0" w:color="auto"/>
            </w:tcBorders>
            <w:shd w:val="clear" w:color="auto" w:fill="FFFFFF" w:themeFill="background1"/>
            <w:noWrap/>
            <w:hideMark/>
          </w:tcPr>
          <w:p w14:paraId="194AC6C9"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2019</w:t>
            </w:r>
          </w:p>
        </w:tc>
        <w:tc>
          <w:tcPr>
            <w:tcW w:w="992" w:type="dxa"/>
            <w:tcBorders>
              <w:top w:val="nil"/>
              <w:left w:val="nil"/>
              <w:bottom w:val="single" w:sz="4" w:space="0" w:color="auto"/>
              <w:right w:val="single" w:sz="4" w:space="0" w:color="auto"/>
            </w:tcBorders>
            <w:shd w:val="clear" w:color="auto" w:fill="FFFFFF" w:themeFill="background1"/>
            <w:noWrap/>
            <w:hideMark/>
          </w:tcPr>
          <w:p w14:paraId="64B8D327"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5 300,00</w:t>
            </w:r>
          </w:p>
        </w:tc>
        <w:tc>
          <w:tcPr>
            <w:tcW w:w="1136" w:type="dxa"/>
            <w:tcBorders>
              <w:top w:val="nil"/>
              <w:left w:val="nil"/>
              <w:bottom w:val="single" w:sz="4" w:space="0" w:color="auto"/>
              <w:right w:val="single" w:sz="4" w:space="0" w:color="auto"/>
            </w:tcBorders>
            <w:shd w:val="clear" w:color="auto" w:fill="FFFFFF" w:themeFill="background1"/>
            <w:noWrap/>
            <w:hideMark/>
          </w:tcPr>
          <w:p w14:paraId="2189599C"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2 500,05</w:t>
            </w:r>
          </w:p>
        </w:tc>
        <w:tc>
          <w:tcPr>
            <w:tcW w:w="979" w:type="dxa"/>
            <w:tcBorders>
              <w:top w:val="nil"/>
              <w:left w:val="nil"/>
              <w:bottom w:val="single" w:sz="4" w:space="0" w:color="auto"/>
              <w:right w:val="single" w:sz="4" w:space="0" w:color="auto"/>
            </w:tcBorders>
            <w:shd w:val="clear" w:color="auto" w:fill="FFFFFF" w:themeFill="background1"/>
            <w:hideMark/>
          </w:tcPr>
          <w:p w14:paraId="2D3F725E"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7 800,05</w:t>
            </w:r>
          </w:p>
        </w:tc>
      </w:tr>
      <w:tr w:rsidR="00F70066" w:rsidRPr="001D759A" w14:paraId="7E407AB4" w14:textId="77777777" w:rsidTr="0064286C">
        <w:trPr>
          <w:trHeight w:val="289"/>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5A6E0A43" w14:textId="77777777" w:rsidR="00F70066" w:rsidRPr="001D759A" w:rsidRDefault="00F70066" w:rsidP="00744625">
            <w:pPr>
              <w:pStyle w:val="Tabletext"/>
              <w:jc w:val="center"/>
              <w:rPr>
                <w:sz w:val="16"/>
                <w:szCs w:val="16"/>
                <w:lang w:val="es-ES"/>
              </w:rPr>
            </w:pPr>
            <w:r w:rsidRPr="001D759A">
              <w:rPr>
                <w:sz w:val="16"/>
                <w:szCs w:val="16"/>
                <w:lang w:val="es-ES" w:eastAsia="en-GB"/>
              </w:rPr>
              <w:t>4710</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14:paraId="4A8C8248" w14:textId="77777777" w:rsidR="00F70066" w:rsidRPr="001D759A" w:rsidRDefault="00F70066" w:rsidP="00744625">
            <w:pPr>
              <w:pStyle w:val="Tabletext"/>
              <w:jc w:val="center"/>
              <w:rPr>
                <w:rFonts w:cs="Calibri"/>
                <w:sz w:val="16"/>
                <w:szCs w:val="16"/>
                <w:lang w:val="es-ES" w:eastAsia="en-GB"/>
              </w:rPr>
            </w:pPr>
            <w:r w:rsidRPr="001D759A">
              <w:rPr>
                <w:sz w:val="16"/>
                <w:szCs w:val="16"/>
                <w:lang w:val="es-ES"/>
              </w:rPr>
              <w:t>Venezuela</w:t>
            </w:r>
          </w:p>
        </w:tc>
        <w:tc>
          <w:tcPr>
            <w:tcW w:w="2694" w:type="dxa"/>
            <w:tcBorders>
              <w:top w:val="nil"/>
              <w:left w:val="nil"/>
              <w:bottom w:val="single" w:sz="4" w:space="0" w:color="auto"/>
              <w:right w:val="single" w:sz="4" w:space="0" w:color="auto"/>
            </w:tcBorders>
            <w:shd w:val="clear" w:color="auto" w:fill="FFFFFF" w:themeFill="background1"/>
            <w:hideMark/>
          </w:tcPr>
          <w:p w14:paraId="0B6EEB1C" w14:textId="77777777" w:rsidR="00F70066" w:rsidRPr="001D759A" w:rsidRDefault="00F70066" w:rsidP="00744625">
            <w:pPr>
              <w:pStyle w:val="Tabletext"/>
              <w:rPr>
                <w:rFonts w:cs="Calibri"/>
                <w:sz w:val="16"/>
                <w:szCs w:val="16"/>
                <w:lang w:val="en-US" w:eastAsia="en-GB"/>
              </w:rPr>
            </w:pPr>
            <w:r w:rsidRPr="001D759A">
              <w:rPr>
                <w:rFonts w:cs="Calibri"/>
                <w:sz w:val="16"/>
                <w:szCs w:val="16"/>
                <w:lang w:val="en-US" w:eastAsia="en-GB"/>
              </w:rPr>
              <w:t>CANTV, Caracas</w:t>
            </w:r>
          </w:p>
        </w:tc>
        <w:tc>
          <w:tcPr>
            <w:tcW w:w="992" w:type="dxa"/>
            <w:tcBorders>
              <w:top w:val="nil"/>
              <w:left w:val="nil"/>
              <w:bottom w:val="single" w:sz="4" w:space="0" w:color="auto"/>
              <w:right w:val="single" w:sz="4" w:space="0" w:color="auto"/>
            </w:tcBorders>
            <w:shd w:val="clear" w:color="auto" w:fill="FFFFFF" w:themeFill="background1"/>
            <w:noWrap/>
            <w:hideMark/>
          </w:tcPr>
          <w:p w14:paraId="393E5AAD"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2018-2019</w:t>
            </w:r>
          </w:p>
        </w:tc>
        <w:tc>
          <w:tcPr>
            <w:tcW w:w="992" w:type="dxa"/>
            <w:tcBorders>
              <w:top w:val="nil"/>
              <w:left w:val="nil"/>
              <w:bottom w:val="single" w:sz="4" w:space="0" w:color="auto"/>
              <w:right w:val="single" w:sz="4" w:space="0" w:color="auto"/>
            </w:tcBorders>
            <w:shd w:val="clear" w:color="auto" w:fill="FFFFFF" w:themeFill="background1"/>
            <w:noWrap/>
            <w:hideMark/>
          </w:tcPr>
          <w:p w14:paraId="28297FF5"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79 500,00</w:t>
            </w:r>
          </w:p>
        </w:tc>
        <w:tc>
          <w:tcPr>
            <w:tcW w:w="1136" w:type="dxa"/>
            <w:tcBorders>
              <w:top w:val="nil"/>
              <w:left w:val="nil"/>
              <w:bottom w:val="single" w:sz="4" w:space="0" w:color="auto"/>
              <w:right w:val="single" w:sz="4" w:space="0" w:color="auto"/>
            </w:tcBorders>
            <w:shd w:val="clear" w:color="auto" w:fill="FFFFFF" w:themeFill="background1"/>
            <w:noWrap/>
            <w:hideMark/>
          </w:tcPr>
          <w:p w14:paraId="5B1E9D10"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38 163,75</w:t>
            </w:r>
          </w:p>
        </w:tc>
        <w:tc>
          <w:tcPr>
            <w:tcW w:w="979" w:type="dxa"/>
            <w:tcBorders>
              <w:top w:val="nil"/>
              <w:left w:val="nil"/>
              <w:bottom w:val="single" w:sz="4" w:space="0" w:color="auto"/>
              <w:right w:val="single" w:sz="4" w:space="0" w:color="auto"/>
            </w:tcBorders>
            <w:shd w:val="clear" w:color="auto" w:fill="FFFFFF" w:themeFill="background1"/>
            <w:hideMark/>
          </w:tcPr>
          <w:p w14:paraId="407C5E75"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117 663,75</w:t>
            </w:r>
          </w:p>
        </w:tc>
      </w:tr>
      <w:tr w:rsidR="00F70066" w:rsidRPr="001D759A" w14:paraId="04376491" w14:textId="77777777" w:rsidTr="0064286C">
        <w:trPr>
          <w:trHeight w:val="660"/>
          <w:jc w:val="center"/>
        </w:trPr>
        <w:tc>
          <w:tcPr>
            <w:tcW w:w="1124" w:type="dxa"/>
            <w:tcBorders>
              <w:top w:val="nil"/>
              <w:left w:val="single" w:sz="4" w:space="0" w:color="auto"/>
              <w:bottom w:val="single" w:sz="4" w:space="0" w:color="auto"/>
              <w:right w:val="single" w:sz="4" w:space="0" w:color="auto"/>
            </w:tcBorders>
            <w:shd w:val="clear" w:color="auto" w:fill="FFFFFF" w:themeFill="background1"/>
          </w:tcPr>
          <w:p w14:paraId="0AB0412E" w14:textId="77777777" w:rsidR="00F70066" w:rsidRPr="001D759A" w:rsidRDefault="00F70066" w:rsidP="00744625">
            <w:pPr>
              <w:pStyle w:val="Tabletext"/>
              <w:jc w:val="center"/>
              <w:rPr>
                <w:sz w:val="16"/>
                <w:szCs w:val="16"/>
                <w:lang w:val="es-ES"/>
              </w:rPr>
            </w:pPr>
            <w:r w:rsidRPr="001D759A">
              <w:rPr>
                <w:sz w:val="16"/>
                <w:szCs w:val="16"/>
                <w:lang w:val="es-ES" w:eastAsia="en-GB"/>
              </w:rPr>
              <w:t>1200161323</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14:paraId="26C149DE" w14:textId="32B09B6B" w:rsidR="00F70066" w:rsidRPr="001D759A" w:rsidRDefault="00F70066" w:rsidP="00744625">
            <w:pPr>
              <w:pStyle w:val="Tabletext"/>
              <w:jc w:val="center"/>
              <w:rPr>
                <w:rFonts w:cs="Calibri"/>
                <w:sz w:val="16"/>
                <w:szCs w:val="16"/>
                <w:lang w:val="es-ES" w:eastAsia="en-GB"/>
              </w:rPr>
            </w:pPr>
            <w:r w:rsidRPr="001D759A">
              <w:rPr>
                <w:sz w:val="16"/>
                <w:szCs w:val="16"/>
                <w:lang w:val="es-ES"/>
              </w:rPr>
              <w:t xml:space="preserve">Resolución 99 (Rev. Dubái, 2018) </w:t>
            </w:r>
            <w:r w:rsidR="0064286C" w:rsidRPr="0064286C">
              <w:rPr>
                <w:sz w:val="16"/>
                <w:szCs w:val="16"/>
                <w:lang w:val="es-ES"/>
              </w:rPr>
              <w:t>–</w:t>
            </w:r>
            <w:r w:rsidRPr="001D759A">
              <w:rPr>
                <w:sz w:val="16"/>
                <w:szCs w:val="16"/>
                <w:lang w:val="es-ES"/>
              </w:rPr>
              <w:t xml:space="preserve"> Palestina</w:t>
            </w:r>
          </w:p>
        </w:tc>
        <w:tc>
          <w:tcPr>
            <w:tcW w:w="2694" w:type="dxa"/>
            <w:tcBorders>
              <w:top w:val="nil"/>
              <w:left w:val="nil"/>
              <w:bottom w:val="single" w:sz="4" w:space="0" w:color="auto"/>
              <w:right w:val="single" w:sz="4" w:space="0" w:color="auto"/>
            </w:tcBorders>
            <w:shd w:val="clear" w:color="auto" w:fill="FFFFFF" w:themeFill="background1"/>
            <w:hideMark/>
          </w:tcPr>
          <w:p w14:paraId="603BA06A" w14:textId="77777777" w:rsidR="00F70066" w:rsidRPr="001D759A" w:rsidRDefault="00F70066" w:rsidP="00744625">
            <w:pPr>
              <w:pStyle w:val="Tabletext"/>
              <w:rPr>
                <w:rFonts w:cs="Calibri"/>
                <w:sz w:val="16"/>
                <w:szCs w:val="16"/>
                <w:lang w:val="en-US" w:eastAsia="en-GB"/>
              </w:rPr>
            </w:pPr>
            <w:r w:rsidRPr="001D759A">
              <w:rPr>
                <w:rFonts w:cs="Calibri"/>
                <w:sz w:val="16"/>
                <w:szCs w:val="16"/>
                <w:lang w:val="en-US" w:eastAsia="en-GB"/>
              </w:rPr>
              <w:t>Palestine Technical University, Tulkarem</w:t>
            </w:r>
          </w:p>
        </w:tc>
        <w:tc>
          <w:tcPr>
            <w:tcW w:w="992" w:type="dxa"/>
            <w:tcBorders>
              <w:top w:val="nil"/>
              <w:left w:val="nil"/>
              <w:bottom w:val="single" w:sz="4" w:space="0" w:color="auto"/>
              <w:right w:val="single" w:sz="4" w:space="0" w:color="auto"/>
            </w:tcBorders>
            <w:shd w:val="clear" w:color="auto" w:fill="FFFFFF" w:themeFill="background1"/>
            <w:noWrap/>
            <w:hideMark/>
          </w:tcPr>
          <w:p w14:paraId="6A85E962"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2019</w:t>
            </w:r>
          </w:p>
        </w:tc>
        <w:tc>
          <w:tcPr>
            <w:tcW w:w="992" w:type="dxa"/>
            <w:tcBorders>
              <w:top w:val="nil"/>
              <w:left w:val="nil"/>
              <w:bottom w:val="single" w:sz="4" w:space="0" w:color="auto"/>
              <w:right w:val="single" w:sz="4" w:space="0" w:color="auto"/>
            </w:tcBorders>
            <w:shd w:val="clear" w:color="auto" w:fill="FFFFFF" w:themeFill="background1"/>
            <w:noWrap/>
            <w:hideMark/>
          </w:tcPr>
          <w:p w14:paraId="2E573D81"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1 987,50</w:t>
            </w:r>
          </w:p>
        </w:tc>
        <w:tc>
          <w:tcPr>
            <w:tcW w:w="1136" w:type="dxa"/>
            <w:tcBorders>
              <w:top w:val="nil"/>
              <w:left w:val="nil"/>
              <w:bottom w:val="single" w:sz="4" w:space="0" w:color="auto"/>
              <w:right w:val="single" w:sz="4" w:space="0" w:color="auto"/>
            </w:tcBorders>
            <w:shd w:val="clear" w:color="auto" w:fill="FFFFFF" w:themeFill="background1"/>
            <w:noWrap/>
            <w:hideMark/>
          </w:tcPr>
          <w:p w14:paraId="63DF3CBA"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937,50</w:t>
            </w:r>
          </w:p>
        </w:tc>
        <w:tc>
          <w:tcPr>
            <w:tcW w:w="979" w:type="dxa"/>
            <w:tcBorders>
              <w:top w:val="nil"/>
              <w:left w:val="nil"/>
              <w:bottom w:val="single" w:sz="4" w:space="0" w:color="auto"/>
              <w:right w:val="single" w:sz="4" w:space="0" w:color="auto"/>
            </w:tcBorders>
            <w:shd w:val="clear" w:color="auto" w:fill="FFFFFF" w:themeFill="background1"/>
            <w:hideMark/>
          </w:tcPr>
          <w:p w14:paraId="062994A0" w14:textId="77777777" w:rsidR="00F70066" w:rsidRPr="001D759A" w:rsidRDefault="00F70066" w:rsidP="00744625">
            <w:pPr>
              <w:pStyle w:val="Tabletext"/>
              <w:jc w:val="center"/>
              <w:rPr>
                <w:rFonts w:cs="Calibri"/>
                <w:sz w:val="16"/>
                <w:szCs w:val="16"/>
                <w:lang w:val="es-ES" w:eastAsia="en-GB"/>
              </w:rPr>
            </w:pPr>
            <w:r w:rsidRPr="001D759A">
              <w:rPr>
                <w:rFonts w:cs="Calibri"/>
                <w:sz w:val="16"/>
                <w:szCs w:val="16"/>
                <w:lang w:val="es-ES" w:eastAsia="en-GB"/>
              </w:rPr>
              <w:t>2 925,00</w:t>
            </w:r>
          </w:p>
        </w:tc>
      </w:tr>
      <w:tr w:rsidR="00F70066" w:rsidRPr="001D759A" w14:paraId="3671A569" w14:textId="77777777" w:rsidTr="0064286C">
        <w:trPr>
          <w:trHeight w:val="315"/>
          <w:jc w:val="center"/>
        </w:trPr>
        <w:tc>
          <w:tcPr>
            <w:tcW w:w="1124" w:type="dxa"/>
            <w:tcBorders>
              <w:top w:val="single" w:sz="8" w:space="0" w:color="auto"/>
              <w:left w:val="single" w:sz="8" w:space="0" w:color="auto"/>
              <w:bottom w:val="single" w:sz="8" w:space="0" w:color="auto"/>
              <w:right w:val="single" w:sz="8" w:space="0" w:color="000000" w:themeColor="text1"/>
            </w:tcBorders>
          </w:tcPr>
          <w:p w14:paraId="5C19C91E" w14:textId="77777777" w:rsidR="00F70066" w:rsidRPr="001D759A" w:rsidRDefault="00F70066" w:rsidP="00744625">
            <w:pPr>
              <w:pStyle w:val="Tabletext"/>
              <w:jc w:val="center"/>
              <w:rPr>
                <w:rFonts w:cs="Calibri"/>
                <w:b/>
                <w:bCs/>
                <w:i/>
                <w:iCs/>
                <w:color w:val="000000"/>
                <w:sz w:val="16"/>
                <w:szCs w:val="16"/>
                <w:lang w:val="es-ES" w:eastAsia="en-GB"/>
              </w:rPr>
            </w:pPr>
          </w:p>
        </w:tc>
        <w:tc>
          <w:tcPr>
            <w:tcW w:w="4820" w:type="dxa"/>
            <w:gridSpan w:val="3"/>
            <w:tcBorders>
              <w:top w:val="single" w:sz="8" w:space="0" w:color="auto"/>
              <w:left w:val="single" w:sz="8" w:space="0" w:color="auto"/>
              <w:bottom w:val="single" w:sz="8" w:space="0" w:color="auto"/>
              <w:right w:val="single" w:sz="8" w:space="0" w:color="000000" w:themeColor="text1"/>
            </w:tcBorders>
            <w:noWrap/>
            <w:vAlign w:val="center"/>
            <w:hideMark/>
          </w:tcPr>
          <w:p w14:paraId="644577D0" w14:textId="77777777" w:rsidR="00F70066" w:rsidRPr="001D759A" w:rsidRDefault="00F70066" w:rsidP="00744625">
            <w:pPr>
              <w:pStyle w:val="Tabletext"/>
              <w:jc w:val="center"/>
              <w:rPr>
                <w:rFonts w:cs="Calibri"/>
                <w:b/>
                <w:bCs/>
                <w:i/>
                <w:iCs/>
                <w:color w:val="000000"/>
                <w:sz w:val="16"/>
                <w:szCs w:val="16"/>
                <w:lang w:val="es-ES" w:eastAsia="en-GB"/>
              </w:rPr>
            </w:pPr>
            <w:r w:rsidRPr="001D759A">
              <w:rPr>
                <w:rFonts w:cs="Calibri"/>
                <w:b/>
                <w:bCs/>
                <w:i/>
                <w:iCs/>
                <w:color w:val="000000"/>
                <w:sz w:val="16"/>
                <w:szCs w:val="16"/>
                <w:lang w:val="es-ES" w:eastAsia="en-GB"/>
              </w:rPr>
              <w:t>2. Subtotal: Miembros de Sector y otras entidades</w:t>
            </w:r>
          </w:p>
        </w:tc>
        <w:tc>
          <w:tcPr>
            <w:tcW w:w="992" w:type="dxa"/>
            <w:tcBorders>
              <w:top w:val="single" w:sz="8" w:space="0" w:color="auto"/>
              <w:left w:val="nil"/>
              <w:bottom w:val="single" w:sz="8" w:space="0" w:color="auto"/>
              <w:right w:val="single" w:sz="8" w:space="0" w:color="auto"/>
            </w:tcBorders>
            <w:noWrap/>
            <w:vAlign w:val="center"/>
            <w:hideMark/>
          </w:tcPr>
          <w:p w14:paraId="58124053" w14:textId="77777777" w:rsidR="00F70066" w:rsidRPr="001D759A" w:rsidRDefault="00F70066" w:rsidP="00744625">
            <w:pPr>
              <w:pStyle w:val="Tabletext"/>
              <w:jc w:val="center"/>
              <w:rPr>
                <w:rFonts w:cs="Calibri"/>
                <w:b/>
                <w:bCs/>
                <w:sz w:val="16"/>
                <w:szCs w:val="16"/>
                <w:lang w:val="es-ES" w:eastAsia="en-GB"/>
              </w:rPr>
            </w:pPr>
            <w:r w:rsidRPr="001D759A">
              <w:rPr>
                <w:rFonts w:cs="Calibri"/>
                <w:b/>
                <w:bCs/>
                <w:sz w:val="16"/>
                <w:szCs w:val="16"/>
                <w:lang w:val="es-ES" w:eastAsia="en-GB"/>
              </w:rPr>
              <w:t>278 143,51</w:t>
            </w:r>
          </w:p>
        </w:tc>
        <w:tc>
          <w:tcPr>
            <w:tcW w:w="1136" w:type="dxa"/>
            <w:tcBorders>
              <w:top w:val="single" w:sz="8" w:space="0" w:color="auto"/>
              <w:left w:val="nil"/>
              <w:bottom w:val="single" w:sz="8" w:space="0" w:color="auto"/>
              <w:right w:val="single" w:sz="8" w:space="0" w:color="auto"/>
            </w:tcBorders>
            <w:noWrap/>
            <w:vAlign w:val="center"/>
            <w:hideMark/>
          </w:tcPr>
          <w:p w14:paraId="4F3AA138" w14:textId="77777777" w:rsidR="00F70066" w:rsidRPr="001D759A" w:rsidRDefault="00F70066" w:rsidP="00744625">
            <w:pPr>
              <w:pStyle w:val="Tabletext"/>
              <w:jc w:val="center"/>
              <w:rPr>
                <w:rFonts w:cs="Calibri"/>
                <w:b/>
                <w:bCs/>
                <w:sz w:val="16"/>
                <w:szCs w:val="16"/>
                <w:lang w:val="es-ES" w:eastAsia="en-GB"/>
              </w:rPr>
            </w:pPr>
            <w:r w:rsidRPr="001D759A">
              <w:rPr>
                <w:rFonts w:cs="Calibri"/>
                <w:b/>
                <w:bCs/>
                <w:sz w:val="16"/>
                <w:szCs w:val="16"/>
                <w:lang w:val="es-ES" w:eastAsia="en-GB"/>
              </w:rPr>
              <w:t>117 619,94</w:t>
            </w:r>
          </w:p>
        </w:tc>
        <w:tc>
          <w:tcPr>
            <w:tcW w:w="979" w:type="dxa"/>
            <w:tcBorders>
              <w:top w:val="single" w:sz="8" w:space="0" w:color="auto"/>
              <w:left w:val="nil"/>
              <w:bottom w:val="single" w:sz="8" w:space="0" w:color="auto"/>
              <w:right w:val="single" w:sz="8" w:space="0" w:color="auto"/>
            </w:tcBorders>
            <w:noWrap/>
            <w:vAlign w:val="center"/>
            <w:hideMark/>
          </w:tcPr>
          <w:p w14:paraId="1747BEDB" w14:textId="77777777" w:rsidR="00F70066" w:rsidRPr="001D759A" w:rsidRDefault="00F70066" w:rsidP="00744625">
            <w:pPr>
              <w:pStyle w:val="Tabletext"/>
              <w:jc w:val="center"/>
              <w:rPr>
                <w:rFonts w:cs="Calibri"/>
                <w:b/>
                <w:bCs/>
                <w:sz w:val="16"/>
                <w:szCs w:val="16"/>
                <w:lang w:val="es-ES" w:eastAsia="en-GB"/>
              </w:rPr>
            </w:pPr>
            <w:r w:rsidRPr="001D759A">
              <w:rPr>
                <w:rFonts w:cs="Calibri"/>
                <w:b/>
                <w:bCs/>
                <w:sz w:val="16"/>
                <w:szCs w:val="16"/>
                <w:lang w:val="es-ES" w:eastAsia="en-GB"/>
              </w:rPr>
              <w:t>395 763,45</w:t>
            </w:r>
          </w:p>
        </w:tc>
      </w:tr>
      <w:tr w:rsidR="00F70066" w:rsidRPr="001D759A" w14:paraId="6216227E" w14:textId="77777777" w:rsidTr="0064286C">
        <w:trPr>
          <w:trHeight w:val="315"/>
          <w:jc w:val="center"/>
        </w:trPr>
        <w:tc>
          <w:tcPr>
            <w:tcW w:w="1124" w:type="dxa"/>
            <w:tcBorders>
              <w:top w:val="nil"/>
              <w:left w:val="single" w:sz="8" w:space="0" w:color="auto"/>
              <w:bottom w:val="single" w:sz="8" w:space="0" w:color="auto"/>
              <w:right w:val="single" w:sz="4" w:space="0" w:color="auto"/>
            </w:tcBorders>
          </w:tcPr>
          <w:p w14:paraId="40E37C6B" w14:textId="77777777" w:rsidR="00F70066" w:rsidRPr="001D759A" w:rsidRDefault="00F70066" w:rsidP="00744625">
            <w:pPr>
              <w:pStyle w:val="Tabletext"/>
              <w:rPr>
                <w:rFonts w:cs="Calibri"/>
                <w:b/>
                <w:bCs/>
                <w:color w:val="000000"/>
                <w:sz w:val="16"/>
                <w:szCs w:val="16"/>
                <w:lang w:val="es-ES" w:eastAsia="en-GB"/>
              </w:rPr>
            </w:pPr>
          </w:p>
        </w:tc>
        <w:tc>
          <w:tcPr>
            <w:tcW w:w="4820" w:type="dxa"/>
            <w:gridSpan w:val="3"/>
            <w:tcBorders>
              <w:top w:val="nil"/>
              <w:left w:val="single" w:sz="8" w:space="0" w:color="auto"/>
              <w:bottom w:val="single" w:sz="8" w:space="0" w:color="auto"/>
              <w:right w:val="single" w:sz="4" w:space="0" w:color="auto"/>
            </w:tcBorders>
            <w:noWrap/>
            <w:vAlign w:val="center"/>
            <w:hideMark/>
          </w:tcPr>
          <w:p w14:paraId="7228F573" w14:textId="77777777" w:rsidR="00F70066" w:rsidRPr="001D759A" w:rsidRDefault="00F70066" w:rsidP="00744625">
            <w:pPr>
              <w:pStyle w:val="Tabletext"/>
              <w:rPr>
                <w:rFonts w:cs="Calibri"/>
                <w:b/>
                <w:bCs/>
                <w:color w:val="000000"/>
                <w:sz w:val="16"/>
                <w:szCs w:val="16"/>
                <w:lang w:val="es-ES" w:eastAsia="en-GB"/>
              </w:rPr>
            </w:pPr>
            <w:proofErr w:type="gramStart"/>
            <w:r w:rsidRPr="001D759A">
              <w:rPr>
                <w:rFonts w:cs="Calibri"/>
                <w:b/>
                <w:bCs/>
                <w:color w:val="000000"/>
                <w:sz w:val="16"/>
                <w:szCs w:val="16"/>
                <w:lang w:val="es-ES" w:eastAsia="en-GB"/>
              </w:rPr>
              <w:t>Total</w:t>
            </w:r>
            <w:proofErr w:type="gramEnd"/>
            <w:r w:rsidRPr="001D759A">
              <w:rPr>
                <w:rFonts w:cs="Calibri"/>
                <w:b/>
                <w:bCs/>
                <w:color w:val="000000"/>
                <w:sz w:val="16"/>
                <w:szCs w:val="16"/>
                <w:lang w:val="es-ES" w:eastAsia="en-GB"/>
              </w:rPr>
              <w:t xml:space="preserve"> general</w:t>
            </w:r>
          </w:p>
        </w:tc>
        <w:tc>
          <w:tcPr>
            <w:tcW w:w="992" w:type="dxa"/>
            <w:tcBorders>
              <w:top w:val="nil"/>
              <w:left w:val="single" w:sz="8" w:space="0" w:color="auto"/>
              <w:bottom w:val="single" w:sz="8" w:space="0" w:color="auto"/>
              <w:right w:val="single" w:sz="8" w:space="0" w:color="auto"/>
            </w:tcBorders>
            <w:noWrap/>
            <w:vAlign w:val="center"/>
            <w:hideMark/>
          </w:tcPr>
          <w:p w14:paraId="285D4227" w14:textId="77777777" w:rsidR="00F70066" w:rsidRPr="001D759A" w:rsidRDefault="00F70066" w:rsidP="00744625">
            <w:pPr>
              <w:pStyle w:val="Tabletext"/>
              <w:jc w:val="center"/>
              <w:rPr>
                <w:rFonts w:cs="Calibri"/>
                <w:b/>
                <w:bCs/>
                <w:sz w:val="16"/>
                <w:szCs w:val="16"/>
                <w:lang w:val="es-ES" w:eastAsia="en-GB"/>
              </w:rPr>
            </w:pPr>
            <w:r w:rsidRPr="001D759A">
              <w:rPr>
                <w:rFonts w:cs="Calibri"/>
                <w:b/>
                <w:bCs/>
                <w:sz w:val="16"/>
                <w:szCs w:val="16"/>
                <w:lang w:val="es-ES" w:eastAsia="en-GB"/>
              </w:rPr>
              <w:t>278 143,51</w:t>
            </w:r>
          </w:p>
        </w:tc>
        <w:tc>
          <w:tcPr>
            <w:tcW w:w="1136" w:type="dxa"/>
            <w:tcBorders>
              <w:top w:val="nil"/>
              <w:left w:val="nil"/>
              <w:bottom w:val="single" w:sz="8" w:space="0" w:color="auto"/>
              <w:right w:val="single" w:sz="8" w:space="0" w:color="auto"/>
            </w:tcBorders>
            <w:noWrap/>
            <w:vAlign w:val="center"/>
            <w:hideMark/>
          </w:tcPr>
          <w:p w14:paraId="1CBF91EF" w14:textId="77777777" w:rsidR="00F70066" w:rsidRPr="001D759A" w:rsidRDefault="00F70066" w:rsidP="00744625">
            <w:pPr>
              <w:pStyle w:val="Tabletext"/>
              <w:jc w:val="center"/>
              <w:rPr>
                <w:rFonts w:cs="Calibri"/>
                <w:b/>
                <w:bCs/>
                <w:sz w:val="16"/>
                <w:szCs w:val="16"/>
                <w:lang w:val="es-ES" w:eastAsia="en-GB"/>
              </w:rPr>
            </w:pPr>
            <w:r w:rsidRPr="001D759A">
              <w:rPr>
                <w:rFonts w:cs="Calibri"/>
                <w:b/>
                <w:bCs/>
                <w:sz w:val="16"/>
                <w:szCs w:val="16"/>
                <w:lang w:val="es-ES" w:eastAsia="en-GB"/>
              </w:rPr>
              <w:t>288 672,09</w:t>
            </w:r>
          </w:p>
        </w:tc>
        <w:tc>
          <w:tcPr>
            <w:tcW w:w="979" w:type="dxa"/>
            <w:tcBorders>
              <w:top w:val="nil"/>
              <w:left w:val="nil"/>
              <w:bottom w:val="single" w:sz="8" w:space="0" w:color="auto"/>
              <w:right w:val="single" w:sz="8" w:space="0" w:color="auto"/>
            </w:tcBorders>
            <w:noWrap/>
            <w:vAlign w:val="center"/>
            <w:hideMark/>
          </w:tcPr>
          <w:p w14:paraId="7C4E4767" w14:textId="77777777" w:rsidR="00F70066" w:rsidRPr="001D759A" w:rsidRDefault="00F70066" w:rsidP="00744625">
            <w:pPr>
              <w:pStyle w:val="Tabletext"/>
              <w:jc w:val="center"/>
              <w:rPr>
                <w:rFonts w:cs="Calibri"/>
                <w:b/>
                <w:bCs/>
                <w:sz w:val="16"/>
                <w:szCs w:val="16"/>
                <w:lang w:val="es-ES" w:eastAsia="en-GB"/>
              </w:rPr>
            </w:pPr>
            <w:r w:rsidRPr="001D759A">
              <w:rPr>
                <w:rFonts w:cs="Calibri"/>
                <w:b/>
                <w:bCs/>
                <w:sz w:val="16"/>
                <w:szCs w:val="16"/>
                <w:lang w:val="es-ES" w:eastAsia="en-GB"/>
              </w:rPr>
              <w:t>566 815,60</w:t>
            </w:r>
          </w:p>
        </w:tc>
      </w:tr>
    </w:tbl>
    <w:p w14:paraId="3D6DD542" w14:textId="17F67FA2" w:rsidR="00F92BED" w:rsidRDefault="004C2C65" w:rsidP="004C2C65">
      <w:pPr>
        <w:spacing w:before="840"/>
        <w:jc w:val="center"/>
        <w:rPr>
          <w:lang w:val="en-GB"/>
        </w:rPr>
      </w:pPr>
      <w:r>
        <w:rPr>
          <w:lang w:val="en-GB"/>
        </w:rPr>
        <w:t>*********</w:t>
      </w:r>
    </w:p>
    <w:p w14:paraId="668B1FA6" w14:textId="009C5E2C" w:rsidR="004C2C65" w:rsidRDefault="004C2C65">
      <w:pPr>
        <w:tabs>
          <w:tab w:val="clear" w:pos="567"/>
          <w:tab w:val="clear" w:pos="1134"/>
          <w:tab w:val="clear" w:pos="1701"/>
          <w:tab w:val="clear" w:pos="2268"/>
          <w:tab w:val="clear" w:pos="2835"/>
        </w:tabs>
        <w:overflowPunct/>
        <w:autoSpaceDE/>
        <w:autoSpaceDN/>
        <w:adjustRightInd/>
        <w:spacing w:before="0"/>
        <w:textAlignment w:val="auto"/>
        <w:rPr>
          <w:lang w:val="es-ES"/>
        </w:rPr>
      </w:pPr>
      <w:r>
        <w:rPr>
          <w:lang w:val="es-ES"/>
        </w:rPr>
        <w:br w:type="page"/>
      </w:r>
    </w:p>
    <w:p w14:paraId="6606A7CD" w14:textId="1D83D85E" w:rsidR="004C2C65" w:rsidRPr="00EC2521" w:rsidRDefault="004C2C65" w:rsidP="004C2C65">
      <w:pPr>
        <w:pStyle w:val="AnnexNo"/>
        <w:rPr>
          <w:lang w:val="es-ES"/>
        </w:rPr>
      </w:pPr>
      <w:r w:rsidRPr="00EC2521">
        <w:rPr>
          <w:lang w:val="es-ES"/>
        </w:rPr>
        <w:lastRenderedPageBreak/>
        <w:t xml:space="preserve">ANEXO </w:t>
      </w:r>
      <w:bookmarkStart w:id="5" w:name="ANEXO_C"/>
      <w:bookmarkEnd w:id="5"/>
      <w:r w:rsidR="000436D6">
        <w:rPr>
          <w:lang w:val="es-ES"/>
        </w:rPr>
        <w:t>C</w:t>
      </w:r>
    </w:p>
    <w:p w14:paraId="28605B0F" w14:textId="085EF668" w:rsidR="004C2C65" w:rsidRPr="00EC2521" w:rsidRDefault="004C2C65" w:rsidP="004C2C65">
      <w:pPr>
        <w:pStyle w:val="AnnexNo"/>
        <w:rPr>
          <w:lang w:val="es-ES"/>
        </w:rPr>
      </w:pPr>
      <w:r w:rsidRPr="00EC2521">
        <w:rPr>
          <w:lang w:val="es-ES"/>
        </w:rPr>
        <w:t xml:space="preserve">PROYECTO DE </w:t>
      </w:r>
      <w:r w:rsidR="003837AB">
        <w:rPr>
          <w:lang w:val="es-ES"/>
        </w:rPr>
        <w:t xml:space="preserve">nuevo </w:t>
      </w:r>
      <w:r w:rsidRPr="00EC2521">
        <w:rPr>
          <w:lang w:val="es-ES"/>
        </w:rPr>
        <w:t>ACUERDO […]</w:t>
      </w:r>
    </w:p>
    <w:p w14:paraId="13922465" w14:textId="77777777" w:rsidR="004C2C65" w:rsidRPr="00EC2521" w:rsidRDefault="004C2C65" w:rsidP="004C2C65">
      <w:pPr>
        <w:pStyle w:val="Annextitle"/>
        <w:rPr>
          <w:rFonts w:asciiTheme="minorHAnsi" w:hAnsiTheme="minorHAnsi"/>
          <w:lang w:val="es-ES"/>
        </w:rPr>
      </w:pPr>
      <w:bookmarkStart w:id="6" w:name="OLE_LINK9"/>
      <w:bookmarkStart w:id="7" w:name="OLE_LINK10"/>
      <w:r w:rsidRPr="00EC2521">
        <w:rPr>
          <w:lang w:val="es-ES"/>
        </w:rPr>
        <w:t>Pasivo del seguro médico posterior a la separación del servicio (ASHI)</w:t>
      </w:r>
    </w:p>
    <w:bookmarkEnd w:id="6"/>
    <w:bookmarkEnd w:id="7"/>
    <w:p w14:paraId="688AF747" w14:textId="2959F1CE" w:rsidR="004C2C65" w:rsidRPr="00EC2521" w:rsidRDefault="004C2C65" w:rsidP="004C2C65">
      <w:pPr>
        <w:pStyle w:val="Normalaftertitle"/>
        <w:rPr>
          <w:lang w:val="es-ES"/>
        </w:rPr>
      </w:pPr>
      <w:r w:rsidRPr="00EC2521">
        <w:rPr>
          <w:lang w:val="es-ES"/>
        </w:rPr>
        <w:t xml:space="preserve">El Consejo de </w:t>
      </w:r>
      <w:r w:rsidR="00103D78">
        <w:rPr>
          <w:lang w:val="es-ES"/>
        </w:rPr>
        <w:t>la UIT</w:t>
      </w:r>
      <w:r w:rsidRPr="00EC2521">
        <w:rPr>
          <w:lang w:val="es-ES"/>
        </w:rPr>
        <w:t>,</w:t>
      </w:r>
    </w:p>
    <w:p w14:paraId="363D4EA9" w14:textId="77777777" w:rsidR="004C2C65" w:rsidRPr="00EC2521" w:rsidRDefault="004C2C65" w:rsidP="004C2C65">
      <w:pPr>
        <w:pStyle w:val="Call"/>
        <w:rPr>
          <w:lang w:val="es-ES"/>
        </w:rPr>
      </w:pPr>
      <w:r w:rsidRPr="00EC2521">
        <w:rPr>
          <w:lang w:val="es-ES"/>
        </w:rPr>
        <w:t>habiendo examinado</w:t>
      </w:r>
    </w:p>
    <w:p w14:paraId="68FF8A80" w14:textId="77777777" w:rsidR="004C2C65" w:rsidRPr="0039549C" w:rsidRDefault="004C2C65" w:rsidP="004C2C65">
      <w:pPr>
        <w:jc w:val="both"/>
        <w:rPr>
          <w:lang w:val="es-ES"/>
        </w:rPr>
      </w:pPr>
      <w:r w:rsidRPr="0039549C">
        <w:rPr>
          <w:lang w:val="es-ES"/>
        </w:rPr>
        <w:t xml:space="preserve">el Documento </w:t>
      </w:r>
      <w:hyperlink r:id="rId169" w:history="1">
        <w:r w:rsidRPr="0039549C">
          <w:rPr>
            <w:rStyle w:val="Hyperlink"/>
            <w:rFonts w:eastAsia="Times New Roman" w:cs="Times New Roman"/>
            <w:szCs w:val="20"/>
            <w:lang w:val="es-ES"/>
          </w:rPr>
          <w:t>C26/46</w:t>
        </w:r>
      </w:hyperlink>
      <w:r w:rsidRPr="0039549C">
        <w:rPr>
          <w:lang w:val="es-ES"/>
        </w:rPr>
        <w:t>,</w:t>
      </w:r>
      <w:hyperlink r:id="rId170" w:history="1"/>
    </w:p>
    <w:p w14:paraId="2E7139ED" w14:textId="77777777" w:rsidR="004C2C65" w:rsidRPr="0039549C" w:rsidRDefault="004C2C65" w:rsidP="004C2C65">
      <w:pPr>
        <w:pStyle w:val="Call"/>
        <w:rPr>
          <w:lang w:val="es-ES"/>
        </w:rPr>
      </w:pPr>
      <w:r w:rsidRPr="0039549C">
        <w:rPr>
          <w:lang w:val="es-ES"/>
        </w:rPr>
        <w:t>considerando</w:t>
      </w:r>
    </w:p>
    <w:p w14:paraId="48C80261" w14:textId="28AACD1A" w:rsidR="004C2C65" w:rsidRPr="0039549C" w:rsidRDefault="004C2C65" w:rsidP="004C2C65">
      <w:pPr>
        <w:jc w:val="both"/>
        <w:rPr>
          <w:rFonts w:asciiTheme="minorHAnsi" w:hAnsiTheme="minorHAnsi"/>
          <w:szCs w:val="24"/>
          <w:lang w:val="es-ES"/>
        </w:rPr>
      </w:pPr>
      <w:r w:rsidRPr="0039549C">
        <w:rPr>
          <w:lang w:val="es-ES"/>
        </w:rPr>
        <w:t xml:space="preserve">la Decisión 5 (Rev. Bucarest, 2022) de la Conferencia de Plenipotenciarios, tras considerar detenidamente las recomendaciones formuladas por el Grupo de Trabajo del ASHI de las </w:t>
      </w:r>
      <w:r w:rsidR="000E31A1">
        <w:rPr>
          <w:lang w:val="es-ES"/>
        </w:rPr>
        <w:t>Naciones Unidas</w:t>
      </w:r>
      <w:r w:rsidRPr="0039549C">
        <w:rPr>
          <w:lang w:val="es-ES"/>
        </w:rPr>
        <w:t xml:space="preserve"> (creado en virtud de la Resolución A/RES/68/244 de la Asamblea General) y conforme a las recomendaciones formuladas por la DCI y el CAIG,</w:t>
      </w:r>
    </w:p>
    <w:p w14:paraId="3C100F71" w14:textId="77777777" w:rsidR="004C2C65" w:rsidRPr="0039549C" w:rsidRDefault="004C2C65" w:rsidP="004C2C65">
      <w:pPr>
        <w:pStyle w:val="Call"/>
        <w:rPr>
          <w:lang w:val="es-ES"/>
        </w:rPr>
      </w:pPr>
      <w:r w:rsidRPr="0039549C">
        <w:rPr>
          <w:lang w:val="es-ES"/>
        </w:rPr>
        <w:t>teniendo en cuenta</w:t>
      </w:r>
    </w:p>
    <w:p w14:paraId="4F2D3179" w14:textId="77777777" w:rsidR="004C2C65" w:rsidRPr="0039549C" w:rsidRDefault="004C2C65" w:rsidP="004C2C65">
      <w:pPr>
        <w:jc w:val="both"/>
        <w:rPr>
          <w:lang w:val="es-ES"/>
        </w:rPr>
      </w:pPr>
      <w:r w:rsidRPr="0039549C">
        <w:rPr>
          <w:lang w:val="es-ES"/>
        </w:rPr>
        <w:t xml:space="preserve">el Artículo 25 del </w:t>
      </w:r>
      <w:hyperlink r:id="rId171" w:history="1">
        <w:r w:rsidRPr="0039549C">
          <w:rPr>
            <w:rStyle w:val="Hyperlink"/>
            <w:rFonts w:eastAsia="Times New Roman" w:cs="Times New Roman"/>
            <w:szCs w:val="20"/>
            <w:lang w:val="es-ES"/>
          </w:rPr>
          <w:t>Reglamento Financiero</w:t>
        </w:r>
      </w:hyperlink>
      <w:r w:rsidRPr="0039549C">
        <w:rPr>
          <w:lang w:val="es-ES"/>
        </w:rPr>
        <w:t>,</w:t>
      </w:r>
      <w:hyperlink r:id="rId172" w:history="1"/>
    </w:p>
    <w:p w14:paraId="13CFDD7B" w14:textId="77777777" w:rsidR="004C2C65" w:rsidRPr="0039549C" w:rsidRDefault="004C2C65" w:rsidP="004C2C65">
      <w:pPr>
        <w:pStyle w:val="Call"/>
        <w:rPr>
          <w:lang w:val="es-ES"/>
        </w:rPr>
      </w:pPr>
      <w:r w:rsidRPr="0039549C">
        <w:rPr>
          <w:lang w:val="es-ES"/>
        </w:rPr>
        <w:t>decide</w:t>
      </w:r>
    </w:p>
    <w:p w14:paraId="28706817" w14:textId="4764A5B3" w:rsidR="004C2C65" w:rsidRPr="0039549C" w:rsidRDefault="005E58DD" w:rsidP="004C2C65">
      <w:pPr>
        <w:jc w:val="both"/>
        <w:rPr>
          <w:rFonts w:asciiTheme="minorHAnsi" w:hAnsiTheme="minorHAnsi"/>
          <w:lang w:val="es-ES"/>
        </w:rPr>
      </w:pPr>
      <w:r>
        <w:rPr>
          <w:lang w:val="es-ES"/>
        </w:rPr>
        <w:t>aplicar</w:t>
      </w:r>
      <w:r w:rsidR="004C2C65" w:rsidRPr="0039549C">
        <w:rPr>
          <w:lang w:val="es-ES"/>
        </w:rPr>
        <w:t xml:space="preserve"> una medida de financiación adicional en virtud de la cual se integra en el presupuesto el 5,35</w:t>
      </w:r>
      <w:r w:rsidR="004C2C65" w:rsidRPr="00EC2521">
        <w:rPr>
          <w:lang w:val="es-ES"/>
        </w:rPr>
        <w:t> %</w:t>
      </w:r>
      <w:r w:rsidR="004C2C65" w:rsidRPr="0039549C">
        <w:rPr>
          <w:lang w:val="es-ES"/>
        </w:rPr>
        <w:t xml:space="preserve"> del sueldo base del nuevo personal contratado a partir del 1</w:t>
      </w:r>
      <w:r w:rsidR="004C2C65" w:rsidRPr="00EC2521">
        <w:rPr>
          <w:lang w:val="es-ES"/>
        </w:rPr>
        <w:t> </w:t>
      </w:r>
      <w:r w:rsidR="004C2C65" w:rsidRPr="0039549C">
        <w:rPr>
          <w:lang w:val="es-ES"/>
        </w:rPr>
        <w:t>de</w:t>
      </w:r>
      <w:r w:rsidR="004C2C65" w:rsidRPr="00EC2521">
        <w:rPr>
          <w:lang w:val="es-ES"/>
        </w:rPr>
        <w:t> </w:t>
      </w:r>
      <w:r w:rsidR="004C2C65" w:rsidRPr="0039549C">
        <w:rPr>
          <w:lang w:val="es-ES"/>
        </w:rPr>
        <w:t xml:space="preserve">enero de 2026 en adelante, </w:t>
      </w:r>
    </w:p>
    <w:p w14:paraId="7B55FADE" w14:textId="77777777" w:rsidR="004C2C65" w:rsidRPr="0039549C" w:rsidRDefault="004C2C65" w:rsidP="004C2C65">
      <w:pPr>
        <w:pStyle w:val="Call"/>
        <w:rPr>
          <w:lang w:val="es-ES"/>
        </w:rPr>
      </w:pPr>
      <w:r w:rsidRPr="0039549C">
        <w:rPr>
          <w:lang w:val="es-ES"/>
        </w:rPr>
        <w:t>encarga al Secretario General</w:t>
      </w:r>
    </w:p>
    <w:p w14:paraId="2C85FF8D" w14:textId="32A0EE03" w:rsidR="004C2C65" w:rsidRDefault="004C2C65" w:rsidP="004C2C65">
      <w:pPr>
        <w:jc w:val="both"/>
        <w:rPr>
          <w:lang w:val="es-ES"/>
        </w:rPr>
      </w:pPr>
      <w:r w:rsidRPr="0039549C">
        <w:rPr>
          <w:lang w:val="es-ES"/>
        </w:rPr>
        <w:t>que siga informando anualmente al Consejo sobre la reposición del fondo ASHI.</w:t>
      </w:r>
    </w:p>
    <w:p w14:paraId="62D7C21A" w14:textId="5858DD2B" w:rsidR="004C2C65" w:rsidRPr="00181D88" w:rsidRDefault="004C2C65" w:rsidP="004C2C65">
      <w:pPr>
        <w:spacing w:before="840"/>
        <w:jc w:val="center"/>
        <w:rPr>
          <w:lang w:val="es-ES"/>
        </w:rPr>
      </w:pPr>
      <w:r w:rsidRPr="00181D88">
        <w:rPr>
          <w:lang w:val="es-ES"/>
        </w:rPr>
        <w:t>***************</w:t>
      </w:r>
    </w:p>
    <w:p w14:paraId="42912E44" w14:textId="188220A6" w:rsidR="004C2C65" w:rsidRDefault="004C2C65">
      <w:pPr>
        <w:tabs>
          <w:tab w:val="clear" w:pos="567"/>
          <w:tab w:val="clear" w:pos="1134"/>
          <w:tab w:val="clear" w:pos="1701"/>
          <w:tab w:val="clear" w:pos="2268"/>
          <w:tab w:val="clear" w:pos="2835"/>
        </w:tabs>
        <w:overflowPunct/>
        <w:autoSpaceDE/>
        <w:autoSpaceDN/>
        <w:adjustRightInd/>
        <w:spacing w:before="0"/>
        <w:textAlignment w:val="auto"/>
        <w:rPr>
          <w:color w:val="000000"/>
          <w:lang w:val="es-ES"/>
        </w:rPr>
      </w:pPr>
      <w:r>
        <w:rPr>
          <w:color w:val="000000"/>
          <w:lang w:val="es-ES"/>
        </w:rPr>
        <w:br w:type="page"/>
      </w:r>
    </w:p>
    <w:p w14:paraId="738D6009" w14:textId="1786CF9E" w:rsidR="003837AB" w:rsidRDefault="004C2C65" w:rsidP="003837AB">
      <w:pPr>
        <w:pStyle w:val="AnnexNo"/>
        <w:rPr>
          <w:rFonts w:eastAsia="SimSun"/>
          <w:lang w:val="es-ES"/>
        </w:rPr>
      </w:pPr>
      <w:r w:rsidRPr="00B979D4">
        <w:rPr>
          <w:rFonts w:eastAsia="SimSun"/>
          <w:lang w:val="es-ES"/>
        </w:rPr>
        <w:lastRenderedPageBreak/>
        <w:t>ANE</w:t>
      </w:r>
      <w:bookmarkStart w:id="8" w:name="ANEXO_D"/>
      <w:bookmarkEnd w:id="8"/>
      <w:r w:rsidRPr="00B979D4">
        <w:rPr>
          <w:rFonts w:eastAsia="SimSun"/>
          <w:lang w:val="es-ES"/>
        </w:rPr>
        <w:t>XO</w:t>
      </w:r>
      <w:r>
        <w:rPr>
          <w:rFonts w:eastAsia="SimSun"/>
          <w:lang w:val="es-ES"/>
        </w:rPr>
        <w:t xml:space="preserve"> </w:t>
      </w:r>
      <w:r w:rsidR="000436D6">
        <w:rPr>
          <w:rFonts w:eastAsia="SimSun"/>
          <w:lang w:val="es-ES"/>
        </w:rPr>
        <w:t>D</w:t>
      </w:r>
    </w:p>
    <w:p w14:paraId="7693C19F" w14:textId="1432A17C" w:rsidR="003837AB" w:rsidRDefault="003837AB" w:rsidP="005936CB">
      <w:pPr>
        <w:pStyle w:val="ResNo"/>
        <w:rPr>
          <w:rFonts w:eastAsia="SimSun"/>
          <w:lang w:val="es-ES"/>
        </w:rPr>
      </w:pPr>
      <w:r w:rsidRPr="005936CB">
        <w:rPr>
          <w:lang w:val="es-ES"/>
        </w:rPr>
        <w:t>PROYECTO</w:t>
      </w:r>
      <w:r>
        <w:rPr>
          <w:rFonts w:eastAsia="SimSun"/>
          <w:lang w:val="es-ES"/>
        </w:rPr>
        <w:t xml:space="preserve"> DE NUEVA RESOLUCIÓN </w:t>
      </w:r>
      <w:r w:rsidRPr="00B979D4">
        <w:rPr>
          <w:rFonts w:eastAsia="SimSun"/>
          <w:lang w:val="es-ES"/>
        </w:rPr>
        <w:t>[…]</w:t>
      </w:r>
    </w:p>
    <w:p w14:paraId="01B1ECA5" w14:textId="77777777" w:rsidR="003837AB" w:rsidRPr="00885C21" w:rsidRDefault="003837AB" w:rsidP="003837AB">
      <w:pPr>
        <w:pStyle w:val="Restitle"/>
        <w:rPr>
          <w:lang w:val="es-ES"/>
        </w:rPr>
      </w:pPr>
      <w:r w:rsidRPr="00885C21">
        <w:rPr>
          <w:lang w:val="es-ES"/>
        </w:rPr>
        <w:t>Asignación de ahorros logrados en la ejecución del presupuesto de 2025</w:t>
      </w:r>
    </w:p>
    <w:p w14:paraId="21D0351C" w14:textId="24655536" w:rsidR="003837AB" w:rsidRPr="00885C21" w:rsidRDefault="003837AB" w:rsidP="003837AB">
      <w:pPr>
        <w:pStyle w:val="Normalaftertitle"/>
        <w:rPr>
          <w:lang w:val="es-ES"/>
        </w:rPr>
      </w:pPr>
      <w:r w:rsidRPr="00885C21">
        <w:rPr>
          <w:lang w:val="es-ES"/>
        </w:rPr>
        <w:t xml:space="preserve">El Consejo de </w:t>
      </w:r>
      <w:r w:rsidR="00103D78">
        <w:rPr>
          <w:lang w:val="es-ES"/>
        </w:rPr>
        <w:t>la UIT</w:t>
      </w:r>
      <w:r w:rsidRPr="00885C21">
        <w:rPr>
          <w:lang w:val="es-ES"/>
        </w:rPr>
        <w:t>,</w:t>
      </w:r>
    </w:p>
    <w:p w14:paraId="4B922B5F" w14:textId="77777777" w:rsidR="003837AB" w:rsidRPr="00885C21" w:rsidRDefault="003837AB" w:rsidP="003837AB">
      <w:pPr>
        <w:pStyle w:val="Call"/>
        <w:rPr>
          <w:lang w:val="es-ES"/>
        </w:rPr>
      </w:pPr>
      <w:r w:rsidRPr="00885C21">
        <w:rPr>
          <w:lang w:val="es-ES"/>
        </w:rPr>
        <w:t>habiendo considerado</w:t>
      </w:r>
    </w:p>
    <w:p w14:paraId="4196AED5" w14:textId="6DBE9CAA" w:rsidR="003837AB" w:rsidRPr="00885C21" w:rsidRDefault="003837AB" w:rsidP="003837AB">
      <w:pPr>
        <w:rPr>
          <w:lang w:val="es-ES"/>
        </w:rPr>
      </w:pPr>
      <w:r w:rsidRPr="00885C21">
        <w:rPr>
          <w:i/>
          <w:iCs/>
          <w:lang w:val="es-ES"/>
        </w:rPr>
        <w:t>a)</w:t>
      </w:r>
      <w:r w:rsidRPr="00885C21">
        <w:rPr>
          <w:lang w:val="es-ES"/>
        </w:rPr>
        <w:tab/>
        <w:t>los ahorros logrados en la ejecución del presupuesto de 2025, que ascienden a</w:t>
      </w:r>
      <w:r w:rsidR="00A44F55">
        <w:rPr>
          <w:lang w:val="es-ES"/>
        </w:rPr>
        <w:t> </w:t>
      </w:r>
      <w:r w:rsidRPr="00885C21">
        <w:rPr>
          <w:lang w:val="es-ES"/>
        </w:rPr>
        <w:t>11,44</w:t>
      </w:r>
      <w:r w:rsidR="005457EE">
        <w:rPr>
          <w:lang w:val="es-ES"/>
        </w:rPr>
        <w:t> millones CHF</w:t>
      </w:r>
      <w:r w:rsidRPr="00885C21">
        <w:rPr>
          <w:lang w:val="es-ES"/>
        </w:rPr>
        <w:t>;</w:t>
      </w:r>
    </w:p>
    <w:p w14:paraId="4CBDFA9E" w14:textId="77777777" w:rsidR="003837AB" w:rsidRPr="002113BD" w:rsidRDefault="003837AB" w:rsidP="003837AB">
      <w:pPr>
        <w:rPr>
          <w:lang w:val="es-ES"/>
        </w:rPr>
      </w:pPr>
      <w:r w:rsidRPr="00885C21">
        <w:rPr>
          <w:i/>
          <w:iCs/>
          <w:lang w:val="es-ES"/>
        </w:rPr>
        <w:t>b)</w:t>
      </w:r>
      <w:r w:rsidRPr="00885C21">
        <w:rPr>
          <w:lang w:val="es-ES"/>
        </w:rPr>
        <w:tab/>
        <w:t xml:space="preserve">el Documento </w:t>
      </w:r>
      <w:hyperlink r:id="rId173" w:history="1">
        <w:r w:rsidRPr="003E44F8">
          <w:rPr>
            <w:rStyle w:val="Hyperlink"/>
            <w:rFonts w:cs="Calibri"/>
            <w:szCs w:val="24"/>
            <w:lang w:val="es-ES"/>
          </w:rPr>
          <w:t>C26/42(Rev.2)</w:t>
        </w:r>
      </w:hyperlink>
      <w:r w:rsidRPr="002113BD">
        <w:rPr>
          <w:lang w:val="es-ES"/>
        </w:rPr>
        <w:t>,</w:t>
      </w:r>
    </w:p>
    <w:p w14:paraId="2F44660D" w14:textId="77777777" w:rsidR="003837AB" w:rsidRPr="00885C21" w:rsidRDefault="003837AB" w:rsidP="003837AB">
      <w:pPr>
        <w:pStyle w:val="Call"/>
        <w:rPr>
          <w:lang w:val="es-ES"/>
        </w:rPr>
      </w:pPr>
      <w:r w:rsidRPr="00885C21">
        <w:rPr>
          <w:lang w:val="es-ES"/>
        </w:rPr>
        <w:t>resuelve</w:t>
      </w:r>
    </w:p>
    <w:p w14:paraId="6E0BD4B7" w14:textId="77777777" w:rsidR="003837AB" w:rsidRPr="00885C21" w:rsidRDefault="003837AB" w:rsidP="003837AB">
      <w:pPr>
        <w:rPr>
          <w:lang w:val="es-ES"/>
        </w:rPr>
      </w:pPr>
      <w:r w:rsidRPr="00885C21">
        <w:rPr>
          <w:lang w:val="es-ES"/>
        </w:rPr>
        <w:t>1</w:t>
      </w:r>
      <w:r w:rsidRPr="00885C21">
        <w:rPr>
          <w:lang w:val="es-ES"/>
        </w:rPr>
        <w:tab/>
        <w:t>repartir los ahorros de la siguiente manera:</w:t>
      </w:r>
    </w:p>
    <w:p w14:paraId="56EC6212" w14:textId="3A50D1B0" w:rsidR="003837AB" w:rsidRPr="00885C21" w:rsidRDefault="003837AB" w:rsidP="003837AB">
      <w:pPr>
        <w:pStyle w:val="enumlev1"/>
        <w:rPr>
          <w:lang w:val="es-ES"/>
        </w:rPr>
      </w:pPr>
      <w:r w:rsidRPr="00885C21">
        <w:rPr>
          <w:lang w:val="es-ES"/>
        </w:rPr>
        <w:t>–</w:t>
      </w:r>
      <w:r w:rsidRPr="00885C21">
        <w:rPr>
          <w:lang w:val="es-ES"/>
        </w:rPr>
        <w:tab/>
        <w:t>financiación de la iniciativa previamente aprobada por el Consejo, el Programa de Jóvenes Profesionales (1,2</w:t>
      </w:r>
      <w:r w:rsidR="005457EE">
        <w:rPr>
          <w:lang w:val="es-ES"/>
        </w:rPr>
        <w:t> millones CHF</w:t>
      </w:r>
      <w:r w:rsidRPr="00885C21">
        <w:rPr>
          <w:lang w:val="es-ES"/>
        </w:rPr>
        <w:t>), y</w:t>
      </w:r>
    </w:p>
    <w:p w14:paraId="457B3477" w14:textId="77777777" w:rsidR="003837AB" w:rsidRPr="00885C21" w:rsidRDefault="003837AB" w:rsidP="003837AB">
      <w:pPr>
        <w:pStyle w:val="enumlev1"/>
        <w:rPr>
          <w:lang w:val="es-ES"/>
        </w:rPr>
      </w:pPr>
      <w:r w:rsidRPr="00885C21">
        <w:rPr>
          <w:lang w:val="es-ES"/>
        </w:rPr>
        <w:t>–</w:t>
      </w:r>
      <w:r w:rsidRPr="00885C21">
        <w:rPr>
          <w:lang w:val="es-ES"/>
        </w:rPr>
        <w:tab/>
        <w:t>otras asignaciones propuestas:</w:t>
      </w:r>
    </w:p>
    <w:p w14:paraId="22989099" w14:textId="2EC3C4E7" w:rsidR="003837AB" w:rsidRPr="00885C21" w:rsidRDefault="003837AB" w:rsidP="003837AB">
      <w:pPr>
        <w:pStyle w:val="enumlev2"/>
        <w:rPr>
          <w:lang w:val="es-ES"/>
        </w:rPr>
      </w:pPr>
      <w:r w:rsidRPr="00885C21">
        <w:rPr>
          <w:lang w:val="es-ES" w:eastAsia="en-GB"/>
        </w:rPr>
        <w:t>•</w:t>
      </w:r>
      <w:r w:rsidRPr="00885C21">
        <w:rPr>
          <w:lang w:val="es-ES" w:eastAsia="en-GB"/>
        </w:rPr>
        <w:tab/>
      </w:r>
      <w:r w:rsidRPr="00885C21">
        <w:rPr>
          <w:lang w:val="es-ES"/>
        </w:rPr>
        <w:t>ceses acordados (2,5</w:t>
      </w:r>
      <w:r w:rsidR="005457EE">
        <w:rPr>
          <w:lang w:val="es-ES"/>
        </w:rPr>
        <w:t> millones CHF</w:t>
      </w:r>
      <w:r w:rsidRPr="00885C21">
        <w:rPr>
          <w:lang w:val="es-ES"/>
        </w:rPr>
        <w:t>);</w:t>
      </w:r>
    </w:p>
    <w:p w14:paraId="51F00F7A" w14:textId="2D28397B" w:rsidR="003837AB" w:rsidRPr="00885C21" w:rsidRDefault="003837AB" w:rsidP="003837AB">
      <w:pPr>
        <w:pStyle w:val="enumlev2"/>
        <w:rPr>
          <w:lang w:val="es-ES"/>
        </w:rPr>
      </w:pPr>
      <w:r w:rsidRPr="00885C21">
        <w:rPr>
          <w:lang w:val="es-ES" w:eastAsia="en-GB"/>
        </w:rPr>
        <w:t>•</w:t>
      </w:r>
      <w:r w:rsidRPr="00885C21">
        <w:rPr>
          <w:lang w:val="es-ES" w:eastAsia="en-GB"/>
        </w:rPr>
        <w:tab/>
      </w:r>
      <w:r w:rsidRPr="00885C21">
        <w:rPr>
          <w:lang w:val="es-ES"/>
        </w:rPr>
        <w:t>abordar el retraso acumulado en las notificaciones de redes de satélite (SNF) (1</w:t>
      </w:r>
      <w:r>
        <w:rPr>
          <w:lang w:val="es-ES"/>
        </w:rPr>
        <w:t> </w:t>
      </w:r>
      <w:r w:rsidRPr="00885C21">
        <w:rPr>
          <w:lang w:val="es-ES"/>
        </w:rPr>
        <w:t>millón</w:t>
      </w:r>
      <w:r w:rsidR="005457EE">
        <w:rPr>
          <w:lang w:val="es-ES"/>
        </w:rPr>
        <w:t> CHF</w:t>
      </w:r>
      <w:r w:rsidRPr="00885C21">
        <w:rPr>
          <w:lang w:val="es-ES"/>
        </w:rPr>
        <w:t>);</w:t>
      </w:r>
      <w:bookmarkStart w:id="9" w:name="_Hlk227246255"/>
    </w:p>
    <w:p w14:paraId="018EA99E" w14:textId="034719F8" w:rsidR="003837AB" w:rsidRDefault="003837AB" w:rsidP="003837AB">
      <w:pPr>
        <w:pStyle w:val="enumlev2"/>
        <w:rPr>
          <w:lang w:val="es-ES"/>
        </w:rPr>
      </w:pPr>
      <w:r w:rsidRPr="00885C21">
        <w:rPr>
          <w:lang w:val="es-ES" w:eastAsia="en-GB"/>
        </w:rPr>
        <w:t>•</w:t>
      </w:r>
      <w:r w:rsidRPr="00885C21">
        <w:rPr>
          <w:lang w:val="es-ES" w:eastAsia="en-GB"/>
        </w:rPr>
        <w:tab/>
      </w:r>
      <w:r w:rsidRPr="00885C21">
        <w:rPr>
          <w:lang w:val="es-ES"/>
        </w:rPr>
        <w:t>sistemas centrales de SNF y capacidad de modernización</w:t>
      </w:r>
      <w:bookmarkEnd w:id="9"/>
      <w:r w:rsidRPr="00885C21">
        <w:rPr>
          <w:lang w:val="es-ES"/>
        </w:rPr>
        <w:t xml:space="preserve"> (1,3</w:t>
      </w:r>
      <w:r w:rsidR="005457EE">
        <w:rPr>
          <w:lang w:val="es-ES"/>
        </w:rPr>
        <w:t> millones CHF</w:t>
      </w:r>
      <w:r w:rsidRPr="00885C21">
        <w:rPr>
          <w:lang w:val="es-ES"/>
        </w:rPr>
        <w:t>);</w:t>
      </w:r>
    </w:p>
    <w:p w14:paraId="590DD442" w14:textId="1C6964CA" w:rsidR="003837AB" w:rsidRPr="00885C21" w:rsidRDefault="003837AB" w:rsidP="003837AB">
      <w:pPr>
        <w:pStyle w:val="enumlev2"/>
        <w:rPr>
          <w:lang w:val="es-ES"/>
        </w:rPr>
      </w:pPr>
      <w:r w:rsidRPr="00885C21">
        <w:rPr>
          <w:lang w:val="es-ES" w:eastAsia="en-GB"/>
        </w:rPr>
        <w:t>•</w:t>
      </w:r>
      <w:r w:rsidRPr="00885C21">
        <w:rPr>
          <w:lang w:val="es-ES" w:eastAsia="en-GB"/>
        </w:rPr>
        <w:tab/>
      </w:r>
      <w:r w:rsidRPr="00885C21">
        <w:rPr>
          <w:lang w:val="es-ES"/>
        </w:rPr>
        <w:t>modernización de sistemas corporativos (1,44</w:t>
      </w:r>
      <w:r w:rsidR="005457EE">
        <w:rPr>
          <w:lang w:val="es-ES"/>
        </w:rPr>
        <w:t> millones CHF</w:t>
      </w:r>
      <w:r w:rsidRPr="00885C21">
        <w:rPr>
          <w:lang w:val="es-ES"/>
        </w:rPr>
        <w:t>);</w:t>
      </w:r>
    </w:p>
    <w:p w14:paraId="0294DB39" w14:textId="18497643" w:rsidR="003837AB" w:rsidRPr="00885C21" w:rsidRDefault="003837AB" w:rsidP="003837AB">
      <w:pPr>
        <w:pStyle w:val="enumlev2"/>
        <w:rPr>
          <w:lang w:val="es-ES"/>
        </w:rPr>
      </w:pPr>
      <w:r w:rsidRPr="00885C21">
        <w:rPr>
          <w:lang w:val="es-ES" w:eastAsia="en-GB"/>
        </w:rPr>
        <w:t>•</w:t>
      </w:r>
      <w:r w:rsidRPr="00885C21">
        <w:rPr>
          <w:lang w:val="es-ES" w:eastAsia="en-GB"/>
        </w:rPr>
        <w:tab/>
      </w:r>
      <w:r w:rsidRPr="00885C21">
        <w:rPr>
          <w:lang w:val="es-ES"/>
        </w:rPr>
        <w:t>medidas de continuidad de las actividades (1,5</w:t>
      </w:r>
      <w:r w:rsidR="005457EE">
        <w:rPr>
          <w:lang w:val="es-ES"/>
        </w:rPr>
        <w:t> millones CHF</w:t>
      </w:r>
      <w:r w:rsidRPr="00885C21">
        <w:rPr>
          <w:lang w:val="es-ES"/>
        </w:rPr>
        <w:t>);</w:t>
      </w:r>
    </w:p>
    <w:p w14:paraId="23AAC039" w14:textId="2E25461C" w:rsidR="003837AB" w:rsidRPr="00885C21" w:rsidRDefault="003837AB" w:rsidP="003837AB">
      <w:pPr>
        <w:pStyle w:val="enumlev2"/>
        <w:rPr>
          <w:lang w:val="es-ES"/>
        </w:rPr>
      </w:pPr>
      <w:r w:rsidRPr="00885C21">
        <w:rPr>
          <w:lang w:val="es-ES" w:eastAsia="en-GB"/>
        </w:rPr>
        <w:t>•</w:t>
      </w:r>
      <w:r w:rsidRPr="00885C21">
        <w:rPr>
          <w:lang w:val="es-ES" w:eastAsia="en-GB"/>
        </w:rPr>
        <w:tab/>
      </w:r>
      <w:r w:rsidRPr="00885C21">
        <w:rPr>
          <w:lang w:val="es-ES"/>
        </w:rPr>
        <w:t>Iniciativas Regionales (1,3</w:t>
      </w:r>
      <w:r w:rsidR="005457EE">
        <w:rPr>
          <w:lang w:val="es-ES"/>
        </w:rPr>
        <w:t> millones CHF</w:t>
      </w:r>
      <w:r w:rsidRPr="00885C21">
        <w:rPr>
          <w:lang w:val="es-ES"/>
        </w:rPr>
        <w:t>);</w:t>
      </w:r>
    </w:p>
    <w:p w14:paraId="689D0C1F" w14:textId="4CC7C7F2" w:rsidR="003837AB" w:rsidRPr="00885C21" w:rsidRDefault="003837AB" w:rsidP="003837AB">
      <w:pPr>
        <w:pStyle w:val="enumlev2"/>
        <w:rPr>
          <w:lang w:val="es-ES"/>
        </w:rPr>
      </w:pPr>
      <w:r w:rsidRPr="00885C21">
        <w:rPr>
          <w:lang w:val="es-ES" w:eastAsia="en-GB"/>
        </w:rPr>
        <w:t>•</w:t>
      </w:r>
      <w:r w:rsidRPr="00885C21">
        <w:rPr>
          <w:lang w:val="es-ES" w:eastAsia="en-GB"/>
        </w:rPr>
        <w:tab/>
        <w:t xml:space="preserve">18 consultores (SSA) y personal para proyectos a corto plazo para </w:t>
      </w:r>
      <w:r w:rsidR="00D32D09">
        <w:rPr>
          <w:lang w:val="es-ES" w:eastAsia="en-GB"/>
        </w:rPr>
        <w:t>"</w:t>
      </w:r>
      <w:r w:rsidRPr="00885C21">
        <w:rPr>
          <w:lang w:val="es-ES" w:eastAsia="en-GB"/>
        </w:rPr>
        <w:t>AI for Good</w:t>
      </w:r>
      <w:r w:rsidR="00D32D09">
        <w:rPr>
          <w:lang w:val="es-ES" w:eastAsia="en-GB"/>
        </w:rPr>
        <w:t>"</w:t>
      </w:r>
      <w:r w:rsidRPr="00885C21">
        <w:rPr>
          <w:lang w:val="es-ES" w:eastAsia="en-GB"/>
        </w:rPr>
        <w:t xml:space="preserve"> en 2026-2027 </w:t>
      </w:r>
      <w:r w:rsidRPr="00885C21">
        <w:rPr>
          <w:lang w:val="es-ES"/>
        </w:rPr>
        <w:t>(1 millón</w:t>
      </w:r>
      <w:r w:rsidR="005457EE">
        <w:rPr>
          <w:lang w:val="es-ES"/>
        </w:rPr>
        <w:t> CHF</w:t>
      </w:r>
      <w:r w:rsidRPr="00885C21">
        <w:rPr>
          <w:lang w:val="es-ES"/>
        </w:rPr>
        <w:t>);</w:t>
      </w:r>
    </w:p>
    <w:p w14:paraId="6BE6E1B1" w14:textId="0FAF4A26" w:rsidR="003837AB" w:rsidRPr="00885C21" w:rsidRDefault="003837AB" w:rsidP="003837AB">
      <w:pPr>
        <w:pStyle w:val="enumlev2"/>
        <w:rPr>
          <w:lang w:val="es-ES"/>
        </w:rPr>
      </w:pPr>
      <w:r w:rsidRPr="00885C21">
        <w:rPr>
          <w:lang w:val="es-ES" w:eastAsia="en-GB"/>
        </w:rPr>
        <w:t>•</w:t>
      </w:r>
      <w:r w:rsidRPr="00885C21">
        <w:rPr>
          <w:lang w:val="es-ES" w:eastAsia="en-GB"/>
        </w:rPr>
        <w:tab/>
      </w:r>
      <w:r w:rsidRPr="00885C21">
        <w:rPr>
          <w:lang w:val="es-ES"/>
        </w:rPr>
        <w:t xml:space="preserve">y la transferencia a la Cuenta de Provisión de </w:t>
      </w:r>
      <w:r w:rsidR="00103D78">
        <w:rPr>
          <w:lang w:val="es-ES"/>
        </w:rPr>
        <w:t>la UIT</w:t>
      </w:r>
      <w:r w:rsidRPr="00885C21">
        <w:rPr>
          <w:lang w:val="es-ES"/>
        </w:rPr>
        <w:t xml:space="preserve"> (20</w:t>
      </w:r>
      <w:r w:rsidR="00322B95">
        <w:rPr>
          <w:lang w:val="es-ES"/>
        </w:rPr>
        <w:t>0 000</w:t>
      </w:r>
      <w:r w:rsidR="005457EE">
        <w:rPr>
          <w:lang w:val="es-ES"/>
        </w:rPr>
        <w:t> CHF</w:t>
      </w:r>
      <w:r w:rsidRPr="00885C21">
        <w:rPr>
          <w:lang w:val="es-ES"/>
        </w:rPr>
        <w:t>);</w:t>
      </w:r>
    </w:p>
    <w:p w14:paraId="136D3ABD" w14:textId="7AA8A2AF" w:rsidR="003837AB" w:rsidRPr="00885C21" w:rsidRDefault="003837AB" w:rsidP="003837AB">
      <w:pPr>
        <w:rPr>
          <w:lang w:val="es-ES"/>
        </w:rPr>
      </w:pPr>
      <w:r w:rsidRPr="00885C21">
        <w:rPr>
          <w:lang w:val="es-ES"/>
        </w:rPr>
        <w:t>2</w:t>
      </w:r>
      <w:r w:rsidRPr="00885C21">
        <w:rPr>
          <w:lang w:val="es-ES"/>
        </w:rPr>
        <w:tab/>
        <w:t xml:space="preserve">transferir a la cuenta de reservas de </w:t>
      </w:r>
      <w:r w:rsidR="00103D78">
        <w:rPr>
          <w:lang w:val="es-ES"/>
        </w:rPr>
        <w:t>la UIT</w:t>
      </w:r>
      <w:r w:rsidRPr="00885C21">
        <w:rPr>
          <w:lang w:val="es-ES"/>
        </w:rPr>
        <w:t xml:space="preserve"> todo fondo no gastado a finales de 2029, salvo para los sistemas centrales de SNF, la capacidad de modernización y la continuidad de las operaciones,</w:t>
      </w:r>
    </w:p>
    <w:p w14:paraId="60732CAA" w14:textId="09DC1CD0" w:rsidR="003837AB" w:rsidRPr="00885C21" w:rsidRDefault="003837AB" w:rsidP="003837AB">
      <w:pPr>
        <w:pStyle w:val="Call"/>
        <w:rPr>
          <w:lang w:val="es-ES"/>
        </w:rPr>
      </w:pPr>
      <w:r w:rsidRPr="00885C21">
        <w:rPr>
          <w:lang w:val="es-ES"/>
        </w:rPr>
        <w:t>encarga al Secretari</w:t>
      </w:r>
      <w:r>
        <w:rPr>
          <w:lang w:val="es-ES"/>
        </w:rPr>
        <w:t>o</w:t>
      </w:r>
      <w:r w:rsidRPr="00885C21">
        <w:rPr>
          <w:lang w:val="es-ES"/>
        </w:rPr>
        <w:t xml:space="preserve"> General</w:t>
      </w:r>
    </w:p>
    <w:p w14:paraId="3D8564F4" w14:textId="77777777" w:rsidR="003837AB" w:rsidRPr="00885C21" w:rsidRDefault="003837AB" w:rsidP="003837AB">
      <w:pPr>
        <w:rPr>
          <w:lang w:val="es-ES" w:eastAsia="zh-CN"/>
        </w:rPr>
      </w:pPr>
      <w:r w:rsidRPr="00885C21">
        <w:rPr>
          <w:lang w:val="es-ES" w:eastAsia="zh-CN"/>
        </w:rPr>
        <w:t>1</w:t>
      </w:r>
      <w:r w:rsidRPr="00885C21">
        <w:rPr>
          <w:lang w:val="es-ES" w:eastAsia="zh-CN"/>
        </w:rPr>
        <w:tab/>
        <w:t xml:space="preserve">que proporcione un informe a la Conferencia de Plenipotenciarios de 2026 en el que se detallen las perspectivas financieras y operacionales para </w:t>
      </w:r>
      <w:r>
        <w:rPr>
          <w:lang w:val="es-ES" w:eastAsia="zh-CN"/>
        </w:rPr>
        <w:t>"</w:t>
      </w:r>
      <w:r w:rsidRPr="00885C21">
        <w:rPr>
          <w:lang w:val="es-ES" w:eastAsia="zh-CN"/>
        </w:rPr>
        <w:t>AI for Good</w:t>
      </w:r>
      <w:r>
        <w:rPr>
          <w:lang w:val="es-ES" w:eastAsia="zh-CN"/>
        </w:rPr>
        <w:t>"</w:t>
      </w:r>
      <w:r w:rsidRPr="00885C21">
        <w:rPr>
          <w:lang w:val="es-ES" w:eastAsia="zh-CN"/>
        </w:rPr>
        <w:t xml:space="preserve"> y las iniciativas conexas de financiación externa (por ejemplo</w:t>
      </w:r>
      <w:r w:rsidRPr="002113BD">
        <w:rPr>
          <w:lang w:val="es-ES"/>
        </w:rPr>
        <w:t xml:space="preserve">, </w:t>
      </w:r>
      <w:r w:rsidRPr="002113BD">
        <w:rPr>
          <w:rFonts w:eastAsia="Aptos"/>
          <w:lang w:val="es-ES"/>
        </w:rPr>
        <w:t xml:space="preserve">los desafíos de aprendizaje automático, la </w:t>
      </w:r>
      <w:r>
        <w:rPr>
          <w:rFonts w:eastAsia="Aptos"/>
          <w:lang w:val="es-ES"/>
        </w:rPr>
        <w:t>"</w:t>
      </w:r>
      <w:r w:rsidRPr="002113BD">
        <w:rPr>
          <w:rFonts w:eastAsia="Aptos"/>
          <w:lang w:val="es-ES"/>
        </w:rPr>
        <w:t xml:space="preserve">AI </w:t>
      </w:r>
      <w:proofErr w:type="spellStart"/>
      <w:r w:rsidRPr="002113BD">
        <w:rPr>
          <w:rFonts w:eastAsia="Aptos"/>
          <w:lang w:val="es-ES"/>
        </w:rPr>
        <w:t>Skills</w:t>
      </w:r>
      <w:proofErr w:type="spellEnd"/>
      <w:r w:rsidRPr="002113BD">
        <w:rPr>
          <w:rFonts w:eastAsia="Aptos"/>
          <w:lang w:val="es-ES"/>
        </w:rPr>
        <w:t xml:space="preserve"> </w:t>
      </w:r>
      <w:proofErr w:type="spellStart"/>
      <w:r w:rsidRPr="002113BD">
        <w:rPr>
          <w:rFonts w:eastAsia="Aptos"/>
          <w:lang w:val="es-ES"/>
        </w:rPr>
        <w:t>Coalition</w:t>
      </w:r>
      <w:proofErr w:type="spellEnd"/>
      <w:r>
        <w:rPr>
          <w:rFonts w:eastAsia="Aptos"/>
          <w:lang w:val="es-ES"/>
        </w:rPr>
        <w:t>"</w:t>
      </w:r>
      <w:r w:rsidRPr="002113BD">
        <w:rPr>
          <w:rFonts w:eastAsia="Aptos"/>
          <w:lang w:val="es-ES"/>
        </w:rPr>
        <w:t xml:space="preserve"> y las</w:t>
      </w:r>
      <w:r w:rsidRPr="002113BD">
        <w:rPr>
          <w:lang w:val="es-ES"/>
        </w:rPr>
        <w:t xml:space="preserve"> compleciones de presentaciones de empresas emergentes de IA</w:t>
      </w:r>
      <w:r w:rsidRPr="002113BD">
        <w:rPr>
          <w:rFonts w:eastAsia="Aptos"/>
          <w:lang w:val="es-ES"/>
        </w:rPr>
        <w:t>)</w:t>
      </w:r>
      <w:r w:rsidRPr="002113BD">
        <w:rPr>
          <w:lang w:val="es-ES"/>
        </w:rPr>
        <w:t>, con inclusión de todas las contribuciones en especie, extrapresupuestarias</w:t>
      </w:r>
      <w:r w:rsidRPr="00885C21">
        <w:rPr>
          <w:lang w:val="es-ES" w:eastAsia="zh-CN"/>
        </w:rPr>
        <w:t xml:space="preserve"> y voluntarias, con recomendaciones sobre la manera en la que puede sostenerse esta plataforma;</w:t>
      </w:r>
    </w:p>
    <w:p w14:paraId="417EAD65" w14:textId="77777777" w:rsidR="003837AB" w:rsidRPr="00885C21" w:rsidRDefault="003837AB" w:rsidP="003837AB">
      <w:pPr>
        <w:rPr>
          <w:lang w:val="es-ES"/>
        </w:rPr>
      </w:pPr>
      <w:r w:rsidRPr="00885C21">
        <w:rPr>
          <w:lang w:val="es-ES" w:eastAsia="zh-CN"/>
        </w:rPr>
        <w:t>2</w:t>
      </w:r>
      <w:r w:rsidRPr="00885C21">
        <w:rPr>
          <w:lang w:val="es-ES" w:eastAsia="zh-CN"/>
        </w:rPr>
        <w:tab/>
        <w:t xml:space="preserve">que informe al Consejo sobre la implementación de ahorros presupuestarios, en particular las eficiencias obtenidas y los </w:t>
      </w:r>
      <w:r w:rsidRPr="00885C21">
        <w:rPr>
          <w:lang w:val="es-ES"/>
        </w:rPr>
        <w:t>análisis</w:t>
      </w:r>
      <w:r w:rsidRPr="00885C21">
        <w:rPr>
          <w:lang w:val="es-ES" w:eastAsia="zh-CN"/>
        </w:rPr>
        <w:t xml:space="preserve"> de rentabilidad/descripciones del valor añadido para las inversiones realizadas a través de estas asignaciones presupuestarias;</w:t>
      </w:r>
    </w:p>
    <w:p w14:paraId="33CEE3D8" w14:textId="77777777" w:rsidR="003837AB" w:rsidRPr="00885C21" w:rsidRDefault="003837AB" w:rsidP="003837AB">
      <w:pPr>
        <w:rPr>
          <w:lang w:val="es-ES" w:eastAsia="zh-CN"/>
        </w:rPr>
      </w:pPr>
      <w:r w:rsidRPr="00885C21">
        <w:rPr>
          <w:lang w:val="es-ES" w:eastAsia="zh-CN"/>
        </w:rPr>
        <w:lastRenderedPageBreak/>
        <w:t>3</w:t>
      </w:r>
      <w:r w:rsidRPr="00885C21">
        <w:rPr>
          <w:lang w:val="es-ES" w:eastAsia="zh-CN"/>
        </w:rPr>
        <w:tab/>
        <w:t>que informe al Consejo sobre la ejecución del nuevo programa de cese concertado, el plan de reorganización de la Secretaría General y las tres Oficinas, en su caso, indicando el número, los departamentos y la categoría del personal que se acoge voluntariamente a dicho programa.</w:t>
      </w:r>
    </w:p>
    <w:p w14:paraId="40302672" w14:textId="77777777" w:rsidR="003837AB" w:rsidRDefault="003837AB">
      <w:pPr>
        <w:tabs>
          <w:tab w:val="clear" w:pos="567"/>
          <w:tab w:val="clear" w:pos="1134"/>
          <w:tab w:val="clear" w:pos="1701"/>
          <w:tab w:val="clear" w:pos="2268"/>
          <w:tab w:val="clear" w:pos="2835"/>
        </w:tabs>
        <w:overflowPunct/>
        <w:autoSpaceDE/>
        <w:autoSpaceDN/>
        <w:adjustRightInd/>
        <w:spacing w:before="0"/>
        <w:textAlignment w:val="auto"/>
        <w:rPr>
          <w:rFonts w:eastAsia="SimSun"/>
          <w:b/>
          <w:sz w:val="28"/>
          <w:lang w:val="es-ES"/>
        </w:rPr>
      </w:pPr>
      <w:r>
        <w:rPr>
          <w:rFonts w:eastAsia="SimSun"/>
          <w:lang w:val="es-ES"/>
        </w:rPr>
        <w:br w:type="page"/>
      </w:r>
    </w:p>
    <w:p w14:paraId="6120BF26" w14:textId="2A23F30E" w:rsidR="003837AB" w:rsidRPr="003837AB" w:rsidRDefault="003837AB" w:rsidP="005936CB">
      <w:pPr>
        <w:pStyle w:val="Annextitle"/>
        <w:rPr>
          <w:rFonts w:eastAsia="SimSun"/>
          <w:lang w:val="es-ES"/>
        </w:rPr>
      </w:pPr>
      <w:r>
        <w:rPr>
          <w:rFonts w:eastAsia="SimSun"/>
          <w:lang w:val="es-ES"/>
        </w:rPr>
        <w:lastRenderedPageBreak/>
        <w:t>ANEXO</w:t>
      </w:r>
      <w:bookmarkStart w:id="10" w:name="ANEXO_E"/>
      <w:bookmarkEnd w:id="10"/>
      <w:r>
        <w:rPr>
          <w:rFonts w:eastAsia="SimSun"/>
          <w:lang w:val="es-ES"/>
        </w:rPr>
        <w:t xml:space="preserve"> E</w:t>
      </w:r>
    </w:p>
    <w:p w14:paraId="75E4F96D" w14:textId="481F2491" w:rsidR="004C2C65" w:rsidRPr="00B979D4" w:rsidRDefault="004C2C65" w:rsidP="004C2C65">
      <w:pPr>
        <w:pStyle w:val="AnnexNo"/>
        <w:rPr>
          <w:rFonts w:eastAsia="SimSun"/>
          <w:lang w:val="es-ES"/>
        </w:rPr>
      </w:pPr>
      <w:r w:rsidRPr="00B979D4">
        <w:rPr>
          <w:rFonts w:eastAsia="SimSun"/>
          <w:lang w:val="es-ES"/>
        </w:rPr>
        <w:t xml:space="preserve">PROYECTO DE </w:t>
      </w:r>
      <w:r w:rsidR="003837AB">
        <w:rPr>
          <w:rFonts w:eastAsia="SimSun"/>
          <w:lang w:val="es-ES"/>
        </w:rPr>
        <w:t xml:space="preserve">NUEVA </w:t>
      </w:r>
      <w:r w:rsidRPr="00B979D4">
        <w:rPr>
          <w:rFonts w:eastAsia="SimSun"/>
          <w:lang w:val="es-ES"/>
        </w:rPr>
        <w:t>RESOLUCIÓN […]</w:t>
      </w:r>
    </w:p>
    <w:p w14:paraId="6C41C002" w14:textId="760714DE" w:rsidR="004C2C65" w:rsidRPr="00B979D4" w:rsidRDefault="004C2C65" w:rsidP="004C2C65">
      <w:pPr>
        <w:pStyle w:val="Annextitle"/>
        <w:rPr>
          <w:rFonts w:eastAsia="SimSun"/>
          <w:lang w:val="es-ES"/>
        </w:rPr>
      </w:pPr>
      <w:r w:rsidRPr="00B979D4">
        <w:rPr>
          <w:rFonts w:eastAsia="SimSun"/>
          <w:lang w:val="es-ES"/>
        </w:rPr>
        <w:t xml:space="preserve">Condiciones de servicio de los funcionarios de elección de </w:t>
      </w:r>
      <w:r w:rsidR="00103D78">
        <w:rPr>
          <w:rFonts w:eastAsia="SimSun"/>
          <w:lang w:val="es-ES"/>
        </w:rPr>
        <w:t>la UIT</w:t>
      </w:r>
    </w:p>
    <w:p w14:paraId="316FFED8" w14:textId="2692B11E" w:rsidR="004C2C65" w:rsidRPr="00B979D4" w:rsidRDefault="004C2C65" w:rsidP="004C2C65">
      <w:pPr>
        <w:rPr>
          <w:rFonts w:eastAsia="SimSun"/>
          <w:lang w:val="es-ES"/>
        </w:rPr>
      </w:pPr>
      <w:r w:rsidRPr="00B979D4">
        <w:rPr>
          <w:rFonts w:eastAsia="SimSun"/>
          <w:lang w:val="es-ES"/>
        </w:rPr>
        <w:t xml:space="preserve">El Consejo de </w:t>
      </w:r>
      <w:r w:rsidR="00103D78">
        <w:rPr>
          <w:rFonts w:eastAsia="SimSun"/>
          <w:lang w:val="es-ES"/>
        </w:rPr>
        <w:t>la UIT</w:t>
      </w:r>
      <w:r w:rsidRPr="00B979D4">
        <w:rPr>
          <w:rFonts w:eastAsia="SimSun"/>
          <w:lang w:val="es-ES"/>
        </w:rPr>
        <w:t>,</w:t>
      </w:r>
    </w:p>
    <w:p w14:paraId="30907086" w14:textId="77777777" w:rsidR="004C2C65" w:rsidRPr="00B979D4" w:rsidRDefault="004C2C65" w:rsidP="004C2C65">
      <w:pPr>
        <w:pStyle w:val="Call"/>
        <w:rPr>
          <w:rFonts w:eastAsia="SimSun"/>
          <w:lang w:val="es-ES"/>
        </w:rPr>
      </w:pPr>
      <w:r w:rsidRPr="00B979D4">
        <w:rPr>
          <w:rFonts w:eastAsia="SimSun"/>
          <w:lang w:val="es-ES"/>
        </w:rPr>
        <w:t>recordando</w:t>
      </w:r>
    </w:p>
    <w:p w14:paraId="3039862B" w14:textId="77777777" w:rsidR="004C2C65" w:rsidRPr="00B979D4" w:rsidRDefault="004C2C65" w:rsidP="004C2C65">
      <w:pPr>
        <w:rPr>
          <w:rFonts w:eastAsia="SimSun"/>
          <w:lang w:val="es-ES"/>
        </w:rPr>
      </w:pPr>
      <w:r w:rsidRPr="00B979D4">
        <w:rPr>
          <w:rFonts w:eastAsia="SimSun"/>
          <w:lang w:val="es-ES"/>
        </w:rPr>
        <w:t>La Resolución 46 (</w:t>
      </w:r>
      <w:proofErr w:type="spellStart"/>
      <w:r w:rsidRPr="00B979D4">
        <w:rPr>
          <w:rFonts w:eastAsia="SimSun"/>
          <w:lang w:val="es-ES"/>
        </w:rPr>
        <w:t>Kyoto</w:t>
      </w:r>
      <w:proofErr w:type="spellEnd"/>
      <w:r w:rsidRPr="00B979D4">
        <w:rPr>
          <w:rFonts w:eastAsia="SimSun"/>
          <w:lang w:val="es-ES"/>
        </w:rPr>
        <w:t>, 1994) de la Conferencia de Plenipotenciarios,</w:t>
      </w:r>
    </w:p>
    <w:p w14:paraId="29DCF005" w14:textId="77777777" w:rsidR="004C2C65" w:rsidRPr="00B979D4" w:rsidRDefault="004C2C65" w:rsidP="004C2C65">
      <w:pPr>
        <w:pStyle w:val="Call"/>
        <w:rPr>
          <w:rFonts w:eastAsia="SimSun"/>
          <w:lang w:val="es-ES"/>
        </w:rPr>
      </w:pPr>
      <w:r w:rsidRPr="00B979D4">
        <w:rPr>
          <w:rFonts w:eastAsia="SimSun"/>
          <w:lang w:val="es-ES"/>
        </w:rPr>
        <w:t>habiendo considerado</w:t>
      </w:r>
    </w:p>
    <w:p w14:paraId="1BF0C5D6" w14:textId="04E9B5BD" w:rsidR="004C2C65" w:rsidRPr="00B979D4" w:rsidRDefault="004C2C65" w:rsidP="004C2C65">
      <w:pPr>
        <w:rPr>
          <w:rFonts w:eastAsia="SimSun"/>
          <w:lang w:val="es-ES"/>
        </w:rPr>
      </w:pPr>
      <w:r w:rsidRPr="00B979D4">
        <w:rPr>
          <w:rFonts w:eastAsia="SimSun"/>
          <w:lang w:val="es-ES"/>
        </w:rPr>
        <w:t xml:space="preserve">el informe de la Secretaria General sobre las medidas adoptadas en el marco del régimen común de las </w:t>
      </w:r>
      <w:r w:rsidR="000E31A1">
        <w:rPr>
          <w:rFonts w:eastAsia="SimSun"/>
          <w:lang w:val="es-ES"/>
        </w:rPr>
        <w:t>Naciones Unidas</w:t>
      </w:r>
      <w:r w:rsidRPr="00B979D4">
        <w:rPr>
          <w:rFonts w:eastAsia="SimSun"/>
          <w:lang w:val="es-ES"/>
        </w:rPr>
        <w:t xml:space="preserve"> a raíz de la Resolución </w:t>
      </w:r>
      <w:r w:rsidRPr="00B979D4">
        <w:rPr>
          <w:color w:val="000000" w:themeColor="text1"/>
          <w:lang w:val="es-ES" w:eastAsia="zh-CN"/>
        </w:rPr>
        <w:t>80</w:t>
      </w:r>
      <w:r w:rsidRPr="00B979D4">
        <w:rPr>
          <w:color w:val="000000" w:themeColor="text1"/>
          <w:lang w:val="es-ES"/>
        </w:rPr>
        <w:t>/2</w:t>
      </w:r>
      <w:r w:rsidRPr="00B979D4">
        <w:rPr>
          <w:color w:val="000000" w:themeColor="text1"/>
          <w:lang w:val="es-ES" w:eastAsia="zh-CN"/>
        </w:rPr>
        <w:t>36</w:t>
      </w:r>
      <w:r w:rsidRPr="00B979D4">
        <w:rPr>
          <w:rFonts w:eastAsia="SimSun"/>
          <w:lang w:val="es-ES"/>
        </w:rPr>
        <w:t xml:space="preserve"> de la Asamblea General de las </w:t>
      </w:r>
      <w:r w:rsidR="000E31A1">
        <w:rPr>
          <w:rFonts w:eastAsia="SimSun"/>
          <w:lang w:val="es-ES"/>
        </w:rPr>
        <w:t>Naciones Unidas</w:t>
      </w:r>
      <w:r w:rsidRPr="00B979D4">
        <w:rPr>
          <w:rFonts w:eastAsia="SimSun"/>
          <w:lang w:val="es-ES"/>
        </w:rPr>
        <w:t xml:space="preserve"> sobre las condiciones de servicio,</w:t>
      </w:r>
    </w:p>
    <w:p w14:paraId="7EE26A4C" w14:textId="77777777" w:rsidR="004C2C65" w:rsidRPr="00B979D4" w:rsidRDefault="004C2C65" w:rsidP="004C2C65">
      <w:pPr>
        <w:pStyle w:val="Call"/>
        <w:rPr>
          <w:rFonts w:eastAsia="SimSun"/>
          <w:lang w:val="es-ES"/>
        </w:rPr>
      </w:pPr>
      <w:r w:rsidRPr="00B979D4">
        <w:rPr>
          <w:rFonts w:eastAsia="SimSun"/>
          <w:lang w:val="es-ES"/>
        </w:rPr>
        <w:t>resuelve</w:t>
      </w:r>
    </w:p>
    <w:p w14:paraId="4F14D15B" w14:textId="2846367F" w:rsidR="004C2C65" w:rsidRPr="00B979D4" w:rsidRDefault="004C2C65" w:rsidP="004C2C65">
      <w:pPr>
        <w:spacing w:after="120"/>
        <w:rPr>
          <w:rFonts w:eastAsia="SimSun"/>
          <w:lang w:val="es-ES"/>
        </w:rPr>
      </w:pPr>
      <w:r w:rsidRPr="00B979D4">
        <w:rPr>
          <w:rFonts w:eastAsia="SimSun"/>
          <w:lang w:val="es-ES"/>
        </w:rPr>
        <w:t xml:space="preserve">aprobar la siguiente escala de sueldos con efecto a partir del 1 de enero de 2026 y la siguiente escala de remuneración pensionable con efecto a partir del 1 de febrero de 2026 para los funcionarios de elección de </w:t>
      </w:r>
      <w:r w:rsidR="00103D78">
        <w:rPr>
          <w:rFonts w:eastAsia="SimSun"/>
          <w:lang w:val="es-ES"/>
        </w:rPr>
        <w:t>la UIT</w:t>
      </w:r>
      <w:r w:rsidRPr="00B979D4">
        <w:rPr>
          <w:rFonts w:eastAsia="SimSun"/>
          <w:lang w:val="es-ES"/>
        </w:rPr>
        <w:t>:</w:t>
      </w:r>
    </w:p>
    <w:tbl>
      <w:tblPr>
        <w:tblpPr w:leftFromText="180" w:rightFromText="180" w:vertAnchor="text"/>
        <w:tblW w:w="5000" w:type="pct"/>
        <w:tblLayout w:type="fixed"/>
        <w:tblCellMar>
          <w:left w:w="0" w:type="dxa"/>
          <w:right w:w="0" w:type="dxa"/>
        </w:tblCellMar>
        <w:tblLook w:val="04A0" w:firstRow="1" w:lastRow="0" w:firstColumn="1" w:lastColumn="0" w:noHBand="0" w:noVBand="1"/>
      </w:tblPr>
      <w:tblGrid>
        <w:gridCol w:w="2365"/>
        <w:gridCol w:w="2315"/>
        <w:gridCol w:w="2392"/>
        <w:gridCol w:w="1994"/>
      </w:tblGrid>
      <w:tr w:rsidR="004C2C65" w:rsidRPr="00B979D4" w14:paraId="37BB853D" w14:textId="77777777" w:rsidTr="0064286C">
        <w:tc>
          <w:tcPr>
            <w:tcW w:w="2507" w:type="dxa"/>
            <w:tcBorders>
              <w:right w:val="single" w:sz="4" w:space="0" w:color="auto"/>
            </w:tcBorders>
            <w:tcMar>
              <w:top w:w="0" w:type="dxa"/>
              <w:left w:w="108" w:type="dxa"/>
              <w:bottom w:w="0" w:type="dxa"/>
              <w:right w:w="108" w:type="dxa"/>
            </w:tcMar>
          </w:tcPr>
          <w:p w14:paraId="6CB071B0" w14:textId="77777777" w:rsidR="004C2C65" w:rsidRPr="00B979D4" w:rsidRDefault="004C2C65" w:rsidP="002A707E">
            <w:pPr>
              <w:pStyle w:val="Tablehead"/>
              <w:rPr>
                <w:rFonts w:eastAsiaTheme="minorEastAsia"/>
                <w:lang w:val="es-ES" w:eastAsia="zh-CN"/>
              </w:rPr>
            </w:pPr>
          </w:p>
        </w:tc>
        <w:tc>
          <w:tcPr>
            <w:tcW w:w="7132" w:type="dxa"/>
            <w:gridSpan w:val="3"/>
            <w:tcBorders>
              <w:top w:val="single" w:sz="4" w:space="0" w:color="auto"/>
              <w:left w:val="single" w:sz="4" w:space="0" w:color="auto"/>
              <w:bottom w:val="single" w:sz="4" w:space="0" w:color="auto"/>
              <w:right w:val="single" w:sz="4" w:space="0" w:color="auto"/>
            </w:tcBorders>
          </w:tcPr>
          <w:p w14:paraId="480660C7" w14:textId="77777777" w:rsidR="004C2C65" w:rsidRPr="00B979D4" w:rsidRDefault="004C2C65" w:rsidP="002A707E">
            <w:pPr>
              <w:pStyle w:val="Tablehead"/>
              <w:rPr>
                <w:rFonts w:asciiTheme="minorHAnsi" w:eastAsiaTheme="minorEastAsia" w:hAnsiTheme="minorHAnsi"/>
                <w:lang w:val="es-ES"/>
              </w:rPr>
            </w:pPr>
            <w:r w:rsidRPr="00B979D4">
              <w:rPr>
                <w:rFonts w:eastAsia="SimSun"/>
                <w:bCs/>
                <w:lang w:val="es-ES"/>
              </w:rPr>
              <w:t>USD anuales</w:t>
            </w:r>
          </w:p>
        </w:tc>
      </w:tr>
      <w:tr w:rsidR="004C2C65" w:rsidRPr="0057685D" w14:paraId="0D419D18" w14:textId="77777777" w:rsidTr="0064286C">
        <w:tc>
          <w:tcPr>
            <w:tcW w:w="2507" w:type="dxa"/>
            <w:tcBorders>
              <w:right w:val="single" w:sz="4" w:space="0" w:color="auto"/>
            </w:tcBorders>
            <w:tcMar>
              <w:top w:w="0" w:type="dxa"/>
              <w:left w:w="108" w:type="dxa"/>
              <w:bottom w:w="0" w:type="dxa"/>
              <w:right w:w="108" w:type="dxa"/>
            </w:tcMar>
          </w:tcPr>
          <w:p w14:paraId="2FF351EC" w14:textId="77777777" w:rsidR="004C2C65" w:rsidRPr="00B979D4" w:rsidRDefault="004C2C65" w:rsidP="002A707E">
            <w:pPr>
              <w:pStyle w:val="Tablehead"/>
              <w:rPr>
                <w:rFonts w:asciiTheme="minorHAnsi" w:eastAsiaTheme="minorEastAsia" w:hAnsiTheme="minorHAnsi"/>
                <w:lang w:val="es-ES" w:eastAsia="zh-CN"/>
              </w:rPr>
            </w:pPr>
          </w:p>
        </w:tc>
        <w:tc>
          <w:tcPr>
            <w:tcW w:w="2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9A9FA1" w14:textId="77777777" w:rsidR="004C2C65" w:rsidRPr="00B979D4" w:rsidRDefault="004C2C65" w:rsidP="002A707E">
            <w:pPr>
              <w:pStyle w:val="Tablehead"/>
              <w:rPr>
                <w:rFonts w:asciiTheme="minorHAnsi" w:eastAsiaTheme="minorEastAsia" w:hAnsiTheme="minorHAnsi"/>
                <w:sz w:val="18"/>
                <w:szCs w:val="18"/>
                <w:lang w:val="es-ES"/>
              </w:rPr>
            </w:pPr>
            <w:r w:rsidRPr="00B979D4">
              <w:rPr>
                <w:rFonts w:eastAsia="SimSun"/>
                <w:bCs/>
                <w:lang w:val="es-ES"/>
              </w:rPr>
              <w:t>Bruto</w:t>
            </w:r>
            <w:r w:rsidRPr="00B979D4">
              <w:rPr>
                <w:rFonts w:eastAsia="SimSun"/>
                <w:lang w:val="es-ES"/>
              </w:rPr>
              <w:br/>
            </w:r>
            <w:r w:rsidRPr="00B979D4">
              <w:rPr>
                <w:rFonts w:eastAsia="SimSun"/>
                <w:sz w:val="18"/>
                <w:szCs w:val="18"/>
                <w:lang w:val="es-ES"/>
              </w:rPr>
              <w:t>(1 de enero de 2026)</w:t>
            </w:r>
          </w:p>
        </w:tc>
        <w:tc>
          <w:tcPr>
            <w:tcW w:w="2551" w:type="dxa"/>
            <w:tcBorders>
              <w:top w:val="single" w:sz="4" w:space="0" w:color="auto"/>
              <w:left w:val="single" w:sz="4" w:space="0" w:color="auto"/>
              <w:bottom w:val="single" w:sz="4" w:space="0" w:color="auto"/>
              <w:right w:val="single" w:sz="4" w:space="0" w:color="auto"/>
            </w:tcBorders>
          </w:tcPr>
          <w:p w14:paraId="5AEAB59C" w14:textId="77777777" w:rsidR="004C2C65" w:rsidRPr="00B979D4" w:rsidRDefault="004C2C65" w:rsidP="002A707E">
            <w:pPr>
              <w:pStyle w:val="Tablehead"/>
              <w:rPr>
                <w:rFonts w:eastAsia="SimSun"/>
                <w:sz w:val="18"/>
                <w:szCs w:val="18"/>
                <w:lang w:val="es-ES"/>
              </w:rPr>
            </w:pPr>
            <w:r w:rsidRPr="00B979D4">
              <w:rPr>
                <w:rFonts w:eastAsia="SimSun"/>
                <w:szCs w:val="22"/>
                <w:lang w:val="es-ES"/>
              </w:rPr>
              <w:t>Neto</w:t>
            </w:r>
            <w:r w:rsidRPr="00B979D4">
              <w:rPr>
                <w:rFonts w:eastAsia="SimSun"/>
                <w:sz w:val="18"/>
                <w:szCs w:val="18"/>
                <w:lang w:val="es-ES"/>
              </w:rPr>
              <w:br/>
              <w:t>(1 de enero de 2026)</w:t>
            </w:r>
          </w:p>
        </w:tc>
        <w:tc>
          <w:tcPr>
            <w:tcW w:w="2126" w:type="dxa"/>
            <w:tcBorders>
              <w:top w:val="single" w:sz="4" w:space="0" w:color="auto"/>
              <w:left w:val="single" w:sz="4" w:space="0" w:color="auto"/>
              <w:bottom w:val="single" w:sz="4" w:space="0" w:color="auto"/>
              <w:right w:val="single" w:sz="4" w:space="0" w:color="auto"/>
            </w:tcBorders>
            <w:hideMark/>
          </w:tcPr>
          <w:p w14:paraId="7945FE81" w14:textId="77777777" w:rsidR="004C2C65" w:rsidRPr="00B979D4" w:rsidRDefault="004C2C65" w:rsidP="002A707E">
            <w:pPr>
              <w:pStyle w:val="Tablehead"/>
              <w:rPr>
                <w:rFonts w:asciiTheme="minorHAnsi" w:eastAsiaTheme="minorEastAsia" w:hAnsiTheme="minorHAnsi"/>
                <w:lang w:val="es-ES"/>
              </w:rPr>
            </w:pPr>
            <w:r w:rsidRPr="00B979D4">
              <w:rPr>
                <w:rFonts w:eastAsia="SimSun"/>
                <w:bCs/>
                <w:lang w:val="es-ES"/>
              </w:rPr>
              <w:t>Remuneración pensionable</w:t>
            </w:r>
            <w:r w:rsidRPr="00B979D4">
              <w:rPr>
                <w:rFonts w:eastAsia="SimSun"/>
                <w:bCs/>
                <w:lang w:val="es-ES"/>
              </w:rPr>
              <w:br/>
            </w:r>
            <w:r w:rsidRPr="00B979D4">
              <w:rPr>
                <w:rFonts w:eastAsia="SimSun"/>
                <w:sz w:val="18"/>
                <w:szCs w:val="18"/>
                <w:lang w:val="es-ES"/>
              </w:rPr>
              <w:t>(1 de febrero de 2026)</w:t>
            </w:r>
          </w:p>
        </w:tc>
      </w:tr>
      <w:tr w:rsidR="004C2C65" w:rsidRPr="00B979D4" w14:paraId="3791BCF5" w14:textId="77777777" w:rsidTr="0064286C">
        <w:tc>
          <w:tcPr>
            <w:tcW w:w="2507"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29344982" w14:textId="77777777" w:rsidR="004C2C65" w:rsidRPr="00B979D4" w:rsidRDefault="004C2C65" w:rsidP="002A707E">
            <w:pPr>
              <w:pStyle w:val="Tabletext"/>
              <w:rPr>
                <w:rFonts w:eastAsia="SimSun" w:cs="Calibri"/>
                <w:szCs w:val="24"/>
                <w:lang w:val="es-ES"/>
              </w:rPr>
            </w:pPr>
            <w:r w:rsidRPr="00B979D4">
              <w:rPr>
                <w:rFonts w:eastAsia="SimSun"/>
                <w:lang w:val="es-ES"/>
              </w:rPr>
              <w:t>Secretario General</w:t>
            </w:r>
          </w:p>
        </w:tc>
        <w:tc>
          <w:tcPr>
            <w:tcW w:w="2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4C502" w14:textId="77777777" w:rsidR="004C2C65" w:rsidRPr="00B979D4" w:rsidRDefault="004C2C65" w:rsidP="002A707E">
            <w:pPr>
              <w:pStyle w:val="Tabletext"/>
              <w:jc w:val="center"/>
              <w:rPr>
                <w:rFonts w:eastAsia="SimSun" w:cs="Calibri"/>
                <w:strike/>
                <w:lang w:val="es-ES"/>
              </w:rPr>
            </w:pPr>
            <w:r w:rsidRPr="00B979D4">
              <w:rPr>
                <w:rFonts w:cs="Calibri"/>
                <w:lang w:val="es-ES" w:eastAsia="zh-CN"/>
              </w:rPr>
              <w:t>288 867</w:t>
            </w:r>
          </w:p>
        </w:tc>
        <w:tc>
          <w:tcPr>
            <w:tcW w:w="2551" w:type="dxa"/>
            <w:tcBorders>
              <w:top w:val="single" w:sz="4" w:space="0" w:color="auto"/>
              <w:left w:val="single" w:sz="4" w:space="0" w:color="auto"/>
              <w:bottom w:val="single" w:sz="4" w:space="0" w:color="auto"/>
              <w:right w:val="single" w:sz="4" w:space="0" w:color="auto"/>
            </w:tcBorders>
          </w:tcPr>
          <w:p w14:paraId="2A36D431" w14:textId="77777777" w:rsidR="004C2C65" w:rsidRPr="00B979D4" w:rsidRDefault="004C2C65" w:rsidP="002A707E">
            <w:pPr>
              <w:pStyle w:val="Tabletext"/>
              <w:jc w:val="center"/>
              <w:rPr>
                <w:rFonts w:eastAsia="SimSun"/>
                <w:lang w:val="es-ES"/>
              </w:rPr>
            </w:pPr>
            <w:r w:rsidRPr="00B979D4">
              <w:rPr>
                <w:rFonts w:cs="Calibri"/>
                <w:lang w:val="es-ES" w:eastAsia="zh-CN"/>
              </w:rPr>
              <w:t>206 152</w:t>
            </w:r>
          </w:p>
        </w:tc>
        <w:tc>
          <w:tcPr>
            <w:tcW w:w="2126" w:type="dxa"/>
            <w:tcBorders>
              <w:top w:val="single" w:sz="4" w:space="0" w:color="auto"/>
              <w:left w:val="single" w:sz="4" w:space="0" w:color="auto"/>
              <w:bottom w:val="single" w:sz="4" w:space="0" w:color="auto"/>
              <w:right w:val="single" w:sz="4" w:space="0" w:color="auto"/>
            </w:tcBorders>
            <w:hideMark/>
          </w:tcPr>
          <w:p w14:paraId="147715F3" w14:textId="77777777" w:rsidR="004C2C65" w:rsidRPr="00B979D4" w:rsidRDefault="004C2C65" w:rsidP="002A707E">
            <w:pPr>
              <w:pStyle w:val="Tabletext"/>
              <w:jc w:val="center"/>
              <w:rPr>
                <w:rFonts w:eastAsia="SimSun" w:cs="Calibri"/>
                <w:strike/>
                <w:lang w:val="es-ES"/>
              </w:rPr>
            </w:pPr>
            <w:r w:rsidRPr="00B979D4">
              <w:rPr>
                <w:rFonts w:cs="Calibri"/>
                <w:lang w:val="es-ES" w:eastAsia="zh-CN"/>
              </w:rPr>
              <w:t>473 439</w:t>
            </w:r>
          </w:p>
        </w:tc>
      </w:tr>
      <w:tr w:rsidR="004C2C65" w:rsidRPr="00B979D4" w14:paraId="243D6DD2" w14:textId="77777777" w:rsidTr="0064286C">
        <w:tc>
          <w:tcPr>
            <w:tcW w:w="250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6D0AC6E3" w14:textId="77777777" w:rsidR="004C2C65" w:rsidRPr="00B979D4" w:rsidRDefault="004C2C65" w:rsidP="002A707E">
            <w:pPr>
              <w:pStyle w:val="Tabletext"/>
              <w:rPr>
                <w:rFonts w:eastAsia="SimSun" w:cs="Calibri"/>
                <w:szCs w:val="24"/>
                <w:lang w:val="es-ES"/>
              </w:rPr>
            </w:pPr>
            <w:r w:rsidRPr="00B979D4">
              <w:rPr>
                <w:rFonts w:eastAsia="SimSun"/>
                <w:lang w:val="es-ES"/>
              </w:rPr>
              <w:t>Vicesecretario General y Directores de las Oficinas</w:t>
            </w:r>
          </w:p>
        </w:tc>
        <w:tc>
          <w:tcPr>
            <w:tcW w:w="2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CE208" w14:textId="77777777" w:rsidR="004C2C65" w:rsidRPr="00B979D4" w:rsidRDefault="004C2C65" w:rsidP="002A707E">
            <w:pPr>
              <w:pStyle w:val="Tabletext"/>
              <w:jc w:val="center"/>
              <w:rPr>
                <w:rFonts w:eastAsia="SimSun" w:cs="Calibri"/>
                <w:strike/>
                <w:szCs w:val="24"/>
                <w:lang w:val="es-ES"/>
              </w:rPr>
            </w:pPr>
            <w:r w:rsidRPr="00B979D4">
              <w:rPr>
                <w:rFonts w:cs="Calibri"/>
                <w:lang w:val="es-ES" w:eastAsia="zh-CN"/>
              </w:rPr>
              <w:t>263 226</w:t>
            </w:r>
          </w:p>
        </w:tc>
        <w:tc>
          <w:tcPr>
            <w:tcW w:w="2551" w:type="dxa"/>
            <w:tcBorders>
              <w:top w:val="single" w:sz="4" w:space="0" w:color="auto"/>
              <w:left w:val="single" w:sz="4" w:space="0" w:color="auto"/>
              <w:bottom w:val="single" w:sz="4" w:space="0" w:color="auto"/>
              <w:right w:val="single" w:sz="4" w:space="0" w:color="auto"/>
            </w:tcBorders>
          </w:tcPr>
          <w:p w14:paraId="3EF83894" w14:textId="77777777" w:rsidR="004C2C65" w:rsidRPr="00B979D4" w:rsidRDefault="004C2C65" w:rsidP="002A707E">
            <w:pPr>
              <w:pStyle w:val="Tabletext"/>
              <w:jc w:val="center"/>
              <w:rPr>
                <w:rFonts w:eastAsia="SimSun"/>
                <w:lang w:val="es-ES"/>
              </w:rPr>
            </w:pPr>
            <w:r w:rsidRPr="00B979D4">
              <w:rPr>
                <w:rFonts w:cs="Calibri"/>
                <w:lang w:val="es-ES" w:eastAsia="zh-CN"/>
              </w:rPr>
              <w:t>189 229</w:t>
            </w:r>
          </w:p>
        </w:tc>
        <w:tc>
          <w:tcPr>
            <w:tcW w:w="2126" w:type="dxa"/>
            <w:tcBorders>
              <w:top w:val="single" w:sz="4" w:space="0" w:color="auto"/>
              <w:left w:val="single" w:sz="4" w:space="0" w:color="auto"/>
              <w:bottom w:val="single" w:sz="4" w:space="0" w:color="auto"/>
              <w:right w:val="single" w:sz="4" w:space="0" w:color="auto"/>
            </w:tcBorders>
            <w:hideMark/>
          </w:tcPr>
          <w:p w14:paraId="539F6047" w14:textId="77777777" w:rsidR="004C2C65" w:rsidRPr="00B979D4" w:rsidRDefault="004C2C65" w:rsidP="002A707E">
            <w:pPr>
              <w:pStyle w:val="Tabletext"/>
              <w:jc w:val="center"/>
              <w:rPr>
                <w:rFonts w:eastAsia="SimSun" w:cs="Calibri"/>
                <w:strike/>
                <w:szCs w:val="24"/>
                <w:lang w:val="es-ES"/>
              </w:rPr>
            </w:pPr>
            <w:r w:rsidRPr="00B979D4">
              <w:rPr>
                <w:rFonts w:cs="Calibri"/>
                <w:lang w:val="es-ES" w:eastAsia="zh-CN"/>
              </w:rPr>
              <w:t>439 098</w:t>
            </w:r>
          </w:p>
        </w:tc>
      </w:tr>
    </w:tbl>
    <w:p w14:paraId="63AAC596" w14:textId="2AC12F69" w:rsidR="004C2C65" w:rsidRPr="00B979D4" w:rsidRDefault="004C2C65" w:rsidP="004C2C65">
      <w:pPr>
        <w:spacing w:before="840"/>
        <w:jc w:val="center"/>
        <w:rPr>
          <w:lang w:val="es-ES"/>
        </w:rPr>
      </w:pPr>
      <w:r>
        <w:rPr>
          <w:lang w:val="en-GB"/>
        </w:rPr>
        <w:t>***************</w:t>
      </w:r>
    </w:p>
    <w:sectPr w:rsidR="004C2C65" w:rsidRPr="00B979D4" w:rsidSect="00C538FC">
      <w:footerReference w:type="default" r:id="rId174"/>
      <w:headerReference w:type="first" r:id="rId175"/>
      <w:footerReference w:type="first" r:id="rId17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31F3" w14:textId="77777777" w:rsidR="00F21BC7" w:rsidRDefault="00F21BC7">
      <w:r>
        <w:separator/>
      </w:r>
    </w:p>
  </w:endnote>
  <w:endnote w:type="continuationSeparator" w:id="0">
    <w:p w14:paraId="0DA387FA" w14:textId="77777777" w:rsidR="00F21BC7" w:rsidRDefault="00F2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65E576E5" w14:textId="77777777" w:rsidTr="00E31DCE">
      <w:trPr>
        <w:jc w:val="center"/>
      </w:trPr>
      <w:tc>
        <w:tcPr>
          <w:tcW w:w="1803" w:type="dxa"/>
          <w:vAlign w:val="center"/>
        </w:tcPr>
        <w:p w14:paraId="1011D05E" w14:textId="1E72199E" w:rsidR="003273A4" w:rsidRDefault="002946E2" w:rsidP="003273A4">
          <w:pPr>
            <w:pStyle w:val="Header"/>
            <w:jc w:val="left"/>
            <w:rPr>
              <w:noProof/>
            </w:rPr>
          </w:pPr>
          <w:r>
            <w:rPr>
              <w:noProof/>
            </w:rPr>
            <w:t xml:space="preserve">gDoc </w:t>
          </w:r>
          <w:r w:rsidR="00E25BFD">
            <w:rPr>
              <w:noProof/>
            </w:rPr>
            <w:t>2</w:t>
          </w:r>
          <w:r w:rsidR="00ED25D7">
            <w:rPr>
              <w:noProof/>
            </w:rPr>
            <w:t>6</w:t>
          </w:r>
          <w:r w:rsidR="00E25BFD">
            <w:rPr>
              <w:noProof/>
            </w:rPr>
            <w:t>01168</w:t>
          </w:r>
        </w:p>
      </w:tc>
      <w:tc>
        <w:tcPr>
          <w:tcW w:w="8261" w:type="dxa"/>
        </w:tcPr>
        <w:p w14:paraId="167371E7" w14:textId="559A7DAA"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E25BFD">
            <w:rPr>
              <w:bCs/>
            </w:rPr>
            <w:t>116</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F0F1013"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41B448D3" w14:textId="77777777" w:rsidTr="00E31DCE">
      <w:trPr>
        <w:jc w:val="center"/>
      </w:trPr>
      <w:tc>
        <w:tcPr>
          <w:tcW w:w="1803" w:type="dxa"/>
          <w:vAlign w:val="center"/>
        </w:tcPr>
        <w:p w14:paraId="6C4EDAC8"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282C2C82" w14:textId="16177839"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E25BFD">
            <w:rPr>
              <w:bCs/>
            </w:rPr>
            <w:t>116</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3C5A9913"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90711" w14:textId="77777777" w:rsidR="00F21BC7" w:rsidRDefault="00F21BC7">
      <w:r>
        <w:t>____________________</w:t>
      </w:r>
    </w:p>
  </w:footnote>
  <w:footnote w:type="continuationSeparator" w:id="0">
    <w:p w14:paraId="708578B2" w14:textId="77777777" w:rsidR="00F21BC7" w:rsidRDefault="00F21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6DE1" w14:textId="77777777" w:rsidR="001559F5" w:rsidRPr="00B1560D" w:rsidRDefault="00B1560D" w:rsidP="00B1560D">
    <w:pPr>
      <w:pStyle w:val="Header"/>
    </w:pPr>
    <w:r>
      <w:rPr>
        <w:noProof/>
      </w:rPr>
      <w:drawing>
        <wp:inline distT="0" distB="0" distL="0" distR="0" wp14:anchorId="51ECF0F0" wp14:editId="7373E94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E8FB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CCB5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1441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F0BD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4CC8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BA45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3C62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0E54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0D482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D2D9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364C75"/>
    <w:multiLevelType w:val="hybridMultilevel"/>
    <w:tmpl w:val="94748E96"/>
    <w:lvl w:ilvl="0" w:tplc="F1760290">
      <w:start w:val="10"/>
      <w:numFmt w:val="bullet"/>
      <w:lvlText w:val=""/>
      <w:lvlJc w:val="left"/>
      <w:pPr>
        <w:ind w:left="398" w:hanging="360"/>
      </w:pPr>
      <w:rPr>
        <w:rFonts w:ascii="Symbol" w:eastAsiaTheme="minorHAnsi" w:hAnsi="Symbol" w:cstheme="minorBidi"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num w:numId="1" w16cid:durableId="2051494496">
    <w:abstractNumId w:val="9"/>
  </w:num>
  <w:num w:numId="2" w16cid:durableId="1101799640">
    <w:abstractNumId w:val="7"/>
  </w:num>
  <w:num w:numId="3" w16cid:durableId="1004162973">
    <w:abstractNumId w:val="6"/>
  </w:num>
  <w:num w:numId="4" w16cid:durableId="1872835345">
    <w:abstractNumId w:val="5"/>
  </w:num>
  <w:num w:numId="5" w16cid:durableId="127237837">
    <w:abstractNumId w:val="4"/>
  </w:num>
  <w:num w:numId="6" w16cid:durableId="590048021">
    <w:abstractNumId w:val="8"/>
  </w:num>
  <w:num w:numId="7" w16cid:durableId="1261640906">
    <w:abstractNumId w:val="3"/>
  </w:num>
  <w:num w:numId="8" w16cid:durableId="1587035719">
    <w:abstractNumId w:val="2"/>
  </w:num>
  <w:num w:numId="9" w16cid:durableId="446387465">
    <w:abstractNumId w:val="1"/>
  </w:num>
  <w:num w:numId="10" w16cid:durableId="1575703722">
    <w:abstractNumId w:val="0"/>
  </w:num>
  <w:num w:numId="11" w16cid:durableId="1872763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77"/>
    <w:rsid w:val="000007D1"/>
    <w:rsid w:val="00003661"/>
    <w:rsid w:val="000060C5"/>
    <w:rsid w:val="000126B6"/>
    <w:rsid w:val="00014309"/>
    <w:rsid w:val="000327BD"/>
    <w:rsid w:val="00033400"/>
    <w:rsid w:val="00036C7E"/>
    <w:rsid w:val="00036D9C"/>
    <w:rsid w:val="000436D6"/>
    <w:rsid w:val="000475AF"/>
    <w:rsid w:val="00054E1C"/>
    <w:rsid w:val="0006007D"/>
    <w:rsid w:val="00062836"/>
    <w:rsid w:val="00067DB0"/>
    <w:rsid w:val="000719A0"/>
    <w:rsid w:val="000719A8"/>
    <w:rsid w:val="000758A2"/>
    <w:rsid w:val="00075D08"/>
    <w:rsid w:val="00076B9E"/>
    <w:rsid w:val="000804EA"/>
    <w:rsid w:val="000837BE"/>
    <w:rsid w:val="0008458F"/>
    <w:rsid w:val="00087813"/>
    <w:rsid w:val="000910BA"/>
    <w:rsid w:val="00093EEB"/>
    <w:rsid w:val="00095774"/>
    <w:rsid w:val="00097514"/>
    <w:rsid w:val="000A3552"/>
    <w:rsid w:val="000A35F0"/>
    <w:rsid w:val="000A3B01"/>
    <w:rsid w:val="000A4203"/>
    <w:rsid w:val="000B0594"/>
    <w:rsid w:val="000B0D00"/>
    <w:rsid w:val="000B17CA"/>
    <w:rsid w:val="000B3843"/>
    <w:rsid w:val="000B7C15"/>
    <w:rsid w:val="000C57CA"/>
    <w:rsid w:val="000C72DF"/>
    <w:rsid w:val="000D1D0F"/>
    <w:rsid w:val="000D20F4"/>
    <w:rsid w:val="000E31A1"/>
    <w:rsid w:val="000E34DF"/>
    <w:rsid w:val="000E3F07"/>
    <w:rsid w:val="000F16D5"/>
    <w:rsid w:val="000F5290"/>
    <w:rsid w:val="000F5A95"/>
    <w:rsid w:val="000F5B43"/>
    <w:rsid w:val="0010165C"/>
    <w:rsid w:val="00103D78"/>
    <w:rsid w:val="00110497"/>
    <w:rsid w:val="00113F8D"/>
    <w:rsid w:val="001202E8"/>
    <w:rsid w:val="00136B32"/>
    <w:rsid w:val="00141196"/>
    <w:rsid w:val="001412C5"/>
    <w:rsid w:val="00142BC5"/>
    <w:rsid w:val="00146BFB"/>
    <w:rsid w:val="00154B0D"/>
    <w:rsid w:val="001559F5"/>
    <w:rsid w:val="00156061"/>
    <w:rsid w:val="00157AC4"/>
    <w:rsid w:val="0016169C"/>
    <w:rsid w:val="00164A67"/>
    <w:rsid w:val="00166668"/>
    <w:rsid w:val="00170375"/>
    <w:rsid w:val="0017057D"/>
    <w:rsid w:val="00181D88"/>
    <w:rsid w:val="00184AC5"/>
    <w:rsid w:val="00191B95"/>
    <w:rsid w:val="001958F5"/>
    <w:rsid w:val="00196F7B"/>
    <w:rsid w:val="001A538A"/>
    <w:rsid w:val="001B271D"/>
    <w:rsid w:val="001B6E2B"/>
    <w:rsid w:val="001C11D8"/>
    <w:rsid w:val="001D0ECF"/>
    <w:rsid w:val="001D759A"/>
    <w:rsid w:val="001E3360"/>
    <w:rsid w:val="001F14A2"/>
    <w:rsid w:val="001F4A15"/>
    <w:rsid w:val="001F4D38"/>
    <w:rsid w:val="002020A7"/>
    <w:rsid w:val="002056EC"/>
    <w:rsid w:val="00212795"/>
    <w:rsid w:val="00214B75"/>
    <w:rsid w:val="002228AC"/>
    <w:rsid w:val="00227F7B"/>
    <w:rsid w:val="00245F0B"/>
    <w:rsid w:val="00246470"/>
    <w:rsid w:val="00254762"/>
    <w:rsid w:val="00255936"/>
    <w:rsid w:val="00261B15"/>
    <w:rsid w:val="00262D32"/>
    <w:rsid w:val="00272F95"/>
    <w:rsid w:val="002751E9"/>
    <w:rsid w:val="00277DEA"/>
    <w:rsid w:val="002801AA"/>
    <w:rsid w:val="002801E3"/>
    <w:rsid w:val="00290345"/>
    <w:rsid w:val="002946E2"/>
    <w:rsid w:val="002A7AA0"/>
    <w:rsid w:val="002C2BEB"/>
    <w:rsid w:val="002C3F32"/>
    <w:rsid w:val="002C4370"/>
    <w:rsid w:val="002C4676"/>
    <w:rsid w:val="002C6CB7"/>
    <w:rsid w:val="002C70B0"/>
    <w:rsid w:val="002C7529"/>
    <w:rsid w:val="002C7FE3"/>
    <w:rsid w:val="002D09C1"/>
    <w:rsid w:val="002D0F4B"/>
    <w:rsid w:val="002D4418"/>
    <w:rsid w:val="002E155D"/>
    <w:rsid w:val="002E1D86"/>
    <w:rsid w:val="002F3CC4"/>
    <w:rsid w:val="002F4AC2"/>
    <w:rsid w:val="003032E2"/>
    <w:rsid w:val="00304AF1"/>
    <w:rsid w:val="0031300A"/>
    <w:rsid w:val="003177C9"/>
    <w:rsid w:val="003205A7"/>
    <w:rsid w:val="00320CB2"/>
    <w:rsid w:val="00322B95"/>
    <w:rsid w:val="003273A4"/>
    <w:rsid w:val="00333704"/>
    <w:rsid w:val="003369F8"/>
    <w:rsid w:val="0034207A"/>
    <w:rsid w:val="003476A0"/>
    <w:rsid w:val="0034796E"/>
    <w:rsid w:val="00352101"/>
    <w:rsid w:val="0035328A"/>
    <w:rsid w:val="0035774A"/>
    <w:rsid w:val="00382450"/>
    <w:rsid w:val="00383731"/>
    <w:rsid w:val="003837AB"/>
    <w:rsid w:val="00383F4E"/>
    <w:rsid w:val="00386326"/>
    <w:rsid w:val="00393A84"/>
    <w:rsid w:val="003943DC"/>
    <w:rsid w:val="003B289C"/>
    <w:rsid w:val="003C2026"/>
    <w:rsid w:val="003E05FB"/>
    <w:rsid w:val="003E2BE2"/>
    <w:rsid w:val="003F48D9"/>
    <w:rsid w:val="00410200"/>
    <w:rsid w:val="00423D11"/>
    <w:rsid w:val="004262B0"/>
    <w:rsid w:val="00426BA3"/>
    <w:rsid w:val="00432D00"/>
    <w:rsid w:val="0043737D"/>
    <w:rsid w:val="00442022"/>
    <w:rsid w:val="00451AFE"/>
    <w:rsid w:val="0045217F"/>
    <w:rsid w:val="00452CBD"/>
    <w:rsid w:val="0045335C"/>
    <w:rsid w:val="004571B0"/>
    <w:rsid w:val="00457501"/>
    <w:rsid w:val="00460BD1"/>
    <w:rsid w:val="00463E74"/>
    <w:rsid w:val="004653EC"/>
    <w:rsid w:val="00465C35"/>
    <w:rsid w:val="00473962"/>
    <w:rsid w:val="0047507A"/>
    <w:rsid w:val="00475207"/>
    <w:rsid w:val="00476323"/>
    <w:rsid w:val="004843BB"/>
    <w:rsid w:val="00484644"/>
    <w:rsid w:val="004902DE"/>
    <w:rsid w:val="00490FED"/>
    <w:rsid w:val="00492CB5"/>
    <w:rsid w:val="00495161"/>
    <w:rsid w:val="00495585"/>
    <w:rsid w:val="004974C2"/>
    <w:rsid w:val="004A1A3C"/>
    <w:rsid w:val="004A47EF"/>
    <w:rsid w:val="004B1986"/>
    <w:rsid w:val="004B5D49"/>
    <w:rsid w:val="004C0D99"/>
    <w:rsid w:val="004C174B"/>
    <w:rsid w:val="004C2C65"/>
    <w:rsid w:val="004D28AD"/>
    <w:rsid w:val="004D3A3C"/>
    <w:rsid w:val="004E129D"/>
    <w:rsid w:val="004F5240"/>
    <w:rsid w:val="00504896"/>
    <w:rsid w:val="005052FE"/>
    <w:rsid w:val="00513630"/>
    <w:rsid w:val="005237CF"/>
    <w:rsid w:val="00523A2B"/>
    <w:rsid w:val="005244AE"/>
    <w:rsid w:val="0052600C"/>
    <w:rsid w:val="00532DF5"/>
    <w:rsid w:val="005457EE"/>
    <w:rsid w:val="00551D76"/>
    <w:rsid w:val="0055515A"/>
    <w:rsid w:val="00556EA6"/>
    <w:rsid w:val="00560125"/>
    <w:rsid w:val="00560D18"/>
    <w:rsid w:val="00572190"/>
    <w:rsid w:val="005723B6"/>
    <w:rsid w:val="0057685D"/>
    <w:rsid w:val="00581700"/>
    <w:rsid w:val="00585553"/>
    <w:rsid w:val="005936CB"/>
    <w:rsid w:val="005A1513"/>
    <w:rsid w:val="005A1FA1"/>
    <w:rsid w:val="005A3B14"/>
    <w:rsid w:val="005A3C5B"/>
    <w:rsid w:val="005A5535"/>
    <w:rsid w:val="005B34D9"/>
    <w:rsid w:val="005C2B8F"/>
    <w:rsid w:val="005D0CCF"/>
    <w:rsid w:val="005D14C0"/>
    <w:rsid w:val="005E0D5B"/>
    <w:rsid w:val="005E2B73"/>
    <w:rsid w:val="005E411B"/>
    <w:rsid w:val="005E4B76"/>
    <w:rsid w:val="005E58DD"/>
    <w:rsid w:val="005F0915"/>
    <w:rsid w:val="005F3BCB"/>
    <w:rsid w:val="005F410F"/>
    <w:rsid w:val="0060149A"/>
    <w:rsid w:val="00601924"/>
    <w:rsid w:val="00605253"/>
    <w:rsid w:val="0060644D"/>
    <w:rsid w:val="006200B5"/>
    <w:rsid w:val="006216E7"/>
    <w:rsid w:val="006233AB"/>
    <w:rsid w:val="00631154"/>
    <w:rsid w:val="00631339"/>
    <w:rsid w:val="00632034"/>
    <w:rsid w:val="00634ACB"/>
    <w:rsid w:val="00634CE1"/>
    <w:rsid w:val="00635D06"/>
    <w:rsid w:val="0064286C"/>
    <w:rsid w:val="00642F0D"/>
    <w:rsid w:val="006447EA"/>
    <w:rsid w:val="0064481D"/>
    <w:rsid w:val="0064731F"/>
    <w:rsid w:val="006535E6"/>
    <w:rsid w:val="006602F4"/>
    <w:rsid w:val="00660957"/>
    <w:rsid w:val="00664572"/>
    <w:rsid w:val="00666D09"/>
    <w:rsid w:val="00670579"/>
    <w:rsid w:val="006710F6"/>
    <w:rsid w:val="00677A97"/>
    <w:rsid w:val="00681088"/>
    <w:rsid w:val="00687CEA"/>
    <w:rsid w:val="006A2CDD"/>
    <w:rsid w:val="006A513D"/>
    <w:rsid w:val="006B4C1D"/>
    <w:rsid w:val="006C198E"/>
    <w:rsid w:val="006C1B56"/>
    <w:rsid w:val="006C46B3"/>
    <w:rsid w:val="006C6C8C"/>
    <w:rsid w:val="006C6C92"/>
    <w:rsid w:val="006D4761"/>
    <w:rsid w:val="006E0F55"/>
    <w:rsid w:val="006E33AE"/>
    <w:rsid w:val="006E3875"/>
    <w:rsid w:val="006E6BF2"/>
    <w:rsid w:val="007113C1"/>
    <w:rsid w:val="00715FA2"/>
    <w:rsid w:val="00722A45"/>
    <w:rsid w:val="007239B8"/>
    <w:rsid w:val="007240B7"/>
    <w:rsid w:val="00726872"/>
    <w:rsid w:val="00737031"/>
    <w:rsid w:val="0074775B"/>
    <w:rsid w:val="00756112"/>
    <w:rsid w:val="00757D1B"/>
    <w:rsid w:val="00760F1C"/>
    <w:rsid w:val="00762EE4"/>
    <w:rsid w:val="00764CF2"/>
    <w:rsid w:val="007657F0"/>
    <w:rsid w:val="0077110E"/>
    <w:rsid w:val="0077252D"/>
    <w:rsid w:val="00776D61"/>
    <w:rsid w:val="00781083"/>
    <w:rsid w:val="00791626"/>
    <w:rsid w:val="007955DA"/>
    <w:rsid w:val="007957D9"/>
    <w:rsid w:val="007A143E"/>
    <w:rsid w:val="007C468C"/>
    <w:rsid w:val="007D3544"/>
    <w:rsid w:val="007D381D"/>
    <w:rsid w:val="007E15B7"/>
    <w:rsid w:val="007E4A0B"/>
    <w:rsid w:val="007E5DD3"/>
    <w:rsid w:val="007F2153"/>
    <w:rsid w:val="007F350B"/>
    <w:rsid w:val="007F48DB"/>
    <w:rsid w:val="007F65F5"/>
    <w:rsid w:val="00806567"/>
    <w:rsid w:val="00810681"/>
    <w:rsid w:val="008142E1"/>
    <w:rsid w:val="008207A1"/>
    <w:rsid w:val="00820BE4"/>
    <w:rsid w:val="0082151B"/>
    <w:rsid w:val="00826155"/>
    <w:rsid w:val="0082781E"/>
    <w:rsid w:val="00833AD7"/>
    <w:rsid w:val="00842A96"/>
    <w:rsid w:val="008451E8"/>
    <w:rsid w:val="0084546D"/>
    <w:rsid w:val="00854ACB"/>
    <w:rsid w:val="00856B42"/>
    <w:rsid w:val="00862A4F"/>
    <w:rsid w:val="00870C4D"/>
    <w:rsid w:val="008756B4"/>
    <w:rsid w:val="00875C45"/>
    <w:rsid w:val="00884245"/>
    <w:rsid w:val="00884C49"/>
    <w:rsid w:val="008926A1"/>
    <w:rsid w:val="0089576E"/>
    <w:rsid w:val="008A1A61"/>
    <w:rsid w:val="008A5101"/>
    <w:rsid w:val="008B5FBA"/>
    <w:rsid w:val="008B73D9"/>
    <w:rsid w:val="008C7727"/>
    <w:rsid w:val="008D027D"/>
    <w:rsid w:val="008D46D5"/>
    <w:rsid w:val="008E2B29"/>
    <w:rsid w:val="008F6ABC"/>
    <w:rsid w:val="008F72E4"/>
    <w:rsid w:val="00900B1F"/>
    <w:rsid w:val="00913B9C"/>
    <w:rsid w:val="00913D2E"/>
    <w:rsid w:val="00927F93"/>
    <w:rsid w:val="0093398E"/>
    <w:rsid w:val="00950DAB"/>
    <w:rsid w:val="00955BE1"/>
    <w:rsid w:val="00956574"/>
    <w:rsid w:val="00956E77"/>
    <w:rsid w:val="00963365"/>
    <w:rsid w:val="00974D80"/>
    <w:rsid w:val="00976032"/>
    <w:rsid w:val="009817A6"/>
    <w:rsid w:val="00990D4A"/>
    <w:rsid w:val="00990F94"/>
    <w:rsid w:val="00991944"/>
    <w:rsid w:val="009A0F50"/>
    <w:rsid w:val="009A338E"/>
    <w:rsid w:val="009A5A3C"/>
    <w:rsid w:val="009A76A8"/>
    <w:rsid w:val="009B1190"/>
    <w:rsid w:val="009B346F"/>
    <w:rsid w:val="009D02EC"/>
    <w:rsid w:val="009D46C1"/>
    <w:rsid w:val="009D511C"/>
    <w:rsid w:val="009E25BB"/>
    <w:rsid w:val="009E3DA7"/>
    <w:rsid w:val="009E5C8C"/>
    <w:rsid w:val="009F0E7B"/>
    <w:rsid w:val="009F3F2D"/>
    <w:rsid w:val="009F46CF"/>
    <w:rsid w:val="009F4811"/>
    <w:rsid w:val="00A01F4F"/>
    <w:rsid w:val="00A10497"/>
    <w:rsid w:val="00A109AF"/>
    <w:rsid w:val="00A229F4"/>
    <w:rsid w:val="00A26C2C"/>
    <w:rsid w:val="00A305F6"/>
    <w:rsid w:val="00A419A7"/>
    <w:rsid w:val="00A41A53"/>
    <w:rsid w:val="00A43A8D"/>
    <w:rsid w:val="00A44F55"/>
    <w:rsid w:val="00A45EB9"/>
    <w:rsid w:val="00A4611B"/>
    <w:rsid w:val="00A46732"/>
    <w:rsid w:val="00A55325"/>
    <w:rsid w:val="00A56DB7"/>
    <w:rsid w:val="00A57AB5"/>
    <w:rsid w:val="00A62F4A"/>
    <w:rsid w:val="00A64B98"/>
    <w:rsid w:val="00A85A36"/>
    <w:rsid w:val="00A91E5B"/>
    <w:rsid w:val="00A94438"/>
    <w:rsid w:val="00A95033"/>
    <w:rsid w:val="00A96099"/>
    <w:rsid w:val="00A9651A"/>
    <w:rsid w:val="00A97D37"/>
    <w:rsid w:val="00AA390C"/>
    <w:rsid w:val="00AA3F0F"/>
    <w:rsid w:val="00AA4761"/>
    <w:rsid w:val="00AA7393"/>
    <w:rsid w:val="00AC215E"/>
    <w:rsid w:val="00AC2A4A"/>
    <w:rsid w:val="00AC5AA1"/>
    <w:rsid w:val="00AC6E7F"/>
    <w:rsid w:val="00AD5A4D"/>
    <w:rsid w:val="00AD6AE1"/>
    <w:rsid w:val="00AF0EAC"/>
    <w:rsid w:val="00AF6870"/>
    <w:rsid w:val="00B0200A"/>
    <w:rsid w:val="00B060DF"/>
    <w:rsid w:val="00B07A6B"/>
    <w:rsid w:val="00B1560D"/>
    <w:rsid w:val="00B32803"/>
    <w:rsid w:val="00B4415C"/>
    <w:rsid w:val="00B455A5"/>
    <w:rsid w:val="00B4704B"/>
    <w:rsid w:val="00B477DB"/>
    <w:rsid w:val="00B534AC"/>
    <w:rsid w:val="00B54B97"/>
    <w:rsid w:val="00B574DB"/>
    <w:rsid w:val="00B610A2"/>
    <w:rsid w:val="00B67284"/>
    <w:rsid w:val="00B71376"/>
    <w:rsid w:val="00B745FB"/>
    <w:rsid w:val="00B826C2"/>
    <w:rsid w:val="00B8298E"/>
    <w:rsid w:val="00B84651"/>
    <w:rsid w:val="00BA5DC7"/>
    <w:rsid w:val="00BA764F"/>
    <w:rsid w:val="00BB0238"/>
    <w:rsid w:val="00BB40D7"/>
    <w:rsid w:val="00BB4C40"/>
    <w:rsid w:val="00BB5053"/>
    <w:rsid w:val="00BB6FD8"/>
    <w:rsid w:val="00BC14E0"/>
    <w:rsid w:val="00BD0723"/>
    <w:rsid w:val="00BD2518"/>
    <w:rsid w:val="00BE4D85"/>
    <w:rsid w:val="00BE59E0"/>
    <w:rsid w:val="00BF1D1C"/>
    <w:rsid w:val="00C044F6"/>
    <w:rsid w:val="00C04D5F"/>
    <w:rsid w:val="00C04E34"/>
    <w:rsid w:val="00C12E38"/>
    <w:rsid w:val="00C20C59"/>
    <w:rsid w:val="00C2324A"/>
    <w:rsid w:val="00C24D3E"/>
    <w:rsid w:val="00C2727F"/>
    <w:rsid w:val="00C312D5"/>
    <w:rsid w:val="00C34EC5"/>
    <w:rsid w:val="00C3785F"/>
    <w:rsid w:val="00C4421B"/>
    <w:rsid w:val="00C503F2"/>
    <w:rsid w:val="00C52838"/>
    <w:rsid w:val="00C538FC"/>
    <w:rsid w:val="00C54F21"/>
    <w:rsid w:val="00C54F22"/>
    <w:rsid w:val="00C55B1F"/>
    <w:rsid w:val="00C817F3"/>
    <w:rsid w:val="00C855D3"/>
    <w:rsid w:val="00C86679"/>
    <w:rsid w:val="00C87E98"/>
    <w:rsid w:val="00C9175B"/>
    <w:rsid w:val="00CA7761"/>
    <w:rsid w:val="00CB52C4"/>
    <w:rsid w:val="00CB71B7"/>
    <w:rsid w:val="00CB728E"/>
    <w:rsid w:val="00CC1FAF"/>
    <w:rsid w:val="00CC4AE7"/>
    <w:rsid w:val="00CD3F79"/>
    <w:rsid w:val="00CE7C39"/>
    <w:rsid w:val="00CF1A67"/>
    <w:rsid w:val="00CF2578"/>
    <w:rsid w:val="00D01362"/>
    <w:rsid w:val="00D030BC"/>
    <w:rsid w:val="00D1453A"/>
    <w:rsid w:val="00D162F8"/>
    <w:rsid w:val="00D17D49"/>
    <w:rsid w:val="00D221CE"/>
    <w:rsid w:val="00D26722"/>
    <w:rsid w:val="00D2750E"/>
    <w:rsid w:val="00D32D09"/>
    <w:rsid w:val="00D335AF"/>
    <w:rsid w:val="00D375E0"/>
    <w:rsid w:val="00D44E45"/>
    <w:rsid w:val="00D4778E"/>
    <w:rsid w:val="00D50A36"/>
    <w:rsid w:val="00D53D1E"/>
    <w:rsid w:val="00D5731C"/>
    <w:rsid w:val="00D62446"/>
    <w:rsid w:val="00D674E1"/>
    <w:rsid w:val="00D726C8"/>
    <w:rsid w:val="00D80C86"/>
    <w:rsid w:val="00DA0AB2"/>
    <w:rsid w:val="00DA1202"/>
    <w:rsid w:val="00DA4DB0"/>
    <w:rsid w:val="00DA4EA2"/>
    <w:rsid w:val="00DB4F4B"/>
    <w:rsid w:val="00DC21CB"/>
    <w:rsid w:val="00DC29D9"/>
    <w:rsid w:val="00DC318B"/>
    <w:rsid w:val="00DC3D3E"/>
    <w:rsid w:val="00DC59CD"/>
    <w:rsid w:val="00DD2CC7"/>
    <w:rsid w:val="00DE11BB"/>
    <w:rsid w:val="00DE2592"/>
    <w:rsid w:val="00DE2C90"/>
    <w:rsid w:val="00DE349C"/>
    <w:rsid w:val="00DE3B24"/>
    <w:rsid w:val="00DE4913"/>
    <w:rsid w:val="00DE65D4"/>
    <w:rsid w:val="00DE7376"/>
    <w:rsid w:val="00DE7624"/>
    <w:rsid w:val="00DF3A76"/>
    <w:rsid w:val="00DF6B11"/>
    <w:rsid w:val="00E06947"/>
    <w:rsid w:val="00E0741C"/>
    <w:rsid w:val="00E11319"/>
    <w:rsid w:val="00E14040"/>
    <w:rsid w:val="00E1594D"/>
    <w:rsid w:val="00E16B99"/>
    <w:rsid w:val="00E17B0A"/>
    <w:rsid w:val="00E21444"/>
    <w:rsid w:val="00E22C1A"/>
    <w:rsid w:val="00E25BFD"/>
    <w:rsid w:val="00E34072"/>
    <w:rsid w:val="00E3592D"/>
    <w:rsid w:val="00E44FBE"/>
    <w:rsid w:val="00E50D76"/>
    <w:rsid w:val="00E51228"/>
    <w:rsid w:val="00E55CD8"/>
    <w:rsid w:val="00E632E6"/>
    <w:rsid w:val="00E67821"/>
    <w:rsid w:val="00E7088D"/>
    <w:rsid w:val="00E71850"/>
    <w:rsid w:val="00E77B5F"/>
    <w:rsid w:val="00E8018B"/>
    <w:rsid w:val="00E83666"/>
    <w:rsid w:val="00E86899"/>
    <w:rsid w:val="00E92DE8"/>
    <w:rsid w:val="00E96369"/>
    <w:rsid w:val="00EA357C"/>
    <w:rsid w:val="00EA399C"/>
    <w:rsid w:val="00EA7593"/>
    <w:rsid w:val="00EA7A65"/>
    <w:rsid w:val="00EB1212"/>
    <w:rsid w:val="00EB18A4"/>
    <w:rsid w:val="00EB2C6A"/>
    <w:rsid w:val="00EC4DFB"/>
    <w:rsid w:val="00ED2477"/>
    <w:rsid w:val="00ED25D7"/>
    <w:rsid w:val="00ED32D7"/>
    <w:rsid w:val="00ED65AB"/>
    <w:rsid w:val="00EE29F5"/>
    <w:rsid w:val="00EF060C"/>
    <w:rsid w:val="00EF332F"/>
    <w:rsid w:val="00EF6330"/>
    <w:rsid w:val="00F05BE7"/>
    <w:rsid w:val="00F10968"/>
    <w:rsid w:val="00F12850"/>
    <w:rsid w:val="00F15C54"/>
    <w:rsid w:val="00F1797C"/>
    <w:rsid w:val="00F17F50"/>
    <w:rsid w:val="00F21BC7"/>
    <w:rsid w:val="00F24B71"/>
    <w:rsid w:val="00F26FD5"/>
    <w:rsid w:val="00F33BF4"/>
    <w:rsid w:val="00F47D7B"/>
    <w:rsid w:val="00F50B08"/>
    <w:rsid w:val="00F61806"/>
    <w:rsid w:val="00F70066"/>
    <w:rsid w:val="00F7105E"/>
    <w:rsid w:val="00F75F57"/>
    <w:rsid w:val="00F82FEE"/>
    <w:rsid w:val="00F85E5C"/>
    <w:rsid w:val="00F92BED"/>
    <w:rsid w:val="00FA49A9"/>
    <w:rsid w:val="00FB26C4"/>
    <w:rsid w:val="00FB5AD9"/>
    <w:rsid w:val="00FB7200"/>
    <w:rsid w:val="00FC493B"/>
    <w:rsid w:val="00FC5B12"/>
    <w:rsid w:val="00FD57D3"/>
    <w:rsid w:val="00FE4B2E"/>
    <w:rsid w:val="00FE57F6"/>
    <w:rsid w:val="00FF11BD"/>
    <w:rsid w:val="00FF1E5C"/>
    <w:rsid w:val="00FF41B0"/>
    <w:rsid w:val="00FF5D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67DC6"/>
  <w15:docId w15:val="{575CA49D-3AF7-43B2-B9B6-1019D6FF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6D6"/>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qFormat/>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customStyle="1" w:styleId="Heading1Char">
    <w:name w:val="Heading 1 Char"/>
    <w:basedOn w:val="DefaultParagraphFont"/>
    <w:link w:val="Heading1"/>
    <w:rsid w:val="00ED2477"/>
    <w:rPr>
      <w:rFonts w:ascii="Calibri" w:hAnsi="Calibri"/>
      <w:b/>
      <w:sz w:val="28"/>
      <w:lang w:val="fr-FR" w:eastAsia="en-US"/>
    </w:rPr>
  </w:style>
  <w:style w:type="paragraph" w:styleId="CommentText">
    <w:name w:val="annotation text"/>
    <w:basedOn w:val="Normal"/>
    <w:link w:val="CommentTextChar"/>
    <w:uiPriority w:val="99"/>
    <w:unhideWhenUsed/>
    <w:rsid w:val="00ED2477"/>
    <w:pPr>
      <w:tabs>
        <w:tab w:val="clear" w:pos="567"/>
        <w:tab w:val="clear" w:pos="1134"/>
        <w:tab w:val="clear" w:pos="1701"/>
        <w:tab w:val="clear" w:pos="2268"/>
        <w:tab w:val="clear" w:pos="2835"/>
      </w:tabs>
      <w:overflowPunct/>
      <w:autoSpaceDE/>
      <w:autoSpaceDN/>
      <w:adjustRightInd/>
      <w:spacing w:before="0" w:after="160"/>
      <w:textAlignment w:val="auto"/>
    </w:pPr>
    <w:rPr>
      <w:rFonts w:asciiTheme="minorHAnsi" w:eastAsiaTheme="minorHAnsi" w:hAnsiTheme="minorHAnsi" w:cstheme="minorBidi"/>
      <w:kern w:val="2"/>
      <w:sz w:val="20"/>
      <w:lang w:val="en-GB"/>
      <w14:ligatures w14:val="standardContextual"/>
    </w:rPr>
  </w:style>
  <w:style w:type="character" w:customStyle="1" w:styleId="CommentTextChar">
    <w:name w:val="Comment Text Char"/>
    <w:basedOn w:val="DefaultParagraphFont"/>
    <w:link w:val="CommentText"/>
    <w:uiPriority w:val="99"/>
    <w:rsid w:val="00ED2477"/>
    <w:rPr>
      <w:rFonts w:asciiTheme="minorHAnsi" w:eastAsiaTheme="minorHAnsi" w:hAnsiTheme="minorHAnsi" w:cstheme="minorBidi"/>
      <w:kern w:val="2"/>
      <w:lang w:val="en-GB" w:eastAsia="en-US"/>
      <w14:ligatures w14:val="standardContextual"/>
    </w:rPr>
  </w:style>
  <w:style w:type="character" w:styleId="CommentReference">
    <w:name w:val="annotation reference"/>
    <w:basedOn w:val="DefaultParagraphFont"/>
    <w:uiPriority w:val="99"/>
    <w:semiHidden/>
    <w:unhideWhenUsed/>
    <w:rsid w:val="00ED2477"/>
    <w:rPr>
      <w:sz w:val="16"/>
      <w:szCs w:val="16"/>
    </w:rPr>
  </w:style>
  <w:style w:type="paragraph" w:styleId="Revision">
    <w:name w:val="Revision"/>
    <w:hidden/>
    <w:uiPriority w:val="99"/>
    <w:semiHidden/>
    <w:rsid w:val="007F48DB"/>
    <w:rPr>
      <w:rFonts w:ascii="Calibri" w:hAnsi="Calibri"/>
      <w:sz w:val="24"/>
      <w:lang w:val="fr-FR" w:eastAsia="en-US"/>
    </w:rPr>
  </w:style>
  <w:style w:type="character" w:customStyle="1" w:styleId="UnresolvedMention1">
    <w:name w:val="Unresolved Mention1"/>
    <w:basedOn w:val="DefaultParagraphFont"/>
    <w:uiPriority w:val="99"/>
    <w:semiHidden/>
    <w:unhideWhenUsed/>
    <w:rsid w:val="00F70066"/>
    <w:rPr>
      <w:color w:val="605E5C"/>
      <w:shd w:val="clear" w:color="auto" w:fill="E1DFDD"/>
    </w:rPr>
  </w:style>
  <w:style w:type="paragraph" w:styleId="BalloonText">
    <w:name w:val="Balloon Text"/>
    <w:basedOn w:val="Normal"/>
    <w:link w:val="BalloonTextChar"/>
    <w:semiHidden/>
    <w:unhideWhenUsed/>
    <w:rsid w:val="00F7006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70066"/>
    <w:rPr>
      <w:rFonts w:ascii="Segoe UI" w:hAnsi="Segoe UI" w:cs="Segoe UI"/>
      <w:sz w:val="18"/>
      <w:szCs w:val="18"/>
      <w:lang w:val="fr-FR" w:eastAsia="en-US"/>
    </w:rPr>
  </w:style>
  <w:style w:type="paragraph" w:styleId="CommentSubject">
    <w:name w:val="annotation subject"/>
    <w:basedOn w:val="CommentText"/>
    <w:next w:val="CommentText"/>
    <w:link w:val="CommentSubjectChar"/>
    <w:semiHidden/>
    <w:unhideWhenUsed/>
    <w:rsid w:val="00F70066"/>
    <w:pPr>
      <w:tabs>
        <w:tab w:val="left" w:pos="567"/>
        <w:tab w:val="left" w:pos="1134"/>
        <w:tab w:val="left" w:pos="1701"/>
        <w:tab w:val="left" w:pos="2268"/>
        <w:tab w:val="left" w:pos="2835"/>
      </w:tabs>
      <w:overflowPunct w:val="0"/>
      <w:autoSpaceDE w:val="0"/>
      <w:autoSpaceDN w:val="0"/>
      <w:adjustRightInd w:val="0"/>
      <w:spacing w:before="120" w:after="0"/>
      <w:textAlignment w:val="baseline"/>
    </w:pPr>
    <w:rPr>
      <w:rFonts w:ascii="Calibri" w:eastAsia="Times New Roman" w:hAnsi="Calibri" w:cs="Times New Roman"/>
      <w:b/>
      <w:bCs/>
      <w:kern w:val="0"/>
      <w:lang w:val="fr-FR"/>
      <w14:ligatures w14:val="none"/>
    </w:rPr>
  </w:style>
  <w:style w:type="character" w:customStyle="1" w:styleId="CommentSubjectChar">
    <w:name w:val="Comment Subject Char"/>
    <w:basedOn w:val="CommentTextChar"/>
    <w:link w:val="CommentSubject"/>
    <w:semiHidden/>
    <w:rsid w:val="00F70066"/>
    <w:rPr>
      <w:rFonts w:ascii="Calibri" w:eastAsiaTheme="minorHAnsi" w:hAnsi="Calibri" w:cstheme="minorBidi"/>
      <w:b/>
      <w:bCs/>
      <w:kern w:val="2"/>
      <w:lang w:val="fr-FR"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28351">
      <w:bodyDiv w:val="1"/>
      <w:marLeft w:val="0"/>
      <w:marRight w:val="0"/>
      <w:marTop w:val="0"/>
      <w:marBottom w:val="0"/>
      <w:divBdr>
        <w:top w:val="none" w:sz="0" w:space="0" w:color="auto"/>
        <w:left w:val="none" w:sz="0" w:space="0" w:color="auto"/>
        <w:bottom w:val="none" w:sz="0" w:space="0" w:color="auto"/>
        <w:right w:val="none" w:sz="0" w:space="0" w:color="auto"/>
      </w:divBdr>
    </w:div>
    <w:div w:id="1126585273">
      <w:bodyDiv w:val="1"/>
      <w:marLeft w:val="0"/>
      <w:marRight w:val="0"/>
      <w:marTop w:val="0"/>
      <w:marBottom w:val="0"/>
      <w:divBdr>
        <w:top w:val="none" w:sz="0" w:space="0" w:color="auto"/>
        <w:left w:val="none" w:sz="0" w:space="0" w:color="auto"/>
        <w:bottom w:val="none" w:sz="0" w:space="0" w:color="auto"/>
        <w:right w:val="none" w:sz="0" w:space="0" w:color="auto"/>
      </w:divBdr>
    </w:div>
    <w:div w:id="1269697679">
      <w:bodyDiv w:val="1"/>
      <w:marLeft w:val="0"/>
      <w:marRight w:val="0"/>
      <w:marTop w:val="0"/>
      <w:marBottom w:val="0"/>
      <w:divBdr>
        <w:top w:val="none" w:sz="0" w:space="0" w:color="auto"/>
        <w:left w:val="none" w:sz="0" w:space="0" w:color="auto"/>
        <w:bottom w:val="none" w:sz="0" w:space="0" w:color="auto"/>
        <w:right w:val="none" w:sz="0" w:space="0" w:color="auto"/>
      </w:divBdr>
    </w:div>
    <w:div w:id="1797328531">
      <w:bodyDiv w:val="1"/>
      <w:marLeft w:val="0"/>
      <w:marRight w:val="0"/>
      <w:marTop w:val="0"/>
      <w:marBottom w:val="0"/>
      <w:divBdr>
        <w:top w:val="none" w:sz="0" w:space="0" w:color="auto"/>
        <w:left w:val="none" w:sz="0" w:space="0" w:color="auto"/>
        <w:bottom w:val="none" w:sz="0" w:space="0" w:color="auto"/>
        <w:right w:val="none" w:sz="0" w:space="0" w:color="auto"/>
      </w:divBdr>
    </w:div>
    <w:div w:id="194029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6-CL-C-0005/es" TargetMode="External"/><Relationship Id="rId21" Type="http://schemas.openxmlformats.org/officeDocument/2006/relationships/hyperlink" Target="https://www.itu.int/md/S26-CL-C-0009/es" TargetMode="External"/><Relationship Id="rId42" Type="http://schemas.openxmlformats.org/officeDocument/2006/relationships/hyperlink" Target="https://www.itu.int/md/S25-SG-CIR-0036/es" TargetMode="External"/><Relationship Id="rId63" Type="http://schemas.openxmlformats.org/officeDocument/2006/relationships/hyperlink" Target="https://www.itu.int/md/S26-CL-C-0096/es" TargetMode="External"/><Relationship Id="rId84" Type="http://schemas.openxmlformats.org/officeDocument/2006/relationships/hyperlink" Target="https://www.itu.int/md/S26-CL-C-0091/es" TargetMode="External"/><Relationship Id="rId138" Type="http://schemas.openxmlformats.org/officeDocument/2006/relationships/hyperlink" Target="https://docs.un.org/es/JIU/REP/2025/3" TargetMode="External"/><Relationship Id="rId159" Type="http://schemas.openxmlformats.org/officeDocument/2006/relationships/hyperlink" Target="https://www.itu.int/md/S26-CL-C-0062/es" TargetMode="External"/><Relationship Id="rId170" Type="http://schemas.openxmlformats.org/officeDocument/2006/relationships/hyperlink" Target="https://www.itu.int/md/S25-CL-C-0042/en" TargetMode="External"/><Relationship Id="rId107" Type="http://schemas.openxmlformats.org/officeDocument/2006/relationships/hyperlink" Target="https://www.itu.int/md/S26-CL-C-0071/es" TargetMode="External"/><Relationship Id="rId11" Type="http://schemas.openxmlformats.org/officeDocument/2006/relationships/hyperlink" Target="https://www.itu.int/md/S26-CL-C-0050/es" TargetMode="External"/><Relationship Id="rId32" Type="http://schemas.openxmlformats.org/officeDocument/2006/relationships/hyperlink" Target="https://www.itu.int/md/S10-CL-C-0067/es" TargetMode="External"/><Relationship Id="rId53" Type="http://schemas.openxmlformats.org/officeDocument/2006/relationships/hyperlink" Target="https://www.itu.int/md/S26-CL-C-0020/es" TargetMode="External"/><Relationship Id="rId74" Type="http://schemas.openxmlformats.org/officeDocument/2006/relationships/hyperlink" Target="https://www.itu.int/md/S26-CL-260428-TD-0006/es" TargetMode="External"/><Relationship Id="rId128" Type="http://schemas.openxmlformats.org/officeDocument/2006/relationships/hyperlink" Target="https://www.itu.int/md/S26-CL-C-0110/en" TargetMode="External"/><Relationship Id="rId149" Type="http://schemas.openxmlformats.org/officeDocument/2006/relationships/hyperlink" Target="https://www.itu.int/md/S26-CL-C-0049/es" TargetMode="External"/><Relationship Id="rId5" Type="http://schemas.openxmlformats.org/officeDocument/2006/relationships/webSettings" Target="webSettings.xml"/><Relationship Id="rId95" Type="http://schemas.openxmlformats.org/officeDocument/2006/relationships/hyperlink" Target="https://www.itu.int/md/S26-CL-C-0065/es" TargetMode="External"/><Relationship Id="rId160" Type="http://schemas.openxmlformats.org/officeDocument/2006/relationships/hyperlink" Target="https://www.itu.int/md/S26-CL-C-0027/es" TargetMode="External"/><Relationship Id="rId22" Type="http://schemas.openxmlformats.org/officeDocument/2006/relationships/hyperlink" Target="https://www.itu.int/md/S26-CL-C-0009/es" TargetMode="External"/><Relationship Id="rId43" Type="http://schemas.openxmlformats.org/officeDocument/2006/relationships/hyperlink" Target="https://www.itu.int/md/S26-CL-C-0073/es" TargetMode="External"/><Relationship Id="rId64" Type="http://schemas.openxmlformats.org/officeDocument/2006/relationships/hyperlink" Target="https://www.itu.int/md/S26-CL-C-0098/es" TargetMode="External"/><Relationship Id="rId118" Type="http://schemas.openxmlformats.org/officeDocument/2006/relationships/hyperlink" Target="https://www.itu.int/md/S26-CL-INF-0023/es" TargetMode="External"/><Relationship Id="rId139" Type="http://schemas.openxmlformats.org/officeDocument/2006/relationships/hyperlink" Target="https://docs.un.org/es/JIU/REP/2025/2" TargetMode="External"/><Relationship Id="rId85" Type="http://schemas.openxmlformats.org/officeDocument/2006/relationships/hyperlink" Target="https://www.itu.int/md/S26-CL-C-0032/es" TargetMode="External"/><Relationship Id="rId150" Type="http://schemas.openxmlformats.org/officeDocument/2006/relationships/hyperlink" Target="https://www.itu.int/md/S26-CL-C-0066/es" TargetMode="External"/><Relationship Id="rId171" Type="http://schemas.openxmlformats.org/officeDocument/2006/relationships/hyperlink" Target="https://www.itu.int/en/council/Pages/Financial-Regulations.aspx" TargetMode="External"/><Relationship Id="rId12" Type="http://schemas.openxmlformats.org/officeDocument/2006/relationships/hyperlink" Target="https://www.itu.int/md/S26-CWGFHR22-C-0033/es" TargetMode="External"/><Relationship Id="rId33" Type="http://schemas.openxmlformats.org/officeDocument/2006/relationships/hyperlink" Target="https://www.itu.int/md/S26-CL-C-0054/es" TargetMode="External"/><Relationship Id="rId108" Type="http://schemas.openxmlformats.org/officeDocument/2006/relationships/hyperlink" Target="https://www.itu.int/md/S25-CL-C-0095/es" TargetMode="External"/><Relationship Id="rId129" Type="http://schemas.openxmlformats.org/officeDocument/2006/relationships/hyperlink" Target="https://www.itu.int/md/S26-CL-C-0110/es" TargetMode="External"/><Relationship Id="rId54" Type="http://schemas.openxmlformats.org/officeDocument/2006/relationships/hyperlink" Target="https://www.itu.int/md/S26-CL-C-0020/es" TargetMode="External"/><Relationship Id="rId75" Type="http://schemas.openxmlformats.org/officeDocument/2006/relationships/hyperlink" Target="https://www.itu.int/md/S26-CL-C-0042/es" TargetMode="External"/><Relationship Id="rId96" Type="http://schemas.openxmlformats.org/officeDocument/2006/relationships/hyperlink" Target="https://www.itu.int/md/S26-CL-C-0105/es" TargetMode="External"/><Relationship Id="rId140" Type="http://schemas.openxmlformats.org/officeDocument/2006/relationships/hyperlink" Target="https://www.unjiu.org/sites/www.unjiu.org/files/jiu_rep_2025_4_english.pdf" TargetMode="External"/><Relationship Id="rId161" Type="http://schemas.openxmlformats.org/officeDocument/2006/relationships/hyperlink" Target="https://www.itu.int/md/S26-CL-C-0089/es" TargetMode="External"/><Relationship Id="rId6" Type="http://schemas.openxmlformats.org/officeDocument/2006/relationships/footnotes" Target="footnotes.xml"/><Relationship Id="rId23" Type="http://schemas.openxmlformats.org/officeDocument/2006/relationships/hyperlink" Target="https://www.itu.int/md/S26-CL-C-0043/es" TargetMode="External"/><Relationship Id="rId28" Type="http://schemas.openxmlformats.org/officeDocument/2006/relationships/hyperlink" Target="https://www.itu.int/md/S26-CL-C-0109/es" TargetMode="External"/><Relationship Id="rId49" Type="http://schemas.openxmlformats.org/officeDocument/2006/relationships/hyperlink" Target="https://www.itu.int/md/S24-CL-C-0022/es" TargetMode="External"/><Relationship Id="rId114" Type="http://schemas.openxmlformats.org/officeDocument/2006/relationships/hyperlink" Target="https://www.itu.int/md/S26-CL-C-0014/es" TargetMode="External"/><Relationship Id="rId119" Type="http://schemas.openxmlformats.org/officeDocument/2006/relationships/hyperlink" Target="https://www.itu.int/md/S26-CL-C-0022/es" TargetMode="External"/><Relationship Id="rId44" Type="http://schemas.openxmlformats.org/officeDocument/2006/relationships/hyperlink" Target="https://www.itu.int/md/S26-CL-INF-0014/es" TargetMode="External"/><Relationship Id="rId60" Type="http://schemas.openxmlformats.org/officeDocument/2006/relationships/hyperlink" Target="https://www.itu.int/md/S26-CL-C-0042/es" TargetMode="External"/><Relationship Id="rId65" Type="http://schemas.openxmlformats.org/officeDocument/2006/relationships/hyperlink" Target="https://www.itu.int/md/S26-CL-C-0090/es" TargetMode="External"/><Relationship Id="rId81" Type="http://schemas.openxmlformats.org/officeDocument/2006/relationships/hyperlink" Target="https://www.itu.int/md/S26-CL-C-0032/es" TargetMode="External"/><Relationship Id="rId86" Type="http://schemas.openxmlformats.org/officeDocument/2006/relationships/hyperlink" Target="https://www.itu.int/md/S26-CL-C-0080/es" TargetMode="External"/><Relationship Id="rId130" Type="http://schemas.openxmlformats.org/officeDocument/2006/relationships/hyperlink" Target="https://www.itu.int/md/S26-CL-C-0022/es" TargetMode="External"/><Relationship Id="rId135" Type="http://schemas.openxmlformats.org/officeDocument/2006/relationships/hyperlink" Target="https://www.itu.int/md/S26-CL-C-0036/es" TargetMode="External"/><Relationship Id="rId151" Type="http://schemas.openxmlformats.org/officeDocument/2006/relationships/hyperlink" Target="https://www.itu.int/md/S26-CL-C-0050/es" TargetMode="External"/><Relationship Id="rId156" Type="http://schemas.openxmlformats.org/officeDocument/2006/relationships/hyperlink" Target="https://www.itu.int/md/S26-CL-C-0067/es" TargetMode="External"/><Relationship Id="rId177" Type="http://schemas.openxmlformats.org/officeDocument/2006/relationships/fontTable" Target="fontTable.xml"/><Relationship Id="rId172" Type="http://schemas.openxmlformats.org/officeDocument/2006/relationships/hyperlink" Target="https://www.itu.int/en/council/Pages/Financial-Regulations.aspx" TargetMode="External"/><Relationship Id="rId13" Type="http://schemas.openxmlformats.org/officeDocument/2006/relationships/hyperlink" Target="https://www.itu.int/md/S26-CL-C-0050/es" TargetMode="External"/><Relationship Id="rId18" Type="http://schemas.openxmlformats.org/officeDocument/2006/relationships/hyperlink" Target="https://www.itu.int/md/S26-CL-C-0034/es" TargetMode="External"/><Relationship Id="rId39" Type="http://schemas.openxmlformats.org/officeDocument/2006/relationships/hyperlink" Target="https://www.itu.int/md/S26-CL-C-0100/es" TargetMode="External"/><Relationship Id="rId109" Type="http://schemas.openxmlformats.org/officeDocument/2006/relationships/hyperlink" Target="https://www.itu.int/md/S26-SG-CIR-0011/es" TargetMode="External"/><Relationship Id="rId34" Type="http://schemas.openxmlformats.org/officeDocument/2006/relationships/hyperlink" Target="https://www.itu.int/md/S26-CL-260428-TD-0005/es" TargetMode="External"/><Relationship Id="rId50" Type="http://schemas.openxmlformats.org/officeDocument/2006/relationships/hyperlink" Target="https://www.itu.int/md/S25-CL-C-0046/es" TargetMode="External"/><Relationship Id="rId55" Type="http://schemas.openxmlformats.org/officeDocument/2006/relationships/hyperlink" Target="https://www.itu.int/md/S26-CL-C-0016/es" TargetMode="External"/><Relationship Id="rId76" Type="http://schemas.openxmlformats.org/officeDocument/2006/relationships/hyperlink" Target="https://www.itu.int/md/S26-CL-C-0112/es" TargetMode="External"/><Relationship Id="rId97" Type="http://schemas.openxmlformats.org/officeDocument/2006/relationships/hyperlink" Target="https://www.itu.int/md/S26-CL-C-0106/es" TargetMode="External"/><Relationship Id="rId104" Type="http://schemas.openxmlformats.org/officeDocument/2006/relationships/hyperlink" Target="https://www.itu.int/md/S26-CL-INF-0004/en" TargetMode="External"/><Relationship Id="rId120" Type="http://schemas.openxmlformats.org/officeDocument/2006/relationships/hyperlink" Target="https://www.itu.int/md/S26-CL-C-0044/es" TargetMode="External"/><Relationship Id="rId125" Type="http://schemas.openxmlformats.org/officeDocument/2006/relationships/hyperlink" Target="https://www.itu.int/md/S26-CL-C-0022/es" TargetMode="External"/><Relationship Id="rId141" Type="http://schemas.openxmlformats.org/officeDocument/2006/relationships/hyperlink" Target="https://www.unjiu.org/sites/www.unjiu.org/files/jiu_rep_2025_3_english.pdf" TargetMode="External"/><Relationship Id="rId146" Type="http://schemas.openxmlformats.org/officeDocument/2006/relationships/hyperlink" Target="https://www.itu.int/md/S26-CL-INF-0017/en" TargetMode="External"/><Relationship Id="rId167" Type="http://schemas.openxmlformats.org/officeDocument/2006/relationships/hyperlink" Target="https://www.itu.int/md/S26-CL-260428-TD-0005/es" TargetMode="External"/><Relationship Id="rId7" Type="http://schemas.openxmlformats.org/officeDocument/2006/relationships/endnotes" Target="endnotes.xml"/><Relationship Id="rId71" Type="http://schemas.openxmlformats.org/officeDocument/2006/relationships/hyperlink" Target="https://www.itu.int/md/S26-CL-C-0042/es" TargetMode="External"/><Relationship Id="rId92" Type="http://schemas.openxmlformats.org/officeDocument/2006/relationships/hyperlink" Target="https://www.itu.int/md/S26-CL-C-0048/es" TargetMode="External"/><Relationship Id="rId162" Type="http://schemas.openxmlformats.org/officeDocument/2006/relationships/hyperlink" Target="https://www.itu.int/md/S26-CL-C-0088/es" TargetMode="External"/><Relationship Id="rId2" Type="http://schemas.openxmlformats.org/officeDocument/2006/relationships/numbering" Target="numbering.xml"/><Relationship Id="rId29" Type="http://schemas.openxmlformats.org/officeDocument/2006/relationships/hyperlink" Target="https://www.itu.int/md/S26-CL-C-0103/es" TargetMode="External"/><Relationship Id="rId24" Type="http://schemas.openxmlformats.org/officeDocument/2006/relationships/hyperlink" Target="https://www.itu.int/md/S26-CL-C-0109/es" TargetMode="External"/><Relationship Id="rId40" Type="http://schemas.openxmlformats.org/officeDocument/2006/relationships/hyperlink" Target="https://www.itu.int/md/S26-CL-C-0073/es" TargetMode="External"/><Relationship Id="rId45" Type="http://schemas.openxmlformats.org/officeDocument/2006/relationships/hyperlink" Target="https://www.itu.int/md/S26-CL-C-0011/es" TargetMode="External"/><Relationship Id="rId66" Type="http://schemas.openxmlformats.org/officeDocument/2006/relationships/hyperlink" Target="https://www.itu.int/md/S26-CL-C-0084/es" TargetMode="External"/><Relationship Id="rId87" Type="http://schemas.openxmlformats.org/officeDocument/2006/relationships/hyperlink" Target="https://www.itu.int/md/S26-CL-C-0081/es" TargetMode="External"/><Relationship Id="rId110" Type="http://schemas.openxmlformats.org/officeDocument/2006/relationships/hyperlink" Target="https://www.itu.int/md/S26-CL-C-0071/es" TargetMode="External"/><Relationship Id="rId115" Type="http://schemas.openxmlformats.org/officeDocument/2006/relationships/hyperlink" Target="https://www.itu.int/md/S26-CL-INF-0027/es" TargetMode="External"/><Relationship Id="rId131" Type="http://schemas.openxmlformats.org/officeDocument/2006/relationships/hyperlink" Target="https://www.itu.int/md/S26-CL-C-0022/es" TargetMode="External"/><Relationship Id="rId136" Type="http://schemas.openxmlformats.org/officeDocument/2006/relationships/hyperlink" Target="https://www.itu.int/md/S26-CL-C-0057/es" TargetMode="External"/><Relationship Id="rId157" Type="http://schemas.openxmlformats.org/officeDocument/2006/relationships/hyperlink" Target="https://www.itu.int/md/S26-CL-C-0062/es" TargetMode="External"/><Relationship Id="rId178" Type="http://schemas.openxmlformats.org/officeDocument/2006/relationships/theme" Target="theme/theme1.xml"/><Relationship Id="rId61" Type="http://schemas.openxmlformats.org/officeDocument/2006/relationships/hyperlink" Target="https://www.itu.int/md/S26-CL-C-0019/es" TargetMode="External"/><Relationship Id="rId82" Type="http://schemas.openxmlformats.org/officeDocument/2006/relationships/hyperlink" Target="https://www.itu.int/md/S26-CL-C-0080/es" TargetMode="External"/><Relationship Id="rId152" Type="http://schemas.openxmlformats.org/officeDocument/2006/relationships/hyperlink" Target="https://www.itu.int/md/S26-CL-C-0050/en" TargetMode="External"/><Relationship Id="rId173" Type="http://schemas.openxmlformats.org/officeDocument/2006/relationships/hyperlink" Target="https://www.itu.int/md/S26-CL-C-0042/es" TargetMode="External"/><Relationship Id="rId19" Type="http://schemas.openxmlformats.org/officeDocument/2006/relationships/hyperlink" Target="https://www.itu.int/md/S26-CL-C-0042/es" TargetMode="External"/><Relationship Id="rId14" Type="http://schemas.openxmlformats.org/officeDocument/2006/relationships/hyperlink" Target="https://www.itu.int/md/S26-CL-C-0053/es" TargetMode="External"/><Relationship Id="rId30" Type="http://schemas.openxmlformats.org/officeDocument/2006/relationships/hyperlink" Target="https://www.itu.int/md/S26-CL-C-0047/es" TargetMode="External"/><Relationship Id="rId35" Type="http://schemas.openxmlformats.org/officeDocument/2006/relationships/hyperlink" Target="https://www.itu.int/md/S26-CL-260428-TD-0005/es" TargetMode="External"/><Relationship Id="rId56" Type="http://schemas.openxmlformats.org/officeDocument/2006/relationships/hyperlink" Target="https://www.itu.int/md/S26-CL-C-0107/es" TargetMode="External"/><Relationship Id="rId77" Type="http://schemas.openxmlformats.org/officeDocument/2006/relationships/hyperlink" Target="https://www.itu.int/md/S26-CL-C-0112/en" TargetMode="External"/><Relationship Id="rId100" Type="http://schemas.openxmlformats.org/officeDocument/2006/relationships/hyperlink" Target="https://www.itu.int/md/S26-CL-C-0106/es" TargetMode="External"/><Relationship Id="rId105" Type="http://schemas.openxmlformats.org/officeDocument/2006/relationships/hyperlink" Target="https://www.itu.int/md/S26-CL-C-0070/es" TargetMode="External"/><Relationship Id="rId126" Type="http://schemas.openxmlformats.org/officeDocument/2006/relationships/hyperlink" Target="https://www.itu.int/md/S26-CL-C-0045/es" TargetMode="External"/><Relationship Id="rId147" Type="http://schemas.openxmlformats.org/officeDocument/2006/relationships/hyperlink" Target="https://www.itu.int/md/S26-CL-INF-0023/en" TargetMode="External"/><Relationship Id="rId168" Type="http://schemas.openxmlformats.org/officeDocument/2006/relationships/hyperlink" Target="https://www.itu.int/md/S26-CL-C-0011/es" TargetMode="External"/><Relationship Id="rId8" Type="http://schemas.openxmlformats.org/officeDocument/2006/relationships/hyperlink" Target="https://www.itu.int/md/S26-CL-INF-0026/es" TargetMode="External"/><Relationship Id="rId51" Type="http://schemas.openxmlformats.org/officeDocument/2006/relationships/hyperlink" Target="https://www.itu.int/md/S26-CL-C-0056/es" TargetMode="External"/><Relationship Id="rId72" Type="http://schemas.openxmlformats.org/officeDocument/2006/relationships/hyperlink" Target="https://www.itu.int/md/S26-CL-C-0034/es" TargetMode="External"/><Relationship Id="rId93" Type="http://schemas.openxmlformats.org/officeDocument/2006/relationships/hyperlink" Target="https://www.itu.int/md/S26-CL-C-0063/es" TargetMode="External"/><Relationship Id="rId98" Type="http://schemas.openxmlformats.org/officeDocument/2006/relationships/hyperlink" Target="https://www.itu.int/md/S26-CL-C-0065/es" TargetMode="External"/><Relationship Id="rId121" Type="http://schemas.openxmlformats.org/officeDocument/2006/relationships/hyperlink" Target="https://www.itu.int/md/S26-CL-C-0039/es" TargetMode="External"/><Relationship Id="rId142" Type="http://schemas.openxmlformats.org/officeDocument/2006/relationships/hyperlink" Target="https://www.unjiu.org/sites/www.unjiu.org/files/jiu_rep_2025_2.pdf" TargetMode="External"/><Relationship Id="rId163" Type="http://schemas.openxmlformats.org/officeDocument/2006/relationships/hyperlink" Target="https://www.itu.int/md/S26-CL-C-0027/es" TargetMode="External"/><Relationship Id="rId3" Type="http://schemas.openxmlformats.org/officeDocument/2006/relationships/styles" Target="styles.xml"/><Relationship Id="rId25" Type="http://schemas.openxmlformats.org/officeDocument/2006/relationships/hyperlink" Target="https://www.itu.int/md/S26-CL-C-0103/es" TargetMode="External"/><Relationship Id="rId46" Type="http://schemas.openxmlformats.org/officeDocument/2006/relationships/hyperlink" Target="https://www.itu.int/md/S26-CL-C-0011/es" TargetMode="External"/><Relationship Id="rId67" Type="http://schemas.openxmlformats.org/officeDocument/2006/relationships/hyperlink" Target="https://www.itu.int/md/S26-CL-C-0096/es" TargetMode="External"/><Relationship Id="rId116" Type="http://schemas.openxmlformats.org/officeDocument/2006/relationships/hyperlink" Target="https://www.itu.int/md/S26-CL-C-0044/es" TargetMode="External"/><Relationship Id="rId137" Type="http://schemas.openxmlformats.org/officeDocument/2006/relationships/hyperlink" Target="https://www.unjiu.org/sites/www.unjiu.org/files/jiu_rep_2025_4_spanish.pdf" TargetMode="External"/><Relationship Id="rId158" Type="http://schemas.openxmlformats.org/officeDocument/2006/relationships/hyperlink" Target="https://www.itu.int/md/S26-CL-INF-0006/es" TargetMode="External"/><Relationship Id="rId20" Type="http://schemas.openxmlformats.org/officeDocument/2006/relationships/hyperlink" Target="https://www.itu.int/md/S26-CL-C-0034/es" TargetMode="External"/><Relationship Id="rId41" Type="http://schemas.openxmlformats.org/officeDocument/2006/relationships/hyperlink" Target="https://www.itu.int/md/S26-CL-INF-0014/es" TargetMode="External"/><Relationship Id="rId62" Type="http://schemas.openxmlformats.org/officeDocument/2006/relationships/hyperlink" Target="https://www.itu.int/md/S26-CL-C-0084/es" TargetMode="External"/><Relationship Id="rId83" Type="http://schemas.openxmlformats.org/officeDocument/2006/relationships/hyperlink" Target="https://www.itu.int/md/S26-CL-C-0081/es" TargetMode="External"/><Relationship Id="rId88" Type="http://schemas.openxmlformats.org/officeDocument/2006/relationships/hyperlink" Target="https://www.itu.int/md/S26-CL-C-0091/es" TargetMode="External"/><Relationship Id="rId111" Type="http://schemas.openxmlformats.org/officeDocument/2006/relationships/hyperlink" Target="https://www.itu.int/md/S26-CL-C-0014/es" TargetMode="External"/><Relationship Id="rId132" Type="http://schemas.openxmlformats.org/officeDocument/2006/relationships/hyperlink" Target="https://www.itu.int/md/S26-CL-C-0092/es" TargetMode="External"/><Relationship Id="rId153" Type="http://schemas.openxmlformats.org/officeDocument/2006/relationships/hyperlink" Target="https://www.itu.int/md/S26-CL-C-0066/es" TargetMode="External"/><Relationship Id="rId174" Type="http://schemas.openxmlformats.org/officeDocument/2006/relationships/footer" Target="footer1.xml"/><Relationship Id="rId15" Type="http://schemas.openxmlformats.org/officeDocument/2006/relationships/hyperlink" Target="https://www.itu.int/md/S26-CL-C-0053/es" TargetMode="External"/><Relationship Id="rId36" Type="http://schemas.openxmlformats.org/officeDocument/2006/relationships/hyperlink" Target="https://www.itu.int/md/S26-CL-C-0072/es" TargetMode="External"/><Relationship Id="rId57" Type="http://schemas.openxmlformats.org/officeDocument/2006/relationships/hyperlink" Target="https://www.itu.int/md/S26-CL-C-0075/es" TargetMode="External"/><Relationship Id="rId106" Type="http://schemas.openxmlformats.org/officeDocument/2006/relationships/hyperlink" Target="https://www.itu.int/md/S26-CL-C-0102/es" TargetMode="External"/><Relationship Id="rId127" Type="http://schemas.openxmlformats.org/officeDocument/2006/relationships/hyperlink" Target="https://www.itu.int/md/S26-CL-C-0110/en" TargetMode="External"/><Relationship Id="rId10" Type="http://schemas.openxmlformats.org/officeDocument/2006/relationships/hyperlink" Target="https://www.itu.int/md/S26-CL-C-0050/es" TargetMode="External"/><Relationship Id="rId31" Type="http://schemas.openxmlformats.org/officeDocument/2006/relationships/hyperlink" Target="https://www.itu.int/md/S10-CL-C-0067/es" TargetMode="External"/><Relationship Id="rId52" Type="http://schemas.openxmlformats.org/officeDocument/2006/relationships/hyperlink" Target="https://www.itu.int/md/S26-CL-C-0056/es" TargetMode="External"/><Relationship Id="rId73" Type="http://schemas.openxmlformats.org/officeDocument/2006/relationships/hyperlink" Target="https://www.itu.int/md/S24-CL-C-0031/es" TargetMode="External"/><Relationship Id="rId78" Type="http://schemas.openxmlformats.org/officeDocument/2006/relationships/hyperlink" Target="https://www.itu.int/md/S26-CL-C-0032/es" TargetMode="External"/><Relationship Id="rId94" Type="http://schemas.openxmlformats.org/officeDocument/2006/relationships/hyperlink" Target="https://www.itu.int/md/S26-CL-C-0063/es" TargetMode="External"/><Relationship Id="rId99" Type="http://schemas.openxmlformats.org/officeDocument/2006/relationships/hyperlink" Target="https://www.itu.int/md/S26-CL-C-0105/es" TargetMode="External"/><Relationship Id="rId101" Type="http://schemas.openxmlformats.org/officeDocument/2006/relationships/hyperlink" Target="https://www.itu.int/md/S26-CL-C-0070/es" TargetMode="External"/><Relationship Id="rId122" Type="http://schemas.openxmlformats.org/officeDocument/2006/relationships/hyperlink" Target="https://www.itu.int/md/S26-CL-INF-0028/es" TargetMode="External"/><Relationship Id="rId143" Type="http://schemas.openxmlformats.org/officeDocument/2006/relationships/hyperlink" Target="https://www.itu.int/md/S26-CL-C-0057/en" TargetMode="External"/><Relationship Id="rId148" Type="http://schemas.openxmlformats.org/officeDocument/2006/relationships/hyperlink" Target="https://www.itu.int/md/S26-CL-INF-0017/en" TargetMode="External"/><Relationship Id="rId164" Type="http://schemas.openxmlformats.org/officeDocument/2006/relationships/hyperlink" Target="https://www.itu.int/md/S26-CL-C-0089/es" TargetMode="External"/><Relationship Id="rId169" Type="http://schemas.openxmlformats.org/officeDocument/2006/relationships/hyperlink" Target="https://www.itu.int/md/S26-CL-C-0046/es" TargetMode="External"/><Relationship Id="rId4" Type="http://schemas.openxmlformats.org/officeDocument/2006/relationships/settings" Target="settings.xml"/><Relationship Id="rId9" Type="http://schemas.openxmlformats.org/officeDocument/2006/relationships/hyperlink" Target="https://www.itu.int/md/S26-CL-INF-0002/es" TargetMode="External"/><Relationship Id="rId26" Type="http://schemas.openxmlformats.org/officeDocument/2006/relationships/hyperlink" Target="https://www.itu.int/md/S26-CL-C-0042/es" TargetMode="External"/><Relationship Id="rId47" Type="http://schemas.openxmlformats.org/officeDocument/2006/relationships/hyperlink" Target="https://www.itu.int/md/S26-CL-C-0038/es" TargetMode="External"/><Relationship Id="rId68" Type="http://schemas.openxmlformats.org/officeDocument/2006/relationships/hyperlink" Target="https://www.itu.int/md/S26-CL-C-0098/es" TargetMode="External"/><Relationship Id="rId89" Type="http://schemas.openxmlformats.org/officeDocument/2006/relationships/hyperlink" Target="https://www.itu.int/md/S26-CL-C-0007/es" TargetMode="External"/><Relationship Id="rId112" Type="http://schemas.openxmlformats.org/officeDocument/2006/relationships/hyperlink" Target="https://www.itu.int/md/S26-CL-INF-0027/es" TargetMode="External"/><Relationship Id="rId133" Type="http://schemas.openxmlformats.org/officeDocument/2006/relationships/hyperlink" Target="https://www.itu.int/md/S26-CL-C-0092/es" TargetMode="External"/><Relationship Id="rId154" Type="http://schemas.openxmlformats.org/officeDocument/2006/relationships/hyperlink" Target="https://www.itu.int/md/S26-CL-C-0023/es" TargetMode="External"/><Relationship Id="rId175" Type="http://schemas.openxmlformats.org/officeDocument/2006/relationships/header" Target="header1.xml"/><Relationship Id="rId16" Type="http://schemas.openxmlformats.org/officeDocument/2006/relationships/hyperlink" Target="https://www.itu.int/md/S26-CL-C-0053/es" TargetMode="External"/><Relationship Id="rId37" Type="http://schemas.openxmlformats.org/officeDocument/2006/relationships/hyperlink" Target="https://www.itu.int/md/S26-CL-C-0100/es" TargetMode="External"/><Relationship Id="rId58" Type="http://schemas.openxmlformats.org/officeDocument/2006/relationships/hyperlink" Target="https://www.itu.int/md/S26-CL-C-0016/es" TargetMode="External"/><Relationship Id="rId79" Type="http://schemas.openxmlformats.org/officeDocument/2006/relationships/hyperlink" Target="https://www.itu.int/md/S26-CL-C-0032/en" TargetMode="External"/><Relationship Id="rId102" Type="http://schemas.openxmlformats.org/officeDocument/2006/relationships/hyperlink" Target="https://www.itu.int/md/S26-CL-C-0102/es" TargetMode="External"/><Relationship Id="rId123" Type="http://schemas.openxmlformats.org/officeDocument/2006/relationships/hyperlink" Target="https://www.itu.int/md/S26-CL-C-0039/es" TargetMode="External"/><Relationship Id="rId144" Type="http://schemas.openxmlformats.org/officeDocument/2006/relationships/hyperlink" Target="https://www.itu.int/md/S26-CL-C-0049/es" TargetMode="External"/><Relationship Id="rId90" Type="http://schemas.openxmlformats.org/officeDocument/2006/relationships/hyperlink" Target="https://www.itu.int/md/S26-CL-C-0048/es" TargetMode="External"/><Relationship Id="rId165" Type="http://schemas.openxmlformats.org/officeDocument/2006/relationships/hyperlink" Target="https://www.itu.int/md/S26-CL-C-0088/es" TargetMode="External"/><Relationship Id="rId27" Type="http://schemas.openxmlformats.org/officeDocument/2006/relationships/hyperlink" Target="https://www.itu.int/md/S26-CL-C-0043/es" TargetMode="External"/><Relationship Id="rId48" Type="http://schemas.openxmlformats.org/officeDocument/2006/relationships/hyperlink" Target="https://www.itu.int/md/S26-CL-C-0046/es" TargetMode="External"/><Relationship Id="rId69" Type="http://schemas.openxmlformats.org/officeDocument/2006/relationships/hyperlink" Target="https://www.itu.int/md/S26-CL-C-0090/es" TargetMode="External"/><Relationship Id="rId113" Type="http://schemas.openxmlformats.org/officeDocument/2006/relationships/hyperlink" Target="https://docs.un.org/es/JIU/REP/2025/2" TargetMode="External"/><Relationship Id="rId134" Type="http://schemas.openxmlformats.org/officeDocument/2006/relationships/hyperlink" Target="https://www.itu.int/md/S26-CL-C-0036/es" TargetMode="External"/><Relationship Id="rId80" Type="http://schemas.openxmlformats.org/officeDocument/2006/relationships/hyperlink" Target="https://www.itu.int/md/S26-CL-C-0112/es" TargetMode="External"/><Relationship Id="rId155" Type="http://schemas.openxmlformats.org/officeDocument/2006/relationships/hyperlink" Target="https://www.itu.int/md/S26-CL-C-0067/es" TargetMode="External"/><Relationship Id="rId176" Type="http://schemas.openxmlformats.org/officeDocument/2006/relationships/footer" Target="footer2.xml"/><Relationship Id="rId17" Type="http://schemas.openxmlformats.org/officeDocument/2006/relationships/hyperlink" Target="https://www.itu.int/md/S26-CL-C-0111/es" TargetMode="External"/><Relationship Id="rId38" Type="http://schemas.openxmlformats.org/officeDocument/2006/relationships/hyperlink" Target="https://www.itu.int/md/S26-CL-C-0072/es" TargetMode="External"/><Relationship Id="rId59" Type="http://schemas.openxmlformats.org/officeDocument/2006/relationships/hyperlink" Target="https://www.itu.int/md/S26-CL-C-0075/es" TargetMode="External"/><Relationship Id="rId103" Type="http://schemas.openxmlformats.org/officeDocument/2006/relationships/hyperlink" Target="https://www.itu.int/md/S26-CL-INF-0004/es" TargetMode="External"/><Relationship Id="rId124" Type="http://schemas.openxmlformats.org/officeDocument/2006/relationships/hyperlink" Target="https://www.itu.int/md/S26-CL-C-0045/es" TargetMode="External"/><Relationship Id="rId70" Type="http://schemas.openxmlformats.org/officeDocument/2006/relationships/hyperlink" Target="https://www.itu.int/md/S26-CL-C-0042/es" TargetMode="External"/><Relationship Id="rId91" Type="http://schemas.openxmlformats.org/officeDocument/2006/relationships/hyperlink" Target="https://www.itu.int/md/S26-CL-C-0007/es" TargetMode="External"/><Relationship Id="rId145" Type="http://schemas.openxmlformats.org/officeDocument/2006/relationships/hyperlink" Target="https://www.itu.int/md/S26-CL-INF-0023/en" TargetMode="External"/><Relationship Id="rId166" Type="http://schemas.openxmlformats.org/officeDocument/2006/relationships/hyperlink" Target="https://www.itu.int/md/S26-CL-C-0054/es" TargetMode="External"/><Relationship Id="rId1"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laescusa\Desktop\ACTUALES%202026\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94EF2-DD67-495F-84E3-D16D38323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PS_Council26</Template>
  <TotalTime>3</TotalTime>
  <Pages>85</Pages>
  <Words>38955</Words>
  <Characters>244248</Characters>
  <Application>Microsoft Office Word</Application>
  <DocSecurity>0</DocSecurity>
  <Lines>3539</Lines>
  <Paragraphs>4045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279158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presidente de la Comisión permanente sobre administración y gestión</dc:title>
  <dc:subject>Consejo 2026 de la UIT</dc:subject>
  <dc:creator>Spanish</dc:creator>
  <cp:keywords>C26; C2026; Council 2026; PP26</cp:keywords>
  <dc:description/>
  <cp:lastModifiedBy>GBS</cp:lastModifiedBy>
  <cp:revision>3</cp:revision>
  <cp:lastPrinted>2006-03-24T09:51:00Z</cp:lastPrinted>
  <dcterms:created xsi:type="dcterms:W3CDTF">2026-05-15T10:30:00Z</dcterms:created>
  <dcterms:modified xsi:type="dcterms:W3CDTF">2026-05-15T10:37:00Z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