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Overlap w:val="never"/>
        <w:tblW w:w="9214" w:type="dxa"/>
        <w:tblLayout w:type="fixed"/>
        <w:tblLook w:val="0000" w:firstRow="0" w:lastRow="0" w:firstColumn="0" w:lastColumn="0" w:noHBand="0" w:noVBand="0"/>
      </w:tblPr>
      <w:tblGrid>
        <w:gridCol w:w="3969"/>
        <w:gridCol w:w="5245"/>
      </w:tblGrid>
      <w:tr w:rsidR="00796BD3" w:rsidRPr="00D81064" w14:paraId="5BDC4A9C" w14:textId="77777777" w:rsidTr="00D17718">
        <w:trPr>
          <w:cantSplit/>
          <w:trHeight w:val="23"/>
        </w:trPr>
        <w:tc>
          <w:tcPr>
            <w:tcW w:w="3969" w:type="dxa"/>
            <w:vMerge w:val="restart"/>
            <w:tcMar>
              <w:left w:w="0" w:type="dxa"/>
            </w:tcMar>
          </w:tcPr>
          <w:p w14:paraId="11E24C63" w14:textId="62E81B4E" w:rsidR="00796BD3" w:rsidRPr="00D81064" w:rsidRDefault="00796BD3" w:rsidP="00D17718">
            <w:pPr>
              <w:tabs>
                <w:tab w:val="clear" w:pos="1588"/>
                <w:tab w:val="clear" w:pos="1985"/>
                <w:tab w:val="left" w:pos="851"/>
                <w:tab w:val="center" w:pos="1930"/>
              </w:tabs>
              <w:spacing w:before="0" w:line="240" w:lineRule="atLeast"/>
              <w:rPr>
                <w:b/>
                <w:lang w:val="ru-RU"/>
              </w:rPr>
            </w:pPr>
            <w:bookmarkStart w:id="0" w:name="dmeeting" w:colFirst="0" w:colLast="0"/>
            <w:bookmarkStart w:id="1" w:name="dnum" w:colFirst="1" w:colLast="1"/>
            <w:bookmarkStart w:id="2" w:name="_Hlk133421839"/>
          </w:p>
        </w:tc>
        <w:tc>
          <w:tcPr>
            <w:tcW w:w="5245" w:type="dxa"/>
          </w:tcPr>
          <w:p w14:paraId="31992990" w14:textId="4F9BF816" w:rsidR="00796BD3" w:rsidRPr="00D81064" w:rsidRDefault="0033025A" w:rsidP="00D17718">
            <w:pPr>
              <w:tabs>
                <w:tab w:val="left" w:pos="851"/>
              </w:tabs>
              <w:spacing w:before="0" w:line="240" w:lineRule="atLeast"/>
              <w:jc w:val="right"/>
              <w:rPr>
                <w:b/>
                <w:lang w:val="ru-RU"/>
              </w:rPr>
            </w:pPr>
            <w:r w:rsidRPr="00D81064">
              <w:rPr>
                <w:b/>
                <w:lang w:val="ru-RU"/>
              </w:rPr>
              <w:t xml:space="preserve">Документ </w:t>
            </w:r>
            <w:r w:rsidR="00796BD3" w:rsidRPr="00D81064">
              <w:rPr>
                <w:b/>
                <w:lang w:val="ru-RU"/>
              </w:rPr>
              <w:t>C2</w:t>
            </w:r>
            <w:r w:rsidR="00BE00DD" w:rsidRPr="00D81064">
              <w:rPr>
                <w:b/>
                <w:lang w:val="ru-RU"/>
              </w:rPr>
              <w:t>6</w:t>
            </w:r>
            <w:r w:rsidR="00796BD3" w:rsidRPr="00D81064">
              <w:rPr>
                <w:b/>
                <w:lang w:val="ru-RU"/>
              </w:rPr>
              <w:t>/</w:t>
            </w:r>
            <w:r w:rsidR="002D3947" w:rsidRPr="00D81064">
              <w:rPr>
                <w:b/>
                <w:lang w:val="ru-RU"/>
              </w:rPr>
              <w:t>116</w:t>
            </w:r>
            <w:r w:rsidR="00796BD3" w:rsidRPr="00D81064">
              <w:rPr>
                <w:b/>
                <w:lang w:val="ru-RU"/>
              </w:rPr>
              <w:t>-R</w:t>
            </w:r>
          </w:p>
        </w:tc>
      </w:tr>
      <w:tr w:rsidR="00796BD3" w:rsidRPr="00D81064" w14:paraId="279A9C40" w14:textId="77777777" w:rsidTr="00D17718">
        <w:trPr>
          <w:cantSplit/>
        </w:trPr>
        <w:tc>
          <w:tcPr>
            <w:tcW w:w="3969" w:type="dxa"/>
            <w:vMerge/>
          </w:tcPr>
          <w:p w14:paraId="2D271F96" w14:textId="77777777" w:rsidR="00796BD3" w:rsidRPr="00D81064" w:rsidRDefault="00796BD3" w:rsidP="00D17718">
            <w:pPr>
              <w:tabs>
                <w:tab w:val="left" w:pos="851"/>
              </w:tabs>
              <w:spacing w:line="240" w:lineRule="atLeast"/>
              <w:rPr>
                <w:b/>
                <w:lang w:val="ru-RU"/>
              </w:rPr>
            </w:pPr>
            <w:bookmarkStart w:id="3" w:name="ddate" w:colFirst="1" w:colLast="1"/>
            <w:bookmarkEnd w:id="0"/>
            <w:bookmarkEnd w:id="1"/>
          </w:p>
        </w:tc>
        <w:tc>
          <w:tcPr>
            <w:tcW w:w="5245" w:type="dxa"/>
          </w:tcPr>
          <w:p w14:paraId="50F379F5" w14:textId="1FEBAD72" w:rsidR="00796BD3" w:rsidRPr="00D81064" w:rsidRDefault="00455636" w:rsidP="00D17718">
            <w:pPr>
              <w:tabs>
                <w:tab w:val="left" w:pos="851"/>
              </w:tabs>
              <w:spacing w:before="0"/>
              <w:jc w:val="right"/>
              <w:rPr>
                <w:b/>
                <w:lang w:val="ru-RU"/>
              </w:rPr>
            </w:pPr>
            <w:r w:rsidRPr="00D81064">
              <w:rPr>
                <w:b/>
                <w:lang w:val="ru-RU"/>
              </w:rPr>
              <w:t>8</w:t>
            </w:r>
            <w:r w:rsidR="002D3947" w:rsidRPr="00D81064">
              <w:rPr>
                <w:b/>
                <w:lang w:val="ru-RU"/>
              </w:rPr>
              <w:t xml:space="preserve"> мая 2026 года</w:t>
            </w:r>
          </w:p>
        </w:tc>
      </w:tr>
      <w:tr w:rsidR="00796BD3" w:rsidRPr="00D81064" w14:paraId="1FEC4573" w14:textId="77777777" w:rsidTr="00D17718">
        <w:trPr>
          <w:cantSplit/>
          <w:trHeight w:val="23"/>
        </w:trPr>
        <w:tc>
          <w:tcPr>
            <w:tcW w:w="3969" w:type="dxa"/>
            <w:vMerge/>
          </w:tcPr>
          <w:p w14:paraId="7168FA78" w14:textId="77777777" w:rsidR="00796BD3" w:rsidRPr="00D81064" w:rsidRDefault="00796BD3" w:rsidP="00D17718">
            <w:pPr>
              <w:tabs>
                <w:tab w:val="left" w:pos="851"/>
              </w:tabs>
              <w:spacing w:line="240" w:lineRule="atLeast"/>
              <w:rPr>
                <w:b/>
                <w:lang w:val="ru-RU"/>
              </w:rPr>
            </w:pPr>
            <w:bookmarkStart w:id="4" w:name="dorlang" w:colFirst="1" w:colLast="1"/>
            <w:bookmarkEnd w:id="3"/>
          </w:p>
        </w:tc>
        <w:tc>
          <w:tcPr>
            <w:tcW w:w="5245" w:type="dxa"/>
          </w:tcPr>
          <w:p w14:paraId="635DC8C6" w14:textId="77777777" w:rsidR="00796BD3" w:rsidRPr="00D81064" w:rsidRDefault="0033025A" w:rsidP="00D17718">
            <w:pPr>
              <w:tabs>
                <w:tab w:val="left" w:pos="851"/>
              </w:tabs>
              <w:spacing w:before="0" w:line="240" w:lineRule="atLeast"/>
              <w:jc w:val="right"/>
              <w:rPr>
                <w:b/>
                <w:lang w:val="ru-RU"/>
              </w:rPr>
            </w:pPr>
            <w:r w:rsidRPr="00D81064">
              <w:rPr>
                <w:b/>
                <w:lang w:val="ru-RU"/>
              </w:rPr>
              <w:t>Оригинал: английский</w:t>
            </w:r>
          </w:p>
        </w:tc>
      </w:tr>
      <w:tr w:rsidR="00796BD3" w:rsidRPr="00D81064" w14:paraId="011E0887" w14:textId="77777777" w:rsidTr="00D17718">
        <w:trPr>
          <w:cantSplit/>
          <w:trHeight w:val="23"/>
        </w:trPr>
        <w:tc>
          <w:tcPr>
            <w:tcW w:w="3969" w:type="dxa"/>
          </w:tcPr>
          <w:p w14:paraId="4631075F" w14:textId="77777777" w:rsidR="00796BD3" w:rsidRPr="00D81064" w:rsidRDefault="00796BD3" w:rsidP="00D17718">
            <w:pPr>
              <w:tabs>
                <w:tab w:val="left" w:pos="851"/>
              </w:tabs>
              <w:spacing w:line="240" w:lineRule="atLeast"/>
              <w:rPr>
                <w:b/>
                <w:lang w:val="ru-RU"/>
              </w:rPr>
            </w:pPr>
          </w:p>
        </w:tc>
        <w:tc>
          <w:tcPr>
            <w:tcW w:w="5245" w:type="dxa"/>
          </w:tcPr>
          <w:p w14:paraId="61F4A2FF" w14:textId="77777777" w:rsidR="00796BD3" w:rsidRPr="00D81064" w:rsidRDefault="00796BD3" w:rsidP="00D17718">
            <w:pPr>
              <w:tabs>
                <w:tab w:val="left" w:pos="851"/>
              </w:tabs>
              <w:spacing w:before="0" w:line="240" w:lineRule="atLeast"/>
              <w:jc w:val="right"/>
              <w:rPr>
                <w:b/>
                <w:lang w:val="ru-RU"/>
              </w:rPr>
            </w:pPr>
          </w:p>
        </w:tc>
      </w:tr>
      <w:tr w:rsidR="00796BD3" w:rsidRPr="00115736" w14:paraId="5BBF96D2" w14:textId="77777777" w:rsidTr="00D17718">
        <w:trPr>
          <w:cantSplit/>
        </w:trPr>
        <w:tc>
          <w:tcPr>
            <w:tcW w:w="9214" w:type="dxa"/>
            <w:gridSpan w:val="2"/>
            <w:tcMar>
              <w:left w:w="0" w:type="dxa"/>
            </w:tcMar>
          </w:tcPr>
          <w:p w14:paraId="7839C821" w14:textId="5A58FED8" w:rsidR="00796BD3" w:rsidRPr="00D81064" w:rsidRDefault="00085D8B" w:rsidP="00085D8B">
            <w:pPr>
              <w:pStyle w:val="Title1"/>
              <w:framePr w:hSpace="0" w:wrap="auto" w:vAnchor="margin" w:hAnchor="text" w:xAlign="left" w:yAlign="inline"/>
              <w:suppressOverlap w:val="0"/>
              <w:jc w:val="center"/>
            </w:pPr>
            <w:bookmarkStart w:id="5" w:name="dsource" w:colFirst="0" w:colLast="0"/>
            <w:bookmarkEnd w:id="4"/>
            <w:r w:rsidRPr="00D81064">
              <w:t>Отчет Председателя Постоянного комитета по администрированию и управлению</w:t>
            </w:r>
          </w:p>
        </w:tc>
      </w:tr>
      <w:bookmarkEnd w:id="2"/>
      <w:bookmarkEnd w:id="5"/>
    </w:tbl>
    <w:p w14:paraId="793A164E" w14:textId="77777777" w:rsidR="00796BD3" w:rsidRPr="00D81064" w:rsidRDefault="00796BD3" w:rsidP="00796BD3">
      <w:pPr>
        <w:rPr>
          <w:lang w:val="ru-RU"/>
        </w:rPr>
      </w:pPr>
    </w:p>
    <w:p w14:paraId="164984F9" w14:textId="6DDDF33E" w:rsidR="002D3947" w:rsidRPr="00D81064" w:rsidRDefault="002D3947" w:rsidP="00085D8B">
      <w:pPr>
        <w:pStyle w:val="Normalaftertitle"/>
        <w:rPr>
          <w:lang w:val="ru-RU"/>
        </w:rPr>
      </w:pPr>
      <w:r w:rsidRPr="00D81064">
        <w:rPr>
          <w:lang w:val="ru-RU"/>
        </w:rPr>
        <w:t xml:space="preserve">Постоянный комитет по администрированию и управлению провел </w:t>
      </w:r>
      <w:r w:rsidR="007A277C" w:rsidRPr="00D81064">
        <w:rPr>
          <w:lang w:val="ru-RU"/>
        </w:rPr>
        <w:t>десять</w:t>
      </w:r>
      <w:r w:rsidR="00245B7D" w:rsidRPr="00D81064">
        <w:rPr>
          <w:lang w:val="ru-RU"/>
        </w:rPr>
        <w:t xml:space="preserve"> </w:t>
      </w:r>
      <w:r w:rsidRPr="00D81064">
        <w:rPr>
          <w:lang w:val="ru-RU"/>
        </w:rPr>
        <w:t>собраний, на</w:t>
      </w:r>
      <w:r w:rsidR="007A277C" w:rsidRPr="00D81064">
        <w:rPr>
          <w:lang w:val="ru-RU"/>
        </w:rPr>
        <w:t> </w:t>
      </w:r>
      <w:r w:rsidRPr="00D81064">
        <w:rPr>
          <w:lang w:val="ru-RU"/>
        </w:rPr>
        <w:t xml:space="preserve">которых были проанализированы и рассмотрены </w:t>
      </w:r>
      <w:r w:rsidR="00455636" w:rsidRPr="00D81064">
        <w:rPr>
          <w:lang w:val="ru-RU"/>
        </w:rPr>
        <w:t>90</w:t>
      </w:r>
      <w:r w:rsidRPr="00D81064">
        <w:rPr>
          <w:lang w:val="ru-RU"/>
        </w:rPr>
        <w:t xml:space="preserve"> документов, из которых </w:t>
      </w:r>
      <w:r w:rsidR="00FD6969" w:rsidRPr="00D81064">
        <w:rPr>
          <w:lang w:val="ru-RU"/>
        </w:rPr>
        <w:t>31</w:t>
      </w:r>
      <w:r w:rsidRPr="00D81064">
        <w:rPr>
          <w:lang w:val="ru-RU"/>
        </w:rPr>
        <w:t xml:space="preserve"> явля</w:t>
      </w:r>
      <w:r w:rsidR="00FD6969" w:rsidRPr="00D81064">
        <w:rPr>
          <w:lang w:val="ru-RU"/>
        </w:rPr>
        <w:t>е</w:t>
      </w:r>
      <w:r w:rsidRPr="00D81064">
        <w:rPr>
          <w:lang w:val="ru-RU"/>
        </w:rPr>
        <w:t>тся информационным (INF)</w:t>
      </w:r>
      <w:r w:rsidR="008F1A7E" w:rsidRPr="00D81064">
        <w:rPr>
          <w:lang w:val="ru-RU"/>
        </w:rPr>
        <w:t xml:space="preserve"> и</w:t>
      </w:r>
      <w:r w:rsidRPr="00D81064">
        <w:rPr>
          <w:lang w:val="ru-RU"/>
        </w:rPr>
        <w:t xml:space="preserve"> </w:t>
      </w:r>
      <w:r w:rsidR="007C6049" w:rsidRPr="00D81064">
        <w:rPr>
          <w:lang w:val="ru-RU"/>
        </w:rPr>
        <w:t>два</w:t>
      </w:r>
      <w:r w:rsidRPr="00D81064">
        <w:rPr>
          <w:lang w:val="ru-RU"/>
        </w:rPr>
        <w:t xml:space="preserve"> – временными документами (DT). Комитет рекомендует Совету МСЭ принять </w:t>
      </w:r>
      <w:r w:rsidR="00F74DF7" w:rsidRPr="00D81064">
        <w:rPr>
          <w:lang w:val="ru-RU"/>
        </w:rPr>
        <w:t>три</w:t>
      </w:r>
      <w:r w:rsidRPr="00D81064">
        <w:rPr>
          <w:lang w:val="ru-RU"/>
        </w:rPr>
        <w:t xml:space="preserve"> Резолюции и </w:t>
      </w:r>
      <w:r w:rsidR="00F74DF7" w:rsidRPr="00D81064">
        <w:rPr>
          <w:lang w:val="ru-RU"/>
        </w:rPr>
        <w:t>два</w:t>
      </w:r>
      <w:r w:rsidRPr="00D81064">
        <w:rPr>
          <w:lang w:val="ru-RU"/>
        </w:rPr>
        <w:t xml:space="preserve"> Решения, которые представлены в</w:t>
      </w:r>
      <w:r w:rsidR="00245B7D" w:rsidRPr="00D81064">
        <w:rPr>
          <w:lang w:val="ru-RU"/>
        </w:rPr>
        <w:t> </w:t>
      </w:r>
      <w:r w:rsidRPr="00D81064">
        <w:rPr>
          <w:lang w:val="ru-RU"/>
        </w:rPr>
        <w:t>приложениях к</w:t>
      </w:r>
      <w:r w:rsidR="00F74DF7" w:rsidRPr="00D81064">
        <w:rPr>
          <w:lang w:val="ru-RU"/>
        </w:rPr>
        <w:t> </w:t>
      </w:r>
      <w:r w:rsidRPr="00D81064">
        <w:rPr>
          <w:lang w:val="ru-RU"/>
        </w:rPr>
        <w:t>настоящему отчету.</w:t>
      </w:r>
    </w:p>
    <w:p w14:paraId="1D7F0CD7" w14:textId="77777777" w:rsidR="002D3947" w:rsidRPr="00D81064" w:rsidRDefault="002D3947" w:rsidP="002D3947">
      <w:pPr>
        <w:pStyle w:val="Heading1"/>
        <w:rPr>
          <w:lang w:val="ru-RU"/>
        </w:rPr>
      </w:pPr>
      <w:r w:rsidRPr="00D81064">
        <w:rPr>
          <w:bCs/>
          <w:lang w:val="ru-RU"/>
        </w:rPr>
        <w:t>1</w:t>
      </w:r>
      <w:r w:rsidRPr="00D81064">
        <w:rPr>
          <w:lang w:val="ru-RU"/>
        </w:rPr>
        <w:tab/>
        <w:t xml:space="preserve">Заявление Совета персонала (Документ </w:t>
      </w:r>
      <w:hyperlink r:id="rId8" w:history="1">
        <w:r w:rsidRPr="00D81064">
          <w:rPr>
            <w:rStyle w:val="Hyperlink"/>
            <w:lang w:val="ru-RU"/>
          </w:rPr>
          <w:t>C26/INF/26</w:t>
        </w:r>
      </w:hyperlink>
      <w:r w:rsidRPr="00D81064">
        <w:rPr>
          <w:lang w:val="ru-RU"/>
        </w:rPr>
        <w:t>)</w:t>
      </w:r>
      <w:hyperlink r:id="rId9" w:history="1"/>
    </w:p>
    <w:p w14:paraId="2E1C596A" w14:textId="64344ABB" w:rsidR="002D3947" w:rsidRPr="00D81064" w:rsidRDefault="002D3947" w:rsidP="002D3947">
      <w:pPr>
        <w:rPr>
          <w:lang w:val="ru-RU"/>
        </w:rPr>
      </w:pPr>
      <w:r w:rsidRPr="00D81064">
        <w:rPr>
          <w:lang w:val="ru-RU"/>
        </w:rPr>
        <w:t>1.1</w:t>
      </w:r>
      <w:r w:rsidRPr="00D81064">
        <w:rPr>
          <w:lang w:val="ru-RU"/>
        </w:rPr>
        <w:tab/>
        <w:t>В соответствии с Резолюцией 51 (</w:t>
      </w:r>
      <w:proofErr w:type="spellStart"/>
      <w:r w:rsidRPr="00D81064">
        <w:rPr>
          <w:lang w:val="ru-RU"/>
        </w:rPr>
        <w:t>Пересм</w:t>
      </w:r>
      <w:proofErr w:type="spellEnd"/>
      <w:r w:rsidRPr="00D81064">
        <w:rPr>
          <w:lang w:val="ru-RU"/>
        </w:rPr>
        <w:t xml:space="preserve">. Миннеаполис, 1998 г.) Полномочной конференции </w:t>
      </w:r>
      <w:r w:rsidR="00C64228" w:rsidRPr="00D81064">
        <w:rPr>
          <w:lang w:val="ru-RU"/>
        </w:rPr>
        <w:t xml:space="preserve">Председатель </w:t>
      </w:r>
      <w:r w:rsidRPr="00D81064">
        <w:rPr>
          <w:lang w:val="ru-RU"/>
        </w:rPr>
        <w:t xml:space="preserve">Совета персонала МСЭ г-н </w:t>
      </w:r>
      <w:proofErr w:type="spellStart"/>
      <w:r w:rsidRPr="00D81064">
        <w:rPr>
          <w:lang w:val="ru-RU"/>
        </w:rPr>
        <w:t>Ондер</w:t>
      </w:r>
      <w:proofErr w:type="spellEnd"/>
      <w:r w:rsidRPr="00D81064">
        <w:rPr>
          <w:lang w:val="ru-RU"/>
        </w:rPr>
        <w:t xml:space="preserve"> </w:t>
      </w:r>
      <w:proofErr w:type="spellStart"/>
      <w:r w:rsidRPr="00D81064">
        <w:rPr>
          <w:lang w:val="ru-RU"/>
        </w:rPr>
        <w:t>Цетинкая</w:t>
      </w:r>
      <w:proofErr w:type="spellEnd"/>
      <w:r w:rsidRPr="00D81064">
        <w:rPr>
          <w:lang w:val="ru-RU"/>
        </w:rPr>
        <w:t xml:space="preserve"> сделал заявление, текст которого приведен в Документе C26/INF/26.</w:t>
      </w:r>
    </w:p>
    <w:p w14:paraId="109F1206" w14:textId="77777777" w:rsidR="002D3947" w:rsidRPr="00D81064" w:rsidRDefault="002D3947" w:rsidP="002D3947">
      <w:pPr>
        <w:rPr>
          <w:lang w:val="ru-RU"/>
        </w:rPr>
      </w:pPr>
      <w:r w:rsidRPr="00D81064">
        <w:rPr>
          <w:lang w:val="ru-RU"/>
        </w:rPr>
        <w:t>1.2</w:t>
      </w:r>
      <w:r w:rsidRPr="00D81064">
        <w:rPr>
          <w:lang w:val="ru-RU"/>
        </w:rPr>
        <w:tab/>
        <w:t xml:space="preserve">Генеральный секретарь дала высокую оценку постоянному конструктивному взаимодействию Совета персонала с руководством МСЭ и Государствами-Членами, а также его открытому и искреннему подходу к совместной работе по укреплению Союза. Персонал является самым ценным активом МСЭ, особенно в периоды, когда требования к Союзу являются высокими. Благополучие и вовлеченность персонала остаются </w:t>
      </w:r>
      <w:proofErr w:type="gramStart"/>
      <w:r w:rsidRPr="00D81064">
        <w:rPr>
          <w:lang w:val="ru-RU"/>
        </w:rPr>
        <w:t>главным приоритетом</w:t>
      </w:r>
      <w:proofErr w:type="gramEnd"/>
      <w:r w:rsidRPr="00D81064">
        <w:rPr>
          <w:lang w:val="ru-RU"/>
        </w:rPr>
        <w:t xml:space="preserve"> для руководства МСЭ; продолжают приниматься меры по укреплению психического здоровья и благополучия персонала и развитию благоприятной, прозрачной организационной культуры, которая обеспечивает расширение прав и возможностей.</w:t>
      </w:r>
    </w:p>
    <w:p w14:paraId="418333D7" w14:textId="0CAF9492" w:rsidR="002D3947" w:rsidRPr="00D81064" w:rsidRDefault="002D3947" w:rsidP="002D3947">
      <w:pPr>
        <w:rPr>
          <w:lang w:val="ru-RU"/>
        </w:rPr>
      </w:pPr>
      <w:r w:rsidRPr="00D81064">
        <w:rPr>
          <w:lang w:val="ru-RU"/>
        </w:rPr>
        <w:t>1.3</w:t>
      </w:r>
      <w:r w:rsidRPr="00D81064">
        <w:rPr>
          <w:lang w:val="ru-RU"/>
        </w:rPr>
        <w:tab/>
        <w:t>Советники приветствовали заявление Председателя Совета персонала и признали ключевую роль персонала в организационной реформе, преодолении проблем и удовлетворении ожиданий Государств-Членов. Один из Советников предложил отразить прогресс, достигнутый в реализации инициатив, предпринятых в ответ на опрос о</w:t>
      </w:r>
      <w:r w:rsidR="00D444D7" w:rsidRPr="00D81064">
        <w:rPr>
          <w:lang w:val="ru-RU"/>
        </w:rPr>
        <w:t> </w:t>
      </w:r>
      <w:r w:rsidRPr="00D81064">
        <w:rPr>
          <w:lang w:val="ru-RU"/>
        </w:rPr>
        <w:t>вовлеченности сотрудников, в цифровой информационной панели МСЭ для персонала и Государств-Членов, чтобы обеспечить возможность постоянного мониторинга. Другой Советник задал вопросы о том, участвует ли Совет персонала во внутренней системе правосудия, располагает ли Совет персонала достаточными ресурсами и существуют ли какие-либо внутренние правила для защиты представителей персонала от дискриминации и предвзятого обращения.</w:t>
      </w:r>
    </w:p>
    <w:p w14:paraId="616899C4" w14:textId="6131788F" w:rsidR="002D3947" w:rsidRPr="00D81064" w:rsidRDefault="002D3947" w:rsidP="002D3947">
      <w:pPr>
        <w:rPr>
          <w:lang w:val="ru-RU"/>
        </w:rPr>
      </w:pPr>
      <w:r w:rsidRPr="00D81064">
        <w:rPr>
          <w:lang w:val="ru-RU"/>
        </w:rPr>
        <w:t>1.4</w:t>
      </w:r>
      <w:r w:rsidRPr="00D81064">
        <w:rPr>
          <w:lang w:val="ru-RU"/>
        </w:rPr>
        <w:tab/>
        <w:t>Председатель Совета персонала МСЭ, отвечая на замечания Советников, сказал, что Совет персонала на протяжении многих лет способствовал пересмотру служебных приказов, касающихся внутренней системы правосудия, и многие из его мнений были учтены. Рост числа расследований может быть связан с недавним созданием подразделения по надзору. У Совета персонала сформирована четкая позиция по вопросу об урегулировании конфликтов; он обязательно направляет все сообщения, полученные от отдельных сотрудников, по соответствующим каналам. Особое значение имеет создание функционального звена Омбудсмена. Сотрудники на местах сталкиваются с многочисленными и многогранными проблемами. Члены Совета персонала (2</w:t>
      </w:r>
      <w:r w:rsidR="005F6F9D" w:rsidRPr="00D81064">
        <w:rPr>
          <w:lang w:val="ru-RU"/>
        </w:rPr>
        <w:t>0</w:t>
      </w:r>
      <w:r w:rsidRPr="00D81064">
        <w:rPr>
          <w:lang w:val="ru-RU"/>
        </w:rPr>
        <w:t xml:space="preserve"> человек), представляющие разные подразделения </w:t>
      </w:r>
      <w:r w:rsidRPr="00D81064">
        <w:rPr>
          <w:lang w:val="ru-RU"/>
        </w:rPr>
        <w:lastRenderedPageBreak/>
        <w:t xml:space="preserve">Союза, стремятся использовать знания и опыт сотрудников всех категорий из всех мест службы, чтобы Совет персонала действительно представлял интересы каждого. Наконец, решающее значение имеет наличие ресурсов; решения, принимаемые в рамках всей международной системы, в частности Генеральной Ассамблеей Организации Объединенных Наций (ГА ООН), оказывают непосредственное воздействие на персонал МСЭ. </w:t>
      </w:r>
      <w:r w:rsidR="00E73E68" w:rsidRPr="00D81064">
        <w:rPr>
          <w:lang w:val="ru-RU"/>
        </w:rPr>
        <w:t>П</w:t>
      </w:r>
      <w:r w:rsidRPr="00D81064">
        <w:rPr>
          <w:lang w:val="ru-RU"/>
        </w:rPr>
        <w:t>оддержк</w:t>
      </w:r>
      <w:r w:rsidR="00E73E68" w:rsidRPr="00D81064">
        <w:rPr>
          <w:lang w:val="ru-RU"/>
        </w:rPr>
        <w:t>а</w:t>
      </w:r>
      <w:r w:rsidRPr="00D81064">
        <w:rPr>
          <w:lang w:val="ru-RU"/>
        </w:rPr>
        <w:t xml:space="preserve"> Совета персонала в натуральной форме </w:t>
      </w:r>
      <w:r w:rsidR="00E73E68" w:rsidRPr="00D81064">
        <w:rPr>
          <w:lang w:val="ru-RU"/>
        </w:rPr>
        <w:t>осуществлялась</w:t>
      </w:r>
      <w:r w:rsidRPr="00D81064">
        <w:rPr>
          <w:lang w:val="ru-RU"/>
        </w:rPr>
        <w:t>, но по-прежнему необходимо финансирование. Генеральный секретарь согласилась на выделение бюджетных средств в ближайшем будущем для расширения деятельности Совета персонала.</w:t>
      </w:r>
    </w:p>
    <w:p w14:paraId="04DFEC2B" w14:textId="0C73A510" w:rsidR="002D3947" w:rsidRPr="00D81064" w:rsidRDefault="002D3947" w:rsidP="002D3947">
      <w:pPr>
        <w:rPr>
          <w:lang w:val="ru-RU"/>
        </w:rPr>
      </w:pPr>
      <w:r w:rsidRPr="00D81064">
        <w:rPr>
          <w:lang w:val="ru-RU"/>
        </w:rPr>
        <w:t>1.5</w:t>
      </w:r>
      <w:r w:rsidRPr="00D81064">
        <w:rPr>
          <w:lang w:val="ru-RU"/>
        </w:rPr>
        <w:tab/>
        <w:t>Генеральный секретарь добавила, что результаты опроса о вовлеченности сотрудников и последующие меры в связи с ним представлены в Документе</w:t>
      </w:r>
      <w:r w:rsidR="00C64228" w:rsidRPr="00D81064">
        <w:rPr>
          <w:lang w:val="ru-RU"/>
        </w:rPr>
        <w:t> </w:t>
      </w:r>
      <w:hyperlink r:id="rId10" w:history="1">
        <w:r w:rsidRPr="00D81064">
          <w:rPr>
            <w:rStyle w:val="Hyperlink"/>
            <w:lang w:val="ru-RU"/>
          </w:rPr>
          <w:t>C26/INF/2</w:t>
        </w:r>
      </w:hyperlink>
      <w:r w:rsidRPr="00D81064">
        <w:rPr>
          <w:lang w:val="ru-RU"/>
        </w:rPr>
        <w:t>. Совет персонала был включен в процесс подбора нового Омбудсмена. Круг ведения был составлен по образцу круга ведения Канцелярии омбудсмена и посредников Организации Объединенных Наций.</w:t>
      </w:r>
      <w:hyperlink r:id="rId11" w:history="1"/>
    </w:p>
    <w:p w14:paraId="1D73D9AE" w14:textId="72DE6869" w:rsidR="002D3947" w:rsidRPr="00D81064" w:rsidRDefault="002D3947" w:rsidP="002D3947">
      <w:pPr>
        <w:rPr>
          <w:lang w:val="ru-RU"/>
        </w:rPr>
      </w:pPr>
      <w:r w:rsidRPr="00D81064">
        <w:rPr>
          <w:lang w:val="ru-RU"/>
        </w:rPr>
        <w:t>1.6</w:t>
      </w:r>
      <w:r w:rsidRPr="00D81064">
        <w:rPr>
          <w:lang w:val="ru-RU"/>
        </w:rPr>
        <w:tab/>
        <w:t>Омбудсмен представилась и сообщила, что приступила к выполнению своих обязанностей в январе 2026 года в соответствии со Служебным приказом №</w:t>
      </w:r>
      <w:r w:rsidR="00C64228" w:rsidRPr="00D81064">
        <w:rPr>
          <w:lang w:val="ru-RU"/>
        </w:rPr>
        <w:t> </w:t>
      </w:r>
      <w:r w:rsidRPr="00D81064">
        <w:rPr>
          <w:lang w:val="ru-RU"/>
        </w:rPr>
        <w:t>25/18, и в соответствии с кругом ведения ей поручено предоставлять сотрудникам независимые, конфиденциальные, нейтральные и доступные услуги по разрешению конфликтов. Она взаимодействует с персоналом и другими заинтересованными сторонами МСЭ для содействия созданию гармоничной рабочей обстановки.</w:t>
      </w:r>
    </w:p>
    <w:p w14:paraId="0072BA90" w14:textId="77777777" w:rsidR="002D3947" w:rsidRPr="00D81064" w:rsidRDefault="002D3947" w:rsidP="002D3947">
      <w:pPr>
        <w:rPr>
          <w:lang w:val="ru-RU"/>
        </w:rPr>
      </w:pPr>
      <w:r w:rsidRPr="00D81064">
        <w:rPr>
          <w:lang w:val="ru-RU"/>
        </w:rPr>
        <w:t>1.7</w:t>
      </w:r>
      <w:r w:rsidRPr="00D81064">
        <w:rPr>
          <w:lang w:val="ru-RU"/>
        </w:rPr>
        <w:tab/>
        <w:t xml:space="preserve">Комитет </w:t>
      </w:r>
      <w:r w:rsidRPr="00D81064">
        <w:rPr>
          <w:b/>
          <w:bCs/>
          <w:lang w:val="ru-RU"/>
        </w:rPr>
        <w:t>принял к сведению</w:t>
      </w:r>
      <w:r w:rsidRPr="00D81064">
        <w:rPr>
          <w:lang w:val="ru-RU"/>
        </w:rPr>
        <w:t xml:space="preserve"> заявление Председателя Совета персонала.</w:t>
      </w:r>
    </w:p>
    <w:p w14:paraId="4C6BCB54" w14:textId="674F75FE" w:rsidR="002D3947" w:rsidRPr="00D81064" w:rsidRDefault="002D3947" w:rsidP="002D3947">
      <w:pPr>
        <w:pStyle w:val="Heading1"/>
        <w:rPr>
          <w:lang w:val="ru-RU"/>
        </w:rPr>
      </w:pPr>
      <w:r w:rsidRPr="00D81064">
        <w:rPr>
          <w:bCs/>
          <w:lang w:val="ru-RU"/>
        </w:rPr>
        <w:t>2</w:t>
      </w:r>
      <w:r w:rsidRPr="00D81064">
        <w:rPr>
          <w:lang w:val="ru-RU"/>
        </w:rPr>
        <w:tab/>
        <w:t>Отчет Председателя Рабочей группы Совета по финансовым и людским ресурсам (РГС-ФЛР) (Документ</w:t>
      </w:r>
      <w:r w:rsidR="00B94D56" w:rsidRPr="00D81064">
        <w:rPr>
          <w:lang w:val="ru-RU"/>
        </w:rPr>
        <w:t>ы</w:t>
      </w:r>
      <w:r w:rsidRPr="00D81064">
        <w:rPr>
          <w:lang w:val="ru-RU"/>
        </w:rPr>
        <w:t xml:space="preserve"> C26/50</w:t>
      </w:r>
      <w:r w:rsidR="00017C1F" w:rsidRPr="00D81064">
        <w:rPr>
          <w:lang w:val="ru-RU"/>
        </w:rPr>
        <w:t xml:space="preserve"> и </w:t>
      </w:r>
      <w:hyperlink r:id="rId12" w:history="1">
        <w:r w:rsidR="00017C1F" w:rsidRPr="00D81064">
          <w:rPr>
            <w:rStyle w:val="Hyperlink"/>
            <w:lang w:val="ru-RU"/>
          </w:rPr>
          <w:t>С26/50(Rev.1)</w:t>
        </w:r>
      </w:hyperlink>
      <w:r w:rsidRPr="00D81064">
        <w:rPr>
          <w:lang w:val="ru-RU"/>
        </w:rPr>
        <w:t>)</w:t>
      </w:r>
      <w:hyperlink r:id="rId13" w:history="1"/>
    </w:p>
    <w:p w14:paraId="5E642504" w14:textId="5958761C" w:rsidR="002D3947" w:rsidRPr="00D81064" w:rsidRDefault="002D3947" w:rsidP="002D3947">
      <w:pPr>
        <w:rPr>
          <w:lang w:val="ru-RU"/>
        </w:rPr>
      </w:pPr>
      <w:r w:rsidRPr="00D81064">
        <w:rPr>
          <w:lang w:val="ru-RU"/>
        </w:rPr>
        <w:t>2.1</w:t>
      </w:r>
      <w:r w:rsidRPr="00D81064">
        <w:rPr>
          <w:lang w:val="ru-RU"/>
        </w:rPr>
        <w:tab/>
        <w:t>Председатель Рабочей группы Совета по финансовым и людским ресурсам (РГС-ФЛР) представила отчет, содержащийся в Документе C26/50, в котором изложены рекомендации по итогам собраний РГС-ФЛР, проведенных после сессии Совета 2025 года (Совет-25). Однако в отношении возмещения затрат на обработку заявок на регистрацию спутниковых сетей РГС</w:t>
      </w:r>
      <w:r w:rsidR="00C64228" w:rsidRPr="00D81064">
        <w:rPr>
          <w:lang w:val="ru-RU"/>
        </w:rPr>
        <w:noBreakHyphen/>
      </w:r>
      <w:r w:rsidRPr="00D81064">
        <w:rPr>
          <w:lang w:val="ru-RU"/>
        </w:rPr>
        <w:t>ФЛР не смогла прийти к какому-либо заключению. Несмотря на все усилия по достижению консенсуса, прогресс в разработке методики не был достигнут из-за разногласий в толковании Резолюции</w:t>
      </w:r>
      <w:r w:rsidR="00C64228" w:rsidRPr="00D81064">
        <w:rPr>
          <w:lang w:val="ru-RU"/>
        </w:rPr>
        <w:t> </w:t>
      </w:r>
      <w:r w:rsidRPr="00D81064">
        <w:rPr>
          <w:lang w:val="ru-RU"/>
        </w:rPr>
        <w:t>91 (</w:t>
      </w:r>
      <w:proofErr w:type="spellStart"/>
      <w:r w:rsidRPr="00D81064">
        <w:rPr>
          <w:lang w:val="ru-RU"/>
        </w:rPr>
        <w:t>Пересм</w:t>
      </w:r>
      <w:proofErr w:type="spellEnd"/>
      <w:r w:rsidRPr="00D81064">
        <w:rPr>
          <w:lang w:val="ru-RU"/>
        </w:rPr>
        <w:t>. Гвадалахара, 2010 г.) Полномочной конференции. В связи с этим РГС</w:t>
      </w:r>
      <w:r w:rsidR="00C64228" w:rsidRPr="00D81064">
        <w:rPr>
          <w:lang w:val="ru-RU"/>
        </w:rPr>
        <w:noBreakHyphen/>
      </w:r>
      <w:r w:rsidRPr="00D81064">
        <w:rPr>
          <w:lang w:val="ru-RU"/>
        </w:rPr>
        <w:t>ФЛР рекомендовала передать данный вопрос Полномочной конференции для дальнейшего обсуждения. По вопросу о единице взносов велись и будут проводиться активные обсуждения; в ходе будущих обсуждений можно было бы также рассмотреть вклады Членов Секторов и Ассоциированных членов.</w:t>
      </w:r>
    </w:p>
    <w:p w14:paraId="42ECE50B" w14:textId="7896B5D1" w:rsidR="002D3947" w:rsidRPr="00D81064" w:rsidRDefault="002D3947" w:rsidP="002D3947">
      <w:pPr>
        <w:rPr>
          <w:lang w:val="ru-RU"/>
        </w:rPr>
      </w:pPr>
      <w:r w:rsidRPr="00D81064">
        <w:rPr>
          <w:lang w:val="ru-RU"/>
        </w:rPr>
        <w:t>2.2</w:t>
      </w:r>
      <w:r w:rsidRPr="00D81064">
        <w:rPr>
          <w:lang w:val="ru-RU"/>
        </w:rPr>
        <w:tab/>
        <w:t>В ходе последующего обсуждения несколько Советников подчеркнули важность работы РГС-ФЛР и выразили поддержку продолжению ее деятельности. Учитывая значительный объем работы и ограниченное время собраний, два Советника предложили укрепить РГС-ФЛР, в том числе путем создания постоянной группы, работающей по переписке.</w:t>
      </w:r>
    </w:p>
    <w:p w14:paraId="151BA1A1" w14:textId="31B7F4A7" w:rsidR="002D3947" w:rsidRPr="00D81064" w:rsidRDefault="002D3947" w:rsidP="002D3947">
      <w:pPr>
        <w:rPr>
          <w:lang w:val="ru-RU"/>
        </w:rPr>
      </w:pPr>
      <w:r w:rsidRPr="00D81064">
        <w:rPr>
          <w:lang w:val="ru-RU"/>
        </w:rPr>
        <w:t>2.3</w:t>
      </w:r>
      <w:r w:rsidRPr="00D81064">
        <w:rPr>
          <w:lang w:val="ru-RU"/>
        </w:rPr>
        <w:tab/>
        <w:t>Что касается возмещения затрат на обработку заявок на регистрацию спутниковых сетей, ряд Советников высказались в поддержку представленного РГС-ФЛР вклада группы стран, который касается права на ежегодную бесплатную публикацию (Документ </w:t>
      </w:r>
      <w:hyperlink r:id="rId14" w:history="1">
        <w:r w:rsidRPr="00D81064">
          <w:rPr>
            <w:rStyle w:val="Hyperlink"/>
            <w:lang w:val="ru-RU"/>
          </w:rPr>
          <w:t>CWG</w:t>
        </w:r>
        <w:r w:rsidRPr="00D81064">
          <w:rPr>
            <w:rStyle w:val="Hyperlink"/>
            <w:lang w:val="ru-RU"/>
          </w:rPr>
          <w:noBreakHyphen/>
          <w:t>FHR</w:t>
        </w:r>
        <w:r w:rsidRPr="00D81064">
          <w:rPr>
            <w:rStyle w:val="Hyperlink"/>
            <w:lang w:val="ru-RU"/>
          </w:rPr>
          <w:noBreakHyphen/>
          <w:t>22/33</w:t>
        </w:r>
      </w:hyperlink>
      <w:r w:rsidRPr="00D81064">
        <w:rPr>
          <w:lang w:val="ru-RU"/>
        </w:rPr>
        <w:t>). Право на бесплатную публикацию имеет особое значение для развивающихся стран; какой бы подход ни был принят в конечном счете, необходимо учитывать потребности развивающихся стран и их справедливый доступ. Одна из Советников сказала, что сфера применения права на бесплатную публикацию должна быть ограничена, например использованием данного права для обслуживания региональных спутниковых проектов; в настоящее время развивающиеся страны часто используют свои права на бесплатную публикацию для оказания помощи развитым странам.</w:t>
      </w:r>
      <w:hyperlink r:id="rId15" w:history="1"/>
    </w:p>
    <w:p w14:paraId="60144DAA" w14:textId="77777777" w:rsidR="002D3947" w:rsidRPr="00D81064" w:rsidRDefault="002D3947" w:rsidP="002D3947">
      <w:pPr>
        <w:rPr>
          <w:lang w:val="ru-RU"/>
        </w:rPr>
      </w:pPr>
      <w:r w:rsidRPr="00D81064">
        <w:rPr>
          <w:lang w:val="ru-RU"/>
        </w:rPr>
        <w:lastRenderedPageBreak/>
        <w:t>2.4</w:t>
      </w:r>
      <w:r w:rsidRPr="00D81064">
        <w:rPr>
          <w:lang w:val="ru-RU"/>
        </w:rPr>
        <w:tab/>
        <w:t xml:space="preserve">Несколько Советников выступили по вопросу Статьи 34 Конвенции МСЭ и усилий по разработке методики оценки затрат на финансовые последствия предложений, представленных на конференциях и ассамблеях. Один из Советников, освещая сложность вопроса, подчеркнул, что любой принятый подход должен повышать прозрачность без создания ненужного административного бремени. Учитывая, что предложения часто претерпевают существенные изменения, оценки затрат </w:t>
      </w:r>
      <w:proofErr w:type="spellStart"/>
      <w:r w:rsidRPr="00D81064">
        <w:rPr>
          <w:lang w:val="ru-RU"/>
        </w:rPr>
        <w:t>ex</w:t>
      </w:r>
      <w:proofErr w:type="spellEnd"/>
      <w:r w:rsidRPr="00D81064">
        <w:rPr>
          <w:lang w:val="ru-RU"/>
        </w:rPr>
        <w:t xml:space="preserve"> ante могут не служить надежной основой для принятия решений. Другой Советник подчеркнул необходимость гибкого подхода, отметив, что оценка затрат для некоторых конференций, таких как всемирные конференции радиосвязи (ВКР), может оказаться более сложной. Другие Советники подчеркнули, что оценка затрат позволяет получить понимание их потенциального воздействия, выразили поддержку продолжению работы по этому вопросу и призвали Государства-Члены оценить финансовые затраты на реализацию предложений, с тем чтобы Союз мог функционировать устойчивым образом.</w:t>
      </w:r>
    </w:p>
    <w:p w14:paraId="05F46B19" w14:textId="6279955D" w:rsidR="002D3947" w:rsidRPr="00D81064" w:rsidRDefault="002D3947" w:rsidP="002D3947">
      <w:pPr>
        <w:rPr>
          <w:lang w:val="ru-RU"/>
        </w:rPr>
      </w:pPr>
      <w:r w:rsidRPr="00D81064">
        <w:rPr>
          <w:lang w:val="ru-RU"/>
        </w:rPr>
        <w:t>2.5</w:t>
      </w:r>
      <w:r w:rsidRPr="00D81064">
        <w:rPr>
          <w:lang w:val="ru-RU"/>
        </w:rPr>
        <w:tab/>
        <w:t xml:space="preserve">Два Советника призвали </w:t>
      </w:r>
      <w:r w:rsidR="00373264" w:rsidRPr="00D81064">
        <w:rPr>
          <w:lang w:val="ru-RU"/>
        </w:rPr>
        <w:t xml:space="preserve">Секретариат </w:t>
      </w:r>
      <w:r w:rsidRPr="00D81064">
        <w:rPr>
          <w:lang w:val="ru-RU"/>
        </w:rPr>
        <w:t xml:space="preserve">оказывать более активную поддержку работе РГС-ФЛР, при этом одна из них отметила, что прогресс по некоторым вопросам, в том числе по методике оценки затрат, сдерживается не отсутствием консенсуса, а отсутствием своевременной документации и информации. </w:t>
      </w:r>
    </w:p>
    <w:p w14:paraId="0CBD469F" w14:textId="58621F0B" w:rsidR="002D3947" w:rsidRPr="00D81064" w:rsidDel="00907B46" w:rsidRDefault="002D3947" w:rsidP="002D3947">
      <w:pPr>
        <w:rPr>
          <w:lang w:val="ru-RU"/>
        </w:rPr>
      </w:pPr>
      <w:r w:rsidRPr="00D81064">
        <w:rPr>
          <w:lang w:val="ru-RU"/>
        </w:rPr>
        <w:t>2.6</w:t>
      </w:r>
      <w:r w:rsidRPr="00D81064">
        <w:rPr>
          <w:lang w:val="ru-RU"/>
        </w:rPr>
        <w:tab/>
        <w:t>Один из Советников, отмечая, что Союз принял статут Объединенной инспекционной группы системы Организации Объединенных Наций (ОИГ), содержащийся в резолюции</w:t>
      </w:r>
      <w:r w:rsidR="00C64228" w:rsidRPr="00D81064">
        <w:rPr>
          <w:lang w:val="ru-RU"/>
        </w:rPr>
        <w:t> </w:t>
      </w:r>
      <w:r w:rsidRPr="00D81064">
        <w:rPr>
          <w:lang w:val="ru-RU"/>
        </w:rPr>
        <w:t>31/192 Генеральной Ассамблеи, сказал, что Полномочной конференции следует рассмотреть вопрос об отмене ее оговорки к принятию статута, изложенной в Резолюции</w:t>
      </w:r>
      <w:r w:rsidR="00C64228" w:rsidRPr="00D81064">
        <w:rPr>
          <w:lang w:val="ru-RU"/>
        </w:rPr>
        <w:t> </w:t>
      </w:r>
      <w:r w:rsidRPr="00D81064">
        <w:rPr>
          <w:lang w:val="ru-RU"/>
        </w:rPr>
        <w:t>38 (Найроби, 1982</w:t>
      </w:r>
      <w:r w:rsidR="00C64228" w:rsidRPr="00D81064">
        <w:rPr>
          <w:lang w:val="ru-RU"/>
        </w:rPr>
        <w:t> </w:t>
      </w:r>
      <w:r w:rsidRPr="00D81064">
        <w:rPr>
          <w:lang w:val="ru-RU"/>
        </w:rPr>
        <w:t>г.) Полномочной конференции, в соответствии с которой ОИГ не становится вспомогательным органом законодательных органов Союза и не наделяется полномочиями по расследованию вопросов, связанных с электросвязью, в Союзе. Союз продолжит извлекать пользу от независимых экспертных знаний и опыта ОИГ в области надзора в качестве механизма третьей линии защиты.</w:t>
      </w:r>
    </w:p>
    <w:p w14:paraId="544AFF80" w14:textId="22B15E99" w:rsidR="002D3947" w:rsidRPr="00D81064" w:rsidRDefault="002D3947" w:rsidP="002D3947">
      <w:pPr>
        <w:rPr>
          <w:lang w:val="ru-RU"/>
        </w:rPr>
      </w:pPr>
      <w:r w:rsidRPr="00D81064">
        <w:rPr>
          <w:lang w:val="ru-RU"/>
        </w:rPr>
        <w:t>2.7</w:t>
      </w:r>
      <w:r w:rsidRPr="00D81064">
        <w:rPr>
          <w:lang w:val="ru-RU"/>
        </w:rPr>
        <w:tab/>
        <w:t>Затем Председатель РГС-ФЛР заявила, что с учетом замечаний, высказанных в ходе обсуждения, она обновила отчет, который теперь содержится в Документе</w:t>
      </w:r>
      <w:r w:rsidR="00C64228" w:rsidRPr="00D81064">
        <w:rPr>
          <w:lang w:val="ru-RU"/>
        </w:rPr>
        <w:t> </w:t>
      </w:r>
      <w:r w:rsidRPr="00D81064">
        <w:rPr>
          <w:lang w:val="ru-RU"/>
        </w:rPr>
        <w:t xml:space="preserve">C26/50(Rev.1), исключив из него Приложение A, с тем чтобы все содержащиеся в Документе рекомендации были приняты к сведению Советом. Она также внесла предложенные изменения, в том числе в отношении содержащейся в пункте 2.5 рекомендации для Совета поручить </w:t>
      </w:r>
      <w:r w:rsidR="00373264" w:rsidRPr="00D81064">
        <w:rPr>
          <w:lang w:val="ru-RU"/>
        </w:rPr>
        <w:t xml:space="preserve">Секретариату </w:t>
      </w:r>
      <w:r w:rsidRPr="00D81064">
        <w:rPr>
          <w:lang w:val="ru-RU"/>
        </w:rPr>
        <w:t>зачитывать кодекс поведения Организации Объединенных Наций перед всеми собраниями, конференциями и ассамблеями и включать ссылку на него на веб-сайте мероприятия в рамках процесса регистрации. Что касается ОИГ и оговорок Союза к статуту ОИГ, то обсуждения в РГС</w:t>
      </w:r>
      <w:r w:rsidR="00C64228" w:rsidRPr="00D81064">
        <w:rPr>
          <w:lang w:val="ru-RU"/>
        </w:rPr>
        <w:noBreakHyphen/>
      </w:r>
      <w:r w:rsidRPr="00D81064">
        <w:rPr>
          <w:lang w:val="ru-RU"/>
        </w:rPr>
        <w:t xml:space="preserve">ФЛР были сосредоточены на участии ОИГ в сессиях Совета. В связи с этим она рекомендовала продолжить обсуждение данного вопроса, в том числе в отношении Резолюции 57 (Киото, 1994 г.) Полномочной конференции, на собраниях РГС-ФЛР и Полномочной конференции. Наконец, было бы полезно внести некоторые пояснения в отношении роли и обязанностей </w:t>
      </w:r>
      <w:r w:rsidR="00373264" w:rsidRPr="00D81064">
        <w:rPr>
          <w:lang w:val="ru-RU"/>
        </w:rPr>
        <w:t xml:space="preserve">Секретариата </w:t>
      </w:r>
      <w:r w:rsidRPr="00D81064">
        <w:rPr>
          <w:lang w:val="ru-RU"/>
        </w:rPr>
        <w:t>по отношению к РГС-ФЛР, с тем чтобы пересмотреть ожидания в отношении запрашиваемых документов и информации.</w:t>
      </w:r>
    </w:p>
    <w:p w14:paraId="5C38C51D" w14:textId="77777777" w:rsidR="002D3947" w:rsidRPr="00D81064" w:rsidRDefault="002D3947" w:rsidP="00C64228">
      <w:pPr>
        <w:keepNext/>
        <w:keepLines/>
        <w:rPr>
          <w:lang w:val="ru-RU"/>
        </w:rPr>
      </w:pPr>
      <w:r w:rsidRPr="00D81064">
        <w:rPr>
          <w:lang w:val="ru-RU"/>
        </w:rPr>
        <w:t>2.8</w:t>
      </w:r>
      <w:r w:rsidRPr="00D81064">
        <w:rPr>
          <w:lang w:val="ru-RU"/>
        </w:rPr>
        <w:tab/>
        <w:t xml:space="preserve">Комитет </w:t>
      </w:r>
      <w:r w:rsidRPr="00D81064">
        <w:rPr>
          <w:b/>
          <w:bCs/>
          <w:lang w:val="ru-RU"/>
        </w:rPr>
        <w:t>принял решение</w:t>
      </w:r>
      <w:r w:rsidRPr="00D81064">
        <w:rPr>
          <w:lang w:val="ru-RU"/>
        </w:rPr>
        <w:t xml:space="preserve"> сделать по данному вопросу следующее заключение:</w:t>
      </w:r>
    </w:p>
    <w:p w14:paraId="08EECDCB" w14:textId="77777777" w:rsidR="002D3947" w:rsidRPr="00D81064" w:rsidRDefault="002D3947" w:rsidP="00C64228">
      <w:pPr>
        <w:keepNext/>
        <w:keepLines/>
        <w:pBdr>
          <w:top w:val="single" w:sz="4" w:space="1" w:color="auto"/>
          <w:left w:val="single" w:sz="4" w:space="4" w:color="auto"/>
          <w:bottom w:val="single" w:sz="4" w:space="1" w:color="auto"/>
          <w:right w:val="single" w:sz="4" w:space="4" w:color="auto"/>
        </w:pBdr>
        <w:rPr>
          <w:lang w:val="ru-RU"/>
        </w:rPr>
      </w:pPr>
      <w:r w:rsidRPr="00D81064">
        <w:rPr>
          <w:lang w:val="ru-RU"/>
        </w:rPr>
        <w:t>2.9</w:t>
      </w:r>
      <w:r w:rsidRPr="00D81064">
        <w:rPr>
          <w:lang w:val="ru-RU"/>
        </w:rPr>
        <w:tab/>
        <w:t>Комитет рекомендует Совету:</w:t>
      </w:r>
    </w:p>
    <w:p w14:paraId="4C599992" w14:textId="4C51EADB" w:rsidR="002D3947" w:rsidRPr="00D81064" w:rsidRDefault="002D3947" w:rsidP="00C64228">
      <w:pPr>
        <w:pStyle w:val="enumlev1"/>
        <w:pBdr>
          <w:top w:val="single" w:sz="4" w:space="1" w:color="auto"/>
          <w:left w:val="single" w:sz="4" w:space="4" w:color="auto"/>
          <w:bottom w:val="single" w:sz="4" w:space="1" w:color="auto"/>
          <w:right w:val="single" w:sz="4" w:space="4" w:color="auto"/>
        </w:pBdr>
        <w:rPr>
          <w:lang w:val="ru-RU"/>
        </w:rPr>
      </w:pPr>
      <w:r w:rsidRPr="00D81064">
        <w:rPr>
          <w:lang w:val="ru-RU"/>
        </w:rPr>
        <w:t>•</w:t>
      </w:r>
      <w:r w:rsidRPr="00D81064">
        <w:rPr>
          <w:lang w:val="ru-RU"/>
        </w:rPr>
        <w:tab/>
        <w:t>принять к сведению работу РГС-ФЛР;</w:t>
      </w:r>
    </w:p>
    <w:p w14:paraId="2465520E" w14:textId="042059F2" w:rsidR="002D3947" w:rsidRPr="00D81064" w:rsidRDefault="002D3947" w:rsidP="00C64228">
      <w:pPr>
        <w:pStyle w:val="enumlev1"/>
        <w:pBdr>
          <w:top w:val="single" w:sz="4" w:space="1" w:color="auto"/>
          <w:left w:val="single" w:sz="4" w:space="4" w:color="auto"/>
          <w:bottom w:val="single" w:sz="4" w:space="1" w:color="auto"/>
          <w:right w:val="single" w:sz="4" w:space="4" w:color="auto"/>
        </w:pBdr>
        <w:rPr>
          <w:lang w:val="ru-RU"/>
        </w:rPr>
      </w:pPr>
      <w:r w:rsidRPr="00D81064">
        <w:rPr>
          <w:lang w:val="ru-RU"/>
        </w:rPr>
        <w:t>•</w:t>
      </w:r>
      <w:r w:rsidRPr="00D81064">
        <w:rPr>
          <w:lang w:val="ru-RU"/>
        </w:rPr>
        <w:tab/>
      </w:r>
      <w:r w:rsidR="00281713" w:rsidRPr="00D81064">
        <w:rPr>
          <w:lang w:val="ru-RU"/>
        </w:rPr>
        <w:t>одобрить рекомендации РГС-ФЛР, содержащиеся</w:t>
      </w:r>
      <w:r w:rsidRPr="00D81064">
        <w:rPr>
          <w:lang w:val="ru-RU"/>
        </w:rPr>
        <w:t xml:space="preserve"> в Документе </w:t>
      </w:r>
      <w:hyperlink r:id="rId16" w:history="1">
        <w:r w:rsidRPr="00D81064">
          <w:rPr>
            <w:rStyle w:val="Hyperlink"/>
            <w:lang w:val="ru-RU"/>
          </w:rPr>
          <w:t>C26/50(Rev.1)</w:t>
        </w:r>
      </w:hyperlink>
      <w:hyperlink r:id="rId17" w:history="1"/>
      <w:r w:rsidRPr="00D81064">
        <w:rPr>
          <w:lang w:val="ru-RU"/>
        </w:rPr>
        <w:t>.</w:t>
      </w:r>
    </w:p>
    <w:p w14:paraId="5E0998A8" w14:textId="7612C366" w:rsidR="002D3947" w:rsidRPr="00D81064" w:rsidRDefault="002D3947" w:rsidP="002D3947">
      <w:pPr>
        <w:pStyle w:val="Heading1"/>
        <w:rPr>
          <w:lang w:val="ru-RU"/>
        </w:rPr>
      </w:pPr>
      <w:r w:rsidRPr="00D81064">
        <w:rPr>
          <w:bCs/>
          <w:lang w:val="ru-RU"/>
        </w:rPr>
        <w:lastRenderedPageBreak/>
        <w:t>3</w:t>
      </w:r>
      <w:r w:rsidRPr="00D81064">
        <w:rPr>
          <w:lang w:val="ru-RU"/>
        </w:rPr>
        <w:tab/>
        <w:t>Четырехгодичный отчет РГС-ФЛР (Документ</w:t>
      </w:r>
      <w:r w:rsidR="00B94D56" w:rsidRPr="00D81064">
        <w:rPr>
          <w:lang w:val="ru-RU"/>
        </w:rPr>
        <w:t>ы</w:t>
      </w:r>
      <w:r w:rsidRPr="00D81064">
        <w:rPr>
          <w:lang w:val="ru-RU"/>
        </w:rPr>
        <w:t xml:space="preserve"> C26/53</w:t>
      </w:r>
      <w:r w:rsidR="00017C1F" w:rsidRPr="00D81064">
        <w:rPr>
          <w:lang w:val="ru-RU"/>
        </w:rPr>
        <w:t xml:space="preserve"> и </w:t>
      </w:r>
      <w:hyperlink r:id="rId18" w:history="1">
        <w:r w:rsidR="00017C1F" w:rsidRPr="00D81064">
          <w:rPr>
            <w:rStyle w:val="Hyperlink"/>
            <w:lang w:val="ru-RU"/>
          </w:rPr>
          <w:t>C26/53(Rev.1)</w:t>
        </w:r>
      </w:hyperlink>
      <w:r w:rsidRPr="00D81064">
        <w:rPr>
          <w:lang w:val="ru-RU"/>
        </w:rPr>
        <w:t>)</w:t>
      </w:r>
      <w:hyperlink r:id="rId19" w:history="1"/>
    </w:p>
    <w:p w14:paraId="3132605D" w14:textId="453E5B49" w:rsidR="002D3947" w:rsidRPr="00D81064" w:rsidRDefault="002D3947" w:rsidP="00B31145">
      <w:pPr>
        <w:keepLines/>
        <w:rPr>
          <w:lang w:val="ru-RU"/>
        </w:rPr>
      </w:pPr>
      <w:r w:rsidRPr="00D81064">
        <w:rPr>
          <w:lang w:val="ru-RU"/>
        </w:rPr>
        <w:t>3.1</w:t>
      </w:r>
      <w:r w:rsidRPr="00D81064">
        <w:rPr>
          <w:lang w:val="ru-RU"/>
        </w:rPr>
        <w:tab/>
        <w:t>Председатель РГС-ФЛР представила Документ C26/53, в котором содержится отчет о</w:t>
      </w:r>
      <w:r w:rsidR="009F495A" w:rsidRPr="00D81064">
        <w:rPr>
          <w:lang w:val="ru-RU"/>
        </w:rPr>
        <w:t> </w:t>
      </w:r>
      <w:r w:rsidRPr="00D81064">
        <w:rPr>
          <w:lang w:val="ru-RU"/>
        </w:rPr>
        <w:t>деятельности РГС-ФЛР за четыре года, включая ссылки на отдельные отчеты РГС-ФЛР за этот период времени, а также ряд рекомендаций для рассмотрения Советом и последующей передачи Полномочной конференции, в зависимости от случая. Эти рекомендации включают обращение к Полномочной конференции с просьбой предоставить руководящие указания относительно осуществления Статьи 34 Конвенции для содействия обсуждению методик оценки расходов.</w:t>
      </w:r>
    </w:p>
    <w:p w14:paraId="74A7A8DF" w14:textId="0528F583" w:rsidR="002D3947" w:rsidRPr="00D81064" w:rsidRDefault="002D3947" w:rsidP="002D3947">
      <w:pPr>
        <w:rPr>
          <w:lang w:val="ru-RU"/>
        </w:rPr>
      </w:pPr>
      <w:r w:rsidRPr="00D81064">
        <w:rPr>
          <w:lang w:val="ru-RU"/>
        </w:rPr>
        <w:t>3.2</w:t>
      </w:r>
      <w:r w:rsidRPr="00D81064">
        <w:rPr>
          <w:lang w:val="ru-RU"/>
        </w:rPr>
        <w:tab/>
        <w:t>В ходе последовавшего обсуждения Советники отметили значительный объем работы и разнообразие тем, которыми занималась РГС-ФЛР на протяжении четырехлетнего периода. Темы включали финансовые и административные вопросы, проект штаб-квартиры, заявки на регистрацию спутниковых сетей, укрепление регионального присутствия Союза, а также вопросы этики и надзора. Несколько Советников высказались в поддержку продолжения деятельности РГС-ФЛР в течение следующих четырех лет; ряд Советников подчеркнули необходимость укрепления РГС-ФЛР, в том числе путем обновления ее методов работы, увеличения времени, выделяемого для ее собраний, и внесения поправок в Решение</w:t>
      </w:r>
      <w:r w:rsidR="00C64228" w:rsidRPr="00D81064">
        <w:rPr>
          <w:lang w:val="ru-RU"/>
        </w:rPr>
        <w:t> </w:t>
      </w:r>
      <w:r w:rsidRPr="00D81064">
        <w:rPr>
          <w:lang w:val="ru-RU"/>
        </w:rPr>
        <w:t>11 (</w:t>
      </w:r>
      <w:proofErr w:type="spellStart"/>
      <w:r w:rsidRPr="00D81064">
        <w:rPr>
          <w:lang w:val="ru-RU"/>
        </w:rPr>
        <w:t>Пересм</w:t>
      </w:r>
      <w:proofErr w:type="spellEnd"/>
      <w:r w:rsidRPr="00D81064">
        <w:rPr>
          <w:lang w:val="ru-RU"/>
        </w:rPr>
        <w:t xml:space="preserve">. Бухарест, 2022 г.) Полномочной конференции. Это можно было бы сделать в рамках пересмотра методов работы всех рабочих групп Совета. Два Советника вновь повторили предложение о создании постоянной группы, работающей по переписке, для рассмотрения некоторых вопросов в межсессионный период, что несколько ослабит нагрузку на РГС-ФЛР. Один из Советников подчеркнул необходимость соблюдения РГС-ФЛР принципа инклюзивности и осуществления надзора за РГС-ФЛР и ее работой со стороны Государств-Членов. Еще одна из Советников подчеркнула важность получения своевременной, прозрачной и четкой документации от </w:t>
      </w:r>
      <w:r w:rsidR="00373264" w:rsidRPr="00D81064">
        <w:rPr>
          <w:lang w:val="ru-RU"/>
        </w:rPr>
        <w:t xml:space="preserve">Секретариата </w:t>
      </w:r>
      <w:r w:rsidRPr="00D81064">
        <w:rPr>
          <w:lang w:val="ru-RU"/>
        </w:rPr>
        <w:t>для поддержки обсуждений и принятия решений РГС-ФЛР.</w:t>
      </w:r>
    </w:p>
    <w:p w14:paraId="62989824" w14:textId="77777777" w:rsidR="00B15B7E" w:rsidRPr="00D81064" w:rsidRDefault="00B15B7E" w:rsidP="00B15B7E">
      <w:pPr>
        <w:rPr>
          <w:lang w:val="ru-RU"/>
        </w:rPr>
      </w:pPr>
      <w:bookmarkStart w:id="6" w:name="_Hlk133421856"/>
      <w:bookmarkStart w:id="7" w:name="_Hlk133422370"/>
      <w:bookmarkStart w:id="8" w:name="_Hlk133586559"/>
      <w:bookmarkStart w:id="9" w:name="_Hlk133421428"/>
      <w:r w:rsidRPr="00D81064">
        <w:rPr>
          <w:lang w:val="ru-RU"/>
        </w:rPr>
        <w:t>3.3</w:t>
      </w:r>
      <w:r w:rsidRPr="00D81064">
        <w:rPr>
          <w:lang w:val="ru-RU"/>
        </w:rPr>
        <w:tab/>
        <w:t>Затем Председатель РГС-ФЛР представила Документ C26/53(Rev.1), содержащий обновленную версию отчета, в которой учтены замечания Советников.</w:t>
      </w:r>
    </w:p>
    <w:p w14:paraId="13119B69" w14:textId="77777777" w:rsidR="00B15B7E" w:rsidRPr="00D81064" w:rsidRDefault="00B15B7E" w:rsidP="00B15B7E">
      <w:pPr>
        <w:keepNext/>
        <w:keepLines/>
        <w:rPr>
          <w:lang w:val="ru-RU"/>
        </w:rPr>
      </w:pPr>
      <w:r w:rsidRPr="00D81064">
        <w:rPr>
          <w:lang w:val="ru-RU"/>
        </w:rPr>
        <w:t>3.4</w:t>
      </w:r>
      <w:r w:rsidRPr="00D81064">
        <w:rPr>
          <w:lang w:val="ru-RU"/>
        </w:rPr>
        <w:tab/>
        <w:t xml:space="preserve">Комитет </w:t>
      </w:r>
      <w:r w:rsidRPr="00D81064">
        <w:rPr>
          <w:b/>
          <w:bCs/>
          <w:lang w:val="ru-RU"/>
        </w:rPr>
        <w:t>принял решение</w:t>
      </w:r>
      <w:r w:rsidRPr="00D81064">
        <w:rPr>
          <w:lang w:val="ru-RU"/>
        </w:rPr>
        <w:t xml:space="preserve"> сделать по данному вопросу следующее заключение:</w:t>
      </w:r>
    </w:p>
    <w:p w14:paraId="2583C810" w14:textId="77777777" w:rsidR="00B15B7E" w:rsidRPr="00D81064" w:rsidRDefault="00B15B7E" w:rsidP="00B15B7E">
      <w:pPr>
        <w:keepNext/>
        <w:keepLines/>
        <w:pBdr>
          <w:top w:val="single" w:sz="4" w:space="1" w:color="auto"/>
          <w:left w:val="single" w:sz="4" w:space="4" w:color="auto"/>
          <w:bottom w:val="single" w:sz="4" w:space="1" w:color="auto"/>
          <w:right w:val="single" w:sz="4" w:space="4" w:color="auto"/>
        </w:pBdr>
        <w:rPr>
          <w:lang w:val="ru-RU"/>
        </w:rPr>
      </w:pPr>
      <w:r w:rsidRPr="00D81064">
        <w:rPr>
          <w:lang w:val="ru-RU"/>
        </w:rPr>
        <w:t>3.5</w:t>
      </w:r>
      <w:r w:rsidRPr="00D81064">
        <w:rPr>
          <w:lang w:val="ru-RU"/>
        </w:rPr>
        <w:tab/>
        <w:t>Комитет рекомендует Совету:</w:t>
      </w:r>
    </w:p>
    <w:p w14:paraId="4B9EDB23" w14:textId="3C5648AE" w:rsidR="00B15B7E" w:rsidRPr="00D81064" w:rsidRDefault="00B15B7E" w:rsidP="00B15B7E">
      <w:pPr>
        <w:pStyle w:val="enumlev1"/>
        <w:pBdr>
          <w:top w:val="single" w:sz="4" w:space="1" w:color="auto"/>
          <w:left w:val="single" w:sz="4" w:space="4" w:color="auto"/>
          <w:bottom w:val="single" w:sz="4" w:space="1" w:color="auto"/>
          <w:right w:val="single" w:sz="4" w:space="4" w:color="auto"/>
        </w:pBdr>
        <w:rPr>
          <w:lang w:val="ru-RU"/>
        </w:rPr>
      </w:pPr>
      <w:r w:rsidRPr="00D81064">
        <w:rPr>
          <w:lang w:val="ru-RU"/>
        </w:rPr>
        <w:t>•</w:t>
      </w:r>
      <w:r w:rsidRPr="00D81064">
        <w:rPr>
          <w:lang w:val="ru-RU"/>
        </w:rPr>
        <w:tab/>
        <w:t xml:space="preserve">принять к сведению отчет, содержащийся в Документе </w:t>
      </w:r>
      <w:hyperlink r:id="rId20" w:history="1">
        <w:r w:rsidRPr="00D81064">
          <w:rPr>
            <w:rStyle w:val="Hyperlink"/>
            <w:lang w:val="ru-RU"/>
          </w:rPr>
          <w:t>C26/53(Rev.1)</w:t>
        </w:r>
      </w:hyperlink>
      <w:r w:rsidRPr="00D81064">
        <w:rPr>
          <w:lang w:val="ru-RU"/>
        </w:rPr>
        <w:t>;</w:t>
      </w:r>
      <w:hyperlink r:id="rId21" w:history="1"/>
    </w:p>
    <w:p w14:paraId="2849B8F0" w14:textId="77777777" w:rsidR="00B15B7E" w:rsidRPr="00D81064" w:rsidRDefault="00B15B7E" w:rsidP="00B15B7E">
      <w:pPr>
        <w:pStyle w:val="enumlev1"/>
        <w:pBdr>
          <w:top w:val="single" w:sz="4" w:space="1" w:color="auto"/>
          <w:left w:val="single" w:sz="4" w:space="4" w:color="auto"/>
          <w:bottom w:val="single" w:sz="4" w:space="1" w:color="auto"/>
          <w:right w:val="single" w:sz="4" w:space="4" w:color="auto"/>
        </w:pBdr>
        <w:rPr>
          <w:lang w:val="ru-RU"/>
        </w:rPr>
      </w:pPr>
      <w:r w:rsidRPr="00D81064">
        <w:rPr>
          <w:lang w:val="ru-RU"/>
        </w:rPr>
        <w:t>•</w:t>
      </w:r>
      <w:r w:rsidRPr="00D81064">
        <w:rPr>
          <w:lang w:val="ru-RU"/>
        </w:rPr>
        <w:tab/>
        <w:t>представить соответствующие содержащиеся в нем рекомендации Полномочной конференции, в частности в отношении продолжения деятельности РГС-ФЛР в течение следующих четырех лет.</w:t>
      </w:r>
    </w:p>
    <w:p w14:paraId="2F48A641" w14:textId="77777777" w:rsidR="00B15B7E" w:rsidRPr="00D81064" w:rsidRDefault="00B15B7E" w:rsidP="00B15B7E">
      <w:pPr>
        <w:pStyle w:val="Heading1"/>
        <w:rPr>
          <w:lang w:val="ru-RU"/>
        </w:rPr>
      </w:pPr>
      <w:r w:rsidRPr="00D81064">
        <w:rPr>
          <w:bCs/>
          <w:lang w:val="ru-RU"/>
        </w:rPr>
        <w:t>4</w:t>
      </w:r>
      <w:r w:rsidRPr="00D81064">
        <w:rPr>
          <w:lang w:val="ru-RU"/>
        </w:rPr>
        <w:tab/>
        <w:t xml:space="preserve">Заявление Консультативной группы по радиосвязи (Документ </w:t>
      </w:r>
      <w:hyperlink r:id="rId22" w:history="1">
        <w:r w:rsidRPr="00D81064">
          <w:rPr>
            <w:rStyle w:val="Hyperlink"/>
            <w:lang w:val="ru-RU"/>
          </w:rPr>
          <w:t>C26/111</w:t>
        </w:r>
      </w:hyperlink>
      <w:r w:rsidRPr="00D81064">
        <w:rPr>
          <w:lang w:val="ru-RU"/>
        </w:rPr>
        <w:t>)</w:t>
      </w:r>
      <w:hyperlink r:id="rId23" w:history="1"/>
    </w:p>
    <w:p w14:paraId="111EE801" w14:textId="32604043" w:rsidR="00B15B7E" w:rsidRPr="00D81064" w:rsidRDefault="00B15B7E" w:rsidP="00B15B7E">
      <w:pPr>
        <w:rPr>
          <w:lang w:val="ru-RU"/>
        </w:rPr>
      </w:pPr>
      <w:r w:rsidRPr="00D81064">
        <w:rPr>
          <w:lang w:val="ru-RU"/>
        </w:rPr>
        <w:t>4.1</w:t>
      </w:r>
      <w:r w:rsidRPr="00D81064">
        <w:rPr>
          <w:lang w:val="ru-RU"/>
        </w:rPr>
        <w:tab/>
        <w:t xml:space="preserve">Заместитель Директора Бюро радиосвязи (БР) представила Документ C26/111, в котором содержится ответ Консультативной группы по радиосвязи (КГР) на заявление о взаимодействии от РГС-ФЛР, направленное консультативным группам Секторов и </w:t>
      </w:r>
      <w:proofErr w:type="spellStart"/>
      <w:r w:rsidRPr="00D81064">
        <w:rPr>
          <w:lang w:val="ru-RU"/>
        </w:rPr>
        <w:t>Межсекторальной</w:t>
      </w:r>
      <w:proofErr w:type="spellEnd"/>
      <w:r w:rsidRPr="00D81064">
        <w:rPr>
          <w:lang w:val="ru-RU"/>
        </w:rPr>
        <w:t xml:space="preserve"> координационной группе, о порядке предоставления оценок финансовых последствий Решений и Резолюций, принятых на конференциях и ассамблеях МСЭ. КГР на своем 33-м собрании обсудила трудности, связанные с представлением оценок затрат с использованием предложенной методики оценки затрат в контексте ВКР, и пришла к выводу, что на данном этапе соблюдение предложенной методики для ВКР-27 будет сложной задачей.</w:t>
      </w:r>
    </w:p>
    <w:p w14:paraId="69B7206A" w14:textId="332060A1" w:rsidR="00B15B7E" w:rsidRPr="00D81064" w:rsidRDefault="00B15B7E" w:rsidP="00B15B7E">
      <w:pPr>
        <w:rPr>
          <w:lang w:val="ru-RU"/>
        </w:rPr>
      </w:pPr>
      <w:r w:rsidRPr="00D81064">
        <w:rPr>
          <w:lang w:val="ru-RU"/>
        </w:rPr>
        <w:t>4.2</w:t>
      </w:r>
      <w:r w:rsidRPr="00D81064">
        <w:rPr>
          <w:lang w:val="ru-RU"/>
        </w:rPr>
        <w:tab/>
        <w:t xml:space="preserve">В ходе последовавшего обсуждения некоторые Советники, признав сложность расчета финансовых последствий Резолюций ВКР, выразили обеспокоенность тем, что соблюдение Статьи 34 Конвенции может оказаться под угрозой, если оценка финансовых последствий принятых ВКР-27 Резолюций будет невозможной. Комплексный характер решений, </w:t>
      </w:r>
      <w:r w:rsidRPr="00D81064">
        <w:rPr>
          <w:lang w:val="ru-RU"/>
        </w:rPr>
        <w:lastRenderedPageBreak/>
        <w:t>принимаемых ВКР, не оправдывает несоблюдение Конвенции. Хотя точных прогнозов ожидать нельзя, обеспечить приблизительную оценку затрат должно быть возможно, в особенности с учетом того, что ВКР проводится периодически, ее повестка дня составляется на четыре года вперед и результаты вполне предсказуемы. В заявлении о взаимодействии от КГР не содержится информации, уточняющей конкретные трудности, связанные с оценкой затрат по Резолюциям и Решениям ВКР; поэтому было бы желательно получить более подробные разъяснения характера этих трудностей.</w:t>
      </w:r>
    </w:p>
    <w:p w14:paraId="3163693C" w14:textId="411447AF" w:rsidR="00B15B7E" w:rsidRPr="00D81064" w:rsidRDefault="00B15B7E" w:rsidP="00B15B7E">
      <w:pPr>
        <w:rPr>
          <w:lang w:val="ru-RU"/>
        </w:rPr>
      </w:pPr>
      <w:r w:rsidRPr="00D81064">
        <w:rPr>
          <w:lang w:val="ru-RU"/>
        </w:rPr>
        <w:t>4.3</w:t>
      </w:r>
      <w:r w:rsidRPr="00D81064">
        <w:rPr>
          <w:lang w:val="ru-RU"/>
        </w:rPr>
        <w:tab/>
        <w:t>Другие Советники заявили, что, поскольку в Решения и Резолюции ВКР в ходе конференции вносятся существенные поправки, нереалистично ожидать таких предварительных расчетов, которые возможны в случае других конференций. Речь идет не о несоблюдении Статьи 34, а скорее о том, как обеспечить соблюдение Статьи 34, несмотря на трудности оценки финансовых последствий Резолюций и Решений ВКР. Следует рассмотреть вопрос о том, действительно ли применение общей методики расчета затрат ко всем собраниям и конференциям является целесообразным или же для определенных конференций и ассамблей следует использовать специальные методики расчета. Что касается ВКР, методика расчета затрат должна учитывать тот факт, что эта конференция не только утверждает новые виды деятельности Союза, но и упраздняет и заменяет устаревшие. Таким образом, по итогам конференции происходит не только добавление видов деятельности, требующих дополнительных ресурсов. Ресурсы Союза ограничены и должны управляться надлежащим образом; поэтому представление бюджета и финансового положения Союза является ключевым условием понимания наличия средств и обеспечения соблюдения норм Статьи 34. Таким образом, надлежащая методика оценки затрат в отношении финансовых последствий Резолюций и Решений является важным элементом финансового управления Союза и обеспечения того, чтобы Союз мог выполнять свой основной мандат. С учетом уникального характера каждого Сектора этот вопрос требует тщательного рассмотрения и дальнейшего обсуждения, которые следует продолжить в рамках РГС-ФЛР.</w:t>
      </w:r>
    </w:p>
    <w:p w14:paraId="6BA83559" w14:textId="50FFF9CB" w:rsidR="00C440ED" w:rsidRPr="00D81064" w:rsidRDefault="00B15B7E" w:rsidP="00B15B7E">
      <w:pPr>
        <w:rPr>
          <w:lang w:val="ru-RU"/>
        </w:rPr>
      </w:pPr>
      <w:r w:rsidRPr="00D81064">
        <w:rPr>
          <w:lang w:val="ru-RU"/>
        </w:rPr>
        <w:t>4.4</w:t>
      </w:r>
      <w:r w:rsidRPr="00D81064">
        <w:rPr>
          <w:lang w:val="ru-RU"/>
        </w:rPr>
        <w:tab/>
        <w:t xml:space="preserve">Директор БР заявил, что КГР рассмотрела методику, с помощью которой Государства-Члены и региональные организации должны оценивать затраты, связанные с их предложениями, до начала конференции. Это осуществимо, однако затем, в ходе рассмотрения и анализа возможных сочетаний последствий всех этих предложений, в итоге получается множество потенциальных комбинаций. После этого, во время ВКР, Решения и Резолюции могут подвергаться значительным изменениям, а итоговые результаты могут серьезно отличаться от сметных затрат. КГР пожелала изложить связанные с этим трудности и проблемы. Таким образом, предлагается рассмотреть иной порядок дальнейших действий, чтобы обеспечить возможность выполнения Решений и Резолюций конференции. </w:t>
      </w:r>
      <w:r w:rsidR="00C440ED" w:rsidRPr="00D81064">
        <w:rPr>
          <w:lang w:val="ru-RU"/>
        </w:rPr>
        <w:t>Следует обратить внимание на характер предложений, представляемых на ВКР, которые во многих случаях польз</w:t>
      </w:r>
      <w:r w:rsidR="00283F60" w:rsidRPr="00D81064">
        <w:rPr>
          <w:lang w:val="ru-RU"/>
        </w:rPr>
        <w:t>овались</w:t>
      </w:r>
      <w:r w:rsidR="00C440ED" w:rsidRPr="00D81064">
        <w:rPr>
          <w:lang w:val="ru-RU"/>
        </w:rPr>
        <w:t xml:space="preserve"> значительной поддержкой со стороны отрасли, и их ограничение по бюджетным соображениям может серьезно подорвать доверие отрасли к МСЭ.</w:t>
      </w:r>
    </w:p>
    <w:p w14:paraId="32BBE8F3" w14:textId="77777777" w:rsidR="00B15B7E" w:rsidRPr="00D81064" w:rsidRDefault="00B15B7E" w:rsidP="00B15B7E">
      <w:pPr>
        <w:keepNext/>
        <w:keepLines/>
        <w:rPr>
          <w:lang w:val="ru-RU"/>
        </w:rPr>
      </w:pPr>
      <w:r w:rsidRPr="00D81064">
        <w:rPr>
          <w:lang w:val="ru-RU"/>
        </w:rPr>
        <w:t>4.5</w:t>
      </w:r>
      <w:r w:rsidRPr="00D81064">
        <w:rPr>
          <w:lang w:val="ru-RU"/>
        </w:rPr>
        <w:tab/>
        <w:t xml:space="preserve">Комитет </w:t>
      </w:r>
      <w:r w:rsidRPr="00D81064">
        <w:rPr>
          <w:b/>
          <w:bCs/>
          <w:lang w:val="ru-RU"/>
        </w:rPr>
        <w:t>принял решение</w:t>
      </w:r>
      <w:r w:rsidRPr="00D81064">
        <w:rPr>
          <w:lang w:val="ru-RU"/>
        </w:rPr>
        <w:t xml:space="preserve"> сделать по данному вопросу следующее заключение:</w:t>
      </w:r>
    </w:p>
    <w:p w14:paraId="6DE47436" w14:textId="77777777" w:rsidR="00B15B7E" w:rsidRPr="00D81064" w:rsidRDefault="00B15B7E" w:rsidP="00B15B7E">
      <w:pPr>
        <w:keepNext/>
        <w:keepLines/>
        <w:pBdr>
          <w:top w:val="single" w:sz="4" w:space="1" w:color="auto"/>
          <w:left w:val="single" w:sz="4" w:space="4" w:color="auto"/>
          <w:bottom w:val="single" w:sz="4" w:space="1" w:color="auto"/>
          <w:right w:val="single" w:sz="4" w:space="4" w:color="auto"/>
        </w:pBdr>
        <w:rPr>
          <w:bCs/>
          <w:lang w:val="ru-RU"/>
        </w:rPr>
      </w:pPr>
      <w:r w:rsidRPr="00D81064">
        <w:rPr>
          <w:lang w:val="ru-RU"/>
        </w:rPr>
        <w:t>4.6</w:t>
      </w:r>
      <w:r w:rsidRPr="00D81064">
        <w:rPr>
          <w:lang w:val="ru-RU"/>
        </w:rPr>
        <w:tab/>
        <w:t>Комитет рекомендует Совету:</w:t>
      </w:r>
    </w:p>
    <w:p w14:paraId="704B35D3" w14:textId="77777777" w:rsidR="00B15B7E" w:rsidRPr="00D81064" w:rsidRDefault="00B15B7E" w:rsidP="00B15B7E">
      <w:pPr>
        <w:pStyle w:val="enumlev1"/>
        <w:pBdr>
          <w:top w:val="single" w:sz="4" w:space="1" w:color="auto"/>
          <w:left w:val="single" w:sz="4" w:space="4" w:color="auto"/>
          <w:bottom w:val="single" w:sz="4" w:space="1" w:color="auto"/>
          <w:right w:val="single" w:sz="4" w:space="4" w:color="auto"/>
        </w:pBdr>
        <w:rPr>
          <w:lang w:val="ru-RU"/>
        </w:rPr>
      </w:pPr>
      <w:r w:rsidRPr="00D81064">
        <w:rPr>
          <w:lang w:val="ru-RU"/>
        </w:rPr>
        <w:t>•</w:t>
      </w:r>
      <w:r w:rsidRPr="00D81064">
        <w:rPr>
          <w:lang w:val="ru-RU"/>
        </w:rPr>
        <w:tab/>
        <w:t>продолжить в рамках РГС-ФЛР процесс разработки методики оценки затрат для определения финансовых последствий предлагаемых Решений и Резолюций конференций и ассамблей МСЭ.</w:t>
      </w:r>
    </w:p>
    <w:p w14:paraId="105CC363" w14:textId="77777777" w:rsidR="00B15B7E" w:rsidRPr="00D81064" w:rsidRDefault="00B15B7E" w:rsidP="00B15B7E">
      <w:pPr>
        <w:pStyle w:val="Heading1"/>
        <w:rPr>
          <w:lang w:val="ru-RU"/>
        </w:rPr>
      </w:pPr>
      <w:r w:rsidRPr="00D81064">
        <w:rPr>
          <w:bCs/>
          <w:lang w:val="ru-RU"/>
        </w:rPr>
        <w:lastRenderedPageBreak/>
        <w:t>5</w:t>
      </w:r>
      <w:r w:rsidRPr="00D81064">
        <w:rPr>
          <w:lang w:val="ru-RU"/>
        </w:rPr>
        <w:tab/>
        <w:t xml:space="preserve">Фонд развития информационно-коммуникационных технологий (Документ </w:t>
      </w:r>
      <w:hyperlink r:id="rId24" w:history="1">
        <w:r w:rsidRPr="00D81064">
          <w:rPr>
            <w:rStyle w:val="Hyperlink"/>
            <w:bCs/>
            <w:lang w:val="ru-RU"/>
          </w:rPr>
          <w:t>C26/</w:t>
        </w:r>
        <w:r w:rsidRPr="00D81064">
          <w:rPr>
            <w:rStyle w:val="Hyperlink"/>
            <w:lang w:val="ru-RU"/>
          </w:rPr>
          <w:t>34</w:t>
        </w:r>
      </w:hyperlink>
      <w:r w:rsidRPr="00D81064">
        <w:rPr>
          <w:lang w:val="ru-RU"/>
        </w:rPr>
        <w:t>)</w:t>
      </w:r>
      <w:hyperlink r:id="rId25" w:history="1"/>
    </w:p>
    <w:p w14:paraId="51C05773" w14:textId="030B5ED4" w:rsidR="00B15B7E" w:rsidRPr="00D81064" w:rsidRDefault="00B15B7E" w:rsidP="00DA1D08">
      <w:pPr>
        <w:keepLines/>
        <w:rPr>
          <w:lang w:val="ru-RU"/>
        </w:rPr>
      </w:pPr>
      <w:r w:rsidRPr="00D81064">
        <w:rPr>
          <w:lang w:val="ru-RU"/>
        </w:rPr>
        <w:t>5.1</w:t>
      </w:r>
      <w:r w:rsidRPr="00D81064">
        <w:rPr>
          <w:lang w:val="ru-RU"/>
        </w:rPr>
        <w:tab/>
        <w:t>Представитель Бюро развития электросвязи (БРЭ) представил отчет о состоянии Фонда развития информационно-коммуникационных технологий (ФРИКТ), содержащийся в Документе C26/34, в котором кратко описываются основные направления деятельности ФРИКТ и представлены проекты в области развития, в реализации которых он участвует. В отчете содержатся сведения о финансовом положении фонда, а также представлена информация о средствах, имеющихся в Оборотном выставочном фонде (ОВФ), о счете движения капитала ФРИКТ и о суммах за административные и оперативные услуги (AOS) по состоянию на конец 2025 года. В конце 2025 года было зафиксировано активное сальдо в размере 559 800 швейцарских франков по сравнению с заложенными в бюджете суммами за AOS в размере 900 000 швейцарских франков.</w:t>
      </w:r>
    </w:p>
    <w:p w14:paraId="5AE7B03E" w14:textId="0F41FEEF" w:rsidR="00B15B7E" w:rsidRPr="00D81064" w:rsidRDefault="00B15B7E" w:rsidP="00B15B7E">
      <w:pPr>
        <w:rPr>
          <w:lang w:val="ru-RU"/>
        </w:rPr>
      </w:pPr>
      <w:r w:rsidRPr="00D81064">
        <w:rPr>
          <w:lang w:val="ru-RU"/>
        </w:rPr>
        <w:t>5.2</w:t>
      </w:r>
      <w:r w:rsidRPr="00D81064">
        <w:rPr>
          <w:lang w:val="ru-RU"/>
        </w:rPr>
        <w:tab/>
        <w:t xml:space="preserve">Советники дали высокую оценку отчету о состоянии ФРИКТ и подчеркнули важность фонда. Они отметили растущий портфель проектов и вклад фонда в ключевые области и виды деятельности, особенно в обеспечение инфраструктуры ИКТ в наименее развитых странах, а также в сельских и отдаленных районах. Устойчивое и предсказуемое финансирование </w:t>
      </w:r>
      <w:r w:rsidR="00E73E68" w:rsidRPr="00D81064">
        <w:rPr>
          <w:lang w:val="ru-RU"/>
        </w:rPr>
        <w:t>имеет первостепенное значение</w:t>
      </w:r>
      <w:r w:rsidRPr="00D81064">
        <w:rPr>
          <w:lang w:val="ru-RU"/>
        </w:rPr>
        <w:t>. Были поддержаны идея непрерывного пополнения фонда и предложенные дальнейшие шаги, в частности перевод излишков по линии возмещения затрат на AOS для укрепления счета движения капитала ФРИКТ.</w:t>
      </w:r>
    </w:p>
    <w:p w14:paraId="05610FB9" w14:textId="0F7CC4AB" w:rsidR="00B15B7E" w:rsidRPr="00D81064" w:rsidRDefault="00B15B7E" w:rsidP="00B15B7E">
      <w:pPr>
        <w:rPr>
          <w:lang w:val="ru-RU"/>
        </w:rPr>
      </w:pPr>
      <w:r w:rsidRPr="00D81064">
        <w:rPr>
          <w:lang w:val="ru-RU"/>
        </w:rPr>
        <w:t>5.3</w:t>
      </w:r>
      <w:r w:rsidRPr="00D81064">
        <w:rPr>
          <w:lang w:val="ru-RU"/>
        </w:rPr>
        <w:tab/>
        <w:t>Представитель БРЭ, отвечая на заданные вопросы, заявил, что на конец 2025 года на счете движения капитала ФРИКТ имелось около 2,9 </w:t>
      </w:r>
      <w:proofErr w:type="gramStart"/>
      <w:r w:rsidRPr="00D81064">
        <w:rPr>
          <w:lang w:val="ru-RU"/>
        </w:rPr>
        <w:t>млн.</w:t>
      </w:r>
      <w:proofErr w:type="gramEnd"/>
      <w:r w:rsidRPr="00D81064">
        <w:rPr>
          <w:lang w:val="ru-RU"/>
        </w:rPr>
        <w:t xml:space="preserve"> швейцарских франков, при этом проекты на сумму 1,4 </w:t>
      </w:r>
      <w:proofErr w:type="gramStart"/>
      <w:r w:rsidRPr="00D81064">
        <w:rPr>
          <w:lang w:val="ru-RU"/>
        </w:rPr>
        <w:t>млн.</w:t>
      </w:r>
      <w:proofErr w:type="gramEnd"/>
      <w:r w:rsidRPr="00D81064">
        <w:rPr>
          <w:lang w:val="ru-RU"/>
        </w:rPr>
        <w:t xml:space="preserve"> швейцарских франков все еще ожидали подписания. С тех пор половина этих проектов была подписана. С учетом этого и при том понимании, что Совет утвердит перевод активного сальдо в размере 559 800 швейцарских франков (см. Документ </w:t>
      </w:r>
      <w:hyperlink r:id="rId26" w:history="1">
        <w:r w:rsidRPr="00D81064">
          <w:rPr>
            <w:rStyle w:val="Hyperlink"/>
            <w:lang w:val="ru-RU"/>
          </w:rPr>
          <w:t>C26/42</w:t>
        </w:r>
      </w:hyperlink>
      <w:r w:rsidRPr="00D81064">
        <w:rPr>
          <w:lang w:val="ru-RU"/>
        </w:rPr>
        <w:t xml:space="preserve"> и п. </w:t>
      </w:r>
      <w:r w:rsidR="00F74DF7" w:rsidRPr="00D81064">
        <w:rPr>
          <w:lang w:val="ru-RU"/>
        </w:rPr>
        <w:t>19</w:t>
      </w:r>
      <w:r w:rsidRPr="00D81064">
        <w:rPr>
          <w:lang w:val="ru-RU"/>
        </w:rPr>
        <w:t>, ниже), общий объем доступного финансирования составит около 2 </w:t>
      </w:r>
      <w:proofErr w:type="gramStart"/>
      <w:r w:rsidRPr="00D81064">
        <w:rPr>
          <w:lang w:val="ru-RU"/>
        </w:rPr>
        <w:t>млн.</w:t>
      </w:r>
      <w:proofErr w:type="gramEnd"/>
      <w:r w:rsidRPr="00D81064">
        <w:rPr>
          <w:lang w:val="ru-RU"/>
        </w:rPr>
        <w:t xml:space="preserve"> швейцарских франков. Что касается аудита, проекты ФРИКТ составляют подгруппу проектов БРЭ; все проекты БРЭ подлежат внутреннему и внешнему аудиту.</w:t>
      </w:r>
      <w:hyperlink r:id="rId27" w:history="1"/>
    </w:p>
    <w:p w14:paraId="77A4CD79" w14:textId="77777777" w:rsidR="00B15B7E" w:rsidRPr="00D81064" w:rsidRDefault="00B15B7E" w:rsidP="00B15B7E">
      <w:pPr>
        <w:keepNext/>
        <w:keepLines/>
        <w:rPr>
          <w:lang w:val="ru-RU"/>
        </w:rPr>
      </w:pPr>
      <w:r w:rsidRPr="00D81064">
        <w:rPr>
          <w:lang w:val="ru-RU"/>
        </w:rPr>
        <w:t>5.4</w:t>
      </w:r>
      <w:r w:rsidRPr="00D81064">
        <w:rPr>
          <w:lang w:val="ru-RU"/>
        </w:rPr>
        <w:tab/>
        <w:t xml:space="preserve">Комитет </w:t>
      </w:r>
      <w:r w:rsidRPr="00D81064">
        <w:rPr>
          <w:b/>
          <w:bCs/>
          <w:lang w:val="ru-RU"/>
        </w:rPr>
        <w:t>принял решение</w:t>
      </w:r>
      <w:r w:rsidRPr="00D81064">
        <w:rPr>
          <w:lang w:val="ru-RU"/>
        </w:rPr>
        <w:t xml:space="preserve"> сделать по данному вопросу следующее заключение:</w:t>
      </w:r>
    </w:p>
    <w:p w14:paraId="086B8DAD" w14:textId="77777777" w:rsidR="00B15B7E" w:rsidRPr="00D81064" w:rsidRDefault="00B15B7E" w:rsidP="00B15B7E">
      <w:pPr>
        <w:keepNext/>
        <w:keepLines/>
        <w:pBdr>
          <w:top w:val="single" w:sz="4" w:space="1" w:color="auto"/>
          <w:left w:val="single" w:sz="4" w:space="4" w:color="auto"/>
          <w:bottom w:val="single" w:sz="4" w:space="1" w:color="auto"/>
          <w:right w:val="single" w:sz="4" w:space="4" w:color="auto"/>
        </w:pBdr>
        <w:rPr>
          <w:lang w:val="ru-RU"/>
        </w:rPr>
      </w:pPr>
      <w:r w:rsidRPr="00D81064">
        <w:rPr>
          <w:lang w:val="ru-RU"/>
        </w:rPr>
        <w:t>5.5</w:t>
      </w:r>
      <w:r w:rsidRPr="00D81064">
        <w:rPr>
          <w:lang w:val="ru-RU"/>
        </w:rPr>
        <w:tab/>
        <w:t>Комитет рекомендует Совету:</w:t>
      </w:r>
    </w:p>
    <w:p w14:paraId="2126DCEC" w14:textId="77777777" w:rsidR="00B15B7E" w:rsidRPr="00D81064" w:rsidRDefault="00B15B7E" w:rsidP="00B15B7E">
      <w:pPr>
        <w:pStyle w:val="enumlev1"/>
        <w:pBdr>
          <w:top w:val="single" w:sz="4" w:space="1" w:color="auto"/>
          <w:left w:val="single" w:sz="4" w:space="4" w:color="auto"/>
          <w:bottom w:val="single" w:sz="4" w:space="1" w:color="auto"/>
          <w:right w:val="single" w:sz="4" w:space="4" w:color="auto"/>
        </w:pBdr>
        <w:rPr>
          <w:lang w:val="ru-RU"/>
        </w:rPr>
      </w:pPr>
      <w:r w:rsidRPr="00D81064">
        <w:rPr>
          <w:lang w:val="ru-RU"/>
        </w:rPr>
        <w:t>•</w:t>
      </w:r>
      <w:r w:rsidRPr="00D81064">
        <w:rPr>
          <w:lang w:val="ru-RU"/>
        </w:rPr>
        <w:tab/>
        <w:t xml:space="preserve">принять к сведению отчет, содержащийся в Документе </w:t>
      </w:r>
      <w:hyperlink r:id="rId28" w:history="1">
        <w:r w:rsidRPr="00D81064">
          <w:rPr>
            <w:rStyle w:val="Hyperlink"/>
            <w:lang w:val="ru-RU"/>
          </w:rPr>
          <w:t>C26/34</w:t>
        </w:r>
      </w:hyperlink>
      <w:r w:rsidRPr="00D81064">
        <w:rPr>
          <w:lang w:val="ru-RU"/>
        </w:rPr>
        <w:t>.</w:t>
      </w:r>
      <w:hyperlink r:id="rId29" w:history="1"/>
    </w:p>
    <w:p w14:paraId="6AF6109D" w14:textId="3C450815" w:rsidR="00B15B7E" w:rsidRPr="00D81064" w:rsidRDefault="00B15B7E" w:rsidP="00B15B7E">
      <w:pPr>
        <w:pStyle w:val="Heading1"/>
        <w:rPr>
          <w:lang w:val="ru-RU"/>
        </w:rPr>
      </w:pPr>
      <w:r w:rsidRPr="00D81064">
        <w:rPr>
          <w:bCs/>
          <w:lang w:val="ru-RU"/>
        </w:rPr>
        <w:t>6</w:t>
      </w:r>
      <w:r w:rsidRPr="00D81064">
        <w:rPr>
          <w:lang w:val="ru-RU"/>
        </w:rPr>
        <w:tab/>
        <w:t xml:space="preserve">Ежегодный анализ доходов и расходов при исполнении бюджета на 2026 год, включая общее сокращение бюджета на 2026–2027 годы (Документ </w:t>
      </w:r>
      <w:hyperlink r:id="rId30" w:history="1">
        <w:r w:rsidRPr="00D81064">
          <w:rPr>
            <w:rStyle w:val="Hyperlink"/>
            <w:bCs/>
            <w:lang w:val="ru-RU"/>
          </w:rPr>
          <w:t>C26/</w:t>
        </w:r>
        <w:r w:rsidRPr="00D81064">
          <w:rPr>
            <w:rStyle w:val="Hyperlink"/>
            <w:lang w:val="ru-RU"/>
          </w:rPr>
          <w:t>9</w:t>
        </w:r>
      </w:hyperlink>
      <w:r w:rsidRPr="00D81064">
        <w:rPr>
          <w:lang w:val="ru-RU"/>
        </w:rPr>
        <w:t>)</w:t>
      </w:r>
      <w:hyperlink r:id="rId31" w:history="1"/>
    </w:p>
    <w:p w14:paraId="7CE850CA" w14:textId="56409A91" w:rsidR="00B15B7E" w:rsidRPr="00D81064" w:rsidRDefault="00B15B7E" w:rsidP="00B15B7E">
      <w:pPr>
        <w:rPr>
          <w:lang w:val="ru-RU"/>
        </w:rPr>
      </w:pPr>
      <w:r w:rsidRPr="00D81064">
        <w:rPr>
          <w:lang w:val="ru-RU"/>
        </w:rPr>
        <w:t>6.1</w:t>
      </w:r>
      <w:r w:rsidRPr="00D81064">
        <w:rPr>
          <w:lang w:val="ru-RU"/>
        </w:rPr>
        <w:tab/>
        <w:t xml:space="preserve">Представитель Генерального секретариата представил Документ C26/9, содержащий основные элементы исполнения бюджета на 2026 год. В утвержденном бюджете на </w:t>
      </w:r>
      <w:proofErr w:type="gramStart"/>
      <w:r w:rsidRPr="00D81064">
        <w:rPr>
          <w:lang w:val="ru-RU"/>
        </w:rPr>
        <w:t>2026−2027</w:t>
      </w:r>
      <w:proofErr w:type="gramEnd"/>
      <w:r w:rsidRPr="00D81064">
        <w:rPr>
          <w:lang w:val="ru-RU"/>
        </w:rPr>
        <w:t> годы предусмотрено общее сокращение уровня утвержденных расходов по сравнению с прогнозируемыми доходами на 6 </w:t>
      </w:r>
      <w:proofErr w:type="gramStart"/>
      <w:r w:rsidRPr="00D81064">
        <w:rPr>
          <w:lang w:val="ru-RU"/>
        </w:rPr>
        <w:t>млн.</w:t>
      </w:r>
      <w:proofErr w:type="gramEnd"/>
      <w:r w:rsidRPr="00D81064">
        <w:rPr>
          <w:lang w:val="ru-RU"/>
        </w:rPr>
        <w:t xml:space="preserve"> швейцарских франков. Секретариат осуществляет сокращение расходов целенаправленным и контролируемым образом, уделяя особое внимание поддержанию согласованности между ресурсами, приоритетами и результатами работы. Сокращение расходов на специальные соглашения об услугах (SSA) и командировки сотрудников МСЭ привело к получению 3 </w:t>
      </w:r>
      <w:proofErr w:type="gramStart"/>
      <w:r w:rsidRPr="00D81064">
        <w:rPr>
          <w:lang w:val="ru-RU"/>
        </w:rPr>
        <w:t>млн.</w:t>
      </w:r>
      <w:proofErr w:type="gramEnd"/>
      <w:r w:rsidRPr="00D81064">
        <w:rPr>
          <w:lang w:val="ru-RU"/>
        </w:rPr>
        <w:t xml:space="preserve"> швейцарских франков, благодаря чему на </w:t>
      </w:r>
      <w:proofErr w:type="gramStart"/>
      <w:r w:rsidRPr="00D81064">
        <w:rPr>
          <w:lang w:val="ru-RU"/>
        </w:rPr>
        <w:t>2026−2027</w:t>
      </w:r>
      <w:proofErr w:type="gramEnd"/>
      <w:r w:rsidRPr="00D81064">
        <w:rPr>
          <w:lang w:val="ru-RU"/>
        </w:rPr>
        <w:t> годы остается добиться сокращения в размере 3 </w:t>
      </w:r>
      <w:proofErr w:type="gramStart"/>
      <w:r w:rsidRPr="00D81064">
        <w:rPr>
          <w:lang w:val="ru-RU"/>
        </w:rPr>
        <w:t>млн.</w:t>
      </w:r>
      <w:proofErr w:type="gramEnd"/>
      <w:r w:rsidRPr="00D81064">
        <w:rPr>
          <w:lang w:val="ru-RU"/>
        </w:rPr>
        <w:t xml:space="preserve"> швейцарских франков. Попытки повышения эффективности предполагают более широкое использование автоматизации и цифровых инструментов в соответствии с трансформацией, в том числе технологий письменного и устного перевода на базе искусственного интеллекта (ИИ) для дополнения работы существующих языковых служб. Был усилен внутренний надзор в целях </w:t>
      </w:r>
      <w:r w:rsidRPr="00D81064">
        <w:rPr>
          <w:lang w:val="ru-RU"/>
        </w:rPr>
        <w:lastRenderedPageBreak/>
        <w:t>совершенствования финансовой отчетности и финансового контроля через Координационный комитет (КК). Что касается доходов, ведется мониторинг неопределенностей для обеспечения своевременного устранения возникающих рисков. Прилагаются все усилия для сокращения бюджета при одновременной защите основного мандата Союза посредством упорядоченной финансовой и управленческой структуры и прозрачной финансовой отчетности перед Государствами-Членами.</w:t>
      </w:r>
    </w:p>
    <w:p w14:paraId="77705C07" w14:textId="77777777" w:rsidR="00B15B7E" w:rsidRPr="00D81064" w:rsidRDefault="00B15B7E" w:rsidP="00B15B7E">
      <w:pPr>
        <w:rPr>
          <w:lang w:val="ru-RU"/>
        </w:rPr>
      </w:pPr>
      <w:r w:rsidRPr="00D81064">
        <w:rPr>
          <w:lang w:val="ru-RU"/>
        </w:rPr>
        <w:t>6.2</w:t>
      </w:r>
      <w:r w:rsidRPr="00D81064">
        <w:rPr>
          <w:lang w:val="ru-RU"/>
        </w:rPr>
        <w:tab/>
        <w:t>Была сделана презентация недавно разработанного портала бюджета по программам, в рамках которой были изложены возможности информационной панели по корпоративным финансам.</w:t>
      </w:r>
    </w:p>
    <w:p w14:paraId="2C87621E" w14:textId="60D67DC2" w:rsidR="00B15B7E" w:rsidRPr="00D81064" w:rsidRDefault="00B15B7E" w:rsidP="00B15B7E">
      <w:pPr>
        <w:rPr>
          <w:lang w:val="ru-RU"/>
        </w:rPr>
      </w:pPr>
      <w:r w:rsidRPr="00D81064">
        <w:rPr>
          <w:lang w:val="ru-RU"/>
        </w:rPr>
        <w:t>6.3</w:t>
      </w:r>
      <w:r w:rsidRPr="00D81064">
        <w:rPr>
          <w:lang w:val="ru-RU"/>
        </w:rPr>
        <w:tab/>
        <w:t xml:space="preserve">Советники дали высокую оценку оперативным и упорядоченным мерам по повышению эффективности и разумному использованию ресурсов, а также одобрили информационную панель по корпоративным финансам и более строгий финансовый надзор. С большим удовлетворением были отмечены результаты, достигнутые благодаря конкретным мерам по </w:t>
      </w:r>
      <w:r w:rsidR="00D239F1" w:rsidRPr="00D81064">
        <w:rPr>
          <w:lang w:val="ru-RU"/>
        </w:rPr>
        <w:t>сдерживанию</w:t>
      </w:r>
      <w:r w:rsidRPr="00D81064">
        <w:rPr>
          <w:lang w:val="ru-RU"/>
        </w:rPr>
        <w:t xml:space="preserve"> затрат</w:t>
      </w:r>
      <w:r w:rsidR="008D0E1A" w:rsidRPr="00D81064">
        <w:rPr>
          <w:lang w:val="ru-RU"/>
        </w:rPr>
        <w:t> −</w:t>
      </w:r>
      <w:r w:rsidRPr="00D81064">
        <w:rPr>
          <w:lang w:val="ru-RU"/>
        </w:rPr>
        <w:t xml:space="preserve"> сокращению расходов по SSA и путевых расходов. Некоторые Советники высказали мнение о том, что расходы по SSA можно сократить еще, ограничив привлечение внешних подрядчиков и более эффективно используя потенциал, опыт и институциональные знания персонала МСЭ. Следует пересмотреть зависимость от долгосрочных внешних контрактов, обеспечив четкую отчетность по договорным услугам. SSA должны использоваться только для тех видов деятельности, для которых в настоящее время не имеется штатного кадрового потенциала. Необходимо обеспечить </w:t>
      </w:r>
      <w:proofErr w:type="spellStart"/>
      <w:r w:rsidRPr="00D81064">
        <w:rPr>
          <w:lang w:val="ru-RU"/>
        </w:rPr>
        <w:t>бóльшую</w:t>
      </w:r>
      <w:proofErr w:type="spellEnd"/>
      <w:r w:rsidRPr="00D81064">
        <w:rPr>
          <w:lang w:val="ru-RU"/>
        </w:rPr>
        <w:t xml:space="preserve"> прозрачность для краткосрочных контрактов, заключаемых без проведения конкурса. Следует провести функциональный анализ персонала в контексте операционной деятельности МСЭ, чтобы как можно эффективнее выявлять и устранять пробелы. Не должно быть дублирования усилий и расходов. Сокращение поездок персонала не должно приводить к сокращению технической помощи, оказываемой Государствам-Членам, и поддержки развивающихся стран. Следует рассмотреть вопрос об оптимизации количества собраний в году, на которые необходимо ездить сотрудникам и делегациям Государств – Членов Союза. Один из Советников просил разъяснить расхождение между представленным прогнозируемым сокращением путевых расходов и теми сокращениями, которые публиковались ранее в этом году.</w:t>
      </w:r>
    </w:p>
    <w:p w14:paraId="60CBF030" w14:textId="4B59871A" w:rsidR="00B15B7E" w:rsidRPr="00D81064" w:rsidRDefault="00B15B7E" w:rsidP="00B15B7E">
      <w:pPr>
        <w:rPr>
          <w:lang w:val="ru-RU"/>
        </w:rPr>
      </w:pPr>
      <w:r w:rsidRPr="00D81064">
        <w:rPr>
          <w:lang w:val="ru-RU"/>
        </w:rPr>
        <w:t>6.4</w:t>
      </w:r>
      <w:r w:rsidRPr="00D81064">
        <w:rPr>
          <w:lang w:val="ru-RU"/>
        </w:rPr>
        <w:tab/>
        <w:t>Советники приветствовали использование ИИ для повышения эффективности и экономии затрат, особенно в отношении лингвистических услуг, но при этом был с одобрением отмечен тот факт, что ИИ будет использоваться не для полной замены персонала, а скорее для оказания помощи в выполнении определенных функций. Использование ИИ не должно отрицательно сказываться на качестве документации или услуг устного перевода. Была запрошена дополнительная информация о том, как будет осуществляться мониторинг качества результатов работы ИИ, и подняты вопросы о том, как будет рассчитываться общее финансовое воздействие внедрения ИИ, поскольку внедрение новой технологии будет сопряжено с</w:t>
      </w:r>
      <w:r w:rsidR="00330678" w:rsidRPr="00D81064">
        <w:rPr>
          <w:lang w:val="ru-RU"/>
        </w:rPr>
        <w:t> </w:t>
      </w:r>
      <w:r w:rsidRPr="00D81064">
        <w:rPr>
          <w:lang w:val="ru-RU"/>
        </w:rPr>
        <w:t>затратами, прежде чем ее использование начнет приносить экономию.</w:t>
      </w:r>
      <w:bookmarkEnd w:id="6"/>
      <w:bookmarkEnd w:id="7"/>
      <w:bookmarkEnd w:id="8"/>
      <w:bookmarkEnd w:id="9"/>
    </w:p>
    <w:p w14:paraId="444D29FA" w14:textId="22B0F705" w:rsidR="00D444D7" w:rsidRPr="00D81064" w:rsidRDefault="00D444D7" w:rsidP="008A6912">
      <w:pPr>
        <w:rPr>
          <w:lang w:val="ru-RU"/>
        </w:rPr>
      </w:pPr>
      <w:r w:rsidRPr="00D81064">
        <w:rPr>
          <w:lang w:val="ru-RU"/>
        </w:rPr>
        <w:t>6.5</w:t>
      </w:r>
      <w:r w:rsidRPr="00D81064">
        <w:rPr>
          <w:lang w:val="ru-RU"/>
        </w:rPr>
        <w:tab/>
        <w:t>Несколько Советников поинтересовались, какие виды деятельности в настоящее время не обеспечены финансированием и что будет сделано для того, чтобы получить оставшиеся 3 </w:t>
      </w:r>
      <w:proofErr w:type="gramStart"/>
      <w:r w:rsidRPr="00D81064">
        <w:rPr>
          <w:lang w:val="ru-RU"/>
        </w:rPr>
        <w:t>млн.</w:t>
      </w:r>
      <w:proofErr w:type="gramEnd"/>
      <w:r w:rsidRPr="00D81064">
        <w:rPr>
          <w:lang w:val="ru-RU"/>
        </w:rPr>
        <w:t xml:space="preserve"> швейцарских франков, и в какие сроки; было запрошено разъяснение, что имеется в виду под формулировкой "корректировки в рамках Бюро и Генерального секретариата". Было бы желательно получить более подробную информацию о том, в каких случаях необходимы соразмерные действия и когда можно ожидать деятельности в обычном режиме. Гибкость является важнейшим элементом для обеспечения того, чтобы в случае необходимости можно было организовать своевременное перераспределение ресурсов. Несколько Советников отметили, что непредсказуемость доходов сопряжена с обработкой заявок на регистрацию спутниковых сетей, однако другие Советники предупредили, что возмещение затрат на регистрацию спутниковых сетей не следует учитывать как возмещение предусмотренных в бюджете расходов. Следует рассмотреть инвестиционную стратегию МСЭ, с тем чтобы свести к </w:t>
      </w:r>
      <w:r w:rsidRPr="00D81064">
        <w:rPr>
          <w:lang w:val="ru-RU"/>
        </w:rPr>
        <w:lastRenderedPageBreak/>
        <w:t>минимуму колебания и нестабильность доходов. Следует также оценить воздействие колебаний курсов валют. Никакие финансовые корректировки и принятые меры по сдерживанию затрат не должны отрицательно сказаться на способности Союза выполнять свой основной мандат. Необходимо тщательно контролировать риски и практические последствия всех мер по сдерживанию затрат и на регулярной основе предоставлять Совету прозрачные отчеты. Извлеченные уроки должны служить ориентиром для дальнейшей работы и отражены в будущих бюджетных циклах.</w:t>
      </w:r>
    </w:p>
    <w:p w14:paraId="5F503A9A" w14:textId="1D5F0222" w:rsidR="00D444D7" w:rsidRPr="00D81064" w:rsidRDefault="00D444D7" w:rsidP="008A6912">
      <w:pPr>
        <w:rPr>
          <w:lang w:val="ru-RU"/>
        </w:rPr>
      </w:pPr>
      <w:r w:rsidRPr="00D81064">
        <w:rPr>
          <w:lang w:val="ru-RU"/>
        </w:rPr>
        <w:t>6.6</w:t>
      </w:r>
      <w:r w:rsidRPr="00D81064">
        <w:rPr>
          <w:lang w:val="ru-RU"/>
        </w:rPr>
        <w:tab/>
        <w:t>Представитель Генерального секретариата отметил, что сокращение на 6</w:t>
      </w:r>
      <w:r w:rsidR="00FA2FA1" w:rsidRPr="00D81064">
        <w:rPr>
          <w:lang w:val="ru-RU"/>
        </w:rPr>
        <w:t> </w:t>
      </w:r>
      <w:proofErr w:type="gramStart"/>
      <w:r w:rsidRPr="00D81064">
        <w:rPr>
          <w:lang w:val="ru-RU"/>
        </w:rPr>
        <w:t>млн.</w:t>
      </w:r>
      <w:proofErr w:type="gramEnd"/>
      <w:r w:rsidR="00B4638B" w:rsidRPr="00D81064">
        <w:rPr>
          <w:lang w:val="ru-RU"/>
        </w:rPr>
        <w:t> </w:t>
      </w:r>
      <w:r w:rsidRPr="00D81064">
        <w:rPr>
          <w:lang w:val="ru-RU"/>
        </w:rPr>
        <w:t>швейцарских франков представляет собой сокращение бюджета на два процента на двухгодичный период 2026–2027 годов; половина приходится на сокращение путевых расходов и использования SSA. Дополнительная экономия будет достигнута за счет кадровой и организационной трансформации. ИИ будет использоваться для оптимизации численности персонала для деятельности по обработке в рамках Союза в целом. Дальнейший сравнительный анализ финансовых последствий внедрения ИИ будет приведен в будущих отчетах. Предпринимаются усилия по сокращению общего количества собраний, а также сокращению их продолжительности. Прогнозируемая экономия по путевым расходам, представленная в этом отчете, отражает только служебные командировки МСЭ, в то время как предыдущие отчеты включали другие аспекты, в результате чего имеет место расхождение в прогнозах. Возмещение затрат на обработку заявок на регистрацию спутниковых сетей не повлияет на потоки доходов и не представляет собой возмещение предусмотренных в бюджете расходов.</w:t>
      </w:r>
    </w:p>
    <w:p w14:paraId="23E51D88" w14:textId="60E1896C" w:rsidR="00D444D7" w:rsidRPr="00D81064" w:rsidRDefault="00D444D7" w:rsidP="008A6912">
      <w:pPr>
        <w:rPr>
          <w:lang w:val="ru-RU"/>
        </w:rPr>
      </w:pPr>
      <w:r w:rsidRPr="00D81064">
        <w:rPr>
          <w:lang w:val="ru-RU"/>
        </w:rPr>
        <w:t>6.7</w:t>
      </w:r>
      <w:r w:rsidRPr="00D81064">
        <w:rPr>
          <w:lang w:val="ru-RU"/>
        </w:rPr>
        <w:tab/>
        <w:t>Руководитель Департамента управления людскими ресурсами (HRMD) сообщил, что HRMD пересматривает и укрепляет нормативно-правовую базу, регулирующую привлечение консультантов и другие механизмы, относящиеся к внештатному персоналу. Разрабатывается новая политика в отношении консультантов, в соответствии с которой консультантов можно привлекать только для краткосрочных сдельных заданий, а не для выполнения функций штатных сотрудников. Уточняются контрактные механизмы использования SSA, проводятся специальные информационные сессии для руководителей по процессу набора персонала по SSA, а также совершенствуются стандартные оперативные процедуры. Усовершенствованный анализ людских ресурсов, интеграция данных и систематическое отслеживание повысили наглядность привлечения внештатного персонала и надзор за этой деятельностью, и тем самым способствовали укреплению эффективности управления и снижению рисков, обеспечивая при этом соответствие SSA потребностям организации и имеющимся ресурсам. Набор персонала на краткосрочной основе без конкурса регулируется Правилами о персонале МСЭ и соответствующими служебными приказами. Такие случаи не имеют массового характера и используются только</w:t>
      </w:r>
      <w:r w:rsidR="00B4638B" w:rsidRPr="00D81064">
        <w:rPr>
          <w:lang w:val="ru-RU"/>
        </w:rPr>
        <w:t>,</w:t>
      </w:r>
      <w:r w:rsidRPr="00D81064">
        <w:rPr>
          <w:lang w:val="ru-RU"/>
        </w:rPr>
        <w:t xml:space="preserve"> когда это оправдано оперативными потребностями. Привлечение сотрудников, работающих по краткосрочным контрактам, и внештатных сотрудников подлежит проверке соответствия требованиям, аудиту, надзору и контролю посредством установленных механизмов управления людскими ресурсами. Прозрачность обеспечивалась за счет регулярного представления отчетов Совету, деятельности надзорных органов, усовершенствованного отслеживания данных и анализа людских ресурсов, а также постоянного рассмотрения практики набора персонала и заключения контрактов.</w:t>
      </w:r>
    </w:p>
    <w:p w14:paraId="27AAC05A" w14:textId="77777777" w:rsidR="00D444D7" w:rsidRPr="00D81064" w:rsidRDefault="00D444D7" w:rsidP="008A6912">
      <w:pPr>
        <w:rPr>
          <w:lang w:val="ru-RU"/>
        </w:rPr>
      </w:pPr>
      <w:r w:rsidRPr="00D81064">
        <w:rPr>
          <w:lang w:val="ru-RU"/>
        </w:rPr>
        <w:t>6.8</w:t>
      </w:r>
      <w:r w:rsidRPr="00D81064">
        <w:rPr>
          <w:lang w:val="ru-RU"/>
        </w:rPr>
        <w:tab/>
        <w:t xml:space="preserve">Заместитель Генерального секретаря добавил, что осмотрительное управление финансами является приоритетом для руководства МСЭ. Сокращение на 6 </w:t>
      </w:r>
      <w:proofErr w:type="gramStart"/>
      <w:r w:rsidRPr="00D81064">
        <w:rPr>
          <w:lang w:val="ru-RU"/>
        </w:rPr>
        <w:t>млн.</w:t>
      </w:r>
      <w:proofErr w:type="gramEnd"/>
      <w:r w:rsidRPr="00D81064">
        <w:rPr>
          <w:lang w:val="ru-RU"/>
        </w:rPr>
        <w:t xml:space="preserve"> швейцарских франков составляет лишь два процента бюджета МСЭ. Предпринимаются все усилия, в частности в рамках работы Координационного комитета, для обеспечения того, чтобы расходы Союза соответствовали его доходам. Сокращение затрат означает не сокращение видов деятельности или программ, а скорее обеспечение более осмотрительного управления для оптимизации оперативной эффективности. Использование консультантов и SSA является не вопросом наращивания кадрового потенциала, а скорее привлечения внешней поддержки в </w:t>
      </w:r>
      <w:r w:rsidRPr="00D81064">
        <w:rPr>
          <w:lang w:val="ru-RU"/>
        </w:rPr>
        <w:lastRenderedPageBreak/>
        <w:t>случаях, когда это необходимо. Удовлетворение этих потребностей путем добавления штатных должностей не было бы оправдано с финансовой точки зрения. Использование ИИ содействует повышению эффективности и производительности штатных письменных переводчиков, а не приводит к сокращению их численности. Обеспечение непрерывности деятельности имеет приоритетное значение, и предпринимаются все усилия для того, чтобы оперативная деятельность, охватываемая регулярным бюджетом, не подвергалась рискам. Следует надеяться, что информационная панель по корпоративным финансам повысит наглядность, прозрачность и подотчетность в области управления финансами Союза.</w:t>
      </w:r>
    </w:p>
    <w:p w14:paraId="5CA1FD48" w14:textId="77777777" w:rsidR="00D444D7" w:rsidRPr="00D81064" w:rsidRDefault="00D444D7" w:rsidP="00B55BD8">
      <w:pPr>
        <w:rPr>
          <w:rFonts w:eastAsia="Calibri" w:cs="Calibri"/>
          <w:lang w:val="ru-RU"/>
        </w:rPr>
      </w:pPr>
      <w:r w:rsidRPr="00D81064">
        <w:rPr>
          <w:lang w:val="ru-RU"/>
        </w:rPr>
        <w:t>6.9</w:t>
      </w:r>
      <w:r w:rsidRPr="00D81064">
        <w:rPr>
          <w:lang w:val="ru-RU"/>
        </w:rPr>
        <w:tab/>
        <w:t xml:space="preserve">Комитет </w:t>
      </w:r>
      <w:r w:rsidRPr="00D81064">
        <w:rPr>
          <w:b/>
          <w:bCs/>
          <w:lang w:val="ru-RU"/>
        </w:rPr>
        <w:t>принял решение</w:t>
      </w:r>
      <w:r w:rsidRPr="00D81064">
        <w:rPr>
          <w:lang w:val="ru-RU"/>
        </w:rPr>
        <w:t xml:space="preserve"> сделать по данному вопросу следующее заключение:</w:t>
      </w:r>
    </w:p>
    <w:p w14:paraId="4D7EA306" w14:textId="77777777" w:rsidR="00D444D7" w:rsidRPr="00D81064" w:rsidRDefault="00D444D7" w:rsidP="00AC3268">
      <w:pPr>
        <w:keepNext/>
        <w:pBdr>
          <w:top w:val="single" w:sz="4" w:space="1" w:color="000000"/>
          <w:left w:val="single" w:sz="4" w:space="4" w:color="000000"/>
          <w:bottom w:val="single" w:sz="4" w:space="1" w:color="000000"/>
          <w:right w:val="single" w:sz="4" w:space="4" w:color="000000"/>
        </w:pBdr>
        <w:spacing w:line="259" w:lineRule="auto"/>
        <w:rPr>
          <w:lang w:val="ru-RU"/>
        </w:rPr>
      </w:pPr>
      <w:r w:rsidRPr="00D81064">
        <w:rPr>
          <w:lang w:val="ru-RU"/>
        </w:rPr>
        <w:t>6.10</w:t>
      </w:r>
      <w:r w:rsidRPr="00D81064">
        <w:rPr>
          <w:lang w:val="ru-RU"/>
        </w:rPr>
        <w:tab/>
        <w:t>Комитет рекомендует Совету:</w:t>
      </w:r>
    </w:p>
    <w:p w14:paraId="0E40FE4A" w14:textId="5E056486" w:rsidR="00D444D7" w:rsidRPr="00D81064" w:rsidRDefault="00D444D7" w:rsidP="009F495A">
      <w:pPr>
        <w:pStyle w:val="enumlev1"/>
        <w:pBdr>
          <w:top w:val="single" w:sz="4" w:space="1" w:color="000000"/>
          <w:left w:val="single" w:sz="4" w:space="4" w:color="000000"/>
          <w:bottom w:val="single" w:sz="4" w:space="1" w:color="000000"/>
          <w:right w:val="single" w:sz="4" w:space="4" w:color="000000"/>
        </w:pBdr>
        <w:rPr>
          <w:lang w:val="ru-RU"/>
        </w:rPr>
      </w:pPr>
      <w:r w:rsidRPr="00D81064">
        <w:rPr>
          <w:rFonts w:eastAsia="Aptos"/>
          <w:lang w:val="ru-RU"/>
        </w:rPr>
        <w:t>•</w:t>
      </w:r>
      <w:r w:rsidRPr="00D81064">
        <w:rPr>
          <w:lang w:val="ru-RU"/>
        </w:rPr>
        <w:tab/>
        <w:t>принять к сведению</w:t>
      </w:r>
      <w:r w:rsidRPr="00D81064">
        <w:rPr>
          <w:b/>
          <w:bCs/>
          <w:lang w:val="ru-RU"/>
        </w:rPr>
        <w:t xml:space="preserve"> </w:t>
      </w:r>
      <w:r w:rsidRPr="00D81064">
        <w:rPr>
          <w:lang w:val="ru-RU"/>
        </w:rPr>
        <w:t>отчет, содержащийся в</w:t>
      </w:r>
      <w:r w:rsidR="00B4638B" w:rsidRPr="00D81064">
        <w:rPr>
          <w:lang w:val="ru-RU"/>
        </w:rPr>
        <w:t xml:space="preserve"> Документе</w:t>
      </w:r>
      <w:r w:rsidRPr="00D81064">
        <w:rPr>
          <w:lang w:val="ru-RU"/>
        </w:rPr>
        <w:t xml:space="preserve"> </w:t>
      </w:r>
      <w:hyperlink r:id="rId32" w:history="1">
        <w:r w:rsidRPr="00D81064">
          <w:rPr>
            <w:rStyle w:val="Hyperlink"/>
            <w:lang w:val="ru-RU"/>
          </w:rPr>
          <w:t>C26/9</w:t>
        </w:r>
      </w:hyperlink>
      <w:r w:rsidRPr="00D81064">
        <w:rPr>
          <w:lang w:val="ru-RU"/>
        </w:rPr>
        <w:t>.</w:t>
      </w:r>
      <w:hyperlink r:id="rId33" w:history="1"/>
    </w:p>
    <w:p w14:paraId="2B9E5032" w14:textId="77777777" w:rsidR="00D444D7" w:rsidRPr="00D81064" w:rsidRDefault="00D444D7" w:rsidP="00F276F7">
      <w:pPr>
        <w:pStyle w:val="Heading1"/>
        <w:rPr>
          <w:szCs w:val="28"/>
          <w:lang w:val="ru-RU"/>
        </w:rPr>
      </w:pPr>
      <w:r w:rsidRPr="00D81064">
        <w:rPr>
          <w:bCs/>
          <w:lang w:val="ru-RU"/>
        </w:rPr>
        <w:t>7</w:t>
      </w:r>
      <w:r w:rsidRPr="00D81064">
        <w:rPr>
          <w:lang w:val="ru-RU"/>
        </w:rPr>
        <w:tab/>
      </w:r>
      <w:r w:rsidRPr="00D81064">
        <w:rPr>
          <w:bCs/>
          <w:lang w:val="ru-RU"/>
        </w:rPr>
        <w:t xml:space="preserve">Ежегодные бюджетные последствия выполнения решений ВКРЭ-25 (Документ </w:t>
      </w:r>
      <w:hyperlink r:id="rId34" w:history="1">
        <w:r w:rsidRPr="00D81064">
          <w:rPr>
            <w:rStyle w:val="Hyperlink"/>
            <w:bCs/>
            <w:lang w:val="ru-RU"/>
          </w:rPr>
          <w:t>C26/43</w:t>
        </w:r>
      </w:hyperlink>
      <w:r w:rsidRPr="00D81064">
        <w:rPr>
          <w:bCs/>
          <w:lang w:val="ru-RU"/>
        </w:rPr>
        <w:t>)</w:t>
      </w:r>
      <w:hyperlink r:id="rId35" w:history="1"/>
    </w:p>
    <w:p w14:paraId="73775A83" w14:textId="3DDBBF91" w:rsidR="00D444D7" w:rsidRPr="00D81064" w:rsidRDefault="00D81064" w:rsidP="00D81064">
      <w:pPr>
        <w:pStyle w:val="Headingb"/>
        <w:ind w:left="794" w:hanging="794"/>
        <w:rPr>
          <w:sz w:val="26"/>
          <w:szCs w:val="26"/>
          <w:lang w:val="ru-RU"/>
        </w:rPr>
      </w:pPr>
      <w:r w:rsidRPr="00D81064">
        <w:rPr>
          <w:sz w:val="26"/>
          <w:szCs w:val="26"/>
          <w:lang w:val="ru-RU"/>
        </w:rPr>
        <w:tab/>
      </w:r>
      <w:r w:rsidR="00D444D7" w:rsidRPr="00D81064">
        <w:rPr>
          <w:sz w:val="26"/>
          <w:szCs w:val="26"/>
          <w:lang w:val="ru-RU"/>
        </w:rPr>
        <w:t xml:space="preserve">Заявление о взаимодействии, касающееся предлагаемого распределения средств для поддержки реализации региональных инициатив ВКРЭ-25 (Документ </w:t>
      </w:r>
      <w:hyperlink r:id="rId36" w:history="1">
        <w:r w:rsidR="00D444D7" w:rsidRPr="00D81064">
          <w:rPr>
            <w:rStyle w:val="Hyperlink"/>
            <w:bCs/>
            <w:sz w:val="26"/>
            <w:szCs w:val="26"/>
            <w:lang w:val="ru-RU"/>
          </w:rPr>
          <w:t>C26/109</w:t>
        </w:r>
      </w:hyperlink>
      <w:r w:rsidR="00D444D7" w:rsidRPr="00D81064">
        <w:rPr>
          <w:sz w:val="26"/>
          <w:szCs w:val="26"/>
          <w:lang w:val="ru-RU"/>
        </w:rPr>
        <w:t>)</w:t>
      </w:r>
      <w:hyperlink r:id="rId37" w:history="1"/>
    </w:p>
    <w:p w14:paraId="44D85750" w14:textId="3250EC20" w:rsidR="00D444D7" w:rsidRPr="00D81064" w:rsidRDefault="00D81064" w:rsidP="00D81064">
      <w:pPr>
        <w:pStyle w:val="Headingb"/>
        <w:ind w:left="794" w:hanging="794"/>
        <w:rPr>
          <w:sz w:val="26"/>
          <w:szCs w:val="26"/>
          <w:lang w:val="ru-RU"/>
        </w:rPr>
      </w:pPr>
      <w:r w:rsidRPr="00D81064">
        <w:rPr>
          <w:sz w:val="26"/>
          <w:szCs w:val="26"/>
          <w:lang w:val="ru-RU"/>
        </w:rPr>
        <w:tab/>
      </w:r>
      <w:r w:rsidR="00D444D7" w:rsidRPr="00D81064">
        <w:rPr>
          <w:sz w:val="26"/>
          <w:szCs w:val="26"/>
          <w:lang w:val="ru-RU"/>
        </w:rPr>
        <w:t xml:space="preserve">Финансовые последствия выполнения решений ВКРЭ-25 об усилении роли региональных отделений МСЭ в ускорении цифровой трансформации и использовании партнерств (Документ </w:t>
      </w:r>
      <w:hyperlink r:id="rId38" w:history="1">
        <w:r w:rsidR="00D444D7" w:rsidRPr="00D81064">
          <w:rPr>
            <w:rStyle w:val="Hyperlink"/>
            <w:bCs/>
            <w:sz w:val="26"/>
            <w:szCs w:val="26"/>
            <w:lang w:val="ru-RU"/>
          </w:rPr>
          <w:t>C26/103</w:t>
        </w:r>
      </w:hyperlink>
      <w:r w:rsidR="00D444D7" w:rsidRPr="00D81064">
        <w:rPr>
          <w:sz w:val="26"/>
          <w:szCs w:val="26"/>
          <w:lang w:val="ru-RU"/>
        </w:rPr>
        <w:t>)</w:t>
      </w:r>
      <w:hyperlink r:id="rId39" w:history="1"/>
    </w:p>
    <w:p w14:paraId="3A9A7E7D" w14:textId="10A683EF" w:rsidR="00D444D7" w:rsidRPr="00D81064" w:rsidRDefault="00D444D7" w:rsidP="00EA09BA">
      <w:pPr>
        <w:rPr>
          <w:rFonts w:cs="Calibri"/>
          <w:lang w:val="ru-RU"/>
        </w:rPr>
      </w:pPr>
      <w:r w:rsidRPr="00D81064">
        <w:rPr>
          <w:lang w:val="ru-RU"/>
        </w:rPr>
        <w:t>7.1</w:t>
      </w:r>
      <w:r w:rsidRPr="00D81064">
        <w:rPr>
          <w:lang w:val="ru-RU"/>
        </w:rPr>
        <w:tab/>
        <w:t xml:space="preserve">Руководитель FRMD выразил признательность администрации Азербайджана за принятие Всемирной конференции по развитию электросвязи 2025 года (ВКРЭ-25) и представил Документ C26/43, в котором содержится отчет Комитета по бюджетному контролю о предварительных финансовых последствиях Резолюций ВКРЭ-25, которые оцениваются в 4,208 млн. швейцарских франков единовременных и регулярных ежегодных затрат на период 2026–2029 годов. По просьбе РГС-ФЛР </w:t>
      </w:r>
      <w:r w:rsidR="00373264" w:rsidRPr="00D81064">
        <w:rPr>
          <w:lang w:val="ru-RU"/>
        </w:rPr>
        <w:t xml:space="preserve">Секретариат </w:t>
      </w:r>
      <w:r w:rsidRPr="00D81064">
        <w:rPr>
          <w:lang w:val="ru-RU"/>
        </w:rPr>
        <w:t>организовал информационную сессию, которая состоялась 3 марта 2026 года; на ней был представлен обзор методики, используемой для расчета финансовых последствий Резолюций.</w:t>
      </w:r>
    </w:p>
    <w:p w14:paraId="53F366DD" w14:textId="72FAD6B5" w:rsidR="00D444D7" w:rsidRPr="00D81064" w:rsidRDefault="00D444D7" w:rsidP="00EA09BA">
      <w:pPr>
        <w:rPr>
          <w:rFonts w:cs="Calibri"/>
          <w:lang w:val="ru-RU"/>
        </w:rPr>
      </w:pPr>
      <w:r w:rsidRPr="00D81064">
        <w:rPr>
          <w:lang w:val="ru-RU"/>
        </w:rPr>
        <w:t>7.2</w:t>
      </w:r>
      <w:r w:rsidRPr="00D81064">
        <w:rPr>
          <w:lang w:val="ru-RU"/>
        </w:rPr>
        <w:tab/>
        <w:t xml:space="preserve">Председатель Консультативной группы по развитию электросвязи (КГРЭ) представила Документ C26/109, в котором содержится заявление о взаимодействии с предложением в адрес Совета рассмотреть вопрос о выделении необходимых средств, включая, в том числе, предлагаемое выделение 1,3 млн. швейцарских франков из средств, сэкономленных при исполнении бюджета на 2025 год (см. Документ </w:t>
      </w:r>
      <w:hyperlink r:id="rId40" w:history="1">
        <w:r w:rsidRPr="00D81064">
          <w:rPr>
            <w:rStyle w:val="Hyperlink"/>
            <w:lang w:val="ru-RU"/>
          </w:rPr>
          <w:t>C26/42</w:t>
        </w:r>
      </w:hyperlink>
      <w:r w:rsidRPr="00D81064">
        <w:rPr>
          <w:lang w:val="ru-RU"/>
        </w:rPr>
        <w:t xml:space="preserve"> и п. </w:t>
      </w:r>
      <w:r w:rsidR="00F74DF7" w:rsidRPr="00D81064">
        <w:rPr>
          <w:lang w:val="ru-RU"/>
        </w:rPr>
        <w:t>19</w:t>
      </w:r>
      <w:r w:rsidR="00B4638B" w:rsidRPr="00D81064">
        <w:rPr>
          <w:lang w:val="ru-RU"/>
        </w:rPr>
        <w:t>,</w:t>
      </w:r>
      <w:r w:rsidRPr="00D81064">
        <w:rPr>
          <w:lang w:val="ru-RU"/>
        </w:rPr>
        <w:t xml:space="preserve"> ниже), для поддержки реализации региональных инициатив ВКРЭ-25.</w:t>
      </w:r>
      <w:hyperlink r:id="rId41" w:history="1"/>
    </w:p>
    <w:p w14:paraId="3BBE03E0" w14:textId="5DC01AC6" w:rsidR="00D444D7" w:rsidRPr="00D81064" w:rsidRDefault="00D444D7" w:rsidP="00EA09BA">
      <w:pPr>
        <w:rPr>
          <w:rFonts w:cs="Calibri"/>
          <w:lang w:val="ru-RU"/>
        </w:rPr>
      </w:pPr>
      <w:r w:rsidRPr="00D81064">
        <w:rPr>
          <w:lang w:val="ru-RU"/>
        </w:rPr>
        <w:t>7.3</w:t>
      </w:r>
      <w:r w:rsidRPr="00D81064">
        <w:rPr>
          <w:lang w:val="ru-RU"/>
        </w:rPr>
        <w:tab/>
        <w:t>Советник от Южно-Африканской Республики представила содержащийся в Документе C26/103 вклад группы из пяти стран, в котором содержится просьба к Совету рассмотреть вопрос о своевременном выделении любых имеющихся излишков средств в качестве стимулирующего начального ограниченного по времени финансирования для поддержки внедрения новых моделей предоставления услуг, таких как региональные системы ускорителей для содействия цифровой трансформации, а также представить руководящие указания по созданию предсказуемого механизма стимулирующего финансирования.</w:t>
      </w:r>
    </w:p>
    <w:p w14:paraId="03A78F2E" w14:textId="77777777" w:rsidR="00D444D7" w:rsidRPr="00D81064" w:rsidRDefault="00D444D7" w:rsidP="00EA09BA">
      <w:pPr>
        <w:rPr>
          <w:rFonts w:cs="Calibri"/>
          <w:lang w:val="ru-RU"/>
        </w:rPr>
      </w:pPr>
      <w:r w:rsidRPr="00D81064">
        <w:rPr>
          <w:lang w:val="ru-RU"/>
        </w:rPr>
        <w:t>7.4</w:t>
      </w:r>
      <w:r w:rsidRPr="00D81064">
        <w:rPr>
          <w:lang w:val="ru-RU"/>
        </w:rPr>
        <w:tab/>
        <w:t xml:space="preserve">Несколько Советников выразили поддержку предлагаемому подходу к финансированию выполнения Резолюций ВКРЭ-25, который включает использование средств регулярного бюджета и внебюджетных средств из добровольных взносов и финансирования проектов. Один из Советников подчеркнул необходимость обеспечения постоянной </w:t>
      </w:r>
      <w:r w:rsidRPr="00D81064">
        <w:rPr>
          <w:lang w:val="ru-RU"/>
        </w:rPr>
        <w:lastRenderedPageBreak/>
        <w:t>финансовой дисциплины и отчетности, согласования с приоритетами в области развития и поддержки региональных инициатив на равной основе. Несколько Советников призвали к обеспечению большей прозрачности используемой методики; указанию общих потребностей в ресурсах, включая уровень ожидаемых добровольных взносов; разъяснению того, как именно затраты увязаны с содержанием Резолюций; а также определению критериев для принятия решений о распределении указанных ресурсов. Одна из Советников предложила представить финансовые последствия Резолюций в двух категориях: те, которые могут быть покрыты за счет существующего финансирования, и те, которые не могут быть покрыты. Она поинтересовалась, как именно будет финансироваться предлагаемый набор экспертов. Несколько Советников отметили, что нельзя ожидать, что представленные сметы затрат будут абсолютно точными; это следует учитывать при подготовке будущих бюджетов. Методика может быть дополнительно усовершенствована в сотрудничестве с заинтересованными сторонами и партнерами.</w:t>
      </w:r>
    </w:p>
    <w:p w14:paraId="4E2C9347" w14:textId="0B9C82DE" w:rsidR="00D444D7" w:rsidRPr="00D81064" w:rsidRDefault="00D444D7" w:rsidP="00EA09BA">
      <w:pPr>
        <w:rPr>
          <w:rFonts w:cs="Calibri"/>
          <w:lang w:val="ru-RU"/>
        </w:rPr>
      </w:pPr>
      <w:r w:rsidRPr="00D81064">
        <w:rPr>
          <w:lang w:val="ru-RU"/>
        </w:rPr>
        <w:t>7.5</w:t>
      </w:r>
      <w:r w:rsidRPr="00D81064">
        <w:rPr>
          <w:lang w:val="ru-RU"/>
        </w:rPr>
        <w:tab/>
        <w:t xml:space="preserve">Несколько Советников призвали к более тесной </w:t>
      </w:r>
      <w:proofErr w:type="spellStart"/>
      <w:r w:rsidRPr="00D81064">
        <w:rPr>
          <w:lang w:val="ru-RU"/>
        </w:rPr>
        <w:t>межсекторальной</w:t>
      </w:r>
      <w:proofErr w:type="spellEnd"/>
      <w:r w:rsidRPr="00D81064">
        <w:rPr>
          <w:lang w:val="ru-RU"/>
        </w:rPr>
        <w:t xml:space="preserve"> координации для сокращения дублирования, повышения эффективности, максимального воздействия и укрепления сотрудничества. Один из Советников отметил, что представленная информация сосредоточена исключительно на увеличении расходов; в ней отсутствует какой-либо анализ возможной экономии затрат, достигаемой, например, путем оптимизации усилий. Еще одна из Советников указала на расширение мандата БРЭ, а также что предлагаемое финансирование не в полной мере соответствует целям и потребностям Государств-Членов. Она предложила </w:t>
      </w:r>
      <w:r w:rsidR="00373264" w:rsidRPr="00D81064">
        <w:rPr>
          <w:lang w:val="ru-RU"/>
        </w:rPr>
        <w:t xml:space="preserve">Секретариату </w:t>
      </w:r>
      <w:r w:rsidRPr="00D81064">
        <w:rPr>
          <w:lang w:val="ru-RU"/>
        </w:rPr>
        <w:t>провести всеобъемлющее рассмотрение существующих механизмов, консолидировать ресурсы и изучить возможность наращивания инвестиций и увеличения объемов начального финансирования с целью привлечения внебюджетных ресурсов. Один из Советников поинтересовался, будет ли рассматриваться вопрос о приоритизации или поэтапном внедрении в случае ограниченности ресурсов; другой Советник предложил уделять первоочередное внимание областям развития, оказывающим наибольшее воздействие, таким как ИИ, создание потенциала, устойчивость к бедствиям и расширение прав и возможностей молодежи.</w:t>
      </w:r>
    </w:p>
    <w:p w14:paraId="1F1AF425" w14:textId="72DD8289" w:rsidR="00D444D7" w:rsidRPr="00D81064" w:rsidRDefault="00D444D7" w:rsidP="00EA09BA">
      <w:pPr>
        <w:rPr>
          <w:rFonts w:cs="Calibri"/>
          <w:lang w:val="ru-RU"/>
        </w:rPr>
      </w:pPr>
      <w:r w:rsidRPr="00D81064">
        <w:rPr>
          <w:lang w:val="ru-RU"/>
        </w:rPr>
        <w:t>7.6</w:t>
      </w:r>
      <w:r w:rsidRPr="00D81064">
        <w:rPr>
          <w:lang w:val="ru-RU"/>
        </w:rPr>
        <w:tab/>
        <w:t>Несколько Советников выразили поддержку предложенному выделению 1,3 </w:t>
      </w:r>
      <w:proofErr w:type="gramStart"/>
      <w:r w:rsidRPr="00D81064">
        <w:rPr>
          <w:lang w:val="ru-RU"/>
        </w:rPr>
        <w:t>млн.</w:t>
      </w:r>
      <w:proofErr w:type="gramEnd"/>
      <w:r w:rsidR="00B4638B" w:rsidRPr="00D81064">
        <w:rPr>
          <w:lang w:val="ru-RU"/>
        </w:rPr>
        <w:t> </w:t>
      </w:r>
      <w:r w:rsidRPr="00D81064">
        <w:rPr>
          <w:lang w:val="ru-RU"/>
        </w:rPr>
        <w:t>швейцарских франков из средств, сэкономленных в 2025 году, на реализацию региональных инициатив. Ряд Советников также высказались в поддержку выделения любых имеющихся излишков средств в качестве стимулирующего начального ограниченного по времени финансирования для создания благоприятной среды, необходимой для реализации проектов. Они также приветствовали предложение об изучении предсказуемых специализированных механизмов финансирования, основанных на партнерских отношениях и структурной мобилизации ресурсов, в целях преодоления дефицита финансирования. Один из Советников подчеркнул, что, хотя целевое начальное финансирование полезно, оно не может заменить предсказуемое устойчивое финансирование. Другой Советник указал, что для привлечения ресурсов партнеров и заинтересованных сторон, укрепления потенциала развивающихся стран и обеспечения конкретных и всеобъемлющих преимуществ цифровой трансформации, особенно в Африканском регионе, необходим прагматичный подход, ориентированный на результаты. Еще одна из Советников отметила, что необходима дополнительная информация о том, как именно будет использоваться начальное финансирование, поскольку, как она поняла, осуществление деятельности в соответствии с Резолюциями 17 (</w:t>
      </w:r>
      <w:proofErr w:type="spellStart"/>
      <w:r w:rsidRPr="00D81064">
        <w:rPr>
          <w:lang w:val="ru-RU"/>
        </w:rPr>
        <w:t>Пересм</w:t>
      </w:r>
      <w:proofErr w:type="spellEnd"/>
      <w:r w:rsidRPr="00D81064">
        <w:rPr>
          <w:lang w:val="ru-RU"/>
        </w:rPr>
        <w:t>. Баку, 2025</w:t>
      </w:r>
      <w:r w:rsidR="00B55BD8" w:rsidRPr="00D81064">
        <w:rPr>
          <w:lang w:val="ru-RU"/>
        </w:rPr>
        <w:t> </w:t>
      </w:r>
      <w:r w:rsidRPr="00D81064">
        <w:rPr>
          <w:lang w:val="ru-RU"/>
        </w:rPr>
        <w:t>г.) и 92 (Баку, 2025 г.) ВКРЭ будет включено в регулярный бюджет.</w:t>
      </w:r>
    </w:p>
    <w:p w14:paraId="6814F1C0" w14:textId="67B6D0DD" w:rsidR="00D444D7" w:rsidRPr="00D81064" w:rsidRDefault="00D444D7" w:rsidP="00EA09BA">
      <w:pPr>
        <w:rPr>
          <w:rFonts w:cs="Calibri"/>
          <w:lang w:val="ru-RU"/>
        </w:rPr>
      </w:pPr>
      <w:r w:rsidRPr="00D81064">
        <w:rPr>
          <w:lang w:val="ru-RU"/>
        </w:rPr>
        <w:t>7.7</w:t>
      </w:r>
      <w:r w:rsidRPr="00D81064">
        <w:rPr>
          <w:lang w:val="ru-RU"/>
        </w:rPr>
        <w:tab/>
        <w:t xml:space="preserve">Отвечая на вопросы о методике, используемой для определения финансовых последствий Резолюций, о том, почему в Документе C26/43 были указаны сметы затрат только по шести новым или пересмотренным Резолюциям ВКРЭ-25 и как именно рассчитывались эти ассигнования, руководитель FRMD объяснил, что эта методика повсеместно применяется ко </w:t>
      </w:r>
      <w:r w:rsidRPr="00D81064">
        <w:rPr>
          <w:lang w:val="ru-RU"/>
        </w:rPr>
        <w:lastRenderedPageBreak/>
        <w:t xml:space="preserve">всем Секторам, а также к конференциям и ассамблеям МСЭ. Он напомнил, что методика была представлена на нескольких собраниях РГС-ФЛР, последний раз в январе 2026 года. На собрании в сентябре 2025 года Председатель РГС-ФЛР предложила Государствам-Членам представлять замечания в целях дальнейшего совершенствования методов расчета, однако ни одного замечания получено не было. Поэтому </w:t>
      </w:r>
      <w:r w:rsidR="00373264" w:rsidRPr="00D81064">
        <w:rPr>
          <w:lang w:val="ru-RU"/>
        </w:rPr>
        <w:t xml:space="preserve">Секретариат </w:t>
      </w:r>
      <w:r w:rsidRPr="00D81064">
        <w:rPr>
          <w:lang w:val="ru-RU"/>
        </w:rPr>
        <w:t>приветствовал бы предложения Государств-Членов в этом отношении.</w:t>
      </w:r>
    </w:p>
    <w:p w14:paraId="068B4971" w14:textId="77777777" w:rsidR="00D444D7" w:rsidRPr="00D81064" w:rsidRDefault="00D444D7" w:rsidP="00EA09BA">
      <w:pPr>
        <w:rPr>
          <w:rFonts w:cs="Calibri"/>
          <w:lang w:val="ru-RU"/>
        </w:rPr>
      </w:pPr>
      <w:r w:rsidRPr="00D81064">
        <w:rPr>
          <w:lang w:val="ru-RU"/>
        </w:rPr>
        <w:t>7.8</w:t>
      </w:r>
      <w:r w:rsidRPr="00D81064">
        <w:rPr>
          <w:lang w:val="ru-RU"/>
        </w:rPr>
        <w:tab/>
        <w:t xml:space="preserve">Выступающий пояснил, что в методике учитываются сметные затраты, связанные, в частности, с привлечением экспертов для выполнения Резолюций, организацией профессиональной подготовки и предоставлением грантов участникам из развивающихся стран. Многие Резолюции ВКРЭ-25 не сопряжены с какими-либо финансовыми последствиями, поскольку они будут выполняться БРЭ в рамках региональных инициатив. Секретариат обратился к Совету с просьбой рассмотреть вопрос о выделении 1,3 </w:t>
      </w:r>
      <w:proofErr w:type="gramStart"/>
      <w:r w:rsidRPr="00D81064">
        <w:rPr>
          <w:lang w:val="ru-RU"/>
        </w:rPr>
        <w:t>млн.</w:t>
      </w:r>
      <w:proofErr w:type="gramEnd"/>
      <w:r w:rsidRPr="00D81064">
        <w:rPr>
          <w:lang w:val="ru-RU"/>
        </w:rPr>
        <w:t xml:space="preserve"> швейцарских франков на эти цели из средств, сэкономленных при исполнении бюджета на 2025 год.</w:t>
      </w:r>
    </w:p>
    <w:p w14:paraId="288D1CBD" w14:textId="7D8FE2D8" w:rsidR="00D444D7" w:rsidRPr="00D81064" w:rsidRDefault="00D444D7" w:rsidP="00EA09BA">
      <w:pPr>
        <w:rPr>
          <w:rFonts w:cs="Calibri"/>
          <w:lang w:val="ru-RU"/>
        </w:rPr>
      </w:pPr>
      <w:r w:rsidRPr="00D81064">
        <w:rPr>
          <w:lang w:val="ru-RU"/>
        </w:rPr>
        <w:t>7.9</w:t>
      </w:r>
      <w:r w:rsidRPr="00D81064">
        <w:rPr>
          <w:lang w:val="ru-RU"/>
        </w:rPr>
        <w:tab/>
        <w:t>Он добавил, что Документ C26/43, который касается отчета Комитета по бюджетному контролю для ВКРЭ, не требует каких-либо конкретных действий со стороны Совета, кроме принятия к сведению его содержания и предоставления возможных дополнительных указаний. Аналогичный отчет был представлен Совету-25 в отношении предварительных финансовых последствий Всемирной ассамблеи по стандартизации электросвязи (ВАСЭ-24).</w:t>
      </w:r>
    </w:p>
    <w:p w14:paraId="0A1CA46C" w14:textId="577B6810" w:rsidR="00E73E68" w:rsidRPr="00D81064" w:rsidRDefault="00D444D7" w:rsidP="00E73E68">
      <w:pPr>
        <w:rPr>
          <w:rFonts w:cs="Calibri"/>
          <w:lang w:val="ru-RU"/>
        </w:rPr>
      </w:pPr>
      <w:r w:rsidRPr="00D81064">
        <w:rPr>
          <w:lang w:val="ru-RU"/>
        </w:rPr>
        <w:t>7.10</w:t>
      </w:r>
      <w:r w:rsidRPr="00D81064">
        <w:rPr>
          <w:lang w:val="ru-RU"/>
        </w:rPr>
        <w:tab/>
      </w:r>
      <w:r w:rsidR="00206178" w:rsidRPr="00D81064">
        <w:rPr>
          <w:rFonts w:cs="Calibri"/>
          <w:lang w:val="ru-RU"/>
        </w:rPr>
        <w:t>Директор БРЭ в своем вступительном слове отметил, что в БРЭ реализуются проекты национального, регионального и глобального характера. Управление национальными и региональными проектами осуществляется руководителями проектов в зональных</w:t>
      </w:r>
      <w:r w:rsidR="004B40D2" w:rsidRPr="00D81064">
        <w:rPr>
          <w:rFonts w:cs="Calibri"/>
          <w:lang w:val="ru-RU"/>
        </w:rPr>
        <w:t xml:space="preserve"> или </w:t>
      </w:r>
      <w:r w:rsidR="00206178" w:rsidRPr="00D81064">
        <w:rPr>
          <w:rFonts w:cs="Calibri"/>
          <w:lang w:val="ru-RU"/>
        </w:rPr>
        <w:t>в региональных отделениях в регионах-бенефициарах, что является одним из способов укрепления регионального присутствия. Руководство проектами глобального характера осуществляется управляющими проектами, базирующимися в штаб-квартире в Женеве, с тем чтобы обеспечить эффективное управление межрегиональными проектами и внутреннюю согласованность.</w:t>
      </w:r>
    </w:p>
    <w:p w14:paraId="7BF4B09C" w14:textId="11F676A2" w:rsidR="00D444D7" w:rsidRPr="00D81064" w:rsidRDefault="00E73E68" w:rsidP="00E73E68">
      <w:pPr>
        <w:rPr>
          <w:rFonts w:cs="Calibri"/>
          <w:lang w:val="ru-RU"/>
        </w:rPr>
      </w:pPr>
      <w:r w:rsidRPr="00D81064">
        <w:rPr>
          <w:rFonts w:cs="Calibri"/>
          <w:lang w:val="ru-RU"/>
        </w:rPr>
        <w:t>7.11</w:t>
      </w:r>
      <w:r w:rsidRPr="00D81064">
        <w:rPr>
          <w:rFonts w:cs="Calibri"/>
          <w:lang w:val="ru-RU"/>
        </w:rPr>
        <w:tab/>
      </w:r>
      <w:r w:rsidR="00206178" w:rsidRPr="00D81064">
        <w:rPr>
          <w:lang w:val="ru-RU"/>
        </w:rPr>
        <w:t xml:space="preserve">Отвечая на вопросы о финансовых последствиях ВКРЭ-25, он пояснил, что Комитет по бюджетному контролю </w:t>
      </w:r>
      <w:r w:rsidR="004B40D2" w:rsidRPr="00D81064">
        <w:rPr>
          <w:lang w:val="ru-RU"/>
        </w:rPr>
        <w:t xml:space="preserve">ВКРЭ-25 подготовил </w:t>
      </w:r>
      <w:r w:rsidR="00206178" w:rsidRPr="00D81064">
        <w:rPr>
          <w:lang w:val="ru-RU"/>
        </w:rPr>
        <w:t xml:space="preserve">свои сметы, но руководство БРЭ по возвращении с ВКРЭ-25 провело оценку различных текущих и новых проектов, с тем чтобы определить, могут ли имеющиеся ресурсы обеспечить финансирование некоторых из конечных результатов. Необходимости в запросах финансирования, определенных Комитетом </w:t>
      </w:r>
      <w:r w:rsidR="004B40D2" w:rsidRPr="00D81064">
        <w:rPr>
          <w:lang w:val="ru-RU"/>
        </w:rPr>
        <w:t xml:space="preserve">по бюджетному контролю </w:t>
      </w:r>
      <w:r w:rsidR="00206178" w:rsidRPr="00D81064">
        <w:rPr>
          <w:lang w:val="ru-RU"/>
        </w:rPr>
        <w:t>по этим четырем новым Резолюциям, нет, поскольку они могут быть включены в существующие проекты или виды деятельности, предусмотренные Оперативным планом. Вместе с тем, по итогам обсуждений в рамках КГРЭ, информация о которых была направлена Совету посредством заявления о взаимодействии, требуются только ресурсы, необходимые для финансирования региональных инициатив.</w:t>
      </w:r>
    </w:p>
    <w:p w14:paraId="75285C09" w14:textId="6E3DC9D4" w:rsidR="00D444D7" w:rsidRPr="00D81064" w:rsidRDefault="00D444D7" w:rsidP="00EA09BA">
      <w:pPr>
        <w:rPr>
          <w:rFonts w:cs="Calibri"/>
          <w:lang w:val="ru-RU"/>
        </w:rPr>
      </w:pPr>
      <w:r w:rsidRPr="00D81064">
        <w:rPr>
          <w:lang w:val="ru-RU"/>
        </w:rPr>
        <w:t>7.12</w:t>
      </w:r>
      <w:r w:rsidRPr="00D81064">
        <w:rPr>
          <w:lang w:val="ru-RU"/>
        </w:rPr>
        <w:tab/>
        <w:t xml:space="preserve">Отвечая на замечание наблюдателя, </w:t>
      </w:r>
      <w:r w:rsidR="00E73E68" w:rsidRPr="00D81064">
        <w:rPr>
          <w:rFonts w:cs="Calibri"/>
          <w:lang w:val="ru-RU"/>
        </w:rPr>
        <w:t>Директор БРЭ заявил, что, поскольку Резолюции не содержат ключевых показателей деятельности</w:t>
      </w:r>
      <w:r w:rsidR="004B40D2" w:rsidRPr="00D81064">
        <w:rPr>
          <w:rFonts w:cs="Calibri"/>
          <w:lang w:val="ru-RU"/>
        </w:rPr>
        <w:t xml:space="preserve"> (KPI)</w:t>
      </w:r>
      <w:r w:rsidR="00E73E68" w:rsidRPr="00D81064">
        <w:rPr>
          <w:rFonts w:cs="Calibri"/>
          <w:lang w:val="ru-RU"/>
        </w:rPr>
        <w:t xml:space="preserve">, результаты измеряются при помощи KPI в </w:t>
      </w:r>
      <w:r w:rsidR="004B40D2" w:rsidRPr="00D81064">
        <w:rPr>
          <w:rFonts w:cs="Calibri"/>
          <w:lang w:val="ru-RU"/>
        </w:rPr>
        <w:t xml:space="preserve">проектах, направленных на интеграцию </w:t>
      </w:r>
      <w:r w:rsidR="00206178" w:rsidRPr="00D81064">
        <w:rPr>
          <w:rFonts w:cs="Calibri"/>
          <w:lang w:val="ru-RU"/>
        </w:rPr>
        <w:t>Резолюци</w:t>
      </w:r>
      <w:r w:rsidR="004B40D2" w:rsidRPr="00D81064">
        <w:rPr>
          <w:rFonts w:cs="Calibri"/>
          <w:lang w:val="ru-RU"/>
        </w:rPr>
        <w:t>й в основную деятельность</w:t>
      </w:r>
      <w:r w:rsidR="00E73E68" w:rsidRPr="00D81064">
        <w:rPr>
          <w:rFonts w:cs="Calibri"/>
          <w:lang w:val="ru-RU"/>
        </w:rPr>
        <w:t>. Региональные инициативы подпадают под действие Резолюции 17 (</w:t>
      </w:r>
      <w:proofErr w:type="spellStart"/>
      <w:r w:rsidR="00E73E68" w:rsidRPr="00D81064">
        <w:rPr>
          <w:rFonts w:cs="Calibri"/>
          <w:lang w:val="ru-RU"/>
        </w:rPr>
        <w:t>Пересм</w:t>
      </w:r>
      <w:proofErr w:type="spellEnd"/>
      <w:r w:rsidR="00E73E68" w:rsidRPr="00D81064">
        <w:rPr>
          <w:rFonts w:cs="Calibri"/>
          <w:lang w:val="ru-RU"/>
        </w:rPr>
        <w:t>. Баку, 2025</w:t>
      </w:r>
      <w:r w:rsidR="00F53A11" w:rsidRPr="00D81064">
        <w:rPr>
          <w:rFonts w:cs="Calibri"/>
          <w:lang w:val="ru-RU"/>
        </w:rPr>
        <w:t> </w:t>
      </w:r>
      <w:r w:rsidR="00E73E68" w:rsidRPr="00D81064">
        <w:rPr>
          <w:rFonts w:cs="Calibri"/>
          <w:lang w:val="ru-RU"/>
        </w:rPr>
        <w:t>г.)</w:t>
      </w:r>
      <w:r w:rsidR="00206178" w:rsidRPr="00D81064">
        <w:rPr>
          <w:rFonts w:cs="Calibri"/>
          <w:lang w:val="ru-RU"/>
        </w:rPr>
        <w:t xml:space="preserve"> </w:t>
      </w:r>
      <w:r w:rsidR="004B40D2" w:rsidRPr="00D81064">
        <w:rPr>
          <w:rFonts w:cs="Calibri"/>
          <w:lang w:val="ru-RU"/>
        </w:rPr>
        <w:t>ВКРЭ</w:t>
      </w:r>
      <w:r w:rsidR="00B96558" w:rsidRPr="00D81064">
        <w:rPr>
          <w:rFonts w:cs="Calibri"/>
          <w:lang w:val="ru-RU"/>
        </w:rPr>
        <w:t xml:space="preserve">, которая </w:t>
      </w:r>
      <w:r w:rsidRPr="00D81064">
        <w:rPr>
          <w:lang w:val="ru-RU"/>
        </w:rPr>
        <w:t>мо</w:t>
      </w:r>
      <w:r w:rsidR="00B96558" w:rsidRPr="00D81064">
        <w:rPr>
          <w:lang w:val="ru-RU"/>
        </w:rPr>
        <w:t xml:space="preserve">жет </w:t>
      </w:r>
      <w:r w:rsidRPr="00D81064">
        <w:rPr>
          <w:lang w:val="ru-RU"/>
        </w:rPr>
        <w:t xml:space="preserve">быть </w:t>
      </w:r>
      <w:r w:rsidR="00B96558" w:rsidRPr="00D81064">
        <w:rPr>
          <w:lang w:val="ru-RU"/>
        </w:rPr>
        <w:t>выполнена</w:t>
      </w:r>
      <w:r w:rsidRPr="00D81064">
        <w:rPr>
          <w:lang w:val="ru-RU"/>
        </w:rPr>
        <w:t xml:space="preserve"> только в рамках комплекса проектов. Выполнение оперативных планов, видов деятельности, Резолюций и глобальных, региональных и национальных проектов неразрывно связано с помощью управления, ориентированного на результаты, в котором основное внимание уделяется воздействию, конечным результатам и итоговым документам; ни одна Резолюция не может рассматриваться изолированно</w:t>
      </w:r>
      <w:r w:rsidR="00E73E68" w:rsidRPr="00D81064">
        <w:rPr>
          <w:lang w:val="ru-RU"/>
        </w:rPr>
        <w:t xml:space="preserve"> от остальной работы</w:t>
      </w:r>
      <w:r w:rsidRPr="00D81064">
        <w:rPr>
          <w:lang w:val="ru-RU"/>
        </w:rPr>
        <w:t>. Вместе с тем для осуществления региональных инициатив</w:t>
      </w:r>
      <w:r w:rsidR="00E73E68" w:rsidRPr="00D81064">
        <w:rPr>
          <w:lang w:val="ru-RU"/>
        </w:rPr>
        <w:t xml:space="preserve"> требуется отдельное финансирование. Каждый регион представил на ВКРЭ-25 пять региональных инициатив, и все они были утверждены Конференцией. Региональные инициативы</w:t>
      </w:r>
      <w:r w:rsidRPr="00D81064">
        <w:rPr>
          <w:lang w:val="ru-RU"/>
        </w:rPr>
        <w:t xml:space="preserve"> представляют интересы и приоритеты отдельных регионов, и по этой причине запрашивается </w:t>
      </w:r>
      <w:r w:rsidRPr="00D81064">
        <w:rPr>
          <w:lang w:val="ru-RU"/>
        </w:rPr>
        <w:lastRenderedPageBreak/>
        <w:t xml:space="preserve">определенная сумма, как отмечено КГРЭ в ее заявлении о взаимодействии и </w:t>
      </w:r>
      <w:r w:rsidR="00373264" w:rsidRPr="00D81064">
        <w:rPr>
          <w:lang w:val="ru-RU"/>
        </w:rPr>
        <w:t xml:space="preserve">Секретариатом </w:t>
      </w:r>
      <w:r w:rsidRPr="00D81064">
        <w:rPr>
          <w:lang w:val="ru-RU"/>
        </w:rPr>
        <w:t>в его просьбе о целевом выделении 1,3 </w:t>
      </w:r>
      <w:proofErr w:type="gramStart"/>
      <w:r w:rsidRPr="00D81064">
        <w:rPr>
          <w:lang w:val="ru-RU"/>
        </w:rPr>
        <w:t>млн.</w:t>
      </w:r>
      <w:proofErr w:type="gramEnd"/>
      <w:r w:rsidR="00DB2625" w:rsidRPr="00D81064">
        <w:rPr>
          <w:lang w:val="ru-RU"/>
        </w:rPr>
        <w:t> </w:t>
      </w:r>
      <w:r w:rsidRPr="00D81064">
        <w:rPr>
          <w:lang w:val="ru-RU"/>
        </w:rPr>
        <w:t>швейцарских франков из средств, сэкономленных в 2025 году.</w:t>
      </w:r>
      <w:r w:rsidR="00E73E68" w:rsidRPr="00D81064">
        <w:rPr>
          <w:lang w:val="ru-RU"/>
        </w:rPr>
        <w:t xml:space="preserve"> </w:t>
      </w:r>
      <w:r w:rsidR="00E73E68" w:rsidRPr="00D81064">
        <w:rPr>
          <w:rFonts w:cs="Calibri"/>
          <w:lang w:val="ru-RU"/>
        </w:rPr>
        <w:t xml:space="preserve">Это соответствует установленной практике. После ВКРЭ-17 Совет </w:t>
      </w:r>
      <w:r w:rsidR="00B96558" w:rsidRPr="00D81064">
        <w:rPr>
          <w:rFonts w:cs="Calibri"/>
          <w:lang w:val="ru-RU"/>
        </w:rPr>
        <w:t xml:space="preserve">на своей сессии 2018 года </w:t>
      </w:r>
      <w:r w:rsidR="00E73E68" w:rsidRPr="00D81064">
        <w:rPr>
          <w:rFonts w:cs="Calibri"/>
          <w:lang w:val="ru-RU"/>
        </w:rPr>
        <w:t>выделил аналогичные запрошенные средства</w:t>
      </w:r>
      <w:r w:rsidR="00B96558" w:rsidRPr="00D81064">
        <w:rPr>
          <w:rFonts w:cs="Calibri"/>
          <w:lang w:val="ru-RU"/>
        </w:rPr>
        <w:t>.</w:t>
      </w:r>
      <w:r w:rsidR="00E73E68" w:rsidRPr="00D81064">
        <w:rPr>
          <w:rFonts w:cs="Calibri"/>
          <w:lang w:val="ru-RU"/>
        </w:rPr>
        <w:t xml:space="preserve"> </w:t>
      </w:r>
      <w:r w:rsidR="00B96558" w:rsidRPr="00D81064">
        <w:rPr>
          <w:rFonts w:cs="Calibri"/>
          <w:lang w:val="ru-RU"/>
        </w:rPr>
        <w:t>Кроме того,</w:t>
      </w:r>
      <w:r w:rsidR="00E73E68" w:rsidRPr="00D81064">
        <w:rPr>
          <w:rFonts w:cs="Calibri"/>
          <w:lang w:val="ru-RU"/>
        </w:rPr>
        <w:t xml:space="preserve"> после ВКРЭ-22, Совет </w:t>
      </w:r>
      <w:r w:rsidR="00B96558" w:rsidRPr="00D81064">
        <w:rPr>
          <w:rFonts w:cs="Calibri"/>
          <w:lang w:val="ru-RU"/>
        </w:rPr>
        <w:t xml:space="preserve">на своей сессии 2023 года </w:t>
      </w:r>
      <w:r w:rsidR="00E73E68" w:rsidRPr="00D81064">
        <w:rPr>
          <w:rFonts w:cs="Calibri"/>
          <w:lang w:val="ru-RU"/>
        </w:rPr>
        <w:t>также выделил средства на реализацию региональных инициатив. Это позволило БРЭ успешно мобилизовать внебюджетные ресурсы, которые помогли финансировать результативные проекты во всех регионах.</w:t>
      </w:r>
    </w:p>
    <w:p w14:paraId="285FBFC7" w14:textId="5B01DEA0" w:rsidR="00D444D7" w:rsidRPr="00D81064" w:rsidRDefault="00D444D7" w:rsidP="00B55BD8">
      <w:pPr>
        <w:keepNext/>
        <w:keepLines/>
        <w:rPr>
          <w:rFonts w:eastAsia="Calibri" w:cs="Calibri"/>
          <w:lang w:val="ru-RU"/>
        </w:rPr>
      </w:pPr>
      <w:r w:rsidRPr="00D81064">
        <w:rPr>
          <w:lang w:val="ru-RU"/>
        </w:rPr>
        <w:t>7.13</w:t>
      </w:r>
      <w:r w:rsidRPr="00D81064">
        <w:rPr>
          <w:lang w:val="ru-RU"/>
        </w:rPr>
        <w:tab/>
        <w:t xml:space="preserve">Комитет </w:t>
      </w:r>
      <w:r w:rsidRPr="00D81064">
        <w:rPr>
          <w:b/>
          <w:bCs/>
          <w:lang w:val="ru-RU"/>
        </w:rPr>
        <w:t xml:space="preserve">принял решение </w:t>
      </w:r>
      <w:r w:rsidRPr="00D81064">
        <w:rPr>
          <w:lang w:val="ru-RU"/>
        </w:rPr>
        <w:t>сделать по данному вопросу следующее заключение:</w:t>
      </w:r>
    </w:p>
    <w:p w14:paraId="7C4D0E87" w14:textId="77777777" w:rsidR="00D444D7" w:rsidRPr="00D81064" w:rsidRDefault="00D444D7" w:rsidP="00E42AAD">
      <w:pPr>
        <w:keepNext/>
        <w:keepLines/>
        <w:pBdr>
          <w:top w:val="single" w:sz="4" w:space="1" w:color="000000"/>
          <w:left w:val="single" w:sz="4" w:space="4" w:color="000000"/>
          <w:bottom w:val="single" w:sz="4" w:space="1" w:color="000000"/>
          <w:right w:val="single" w:sz="4" w:space="4" w:color="000000"/>
        </w:pBdr>
        <w:spacing w:line="259" w:lineRule="auto"/>
        <w:rPr>
          <w:lang w:val="ru-RU"/>
        </w:rPr>
      </w:pPr>
      <w:r w:rsidRPr="00D81064">
        <w:rPr>
          <w:lang w:val="ru-RU"/>
        </w:rPr>
        <w:t>7.14</w:t>
      </w:r>
      <w:r w:rsidRPr="00D81064">
        <w:rPr>
          <w:lang w:val="ru-RU"/>
        </w:rPr>
        <w:tab/>
        <w:t>Комитет рекомендует Совету:</w:t>
      </w:r>
    </w:p>
    <w:p w14:paraId="33335E0F" w14:textId="77777777" w:rsidR="00D444D7" w:rsidRPr="00D81064" w:rsidRDefault="00D444D7" w:rsidP="00E42AAD">
      <w:pPr>
        <w:pStyle w:val="enumlev1"/>
        <w:keepNext/>
        <w:keepLines/>
        <w:pBdr>
          <w:top w:val="single" w:sz="4" w:space="1" w:color="000000"/>
          <w:left w:val="single" w:sz="4" w:space="4" w:color="000000"/>
          <w:bottom w:val="single" w:sz="4" w:space="1" w:color="000000"/>
          <w:right w:val="single" w:sz="4" w:space="4" w:color="000000"/>
        </w:pBdr>
        <w:rPr>
          <w:rFonts w:cs="Calibri"/>
          <w:lang w:val="ru-RU"/>
        </w:rPr>
      </w:pPr>
      <w:r w:rsidRPr="00D81064">
        <w:rPr>
          <w:rFonts w:eastAsia="Aptos"/>
          <w:lang w:val="ru-RU"/>
        </w:rPr>
        <w:t>•</w:t>
      </w:r>
      <w:r w:rsidRPr="00D81064">
        <w:rPr>
          <w:lang w:val="ru-RU"/>
        </w:rPr>
        <w:tab/>
        <w:t xml:space="preserve">принять к сведению отчет, содержащийся в Документе </w:t>
      </w:r>
      <w:hyperlink r:id="rId42" w:history="1">
        <w:r w:rsidRPr="00D81064">
          <w:rPr>
            <w:rStyle w:val="Hyperlink"/>
            <w:lang w:val="ru-RU"/>
          </w:rPr>
          <w:t>C26/43</w:t>
        </w:r>
      </w:hyperlink>
      <w:r w:rsidRPr="00D81064">
        <w:rPr>
          <w:lang w:val="ru-RU"/>
        </w:rPr>
        <w:t>, и предоставить любые дополнительные указания;</w:t>
      </w:r>
      <w:hyperlink r:id="rId43" w:history="1"/>
    </w:p>
    <w:p w14:paraId="54AC3998" w14:textId="06C68DBF" w:rsidR="00D444D7" w:rsidRPr="00D81064" w:rsidRDefault="00D444D7" w:rsidP="00E42AAD">
      <w:pPr>
        <w:pStyle w:val="enumlev1"/>
        <w:keepNext/>
        <w:keepLines/>
        <w:pBdr>
          <w:top w:val="single" w:sz="4" w:space="1" w:color="000000"/>
          <w:left w:val="single" w:sz="4" w:space="4" w:color="000000"/>
          <w:bottom w:val="single" w:sz="4" w:space="1" w:color="000000"/>
          <w:right w:val="single" w:sz="4" w:space="4" w:color="000000"/>
        </w:pBdr>
        <w:rPr>
          <w:rFonts w:cs="Calibri"/>
          <w:lang w:val="ru-RU"/>
        </w:rPr>
      </w:pPr>
      <w:r w:rsidRPr="00D81064">
        <w:rPr>
          <w:rFonts w:eastAsia="Aptos"/>
          <w:lang w:val="ru-RU"/>
        </w:rPr>
        <w:t>•</w:t>
      </w:r>
      <w:r w:rsidRPr="00D81064">
        <w:rPr>
          <w:lang w:val="ru-RU"/>
        </w:rPr>
        <w:tab/>
        <w:t>принять к сведению заявление о взаимодействии от КГРЭ, содержащееся в Документе </w:t>
      </w:r>
      <w:hyperlink r:id="rId44" w:history="1">
        <w:r w:rsidRPr="00D81064">
          <w:rPr>
            <w:rStyle w:val="Hyperlink"/>
            <w:lang w:val="ru-RU"/>
          </w:rPr>
          <w:t>C26/109</w:t>
        </w:r>
      </w:hyperlink>
      <w:r w:rsidRPr="00D81064">
        <w:rPr>
          <w:lang w:val="ru-RU"/>
        </w:rPr>
        <w:t>, и рассмотреть вопрос о выделении необходимых средств для поддержки выполнения решений ВКРЭ-25 по региональным инициативам;</w:t>
      </w:r>
      <w:hyperlink r:id="rId45" w:history="1"/>
    </w:p>
    <w:p w14:paraId="6E2A5562" w14:textId="77777777" w:rsidR="00D444D7" w:rsidRPr="00D81064" w:rsidRDefault="00D444D7" w:rsidP="00B55BD8">
      <w:pPr>
        <w:pStyle w:val="enumlev1"/>
        <w:pBdr>
          <w:top w:val="single" w:sz="4" w:space="1" w:color="000000"/>
          <w:left w:val="single" w:sz="4" w:space="4" w:color="000000"/>
          <w:bottom w:val="single" w:sz="4" w:space="1" w:color="000000"/>
          <w:right w:val="single" w:sz="4" w:space="4" w:color="000000"/>
        </w:pBdr>
        <w:rPr>
          <w:lang w:val="ru-RU"/>
        </w:rPr>
      </w:pPr>
      <w:r w:rsidRPr="00D81064">
        <w:rPr>
          <w:rFonts w:eastAsia="Aptos"/>
          <w:lang w:val="ru-RU"/>
        </w:rPr>
        <w:t>•</w:t>
      </w:r>
      <w:r w:rsidRPr="00D81064">
        <w:rPr>
          <w:lang w:val="ru-RU"/>
        </w:rPr>
        <w:tab/>
        <w:t xml:space="preserve">принять к сведению вклад группы стран, содержащийся в Документе </w:t>
      </w:r>
      <w:hyperlink r:id="rId46" w:history="1">
        <w:r w:rsidRPr="00D81064">
          <w:rPr>
            <w:rStyle w:val="Hyperlink"/>
            <w:lang w:val="ru-RU"/>
          </w:rPr>
          <w:t>C26/103</w:t>
        </w:r>
      </w:hyperlink>
      <w:r w:rsidRPr="00D81064">
        <w:rPr>
          <w:lang w:val="ru-RU"/>
        </w:rPr>
        <w:t>, и рассмотреть вопрос о выделении части любых имеющихся излишков средств на региональные инициативы, с тем чтобы приступить к реализации видов деятельности согласно соответствующим Резолюциям ВКРЭ-25.</w:t>
      </w:r>
      <w:hyperlink r:id="rId47" w:history="1"/>
    </w:p>
    <w:p w14:paraId="0AD329E4" w14:textId="3D7FC82C" w:rsidR="000E6C3F" w:rsidRPr="00D81064" w:rsidRDefault="000E6C3F" w:rsidP="000E6C3F">
      <w:pPr>
        <w:pStyle w:val="Heading1"/>
        <w:rPr>
          <w:lang w:val="ru-RU"/>
        </w:rPr>
      </w:pPr>
      <w:r w:rsidRPr="00D81064">
        <w:rPr>
          <w:bCs/>
          <w:lang w:val="ru-RU"/>
        </w:rPr>
        <w:t>8</w:t>
      </w:r>
      <w:r w:rsidRPr="00D81064">
        <w:rPr>
          <w:lang w:val="ru-RU"/>
        </w:rPr>
        <w:tab/>
      </w:r>
      <w:r w:rsidRPr="00D81064">
        <w:rPr>
          <w:bCs/>
          <w:lang w:val="ru-RU"/>
        </w:rPr>
        <w:t xml:space="preserve">Единицы взносов – предварительный выбор (Документ </w:t>
      </w:r>
      <w:hyperlink r:id="rId48" w:history="1">
        <w:r w:rsidRPr="00D81064">
          <w:rPr>
            <w:rStyle w:val="Hyperlink"/>
            <w:lang w:val="ru-RU"/>
          </w:rPr>
          <w:t>C26/47</w:t>
        </w:r>
      </w:hyperlink>
      <w:r w:rsidRPr="00D81064">
        <w:rPr>
          <w:bCs/>
          <w:lang w:val="ru-RU"/>
        </w:rPr>
        <w:t>)</w:t>
      </w:r>
      <w:hyperlink r:id="rId49" w:history="1"/>
    </w:p>
    <w:p w14:paraId="61FAC972" w14:textId="77777777" w:rsidR="000E6C3F" w:rsidRPr="00D81064" w:rsidRDefault="000E6C3F" w:rsidP="000E6C3F">
      <w:pPr>
        <w:rPr>
          <w:lang w:val="ru-RU"/>
        </w:rPr>
      </w:pPr>
      <w:r w:rsidRPr="00D81064">
        <w:rPr>
          <w:lang w:val="ru-RU"/>
        </w:rPr>
        <w:t>8.1</w:t>
      </w:r>
      <w:r w:rsidRPr="00D81064">
        <w:rPr>
          <w:lang w:val="ru-RU"/>
        </w:rPr>
        <w:tab/>
        <w:t xml:space="preserve">Руководитель FRMD представил Документ C26/47, в котором Совет уведомляется о предварительном выборе Государств-Членов до Полномочной конференции 2026 года (ПК-26) в соответствии с полученными 42 ответами на циркулярное письмо Генерального секретаря, в котором Государствам-Членам было предложено объявить свой предварительный класс взносов на период 2028–2031 годов до конца 2025 календарного года. В документе также представлены результаты всеобъемлющего обзора применения и соблюдения Государствами-Членами системы единиц взносов МСЭ, проведенного Секретариатом. В связи с этим Государствам-Членам направляются целевые сообщения для уточнения обязательств и, в случае необходимости, информирования их о корректировках. В ходе обзора были также определены Государства-Члены, на которые распространялись утвержденные Советом исключения, предоставленные в период с 1967 по 2006 год, и нынешний уровень единицы </w:t>
      </w:r>
      <w:proofErr w:type="gramStart"/>
      <w:r w:rsidRPr="00D81064">
        <w:rPr>
          <w:lang w:val="ru-RU"/>
        </w:rPr>
        <w:t>взносов</w:t>
      </w:r>
      <w:proofErr w:type="gramEnd"/>
      <w:r w:rsidRPr="00D81064">
        <w:rPr>
          <w:lang w:val="ru-RU"/>
        </w:rPr>
        <w:t xml:space="preserve"> которых может больше не удовлетворять критериям соответствия, изложенным в Документе </w:t>
      </w:r>
      <w:hyperlink r:id="rId50" w:history="1">
        <w:r w:rsidRPr="00D81064">
          <w:rPr>
            <w:rStyle w:val="Hyperlink"/>
            <w:lang w:val="ru-RU"/>
          </w:rPr>
          <w:t>C10/67</w:t>
        </w:r>
      </w:hyperlink>
      <w:r w:rsidRPr="00D81064">
        <w:rPr>
          <w:lang w:val="ru-RU"/>
        </w:rPr>
        <w:t xml:space="preserve"> Совета.</w:t>
      </w:r>
    </w:p>
    <w:p w14:paraId="6D0F0E67" w14:textId="77777777" w:rsidR="000E6C3F" w:rsidRPr="00D81064" w:rsidRDefault="000E6C3F" w:rsidP="000E6C3F">
      <w:pPr>
        <w:rPr>
          <w:lang w:val="ru-RU"/>
        </w:rPr>
      </w:pPr>
      <w:r w:rsidRPr="00D81064">
        <w:rPr>
          <w:lang w:val="ru-RU"/>
        </w:rPr>
        <w:t>8.2</w:t>
      </w:r>
      <w:r w:rsidRPr="00D81064">
        <w:rPr>
          <w:lang w:val="ru-RU"/>
        </w:rPr>
        <w:tab/>
        <w:t xml:space="preserve">Советники положительно оценили отчет и выразили поддержку деятельности по пересмотру критериев взносов и утверждению Советом исключительного снижения взносов в целях повышения прозрачности и согласованности. Исключительное снижение взносов должно быть ограничено по времени и подвергаться периодическому пересмотру. Было бы желательно на регулярной основе представлять Совету отчеты о статусе исключений, поскольку это будет способствовать обеспечению фактическими данными и упрощению процесса принятия решений, и своевременной переоценке этих мер. Подход к исключениям должен оставаться гибким, ориентированным на развитие и не усугублять положение малых и уязвимых экономик. Несколько Советников предостерегли от автоматической корректировки размера взносов в сторону повышения в случаях, когда какое-либо Государство-Член исключается из числа наименее развитых стран (НРС); исключение из списка НРС не обязательно влечет за собой мгновенное расширение финансовых возможностей. В корректировках в сторону повышения должны учитываться конкретные обстоятельства соответствующего Государства-Члена и обеспечиваться справедливость и равенство в системе взносов. Сбалансированный подход будет иметь важнейшее значение для поддержания </w:t>
      </w:r>
      <w:r w:rsidRPr="00D81064">
        <w:rPr>
          <w:lang w:val="ru-RU"/>
        </w:rPr>
        <w:lastRenderedPageBreak/>
        <w:t>финансовой устойчивости Союза при сохранении его открытого характера, а также для способности развивающихся стран эффективно участвовать в работе. Один из Советников выразил обеспокоенность в связи с тем, что так мало Государств-Членов ответили на письмо с просьбой представить заявления о предварительном выборе взносов, и предупредил, что, хотя тот факт, что общее число единиц взносов осталось почти без изменений, может свидетельствовать о стабильности, он также может указывать на ограниченную способность реагировать на меняющуюся экономическую обстановку.</w:t>
      </w:r>
    </w:p>
    <w:p w14:paraId="75A86626" w14:textId="77777777" w:rsidR="000E6C3F" w:rsidRPr="00D81064" w:rsidRDefault="000E6C3F" w:rsidP="000E6C3F">
      <w:pPr>
        <w:rPr>
          <w:lang w:val="ru-RU"/>
        </w:rPr>
      </w:pPr>
      <w:r w:rsidRPr="00D81064">
        <w:rPr>
          <w:lang w:val="ru-RU"/>
        </w:rPr>
        <w:t>8.3</w:t>
      </w:r>
      <w:r w:rsidRPr="00D81064">
        <w:rPr>
          <w:lang w:val="ru-RU"/>
        </w:rPr>
        <w:tab/>
        <w:t xml:space="preserve">Одна из Советников сказала, что действующие на долгосрочной основе исключения, которые не подвергались пересмотру, ослабили систему взносов. Взносы стран, исключаемых из списка НРС, следует немедленно скорректировать, и не следует делать исключений для стран, не имеющих статуса НРС. Действующие на долгосрочной основе исключения должны быть отменены, а соответствующие государства должны вновь подать заявку на предоставление исключительного снижения взносов на временной основе в соответствии с новыми критериями, как только они будут установлены. </w:t>
      </w:r>
    </w:p>
    <w:p w14:paraId="5863ACD3" w14:textId="77777777" w:rsidR="000E6C3F" w:rsidRPr="00D81064" w:rsidRDefault="000E6C3F" w:rsidP="000E6C3F">
      <w:pPr>
        <w:rPr>
          <w:lang w:val="ru-RU"/>
        </w:rPr>
      </w:pPr>
      <w:r w:rsidRPr="00D81064">
        <w:rPr>
          <w:lang w:val="ru-RU"/>
        </w:rPr>
        <w:t>8.4</w:t>
      </w:r>
      <w:r w:rsidRPr="00D81064">
        <w:rPr>
          <w:lang w:val="ru-RU"/>
        </w:rPr>
        <w:tab/>
        <w:t>Руководитель FRMD сказал, что критерии для единиц взносов основаны на Решении 5 (</w:t>
      </w:r>
      <w:proofErr w:type="spellStart"/>
      <w:r w:rsidRPr="00D81064">
        <w:rPr>
          <w:lang w:val="ru-RU"/>
        </w:rPr>
        <w:t>Пересм</w:t>
      </w:r>
      <w:proofErr w:type="spellEnd"/>
      <w:r w:rsidRPr="00D81064">
        <w:rPr>
          <w:lang w:val="ru-RU"/>
        </w:rPr>
        <w:t>. Бухарест, 2022 г.) Полномочной конференции, в соответствии с которым Генеральный секретарь объявила, что предварительная величина единицы взносов останется на уровне 318 000 швейцарских франков, и направила всем Государствам-Членам циркулярное письмо с просьбой представить предварительное заявление об их взносах. Отсутствие ответа на это письмо расценено как желание соответствующего Государства – Члена Союза сохранить свой действующий уровень взносов. Предварительные взносы по каждому Государству-Члену представлены в Приложении к Документу C26/47.</w:t>
      </w:r>
    </w:p>
    <w:p w14:paraId="02E9FF96" w14:textId="662CF573" w:rsidR="000E6C3F" w:rsidRPr="00D81064" w:rsidRDefault="000E6C3F" w:rsidP="000E6C3F">
      <w:pPr>
        <w:rPr>
          <w:highlight w:val="yellow"/>
          <w:lang w:val="ru-RU"/>
        </w:rPr>
      </w:pPr>
      <w:r w:rsidRPr="00D81064">
        <w:rPr>
          <w:lang w:val="ru-RU"/>
        </w:rPr>
        <w:t>8.5</w:t>
      </w:r>
      <w:r w:rsidRPr="00D81064">
        <w:rPr>
          <w:lang w:val="ru-RU"/>
        </w:rPr>
        <w:tab/>
        <w:t xml:space="preserve">Комитет </w:t>
      </w:r>
      <w:r w:rsidRPr="00D81064">
        <w:rPr>
          <w:b/>
          <w:bCs/>
          <w:lang w:val="ru-RU"/>
        </w:rPr>
        <w:t>выразил признательность</w:t>
      </w:r>
      <w:r w:rsidRPr="00D81064">
        <w:rPr>
          <w:lang w:val="ru-RU"/>
        </w:rPr>
        <w:t xml:space="preserve"> </w:t>
      </w:r>
      <w:r w:rsidR="00263248" w:rsidRPr="00D81064">
        <w:rPr>
          <w:lang w:val="ru-RU"/>
        </w:rPr>
        <w:t xml:space="preserve">Секретариату </w:t>
      </w:r>
      <w:r w:rsidRPr="00D81064">
        <w:rPr>
          <w:lang w:val="ru-RU"/>
        </w:rPr>
        <w:t>за проведение всеобъемлющего обзора применения и соблюдения Государствами-Членами системы единиц взносов МСЭ, установленной в соответствии с Уставом и Конвенцией МСЭ и соответствующими резолюциями Совета и Полномочной конференции.</w:t>
      </w:r>
    </w:p>
    <w:p w14:paraId="65FEC44E" w14:textId="77777777" w:rsidR="000E6C3F" w:rsidRPr="00D81064" w:rsidRDefault="000E6C3F" w:rsidP="000E6C3F">
      <w:pPr>
        <w:keepNext/>
        <w:keepLines/>
        <w:rPr>
          <w:lang w:val="ru-RU"/>
        </w:rPr>
      </w:pPr>
      <w:r w:rsidRPr="00D81064">
        <w:rPr>
          <w:lang w:val="ru-RU"/>
        </w:rPr>
        <w:t>8.6</w:t>
      </w:r>
      <w:r w:rsidRPr="00D81064">
        <w:rPr>
          <w:lang w:val="ru-RU"/>
        </w:rPr>
        <w:tab/>
        <w:t xml:space="preserve">При рассмотрении Документа C26/47 Комитет принял </w:t>
      </w:r>
      <w:r w:rsidRPr="00D81064">
        <w:rPr>
          <w:b/>
          <w:bCs/>
          <w:lang w:val="ru-RU"/>
        </w:rPr>
        <w:t>решение сделать</w:t>
      </w:r>
      <w:r w:rsidRPr="00D81064">
        <w:rPr>
          <w:lang w:val="ru-RU"/>
        </w:rPr>
        <w:t xml:space="preserve"> по данному вопросу следующее заключение:</w:t>
      </w:r>
    </w:p>
    <w:p w14:paraId="79BDC19F" w14:textId="32BA49D9" w:rsidR="000E6C3F" w:rsidRPr="00D81064" w:rsidRDefault="00FD7EB0" w:rsidP="000E6C3F">
      <w:pPr>
        <w:keepNext/>
        <w:keepLines/>
        <w:pBdr>
          <w:top w:val="single" w:sz="4" w:space="1" w:color="auto"/>
          <w:left w:val="single" w:sz="4" w:space="4" w:color="auto"/>
          <w:bottom w:val="single" w:sz="4" w:space="1" w:color="auto"/>
          <w:right w:val="single" w:sz="4" w:space="4" w:color="auto"/>
        </w:pBdr>
        <w:rPr>
          <w:lang w:val="ru-RU"/>
        </w:rPr>
      </w:pPr>
      <w:r w:rsidRPr="00D81064">
        <w:rPr>
          <w:lang w:val="ru-RU"/>
        </w:rPr>
        <w:t>8.7</w:t>
      </w:r>
      <w:r w:rsidRPr="00D81064">
        <w:rPr>
          <w:lang w:val="ru-RU"/>
        </w:rPr>
        <w:tab/>
      </w:r>
      <w:r w:rsidR="000E6C3F" w:rsidRPr="00D81064">
        <w:rPr>
          <w:lang w:val="ru-RU"/>
        </w:rPr>
        <w:t>Комитет рекомендует Совету поручить Генеральному секретарю:</w:t>
      </w:r>
    </w:p>
    <w:p w14:paraId="7FB9E712" w14:textId="4479DDBD" w:rsidR="000E6C3F" w:rsidRPr="00D81064" w:rsidRDefault="000E6C3F" w:rsidP="000E6C3F">
      <w:pPr>
        <w:pStyle w:val="enumlev1"/>
        <w:pBdr>
          <w:top w:val="single" w:sz="4" w:space="1" w:color="auto"/>
          <w:left w:val="single" w:sz="4" w:space="4" w:color="auto"/>
          <w:bottom w:val="single" w:sz="4" w:space="1" w:color="auto"/>
          <w:right w:val="single" w:sz="4" w:space="4" w:color="auto"/>
        </w:pBdr>
        <w:rPr>
          <w:lang w:val="ru-RU"/>
        </w:rPr>
      </w:pPr>
      <w:r w:rsidRPr="00D81064">
        <w:rPr>
          <w:lang w:val="ru-RU"/>
        </w:rPr>
        <w:t>•</w:t>
      </w:r>
      <w:r w:rsidRPr="00D81064">
        <w:rPr>
          <w:lang w:val="ru-RU"/>
        </w:rPr>
        <w:tab/>
        <w:t>ежегодно представлять Совету отчет о ситуации со всеми случаями исключительного снижения класса взносов, с тем чтобы обеспечить возможность своевременной переоценки его дальнейшей применимости;</w:t>
      </w:r>
    </w:p>
    <w:p w14:paraId="24B66030" w14:textId="3D01A8EE" w:rsidR="000E6C3F" w:rsidRPr="00D81064" w:rsidRDefault="000E6C3F" w:rsidP="00017C1F">
      <w:pPr>
        <w:pStyle w:val="enumlev1"/>
        <w:pBdr>
          <w:top w:val="single" w:sz="4" w:space="1" w:color="auto"/>
          <w:left w:val="single" w:sz="4" w:space="4" w:color="auto"/>
          <w:bottom w:val="single" w:sz="4" w:space="1" w:color="auto"/>
          <w:right w:val="single" w:sz="4" w:space="4" w:color="auto"/>
        </w:pBdr>
        <w:rPr>
          <w:lang w:val="ru-RU"/>
        </w:rPr>
      </w:pPr>
      <w:r w:rsidRPr="00D81064">
        <w:rPr>
          <w:lang w:val="ru-RU"/>
        </w:rPr>
        <w:t>•</w:t>
      </w:r>
      <w:r w:rsidRPr="00D81064">
        <w:rPr>
          <w:lang w:val="ru-RU"/>
        </w:rPr>
        <w:tab/>
        <w:t xml:space="preserve">подготовить проект пересмотра критериев, применяемых при выборе класса взносов, которые содержатся в Документе </w:t>
      </w:r>
      <w:hyperlink r:id="rId51" w:history="1">
        <w:r w:rsidR="00527E2B" w:rsidRPr="00D81064">
          <w:rPr>
            <w:rStyle w:val="Hyperlink"/>
            <w:lang w:val="ru-RU"/>
          </w:rPr>
          <w:t>C10/67</w:t>
        </w:r>
      </w:hyperlink>
      <w:r w:rsidRPr="00D81064">
        <w:rPr>
          <w:lang w:val="ru-RU"/>
        </w:rPr>
        <w:t>, с целью обеспечения их постоянной актуальности и согласованности, и представить проект пересмотренной процедуры сессии Совета 2027 года</w:t>
      </w:r>
      <w:r w:rsidR="00017C1F" w:rsidRPr="00D81064">
        <w:rPr>
          <w:lang w:val="ru-RU"/>
        </w:rPr>
        <w:t>.</w:t>
      </w:r>
    </w:p>
    <w:p w14:paraId="0D8296E2" w14:textId="0B4E6E91" w:rsidR="004E1E5F" w:rsidRPr="00D81064" w:rsidRDefault="004E1E5F" w:rsidP="004E1E5F">
      <w:pPr>
        <w:pStyle w:val="Heading1"/>
        <w:rPr>
          <w:lang w:val="ru-RU"/>
        </w:rPr>
      </w:pPr>
      <w:r w:rsidRPr="00D81064">
        <w:rPr>
          <w:bCs/>
          <w:lang w:val="ru-RU"/>
        </w:rPr>
        <w:t>9</w:t>
      </w:r>
      <w:r w:rsidRPr="00D81064">
        <w:rPr>
          <w:lang w:val="ru-RU"/>
        </w:rPr>
        <w:tab/>
        <w:t>Взносы Эквадора на покрытие расходов Союза (Документ</w:t>
      </w:r>
      <w:r w:rsidR="00B94D56" w:rsidRPr="00D81064">
        <w:rPr>
          <w:lang w:val="ru-RU"/>
        </w:rPr>
        <w:t>ы</w:t>
      </w:r>
      <w:r w:rsidRPr="00D81064">
        <w:rPr>
          <w:lang w:val="ru-RU"/>
        </w:rPr>
        <w:t xml:space="preserve"> </w:t>
      </w:r>
      <w:hyperlink r:id="rId52" w:history="1">
        <w:r w:rsidRPr="00D81064">
          <w:rPr>
            <w:rStyle w:val="Hyperlink"/>
            <w:bCs/>
            <w:lang w:val="ru-RU"/>
          </w:rPr>
          <w:t>C26/</w:t>
        </w:r>
        <w:r w:rsidRPr="00D81064">
          <w:rPr>
            <w:rStyle w:val="Hyperlink"/>
            <w:lang w:val="ru-RU"/>
          </w:rPr>
          <w:t>54</w:t>
        </w:r>
      </w:hyperlink>
      <w:r w:rsidR="00B94D56" w:rsidRPr="00D81064">
        <w:rPr>
          <w:lang w:val="ru-RU"/>
        </w:rPr>
        <w:t xml:space="preserve"> и </w:t>
      </w:r>
      <w:hyperlink r:id="rId53" w:history="1">
        <w:r w:rsidR="00B94D56" w:rsidRPr="00D81064">
          <w:rPr>
            <w:rStyle w:val="Hyperlink"/>
            <w:lang w:val="ru-RU"/>
          </w:rPr>
          <w:t>C26/DT/5(Rev.2)</w:t>
        </w:r>
      </w:hyperlink>
      <w:r w:rsidRPr="00D81064">
        <w:rPr>
          <w:lang w:val="ru-RU"/>
        </w:rPr>
        <w:t>)</w:t>
      </w:r>
      <w:hyperlink r:id="rId54" w:history="1"/>
    </w:p>
    <w:p w14:paraId="65E31100" w14:textId="105A637A" w:rsidR="004E1E5F" w:rsidRPr="00D81064" w:rsidRDefault="004E1E5F" w:rsidP="004E1E5F">
      <w:pPr>
        <w:rPr>
          <w:lang w:val="ru-RU"/>
        </w:rPr>
      </w:pPr>
      <w:r w:rsidRPr="00D81064">
        <w:rPr>
          <w:lang w:val="ru-RU"/>
        </w:rPr>
        <w:t>9.1</w:t>
      </w:r>
      <w:r w:rsidRPr="00D81064">
        <w:rPr>
          <w:lang w:val="ru-RU"/>
        </w:rPr>
        <w:tab/>
        <w:t xml:space="preserve">Руководитель FRMD представил Документ C26/54, в котором Совету сообщается о письме от Республики Эквадор от 12 октября 2025 года, содержащем просьбу о понижении класса взносов (1/8 или 1/16, что применяется к наименее развитым странам (НРС), в соответствии с пунктом 468a Конвенции Международного союза электросвязи). Несмотря на то что Эквадор не включен в список НРС Организации Объединенных Наций, в письме говорится, что внутренний вооруженный конфликт оказывает значительное влияние на экономические и финансовые возможности Эквадора и что предоставление такой гибкости позволит Эквадору продолжать выполнять свои финансовые обязательства как Государства-Члена, обеспечивая </w:t>
      </w:r>
      <w:r w:rsidRPr="00D81064">
        <w:rPr>
          <w:lang w:val="ru-RU"/>
        </w:rPr>
        <w:lastRenderedPageBreak/>
        <w:t>при этом его активное участие в работе Союза и в развитии глобальной электросвязи. Эквадор выплатил все доли ежегодных взносов (в том числе на 2026 г</w:t>
      </w:r>
      <w:r w:rsidR="00FD209D" w:rsidRPr="00D81064">
        <w:rPr>
          <w:lang w:val="ru-RU"/>
        </w:rPr>
        <w:t>.</w:t>
      </w:r>
      <w:r w:rsidRPr="00D81064">
        <w:rPr>
          <w:lang w:val="ru-RU"/>
        </w:rPr>
        <w:t>) и не имеет непогашенной задолженности. В случае удовлетворения просьбы Советом понижение класса взносов будет отнесено на период с 1 января 2028 года по 31 декабря 2031 года. Понижение класса взносов с</w:t>
      </w:r>
      <w:r w:rsidR="00FD209D" w:rsidRPr="00D81064">
        <w:rPr>
          <w:lang w:val="ru-RU"/>
        </w:rPr>
        <w:t> </w:t>
      </w:r>
      <w:r w:rsidRPr="00D81064">
        <w:rPr>
          <w:lang w:val="ru-RU"/>
        </w:rPr>
        <w:t>1/4 до 1/8 означало бы для Союза убытки в размере 39</w:t>
      </w:r>
      <w:r w:rsidR="00FD209D" w:rsidRPr="00D81064">
        <w:rPr>
          <w:lang w:val="ru-RU"/>
        </w:rPr>
        <w:t> </w:t>
      </w:r>
      <w:r w:rsidRPr="00D81064">
        <w:rPr>
          <w:lang w:val="ru-RU"/>
        </w:rPr>
        <w:t>750</w:t>
      </w:r>
      <w:r w:rsidR="00FD209D" w:rsidRPr="00D81064">
        <w:rPr>
          <w:lang w:val="ru-RU"/>
        </w:rPr>
        <w:t> </w:t>
      </w:r>
      <w:r w:rsidRPr="00D81064">
        <w:rPr>
          <w:lang w:val="ru-RU"/>
        </w:rPr>
        <w:t>швейцарских франков, в то время как сокращение с 1/4 до 1/16 составило бы убыток в размере 59</w:t>
      </w:r>
      <w:r w:rsidR="00FD209D" w:rsidRPr="00D81064">
        <w:rPr>
          <w:lang w:val="ru-RU"/>
        </w:rPr>
        <w:t> </w:t>
      </w:r>
      <w:r w:rsidR="00017C1F" w:rsidRPr="00D81064">
        <w:rPr>
          <w:lang w:val="ru-RU"/>
        </w:rPr>
        <w:t>625</w:t>
      </w:r>
      <w:r w:rsidR="00FD209D" w:rsidRPr="00D81064">
        <w:rPr>
          <w:lang w:val="ru-RU"/>
        </w:rPr>
        <w:t> </w:t>
      </w:r>
      <w:r w:rsidRPr="00D81064">
        <w:rPr>
          <w:lang w:val="ru-RU"/>
        </w:rPr>
        <w:t>швейцарских франков.</w:t>
      </w:r>
    </w:p>
    <w:p w14:paraId="53100FFB" w14:textId="5C7011E5" w:rsidR="004E1E5F" w:rsidRPr="00D81064" w:rsidRDefault="004E1E5F" w:rsidP="004E1E5F">
      <w:pPr>
        <w:rPr>
          <w:lang w:val="ru-RU"/>
        </w:rPr>
      </w:pPr>
      <w:r w:rsidRPr="00D81064">
        <w:rPr>
          <w:lang w:val="ru-RU"/>
        </w:rPr>
        <w:t>9.2</w:t>
      </w:r>
      <w:r w:rsidRPr="00D81064">
        <w:rPr>
          <w:lang w:val="ru-RU"/>
        </w:rPr>
        <w:tab/>
      </w:r>
      <w:r w:rsidR="00281713" w:rsidRPr="00D81064">
        <w:rPr>
          <w:lang w:val="ru-RU"/>
        </w:rPr>
        <w:t>Советники поддержали просьбу Эквадора и попросили отразить это в отчете. Они</w:t>
      </w:r>
      <w:r w:rsidRPr="00D81064">
        <w:rPr>
          <w:lang w:val="ru-RU"/>
        </w:rPr>
        <w:t xml:space="preserve"> выразили обеспокоенность в связи с ситуацией в Эквадоре и согласились с</w:t>
      </w:r>
      <w:r w:rsidR="00FD209D" w:rsidRPr="00D81064">
        <w:rPr>
          <w:lang w:val="ru-RU"/>
        </w:rPr>
        <w:t> </w:t>
      </w:r>
      <w:r w:rsidRPr="00D81064">
        <w:rPr>
          <w:lang w:val="ru-RU"/>
        </w:rPr>
        <w:t>тем, что следует принять меры, позволяющие Эквадору продолжать в полной мере участвовать в работе МСЭ в качестве Государства-Члена. Один из Советников предупредил, что любое исключительное снижение взносов должно предоставляться только на временной и исключительной основе и не должно закреплять или усугублять проблемы, изложенные в Документе</w:t>
      </w:r>
      <w:r w:rsidR="00FD209D" w:rsidRPr="00D81064">
        <w:rPr>
          <w:lang w:val="ru-RU"/>
        </w:rPr>
        <w:t> </w:t>
      </w:r>
      <w:r w:rsidRPr="00D81064">
        <w:rPr>
          <w:lang w:val="ru-RU"/>
        </w:rPr>
        <w:t>C26/47.</w:t>
      </w:r>
    </w:p>
    <w:p w14:paraId="2A41E800" w14:textId="65CE170F" w:rsidR="004E1E5F" w:rsidRPr="00D81064" w:rsidRDefault="004E1E5F" w:rsidP="004E1E5F">
      <w:pPr>
        <w:rPr>
          <w:lang w:val="ru-RU"/>
        </w:rPr>
      </w:pPr>
      <w:r w:rsidRPr="00D81064">
        <w:rPr>
          <w:lang w:val="ru-RU"/>
        </w:rPr>
        <w:t>9.3</w:t>
      </w:r>
      <w:r w:rsidRPr="00D81064">
        <w:rPr>
          <w:lang w:val="ru-RU"/>
        </w:rPr>
        <w:tab/>
        <w:t>После неофициальных консультаций Секретариат подготовил проект Резолюции, содержащийся в Документе</w:t>
      </w:r>
      <w:r w:rsidR="00FD209D" w:rsidRPr="00D81064">
        <w:rPr>
          <w:lang w:val="ru-RU"/>
        </w:rPr>
        <w:t> </w:t>
      </w:r>
      <w:r w:rsidRPr="00D81064">
        <w:rPr>
          <w:lang w:val="ru-RU"/>
        </w:rPr>
        <w:t>C26/DT/5(Rev.</w:t>
      </w:r>
      <w:r w:rsidR="003A1F6A" w:rsidRPr="00D81064">
        <w:rPr>
          <w:lang w:val="ru-RU"/>
        </w:rPr>
        <w:t>1</w:t>
      </w:r>
      <w:r w:rsidRPr="00D81064">
        <w:rPr>
          <w:lang w:val="ru-RU"/>
        </w:rPr>
        <w:t>), который он представил на рассмотрение Комитета.</w:t>
      </w:r>
      <w:hyperlink r:id="rId55" w:history="1"/>
    </w:p>
    <w:p w14:paraId="3D6E1D58" w14:textId="7265D2D9" w:rsidR="004E1E5F" w:rsidRPr="00D81064" w:rsidRDefault="004E1E5F" w:rsidP="004E1E5F">
      <w:pPr>
        <w:rPr>
          <w:lang w:val="ru-RU"/>
        </w:rPr>
      </w:pPr>
      <w:r w:rsidRPr="00D81064">
        <w:rPr>
          <w:lang w:val="ru-RU"/>
        </w:rPr>
        <w:t>9.4</w:t>
      </w:r>
      <w:r w:rsidRPr="00D81064">
        <w:rPr>
          <w:lang w:val="ru-RU"/>
        </w:rPr>
        <w:tab/>
        <w:t>Советники выразили согласие с тем, что ситуация в Эквадоре носит временный характер и что снижение его класса взносов не окажет существенного воздействия на финансы Союза. Поэтому в духе солидарности они могли бы согласиться удовлетворить просьбу Эквадора. Один из Советников предложил внести поправки в проект Резолюции, чтобы подчеркнуть временный характер этой льготы и поручить Генеральному секретарю запрашивать у правительства Эквадора ежегодную обновленную информацию о текущей ситуации в отношении сохраняющегося характера исключительных обстоятельств и ежегодно представлять отчет Совету, чтобы обеспечить своевременную последующую оценку применимости этого исключительного понижения класса взносов. Другие Советники поддержали эту оговорку и предостерегли против создания таких прецедентов; необходимо сформулировать четкие надлежащие руководства и критерии для применения исключительного понижения класса взносов. Резолюция должна быть приведена в</w:t>
      </w:r>
      <w:r w:rsidR="00FD209D" w:rsidRPr="00D81064">
        <w:rPr>
          <w:lang w:val="ru-RU"/>
        </w:rPr>
        <w:t> </w:t>
      </w:r>
      <w:r w:rsidRPr="00D81064">
        <w:rPr>
          <w:lang w:val="ru-RU"/>
        </w:rPr>
        <w:t>соответствие с установленным Советом процедурным мандатом в отношении оценки просьб о предоставлении исключительного понижения класса взносов.</w:t>
      </w:r>
    </w:p>
    <w:p w14:paraId="44688E89" w14:textId="77777777" w:rsidR="004E1E5F" w:rsidRPr="00D81064" w:rsidRDefault="004E1E5F" w:rsidP="004E1E5F">
      <w:pPr>
        <w:rPr>
          <w:lang w:val="ru-RU"/>
        </w:rPr>
      </w:pPr>
      <w:r w:rsidRPr="00D81064">
        <w:rPr>
          <w:lang w:val="ru-RU"/>
        </w:rPr>
        <w:t>9.5</w:t>
      </w:r>
      <w:r w:rsidRPr="00D81064">
        <w:rPr>
          <w:lang w:val="ru-RU"/>
        </w:rPr>
        <w:tab/>
        <w:t xml:space="preserve">После неофициальных консультаций Комитет </w:t>
      </w:r>
      <w:r w:rsidRPr="00D81064">
        <w:rPr>
          <w:b/>
          <w:bCs/>
          <w:lang w:val="ru-RU"/>
        </w:rPr>
        <w:t>принял решение</w:t>
      </w:r>
      <w:r w:rsidRPr="00D81064">
        <w:rPr>
          <w:lang w:val="ru-RU"/>
        </w:rPr>
        <w:t xml:space="preserve"> сделать следующее заключение по данному вопросу:</w:t>
      </w:r>
    </w:p>
    <w:p w14:paraId="7A31083D" w14:textId="6466D9FD" w:rsidR="004E1E5F" w:rsidRPr="00D81064" w:rsidRDefault="00FD7EB0" w:rsidP="004E1E5F">
      <w:pPr>
        <w:pBdr>
          <w:top w:val="single" w:sz="4" w:space="1" w:color="auto"/>
          <w:left w:val="single" w:sz="4" w:space="4" w:color="auto"/>
          <w:bottom w:val="single" w:sz="4" w:space="1" w:color="auto"/>
          <w:right w:val="single" w:sz="4" w:space="4" w:color="auto"/>
        </w:pBdr>
        <w:rPr>
          <w:lang w:val="ru-RU"/>
        </w:rPr>
      </w:pPr>
      <w:r w:rsidRPr="00D81064">
        <w:rPr>
          <w:lang w:val="ru-RU"/>
        </w:rPr>
        <w:t>9.6</w:t>
      </w:r>
      <w:r w:rsidRPr="00D81064">
        <w:rPr>
          <w:lang w:val="ru-RU"/>
        </w:rPr>
        <w:tab/>
      </w:r>
      <w:r w:rsidR="004E1E5F" w:rsidRPr="00D81064">
        <w:rPr>
          <w:lang w:val="ru-RU"/>
        </w:rPr>
        <w:t>Комитет рекомендует Совету:</w:t>
      </w:r>
    </w:p>
    <w:p w14:paraId="0B03D5FA" w14:textId="64805338" w:rsidR="00017C1F" w:rsidRPr="00D81064" w:rsidRDefault="00017C1F" w:rsidP="00017C1F">
      <w:pPr>
        <w:pStyle w:val="enumlev1"/>
        <w:pBdr>
          <w:top w:val="single" w:sz="4" w:space="1" w:color="auto"/>
          <w:left w:val="single" w:sz="4" w:space="4" w:color="auto"/>
          <w:bottom w:val="single" w:sz="4" w:space="1" w:color="auto"/>
          <w:right w:val="single" w:sz="4" w:space="4" w:color="auto"/>
        </w:pBdr>
        <w:rPr>
          <w:lang w:val="ru-RU"/>
        </w:rPr>
      </w:pPr>
      <w:r w:rsidRPr="00D81064">
        <w:rPr>
          <w:lang w:val="ru-RU"/>
        </w:rPr>
        <w:t>•</w:t>
      </w:r>
      <w:r w:rsidRPr="00D81064">
        <w:rPr>
          <w:lang w:val="ru-RU"/>
        </w:rPr>
        <w:tab/>
        <w:t>поручить Генеральному секретарю подготовить структурированную процедуру, определяющую подход Совета к предоставлению исключительного снижения взносов в соответствии с п. 165A Конвенции, с тем чтобы такое снижение было четко ограничено по времени и подлежало регулярному пересмотру</w:t>
      </w:r>
      <w:r w:rsidR="00FD7EB0" w:rsidRPr="00D81064">
        <w:rPr>
          <w:lang w:val="ru-RU"/>
        </w:rPr>
        <w:t>,</w:t>
      </w:r>
      <w:r w:rsidRPr="00D81064">
        <w:rPr>
          <w:lang w:val="ru-RU"/>
        </w:rPr>
        <w:t xml:space="preserve"> и представить сессии Совета 2027 года</w:t>
      </w:r>
      <w:r w:rsidR="00281713" w:rsidRPr="00D81064">
        <w:rPr>
          <w:lang w:val="ru-RU"/>
        </w:rPr>
        <w:t>;</w:t>
      </w:r>
    </w:p>
    <w:p w14:paraId="461610A2" w14:textId="4F22352A" w:rsidR="004E1E5F" w:rsidRPr="00D81064" w:rsidRDefault="004E1E5F" w:rsidP="004E1E5F">
      <w:pPr>
        <w:pStyle w:val="enumlev1"/>
        <w:pBdr>
          <w:top w:val="single" w:sz="4" w:space="1" w:color="auto"/>
          <w:left w:val="single" w:sz="4" w:space="4" w:color="auto"/>
          <w:bottom w:val="single" w:sz="4" w:space="1" w:color="auto"/>
          <w:right w:val="single" w:sz="4" w:space="4" w:color="auto"/>
        </w:pBdr>
        <w:rPr>
          <w:lang w:val="ru-RU"/>
        </w:rPr>
      </w:pPr>
      <w:r w:rsidRPr="00D81064">
        <w:rPr>
          <w:lang w:val="ru-RU"/>
        </w:rPr>
        <w:t>•</w:t>
      </w:r>
      <w:r w:rsidRPr="00D81064">
        <w:rPr>
          <w:lang w:val="ru-RU"/>
        </w:rPr>
        <w:tab/>
        <w:t xml:space="preserve">принять Резолюцию, содержащуюся в </w:t>
      </w:r>
      <w:hyperlink w:anchor="AnnexA" w:history="1">
        <w:r w:rsidRPr="00D81064">
          <w:rPr>
            <w:rStyle w:val="Hyperlink"/>
            <w:b/>
            <w:bCs/>
            <w:lang w:val="ru-RU"/>
          </w:rPr>
          <w:t>Приложении А</w:t>
        </w:r>
      </w:hyperlink>
      <w:r w:rsidRPr="00D81064">
        <w:rPr>
          <w:lang w:val="ru-RU"/>
        </w:rPr>
        <w:t xml:space="preserve"> к настоящему отчету.</w:t>
      </w:r>
      <w:hyperlink w:anchor="Annex_A" w:history="1"/>
    </w:p>
    <w:p w14:paraId="0C45344E" w14:textId="54B175E5" w:rsidR="00455636" w:rsidRPr="00D81064" w:rsidRDefault="00455636" w:rsidP="00455636">
      <w:pPr>
        <w:pStyle w:val="Heading1"/>
        <w:rPr>
          <w:lang w:val="ru-RU"/>
        </w:rPr>
      </w:pPr>
      <w:r w:rsidRPr="00D81064">
        <w:rPr>
          <w:bCs/>
          <w:lang w:val="ru-RU"/>
        </w:rPr>
        <w:lastRenderedPageBreak/>
        <w:t>10</w:t>
      </w:r>
      <w:r w:rsidRPr="00D81064">
        <w:rPr>
          <w:lang w:val="ru-RU"/>
        </w:rPr>
        <w:tab/>
      </w:r>
      <w:r w:rsidRPr="00D81064">
        <w:rPr>
          <w:bCs/>
          <w:lang w:val="ru-RU"/>
        </w:rPr>
        <w:t>Единицы взносов – методика рассмотрения и пересмотра (Документ </w:t>
      </w:r>
      <w:hyperlink r:id="rId56" w:history="1">
        <w:r w:rsidRPr="00D81064">
          <w:rPr>
            <w:rStyle w:val="Hyperlink"/>
            <w:bCs/>
            <w:lang w:val="ru-RU"/>
          </w:rPr>
          <w:t>C26/72</w:t>
        </w:r>
      </w:hyperlink>
      <w:r w:rsidRPr="00D81064">
        <w:rPr>
          <w:bCs/>
          <w:lang w:val="ru-RU"/>
        </w:rPr>
        <w:t>)</w:t>
      </w:r>
      <w:hyperlink r:id="rId57" w:history="1"/>
    </w:p>
    <w:p w14:paraId="55F44BB5" w14:textId="571B6304" w:rsidR="00455636" w:rsidRPr="00D81064" w:rsidRDefault="00D81064" w:rsidP="00D81064">
      <w:pPr>
        <w:pStyle w:val="Headingb"/>
        <w:ind w:left="794" w:hanging="794"/>
        <w:rPr>
          <w:sz w:val="26"/>
          <w:szCs w:val="26"/>
          <w:lang w:val="ru-RU"/>
        </w:rPr>
      </w:pPr>
      <w:r w:rsidRPr="00D81064">
        <w:rPr>
          <w:sz w:val="26"/>
          <w:szCs w:val="26"/>
          <w:lang w:val="ru-RU"/>
        </w:rPr>
        <w:tab/>
      </w:r>
      <w:r w:rsidR="00455636" w:rsidRPr="00D81064">
        <w:rPr>
          <w:sz w:val="26"/>
          <w:szCs w:val="26"/>
          <w:lang w:val="ru-RU"/>
        </w:rPr>
        <w:t>Методика рассмотрения и пересмотра единицы взносов (Документ </w:t>
      </w:r>
      <w:hyperlink r:id="rId58" w:history="1">
        <w:hyperlink r:id="rId59" w:history="1">
          <w:r w:rsidR="00455636" w:rsidRPr="00D81064">
            <w:rPr>
              <w:rStyle w:val="Hyperlink"/>
              <w:sz w:val="26"/>
              <w:szCs w:val="26"/>
              <w:lang w:val="ru-RU"/>
            </w:rPr>
            <w:t>C26/100</w:t>
          </w:r>
        </w:hyperlink>
      </w:hyperlink>
      <w:r w:rsidR="00455636" w:rsidRPr="00D81064">
        <w:rPr>
          <w:sz w:val="26"/>
          <w:szCs w:val="26"/>
          <w:lang w:val="ru-RU"/>
        </w:rPr>
        <w:t>)</w:t>
      </w:r>
      <w:hyperlink r:id="rId60" w:history="1"/>
    </w:p>
    <w:p w14:paraId="18094183" w14:textId="520E2409" w:rsidR="00455636" w:rsidRPr="00D81064" w:rsidRDefault="00455636" w:rsidP="003042C7">
      <w:pPr>
        <w:keepLines/>
        <w:rPr>
          <w:lang w:val="ru-RU"/>
        </w:rPr>
      </w:pPr>
      <w:r w:rsidRPr="00D81064">
        <w:rPr>
          <w:lang w:val="ru-RU"/>
        </w:rPr>
        <w:t>10.1</w:t>
      </w:r>
      <w:r w:rsidRPr="00D81064">
        <w:rPr>
          <w:lang w:val="ru-RU"/>
        </w:rPr>
        <w:tab/>
        <w:t>Руководитель FRMD представил содержащийся в Документе C26/72 отчет о методике рассмотрения и пересмотра единиц взносов. Эта методика будет внедряться в процессе подготовки к Полномочной конференции 2030 года, и любые корректировки единицы взносов вступят в силу с 2032 года. На ПК-26 увеличение предлагаться не будет; Союз продолжит функционировать в рамках своего действующего бюджета, ужесточив финансовую дисциплину. Секретариат предложил продолжить мониторинг финансовой ситуации и принять меры для повышения эффективности, целенаправленности и скоординированности действий, а также укрепления финансовой дисциплины. В предлагаемой методике изложены три возможных подхода: корректировка единицы взносов с учетом инфляции; увязка увеличения размера единицы взносов с повышением показателей эффективности деятельности; и увязка увеличения с дополнительными затратами, связанными с новыми мандатами.</w:t>
      </w:r>
    </w:p>
    <w:p w14:paraId="36230180" w14:textId="22493278" w:rsidR="00455636" w:rsidRPr="00D81064" w:rsidRDefault="00455636" w:rsidP="00455636">
      <w:pPr>
        <w:rPr>
          <w:lang w:val="ru-RU"/>
        </w:rPr>
      </w:pPr>
      <w:r w:rsidRPr="00D81064">
        <w:rPr>
          <w:lang w:val="ru-RU"/>
        </w:rPr>
        <w:t>10.2</w:t>
      </w:r>
      <w:r w:rsidRPr="00D81064">
        <w:rPr>
          <w:lang w:val="ru-RU"/>
        </w:rPr>
        <w:tab/>
        <w:t xml:space="preserve">Советник от Южно-Африканской Республики представил вклад группы стран, содержащийся в Документе C26/100, от имени пяти стран, предложив следующее: </w:t>
      </w:r>
      <w:r w:rsidR="00263248" w:rsidRPr="00D81064">
        <w:rPr>
          <w:lang w:val="ru-RU"/>
        </w:rPr>
        <w:t xml:space="preserve">Секретариату </w:t>
      </w:r>
      <w:r w:rsidRPr="00D81064">
        <w:rPr>
          <w:lang w:val="ru-RU"/>
        </w:rPr>
        <w:t>следует установить четкий ориентир для определения того, при каких условиях возникает необходимость пересмотра единицы взносов; установить заранее определенные пороговые значения, при которых будет автоматически инициирован пересмотр единицы взносов; а также рассмотреть возможность проведения ежегодного мониторинга и представления скользящего финансового прогноза на ближайшие три−шесть лет, включая прогнозы доходов и тенденции расходов, финансовые последствия новых полномочий по расходам и анализ сценариев. Для того чтобы устранить неопределенность в отношении мер эффективности, следует установить количественные целевые показатели. Для более систематического мониторинга и оценки следует разработать информационную панель достаточности единицы взносов, которая поможет Государствам-Членам принимать более обоснованные решения. Такие меры помогут избежать отложенного финансового давления, снижения эффективности и, возможно, внезапной необходимости пересмотра в будущем.</w:t>
      </w:r>
    </w:p>
    <w:p w14:paraId="77FD6D34" w14:textId="4799CD50" w:rsidR="00455636" w:rsidRPr="00D81064" w:rsidRDefault="00455636" w:rsidP="00455636">
      <w:pPr>
        <w:rPr>
          <w:lang w:val="ru-RU"/>
        </w:rPr>
      </w:pPr>
      <w:r w:rsidRPr="00D81064">
        <w:rPr>
          <w:lang w:val="ru-RU"/>
        </w:rPr>
        <w:t>10.3</w:t>
      </w:r>
      <w:r w:rsidRPr="00D81064">
        <w:rPr>
          <w:lang w:val="ru-RU"/>
        </w:rPr>
        <w:tab/>
        <w:t xml:space="preserve">Советники с удовлетворением отметили сохраняющийся нулевой номинальный рост единицы взносов и высоко оценили усилия </w:t>
      </w:r>
      <w:r w:rsidR="00263248" w:rsidRPr="00D81064">
        <w:rPr>
          <w:lang w:val="ru-RU"/>
        </w:rPr>
        <w:t xml:space="preserve">Секретариата </w:t>
      </w:r>
      <w:r w:rsidRPr="00D81064">
        <w:rPr>
          <w:lang w:val="ru-RU"/>
        </w:rPr>
        <w:t>по обеспечению разумного финансового управления Союзом, что необходимо для обеспечения способности Союза действовать в существующих бюджетных рамках и предотвращения дополнительной финансовой нагрузки на Государства-Члены. Государства-Члены явно с осторожностью относятся к финансовым последствиям потенциальных корректировок, демонстрируя при этом общую заинтересованность в поддержании стабильности и предсказуемости. При любой будущей оценке величины единицы взносов следует принимать во внимание обстоятельства, в которых находятся Государства-Члены.</w:t>
      </w:r>
    </w:p>
    <w:p w14:paraId="50535EB3" w14:textId="77777777" w:rsidR="00455636" w:rsidRPr="00D81064" w:rsidRDefault="00455636" w:rsidP="00455636">
      <w:pPr>
        <w:rPr>
          <w:lang w:val="ru-RU"/>
        </w:rPr>
      </w:pPr>
      <w:r w:rsidRPr="00D81064">
        <w:rPr>
          <w:lang w:val="ru-RU"/>
        </w:rPr>
        <w:t>10.4</w:t>
      </w:r>
      <w:r w:rsidRPr="00D81064">
        <w:rPr>
          <w:lang w:val="ru-RU"/>
        </w:rPr>
        <w:tab/>
        <w:t xml:space="preserve">МСЭ сталкивается с ситуацией стагнации доходов и увеличения затрат, и эту проблему необходимо решать. В такой ситуации он не может бездействовать. Многие Советники высказали мнение, что Союз должен продолжать функционировать в существующих бюджетных рамках за счет укрепления финансового управления, устранения дублирования расходов, а также определения приоритетности и оптимизации видов деятельности. Следует продолжать работу по диверсификации источников доходов. Ключевую роль играет расстановка приоритетов; если МСЭ захочет инициировать новый вид деятельности, ему следует рассмотреть вопрос о том, где можно произвести сокращения, чтобы высвободить необходимые ресурсы. Некоторые Советники полагают, что наряду с усилиями по ужесточению финансового управления необходима надежная методика корректировки единицы взносов, чтобы обеспечить финансовую предсказуемость. Они приветствовали усилия </w:t>
      </w:r>
      <w:r w:rsidRPr="00D81064">
        <w:rPr>
          <w:lang w:val="ru-RU"/>
        </w:rPr>
        <w:lastRenderedPageBreak/>
        <w:t>по обеспечению баланса между мерами по повышению эффективности и величиной единицы взносов. Любое предложение об увеличении единицы взносов должно сопровождаться четкими, поддающимися измерению улучшениями в достижении конечных результатов.</w:t>
      </w:r>
    </w:p>
    <w:p w14:paraId="2F723A67" w14:textId="77777777" w:rsidR="00455636" w:rsidRPr="00D81064" w:rsidRDefault="00455636" w:rsidP="00455636">
      <w:pPr>
        <w:rPr>
          <w:lang w:val="ru-RU"/>
        </w:rPr>
      </w:pPr>
      <w:r w:rsidRPr="00D81064">
        <w:rPr>
          <w:lang w:val="ru-RU"/>
        </w:rPr>
        <w:t>10.5</w:t>
      </w:r>
      <w:r w:rsidRPr="00D81064">
        <w:rPr>
          <w:lang w:val="ru-RU"/>
        </w:rPr>
        <w:tab/>
        <w:t>Что касается мер, предложенных в методике, несколько Советников выразили опасения по поводу корректировки единицы взносов с учетом инфляции, ведь это может привести к непредсказуемости в отношении начисленных взносов. Необходимы дополнительные разъяснения относительно увязки увеличения размера взносов с результатами деятельности и корректировки с учетом последствий дополнительных расходов, связанных с выполнением новых мандатов, поскольку оба этих аспекта представляются неопределенными и непредсказуемыми, особенно с учетом трудностей при оценке финансовых последствий выполнения решений конференций. Была выражена обеспокоенность в связи с риском того, что любое увеличение размера единицы взносов может быть сведено на нет тем фактом, что администрации вправе уменьшить количество единиц на 15 процентов, что может привести к фактическому сокращению бюджета. Следует также иметь в виду, что любое увеличение единицы взносов затронет не только Государства – Члены Союза, но также Членов Секторов и Ассоциированных членов. В связи с этим необходимо провести консультации, с тем чтобы обеспечить коллективное обсуждение этого вопроса. Одна из Советников предостерегла от создания механизмов, которые могут привести к увеличению величины единицы взносов без принятия соответствующего решения Государствами-Членами. Другой Советник предложил увязать корректировки единицы взносов с экономическим положением Государств-Членов, например с их валовым внутренним продуктом или их рейтингом в глобальном индексе развития.</w:t>
      </w:r>
    </w:p>
    <w:p w14:paraId="4C374993" w14:textId="77777777" w:rsidR="00455636" w:rsidRPr="00D81064" w:rsidRDefault="00455636" w:rsidP="00455636">
      <w:pPr>
        <w:rPr>
          <w:lang w:val="ru-RU"/>
        </w:rPr>
      </w:pPr>
      <w:r w:rsidRPr="00D81064">
        <w:rPr>
          <w:lang w:val="ru-RU"/>
        </w:rPr>
        <w:t>10.6</w:t>
      </w:r>
      <w:r w:rsidRPr="00D81064">
        <w:rPr>
          <w:lang w:val="ru-RU"/>
        </w:rPr>
        <w:tab/>
        <w:t>Необходимо дальнейшее обсуждение для достижения консенсуса по содержанию методики и срокам ее внедрения. Более подробный анализ ситуации позволил бы Совету принять в надлежащее время обоснованное решение по данному вопросу.</w:t>
      </w:r>
    </w:p>
    <w:p w14:paraId="000E632C" w14:textId="77777777" w:rsidR="00455636" w:rsidRPr="00D81064" w:rsidRDefault="00455636" w:rsidP="00455636">
      <w:pPr>
        <w:rPr>
          <w:lang w:val="ru-RU"/>
        </w:rPr>
      </w:pPr>
      <w:r w:rsidRPr="00D81064">
        <w:rPr>
          <w:lang w:val="ru-RU"/>
        </w:rPr>
        <w:t>10.7</w:t>
      </w:r>
      <w:r w:rsidRPr="00D81064">
        <w:rPr>
          <w:lang w:val="ru-RU"/>
        </w:rPr>
        <w:tab/>
        <w:t>Советники высоко оценили вклад группы стран и содержащиеся в нем предложения, которые могут послужить хорошей основой для дальнейшего обсуждения. Было бы желательно разработать более надежную методику, которая способствовала бы более эффективному финансовому планированию. Внедрение поддающихся количественной оценке целевых показателей эффективности и многолетних финансовых прогнозов будет в значительной степени способствовать обеспечению прозрачности, подотчетности и технической строгости, а также стабильности и предсказуемости и, следовательно, будет содействовать принятию обоснованных решений и рациональному планированию. Предложения, содержащиеся в этом вкладе, являются хорошим первым шагом на пути к рассмотрению иного подхода к решению проблемы финансовых ограничений Союза и постоянно расширяющегося мандата.</w:t>
      </w:r>
    </w:p>
    <w:p w14:paraId="42FF4F7F" w14:textId="77777777" w:rsidR="00455636" w:rsidRPr="00D81064" w:rsidRDefault="00455636" w:rsidP="00455636">
      <w:pPr>
        <w:keepNext/>
        <w:keepLines/>
        <w:rPr>
          <w:lang w:val="ru-RU"/>
        </w:rPr>
      </w:pPr>
      <w:r w:rsidRPr="00D81064">
        <w:rPr>
          <w:lang w:val="ru-RU"/>
        </w:rPr>
        <w:t>10.8</w:t>
      </w:r>
      <w:r w:rsidRPr="00D81064">
        <w:rPr>
          <w:lang w:val="ru-RU"/>
        </w:rPr>
        <w:tab/>
        <w:t xml:space="preserve">Комитет </w:t>
      </w:r>
      <w:r w:rsidRPr="00D81064">
        <w:rPr>
          <w:b/>
          <w:bCs/>
          <w:lang w:val="ru-RU"/>
        </w:rPr>
        <w:t>принял решение</w:t>
      </w:r>
      <w:r w:rsidRPr="00D81064">
        <w:rPr>
          <w:lang w:val="ru-RU"/>
        </w:rPr>
        <w:t xml:space="preserve"> сделать по данному вопросу следующее заключение:</w:t>
      </w:r>
    </w:p>
    <w:p w14:paraId="5799A409" w14:textId="77777777" w:rsidR="00455636" w:rsidRPr="00D81064" w:rsidRDefault="00455636" w:rsidP="00455636">
      <w:pPr>
        <w:keepNext/>
        <w:keepLines/>
        <w:pBdr>
          <w:top w:val="single" w:sz="4" w:space="1" w:color="auto"/>
          <w:left w:val="single" w:sz="4" w:space="4" w:color="auto"/>
          <w:bottom w:val="single" w:sz="4" w:space="1" w:color="auto"/>
          <w:right w:val="single" w:sz="4" w:space="4" w:color="auto"/>
        </w:pBdr>
        <w:rPr>
          <w:lang w:val="ru-RU"/>
        </w:rPr>
      </w:pPr>
      <w:r w:rsidRPr="00D81064">
        <w:rPr>
          <w:lang w:val="ru-RU"/>
        </w:rPr>
        <w:t>10.9</w:t>
      </w:r>
      <w:r w:rsidRPr="00D81064">
        <w:rPr>
          <w:lang w:val="ru-RU"/>
        </w:rPr>
        <w:tab/>
        <w:t>Комитет рекомендует Совету:</w:t>
      </w:r>
    </w:p>
    <w:p w14:paraId="3C36E023" w14:textId="4EFEB4E0" w:rsidR="00455636" w:rsidRPr="00D81064" w:rsidRDefault="00455636" w:rsidP="00455636">
      <w:pPr>
        <w:pStyle w:val="enumlev1"/>
        <w:pBdr>
          <w:top w:val="single" w:sz="4" w:space="1" w:color="auto"/>
          <w:left w:val="single" w:sz="4" w:space="4" w:color="auto"/>
          <w:bottom w:val="single" w:sz="4" w:space="1" w:color="auto"/>
          <w:right w:val="single" w:sz="4" w:space="4" w:color="auto"/>
        </w:pBdr>
        <w:rPr>
          <w:u w:val="single"/>
          <w:lang w:val="ru-RU"/>
        </w:rPr>
      </w:pPr>
      <w:r w:rsidRPr="00D81064">
        <w:rPr>
          <w:lang w:val="ru-RU"/>
        </w:rPr>
        <w:t>•</w:t>
      </w:r>
      <w:r w:rsidRPr="00D81064">
        <w:rPr>
          <w:lang w:val="ru-RU"/>
        </w:rPr>
        <w:tab/>
        <w:t xml:space="preserve">рассмотреть отчет, содержащийся в Документе </w:t>
      </w:r>
      <w:hyperlink r:id="rId61" w:history="1">
        <w:r w:rsidRPr="00D81064">
          <w:rPr>
            <w:rStyle w:val="Hyperlink"/>
            <w:lang w:val="ru-RU"/>
          </w:rPr>
          <w:t>C26/72</w:t>
        </w:r>
      </w:hyperlink>
      <w:r w:rsidRPr="00D81064">
        <w:rPr>
          <w:lang w:val="ru-RU"/>
        </w:rPr>
        <w:t xml:space="preserve">, </w:t>
      </w:r>
      <w:r w:rsidR="00281713" w:rsidRPr="00D81064">
        <w:rPr>
          <w:lang w:val="ru-RU"/>
        </w:rPr>
        <w:t xml:space="preserve">и просить </w:t>
      </w:r>
      <w:r w:rsidR="001C42DB" w:rsidRPr="00D81064">
        <w:rPr>
          <w:lang w:val="ru-RU"/>
        </w:rPr>
        <w:t xml:space="preserve">Секретариат </w:t>
      </w:r>
      <w:r w:rsidR="00281713" w:rsidRPr="00D81064">
        <w:rPr>
          <w:lang w:val="ru-RU"/>
        </w:rPr>
        <w:t>подробнее изучить предложения</w:t>
      </w:r>
      <w:r w:rsidRPr="00D81064">
        <w:rPr>
          <w:lang w:val="ru-RU"/>
        </w:rPr>
        <w:t xml:space="preserve"> вклад</w:t>
      </w:r>
      <w:r w:rsidR="00281713" w:rsidRPr="00D81064">
        <w:rPr>
          <w:lang w:val="ru-RU"/>
        </w:rPr>
        <w:t>а</w:t>
      </w:r>
      <w:r w:rsidRPr="00D81064">
        <w:rPr>
          <w:lang w:val="ru-RU"/>
        </w:rPr>
        <w:t xml:space="preserve"> группы стран, содержащ</w:t>
      </w:r>
      <w:r w:rsidR="00281713" w:rsidRPr="00D81064">
        <w:rPr>
          <w:lang w:val="ru-RU"/>
        </w:rPr>
        <w:t>его</w:t>
      </w:r>
      <w:r w:rsidRPr="00D81064">
        <w:rPr>
          <w:lang w:val="ru-RU"/>
        </w:rPr>
        <w:t>ся в</w:t>
      </w:r>
      <w:r w:rsidR="00306165" w:rsidRPr="00D81064">
        <w:rPr>
          <w:lang w:val="ru-RU"/>
        </w:rPr>
        <w:t> </w:t>
      </w:r>
      <w:r w:rsidRPr="00D81064">
        <w:rPr>
          <w:lang w:val="ru-RU"/>
        </w:rPr>
        <w:t>Документе</w:t>
      </w:r>
      <w:r w:rsidR="001C42DB" w:rsidRPr="00D81064">
        <w:rPr>
          <w:lang w:val="ru-RU"/>
        </w:rPr>
        <w:t> </w:t>
      </w:r>
      <w:hyperlink r:id="rId62" w:history="1">
        <w:r w:rsidRPr="00D81064">
          <w:rPr>
            <w:rStyle w:val="Hyperlink"/>
            <w:lang w:val="ru-RU"/>
          </w:rPr>
          <w:t>C26/100</w:t>
        </w:r>
      </w:hyperlink>
      <w:r w:rsidRPr="00D81064">
        <w:rPr>
          <w:lang w:val="ru-RU"/>
        </w:rPr>
        <w:t>;</w:t>
      </w:r>
      <w:hyperlink r:id="rId63" w:history="1"/>
      <w:hyperlink r:id="rId64" w:history="1"/>
    </w:p>
    <w:p w14:paraId="204163A7" w14:textId="5AB51B59" w:rsidR="00455636" w:rsidRPr="00D81064" w:rsidRDefault="00455636" w:rsidP="00455636">
      <w:pPr>
        <w:pStyle w:val="enumlev1"/>
        <w:pBdr>
          <w:top w:val="single" w:sz="4" w:space="1" w:color="auto"/>
          <w:left w:val="single" w:sz="4" w:space="4" w:color="auto"/>
          <w:bottom w:val="single" w:sz="4" w:space="1" w:color="auto"/>
          <w:right w:val="single" w:sz="4" w:space="4" w:color="auto"/>
        </w:pBdr>
        <w:rPr>
          <w:lang w:val="ru-RU"/>
        </w:rPr>
      </w:pPr>
      <w:r w:rsidRPr="00D81064">
        <w:rPr>
          <w:lang w:val="ru-RU"/>
        </w:rPr>
        <w:t>•</w:t>
      </w:r>
      <w:r w:rsidRPr="00D81064">
        <w:rPr>
          <w:lang w:val="ru-RU"/>
        </w:rPr>
        <w:tab/>
        <w:t xml:space="preserve">поручить РГС-ФЛР совместно с </w:t>
      </w:r>
      <w:r w:rsidR="00263248" w:rsidRPr="00D81064">
        <w:rPr>
          <w:lang w:val="ru-RU"/>
        </w:rPr>
        <w:t xml:space="preserve">Секретариатом </w:t>
      </w:r>
      <w:r w:rsidRPr="00D81064">
        <w:rPr>
          <w:lang w:val="ru-RU"/>
        </w:rPr>
        <w:t>продолжить разработку предлагаемой методики.</w:t>
      </w:r>
    </w:p>
    <w:p w14:paraId="1CA11737" w14:textId="6C903DE3" w:rsidR="001704CD" w:rsidRPr="00D81064" w:rsidRDefault="001704CD" w:rsidP="001704CD">
      <w:pPr>
        <w:pStyle w:val="Heading1"/>
        <w:rPr>
          <w:lang w:val="ru-RU"/>
        </w:rPr>
      </w:pPr>
      <w:r w:rsidRPr="00D81064">
        <w:rPr>
          <w:bCs/>
          <w:lang w:val="ru-RU"/>
        </w:rPr>
        <w:lastRenderedPageBreak/>
        <w:t>11</w:t>
      </w:r>
      <w:r w:rsidRPr="00D81064">
        <w:rPr>
          <w:lang w:val="ru-RU"/>
        </w:rPr>
        <w:tab/>
      </w:r>
      <w:r w:rsidRPr="00D81064">
        <w:rPr>
          <w:bCs/>
          <w:lang w:val="ru-RU"/>
        </w:rPr>
        <w:t xml:space="preserve">Обновленная информация об осуществлении стратегии МСЭ по мобилизации ресурсов (Документы </w:t>
      </w:r>
      <w:hyperlink r:id="rId65" w:history="1">
        <w:r w:rsidRPr="00D81064">
          <w:rPr>
            <w:rStyle w:val="Hyperlink"/>
            <w:bCs/>
            <w:lang w:val="ru-RU"/>
          </w:rPr>
          <w:t>C26/73</w:t>
        </w:r>
      </w:hyperlink>
      <w:r w:rsidRPr="00D81064">
        <w:rPr>
          <w:bCs/>
          <w:lang w:val="ru-RU"/>
        </w:rPr>
        <w:t xml:space="preserve"> и </w:t>
      </w:r>
      <w:hyperlink r:id="rId66" w:history="1">
        <w:r w:rsidRPr="00D81064">
          <w:rPr>
            <w:rStyle w:val="Hyperlink"/>
            <w:bCs/>
            <w:lang w:val="ru-RU"/>
          </w:rPr>
          <w:t>C26/INF/14</w:t>
        </w:r>
      </w:hyperlink>
      <w:r w:rsidRPr="00D81064">
        <w:rPr>
          <w:bCs/>
          <w:lang w:val="ru-RU"/>
        </w:rPr>
        <w:t>)</w:t>
      </w:r>
    </w:p>
    <w:p w14:paraId="6B046B8D" w14:textId="0D35F91E" w:rsidR="001704CD" w:rsidRPr="00D81064" w:rsidRDefault="001704CD" w:rsidP="001704CD">
      <w:pPr>
        <w:rPr>
          <w:lang w:val="ru-RU"/>
        </w:rPr>
      </w:pPr>
      <w:r w:rsidRPr="00D81064">
        <w:rPr>
          <w:lang w:val="ru-RU"/>
        </w:rPr>
        <w:t>11.1</w:t>
      </w:r>
      <w:r w:rsidRPr="00D81064">
        <w:rPr>
          <w:lang w:val="ru-RU"/>
        </w:rPr>
        <w:tab/>
        <w:t>Представитель Генерального секретариата представила Документ C26/73, в котором содержится обновленная информация о процессе осуществления стратегии МСЭ по мобилизации ресурсов со времени проведения Совета-25. Стратегия опирается на три основных направления: укрепление членского состава; эффективное использование мероприятий, продуктов и услуг; увеличение добровольных взносов. В соответствии с просьбой Совета-25 о подготовке дорожной карты для руководства процессом осуществления была разработана информационная панель для отслеживания прогресса и повышения прозрачности в отношении 24 направлений действий стратегии (см. Документ C26/INF/14).</w:t>
      </w:r>
    </w:p>
    <w:p w14:paraId="239EE082" w14:textId="1A8F6FAB" w:rsidR="001704CD" w:rsidRPr="00D81064" w:rsidRDefault="001704CD" w:rsidP="001704CD">
      <w:pPr>
        <w:rPr>
          <w:lang w:val="ru-RU"/>
        </w:rPr>
      </w:pPr>
      <w:r w:rsidRPr="00D81064">
        <w:rPr>
          <w:lang w:val="ru-RU"/>
        </w:rPr>
        <w:t>11.2</w:t>
      </w:r>
      <w:r w:rsidRPr="00D81064">
        <w:rPr>
          <w:lang w:val="ru-RU"/>
        </w:rPr>
        <w:tab/>
        <w:t xml:space="preserve">Отвечая на замечания и вопросы, она пояснила, что среди направлений деятельности приоритетное внимание уделялось обеспечению получения единиц взносов Государств-Членов, а также повышению вовлеченности Членов Секторов и увеличению доходов, которые в совокупности составляют около 80 процентов регулярного бюджета Союза; дорожная карта трансформации МСЭ служит средством реализации этих задач. Приоритеты будут приведены в соответствие со Стратегическим, Финансовым и Оперативным планами; осуществление будет продолжаться в тесном сотрудничестве с финансовой группой. Информация о ходе работы по всем направлениям деятельности будет отражаться на информационной панели, которая по просьбе ряда Советников будет дополнена новыми данными об анализе рисков. В отношении координаторов она пояснила, что осуществлению стратегии содействует </w:t>
      </w:r>
      <w:proofErr w:type="spellStart"/>
      <w:r w:rsidRPr="00D81064">
        <w:rPr>
          <w:lang w:val="ru-RU"/>
        </w:rPr>
        <w:t>межсекторальная</w:t>
      </w:r>
      <w:proofErr w:type="spellEnd"/>
      <w:r w:rsidRPr="00D81064">
        <w:rPr>
          <w:lang w:val="ru-RU"/>
        </w:rPr>
        <w:t xml:space="preserve"> группа по мобилизации ресурсов; работа по упорядочению усилий ведется во всех Секторах, Генеральном секретариате и отделениях на местах.</w:t>
      </w:r>
    </w:p>
    <w:p w14:paraId="21179E71" w14:textId="5859BEC0" w:rsidR="001704CD" w:rsidRPr="00D81064" w:rsidRDefault="001704CD" w:rsidP="001704CD">
      <w:pPr>
        <w:rPr>
          <w:lang w:val="ru-RU"/>
        </w:rPr>
      </w:pPr>
      <w:r w:rsidRPr="00D81064">
        <w:rPr>
          <w:lang w:val="ru-RU"/>
        </w:rPr>
        <w:t>11.3</w:t>
      </w:r>
      <w:r w:rsidRPr="00D81064">
        <w:rPr>
          <w:lang w:val="ru-RU"/>
        </w:rPr>
        <w:tab/>
        <w:t xml:space="preserve">Что касается просьбы о предоставлении новых материалов, таких как ценностные предложения и сводки по странам, для содействия расширению членского состава МСЭ, мобилизации ресурсов и укрепления влияния Союза были подготовлены презентации, посвященные членству в Секторах, а также электронная брошюра с обоснованием инвестиций под названием "Почему МСЭ важен: обоснование инвестиций, </w:t>
      </w:r>
      <w:proofErr w:type="gramStart"/>
      <w:r w:rsidRPr="00D81064">
        <w:rPr>
          <w:lang w:val="ru-RU"/>
        </w:rPr>
        <w:t>2028−2031</w:t>
      </w:r>
      <w:proofErr w:type="gramEnd"/>
      <w:r w:rsidRPr="00D81064">
        <w:rPr>
          <w:lang w:val="ru-RU"/>
        </w:rPr>
        <w:t xml:space="preserve"> годы". Государствам-Членам было настоятельно рекомендовано использовать такие материалы для оказания Союзу помощи в мобилизации ресурсов и расширении числа Членов Секторов, Ассоциированных членов и Академических организаций. Просьба предоставлять сводки по странам и материалы по конкретным регионам была принята к сведению. Информация о продуктах и услугах, в том числе публикациях, была добавлена на информационную панель. И наконец, продолжается работа по привлечению новых добровольных взносов и совершенствованию порядка их признания; на будущих сессиях Совета </w:t>
      </w:r>
      <w:r w:rsidR="0011317D" w:rsidRPr="00D81064">
        <w:rPr>
          <w:lang w:val="ru-RU"/>
        </w:rPr>
        <w:t xml:space="preserve">после ПК-26 </w:t>
      </w:r>
      <w:r w:rsidRPr="00D81064">
        <w:rPr>
          <w:lang w:val="ru-RU"/>
        </w:rPr>
        <w:t>будет представлен отчет о ходе работы на этом направлении.</w:t>
      </w:r>
    </w:p>
    <w:p w14:paraId="222605E8" w14:textId="183229E3" w:rsidR="001704CD" w:rsidRPr="00D81064" w:rsidRDefault="001704CD" w:rsidP="001704CD">
      <w:pPr>
        <w:rPr>
          <w:lang w:val="ru-RU"/>
        </w:rPr>
      </w:pPr>
      <w:r w:rsidRPr="00D81064">
        <w:rPr>
          <w:lang w:val="ru-RU"/>
        </w:rPr>
        <w:t>11.4</w:t>
      </w:r>
      <w:r w:rsidRPr="00D81064">
        <w:rPr>
          <w:lang w:val="ru-RU"/>
        </w:rPr>
        <w:tab/>
        <w:t>В отношении взносов Государств-Членов, которые составляют основу финансирования Союза, некоторые Советники отметили низкий процент ответов на Циркулярное письмо </w:t>
      </w:r>
      <w:hyperlink r:id="rId67" w:history="1">
        <w:r w:rsidRPr="00D81064">
          <w:rPr>
            <w:rStyle w:val="Hyperlink"/>
            <w:lang w:val="ru-RU"/>
          </w:rPr>
          <w:t>CL</w:t>
        </w:r>
        <w:r w:rsidRPr="00D81064">
          <w:rPr>
            <w:rStyle w:val="Hyperlink"/>
            <w:lang w:val="ru-RU"/>
          </w:rPr>
          <w:noBreakHyphen/>
          <w:t>25/36</w:t>
        </w:r>
      </w:hyperlink>
      <w:r w:rsidRPr="00D81064">
        <w:rPr>
          <w:lang w:val="ru-RU"/>
        </w:rPr>
        <w:t xml:space="preserve">, в котором Государствам-Членам предлагается увеличить свои единицы взносов, и призвали оценить текущую ситуацию, в том числе применительно к тем Государствам-Членам, которые еще не представили ответы. Один из Советников обратил внимание собравшихся на тот факт, что некоторые Государства-Члены заявили о намерении понизить уровень своих единиц взносов. Некоторые Советники отметили необходимость тщательного отслеживания выполнения обязательств Государствами-Членами, а также их коллективных усилий по укреплению существующей базы взносов, повышению ценности и значимости Союза и оказанию поддержки администрациям в обеспечении выполнения обязательств на национальном уровне. Один из Советников выразил обеспокоенность в связи с тем, что внимание обращается исключительно на обеспечение получения единиц взносов Государств-Членов, тогда как цель заключалась в диверсификации источников доходов Союза. Было бы полезно определить четкие сроки реализации всех 24 направлений деятельности. </w:t>
      </w:r>
      <w:r w:rsidRPr="00D81064">
        <w:rPr>
          <w:lang w:val="ru-RU"/>
        </w:rPr>
        <w:lastRenderedPageBreak/>
        <w:t xml:space="preserve">Другой Советник поинтересовался, каким образом </w:t>
      </w:r>
      <w:r w:rsidR="00373264" w:rsidRPr="00D81064">
        <w:rPr>
          <w:lang w:val="ru-RU"/>
        </w:rPr>
        <w:t xml:space="preserve">Секретариат </w:t>
      </w:r>
      <w:r w:rsidRPr="00D81064">
        <w:rPr>
          <w:lang w:val="ru-RU"/>
        </w:rPr>
        <w:t>планирует увеличить объем добровольных взносов.</w:t>
      </w:r>
    </w:p>
    <w:p w14:paraId="27BD593E" w14:textId="09859CDB" w:rsidR="001704CD" w:rsidRPr="00D81064" w:rsidRDefault="001704CD" w:rsidP="001704CD">
      <w:pPr>
        <w:rPr>
          <w:lang w:val="ru-RU"/>
        </w:rPr>
      </w:pPr>
      <w:r w:rsidRPr="00D81064">
        <w:rPr>
          <w:lang w:val="ru-RU"/>
        </w:rPr>
        <w:t>11.5</w:t>
      </w:r>
      <w:r w:rsidRPr="00D81064">
        <w:rPr>
          <w:lang w:val="ru-RU"/>
        </w:rPr>
        <w:tab/>
        <w:t>Некоторые Советники приветствовали деятельность по расширению членского состава Секторов, особенно в том, что касается в недостаточной степени представленных частей цифровой экосистемы и Членов Секторов, Ассоциированных членов и Академических организаций из непредставленных Государств-Членов. Увеличение числа членов Секторов не только позволит повысить доходы, но и откроет членам Союза доступ к информационным сетям, продуктам, услугам и разработкам МСЭ.</w:t>
      </w:r>
    </w:p>
    <w:p w14:paraId="26156FB3" w14:textId="0A80C20B" w:rsidR="001704CD" w:rsidRPr="00D81064" w:rsidRDefault="001704CD" w:rsidP="005F6F9D">
      <w:pPr>
        <w:rPr>
          <w:rFonts w:eastAsia="Calibri" w:cs="Calibri"/>
          <w:lang w:val="ru-RU"/>
        </w:rPr>
      </w:pPr>
      <w:r w:rsidRPr="00D81064">
        <w:rPr>
          <w:lang w:val="ru-RU"/>
        </w:rPr>
        <w:t>11.6</w:t>
      </w:r>
      <w:r w:rsidRPr="00D81064">
        <w:rPr>
          <w:lang w:val="ru-RU"/>
        </w:rPr>
        <w:tab/>
        <w:t>В отношении вопроса об эффективном использовании мероприятий, продуктов и услуг некоторые Советники заявили, что следует рассмотреть меры, которые дают четкие результаты и направлены на укрепление целевых партнерских отношений. Поступила просьба представить информацию о том, как определенные инициативы и оперативные группы, финансируемые из внешних источников, способствуют наращиванию мобилизации ресурсов. Один из Советников отметил, что группы и мероприятия Секторов, такие как исследовательские комиссии и семинары-практикумы, способствуют привлечению участников из отрасли и тем самым обеспечивают еще одну возможность для мобилизации ресурсов, которую можно использовать. В связи с этим было бы целесообразно включать в будущие отчеты информацию о вкладе Секторов в осуществление стратегии. Можно было бы рассмотреть вопрос о начале выпуска новых флагманских публикаций, учитывая успех МСЭ-R на данном направлении.</w:t>
      </w:r>
    </w:p>
    <w:p w14:paraId="1F6AE724" w14:textId="77777777" w:rsidR="001704CD" w:rsidRPr="00D81064" w:rsidRDefault="001704CD" w:rsidP="005F6F9D">
      <w:pPr>
        <w:rPr>
          <w:rFonts w:eastAsia="Calibri" w:cs="Calibri"/>
          <w:szCs w:val="24"/>
          <w:lang w:val="ru-RU"/>
        </w:rPr>
      </w:pPr>
      <w:r w:rsidRPr="00D81064">
        <w:rPr>
          <w:lang w:val="ru-RU"/>
        </w:rPr>
        <w:t>11.7</w:t>
      </w:r>
      <w:r w:rsidRPr="00D81064">
        <w:rPr>
          <w:lang w:val="ru-RU"/>
        </w:rPr>
        <w:tab/>
        <w:t xml:space="preserve">Комитет </w:t>
      </w:r>
      <w:r w:rsidRPr="00D81064">
        <w:rPr>
          <w:b/>
          <w:bCs/>
          <w:lang w:val="ru-RU"/>
        </w:rPr>
        <w:t>принял решение</w:t>
      </w:r>
      <w:r w:rsidRPr="00D81064">
        <w:rPr>
          <w:lang w:val="ru-RU"/>
        </w:rPr>
        <w:t xml:space="preserve"> сделать по данному вопросу следующее заключение:</w:t>
      </w:r>
    </w:p>
    <w:p w14:paraId="633223FF" w14:textId="77777777" w:rsidR="001704CD" w:rsidRPr="00D81064" w:rsidRDefault="001704CD" w:rsidP="00AC3268">
      <w:pPr>
        <w:keepNext/>
        <w:pBdr>
          <w:top w:val="single" w:sz="4" w:space="1" w:color="auto"/>
          <w:left w:val="single" w:sz="4" w:space="4" w:color="auto"/>
          <w:bottom w:val="single" w:sz="4" w:space="1" w:color="auto"/>
          <w:right w:val="single" w:sz="4" w:space="4" w:color="auto"/>
        </w:pBdr>
        <w:rPr>
          <w:rFonts w:eastAsia="Calibri" w:cs="Calibri"/>
          <w:lang w:val="ru-RU"/>
        </w:rPr>
      </w:pPr>
      <w:r w:rsidRPr="00D81064">
        <w:rPr>
          <w:lang w:val="ru-RU"/>
        </w:rPr>
        <w:t>11.8</w:t>
      </w:r>
      <w:r w:rsidRPr="00D81064">
        <w:rPr>
          <w:lang w:val="ru-RU"/>
        </w:rPr>
        <w:tab/>
        <w:t>Комитет рекомендует Совету:</w:t>
      </w:r>
    </w:p>
    <w:p w14:paraId="159BD843" w14:textId="047E2CFD" w:rsidR="001704CD" w:rsidRPr="00D81064" w:rsidRDefault="001704CD" w:rsidP="00AC3268">
      <w:pPr>
        <w:pStyle w:val="enumlev1"/>
        <w:keepNext/>
        <w:pBdr>
          <w:top w:val="single" w:sz="4" w:space="1" w:color="auto"/>
          <w:left w:val="single" w:sz="4" w:space="4" w:color="auto"/>
          <w:bottom w:val="single" w:sz="4" w:space="1" w:color="auto"/>
          <w:right w:val="single" w:sz="4" w:space="4" w:color="auto"/>
        </w:pBdr>
        <w:rPr>
          <w:rFonts w:eastAsia="Calibri" w:cs="Calibri"/>
          <w:lang w:val="ru-RU"/>
        </w:rPr>
      </w:pPr>
      <w:r w:rsidRPr="00D81064">
        <w:rPr>
          <w:rFonts w:eastAsia="Calibri" w:cs="Calibri"/>
          <w:lang w:val="ru-RU"/>
        </w:rPr>
        <w:t>•</w:t>
      </w:r>
      <w:r w:rsidRPr="00D81064">
        <w:rPr>
          <w:lang w:val="ru-RU"/>
        </w:rPr>
        <w:tab/>
        <w:t xml:space="preserve">принять к сведению обновленную информацию, содержащуюся в Документе </w:t>
      </w:r>
      <w:hyperlink r:id="rId68" w:history="1">
        <w:r w:rsidRPr="00D81064">
          <w:rPr>
            <w:rStyle w:val="Hyperlink"/>
            <w:lang w:val="ru-RU"/>
          </w:rPr>
          <w:t>C26/73</w:t>
        </w:r>
      </w:hyperlink>
      <w:r w:rsidRPr="00D81064">
        <w:rPr>
          <w:lang w:val="ru-RU"/>
        </w:rPr>
        <w:t xml:space="preserve">, и информационную панель, представленную в Документе </w:t>
      </w:r>
      <w:hyperlink r:id="rId69" w:history="1">
        <w:r w:rsidRPr="00D81064">
          <w:rPr>
            <w:rStyle w:val="Hyperlink"/>
            <w:lang w:val="ru-RU"/>
          </w:rPr>
          <w:t>C26/INF/14</w:t>
        </w:r>
      </w:hyperlink>
      <w:r w:rsidRPr="00D81064">
        <w:rPr>
          <w:lang w:val="ru-RU"/>
        </w:rPr>
        <w:t>;</w:t>
      </w:r>
    </w:p>
    <w:p w14:paraId="16C44807" w14:textId="6D64A448" w:rsidR="001704CD" w:rsidRPr="00D81064" w:rsidRDefault="001704CD" w:rsidP="001704CD">
      <w:pPr>
        <w:pStyle w:val="enumlev1"/>
        <w:pBdr>
          <w:top w:val="single" w:sz="4" w:space="1" w:color="auto"/>
          <w:left w:val="single" w:sz="4" w:space="4" w:color="auto"/>
          <w:bottom w:val="single" w:sz="4" w:space="1" w:color="auto"/>
          <w:right w:val="single" w:sz="4" w:space="4" w:color="auto"/>
        </w:pBdr>
        <w:rPr>
          <w:lang w:val="ru-RU"/>
        </w:rPr>
      </w:pPr>
      <w:r w:rsidRPr="00D81064">
        <w:rPr>
          <w:rFonts w:eastAsia="Calibri" w:cs="Calibri"/>
          <w:lang w:val="ru-RU"/>
        </w:rPr>
        <w:t>•</w:t>
      </w:r>
      <w:r w:rsidRPr="00D81064">
        <w:rPr>
          <w:lang w:val="ru-RU"/>
        </w:rPr>
        <w:tab/>
        <w:t xml:space="preserve">предложить </w:t>
      </w:r>
      <w:r w:rsidR="00373264" w:rsidRPr="00D81064">
        <w:rPr>
          <w:lang w:val="ru-RU"/>
        </w:rPr>
        <w:t xml:space="preserve">Секретариату </w:t>
      </w:r>
      <w:r w:rsidRPr="00D81064">
        <w:rPr>
          <w:lang w:val="ru-RU"/>
        </w:rPr>
        <w:t>продолжить осуществление стратегии МСЭ по мобилизации ресурсов с учетом отзывов, поступивших от Государств-Членов, и представить Совету отчет о ходе работы.</w:t>
      </w:r>
    </w:p>
    <w:p w14:paraId="26448482" w14:textId="2FD63190" w:rsidR="005738A6" w:rsidRPr="00D81064" w:rsidRDefault="005738A6" w:rsidP="005738A6">
      <w:pPr>
        <w:pStyle w:val="Heading1"/>
        <w:rPr>
          <w:lang w:val="ru-RU"/>
        </w:rPr>
      </w:pPr>
      <w:r w:rsidRPr="00D81064">
        <w:rPr>
          <w:bCs/>
          <w:lang w:val="ru-RU"/>
        </w:rPr>
        <w:t>12</w:t>
      </w:r>
      <w:r w:rsidRPr="00D81064">
        <w:rPr>
          <w:lang w:val="ru-RU"/>
        </w:rPr>
        <w:tab/>
        <w:t>Задолженности</w:t>
      </w:r>
      <w:r w:rsidRPr="00D81064">
        <w:rPr>
          <w:bCs/>
          <w:lang w:val="ru-RU"/>
        </w:rPr>
        <w:t xml:space="preserve"> и специальные счета задолженностей (Документ </w:t>
      </w:r>
      <w:hyperlink r:id="rId70" w:history="1">
        <w:r w:rsidRPr="00D81064">
          <w:rPr>
            <w:rStyle w:val="Hyperlink"/>
            <w:lang w:val="ru-RU"/>
          </w:rPr>
          <w:t>C26/11(Rev.1)</w:t>
        </w:r>
      </w:hyperlink>
      <w:r w:rsidRPr="00D81064">
        <w:rPr>
          <w:lang w:val="ru-RU"/>
        </w:rPr>
        <w:t>)</w:t>
      </w:r>
      <w:hyperlink r:id="rId71" w:history="1"/>
    </w:p>
    <w:p w14:paraId="2D9C2E51" w14:textId="3809CD08" w:rsidR="005738A6" w:rsidRPr="00D81064" w:rsidRDefault="005738A6" w:rsidP="005738A6">
      <w:pPr>
        <w:rPr>
          <w:rFonts w:cs="Calibri"/>
          <w:lang w:val="ru-RU"/>
        </w:rPr>
      </w:pPr>
      <w:r w:rsidRPr="00D81064">
        <w:rPr>
          <w:lang w:val="ru-RU"/>
        </w:rPr>
        <w:t>12.1</w:t>
      </w:r>
      <w:r w:rsidRPr="00D81064">
        <w:rPr>
          <w:lang w:val="ru-RU"/>
        </w:rPr>
        <w:tab/>
        <w:t>Руководитель FRMD представил Совету ежегодный отчет, содержащийся в Документе C26/11(Rev.1), в котором сообщается о принятых мерах и прогрессе, достигнутом в отношении погашения задолженностей Государств-Членов, Членов Секторов, Ассоциированных членов и Академических организаций, задержавших уплату своего взноса или имеющих специальные счета задолженностей. Он сообщил, что общая сумма задолженностей и специальных счетов задолженностей сократилась на 6 процентов с 2018 года и по состоянию на 31 декабря 2025 года составила 37,3 </w:t>
      </w:r>
      <w:proofErr w:type="gramStart"/>
      <w:r w:rsidRPr="00D81064">
        <w:rPr>
          <w:lang w:val="ru-RU"/>
        </w:rPr>
        <w:t>млн.</w:t>
      </w:r>
      <w:proofErr w:type="gramEnd"/>
      <w:r w:rsidRPr="00D81064">
        <w:rPr>
          <w:lang w:val="ru-RU"/>
        </w:rPr>
        <w:t xml:space="preserve"> швейцарских франков. Совету было предложено уполномочить Генерального секретаря списать проценты по задолженностям и безнадежные долги на общую сумму 566 815,60 швейцарского франка в соответствии с руководящими указаниями, установленными Советом в 1999 году, за счет изъятия соответствующей суммы из Резерва для счетов должников. Он поблагодарил те Государства-Члены, которые в последние годы оказывали </w:t>
      </w:r>
      <w:r w:rsidR="00373264" w:rsidRPr="00D81064">
        <w:rPr>
          <w:lang w:val="ru-RU"/>
        </w:rPr>
        <w:t xml:space="preserve">Секретариату </w:t>
      </w:r>
      <w:r w:rsidRPr="00D81064">
        <w:rPr>
          <w:lang w:val="ru-RU"/>
        </w:rPr>
        <w:t>помощь во взыскании долгов, и призвал другие государства принять аналогичные меры.</w:t>
      </w:r>
    </w:p>
    <w:p w14:paraId="5BA9B104" w14:textId="7568A79B" w:rsidR="005738A6" w:rsidRPr="00D81064" w:rsidRDefault="005738A6" w:rsidP="005738A6">
      <w:pPr>
        <w:rPr>
          <w:rFonts w:cs="Calibri"/>
          <w:lang w:val="ru-RU"/>
        </w:rPr>
      </w:pPr>
      <w:r w:rsidRPr="00D81064">
        <w:rPr>
          <w:lang w:val="ru-RU"/>
        </w:rPr>
        <w:t>12.2</w:t>
      </w:r>
      <w:r w:rsidRPr="00D81064">
        <w:rPr>
          <w:lang w:val="ru-RU"/>
        </w:rPr>
        <w:tab/>
        <w:t>Отвечая на вопросы, он пояснил, что в соответствии с Резолюциями 41 (</w:t>
      </w:r>
      <w:proofErr w:type="spellStart"/>
      <w:r w:rsidRPr="00D81064">
        <w:rPr>
          <w:lang w:val="ru-RU"/>
        </w:rPr>
        <w:t>Пересм</w:t>
      </w:r>
      <w:proofErr w:type="spellEnd"/>
      <w:r w:rsidRPr="00D81064">
        <w:rPr>
          <w:lang w:val="ru-RU"/>
        </w:rPr>
        <w:t>. Дубай, 2018 г.) и 152 (</w:t>
      </w:r>
      <w:proofErr w:type="spellStart"/>
      <w:r w:rsidRPr="00D81064">
        <w:rPr>
          <w:lang w:val="ru-RU"/>
        </w:rPr>
        <w:t>Пересм</w:t>
      </w:r>
      <w:proofErr w:type="spellEnd"/>
      <w:r w:rsidRPr="00D81064">
        <w:rPr>
          <w:lang w:val="ru-RU"/>
        </w:rPr>
        <w:t xml:space="preserve">. Пусан, 2014 г.) Полномочной конференции Генеральный секретарь обладает определенной гибкостью при обсуждении соглашений о погашении задолженности. В случае Государств-Членов это означает учет ситуации в соответствующей стране; руководящие указания Совета 1999 года содержат положения о более долгосрочных планах </w:t>
      </w:r>
      <w:r w:rsidRPr="00D81064">
        <w:rPr>
          <w:lang w:val="ru-RU"/>
        </w:rPr>
        <w:lastRenderedPageBreak/>
        <w:t>платежей для развивающихся и наименее развитых стран. В то же время, если Члены Секторов и Ассоциированные члены не уплачивают свои взносы в установленные сроки, они рискуют быть исключенными из участия в работе соответствующего Сектора и, в конечном счете, лишиться членства в Союзе. Члены Сектора обязаны уведомить о своем намерении выйти из Сектора за шесть месяцев до этого и выплатить свои взносы на пропорциональной основе. Долги продолжают учитываться до тех пор, пока Союз не получает уведомления о том, что Член Сектора или Ассоциированный член прекратил свою деятельность; после этого долг становится безнадежным, и принимаются надлежащие меры в соответствии с</w:t>
      </w:r>
      <w:r w:rsidR="00CF473E" w:rsidRPr="00D81064">
        <w:rPr>
          <w:lang w:val="ru-RU"/>
        </w:rPr>
        <w:t xml:space="preserve"> Международными стандартами финансовой отчетности для общественного сектора (IPSAS).</w:t>
      </w:r>
    </w:p>
    <w:p w14:paraId="17F8CD42" w14:textId="68130D0C" w:rsidR="005738A6" w:rsidRPr="00D81064" w:rsidRDefault="005738A6" w:rsidP="005738A6">
      <w:pPr>
        <w:rPr>
          <w:rFonts w:eastAsia="Calibri" w:cs="Calibri"/>
          <w:lang w:val="ru-RU"/>
        </w:rPr>
      </w:pPr>
      <w:r w:rsidRPr="00D81064">
        <w:rPr>
          <w:lang w:val="ru-RU"/>
        </w:rPr>
        <w:t>12.3</w:t>
      </w:r>
      <w:r w:rsidRPr="00D81064">
        <w:rPr>
          <w:lang w:val="ru-RU"/>
        </w:rPr>
        <w:tab/>
        <w:t xml:space="preserve">Советники высоко оценили усилия </w:t>
      </w:r>
      <w:r w:rsidR="00373264" w:rsidRPr="00D81064">
        <w:rPr>
          <w:lang w:val="ru-RU"/>
        </w:rPr>
        <w:t xml:space="preserve">Секретариата </w:t>
      </w:r>
      <w:r w:rsidRPr="00D81064">
        <w:rPr>
          <w:lang w:val="ru-RU"/>
        </w:rPr>
        <w:t xml:space="preserve">по взысканию задолженностей и увеличение показателя возмещения до 21 процента. Тем не менее несколько Советников выразили обеспокоенность, в том числе в связи с объемом задолженности, который несколько увеличился по сравнению с 2024 годом, а также в связи с расторжением ряда соглашений о погашении задолженности. Некоторые Советники подчеркнули необходимость укрепления механизмов погашения задолженностей и обеспечения более эффективных механизмов правоприменения; другие отметили важность сохранения гибкого подхода с учетом реалий развивающихся стран и тех стран, которые сталкиваются с реальными трудностями. Некоторые Советники высказали мнение, что анализ существующих проблем, включая оценку того, в какой степени задолженность относится к недействующим или бывшим Членам Секторов, Ассоциированным членам или Академическим организациям, а также любые рекомендации </w:t>
      </w:r>
      <w:r w:rsidR="00373264" w:rsidRPr="00D81064">
        <w:rPr>
          <w:lang w:val="ru-RU"/>
        </w:rPr>
        <w:t xml:space="preserve">Секретариата </w:t>
      </w:r>
      <w:r w:rsidRPr="00D81064">
        <w:rPr>
          <w:lang w:val="ru-RU"/>
        </w:rPr>
        <w:t>были бы полезны для выявления системных проблем в области соблюдения финансовых требований и определения возможных путей активизации работы по вопросам задолженностей, планов погашения и безнадежных долгов, которые Полномочная конференция могла бы рассмотреть в связи с Резолюциями 41 (</w:t>
      </w:r>
      <w:proofErr w:type="spellStart"/>
      <w:r w:rsidRPr="00D81064">
        <w:rPr>
          <w:lang w:val="ru-RU"/>
        </w:rPr>
        <w:t>Пересм</w:t>
      </w:r>
      <w:proofErr w:type="spellEnd"/>
      <w:r w:rsidRPr="00D81064">
        <w:rPr>
          <w:lang w:val="ru-RU"/>
        </w:rPr>
        <w:t>. Дубай, 2018 г.) и 152 (</w:t>
      </w:r>
      <w:proofErr w:type="spellStart"/>
      <w:r w:rsidRPr="00D81064">
        <w:rPr>
          <w:lang w:val="ru-RU"/>
        </w:rPr>
        <w:t>Пересм</w:t>
      </w:r>
      <w:proofErr w:type="spellEnd"/>
      <w:r w:rsidRPr="00D81064">
        <w:rPr>
          <w:lang w:val="ru-RU"/>
        </w:rPr>
        <w:t>. Пусан, 2014 г.).</w:t>
      </w:r>
    </w:p>
    <w:p w14:paraId="3EE7188C" w14:textId="77777777" w:rsidR="005738A6" w:rsidRPr="00D81064" w:rsidRDefault="005738A6" w:rsidP="005738A6">
      <w:pPr>
        <w:rPr>
          <w:rFonts w:eastAsia="Calibri" w:cs="Calibri"/>
          <w:szCs w:val="24"/>
          <w:lang w:val="ru-RU"/>
        </w:rPr>
      </w:pPr>
      <w:r w:rsidRPr="00D81064">
        <w:rPr>
          <w:lang w:val="ru-RU"/>
        </w:rPr>
        <w:t>12.4</w:t>
      </w:r>
      <w:r w:rsidRPr="00D81064">
        <w:rPr>
          <w:lang w:val="ru-RU"/>
        </w:rPr>
        <w:tab/>
        <w:t xml:space="preserve">Комитет </w:t>
      </w:r>
      <w:r w:rsidRPr="00D81064">
        <w:rPr>
          <w:b/>
          <w:bCs/>
          <w:lang w:val="ru-RU"/>
        </w:rPr>
        <w:t>принял решение</w:t>
      </w:r>
      <w:r w:rsidRPr="00D81064">
        <w:rPr>
          <w:lang w:val="ru-RU"/>
        </w:rPr>
        <w:t xml:space="preserve"> сделать по данному вопросу следующее заключение:</w:t>
      </w:r>
    </w:p>
    <w:p w14:paraId="42A575D8" w14:textId="77777777" w:rsidR="005738A6" w:rsidRPr="00D81064" w:rsidRDefault="005738A6" w:rsidP="00AC3268">
      <w:pPr>
        <w:keepNext/>
        <w:pBdr>
          <w:top w:val="single" w:sz="4" w:space="1" w:color="auto"/>
          <w:left w:val="single" w:sz="4" w:space="4" w:color="auto"/>
          <w:bottom w:val="single" w:sz="4" w:space="1" w:color="auto"/>
          <w:right w:val="single" w:sz="4" w:space="4" w:color="auto"/>
        </w:pBdr>
        <w:rPr>
          <w:lang w:val="ru-RU"/>
        </w:rPr>
      </w:pPr>
      <w:r w:rsidRPr="00D81064">
        <w:rPr>
          <w:lang w:val="ru-RU"/>
        </w:rPr>
        <w:t>12.5</w:t>
      </w:r>
      <w:r w:rsidRPr="00D81064">
        <w:rPr>
          <w:lang w:val="ru-RU"/>
        </w:rPr>
        <w:tab/>
        <w:t>Комитет рекомендует Совету:</w:t>
      </w:r>
    </w:p>
    <w:p w14:paraId="60A6C824" w14:textId="77777777" w:rsidR="005738A6" w:rsidRPr="00D81064" w:rsidRDefault="005738A6" w:rsidP="00AC3268">
      <w:pPr>
        <w:pStyle w:val="enumlev1"/>
        <w:keepNext/>
        <w:pBdr>
          <w:top w:val="single" w:sz="4" w:space="1" w:color="auto"/>
          <w:left w:val="single" w:sz="4" w:space="4" w:color="auto"/>
          <w:bottom w:val="single" w:sz="4" w:space="1" w:color="auto"/>
          <w:right w:val="single" w:sz="4" w:space="4" w:color="auto"/>
        </w:pBdr>
        <w:rPr>
          <w:lang w:val="ru-RU"/>
        </w:rPr>
      </w:pPr>
      <w:r w:rsidRPr="00D81064">
        <w:rPr>
          <w:lang w:val="ru-RU"/>
        </w:rPr>
        <w:t>•</w:t>
      </w:r>
      <w:r w:rsidRPr="00D81064">
        <w:rPr>
          <w:lang w:val="ru-RU"/>
        </w:rPr>
        <w:tab/>
        <w:t xml:space="preserve">принять к сведению отчет, содержащийся в Документе </w:t>
      </w:r>
      <w:hyperlink r:id="rId72" w:history="1">
        <w:r w:rsidRPr="00D81064">
          <w:rPr>
            <w:rStyle w:val="Hyperlink"/>
            <w:rFonts w:cs="Calibri"/>
            <w:lang w:val="ru-RU"/>
          </w:rPr>
          <w:t>C26/11(Rev.1)</w:t>
        </w:r>
      </w:hyperlink>
      <w:r w:rsidRPr="00D81064">
        <w:rPr>
          <w:lang w:val="ru-RU"/>
        </w:rPr>
        <w:t>;</w:t>
      </w:r>
      <w:hyperlink r:id="rId73" w:history="1"/>
    </w:p>
    <w:p w14:paraId="795903C3" w14:textId="49EF7AF9" w:rsidR="005738A6" w:rsidRPr="00D81064" w:rsidRDefault="005738A6" w:rsidP="00AC3268">
      <w:pPr>
        <w:pStyle w:val="enumlev1"/>
        <w:keepNext/>
        <w:pBdr>
          <w:top w:val="single" w:sz="4" w:space="1" w:color="auto"/>
          <w:left w:val="single" w:sz="4" w:space="4" w:color="auto"/>
          <w:bottom w:val="single" w:sz="4" w:space="1" w:color="auto"/>
          <w:right w:val="single" w:sz="4" w:space="4" w:color="auto"/>
        </w:pBdr>
        <w:rPr>
          <w:lang w:val="ru-RU"/>
        </w:rPr>
      </w:pPr>
      <w:r w:rsidRPr="00D81064">
        <w:rPr>
          <w:lang w:val="ru-RU"/>
        </w:rPr>
        <w:t>•</w:t>
      </w:r>
      <w:r w:rsidRPr="00D81064">
        <w:rPr>
          <w:lang w:val="ru-RU"/>
        </w:rPr>
        <w:tab/>
        <w:t>уполномочить Генерального секретаря списать проценты по задолженностям и безнадежные долги на сумму 566 815,60 швейцарского франка;</w:t>
      </w:r>
    </w:p>
    <w:p w14:paraId="507ACC33" w14:textId="148B89D6" w:rsidR="00281713" w:rsidRPr="00D81064" w:rsidRDefault="00281713" w:rsidP="00AC3268">
      <w:pPr>
        <w:pStyle w:val="enumlev1"/>
        <w:keepNext/>
        <w:pBdr>
          <w:top w:val="single" w:sz="4" w:space="1" w:color="auto"/>
          <w:left w:val="single" w:sz="4" w:space="4" w:color="auto"/>
          <w:bottom w:val="single" w:sz="4" w:space="1" w:color="auto"/>
          <w:right w:val="single" w:sz="4" w:space="4" w:color="auto"/>
        </w:pBdr>
        <w:rPr>
          <w:lang w:val="ru-RU"/>
        </w:rPr>
      </w:pPr>
      <w:r w:rsidRPr="00D81064">
        <w:rPr>
          <w:lang w:val="ru-RU"/>
        </w:rPr>
        <w:t>•</w:t>
      </w:r>
      <w:r w:rsidRPr="00D81064">
        <w:rPr>
          <w:lang w:val="ru-RU"/>
        </w:rPr>
        <w:tab/>
        <w:t xml:space="preserve">поручить </w:t>
      </w:r>
      <w:r w:rsidR="001C42DB" w:rsidRPr="00D81064">
        <w:rPr>
          <w:lang w:val="ru-RU"/>
        </w:rPr>
        <w:t xml:space="preserve">Секретариату </w:t>
      </w:r>
      <w:r w:rsidRPr="00D81064">
        <w:rPr>
          <w:lang w:val="ru-RU"/>
        </w:rPr>
        <w:t>включить в свой отчет Полномочной конференции (Доха, 2026</w:t>
      </w:r>
      <w:r w:rsidR="001C42DB" w:rsidRPr="00D81064">
        <w:rPr>
          <w:lang w:val="ru-RU"/>
        </w:rPr>
        <w:t> </w:t>
      </w:r>
      <w:r w:rsidRPr="00D81064">
        <w:rPr>
          <w:lang w:val="ru-RU"/>
        </w:rPr>
        <w:t>г.) о положении дел с задолженностями анализ текущих проблем и представить рекомендации по путям укрепления усилий в этом направлении;</w:t>
      </w:r>
    </w:p>
    <w:p w14:paraId="66F24540" w14:textId="74344E7B" w:rsidR="005738A6" w:rsidRPr="00D81064" w:rsidRDefault="005738A6" w:rsidP="005738A6">
      <w:pPr>
        <w:pStyle w:val="enumlev1"/>
        <w:pBdr>
          <w:top w:val="single" w:sz="4" w:space="1" w:color="auto"/>
          <w:left w:val="single" w:sz="4" w:space="4" w:color="auto"/>
          <w:bottom w:val="single" w:sz="4" w:space="1" w:color="auto"/>
          <w:right w:val="single" w:sz="4" w:space="4" w:color="auto"/>
        </w:pBdr>
        <w:rPr>
          <w:lang w:val="ru-RU"/>
        </w:rPr>
      </w:pPr>
      <w:r w:rsidRPr="00D81064">
        <w:rPr>
          <w:lang w:val="ru-RU"/>
        </w:rPr>
        <w:t>•</w:t>
      </w:r>
      <w:r w:rsidRPr="00D81064">
        <w:rPr>
          <w:lang w:val="ru-RU"/>
        </w:rPr>
        <w:tab/>
        <w:t xml:space="preserve">принять проект Решения, содержащийся в </w:t>
      </w:r>
      <w:hyperlink w:anchor="AnnexB" w:history="1">
        <w:r w:rsidRPr="00D81064">
          <w:rPr>
            <w:rStyle w:val="Hyperlink"/>
            <w:rFonts w:cs="Calibri"/>
            <w:b/>
            <w:bCs/>
            <w:lang w:val="ru-RU"/>
          </w:rPr>
          <w:t xml:space="preserve">Приложении </w:t>
        </w:r>
        <w:r w:rsidR="008F1A7E" w:rsidRPr="00D81064">
          <w:rPr>
            <w:rStyle w:val="Hyperlink"/>
            <w:rFonts w:cs="Calibri"/>
            <w:b/>
            <w:bCs/>
            <w:lang w:val="ru-RU"/>
          </w:rPr>
          <w:t>B</w:t>
        </w:r>
      </w:hyperlink>
      <w:r w:rsidRPr="00D81064">
        <w:rPr>
          <w:lang w:val="ru-RU"/>
        </w:rPr>
        <w:t xml:space="preserve"> к настоящему отчету.</w:t>
      </w:r>
      <w:hyperlink w:anchor="Annex_A" w:history="1"/>
    </w:p>
    <w:p w14:paraId="1AB64139" w14:textId="77777777" w:rsidR="00DC7DF5" w:rsidRPr="00D81064" w:rsidRDefault="00DC7DF5" w:rsidP="00DC7DF5">
      <w:pPr>
        <w:pStyle w:val="Heading1"/>
        <w:rPr>
          <w:lang w:val="ru-RU"/>
        </w:rPr>
      </w:pPr>
      <w:r w:rsidRPr="00D81064">
        <w:rPr>
          <w:bCs/>
          <w:lang w:val="ru-RU"/>
        </w:rPr>
        <w:t>13</w:t>
      </w:r>
      <w:r w:rsidRPr="00D81064">
        <w:rPr>
          <w:lang w:val="ru-RU"/>
        </w:rPr>
        <w:tab/>
        <w:t xml:space="preserve">Отчет о ходе выполнения Решений 600 (С17) и 601 (С17) Совета (Документ </w:t>
      </w:r>
      <w:hyperlink r:id="rId74" w:history="1">
        <w:r w:rsidRPr="00D81064">
          <w:rPr>
            <w:rStyle w:val="Hyperlink"/>
            <w:bCs/>
            <w:lang w:val="ru-RU"/>
          </w:rPr>
          <w:t>C26/</w:t>
        </w:r>
        <w:r w:rsidRPr="00D81064">
          <w:rPr>
            <w:rStyle w:val="Hyperlink"/>
            <w:lang w:val="ru-RU"/>
          </w:rPr>
          <w:t>38</w:t>
        </w:r>
      </w:hyperlink>
      <w:r w:rsidRPr="00D81064">
        <w:rPr>
          <w:lang w:val="ru-RU"/>
        </w:rPr>
        <w:t>)</w:t>
      </w:r>
      <w:hyperlink r:id="rId75" w:history="1"/>
    </w:p>
    <w:p w14:paraId="5CF0F2DC" w14:textId="18EB1D7F" w:rsidR="00DC7DF5" w:rsidRPr="00D81064" w:rsidRDefault="00DC7DF5" w:rsidP="00DC7DF5">
      <w:pPr>
        <w:rPr>
          <w:rFonts w:cs="Calibri"/>
          <w:lang w:val="ru-RU"/>
        </w:rPr>
      </w:pPr>
      <w:r w:rsidRPr="00D81064">
        <w:rPr>
          <w:lang w:val="ru-RU"/>
        </w:rPr>
        <w:t>13.1</w:t>
      </w:r>
      <w:r w:rsidRPr="00D81064">
        <w:rPr>
          <w:lang w:val="ru-RU"/>
        </w:rPr>
        <w:tab/>
        <w:t>Заместитель Директора Бюро стандартизации электросвязи (БСЭ) представил Документ C26/38, в котором содержится отчет о ходе выполнения Решений 600 (C17) и 601 (C17), касающихся универсальных номеров международной услуги бесплатного вызова (UIFN) и идентификационных номеров эмитентов (IIN), соответственно, а также рекомендация Совету рассмотреть вопрос об аннулировании Решения 601 (C17). Он пояснил, что система UIFN по</w:t>
      </w:r>
      <w:r w:rsidRPr="00D81064">
        <w:rPr>
          <w:lang w:val="ru-RU"/>
        </w:rPr>
        <w:noBreakHyphen/>
        <w:t xml:space="preserve">прежнему стабильна, сохраняет свою актуальность, финансово устойчива и приносит с 2018 года ежегодный доход в размере около 235 000 швейцарских франков; вместе с тем использование механизма IIN в отрасли неуклонно сокращается, и среднегодовой доход не покрывает соответствующих затрат на техническое обслуживание. Кроме того, Решение 601 утратило свою актуальность в связи с техническими разработками Сектора стандартизации электросвязи (МСЭ-Т): в результате пересмотра 2-й Исследовательской комиссией МСЭ-Т </w:t>
      </w:r>
      <w:r w:rsidRPr="00D81064">
        <w:rPr>
          <w:lang w:val="ru-RU"/>
        </w:rPr>
        <w:lastRenderedPageBreak/>
        <w:t xml:space="preserve">положений Рекомендации МСЭ-Т E.118 функция регистратора IIN и лежащая в ее основе система стандартов были полностью упразднены. Сохранение Решения 601 (C17) в настоящее время представляет собой административное бремя, которое не приносит значимой пользы членам и не отражает реалии рынка. </w:t>
      </w:r>
    </w:p>
    <w:p w14:paraId="22A1C2E2" w14:textId="0C6B95AF" w:rsidR="00DC7DF5" w:rsidRPr="00D81064" w:rsidRDefault="00DC7DF5" w:rsidP="00DC7DF5">
      <w:pPr>
        <w:rPr>
          <w:rFonts w:eastAsia="Calibri" w:cs="Calibri"/>
          <w:lang w:val="ru-RU"/>
        </w:rPr>
      </w:pPr>
      <w:r w:rsidRPr="00D81064">
        <w:rPr>
          <w:lang w:val="ru-RU"/>
        </w:rPr>
        <w:t>13.2</w:t>
      </w:r>
      <w:r w:rsidRPr="00D81064">
        <w:rPr>
          <w:lang w:val="ru-RU"/>
        </w:rPr>
        <w:tab/>
        <w:t xml:space="preserve">В ходе последовавшего обсуждения Советники и один из наблюдателей согласились с тем, что с учетом представленного обоснования будет целесообразно аннулировать Решение 601 (C17). Один из Советников призвал сохранять прозрачность в отношении совокупного эффекта от прекращения поступления доходов; другой Советник предложил, чтобы 2-я Исследовательская комиссия рассматривала распределение ресурсов нумерации в координации с Государствами-Членами, Членами Секторов, Ассоциированными членами или другими объединениями в качестве способа увеличения членского состава МСЭ и содействия финансовой устойчивости Союза. Несколько Советников отметили не уплаченные поставщиками услуг UIFN суммы по счетам, перечисленные в Приложении к Документу C26/38, и настоятельно рекомендовали </w:t>
      </w:r>
      <w:r w:rsidR="00373264" w:rsidRPr="00D81064">
        <w:rPr>
          <w:lang w:val="ru-RU"/>
        </w:rPr>
        <w:t xml:space="preserve">Секретариату </w:t>
      </w:r>
      <w:r w:rsidRPr="00D81064">
        <w:rPr>
          <w:lang w:val="ru-RU"/>
        </w:rPr>
        <w:t>активизировать усилия по взысканию этой непогашенной задолженности в сотрудничестве с Государствами-Членами.</w:t>
      </w:r>
    </w:p>
    <w:p w14:paraId="32BE0D3A" w14:textId="77777777" w:rsidR="00DC7DF5" w:rsidRPr="00D81064" w:rsidRDefault="00DC7DF5" w:rsidP="00DC7DF5">
      <w:pPr>
        <w:rPr>
          <w:rFonts w:eastAsia="Calibri" w:cs="Calibri"/>
          <w:szCs w:val="24"/>
          <w:lang w:val="ru-RU"/>
        </w:rPr>
      </w:pPr>
      <w:r w:rsidRPr="00D81064">
        <w:rPr>
          <w:lang w:val="ru-RU"/>
        </w:rPr>
        <w:t>13.3</w:t>
      </w:r>
      <w:r w:rsidRPr="00D81064">
        <w:rPr>
          <w:lang w:val="ru-RU"/>
        </w:rPr>
        <w:tab/>
        <w:t xml:space="preserve">Комитет </w:t>
      </w:r>
      <w:r w:rsidRPr="00D81064">
        <w:rPr>
          <w:b/>
          <w:bCs/>
          <w:lang w:val="ru-RU"/>
        </w:rPr>
        <w:t>принял решение</w:t>
      </w:r>
      <w:r w:rsidRPr="00D81064">
        <w:rPr>
          <w:lang w:val="ru-RU"/>
        </w:rPr>
        <w:t xml:space="preserve"> сделать по данному вопросу следующее заключение:</w:t>
      </w:r>
    </w:p>
    <w:p w14:paraId="400E3B98" w14:textId="4F405337" w:rsidR="00DC7DF5" w:rsidRPr="00D81064" w:rsidRDefault="00DC7DF5" w:rsidP="00AC3268">
      <w:pPr>
        <w:keepNext/>
        <w:pBdr>
          <w:top w:val="single" w:sz="4" w:space="1" w:color="auto"/>
          <w:left w:val="single" w:sz="4" w:space="4" w:color="auto"/>
          <w:bottom w:val="single" w:sz="4" w:space="1" w:color="auto"/>
          <w:right w:val="single" w:sz="4" w:space="4" w:color="auto"/>
        </w:pBdr>
        <w:rPr>
          <w:lang w:val="ru-RU"/>
        </w:rPr>
      </w:pPr>
      <w:r w:rsidRPr="00D81064">
        <w:rPr>
          <w:lang w:val="ru-RU"/>
        </w:rPr>
        <w:t>13.4</w:t>
      </w:r>
      <w:r w:rsidRPr="00D81064">
        <w:rPr>
          <w:lang w:val="ru-RU"/>
        </w:rPr>
        <w:tab/>
        <w:t>Комитет рекомендует Совету:</w:t>
      </w:r>
    </w:p>
    <w:p w14:paraId="7D1101AB" w14:textId="6F382AC4" w:rsidR="00DC7DF5" w:rsidRPr="00D81064" w:rsidRDefault="00DC7DF5" w:rsidP="00AC3268">
      <w:pPr>
        <w:pStyle w:val="enumlev1"/>
        <w:keepNext/>
        <w:pBdr>
          <w:top w:val="single" w:sz="4" w:space="1" w:color="auto"/>
          <w:left w:val="single" w:sz="4" w:space="4" w:color="auto"/>
          <w:bottom w:val="single" w:sz="4" w:space="1" w:color="auto"/>
          <w:right w:val="single" w:sz="4" w:space="4" w:color="auto"/>
        </w:pBdr>
        <w:rPr>
          <w:lang w:val="ru-RU"/>
        </w:rPr>
      </w:pPr>
      <w:r w:rsidRPr="00D81064">
        <w:rPr>
          <w:lang w:val="ru-RU"/>
        </w:rPr>
        <w:t>•</w:t>
      </w:r>
      <w:r w:rsidRPr="00D81064">
        <w:rPr>
          <w:lang w:val="ru-RU"/>
        </w:rPr>
        <w:tab/>
        <w:t>принять к сведению обновленную информацию о ходе выполнения Решения 600 Совета (C17), касающегося универсальных номеров международной услуги бесплатного вызова;</w:t>
      </w:r>
    </w:p>
    <w:p w14:paraId="1079F9F4" w14:textId="2E5F5B7D" w:rsidR="00DC7DF5" w:rsidRPr="00D81064" w:rsidRDefault="00DC7DF5" w:rsidP="00DC7DF5">
      <w:pPr>
        <w:pStyle w:val="enumlev1"/>
        <w:pBdr>
          <w:top w:val="single" w:sz="4" w:space="1" w:color="auto"/>
          <w:left w:val="single" w:sz="4" w:space="4" w:color="auto"/>
          <w:bottom w:val="single" w:sz="4" w:space="1" w:color="auto"/>
          <w:right w:val="single" w:sz="4" w:space="4" w:color="auto"/>
        </w:pBdr>
        <w:rPr>
          <w:lang w:val="ru-RU"/>
        </w:rPr>
      </w:pPr>
      <w:r w:rsidRPr="00D81064">
        <w:rPr>
          <w:lang w:val="ru-RU"/>
        </w:rPr>
        <w:t>•</w:t>
      </w:r>
      <w:r w:rsidRPr="00D81064">
        <w:rPr>
          <w:lang w:val="ru-RU"/>
        </w:rPr>
        <w:tab/>
        <w:t>аннулировать Решение 601 Совета (C17) об идентификационных номерах эмитентов</w:t>
      </w:r>
      <w:r w:rsidR="00281713" w:rsidRPr="00D81064">
        <w:rPr>
          <w:lang w:val="ru-RU"/>
        </w:rPr>
        <w:t>;</w:t>
      </w:r>
    </w:p>
    <w:p w14:paraId="58B8488F" w14:textId="6C7D3CC5" w:rsidR="00281713" w:rsidRPr="00D81064" w:rsidRDefault="00281713" w:rsidP="00DC7DF5">
      <w:pPr>
        <w:pStyle w:val="enumlev1"/>
        <w:pBdr>
          <w:top w:val="single" w:sz="4" w:space="1" w:color="auto"/>
          <w:left w:val="single" w:sz="4" w:space="4" w:color="auto"/>
          <w:bottom w:val="single" w:sz="4" w:space="1" w:color="auto"/>
          <w:right w:val="single" w:sz="4" w:space="4" w:color="auto"/>
        </w:pBdr>
        <w:rPr>
          <w:lang w:val="ru-RU"/>
        </w:rPr>
      </w:pPr>
      <w:r w:rsidRPr="00D81064">
        <w:rPr>
          <w:lang w:val="ru-RU"/>
        </w:rPr>
        <w:t>•</w:t>
      </w:r>
      <w:r w:rsidRPr="00D81064">
        <w:rPr>
          <w:lang w:val="ru-RU"/>
        </w:rPr>
        <w:tab/>
        <w:t>предложить 2-й Исследовательской комиссии МСЭ-Т при координации с Бюро стандартизации электросвязи рассмотреть замечания Советников, представленные выше.</w:t>
      </w:r>
    </w:p>
    <w:p w14:paraId="241DDFB9" w14:textId="77777777" w:rsidR="008B4D8A" w:rsidRPr="00D81064" w:rsidRDefault="008B4D8A" w:rsidP="00527F5E">
      <w:pPr>
        <w:pStyle w:val="Heading1"/>
        <w:rPr>
          <w:lang w:val="ru-RU"/>
        </w:rPr>
      </w:pPr>
      <w:r w:rsidRPr="00D81064">
        <w:rPr>
          <w:bCs/>
          <w:lang w:val="ru-RU"/>
        </w:rPr>
        <w:t>14</w:t>
      </w:r>
      <w:r w:rsidRPr="00D81064">
        <w:rPr>
          <w:lang w:val="ru-RU"/>
        </w:rPr>
        <w:tab/>
        <w:t xml:space="preserve">Обязательства по медицинскому страхованию после выхода в отставку (АСХИ) (Документ </w:t>
      </w:r>
      <w:hyperlink r:id="rId76" w:history="1">
        <w:r w:rsidRPr="00D81064">
          <w:rPr>
            <w:rStyle w:val="Hyperlink"/>
            <w:bCs/>
            <w:lang w:val="ru-RU"/>
          </w:rPr>
          <w:t>C26/</w:t>
        </w:r>
        <w:r w:rsidRPr="00D81064">
          <w:rPr>
            <w:rStyle w:val="Hyperlink"/>
            <w:lang w:val="ru-RU"/>
          </w:rPr>
          <w:t>46</w:t>
        </w:r>
      </w:hyperlink>
      <w:r w:rsidRPr="00D81064">
        <w:rPr>
          <w:lang w:val="ru-RU"/>
        </w:rPr>
        <w:t>)</w:t>
      </w:r>
      <w:hyperlink r:id="rId77" w:history="1"/>
    </w:p>
    <w:p w14:paraId="291C7814" w14:textId="076B0AFA" w:rsidR="008B4D8A" w:rsidRPr="00D81064" w:rsidRDefault="008B4D8A" w:rsidP="008B4D8A">
      <w:pPr>
        <w:rPr>
          <w:lang w:val="ru-RU"/>
        </w:rPr>
      </w:pPr>
      <w:r w:rsidRPr="00D81064">
        <w:rPr>
          <w:lang w:val="ru-RU"/>
        </w:rPr>
        <w:t>14.1</w:t>
      </w:r>
      <w:r w:rsidRPr="00D81064">
        <w:rPr>
          <w:lang w:val="ru-RU"/>
        </w:rPr>
        <w:tab/>
        <w:t>Представитель Генерального секретариата, представляя Документ C26/46, сообщил, что по состоянию на конец 2025 года обязательства по медицинскому страхованию после выхода в отставку (АСХИ) сократились на 37</w:t>
      </w:r>
      <w:r w:rsidR="00527F5E" w:rsidRPr="00D81064">
        <w:rPr>
          <w:lang w:val="ru-RU"/>
        </w:rPr>
        <w:t> </w:t>
      </w:r>
      <w:r w:rsidRPr="00D81064">
        <w:rPr>
          <w:lang w:val="ru-RU"/>
        </w:rPr>
        <w:t>млн. швейцарских франков, в основном благодаря положительной динамике в финансовых допущениях, включая повышение ставки дисконтирования и снижение уровня инфляции в сфере медицинских услуг. Такие положительные изменения компенсировали незначительные негативные демографические тенденции в показателях смертности и выхода на пенсию, хотя обязательства оставались нестабильными. В проекте решения, содержащемся в Приложении А, Секретариат просит Совет утвердить введение взноса в размере 5,35</w:t>
      </w:r>
      <w:r w:rsidR="00527F5E" w:rsidRPr="00D81064">
        <w:rPr>
          <w:lang w:val="ru-RU"/>
        </w:rPr>
        <w:t> </w:t>
      </w:r>
      <w:r w:rsidRPr="00D81064">
        <w:rPr>
          <w:lang w:val="ru-RU"/>
        </w:rPr>
        <w:t>процента оклада штатного персонала, принятого на работу с 1</w:t>
      </w:r>
      <w:r w:rsidR="00527F5E" w:rsidRPr="00D81064">
        <w:rPr>
          <w:lang w:val="ru-RU"/>
        </w:rPr>
        <w:t> </w:t>
      </w:r>
      <w:r w:rsidRPr="00D81064">
        <w:rPr>
          <w:lang w:val="ru-RU"/>
        </w:rPr>
        <w:t>января 2026 года; эта мера была включена в отчет Независимого консультативного комитета по управлению (IMAC) (см. Документ</w:t>
      </w:r>
      <w:r w:rsidR="00017C1F" w:rsidRPr="00D81064">
        <w:rPr>
          <w:lang w:val="ru-RU"/>
        </w:rPr>
        <w:t xml:space="preserve">ы </w:t>
      </w:r>
      <w:hyperlink r:id="rId78" w:history="1">
        <w:r w:rsidR="00017C1F" w:rsidRPr="00D81064">
          <w:rPr>
            <w:rStyle w:val="Hyperlink"/>
            <w:lang w:val="ru-RU"/>
          </w:rPr>
          <w:t>С24/22</w:t>
        </w:r>
      </w:hyperlink>
      <w:r w:rsidR="00017C1F" w:rsidRPr="00D81064">
        <w:rPr>
          <w:lang w:val="ru-RU"/>
        </w:rPr>
        <w:t xml:space="preserve"> и</w:t>
      </w:r>
      <w:r w:rsidR="00527F5E" w:rsidRPr="00D81064">
        <w:rPr>
          <w:lang w:val="ru-RU"/>
        </w:rPr>
        <w:t> </w:t>
      </w:r>
      <w:hyperlink r:id="rId79" w:history="1">
        <w:r w:rsidRPr="00D81064">
          <w:rPr>
            <w:rStyle w:val="Hyperlink"/>
            <w:lang w:val="ru-RU"/>
          </w:rPr>
          <w:t>C25/46</w:t>
        </w:r>
      </w:hyperlink>
      <w:r w:rsidRPr="00D81064">
        <w:rPr>
          <w:lang w:val="ru-RU"/>
        </w:rPr>
        <w:t>).</w:t>
      </w:r>
      <w:hyperlink r:id="rId80" w:history="1"/>
    </w:p>
    <w:p w14:paraId="44374FC3" w14:textId="77A75870" w:rsidR="008B4D8A" w:rsidRPr="00D81064" w:rsidRDefault="008B4D8A" w:rsidP="008B4D8A">
      <w:pPr>
        <w:rPr>
          <w:lang w:val="ru-RU"/>
        </w:rPr>
      </w:pPr>
      <w:r w:rsidRPr="00D81064">
        <w:rPr>
          <w:lang w:val="ru-RU"/>
        </w:rPr>
        <w:t>14.2</w:t>
      </w:r>
      <w:r w:rsidRPr="00D81064">
        <w:rPr>
          <w:lang w:val="ru-RU"/>
        </w:rPr>
        <w:tab/>
        <w:t>Советники выразили поддержку отчету и проекту решения. Вместе с тем один из Советников просил предоставить разъяснения относительно ожидаемой годовой доходности взноса в размере 5,35</w:t>
      </w:r>
      <w:r w:rsidR="00527F5E" w:rsidRPr="00D81064">
        <w:rPr>
          <w:lang w:val="ru-RU"/>
        </w:rPr>
        <w:t> </w:t>
      </w:r>
      <w:r w:rsidRPr="00D81064">
        <w:rPr>
          <w:lang w:val="ru-RU"/>
        </w:rPr>
        <w:t>процента и его прогнозируемого воздействия на коэффициент финансирования АСХИ, а также относительного того, проводил ли МСЭ сравнительный анализ данной меры с практикой других организаций системы Организации Объединенных Наций.</w:t>
      </w:r>
    </w:p>
    <w:p w14:paraId="18FBC408" w14:textId="3F143D5C" w:rsidR="008B4D8A" w:rsidRPr="00D81064" w:rsidRDefault="008B4D8A" w:rsidP="008B4D8A">
      <w:pPr>
        <w:rPr>
          <w:lang w:val="ru-RU"/>
        </w:rPr>
      </w:pPr>
      <w:r w:rsidRPr="00D81064">
        <w:rPr>
          <w:lang w:val="ru-RU"/>
        </w:rPr>
        <w:t>14.3</w:t>
      </w:r>
      <w:r w:rsidRPr="00D81064">
        <w:rPr>
          <w:lang w:val="ru-RU"/>
        </w:rPr>
        <w:tab/>
        <w:t>Советник от Соединенных Штатов Америки высказался в поддержку проекта решения, однако поставил под сомнение целесообразность введения взноса в размере 5,35</w:t>
      </w:r>
      <w:r w:rsidR="00527F5E" w:rsidRPr="00D81064">
        <w:rPr>
          <w:lang w:val="ru-RU"/>
        </w:rPr>
        <w:t> </w:t>
      </w:r>
      <w:r w:rsidRPr="00D81064">
        <w:rPr>
          <w:lang w:val="ru-RU"/>
        </w:rPr>
        <w:t xml:space="preserve">процента в цикле финансового планирования </w:t>
      </w:r>
      <w:proofErr w:type="gramStart"/>
      <w:r w:rsidRPr="00D81064">
        <w:rPr>
          <w:lang w:val="ru-RU"/>
        </w:rPr>
        <w:t>2028−2031</w:t>
      </w:r>
      <w:proofErr w:type="gramEnd"/>
      <w:r w:rsidR="00527F5E" w:rsidRPr="00D81064">
        <w:rPr>
          <w:lang w:val="ru-RU"/>
        </w:rPr>
        <w:t> </w:t>
      </w:r>
      <w:r w:rsidRPr="00D81064">
        <w:rPr>
          <w:lang w:val="ru-RU"/>
        </w:rPr>
        <w:t xml:space="preserve">годов и предложил отменить этот сбор в будущем и работать с Государствами-Членами над альтернативными решениями в отношении </w:t>
      </w:r>
      <w:r w:rsidRPr="00D81064">
        <w:rPr>
          <w:lang w:val="ru-RU"/>
        </w:rPr>
        <w:lastRenderedPageBreak/>
        <w:t>долгосрочных обязательств по АСХИ. Делегация США не будет поддерживать эту меру в последующих бюджетных циклах и просит представить Полномочной конференции обновленный отчет об обязательствах по АСХИ, с тем чтобы информировать Государства-Члены о рекомендациях МСЭ о том, какой подход использовать в отношении этого обязательства.</w:t>
      </w:r>
    </w:p>
    <w:p w14:paraId="0D9C38BB" w14:textId="77777777" w:rsidR="008B4D8A" w:rsidRPr="00D81064" w:rsidRDefault="008B4D8A" w:rsidP="008B4D8A">
      <w:pPr>
        <w:rPr>
          <w:lang w:val="ru-RU"/>
        </w:rPr>
      </w:pPr>
      <w:r w:rsidRPr="00D81064">
        <w:rPr>
          <w:lang w:val="ru-RU"/>
        </w:rPr>
        <w:t>14.4</w:t>
      </w:r>
      <w:r w:rsidRPr="00D81064">
        <w:rPr>
          <w:lang w:val="ru-RU"/>
        </w:rPr>
        <w:tab/>
        <w:t>Один из Советников обратил внимание участников собрания на рекомендацию Внешнего аудитора о том, что МСЭ следует пересмотреть свое первоначальное экономическое обоснование присоединения к Обществу взаимного страхования сотрудников Организации Объединенных Наций от болезней и несчастных случаев (ЮНСМИС), которое повлекло за собой значительные финансовые обязательства, и представить отчет следующей сессии Совета. Желательно рассмотреть вопрос об использовании финансовых резервов с ограниченной активностью, таких как Страховая касса персонала МСЭ, для финансирования обязательств по АСХИ.</w:t>
      </w:r>
    </w:p>
    <w:p w14:paraId="3D391EE6" w14:textId="2862FDDE" w:rsidR="008B4D8A" w:rsidRPr="00D81064" w:rsidRDefault="008B4D8A" w:rsidP="008B4D8A">
      <w:pPr>
        <w:rPr>
          <w:lang w:val="ru-RU"/>
        </w:rPr>
      </w:pPr>
      <w:r w:rsidRPr="00D81064">
        <w:rPr>
          <w:lang w:val="ru-RU"/>
        </w:rPr>
        <w:t>14.5</w:t>
      </w:r>
      <w:r w:rsidRPr="00D81064">
        <w:rPr>
          <w:lang w:val="ru-RU"/>
        </w:rPr>
        <w:tab/>
        <w:t>Руководитель FRMD, отвечая на вопросы Советников, сказал, что Рабочая группа Организации Объединенных Наций по АСХИ подготовила рекомендации Генеральному секретарю Организации Объединенных Наций о том, чтобы обеспечить применение взноса в размере 5,35</w:t>
      </w:r>
      <w:r w:rsidR="00527F5E" w:rsidRPr="00D81064">
        <w:rPr>
          <w:lang w:val="ru-RU"/>
        </w:rPr>
        <w:t> </w:t>
      </w:r>
      <w:r w:rsidRPr="00D81064">
        <w:rPr>
          <w:lang w:val="ru-RU"/>
        </w:rPr>
        <w:t>процента; Генеральный секретарь Организации Объединенных Наций должен представить рекомендацию Генеральной Ассамблее. Каждая отдельная организация должна принять меры для реализации своего вклада; МСЭ получил с этой целью рекомендации от ОИГ и IMAC, утвержденные на сесси</w:t>
      </w:r>
      <w:r w:rsidR="00017C1F" w:rsidRPr="00D81064">
        <w:rPr>
          <w:lang w:val="ru-RU"/>
        </w:rPr>
        <w:t>ях</w:t>
      </w:r>
      <w:r w:rsidRPr="00D81064">
        <w:rPr>
          <w:lang w:val="ru-RU"/>
        </w:rPr>
        <w:t xml:space="preserve"> Совета</w:t>
      </w:r>
      <w:r w:rsidR="00017C1F" w:rsidRPr="00D81064">
        <w:rPr>
          <w:lang w:val="ru-RU"/>
        </w:rPr>
        <w:t xml:space="preserve"> 2024</w:t>
      </w:r>
      <w:r w:rsidRPr="00D81064">
        <w:rPr>
          <w:lang w:val="ru-RU"/>
        </w:rPr>
        <w:t xml:space="preserve"> </w:t>
      </w:r>
      <w:r w:rsidR="00017C1F" w:rsidRPr="00D81064">
        <w:rPr>
          <w:lang w:val="ru-RU"/>
        </w:rPr>
        <w:t xml:space="preserve">и </w:t>
      </w:r>
      <w:r w:rsidRPr="00D81064">
        <w:rPr>
          <w:lang w:val="ru-RU"/>
        </w:rPr>
        <w:t>2025 год</w:t>
      </w:r>
      <w:r w:rsidR="00017C1F" w:rsidRPr="00D81064">
        <w:rPr>
          <w:lang w:val="ru-RU"/>
        </w:rPr>
        <w:t>ов</w:t>
      </w:r>
      <w:r w:rsidRPr="00D81064">
        <w:rPr>
          <w:lang w:val="ru-RU"/>
        </w:rPr>
        <w:t>. Поскольку МСЭ участвует в деятельности рабочей группы Организации Объединенных Наций по АСХИ, которая имеет целостное представление об организациях системы Организации Объединенных Наций, отсутствует необходимость разработки внутреннего механизма для обсуждения вопросов, связанных с АСХИ, как предложил один из Советников.</w:t>
      </w:r>
    </w:p>
    <w:p w14:paraId="53632389" w14:textId="3B8D6D37" w:rsidR="008B4D8A" w:rsidRPr="00D81064" w:rsidRDefault="008B4D8A" w:rsidP="008B4D8A">
      <w:pPr>
        <w:rPr>
          <w:lang w:val="ru-RU"/>
        </w:rPr>
      </w:pPr>
      <w:r w:rsidRPr="00D81064">
        <w:rPr>
          <w:lang w:val="ru-RU"/>
        </w:rPr>
        <w:t>14.6</w:t>
      </w:r>
      <w:r w:rsidRPr="00D81064">
        <w:rPr>
          <w:lang w:val="ru-RU"/>
        </w:rPr>
        <w:tab/>
        <w:t xml:space="preserve">В ответ на вопрос о </w:t>
      </w:r>
      <w:r w:rsidR="00527F5E" w:rsidRPr="00D81064">
        <w:rPr>
          <w:lang w:val="ru-RU"/>
        </w:rPr>
        <w:t>статье </w:t>
      </w:r>
      <w:r w:rsidRPr="00D81064">
        <w:rPr>
          <w:lang w:val="ru-RU"/>
        </w:rPr>
        <w:t>26 Устава Объединенного пенсионного фонда персонала Организации Объединенных Наций (ОПФП ООН), согласно которой каждая организация-член обязана уплатить сумму, необходимую для покрытия дефицита, в случае если активы Фонда окажутся недостаточными для погашения его обязательств, выступающий отметил, что ни одна из организаций не отражает данное обязательство в своей отчетности</w:t>
      </w:r>
      <w:r w:rsidR="00017C1F" w:rsidRPr="00D81064">
        <w:rPr>
          <w:lang w:val="ru-RU"/>
        </w:rPr>
        <w:t xml:space="preserve"> за финансовый год</w:t>
      </w:r>
      <w:r w:rsidRPr="00D81064">
        <w:rPr>
          <w:lang w:val="ru-RU"/>
        </w:rPr>
        <w:t xml:space="preserve">. Управление Фондом осуществляется независимо от организаций. </w:t>
      </w:r>
      <w:r w:rsidR="00017C1F" w:rsidRPr="00D81064">
        <w:rPr>
          <w:lang w:val="ru-RU"/>
        </w:rPr>
        <w:t xml:space="preserve">В финансовом положении каждой организации системы Организации Объединенных Наций учитывается только АСХИ. </w:t>
      </w:r>
      <w:r w:rsidRPr="00D81064">
        <w:rPr>
          <w:lang w:val="ru-RU"/>
        </w:rPr>
        <w:t>В</w:t>
      </w:r>
      <w:r w:rsidR="00B94D56" w:rsidRPr="00D81064">
        <w:rPr>
          <w:lang w:val="ru-RU"/>
        </w:rPr>
        <w:t> </w:t>
      </w:r>
      <w:r w:rsidRPr="00D81064">
        <w:rPr>
          <w:lang w:val="ru-RU"/>
        </w:rPr>
        <w:t>заключение он подчеркнул, что МСЭ должным образом внес свой первоначальный взнос в ЮНСМИС и играет ключевую роль в этом Обществе, демонстрируя солидарность с другими организациями.</w:t>
      </w:r>
    </w:p>
    <w:p w14:paraId="1D5731A3" w14:textId="77777777" w:rsidR="008B4D8A" w:rsidRPr="00D81064" w:rsidRDefault="008B4D8A" w:rsidP="008B4D8A">
      <w:pPr>
        <w:rPr>
          <w:lang w:val="ru-RU"/>
        </w:rPr>
      </w:pPr>
      <w:r w:rsidRPr="00D81064">
        <w:rPr>
          <w:lang w:val="ru-RU"/>
        </w:rPr>
        <w:t>14.7</w:t>
      </w:r>
      <w:r w:rsidRPr="00D81064">
        <w:rPr>
          <w:lang w:val="ru-RU"/>
        </w:rPr>
        <w:tab/>
        <w:t xml:space="preserve">Комитет </w:t>
      </w:r>
      <w:r w:rsidRPr="00D81064">
        <w:rPr>
          <w:b/>
          <w:bCs/>
          <w:lang w:val="ru-RU"/>
        </w:rPr>
        <w:t>принял решение</w:t>
      </w:r>
      <w:r w:rsidRPr="00D81064">
        <w:rPr>
          <w:lang w:val="ru-RU"/>
        </w:rPr>
        <w:t xml:space="preserve"> сделать по данному вопросу следующее заключение:</w:t>
      </w:r>
    </w:p>
    <w:p w14:paraId="3517FF26" w14:textId="77777777" w:rsidR="008B4D8A" w:rsidRPr="00D81064" w:rsidRDefault="008B4D8A" w:rsidP="008B4D8A">
      <w:pPr>
        <w:pBdr>
          <w:top w:val="single" w:sz="4" w:space="1" w:color="auto"/>
          <w:left w:val="single" w:sz="4" w:space="4" w:color="auto"/>
          <w:bottom w:val="single" w:sz="4" w:space="1" w:color="auto"/>
          <w:right w:val="single" w:sz="4" w:space="4" w:color="auto"/>
        </w:pBdr>
        <w:rPr>
          <w:lang w:val="ru-RU"/>
        </w:rPr>
      </w:pPr>
      <w:r w:rsidRPr="00D81064">
        <w:rPr>
          <w:lang w:val="ru-RU"/>
        </w:rPr>
        <w:t>14.8</w:t>
      </w:r>
      <w:r w:rsidRPr="00D81064">
        <w:rPr>
          <w:lang w:val="ru-RU"/>
        </w:rPr>
        <w:tab/>
        <w:t xml:space="preserve">Комитет рекомендует Совету: </w:t>
      </w:r>
    </w:p>
    <w:p w14:paraId="6F23AD0D" w14:textId="5A62079E" w:rsidR="00847EE3" w:rsidRPr="00D81064" w:rsidRDefault="008B4D8A" w:rsidP="008B4D8A">
      <w:pPr>
        <w:pStyle w:val="enumlev1"/>
        <w:pBdr>
          <w:top w:val="single" w:sz="4" w:space="1" w:color="auto"/>
          <w:left w:val="single" w:sz="4" w:space="4" w:color="auto"/>
          <w:bottom w:val="single" w:sz="4" w:space="1" w:color="auto"/>
          <w:right w:val="single" w:sz="4" w:space="4" w:color="auto"/>
        </w:pBdr>
        <w:rPr>
          <w:lang w:val="ru-RU"/>
        </w:rPr>
      </w:pPr>
      <w:r w:rsidRPr="00D81064">
        <w:rPr>
          <w:lang w:val="ru-RU"/>
        </w:rPr>
        <w:t>•</w:t>
      </w:r>
      <w:r w:rsidRPr="00D81064">
        <w:rPr>
          <w:lang w:val="ru-RU"/>
        </w:rPr>
        <w:tab/>
        <w:t xml:space="preserve">принять проект Решения, содержащийся в </w:t>
      </w:r>
      <w:hyperlink w:anchor="AnnexC" w:history="1">
        <w:r w:rsidRPr="00D81064">
          <w:rPr>
            <w:rStyle w:val="Hyperlink"/>
            <w:b/>
            <w:bCs/>
            <w:lang w:val="ru-RU"/>
          </w:rPr>
          <w:t>Приложении C</w:t>
        </w:r>
      </w:hyperlink>
      <w:r w:rsidRPr="00D81064">
        <w:rPr>
          <w:lang w:val="ru-RU"/>
        </w:rPr>
        <w:t xml:space="preserve"> к настоящему отчету</w:t>
      </w:r>
      <w:r w:rsidR="00847EE3" w:rsidRPr="00D81064">
        <w:rPr>
          <w:lang w:val="ru-RU"/>
        </w:rPr>
        <w:t>;</w:t>
      </w:r>
    </w:p>
    <w:p w14:paraId="74A432D6" w14:textId="1DC45F66" w:rsidR="008B4D8A" w:rsidRPr="00D81064" w:rsidRDefault="00847EE3" w:rsidP="008B4D8A">
      <w:pPr>
        <w:pStyle w:val="enumlev1"/>
        <w:pBdr>
          <w:top w:val="single" w:sz="4" w:space="1" w:color="auto"/>
          <w:left w:val="single" w:sz="4" w:space="4" w:color="auto"/>
          <w:bottom w:val="single" w:sz="4" w:space="1" w:color="auto"/>
          <w:right w:val="single" w:sz="4" w:space="4" w:color="auto"/>
        </w:pBdr>
        <w:rPr>
          <w:lang w:val="ru-RU"/>
        </w:rPr>
      </w:pPr>
      <w:r w:rsidRPr="00D81064">
        <w:rPr>
          <w:lang w:val="ru-RU"/>
        </w:rPr>
        <w:t>•</w:t>
      </w:r>
      <w:r w:rsidRPr="00D81064">
        <w:rPr>
          <w:lang w:val="ru-RU"/>
        </w:rPr>
        <w:tab/>
        <w:t xml:space="preserve">поручить </w:t>
      </w:r>
      <w:r w:rsidR="001C42DB" w:rsidRPr="00D81064">
        <w:rPr>
          <w:lang w:val="ru-RU"/>
        </w:rPr>
        <w:t xml:space="preserve">Секретариату </w:t>
      </w:r>
      <w:r w:rsidRPr="00D81064">
        <w:rPr>
          <w:lang w:val="ru-RU"/>
        </w:rPr>
        <w:t xml:space="preserve">представить обновленный отчет о статусе обязательств по АСХИ, в том числе о выполнении соответствующих рекомендаций Внешнего аудитора, в качестве основы для обсуждения Финансового плана на период </w:t>
      </w:r>
      <w:proofErr w:type="gramStart"/>
      <w:r w:rsidRPr="00D81064">
        <w:rPr>
          <w:lang w:val="ru-RU"/>
        </w:rPr>
        <w:t>2028−2031</w:t>
      </w:r>
      <w:proofErr w:type="gramEnd"/>
      <w:r w:rsidR="001C42DB" w:rsidRPr="00D81064">
        <w:rPr>
          <w:lang w:val="ru-RU"/>
        </w:rPr>
        <w:t> </w:t>
      </w:r>
      <w:r w:rsidRPr="00D81064">
        <w:rPr>
          <w:lang w:val="ru-RU"/>
        </w:rPr>
        <w:t>годов на Полномочной конференции (Доха, 2026 г.).</w:t>
      </w:r>
      <w:hyperlink w:anchor="Annex_B" w:history="1"/>
    </w:p>
    <w:p w14:paraId="3276D0CB" w14:textId="0C9A0EC7" w:rsidR="00DC7DF5" w:rsidRPr="00D81064" w:rsidRDefault="00DC7DF5" w:rsidP="00DC7DF5">
      <w:pPr>
        <w:pStyle w:val="Heading1"/>
        <w:rPr>
          <w:lang w:val="ru-RU"/>
        </w:rPr>
      </w:pPr>
      <w:r w:rsidRPr="00D81064">
        <w:rPr>
          <w:bCs/>
          <w:lang w:val="ru-RU"/>
        </w:rPr>
        <w:t>15</w:t>
      </w:r>
      <w:r w:rsidRPr="00D81064">
        <w:rPr>
          <w:lang w:val="ru-RU"/>
        </w:rPr>
        <w:tab/>
        <w:t xml:space="preserve">Новые заявки на предоставление освобождения от уплаты взносов организаций международного характера (Документ </w:t>
      </w:r>
      <w:hyperlink r:id="rId81" w:history="1">
        <w:r w:rsidRPr="00D81064">
          <w:rPr>
            <w:rStyle w:val="Hyperlink"/>
            <w:bCs/>
            <w:lang w:val="ru-RU"/>
          </w:rPr>
          <w:t>C26/</w:t>
        </w:r>
        <w:r w:rsidRPr="00D81064">
          <w:rPr>
            <w:rStyle w:val="Hyperlink"/>
            <w:lang w:val="ru-RU"/>
          </w:rPr>
          <w:t>56</w:t>
        </w:r>
      </w:hyperlink>
      <w:r w:rsidRPr="00D81064">
        <w:rPr>
          <w:lang w:val="ru-RU"/>
        </w:rPr>
        <w:t>)</w:t>
      </w:r>
      <w:hyperlink r:id="rId82" w:history="1"/>
    </w:p>
    <w:p w14:paraId="1334DCB5" w14:textId="77777777" w:rsidR="00DC7DF5" w:rsidRPr="00D81064" w:rsidRDefault="00DC7DF5" w:rsidP="00DC7DF5">
      <w:pPr>
        <w:rPr>
          <w:rFonts w:eastAsia="Calibri" w:cs="Calibri"/>
          <w:lang w:val="ru-RU"/>
        </w:rPr>
      </w:pPr>
      <w:r w:rsidRPr="00D81064">
        <w:rPr>
          <w:lang w:val="ru-RU"/>
        </w:rPr>
        <w:t>15.1</w:t>
      </w:r>
      <w:r w:rsidRPr="00D81064">
        <w:rPr>
          <w:lang w:val="ru-RU"/>
        </w:rPr>
        <w:tab/>
        <w:t>Представитель Генерального секретариата представила Документ C26/56, в котором содержится пять новых заявок от объединений на предоставление освобождения от уплаты взносов Членов Секторов и рекомендации Генерального секретаря по ним, сделанные на основе применимых критериев и процедур, установленных Советом.</w:t>
      </w:r>
    </w:p>
    <w:p w14:paraId="6E03C0E0" w14:textId="77777777" w:rsidR="00DC7DF5" w:rsidRPr="00D81064" w:rsidRDefault="00DC7DF5" w:rsidP="00DC7DF5">
      <w:pPr>
        <w:rPr>
          <w:rFonts w:eastAsia="Calibri" w:cs="Calibri"/>
          <w:lang w:val="ru-RU"/>
        </w:rPr>
      </w:pPr>
      <w:r w:rsidRPr="00D81064">
        <w:rPr>
          <w:lang w:val="ru-RU"/>
        </w:rPr>
        <w:lastRenderedPageBreak/>
        <w:t>15.2</w:t>
      </w:r>
      <w:r w:rsidRPr="00D81064">
        <w:rPr>
          <w:lang w:val="ru-RU"/>
        </w:rPr>
        <w:tab/>
        <w:t>Советник от Индии приветствовал рекомендацию предоставить освобождение от уплаты взносов Инициативе Бенгальского залива по многоотраслевому техническому и экономическому сотрудничеству (BIMSTEC).</w:t>
      </w:r>
    </w:p>
    <w:p w14:paraId="210B4943" w14:textId="0DB171BE" w:rsidR="00DC7DF5" w:rsidRPr="00D81064" w:rsidRDefault="00DC7DF5" w:rsidP="00DC7DF5">
      <w:pPr>
        <w:rPr>
          <w:rFonts w:eastAsia="Calibri" w:cs="Calibri"/>
          <w:lang w:val="ru-RU"/>
        </w:rPr>
      </w:pPr>
      <w:r w:rsidRPr="00D81064">
        <w:rPr>
          <w:lang w:val="ru-RU"/>
        </w:rPr>
        <w:t>15.3</w:t>
      </w:r>
      <w:r w:rsidRPr="00D81064">
        <w:rPr>
          <w:lang w:val="ru-RU"/>
        </w:rPr>
        <w:tab/>
        <w:t xml:space="preserve">По мнению ряда Советников, существующие критерии освобождения от уплаты взносов четко не определяют некоторые ключевые понятия, что приводит к субъективности и непоследовательности при их применении. Эти критерии в основном носят качественный характер, и не предусматривают поддающиеся измерению показатели, требования прозрачности, механизмы обеспечения выполнения или систему контроля или периодического обзора. По-прежнему крайне важно сохранять последовательность, прозрачность и справедливость при применении существующей системы, особенно в свете растущего числа освобожденных от уплаты взносов объединений и связанных с этим финансовых последствий. Один из Советников предложил провести независимый обзор объединений, освобожденных от уплаты взносов. Секретариату было предложено предоставить руководящие указания по альтернативным формам взаимодействия с МСЭ для организаций, которые не удовлетворяют критериям освобождения от уплаты взносов, в особенности для организаций, ориентированных на вопросы развития, например </w:t>
      </w:r>
      <w:proofErr w:type="spellStart"/>
      <w:r w:rsidRPr="00D81064">
        <w:rPr>
          <w:lang w:val="ru-RU"/>
        </w:rPr>
        <w:t>Digihub</w:t>
      </w:r>
      <w:proofErr w:type="spellEnd"/>
      <w:r w:rsidRPr="00D81064">
        <w:rPr>
          <w:lang w:val="ru-RU"/>
        </w:rPr>
        <w:t xml:space="preserve"> Africa.</w:t>
      </w:r>
    </w:p>
    <w:p w14:paraId="49065ACB" w14:textId="77777777" w:rsidR="00DC7DF5" w:rsidRPr="00D81064" w:rsidRDefault="00DC7DF5" w:rsidP="00DC7DF5">
      <w:pPr>
        <w:rPr>
          <w:rFonts w:eastAsia="Calibri" w:cs="Calibri"/>
          <w:lang w:val="ru-RU"/>
        </w:rPr>
      </w:pPr>
      <w:r w:rsidRPr="00D81064">
        <w:rPr>
          <w:lang w:val="ru-RU"/>
        </w:rPr>
        <w:t>15.4</w:t>
      </w:r>
      <w:r w:rsidRPr="00D81064">
        <w:rPr>
          <w:lang w:val="ru-RU"/>
        </w:rPr>
        <w:tab/>
        <w:t>Отвечая на вопрос Советников о критериях освобождения от уплаты взносов и применении принципа взаимности, представитель Генерального секретариата сказала, что на внутреннем уровне проводится анализ заявок на предоставление освобождения от уплаты взносов, и на основании этого анализа и рекомендаций Директора соответствующего Бюро Генеральный секретарь представляет Совету рекомендации. Кроме того, проводятся консультации с Секторами и региональными отделениями.</w:t>
      </w:r>
    </w:p>
    <w:p w14:paraId="13D5F437" w14:textId="3A68A638" w:rsidR="00DC7DF5" w:rsidRPr="00D81064" w:rsidRDefault="00DC7DF5" w:rsidP="00DC7DF5">
      <w:pPr>
        <w:rPr>
          <w:rFonts w:eastAsia="Calibri" w:cs="Calibri"/>
          <w:lang w:val="ru-RU"/>
        </w:rPr>
      </w:pPr>
      <w:r w:rsidRPr="00D81064">
        <w:rPr>
          <w:lang w:val="ru-RU"/>
        </w:rPr>
        <w:t>15.5</w:t>
      </w:r>
      <w:r w:rsidRPr="00D81064">
        <w:rPr>
          <w:lang w:val="ru-RU"/>
        </w:rPr>
        <w:tab/>
        <w:t xml:space="preserve">Она напомнила, что критерии освобождения от уплаты взносов уже были пересмотрены. Организации, которым были предоставлены освобождения от уплаты взносов до утверждения пересмотренных критериев на сессии Совета 2017 года, получили разрешение от Совета сохранить свой статус организаций, освобожденных от уплаты взносов. Может быть предоставлена дополнительная информация о 145 освобожденных от уплаты взносов организациях и о соответствующем объеме финансовых средств. Перечень объединений, официально обратившихся с просьбой об освобождении от уплаты взносов на период </w:t>
      </w:r>
      <w:proofErr w:type="gramStart"/>
      <w:r w:rsidRPr="00D81064">
        <w:rPr>
          <w:lang w:val="ru-RU"/>
        </w:rPr>
        <w:t>2028−2031</w:t>
      </w:r>
      <w:proofErr w:type="gramEnd"/>
      <w:r w:rsidR="001A2C26" w:rsidRPr="00D81064">
        <w:rPr>
          <w:lang w:val="ru-RU"/>
        </w:rPr>
        <w:t> </w:t>
      </w:r>
      <w:r w:rsidRPr="00D81064">
        <w:rPr>
          <w:lang w:val="ru-RU"/>
        </w:rPr>
        <w:t>годов, будет представлен Совету перед Полномочной конференцией (Доха, 2026 г.) (ПК-26), которая рассмотрит данный перечень и примет решение о том, какие объединения будут освобождены от уплаты взносов. Организации, не получившие освобождения от уплаты взносов, могут воспользоваться альтернативными способами участия в деятельности МСЭ, а также вариантом сохранения членства на платной основе.</w:t>
      </w:r>
    </w:p>
    <w:p w14:paraId="1206ACFD" w14:textId="35D6CF21" w:rsidR="00DC7DF5" w:rsidRPr="00D81064" w:rsidRDefault="00DC7DF5" w:rsidP="00DC7DF5">
      <w:pPr>
        <w:rPr>
          <w:rFonts w:eastAsia="Calibri" w:cs="Calibri"/>
          <w:lang w:val="ru-RU"/>
        </w:rPr>
      </w:pPr>
      <w:r w:rsidRPr="00D81064">
        <w:rPr>
          <w:lang w:val="ru-RU"/>
        </w:rPr>
        <w:t>15.6</w:t>
      </w:r>
      <w:r w:rsidRPr="00D81064">
        <w:rPr>
          <w:lang w:val="ru-RU"/>
        </w:rPr>
        <w:tab/>
        <w:t>В отношении принципа взаимности она сказала, что основными преимуществами членства в Секторе являются участие в работе исследовательских комиссий и доступ к документам, и МСЭ рассчитывает получать аналогичны</w:t>
      </w:r>
      <w:r w:rsidR="00746FEA" w:rsidRPr="00D81064">
        <w:rPr>
          <w:lang w:val="ru-RU"/>
        </w:rPr>
        <w:t>й уровень</w:t>
      </w:r>
      <w:r w:rsidRPr="00D81064">
        <w:rPr>
          <w:lang w:val="ru-RU"/>
        </w:rPr>
        <w:t xml:space="preserve"> преимуществ от организаций, которым предоставлено освобождение от уплаты взносов.</w:t>
      </w:r>
    </w:p>
    <w:p w14:paraId="25271292" w14:textId="77777777" w:rsidR="00DC7DF5" w:rsidRPr="00D81064" w:rsidRDefault="00DC7DF5" w:rsidP="009C366B">
      <w:pPr>
        <w:keepNext/>
        <w:keepLines/>
        <w:rPr>
          <w:rFonts w:eastAsia="Calibri" w:cs="Calibri"/>
          <w:szCs w:val="24"/>
          <w:lang w:val="ru-RU"/>
        </w:rPr>
      </w:pPr>
      <w:r w:rsidRPr="00D81064">
        <w:rPr>
          <w:lang w:val="ru-RU"/>
        </w:rPr>
        <w:t>15.7</w:t>
      </w:r>
      <w:r w:rsidRPr="00D81064">
        <w:rPr>
          <w:lang w:val="ru-RU"/>
        </w:rPr>
        <w:tab/>
        <w:t xml:space="preserve">Комитет </w:t>
      </w:r>
      <w:r w:rsidRPr="00D81064">
        <w:rPr>
          <w:b/>
          <w:bCs/>
          <w:lang w:val="ru-RU"/>
        </w:rPr>
        <w:t>принял решение</w:t>
      </w:r>
      <w:r w:rsidRPr="00D81064">
        <w:rPr>
          <w:lang w:val="ru-RU"/>
        </w:rPr>
        <w:t xml:space="preserve"> сделать по данному вопросу следующее заключение:</w:t>
      </w:r>
    </w:p>
    <w:p w14:paraId="67002867" w14:textId="77777777" w:rsidR="00DC7DF5" w:rsidRPr="00D81064" w:rsidRDefault="00DC7DF5" w:rsidP="00DC7DF5">
      <w:pPr>
        <w:keepNext/>
        <w:pBdr>
          <w:top w:val="single" w:sz="4" w:space="1" w:color="auto"/>
          <w:left w:val="single" w:sz="4" w:space="4" w:color="auto"/>
          <w:bottom w:val="single" w:sz="4" w:space="1" w:color="auto"/>
          <w:right w:val="single" w:sz="4" w:space="4" w:color="auto"/>
        </w:pBdr>
        <w:rPr>
          <w:lang w:val="ru-RU"/>
        </w:rPr>
      </w:pPr>
      <w:r w:rsidRPr="00D81064">
        <w:rPr>
          <w:lang w:val="ru-RU"/>
        </w:rPr>
        <w:t>15.8</w:t>
      </w:r>
      <w:r w:rsidRPr="00D81064">
        <w:rPr>
          <w:lang w:val="ru-RU"/>
        </w:rPr>
        <w:tab/>
        <w:t>Комитет рекомендует Совету:</w:t>
      </w:r>
    </w:p>
    <w:p w14:paraId="41125DE8" w14:textId="77777777" w:rsidR="00847EE3" w:rsidRPr="00D81064" w:rsidRDefault="00DC7DF5" w:rsidP="00DC7DF5">
      <w:pPr>
        <w:pStyle w:val="enumlev1"/>
        <w:pBdr>
          <w:top w:val="single" w:sz="4" w:space="1" w:color="auto"/>
          <w:left w:val="single" w:sz="4" w:space="4" w:color="auto"/>
          <w:bottom w:val="single" w:sz="4" w:space="1" w:color="auto"/>
          <w:right w:val="single" w:sz="4" w:space="4" w:color="auto"/>
        </w:pBdr>
        <w:rPr>
          <w:lang w:val="ru-RU"/>
        </w:rPr>
      </w:pPr>
      <w:r w:rsidRPr="00D81064">
        <w:rPr>
          <w:lang w:val="ru-RU"/>
        </w:rPr>
        <w:t>•</w:t>
      </w:r>
      <w:r w:rsidRPr="00D81064">
        <w:rPr>
          <w:lang w:val="ru-RU"/>
        </w:rPr>
        <w:tab/>
        <w:t xml:space="preserve">одобрить рекомендации Генерального секретаря в отношении заявок на предоставление освобождения от уплаты взносов Членов Секторов, содержащиеся в Документе </w:t>
      </w:r>
      <w:hyperlink r:id="rId83" w:history="1">
        <w:r w:rsidRPr="00D81064">
          <w:rPr>
            <w:rStyle w:val="Hyperlink"/>
            <w:bCs/>
            <w:lang w:val="ru-RU"/>
          </w:rPr>
          <w:t>C26/</w:t>
        </w:r>
        <w:r w:rsidRPr="00D81064">
          <w:rPr>
            <w:rStyle w:val="Hyperlink"/>
            <w:lang w:val="ru-RU"/>
          </w:rPr>
          <w:t>56</w:t>
        </w:r>
      </w:hyperlink>
      <w:r w:rsidR="00847EE3" w:rsidRPr="00D81064">
        <w:rPr>
          <w:lang w:val="ru-RU"/>
        </w:rPr>
        <w:t>;</w:t>
      </w:r>
    </w:p>
    <w:p w14:paraId="0C1AEE8F" w14:textId="57ABE311" w:rsidR="00DC7DF5" w:rsidRPr="00D81064" w:rsidRDefault="00847EE3" w:rsidP="00DC7DF5">
      <w:pPr>
        <w:pStyle w:val="enumlev1"/>
        <w:pBdr>
          <w:top w:val="single" w:sz="4" w:space="1" w:color="auto"/>
          <w:left w:val="single" w:sz="4" w:space="4" w:color="auto"/>
          <w:bottom w:val="single" w:sz="4" w:space="1" w:color="auto"/>
          <w:right w:val="single" w:sz="4" w:space="4" w:color="auto"/>
        </w:pBdr>
        <w:rPr>
          <w:lang w:val="ru-RU"/>
        </w:rPr>
      </w:pPr>
      <w:r w:rsidRPr="00D81064">
        <w:rPr>
          <w:lang w:val="ru-RU"/>
        </w:rPr>
        <w:t>•</w:t>
      </w:r>
      <w:r w:rsidRPr="00D81064">
        <w:rPr>
          <w:lang w:val="ru-RU"/>
        </w:rPr>
        <w:tab/>
        <w:t xml:space="preserve">поручить </w:t>
      </w:r>
      <w:r w:rsidR="001C42DB" w:rsidRPr="00D81064">
        <w:rPr>
          <w:lang w:val="ru-RU"/>
        </w:rPr>
        <w:t xml:space="preserve">Секретариату </w:t>
      </w:r>
      <w:r w:rsidRPr="00D81064">
        <w:rPr>
          <w:lang w:val="ru-RU"/>
        </w:rPr>
        <w:t>внести дополнительную ясность в отношении применимых установленных Советом критериев и процедур, в частности в отношении критериев, которым должен удовлетворять заявитель, с тем чтобы Союз мог освобождать от уплаты взносов организации, члены которых являются некоммерческими объединениями.</w:t>
      </w:r>
      <w:hyperlink r:id="rId84" w:history="1"/>
    </w:p>
    <w:p w14:paraId="6BB1FD4D" w14:textId="6D4BB4B9" w:rsidR="00B55BD8" w:rsidRPr="00D81064" w:rsidRDefault="00B55BD8" w:rsidP="00C4791B">
      <w:pPr>
        <w:pStyle w:val="Heading1"/>
        <w:rPr>
          <w:szCs w:val="22"/>
          <w:lang w:val="ru-RU"/>
        </w:rPr>
      </w:pPr>
      <w:r w:rsidRPr="00D81064">
        <w:rPr>
          <w:lang w:val="ru-RU"/>
        </w:rPr>
        <w:lastRenderedPageBreak/>
        <w:t>16</w:t>
      </w:r>
      <w:r w:rsidRPr="00D81064">
        <w:rPr>
          <w:lang w:val="ru-RU"/>
        </w:rPr>
        <w:tab/>
        <w:t>Участие на предварительной основе в деятельности МСЭ других объединений, занимающихся вопросами электросвязи (Документ </w:t>
      </w:r>
      <w:hyperlink r:id="rId85" w:history="1">
        <w:r w:rsidRPr="00D81064">
          <w:rPr>
            <w:rStyle w:val="Hyperlink"/>
            <w:bCs/>
            <w:lang w:val="ru-RU"/>
          </w:rPr>
          <w:t>C26/</w:t>
        </w:r>
        <w:r w:rsidRPr="00D81064">
          <w:rPr>
            <w:rStyle w:val="Hyperlink"/>
            <w:lang w:val="ru-RU"/>
          </w:rPr>
          <w:t>20</w:t>
        </w:r>
      </w:hyperlink>
      <w:r w:rsidRPr="00D81064">
        <w:rPr>
          <w:lang w:val="ru-RU"/>
        </w:rPr>
        <w:t>)</w:t>
      </w:r>
    </w:p>
    <w:p w14:paraId="264F64CA" w14:textId="77777777" w:rsidR="00B55BD8" w:rsidRPr="00D81064" w:rsidRDefault="00B55BD8" w:rsidP="00B55BD8">
      <w:pPr>
        <w:rPr>
          <w:rFonts w:eastAsia="Calibri" w:cs="Calibri"/>
          <w:lang w:val="ru-RU"/>
        </w:rPr>
      </w:pPr>
      <w:r w:rsidRPr="00D81064">
        <w:rPr>
          <w:rFonts w:eastAsia="Calibri" w:cs="Calibri"/>
          <w:lang w:val="ru-RU"/>
        </w:rPr>
        <w:t>16.1</w:t>
      </w:r>
      <w:r w:rsidRPr="00D81064">
        <w:rPr>
          <w:lang w:val="ru-RU"/>
        </w:rPr>
        <w:tab/>
        <w:t>Представитель Генерального секретариата представил Документ C26/20, в котором сообщается о мерах, принятых Генеральным секретарем в отношении допуска объединений, занимающихся вопросами электросвязи (п. 230 Конвенции МСЭ), к участию в деятельности Секторов МСЭ в качестве Членов Секторов или Ассоциированных членов. Каждое объединение было утверждено соответствующим Государством-Членом и на предварительной основе, до подтверждения Советом, включено в список Членов.</w:t>
      </w:r>
    </w:p>
    <w:p w14:paraId="4EDA6FED" w14:textId="77777777" w:rsidR="00B55BD8" w:rsidRPr="00D81064" w:rsidRDefault="00B55BD8" w:rsidP="00306165">
      <w:pPr>
        <w:keepNext/>
        <w:keepLines/>
        <w:rPr>
          <w:rFonts w:eastAsia="Calibri" w:cs="Calibri"/>
          <w:szCs w:val="24"/>
          <w:lang w:val="ru-RU"/>
        </w:rPr>
      </w:pPr>
      <w:r w:rsidRPr="00D81064">
        <w:rPr>
          <w:rFonts w:eastAsia="Calibri" w:cs="Calibri"/>
          <w:szCs w:val="24"/>
          <w:lang w:val="ru-RU"/>
        </w:rPr>
        <w:t>16.2</w:t>
      </w:r>
      <w:r w:rsidRPr="00D81064">
        <w:rPr>
          <w:rFonts w:eastAsia="Calibri" w:cs="Calibri"/>
          <w:szCs w:val="24"/>
          <w:lang w:val="ru-RU"/>
        </w:rPr>
        <w:tab/>
        <w:t xml:space="preserve">Комитет </w:t>
      </w:r>
      <w:r w:rsidRPr="00D81064">
        <w:rPr>
          <w:rFonts w:eastAsia="Calibri" w:cs="Calibri"/>
          <w:b/>
          <w:bCs/>
          <w:szCs w:val="24"/>
          <w:lang w:val="ru-RU"/>
        </w:rPr>
        <w:t>принял решение</w:t>
      </w:r>
      <w:r w:rsidRPr="00D81064">
        <w:rPr>
          <w:rFonts w:eastAsia="Calibri" w:cs="Calibri"/>
          <w:szCs w:val="24"/>
          <w:lang w:val="ru-RU"/>
        </w:rPr>
        <w:t xml:space="preserve"> сделать по данному вопросу следующее заключение:</w:t>
      </w:r>
    </w:p>
    <w:p w14:paraId="2D04A912" w14:textId="77777777" w:rsidR="00B55BD8" w:rsidRPr="00D81064" w:rsidRDefault="00B55BD8" w:rsidP="00AC3268">
      <w:pPr>
        <w:keepNext/>
        <w:pBdr>
          <w:top w:val="single" w:sz="4" w:space="1" w:color="000000"/>
          <w:left w:val="single" w:sz="4" w:space="4" w:color="000000"/>
          <w:bottom w:val="single" w:sz="4" w:space="1" w:color="000000"/>
          <w:right w:val="single" w:sz="4" w:space="4" w:color="000000"/>
        </w:pBdr>
        <w:spacing w:line="259" w:lineRule="auto"/>
        <w:rPr>
          <w:lang w:val="ru-RU"/>
        </w:rPr>
      </w:pPr>
      <w:r w:rsidRPr="00D81064">
        <w:rPr>
          <w:rFonts w:eastAsia="Calibri" w:cs="Calibri"/>
          <w:szCs w:val="24"/>
          <w:lang w:val="ru-RU"/>
        </w:rPr>
        <w:t>16.3</w:t>
      </w:r>
      <w:r w:rsidRPr="00D81064">
        <w:rPr>
          <w:lang w:val="ru-RU"/>
        </w:rPr>
        <w:tab/>
        <w:t>Комитет рекомендует Совету:</w:t>
      </w:r>
    </w:p>
    <w:p w14:paraId="26D6E671" w14:textId="77777777" w:rsidR="00B55BD8" w:rsidRPr="00D81064" w:rsidRDefault="00B55BD8" w:rsidP="00B55BD8">
      <w:pPr>
        <w:pStyle w:val="enumlev1"/>
        <w:pBdr>
          <w:top w:val="single" w:sz="4" w:space="1" w:color="000000"/>
          <w:left w:val="single" w:sz="4" w:space="4" w:color="000000"/>
          <w:bottom w:val="single" w:sz="4" w:space="1" w:color="000000"/>
          <w:right w:val="single" w:sz="4" w:space="4" w:color="000000"/>
        </w:pBdr>
        <w:rPr>
          <w:lang w:val="ru-RU"/>
        </w:rPr>
      </w:pPr>
      <w:r w:rsidRPr="00D81064">
        <w:rPr>
          <w:lang w:val="ru-RU"/>
        </w:rPr>
        <w:t>•</w:t>
      </w:r>
      <w:r w:rsidRPr="00D81064">
        <w:rPr>
          <w:lang w:val="ru-RU"/>
        </w:rPr>
        <w:tab/>
        <w:t xml:space="preserve">подтвердить меры, принятые Генеральным секретарем в отношении допуска занимающихся вопросами электросвязи объединений, которые перечислены в приложении к Документу </w:t>
      </w:r>
      <w:hyperlink r:id="rId86" w:history="1">
        <w:r w:rsidRPr="00D81064">
          <w:rPr>
            <w:rStyle w:val="Hyperlink"/>
            <w:lang w:val="ru-RU"/>
          </w:rPr>
          <w:t>C26/20</w:t>
        </w:r>
      </w:hyperlink>
      <w:r w:rsidRPr="00D81064">
        <w:rPr>
          <w:lang w:val="ru-RU"/>
        </w:rPr>
        <w:t>.</w:t>
      </w:r>
    </w:p>
    <w:p w14:paraId="3B429C1E" w14:textId="77777777" w:rsidR="00D444D7" w:rsidRPr="00D81064" w:rsidRDefault="00D444D7" w:rsidP="00333AE2">
      <w:pPr>
        <w:pStyle w:val="Heading1"/>
        <w:rPr>
          <w:lang w:val="ru-RU"/>
        </w:rPr>
      </w:pPr>
      <w:r w:rsidRPr="00D81064">
        <w:rPr>
          <w:bCs/>
          <w:lang w:val="ru-RU"/>
        </w:rPr>
        <w:t>17</w:t>
      </w:r>
      <w:r w:rsidRPr="00D81064">
        <w:rPr>
          <w:lang w:val="ru-RU"/>
        </w:rPr>
        <w:tab/>
      </w:r>
      <w:r w:rsidRPr="00D81064">
        <w:rPr>
          <w:bCs/>
          <w:lang w:val="ru-RU"/>
        </w:rPr>
        <w:t>Возмещение затрат на обработку заявок на регистрацию спутниковых сетей (Документ</w:t>
      </w:r>
      <w:r w:rsidRPr="00D81064">
        <w:rPr>
          <w:lang w:val="ru-RU"/>
        </w:rPr>
        <w:t xml:space="preserve"> </w:t>
      </w:r>
      <w:hyperlink r:id="rId87" w:history="1">
        <w:r w:rsidRPr="00D81064">
          <w:rPr>
            <w:rStyle w:val="Hyperlink"/>
            <w:bCs/>
            <w:lang w:val="ru-RU"/>
          </w:rPr>
          <w:t>C26/</w:t>
        </w:r>
        <w:r w:rsidRPr="00D81064">
          <w:rPr>
            <w:rStyle w:val="Hyperlink"/>
            <w:lang w:val="ru-RU"/>
          </w:rPr>
          <w:t>16</w:t>
        </w:r>
      </w:hyperlink>
      <w:r w:rsidRPr="00D81064">
        <w:rPr>
          <w:lang w:val="ru-RU"/>
        </w:rPr>
        <w:t>)</w:t>
      </w:r>
      <w:hyperlink r:id="rId88" w:history="1"/>
    </w:p>
    <w:p w14:paraId="056C0A06" w14:textId="1B2E98EC" w:rsidR="00D444D7" w:rsidRPr="00D81064" w:rsidRDefault="00D81064" w:rsidP="00D81064">
      <w:pPr>
        <w:pStyle w:val="Headingb"/>
        <w:ind w:left="794" w:hanging="794"/>
        <w:rPr>
          <w:sz w:val="26"/>
          <w:szCs w:val="26"/>
          <w:lang w:val="ru-RU"/>
        </w:rPr>
      </w:pPr>
      <w:r w:rsidRPr="00D81064">
        <w:rPr>
          <w:sz w:val="26"/>
          <w:szCs w:val="26"/>
          <w:lang w:val="ru-RU"/>
        </w:rPr>
        <w:tab/>
      </w:r>
      <w:r w:rsidR="00D444D7" w:rsidRPr="00D81064">
        <w:rPr>
          <w:sz w:val="26"/>
          <w:szCs w:val="26"/>
          <w:lang w:val="ru-RU"/>
        </w:rPr>
        <w:t xml:space="preserve">Записка о распределении ресурсов для предусмотренной Уставом деятельности Бюро радиосвязи, включая обработку заявок на космические службы (Документ </w:t>
      </w:r>
      <w:hyperlink r:id="rId89" w:history="1">
        <w:r w:rsidR="00D444D7" w:rsidRPr="00D81064">
          <w:rPr>
            <w:rStyle w:val="Hyperlink"/>
            <w:sz w:val="26"/>
            <w:szCs w:val="26"/>
            <w:lang w:val="ru-RU"/>
          </w:rPr>
          <w:t>C26/107</w:t>
        </w:r>
      </w:hyperlink>
      <w:r w:rsidR="00D444D7" w:rsidRPr="00D81064">
        <w:rPr>
          <w:sz w:val="26"/>
          <w:szCs w:val="26"/>
          <w:lang w:val="ru-RU"/>
        </w:rPr>
        <w:t>)</w:t>
      </w:r>
      <w:hyperlink r:id="rId90" w:history="1"/>
    </w:p>
    <w:p w14:paraId="1CC93F2E" w14:textId="65AD58B8" w:rsidR="00D444D7" w:rsidRPr="00D81064" w:rsidRDefault="00D81064" w:rsidP="00D81064">
      <w:pPr>
        <w:pStyle w:val="Headingb"/>
        <w:ind w:left="794" w:hanging="794"/>
        <w:rPr>
          <w:sz w:val="26"/>
          <w:szCs w:val="26"/>
          <w:lang w:val="ru-RU"/>
        </w:rPr>
      </w:pPr>
      <w:r w:rsidRPr="00D81064">
        <w:rPr>
          <w:sz w:val="26"/>
          <w:szCs w:val="26"/>
          <w:lang w:val="ru-RU"/>
        </w:rPr>
        <w:tab/>
      </w:r>
      <w:r w:rsidR="00D444D7" w:rsidRPr="00D81064">
        <w:rPr>
          <w:sz w:val="26"/>
          <w:szCs w:val="26"/>
          <w:lang w:val="ru-RU"/>
        </w:rPr>
        <w:t xml:space="preserve">Предложение по сокращению накопившегося объема невыполненной работы по обработке заявок на регистрацию спутниковых сетей и систем в Департаменте космических служб МСЭ (Документ </w:t>
      </w:r>
      <w:hyperlink r:id="rId91" w:history="1">
        <w:r w:rsidR="00D444D7" w:rsidRPr="00D81064">
          <w:rPr>
            <w:rStyle w:val="Hyperlink"/>
            <w:sz w:val="26"/>
            <w:szCs w:val="26"/>
            <w:lang w:val="ru-RU"/>
          </w:rPr>
          <w:t>C26/75</w:t>
        </w:r>
      </w:hyperlink>
      <w:r w:rsidR="00D444D7" w:rsidRPr="00D81064">
        <w:rPr>
          <w:sz w:val="26"/>
          <w:szCs w:val="26"/>
          <w:lang w:val="ru-RU"/>
        </w:rPr>
        <w:t>)</w:t>
      </w:r>
      <w:hyperlink r:id="rId92" w:history="1"/>
    </w:p>
    <w:p w14:paraId="6F89879F" w14:textId="77777777" w:rsidR="00D444D7" w:rsidRPr="00D81064" w:rsidRDefault="00D444D7" w:rsidP="003777B4">
      <w:pPr>
        <w:rPr>
          <w:rFonts w:cs="Calibri"/>
          <w:color w:val="000000" w:themeColor="text1"/>
          <w:lang w:val="ru-RU"/>
        </w:rPr>
      </w:pPr>
      <w:r w:rsidRPr="00D81064">
        <w:rPr>
          <w:lang w:val="ru-RU"/>
        </w:rPr>
        <w:t>17.1</w:t>
      </w:r>
      <w:r w:rsidRPr="00D81064">
        <w:rPr>
          <w:lang w:val="ru-RU"/>
        </w:rPr>
        <w:tab/>
        <w:t>Руководитель Департамента космических служб (SSD) представил Документ C26/16, в котором содержится ежегодный отчет о возмещении затрат на обработку заявок на регистрацию спутниковых сетей, и обратил внимание присутствующих на разницу между предусмотренными в бюджете суммами по линии возмещения затрат и фактическими суммами по выставленным счетам, которая возникла в результате изменения соотношения между представлениями геостационарных спутниковых (ГСО) сетей и негеостационарных спутниковых (НГСО) систем, особо отметив, что первые, как правило, облагаются более высокими сборами. Решение 482 (C01, последнее изменение C25) должно решить эту проблему, однако результаты его применения будут заметны только начиная с 2026 года. Кроме того, согласно правилам аудиторских проверок, платежи по счетам-фактурам, связанным с возмещением затрат на регистрацию спутниковых сетей, отражаются в учтенных доходах только после публикации соответствующих специальных секций, а этот процесс задерживается из-за накопившегося объема невыполненной работы по обработке заявок на регистрацию спутниковых сетей. БР не располагает необходимыми ресурсами для ликвидации накопившегося объема невыполненной работы и уменьшения таким образом суммы доходов будущих периодов, которая на конец 2025 года составляла 4 237 520 швейцарских франков. Наконец, в соответствии с Резолюциями 35 (</w:t>
      </w:r>
      <w:proofErr w:type="spellStart"/>
      <w:r w:rsidRPr="00D81064">
        <w:rPr>
          <w:lang w:val="ru-RU"/>
        </w:rPr>
        <w:t>Пересм</w:t>
      </w:r>
      <w:proofErr w:type="spellEnd"/>
      <w:r w:rsidRPr="00D81064">
        <w:rPr>
          <w:lang w:val="ru-RU"/>
        </w:rPr>
        <w:t>. ВКР-23) и 8 (ВКР-23) необходимо рассматривать характеристики развертывания каждого спутника в группировке, что было вполне выполнимо, когда системы включали лишь небольшое количество спутников, но стало непосильной задачей при увеличении их числа. В связи с этим Совет, возможно, пожелает поручить РГС-ФЛР провести тщательную оценку стоимости выполнения работ, предусмотренных Резолюциями 35 (</w:t>
      </w:r>
      <w:proofErr w:type="spellStart"/>
      <w:r w:rsidRPr="00D81064">
        <w:rPr>
          <w:lang w:val="ru-RU"/>
        </w:rPr>
        <w:t>Пересм</w:t>
      </w:r>
      <w:proofErr w:type="spellEnd"/>
      <w:r w:rsidRPr="00D81064">
        <w:rPr>
          <w:lang w:val="ru-RU"/>
        </w:rPr>
        <w:t>. ВКР-23) и 8 (ВКР-23).</w:t>
      </w:r>
    </w:p>
    <w:p w14:paraId="0A24DCA5" w14:textId="729CE5A0" w:rsidR="00D444D7" w:rsidRPr="00D81064" w:rsidRDefault="00D444D7" w:rsidP="00916C0B">
      <w:pPr>
        <w:rPr>
          <w:lang w:val="ru-RU"/>
        </w:rPr>
      </w:pPr>
      <w:r w:rsidRPr="00D81064">
        <w:rPr>
          <w:lang w:val="ru-RU"/>
        </w:rPr>
        <w:lastRenderedPageBreak/>
        <w:t>17.2</w:t>
      </w:r>
      <w:r w:rsidRPr="00D81064">
        <w:rPr>
          <w:lang w:val="ru-RU"/>
        </w:rPr>
        <w:tab/>
        <w:t xml:space="preserve">Заместитель Председателя КГР представил Документ C26/107, содержащий записку КГР о распределении ресурсов для предусмотренной Уставом деятельности БР, включая обработку заявок на космические службы. КГР признала трудности, с которыми столкнулось Бюро при обработке заявок на регистрацию спутниковых сетей, что привело к задержкам в обработке заявок на космические системы, в результате чего накопился объем невыполненной работы, сроки выполнения которой превышают четырехмесячный </w:t>
      </w:r>
      <w:proofErr w:type="spellStart"/>
      <w:r w:rsidRPr="00D81064">
        <w:rPr>
          <w:lang w:val="ru-RU"/>
        </w:rPr>
        <w:t>регламентарный</w:t>
      </w:r>
      <w:proofErr w:type="spellEnd"/>
      <w:r w:rsidRPr="00D81064">
        <w:rPr>
          <w:lang w:val="ru-RU"/>
        </w:rPr>
        <w:t xml:space="preserve"> предельный срок, установленный в п. 9.38 Регламента радиосвязи, в три раза. КГР также признала, что проблемы, с которыми сталкивается Бюро, выходят за рамки обработки заявок на космические системы. КГР подчеркнула, что несмотря на бюджетные ограничения, с</w:t>
      </w:r>
      <w:r w:rsidR="00DB2625" w:rsidRPr="00D81064">
        <w:rPr>
          <w:lang w:val="ru-RU"/>
        </w:rPr>
        <w:t> </w:t>
      </w:r>
      <w:r w:rsidRPr="00D81064">
        <w:rPr>
          <w:lang w:val="ru-RU"/>
        </w:rPr>
        <w:t>которыми в настоящее время сталкивается Союз, необходимо обеспечить БР достаточными ресурсами для выполнения его предусмотренного Уставом мандата, и предложила Совету принять соответствующие меры для урегулирования сложившейся ситуации и создания условий, позволяющих БР эффективно выполнять свои обязанности в соответствии с применимой нормативно-правовой базой.</w:t>
      </w:r>
    </w:p>
    <w:p w14:paraId="43315F69" w14:textId="77777777" w:rsidR="00D444D7" w:rsidRPr="00D81064" w:rsidRDefault="00D444D7" w:rsidP="00735484">
      <w:pPr>
        <w:rPr>
          <w:lang w:val="ru-RU"/>
        </w:rPr>
      </w:pPr>
      <w:r w:rsidRPr="00D81064">
        <w:rPr>
          <w:lang w:val="ru-RU"/>
        </w:rPr>
        <w:t>17.3</w:t>
      </w:r>
      <w:r w:rsidRPr="00D81064">
        <w:rPr>
          <w:lang w:val="ru-RU"/>
        </w:rPr>
        <w:tab/>
        <w:t>Советник от Аргентины представил Документ C26/75, в котором содержится предложение сократить накопившийся объем невыполненной работы по обработке заявок на регистрацию спутниковых сетей и систем путем укрепления SSD за счет набора сотрудников категории специалистов в лице инженеров, специализирующихся на технико-</w:t>
      </w:r>
      <w:proofErr w:type="spellStart"/>
      <w:r w:rsidRPr="00D81064">
        <w:rPr>
          <w:lang w:val="ru-RU"/>
        </w:rPr>
        <w:t>регламентарном</w:t>
      </w:r>
      <w:proofErr w:type="spellEnd"/>
      <w:r w:rsidRPr="00D81064">
        <w:rPr>
          <w:lang w:val="ru-RU"/>
        </w:rPr>
        <w:t xml:space="preserve"> анализе спутниковых сетей и систем, и инженеров-программистов, занимающихся разработкой, обслуживанием и оптимизацией инструментов ИТ для обработки и анализа заявок. Такой подход позволил бы значительно сократить накопившийся к настоящему моменту объем невыполненной работы по обработке заявок на регистрацию спутниковых сетей и систем, повысить эффективность работы SSD и обеспечить финансовую и оперативную устойчивость деятельности МСЭ в области космических служб.</w:t>
      </w:r>
    </w:p>
    <w:p w14:paraId="58262532" w14:textId="23075A21" w:rsidR="00D444D7" w:rsidRPr="00D81064" w:rsidRDefault="00D444D7" w:rsidP="003777B4">
      <w:pPr>
        <w:rPr>
          <w:lang w:val="ru-RU"/>
        </w:rPr>
      </w:pPr>
      <w:r w:rsidRPr="00D81064">
        <w:rPr>
          <w:lang w:val="ru-RU"/>
        </w:rPr>
        <w:t>17.4</w:t>
      </w:r>
      <w:r w:rsidRPr="00D81064">
        <w:rPr>
          <w:lang w:val="ru-RU"/>
        </w:rPr>
        <w:tab/>
        <w:t>Советники положительно оценили отчет, содержащийся в Документе C26/16, в котором подчеркивается растущее несоответствие между показателями доходов и распределением затрат. Они выразили обеспокоенность в связи с беспрецедентным объемом невыполненной работы и задержками в обработке заявок на регистрацию спутниковых сетей, а</w:t>
      </w:r>
      <w:r w:rsidR="00DB2625" w:rsidRPr="00D81064">
        <w:rPr>
          <w:lang w:val="ru-RU"/>
        </w:rPr>
        <w:t> </w:t>
      </w:r>
      <w:r w:rsidRPr="00D81064">
        <w:rPr>
          <w:lang w:val="ru-RU"/>
        </w:rPr>
        <w:t xml:space="preserve">также в связи с тем, что затраты на обработку заявок значительно превышают получаемые доходы. Существующая модель возмещения затрат оказалась под серьезным давлением, особенно с учетом быстрого увеличения числа крупных негеостационарных группировок. Поэтому необходимо внедрить механизмы, позволяющие обеспечить четкое соответствие между сборами за обработку заявок на регистрацию и фактическими затратами на их обработку. Следует сделать все возможное, чтобы избежать ситуации, при которой администрации, которые не эксплуатируют свои собственные спутниковые системы, будут нести расходы за </w:t>
      </w:r>
      <w:proofErr w:type="spellStart"/>
      <w:r w:rsidRPr="00D81064">
        <w:rPr>
          <w:lang w:val="ru-RU"/>
        </w:rPr>
        <w:t>регламентарные</w:t>
      </w:r>
      <w:proofErr w:type="spellEnd"/>
      <w:r w:rsidRPr="00D81064">
        <w:rPr>
          <w:lang w:val="ru-RU"/>
        </w:rPr>
        <w:t xml:space="preserve"> процедуры, которые в первую очередь обслуживают глобальных коммерческих операторов. Поэтому любые принимаемые меры, касающиеся возмещения затрат, должны дополняться мерами, направленными на устранение системных причин, которые привели к накоплению такого объема невыполненной работы, а не становиться перекладыванием бремени на плечи администраций.</w:t>
      </w:r>
    </w:p>
    <w:p w14:paraId="4A6DD823" w14:textId="77777777" w:rsidR="00D444D7" w:rsidRPr="00D81064" w:rsidRDefault="00D444D7" w:rsidP="003777B4">
      <w:pPr>
        <w:rPr>
          <w:lang w:val="ru-RU"/>
        </w:rPr>
      </w:pPr>
      <w:r w:rsidRPr="00D81064">
        <w:rPr>
          <w:lang w:val="ru-RU"/>
        </w:rPr>
        <w:t>17.5</w:t>
      </w:r>
      <w:r w:rsidRPr="00D81064">
        <w:rPr>
          <w:lang w:val="ru-RU"/>
        </w:rPr>
        <w:tab/>
        <w:t>Что касается вопроса о доходах будущих периодов, одна из Советников поинтересовалась, в чем заключаются связанные с этим проблемы и можно ли их решить собственными силами или для этого требуется принятие мер Государствами-Членами в рамках Совета или Полномочной конференции.</w:t>
      </w:r>
    </w:p>
    <w:p w14:paraId="7309A2E9" w14:textId="77777777" w:rsidR="00D444D7" w:rsidRPr="00D81064" w:rsidRDefault="00D444D7" w:rsidP="003777B4">
      <w:pPr>
        <w:rPr>
          <w:lang w:val="ru-RU"/>
        </w:rPr>
      </w:pPr>
      <w:r w:rsidRPr="00D81064">
        <w:rPr>
          <w:lang w:val="ru-RU"/>
        </w:rPr>
        <w:t>17.6</w:t>
      </w:r>
      <w:r w:rsidRPr="00D81064">
        <w:rPr>
          <w:lang w:val="ru-RU"/>
        </w:rPr>
        <w:tab/>
        <w:t>Советники согласились с тем, что необходимо провести оценку стоимости выполнения работ, предусмотренных Резолюциями 35 (</w:t>
      </w:r>
      <w:proofErr w:type="spellStart"/>
      <w:r w:rsidRPr="00D81064">
        <w:rPr>
          <w:lang w:val="ru-RU"/>
        </w:rPr>
        <w:t>Пересм</w:t>
      </w:r>
      <w:proofErr w:type="spellEnd"/>
      <w:r w:rsidRPr="00D81064">
        <w:rPr>
          <w:lang w:val="ru-RU"/>
        </w:rPr>
        <w:t xml:space="preserve">. ВКР-23) и 8 (ВКР-23), но при этом некоторые из них высказали мнение, что такую оценку должна проводить РГС-ФЛР, в то время как другие заявили, что предпочли бы вновь созвать Группу экспертов Совета по Решению 482, члены которой обладают соответствующим опытом, который можно было бы использовать. Также полезным мог бы быть дальнейший пересмотр Решения 482. Одна из Советников </w:t>
      </w:r>
      <w:r w:rsidRPr="00D81064">
        <w:rPr>
          <w:lang w:val="ru-RU"/>
        </w:rPr>
        <w:lastRenderedPageBreak/>
        <w:t>высказала мнение, что наиболее подходящей площадкой для принятия решения о том, в рамках какого форума следует проводить эти оценки, будет Полномочная конференция, которая может рассмотреть этот вопрос в рамках пункта повестки дня о создании рабочих групп и сфере их деятельности. Эти оценки должны проводиться параллельно с разработкой новой методики возмещения затрат на обработку заявок на регистрацию спутниковых сетей. Один из Советников поинтересовался, когда будут доступны сводные данные за первые несколько месяцев 2026 года, чтобы понять результаты применения Решения 482 (C01, последнее изменение C25).</w:t>
      </w:r>
    </w:p>
    <w:p w14:paraId="53BBA992" w14:textId="715B5C10" w:rsidR="00D444D7" w:rsidRPr="00D81064" w:rsidRDefault="00D444D7" w:rsidP="003777B4">
      <w:pPr>
        <w:rPr>
          <w:lang w:val="ru-RU"/>
        </w:rPr>
      </w:pPr>
      <w:r w:rsidRPr="00D81064">
        <w:rPr>
          <w:lang w:val="ru-RU"/>
        </w:rPr>
        <w:t>17.7</w:t>
      </w:r>
      <w:r w:rsidRPr="00D81064">
        <w:rPr>
          <w:lang w:val="ru-RU"/>
        </w:rPr>
        <w:tab/>
        <w:t xml:space="preserve">С учетом вышеизложенного, приостановка набора персонала в рамках всего </w:t>
      </w:r>
      <w:r w:rsidR="00373264" w:rsidRPr="00D81064">
        <w:rPr>
          <w:lang w:val="ru-RU"/>
        </w:rPr>
        <w:t xml:space="preserve">Секретариата </w:t>
      </w:r>
      <w:r w:rsidRPr="00D81064">
        <w:rPr>
          <w:lang w:val="ru-RU"/>
        </w:rPr>
        <w:t>на основе "единого для всех" принципа сдерживания затрат представляется нецелесообразным; БР требуется больше людских и финансовых ресурсов для выполнения своего мандата. В связи с этим было бы полезно получить обзор текущих вакансий в БР и предложений по их заполнению. Справедливое, прозрачное и устойчивое управление ресурсами космических служб имеет решающее значение. Кроме того, в повестке дня ВКР-27 будет много пунктов, связанных со спутниками, что приведет к увеличению объема работы и появлению новых видов деятельности. Поэтому просьбы о выделении дополнительных людских ресурсов вполне обоснованы.</w:t>
      </w:r>
    </w:p>
    <w:p w14:paraId="616539A7" w14:textId="1345D298" w:rsidR="00D444D7" w:rsidRPr="00D81064" w:rsidRDefault="00D444D7" w:rsidP="009B3DC3">
      <w:pPr>
        <w:rPr>
          <w:lang w:val="ru-RU"/>
        </w:rPr>
      </w:pPr>
      <w:r w:rsidRPr="00D81064">
        <w:rPr>
          <w:lang w:val="ru-RU"/>
        </w:rPr>
        <w:t>17.8</w:t>
      </w:r>
      <w:r w:rsidRPr="00D81064">
        <w:rPr>
          <w:lang w:val="ru-RU"/>
        </w:rPr>
        <w:tab/>
        <w:t xml:space="preserve">Советники выразили обеспокоенность по поводу накопившегося объема невыполненной работы и призвали </w:t>
      </w:r>
      <w:r w:rsidR="00373264" w:rsidRPr="00D81064">
        <w:rPr>
          <w:lang w:val="ru-RU"/>
        </w:rPr>
        <w:t xml:space="preserve">Секретариат </w:t>
      </w:r>
      <w:r w:rsidRPr="00D81064">
        <w:rPr>
          <w:lang w:val="ru-RU"/>
        </w:rPr>
        <w:t>рассмотреть краткосрочные стратегии, направленные на обеспечение БР достаточными ресурсами для выполнения его мандата и своевременной обработки заявок. Один из Советников задал вопрос об использовании термина "предусмотренная Уставом деятельность" Сектора радиосвязи МСЭ (МСЭ-R). Он хотел бы знать, откуда взялось понятие "предусмотренная Уставом деятельность" и считается ли деятельность в других Секторах также "предусмотренной Уставом".</w:t>
      </w:r>
    </w:p>
    <w:p w14:paraId="03619FED" w14:textId="6C195CC8" w:rsidR="00D444D7" w:rsidRPr="00D81064" w:rsidRDefault="00D444D7" w:rsidP="006556B0">
      <w:pPr>
        <w:rPr>
          <w:lang w:val="ru-RU"/>
        </w:rPr>
      </w:pPr>
      <w:r w:rsidRPr="00D81064">
        <w:rPr>
          <w:lang w:val="ru-RU"/>
        </w:rPr>
        <w:t>17.9</w:t>
      </w:r>
      <w:r w:rsidRPr="00D81064">
        <w:rPr>
          <w:lang w:val="ru-RU"/>
        </w:rPr>
        <w:tab/>
        <w:t xml:space="preserve">Ряд Советников поддержали предложение Аргентины и согласились с необходимостью укрепления кадрового состава БР и оптимизации его рабочих процессов с помощью программного обеспечения. Внутренние кадровые проблемы не являются законным основанием для несоблюдения Регламента радиосвязи. Поэтому необходимо принять меры, чтобы БР мог выполнять свой мандат. Заявки на регистрацию крупных негеостационарных спутниковых группировок существенно увеличивают нагрузку на БР. </w:t>
      </w:r>
      <w:proofErr w:type="gramStart"/>
      <w:r w:rsidRPr="00D81064">
        <w:rPr>
          <w:lang w:val="ru-RU"/>
        </w:rPr>
        <w:t>Притом</w:t>
      </w:r>
      <w:proofErr w:type="gramEnd"/>
      <w:r w:rsidRPr="00D81064">
        <w:rPr>
          <w:lang w:val="ru-RU"/>
        </w:rPr>
        <w:t xml:space="preserve"> что людские ресурсы следует укреплять, любой новый набор персонала должен соответствовать обновленной политике в области оптимизации использования SSA. Один из Советников предложил, чтобы расходы на привлечение дополнительных экспертов покрывались за счет средств, полученных по линии возмещения затрат на регистрацию спутниковых сетей. Еще одна из Советников выразила обеспокоенность по поводу увеличения штата сотрудников. Следует принять временные меры для ликвидации накопившегося объема невыполненной работы, поскольку повышение эффективности программного обеспечения и рабочего процесса скажется на рабочей нагрузке, и увеличение штата, возможно, не потребуется. Поэтому следует рассмотреть возможность привлечения подрядчиков на краткосрочной основе.</w:t>
      </w:r>
    </w:p>
    <w:p w14:paraId="5340FBEC" w14:textId="0F397904" w:rsidR="00D444D7" w:rsidRPr="00D81064" w:rsidRDefault="00D444D7" w:rsidP="001253FC">
      <w:pPr>
        <w:rPr>
          <w:rFonts w:cs="Calibri"/>
          <w:color w:val="000000" w:themeColor="text1"/>
          <w:lang w:val="ru-RU"/>
        </w:rPr>
      </w:pPr>
      <w:r w:rsidRPr="00D81064">
        <w:rPr>
          <w:lang w:val="ru-RU"/>
        </w:rPr>
        <w:t>17.10</w:t>
      </w:r>
      <w:r w:rsidRPr="00D81064">
        <w:rPr>
          <w:lang w:val="ru-RU"/>
        </w:rPr>
        <w:tab/>
        <w:t xml:space="preserve">Руководитель SSD заявил, что </w:t>
      </w:r>
      <w:r w:rsidR="00373264" w:rsidRPr="00D81064">
        <w:rPr>
          <w:lang w:val="ru-RU"/>
        </w:rPr>
        <w:t xml:space="preserve">Секретариат </w:t>
      </w:r>
      <w:r w:rsidRPr="00D81064">
        <w:rPr>
          <w:lang w:val="ru-RU"/>
        </w:rPr>
        <w:t>предлагает поручить проведение оценки стоимости выполнения Резолюций 35 (</w:t>
      </w:r>
      <w:proofErr w:type="spellStart"/>
      <w:r w:rsidRPr="00D81064">
        <w:rPr>
          <w:lang w:val="ru-RU"/>
        </w:rPr>
        <w:t>Пересм</w:t>
      </w:r>
      <w:proofErr w:type="spellEnd"/>
      <w:r w:rsidRPr="00D81064">
        <w:rPr>
          <w:lang w:val="ru-RU"/>
        </w:rPr>
        <w:t xml:space="preserve">. ВКР-23) и 8 (ВКР-23) РГС-ФЛР, поскольку объем работы в рамках данной задачи ограничен, а создание группы экспертов повлечет за собой расходы. Однако продление мандата Группы экспертов является прерогативой Совета. Точные цифры по представлениям за 2026 год могут быть представлены Полномочной конференции, однако количество заявок в целом вернулось к нормальным показателям после резкого скачка в декабре 2025 года. Задержка в обработке затронула лишь один тип представлений. Поэтому ресурсы SSD не нужно увеличивать в три раза, достаточно их немного нарастить для обработки этих заявок. Все другие заявки обрабатываются в установленные сроки. Что касается потребностей в ресурсах, следует иметь в виду, что внедрение разработок в области ИТ и процессов автоматизации в конечном счете обеспечит экономию, но в краткосрочной </w:t>
      </w:r>
      <w:r w:rsidRPr="00D81064">
        <w:rPr>
          <w:lang w:val="ru-RU"/>
        </w:rPr>
        <w:lastRenderedPageBreak/>
        <w:t>перспективе они потребуют инвестиций. В отношении людских ресурсов следует отметить, что хотя SSD нуждается в штатных инженерах, для ликвидации накопившегося объема невыполненной работы по обработке заявок потребуется нанять персонал на краткосрочной основе на период от двух до трех лет.</w:t>
      </w:r>
    </w:p>
    <w:p w14:paraId="7F0D68BE" w14:textId="77777777" w:rsidR="00D444D7" w:rsidRPr="00D81064" w:rsidRDefault="00D444D7" w:rsidP="001253FC">
      <w:pPr>
        <w:rPr>
          <w:lang w:val="ru-RU"/>
        </w:rPr>
      </w:pPr>
      <w:r w:rsidRPr="00D81064">
        <w:rPr>
          <w:lang w:val="ru-RU"/>
        </w:rPr>
        <w:t>17.11</w:t>
      </w:r>
      <w:r w:rsidRPr="00D81064">
        <w:rPr>
          <w:lang w:val="ru-RU"/>
        </w:rPr>
        <w:tab/>
        <w:t>Руководитель FRMD, комментируя вопрос о включении платежей по счетам в учтенные доходы, заявил, что с 2010 года МСЭ придерживается системы IPSAS, в соответствии с которой доходы могут учитываться только после оказания услуги. До оказания услуги доход не "теряется", а учитывается как "доход будущих периодов". Поступления могут быть признаны только после завершения оказания услуги.</w:t>
      </w:r>
    </w:p>
    <w:p w14:paraId="3B00AB63" w14:textId="393F2B3E" w:rsidR="00CC666E" w:rsidRPr="00D81064" w:rsidRDefault="00CC666E" w:rsidP="00CC666E">
      <w:pPr>
        <w:rPr>
          <w:lang w:val="ru-RU" w:eastAsia="en-GB"/>
        </w:rPr>
      </w:pPr>
      <w:r w:rsidRPr="00D81064">
        <w:rPr>
          <w:lang w:val="ru-RU"/>
        </w:rPr>
        <w:t>17.12</w:t>
      </w:r>
      <w:r w:rsidRPr="00D81064">
        <w:rPr>
          <w:lang w:val="ru-RU"/>
        </w:rPr>
        <w:tab/>
        <w:t>Директор БР поблагодарил Советников за понимание важности выделения БР надлежащего количества ресурсов для осуществления им деятельности в области регулирования. Виды деятельности, упомянутые во вкладе КГР, носят скорее обязательный, а не "предусмотренный Уставом" характер; эти виды деятельности являются обязательными и должны осуществляться в установленные сроки. В соответствии с Регламентом радиосвязи, БР обязано сообщать членам, когда предельные сроки не соблюдаются. БР было надлежащим образом обеспечено ресурсами для эпохи геостационарных спутников, когда на одну заявку приходился один спутник, а процесс рассмотрения был относительно несложным. После ввода в действие спутников на низкой околоземной орбите были предприняты усилия по обеспечению обработки этих заявок. Однако в настоящее время поступают заявки на регистрацию десятков тысяч спутников; так, в декабре 2025 года были заявлены на регистрацию около 200 000 спутников, после чего один из операторов заявил, что подаст заявку на регистрацию миллиона спутников. Хотя пока неясно, сколько именно будет подано заявок и будут ли эти спутники действительно запущены, БР, тем не менее, обязано обработать все эти заявки. Необходимо найти долгосрочное решение. Любые новые сотрудники, которые будут приняты на работу, должны будут пройти обучение, то есть они не смогут начать вносить вклад незамедлительно. Финансовые взносы Государств-Членов на приобретение программного обеспечения для ИТ-решений были бы весьма ценны. Это также не будет краткосрочным решением, поскольку проектирование, разработка, тестирование и внедрение программного обеспечения потребуют времени. Учитывая значительное увеличение количества запускаемых спутников, ситуация в БР не носит временного характера. Таким образом, необходимо обеспечить надлежащее и устойчивое выделение ресурсов для деятельности БР.</w:t>
      </w:r>
    </w:p>
    <w:p w14:paraId="60BB9C32" w14:textId="77777777" w:rsidR="00D444D7" w:rsidRPr="00D81064" w:rsidRDefault="00D444D7" w:rsidP="006C1508">
      <w:pPr>
        <w:keepNext/>
        <w:keepLines/>
        <w:rPr>
          <w:rFonts w:eastAsia="Calibri" w:cs="Calibri"/>
          <w:lang w:val="ru-RU"/>
        </w:rPr>
      </w:pPr>
      <w:r w:rsidRPr="00D81064">
        <w:rPr>
          <w:lang w:val="ru-RU"/>
        </w:rPr>
        <w:t>17.13</w:t>
      </w:r>
      <w:r w:rsidRPr="00D81064">
        <w:rPr>
          <w:lang w:val="ru-RU"/>
        </w:rPr>
        <w:tab/>
        <w:t xml:space="preserve">Комитет </w:t>
      </w:r>
      <w:r w:rsidRPr="00D81064">
        <w:rPr>
          <w:b/>
          <w:bCs/>
          <w:lang w:val="ru-RU"/>
        </w:rPr>
        <w:t>принял решение</w:t>
      </w:r>
      <w:r w:rsidRPr="00D81064">
        <w:rPr>
          <w:lang w:val="ru-RU"/>
        </w:rPr>
        <w:t xml:space="preserve"> сделать по данному вопросу следующее заключение:</w:t>
      </w:r>
    </w:p>
    <w:p w14:paraId="18640A3A" w14:textId="77777777" w:rsidR="00D444D7" w:rsidRPr="00D81064" w:rsidRDefault="00D444D7" w:rsidP="00AC3268">
      <w:pPr>
        <w:keepNext/>
        <w:pBdr>
          <w:top w:val="single" w:sz="4" w:space="1" w:color="000000"/>
          <w:left w:val="single" w:sz="4" w:space="4" w:color="000000"/>
          <w:bottom w:val="single" w:sz="4" w:space="1" w:color="000000"/>
          <w:right w:val="single" w:sz="4" w:space="4" w:color="000000"/>
        </w:pBdr>
        <w:rPr>
          <w:lang w:val="ru-RU"/>
        </w:rPr>
      </w:pPr>
      <w:r w:rsidRPr="00D81064">
        <w:rPr>
          <w:lang w:val="ru-RU"/>
        </w:rPr>
        <w:t>17.14</w:t>
      </w:r>
      <w:r w:rsidRPr="00D81064">
        <w:rPr>
          <w:lang w:val="ru-RU"/>
        </w:rPr>
        <w:tab/>
        <w:t>Комитет рекомендует Совету:</w:t>
      </w:r>
    </w:p>
    <w:p w14:paraId="069CCEEF" w14:textId="77777777" w:rsidR="00847EE3" w:rsidRPr="00D81064" w:rsidRDefault="00D444D7" w:rsidP="006C1508">
      <w:pPr>
        <w:pStyle w:val="enumlev1"/>
        <w:pBdr>
          <w:top w:val="single" w:sz="4" w:space="1" w:color="000000"/>
          <w:left w:val="single" w:sz="4" w:space="4" w:color="000000"/>
          <w:bottom w:val="single" w:sz="4" w:space="1" w:color="000000"/>
          <w:right w:val="single" w:sz="4" w:space="4" w:color="000000"/>
        </w:pBdr>
        <w:rPr>
          <w:lang w:val="ru-RU"/>
        </w:rPr>
      </w:pPr>
      <w:r w:rsidRPr="00D81064">
        <w:rPr>
          <w:rFonts w:eastAsia="Aptos"/>
          <w:lang w:val="ru-RU"/>
        </w:rPr>
        <w:t>•</w:t>
      </w:r>
      <w:r w:rsidRPr="00D81064">
        <w:rPr>
          <w:lang w:val="ru-RU"/>
        </w:rPr>
        <w:tab/>
        <w:t xml:space="preserve">принять к сведению отчет, содержащийся в Документе </w:t>
      </w:r>
      <w:hyperlink r:id="rId93">
        <w:r w:rsidRPr="00D81064">
          <w:rPr>
            <w:rStyle w:val="Hyperlink"/>
            <w:lang w:val="ru-RU"/>
          </w:rPr>
          <w:t>C26/16</w:t>
        </w:r>
      </w:hyperlink>
      <w:r w:rsidRPr="00D81064">
        <w:rPr>
          <w:lang w:val="ru-RU"/>
        </w:rPr>
        <w:t xml:space="preserve">; </w:t>
      </w:r>
    </w:p>
    <w:p w14:paraId="50E9014D" w14:textId="282D1FA9" w:rsidR="00D444D7" w:rsidRPr="00D81064" w:rsidRDefault="00847EE3" w:rsidP="006C1508">
      <w:pPr>
        <w:pStyle w:val="enumlev1"/>
        <w:pBdr>
          <w:top w:val="single" w:sz="4" w:space="1" w:color="000000"/>
          <w:left w:val="single" w:sz="4" w:space="4" w:color="000000"/>
          <w:bottom w:val="single" w:sz="4" w:space="1" w:color="000000"/>
          <w:right w:val="single" w:sz="4" w:space="4" w:color="000000"/>
        </w:pBdr>
        <w:rPr>
          <w:lang w:val="ru-RU"/>
        </w:rPr>
      </w:pPr>
      <w:r w:rsidRPr="00D81064">
        <w:rPr>
          <w:rFonts w:eastAsia="Aptos"/>
          <w:lang w:val="ru-RU"/>
        </w:rPr>
        <w:t>•</w:t>
      </w:r>
      <w:r w:rsidRPr="00D81064">
        <w:rPr>
          <w:lang w:val="ru-RU"/>
        </w:rPr>
        <w:tab/>
        <w:t xml:space="preserve">рассмотреть содержащийся в Документе </w:t>
      </w:r>
      <w:hyperlink r:id="rId94" w:history="1">
        <w:r w:rsidR="003A1F6A" w:rsidRPr="00D81064">
          <w:rPr>
            <w:rStyle w:val="Hyperlink"/>
            <w:rFonts w:eastAsia="Aptos"/>
            <w:lang w:val="ru-RU"/>
          </w:rPr>
          <w:t>C26/75</w:t>
        </w:r>
      </w:hyperlink>
      <w:r w:rsidRPr="00D81064">
        <w:rPr>
          <w:lang w:val="ru-RU"/>
        </w:rPr>
        <w:t xml:space="preserve"> вклад, направленный на укрепление ресурсов Департамента космических служб для устранения задержки в обработке заявок на регистрацию спутниковых сетей и систем, в том числе в контексте распределения средств, сэкономленных в 2025 году (Документ </w:t>
      </w:r>
      <w:hyperlink r:id="rId95" w:history="1">
        <w:r w:rsidR="003A1F6A" w:rsidRPr="00D81064">
          <w:rPr>
            <w:rStyle w:val="Hyperlink"/>
            <w:rFonts w:eastAsia="Aptos"/>
            <w:lang w:val="ru-RU"/>
          </w:rPr>
          <w:t>C26/42(Rev.2)</w:t>
        </w:r>
      </w:hyperlink>
      <w:r w:rsidRPr="00D81064">
        <w:rPr>
          <w:lang w:val="ru-RU"/>
        </w:rPr>
        <w:t xml:space="preserve">); </w:t>
      </w:r>
      <w:hyperlink r:id="rId96"/>
    </w:p>
    <w:p w14:paraId="15E3C396" w14:textId="4F1E3776" w:rsidR="00D444D7" w:rsidRPr="00D81064" w:rsidRDefault="00D444D7" w:rsidP="00B55BD8">
      <w:pPr>
        <w:pStyle w:val="enumlev1"/>
        <w:pBdr>
          <w:top w:val="single" w:sz="4" w:space="1" w:color="000000"/>
          <w:left w:val="single" w:sz="4" w:space="4" w:color="000000"/>
          <w:bottom w:val="single" w:sz="4" w:space="1" w:color="000000"/>
          <w:right w:val="single" w:sz="4" w:space="4" w:color="000000"/>
        </w:pBdr>
        <w:rPr>
          <w:rFonts w:eastAsia="Calibri" w:cs="Calibri"/>
          <w:lang w:val="ru-RU"/>
        </w:rPr>
      </w:pPr>
      <w:r w:rsidRPr="00D81064">
        <w:rPr>
          <w:rFonts w:eastAsia="Aptos"/>
          <w:lang w:val="ru-RU"/>
        </w:rPr>
        <w:t>•</w:t>
      </w:r>
      <w:r w:rsidRPr="00D81064">
        <w:rPr>
          <w:lang w:val="ru-RU"/>
        </w:rPr>
        <w:tab/>
        <w:t xml:space="preserve">поручить РГС-ФЛР </w:t>
      </w:r>
      <w:r w:rsidR="00847EE3" w:rsidRPr="00D81064">
        <w:rPr>
          <w:lang w:val="ru-RU"/>
        </w:rPr>
        <w:t>провести оценку затрат</w:t>
      </w:r>
      <w:r w:rsidRPr="00D81064">
        <w:rPr>
          <w:lang w:val="ru-RU"/>
        </w:rPr>
        <w:t>, связанн</w:t>
      </w:r>
      <w:r w:rsidR="00847EE3" w:rsidRPr="00D81064">
        <w:rPr>
          <w:lang w:val="ru-RU"/>
        </w:rPr>
        <w:t>ых</w:t>
      </w:r>
      <w:r w:rsidRPr="00D81064">
        <w:rPr>
          <w:lang w:val="ru-RU"/>
        </w:rPr>
        <w:t xml:space="preserve"> с</w:t>
      </w:r>
      <w:r w:rsidR="00847EE3" w:rsidRPr="00D81064">
        <w:rPr>
          <w:lang w:val="ru-RU"/>
        </w:rPr>
        <w:t xml:space="preserve"> выполнением</w:t>
      </w:r>
      <w:r w:rsidRPr="00D81064">
        <w:rPr>
          <w:lang w:val="ru-RU"/>
        </w:rPr>
        <w:t xml:space="preserve"> Резолюци</w:t>
      </w:r>
      <w:r w:rsidR="001C42DB" w:rsidRPr="00D81064">
        <w:rPr>
          <w:lang w:val="ru-RU"/>
        </w:rPr>
        <w:t>й </w:t>
      </w:r>
      <w:r w:rsidRPr="00D81064">
        <w:rPr>
          <w:lang w:val="ru-RU"/>
        </w:rPr>
        <w:t>35 (</w:t>
      </w:r>
      <w:proofErr w:type="spellStart"/>
      <w:r w:rsidRPr="00D81064">
        <w:rPr>
          <w:lang w:val="ru-RU"/>
        </w:rPr>
        <w:t>Пересм</w:t>
      </w:r>
      <w:proofErr w:type="spellEnd"/>
      <w:r w:rsidRPr="00D81064">
        <w:rPr>
          <w:lang w:val="ru-RU"/>
        </w:rPr>
        <w:t>. ВКР-23) и 8 (ВКР-23).</w:t>
      </w:r>
    </w:p>
    <w:p w14:paraId="52C48FB8" w14:textId="77777777" w:rsidR="00B05DEF" w:rsidRPr="00D81064" w:rsidRDefault="00B05DEF" w:rsidP="00B05DEF">
      <w:pPr>
        <w:pStyle w:val="Heading1"/>
        <w:rPr>
          <w:lang w:val="ru-RU"/>
        </w:rPr>
      </w:pPr>
      <w:r w:rsidRPr="00D81064">
        <w:rPr>
          <w:bCs/>
          <w:lang w:val="ru-RU"/>
        </w:rPr>
        <w:lastRenderedPageBreak/>
        <w:t>18</w:t>
      </w:r>
      <w:r w:rsidRPr="00D81064">
        <w:rPr>
          <w:lang w:val="ru-RU"/>
        </w:rPr>
        <w:tab/>
      </w:r>
      <w:r w:rsidRPr="00D81064">
        <w:rPr>
          <w:bCs/>
          <w:lang w:val="ru-RU"/>
        </w:rPr>
        <w:t xml:space="preserve">Заявки на регистрацию спутниковых сетей – проект методики (Документ </w:t>
      </w:r>
      <w:hyperlink r:id="rId97" w:history="1">
        <w:r w:rsidRPr="00D81064">
          <w:rPr>
            <w:rStyle w:val="Hyperlink"/>
            <w:bCs/>
            <w:lang w:val="ru-RU"/>
          </w:rPr>
          <w:t>C26/19</w:t>
        </w:r>
      </w:hyperlink>
      <w:r w:rsidRPr="00D81064">
        <w:rPr>
          <w:bCs/>
          <w:lang w:val="ru-RU"/>
        </w:rPr>
        <w:t>)</w:t>
      </w:r>
      <w:hyperlink r:id="rId98" w:history="1"/>
    </w:p>
    <w:p w14:paraId="59CA5F3B" w14:textId="54447F15" w:rsidR="00B05DEF" w:rsidRPr="00D81064" w:rsidRDefault="00D81064" w:rsidP="00D81064">
      <w:pPr>
        <w:pStyle w:val="Headingb"/>
        <w:ind w:left="794" w:hanging="794"/>
        <w:rPr>
          <w:sz w:val="26"/>
          <w:szCs w:val="26"/>
          <w:lang w:val="ru-RU"/>
        </w:rPr>
      </w:pPr>
      <w:r w:rsidRPr="00D81064">
        <w:rPr>
          <w:bCs/>
          <w:sz w:val="26"/>
          <w:szCs w:val="26"/>
          <w:lang w:val="ru-RU"/>
        </w:rPr>
        <w:tab/>
      </w:r>
      <w:r w:rsidR="00B05DEF" w:rsidRPr="00D81064">
        <w:rPr>
          <w:bCs/>
          <w:sz w:val="26"/>
          <w:szCs w:val="26"/>
          <w:lang w:val="ru-RU"/>
        </w:rPr>
        <w:t>Применение</w:t>
      </w:r>
      <w:r w:rsidR="00B05DEF" w:rsidRPr="00D81064">
        <w:rPr>
          <w:sz w:val="26"/>
          <w:szCs w:val="26"/>
          <w:lang w:val="ru-RU"/>
        </w:rPr>
        <w:t xml:space="preserve"> Решения 482 – Исследование конкретной ситуации в</w:t>
      </w:r>
      <w:r w:rsidRPr="00D81064">
        <w:rPr>
          <w:sz w:val="26"/>
          <w:szCs w:val="26"/>
          <w:lang w:val="ru-RU"/>
        </w:rPr>
        <w:t> </w:t>
      </w:r>
      <w:r w:rsidR="00B05DEF" w:rsidRPr="00D81064">
        <w:rPr>
          <w:sz w:val="26"/>
          <w:szCs w:val="26"/>
          <w:lang w:val="ru-RU"/>
        </w:rPr>
        <w:t>отношении косвенных затрат, связанных с обработкой заявок на</w:t>
      </w:r>
      <w:r w:rsidRPr="00D81064">
        <w:rPr>
          <w:sz w:val="26"/>
          <w:szCs w:val="26"/>
          <w:lang w:val="ru-RU"/>
        </w:rPr>
        <w:t> </w:t>
      </w:r>
      <w:r w:rsidR="00B05DEF" w:rsidRPr="00D81064">
        <w:rPr>
          <w:sz w:val="26"/>
          <w:szCs w:val="26"/>
          <w:lang w:val="ru-RU"/>
        </w:rPr>
        <w:t xml:space="preserve">регистрацию спутниковых сетей и систем, и предлагаемые методические принципы (Документ </w:t>
      </w:r>
      <w:hyperlink r:id="rId99" w:history="1">
        <w:r w:rsidR="00B05DEF" w:rsidRPr="00D81064">
          <w:rPr>
            <w:rStyle w:val="Hyperlink"/>
            <w:bCs/>
            <w:sz w:val="26"/>
            <w:szCs w:val="26"/>
            <w:lang w:val="ru-RU"/>
          </w:rPr>
          <w:t>C26/84</w:t>
        </w:r>
      </w:hyperlink>
      <w:r w:rsidR="00B05DEF" w:rsidRPr="00D81064">
        <w:rPr>
          <w:sz w:val="26"/>
          <w:szCs w:val="26"/>
          <w:lang w:val="ru-RU"/>
        </w:rPr>
        <w:t>)</w:t>
      </w:r>
      <w:hyperlink r:id="rId100" w:history="1"/>
    </w:p>
    <w:p w14:paraId="43B44F06" w14:textId="4F97A1A2" w:rsidR="00B05DEF" w:rsidRPr="00D81064" w:rsidRDefault="00D81064" w:rsidP="00D81064">
      <w:pPr>
        <w:pStyle w:val="Headingb"/>
        <w:ind w:left="794" w:hanging="794"/>
        <w:rPr>
          <w:sz w:val="26"/>
          <w:szCs w:val="26"/>
          <w:lang w:val="ru-RU"/>
        </w:rPr>
      </w:pPr>
      <w:r w:rsidRPr="00D81064">
        <w:rPr>
          <w:sz w:val="26"/>
          <w:szCs w:val="26"/>
          <w:lang w:val="ru-RU"/>
        </w:rPr>
        <w:tab/>
      </w:r>
      <w:r w:rsidR="00B05DEF" w:rsidRPr="00D81064">
        <w:rPr>
          <w:sz w:val="26"/>
          <w:szCs w:val="26"/>
          <w:lang w:val="ru-RU"/>
        </w:rPr>
        <w:t>Замечания</w:t>
      </w:r>
      <w:r w:rsidR="00B05DEF" w:rsidRPr="00D81064">
        <w:rPr>
          <w:bCs/>
          <w:sz w:val="26"/>
          <w:szCs w:val="26"/>
          <w:lang w:val="ru-RU"/>
        </w:rPr>
        <w:t xml:space="preserve"> и предложения по проекту методики по заявкам на</w:t>
      </w:r>
      <w:r w:rsidRPr="00D81064">
        <w:rPr>
          <w:bCs/>
          <w:sz w:val="26"/>
          <w:szCs w:val="26"/>
          <w:lang w:val="ru-RU"/>
        </w:rPr>
        <w:t> </w:t>
      </w:r>
      <w:r w:rsidR="00B05DEF" w:rsidRPr="00D81064">
        <w:rPr>
          <w:sz w:val="26"/>
          <w:szCs w:val="26"/>
          <w:lang w:val="ru-RU"/>
        </w:rPr>
        <w:t>регистрацию</w:t>
      </w:r>
      <w:r w:rsidR="00B05DEF" w:rsidRPr="00D81064">
        <w:rPr>
          <w:bCs/>
          <w:sz w:val="26"/>
          <w:szCs w:val="26"/>
          <w:lang w:val="ru-RU"/>
        </w:rPr>
        <w:t xml:space="preserve"> спутниковых сетей</w:t>
      </w:r>
      <w:r w:rsidR="00B05DEF" w:rsidRPr="00D81064">
        <w:rPr>
          <w:sz w:val="26"/>
          <w:szCs w:val="26"/>
          <w:lang w:val="ru-RU"/>
        </w:rPr>
        <w:t xml:space="preserve"> (Документ </w:t>
      </w:r>
      <w:hyperlink r:id="rId101" w:history="1">
        <w:r w:rsidR="00B05DEF" w:rsidRPr="00D81064">
          <w:rPr>
            <w:rStyle w:val="Hyperlink"/>
            <w:sz w:val="26"/>
            <w:szCs w:val="26"/>
            <w:lang w:val="ru-RU"/>
          </w:rPr>
          <w:t>C26/96</w:t>
        </w:r>
      </w:hyperlink>
      <w:r w:rsidR="00B05DEF" w:rsidRPr="00D81064">
        <w:rPr>
          <w:sz w:val="26"/>
          <w:szCs w:val="26"/>
          <w:lang w:val="ru-RU"/>
        </w:rPr>
        <w:t>)</w:t>
      </w:r>
      <w:hyperlink r:id="rId102" w:history="1"/>
    </w:p>
    <w:p w14:paraId="774864EE" w14:textId="07BED2F4" w:rsidR="00B05DEF" w:rsidRPr="00D81064" w:rsidRDefault="00D81064" w:rsidP="00D81064">
      <w:pPr>
        <w:pStyle w:val="Headingb"/>
        <w:ind w:left="794" w:hanging="794"/>
        <w:rPr>
          <w:sz w:val="26"/>
          <w:szCs w:val="26"/>
          <w:lang w:val="ru-RU"/>
        </w:rPr>
      </w:pPr>
      <w:r w:rsidRPr="00D81064">
        <w:rPr>
          <w:sz w:val="26"/>
          <w:szCs w:val="26"/>
          <w:lang w:val="ru-RU"/>
        </w:rPr>
        <w:tab/>
      </w:r>
      <w:r w:rsidR="00B05DEF" w:rsidRPr="00D81064">
        <w:rPr>
          <w:sz w:val="26"/>
          <w:szCs w:val="26"/>
          <w:lang w:val="ru-RU"/>
        </w:rPr>
        <w:t>Совершенствование возмещения затрат на обработку заявок на</w:t>
      </w:r>
      <w:r w:rsidRPr="00D81064">
        <w:rPr>
          <w:sz w:val="26"/>
          <w:szCs w:val="26"/>
          <w:lang w:val="ru-RU"/>
        </w:rPr>
        <w:t> </w:t>
      </w:r>
      <w:r w:rsidR="00B05DEF" w:rsidRPr="00D81064">
        <w:rPr>
          <w:sz w:val="26"/>
          <w:szCs w:val="26"/>
          <w:lang w:val="ru-RU"/>
        </w:rPr>
        <w:t xml:space="preserve">регистрацию спутниковых сетей и устранение задержек в обработке заявок в Бюро радиосвязи (Документ </w:t>
      </w:r>
      <w:hyperlink r:id="rId103" w:history="1">
        <w:r w:rsidR="00B05DEF" w:rsidRPr="00D81064">
          <w:rPr>
            <w:rStyle w:val="Hyperlink"/>
            <w:bCs/>
            <w:sz w:val="26"/>
            <w:szCs w:val="26"/>
            <w:lang w:val="ru-RU"/>
          </w:rPr>
          <w:t>C26/98</w:t>
        </w:r>
      </w:hyperlink>
      <w:r w:rsidR="00B05DEF" w:rsidRPr="00D81064">
        <w:rPr>
          <w:sz w:val="26"/>
          <w:szCs w:val="26"/>
          <w:lang w:val="ru-RU"/>
        </w:rPr>
        <w:t>)</w:t>
      </w:r>
      <w:hyperlink r:id="rId104" w:history="1"/>
    </w:p>
    <w:p w14:paraId="2F54F0CE" w14:textId="225F5A3E" w:rsidR="00B05DEF" w:rsidRPr="00D81064" w:rsidRDefault="00D81064" w:rsidP="00D81064">
      <w:pPr>
        <w:pStyle w:val="Headingb"/>
        <w:ind w:left="794" w:hanging="794"/>
        <w:rPr>
          <w:sz w:val="26"/>
          <w:szCs w:val="26"/>
          <w:lang w:val="ru-RU"/>
        </w:rPr>
      </w:pPr>
      <w:r w:rsidRPr="00D81064">
        <w:rPr>
          <w:sz w:val="26"/>
          <w:szCs w:val="26"/>
          <w:lang w:val="ru-RU"/>
        </w:rPr>
        <w:tab/>
      </w:r>
      <w:r w:rsidR="00B05DEF" w:rsidRPr="00D81064">
        <w:rPr>
          <w:sz w:val="26"/>
          <w:szCs w:val="26"/>
          <w:lang w:val="ru-RU"/>
        </w:rPr>
        <w:t>Совершенствование</w:t>
      </w:r>
      <w:r w:rsidR="00B05DEF" w:rsidRPr="00D81064">
        <w:rPr>
          <w:bCs/>
          <w:sz w:val="26"/>
          <w:szCs w:val="26"/>
          <w:lang w:val="ru-RU"/>
        </w:rPr>
        <w:t xml:space="preserve"> механизма возмещения затрат на обработку заявок на регистрацию спутниковых сетей (Документ </w:t>
      </w:r>
      <w:hyperlink r:id="rId105" w:history="1">
        <w:r w:rsidR="00B05DEF" w:rsidRPr="00D81064">
          <w:rPr>
            <w:rStyle w:val="Hyperlink"/>
            <w:bCs/>
            <w:sz w:val="26"/>
            <w:szCs w:val="26"/>
            <w:lang w:val="ru-RU"/>
          </w:rPr>
          <w:t>C26/90</w:t>
        </w:r>
      </w:hyperlink>
      <w:r w:rsidR="00B05DEF" w:rsidRPr="00D81064">
        <w:rPr>
          <w:bCs/>
          <w:sz w:val="26"/>
          <w:szCs w:val="26"/>
          <w:lang w:val="ru-RU"/>
        </w:rPr>
        <w:t>)</w:t>
      </w:r>
      <w:hyperlink r:id="rId106" w:history="1"/>
    </w:p>
    <w:p w14:paraId="68A6C981" w14:textId="381B4818" w:rsidR="00B05DEF" w:rsidRPr="00D81064" w:rsidRDefault="00B05DEF" w:rsidP="00B05DEF">
      <w:pPr>
        <w:rPr>
          <w:rFonts w:cs="Calibri"/>
          <w:lang w:val="ru-RU"/>
        </w:rPr>
      </w:pPr>
      <w:r w:rsidRPr="00D81064">
        <w:rPr>
          <w:lang w:val="ru-RU"/>
        </w:rPr>
        <w:t>18.1</w:t>
      </w:r>
      <w:r w:rsidRPr="00D81064">
        <w:rPr>
          <w:lang w:val="ru-RU"/>
        </w:rPr>
        <w:tab/>
        <w:t>Представитель Генерального секретариата представил Документ C26/19, в котором содержится обзор предлагаемой методики возмещения затрат, связанных с обработкой заявок на регистрацию спутниковых сетей. Он пояснил, что после замечаний, поступивших от РГС-ФЛР, было решено отказаться от предложенной методики "корректировки в сторону увеличения или уменьшения", которая была сочтена чрезмерно сложной. Генеральный секретариат предложил два варианта сокращения сферы распространения режима бесплатной публикации для Государств-Членов: первый вариант – ограничить право на бесплатную публикацию наименее дорогостоящей заявкой за год; второй вариант – ограничить сферу применения НРС, малыми островными развивающимися государствами (СИДС), развивающимися странами, не имеющими выхода к морю (ЛЛДС), и странами с переходной экономикой. Наконец, он указал на издержки, связанные с прямыми затратами, то есть на те издержки, которые относятся непосредственно к обработке заявок на регистрацию спутниковых сетей, например затраты по персоналу БР, системы и программное обеспечение, а также некоторые затраты других департаментов; и на издержки, связанные с косвенными затратами, к которым относятся эксплуатация оборудования, людские ресурсы, надзор, профессиональная подготовка и повышение квалификации, а также обязательства по медицинскому страхованию после выхода в отставку (АСХИ).</w:t>
      </w:r>
    </w:p>
    <w:p w14:paraId="618D3C51" w14:textId="77777777" w:rsidR="00B05DEF" w:rsidRPr="00D81064" w:rsidRDefault="00B05DEF" w:rsidP="00B05DEF">
      <w:pPr>
        <w:rPr>
          <w:rFonts w:cs="Calibri"/>
          <w:lang w:val="ru-RU"/>
        </w:rPr>
      </w:pPr>
      <w:r w:rsidRPr="00D81064">
        <w:rPr>
          <w:lang w:val="ru-RU"/>
        </w:rPr>
        <w:t>18.2</w:t>
      </w:r>
      <w:r w:rsidRPr="00D81064">
        <w:rPr>
          <w:lang w:val="ru-RU"/>
        </w:rPr>
        <w:tab/>
        <w:t>Советник от Аргентины представил вклад, содержащийся в Документе C26/84, в котором приведен анализ прямых и косвенных затрат, связанных с применением Решения 482 (C01, последнее изменение C25) об осуществлении возмещения затрат на обработку заявок на регистрацию спутниковых сетей, и предложил ввести четкие рамки и ограничить косвенные затраты 30 процентами от общих прямых затрат.</w:t>
      </w:r>
    </w:p>
    <w:p w14:paraId="024FE332" w14:textId="22690412" w:rsidR="00B05DEF" w:rsidRPr="00D81064" w:rsidRDefault="00B05DEF" w:rsidP="00B05DEF">
      <w:pPr>
        <w:rPr>
          <w:rFonts w:cs="Calibri"/>
          <w:lang w:val="ru-RU"/>
        </w:rPr>
      </w:pPr>
      <w:r w:rsidRPr="00D81064">
        <w:rPr>
          <w:lang w:val="ru-RU"/>
        </w:rPr>
        <w:t>18.3</w:t>
      </w:r>
      <w:r w:rsidRPr="00D81064">
        <w:rPr>
          <w:lang w:val="ru-RU"/>
        </w:rPr>
        <w:tab/>
        <w:t>Советник от Соединенных Штатов Америки представил вклад, содержащийся в Документе C26/96, в котором приведены замечания и предложения в отношении предлагаемой методики возмещения затрат, связанных с обработкой заявок на регистрацию спутниковых сетей. Обработка заявок на регистрацию спутниковых сетей и регистрация частотных присвоений предусмотрены договорными обязательствами и являются одним из основных видов деятельности БР; поэтому понесенные прямые и косвенные затраты должны возмещаться в соответствующем объеме. Однако</w:t>
      </w:r>
      <w:r w:rsidR="00431318" w:rsidRPr="00D81064">
        <w:rPr>
          <w:lang w:val="ru-RU"/>
        </w:rPr>
        <w:t>,</w:t>
      </w:r>
      <w:r w:rsidRPr="00D81064">
        <w:rPr>
          <w:lang w:val="ru-RU"/>
        </w:rPr>
        <w:t xml:space="preserve"> прежде чем согласовать какую-либо методику возмещения затрат, необходимо уточнить предполагаемый охват понятия "полного возмещения затрат" в Резолюции 91 (</w:t>
      </w:r>
      <w:proofErr w:type="spellStart"/>
      <w:r w:rsidRPr="00D81064">
        <w:rPr>
          <w:lang w:val="ru-RU"/>
        </w:rPr>
        <w:t>Пересм</w:t>
      </w:r>
      <w:proofErr w:type="spellEnd"/>
      <w:r w:rsidRPr="00D81064">
        <w:rPr>
          <w:lang w:val="ru-RU"/>
        </w:rPr>
        <w:t>. Гвадалахара, 2010 г.) Полномочной конференции. Кроме того, необходимо продолжить обсуждение вопроса о том, что представляют собой косвенные затраты.</w:t>
      </w:r>
    </w:p>
    <w:p w14:paraId="4DCB9AA1" w14:textId="5759A065" w:rsidR="00B05DEF" w:rsidRPr="00D81064" w:rsidRDefault="00B05DEF" w:rsidP="00B05DEF">
      <w:pPr>
        <w:rPr>
          <w:rFonts w:cs="Calibri"/>
          <w:lang w:val="ru-RU"/>
        </w:rPr>
      </w:pPr>
      <w:r w:rsidRPr="00D81064">
        <w:rPr>
          <w:lang w:val="ru-RU"/>
        </w:rPr>
        <w:lastRenderedPageBreak/>
        <w:t>18.4</w:t>
      </w:r>
      <w:r w:rsidRPr="00D81064">
        <w:rPr>
          <w:lang w:val="ru-RU"/>
        </w:rPr>
        <w:tab/>
        <w:t>Советник от Саудовской Аравии представил вклад группы стран, содержащийся в Документе</w:t>
      </w:r>
      <w:r w:rsidR="006C1508" w:rsidRPr="00D81064">
        <w:rPr>
          <w:lang w:val="ru-RU"/>
        </w:rPr>
        <w:t> </w:t>
      </w:r>
      <w:r w:rsidRPr="00D81064">
        <w:rPr>
          <w:lang w:val="ru-RU"/>
        </w:rPr>
        <w:t>C26/98 и поддержанный пятью странами, в котором приведен ряд предложений, направленных на оптимизацию возмещения затрат, связанных с обработкой заявок на регистрацию спутниковых сетей, и решение проблемы задержек в обработке заявок в БР.</w:t>
      </w:r>
    </w:p>
    <w:p w14:paraId="16F7E570" w14:textId="77777777" w:rsidR="00B05DEF" w:rsidRPr="00D81064" w:rsidRDefault="00B05DEF" w:rsidP="00B05DEF">
      <w:pPr>
        <w:rPr>
          <w:rFonts w:cs="Calibri"/>
          <w:lang w:val="ru-RU"/>
        </w:rPr>
      </w:pPr>
      <w:r w:rsidRPr="00D81064">
        <w:rPr>
          <w:lang w:val="ru-RU"/>
        </w:rPr>
        <w:t>18.5</w:t>
      </w:r>
      <w:r w:rsidRPr="00D81064">
        <w:rPr>
          <w:lang w:val="ru-RU"/>
        </w:rPr>
        <w:tab/>
        <w:t>Заручившись поддержкой одного из Советников, наблюдатель от Российской Федерации представил вклад группы стран, содержащийся в Документе C26/90, который поддержали три страны-наблюдателя. В нем изложено предложение пересмотреть механизм возмещения затрат с целью исключения из сборов, взимаемых со спутниковых операторов, косвенных затрат, связанных с обработкой заявок на регистрацию спутниковых сетей, которые должны вместо этого финансироваться из регулярного бюджета.</w:t>
      </w:r>
    </w:p>
    <w:p w14:paraId="3F29C717" w14:textId="2DA28705" w:rsidR="00B05DEF" w:rsidRPr="00D81064" w:rsidRDefault="00B05DEF" w:rsidP="00B05DEF">
      <w:pPr>
        <w:rPr>
          <w:rFonts w:cs="Calibri"/>
          <w:lang w:val="ru-RU"/>
        </w:rPr>
      </w:pPr>
      <w:r w:rsidRPr="00D81064">
        <w:rPr>
          <w:lang w:val="ru-RU"/>
        </w:rPr>
        <w:t>18.6</w:t>
      </w:r>
      <w:r w:rsidRPr="00D81064">
        <w:rPr>
          <w:lang w:val="ru-RU"/>
        </w:rPr>
        <w:tab/>
        <w:t xml:space="preserve">Несколько Советников положительно оценили предложенную </w:t>
      </w:r>
      <w:r w:rsidR="00373264" w:rsidRPr="00D81064">
        <w:rPr>
          <w:lang w:val="ru-RU"/>
        </w:rPr>
        <w:t xml:space="preserve">Секретариатом </w:t>
      </w:r>
      <w:r w:rsidRPr="00D81064">
        <w:rPr>
          <w:lang w:val="ru-RU"/>
        </w:rPr>
        <w:t>методику возмещения затрат, включая модель затрат по направлениям деятельности, как важный шаг на пути к большей прозрачности, устойчивости и справедливости. Была выражена признательность за усилия, которые были приложены для того, чтобы разрешить обеспокоенность членов РГС-ФЛР и провести четкое разграничение между прямыми и косвенными затратами. Было отмечено, что в рамках существующей системы не все затраты возмещаются в полной мере, что свидетельствует о наличии в той или иной степени скрытого субсидирования за счет регулярного бюджета. Некоторые Советники подчеркнули необходимость разработки сбалансированного подхода к возмещению затрат, который позволил бы избежать несоразмерно тяжелого бремени для развивающихся стран или создания препятствий для выхода на рынок. Один из Советников подчеркнул важность предсказуемости и стабильности сборов, а также необходимость применения дифференцированного подхода к проектам спутниковых систем ГСО и НГСО. Некоторые Советники заявили, что считают разумным контрольный показатель косвенных затрат в размере 23,7</w:t>
      </w:r>
      <w:r w:rsidR="0078108A" w:rsidRPr="00D81064">
        <w:rPr>
          <w:lang w:val="ru-RU"/>
        </w:rPr>
        <w:t> </w:t>
      </w:r>
      <w:r w:rsidRPr="00D81064">
        <w:rPr>
          <w:lang w:val="ru-RU"/>
        </w:rPr>
        <w:t>процента от общих затрат; еще один Советник поинтересовался, рассматривался ли более низкий контрольный показатель.</w:t>
      </w:r>
    </w:p>
    <w:p w14:paraId="40C7892F" w14:textId="29241936" w:rsidR="00B05DEF" w:rsidRPr="00D81064" w:rsidRDefault="00B05DEF" w:rsidP="00B05DEF">
      <w:pPr>
        <w:rPr>
          <w:rFonts w:cs="Calibri"/>
          <w:lang w:val="ru-RU"/>
        </w:rPr>
      </w:pPr>
      <w:r w:rsidRPr="00D81064">
        <w:rPr>
          <w:lang w:val="ru-RU"/>
        </w:rPr>
        <w:t>18.7</w:t>
      </w:r>
      <w:r w:rsidRPr="00D81064">
        <w:rPr>
          <w:lang w:val="ru-RU"/>
        </w:rPr>
        <w:tab/>
        <w:t>Ряд Советников обратили внимание собравшихся на принцип полного возмещения затрат, который закреплен в Резолюции 91 (</w:t>
      </w:r>
      <w:proofErr w:type="spellStart"/>
      <w:r w:rsidRPr="00D81064">
        <w:rPr>
          <w:lang w:val="ru-RU"/>
        </w:rPr>
        <w:t>Пересм</w:t>
      </w:r>
      <w:proofErr w:type="spellEnd"/>
      <w:r w:rsidRPr="00D81064">
        <w:rPr>
          <w:lang w:val="ru-RU"/>
        </w:rPr>
        <w:t>. Гвадалахара, 2010 г.) Полномочной конференции. Некоторые Советники высказались в поддержку того, чтобы в эти затраты включались прямые и косвенные затраты, связанные с обработкой заявок на регистрацию спутниковых сетей. Другие Советники и один из наблюдателей напомнили, что в ходе обсуждений в РГС-ФЛР было выявлено существование различных толкований Резолюции</w:t>
      </w:r>
      <w:r w:rsidR="00B33847" w:rsidRPr="00D81064">
        <w:rPr>
          <w:lang w:val="ru-RU"/>
        </w:rPr>
        <w:t> </w:t>
      </w:r>
      <w:r w:rsidRPr="00D81064">
        <w:rPr>
          <w:lang w:val="ru-RU"/>
        </w:rPr>
        <w:t>91 (</w:t>
      </w:r>
      <w:proofErr w:type="spellStart"/>
      <w:r w:rsidRPr="00D81064">
        <w:rPr>
          <w:lang w:val="ru-RU"/>
        </w:rPr>
        <w:t>Пересм</w:t>
      </w:r>
      <w:proofErr w:type="spellEnd"/>
      <w:r w:rsidRPr="00D81064">
        <w:rPr>
          <w:lang w:val="ru-RU"/>
        </w:rPr>
        <w:t xml:space="preserve">. Гвадалахара, 2010 г.) и режима возмещения затрат. Поэтому рассмотрение вопроса об одобрении методики, предложенной </w:t>
      </w:r>
      <w:r w:rsidR="00373264" w:rsidRPr="00D81064">
        <w:rPr>
          <w:lang w:val="ru-RU"/>
        </w:rPr>
        <w:t>Секретариатом</w:t>
      </w:r>
      <w:r w:rsidRPr="00D81064">
        <w:rPr>
          <w:lang w:val="ru-RU"/>
        </w:rPr>
        <w:t>, преждевременно. Логично было бы дождаться обсуждений и решений Полномочной конференции, которые могли бы предусматривать внесение изменений в Резолюцию 91 (</w:t>
      </w:r>
      <w:proofErr w:type="spellStart"/>
      <w:r w:rsidRPr="00D81064">
        <w:rPr>
          <w:lang w:val="ru-RU"/>
        </w:rPr>
        <w:t>Пересм</w:t>
      </w:r>
      <w:proofErr w:type="spellEnd"/>
      <w:r w:rsidRPr="00D81064">
        <w:rPr>
          <w:lang w:val="ru-RU"/>
        </w:rPr>
        <w:t>. Гвадалахара, 2010 г.), и продолжить их обсуждение в РГС-ФЛР в период, предшествующий сессии Совета 2027 года.</w:t>
      </w:r>
    </w:p>
    <w:p w14:paraId="41E6A305" w14:textId="77777777" w:rsidR="00B05DEF" w:rsidRPr="00D81064" w:rsidRDefault="00B05DEF" w:rsidP="00B05DEF">
      <w:pPr>
        <w:rPr>
          <w:rFonts w:cs="Calibri"/>
          <w:lang w:val="ru-RU"/>
        </w:rPr>
      </w:pPr>
      <w:r w:rsidRPr="00D81064">
        <w:rPr>
          <w:lang w:val="ru-RU"/>
        </w:rPr>
        <w:t>18.8</w:t>
      </w:r>
      <w:r w:rsidRPr="00D81064">
        <w:rPr>
          <w:lang w:val="ru-RU"/>
        </w:rPr>
        <w:tab/>
        <w:t>В отношении права на бесплатную публикацию несколько Советников подчеркнули, что данный режим является важнейшей составляющей системы и что все Государства-Члены имеют равное право на бесплатное получение соответствующего объема продуктов или услуг. Некоторые Советники выразили обеспокоенность по поводу злоупотребления режимом или его неправомерного использования, неравенства в его применении и возможности скрытого субсидирования в пользу наиболее сильных объединений. Несколько Советников подчеркнули, что данный режим в его текущем формате не обеспечивает надлежащего учета потребностей развивающихся стран и не соответствует духу и целям Резолюции 91 (</w:t>
      </w:r>
      <w:proofErr w:type="spellStart"/>
      <w:r w:rsidRPr="00D81064">
        <w:rPr>
          <w:lang w:val="ru-RU"/>
        </w:rPr>
        <w:t>Пересм</w:t>
      </w:r>
      <w:proofErr w:type="spellEnd"/>
      <w:r w:rsidRPr="00D81064">
        <w:rPr>
          <w:lang w:val="ru-RU"/>
        </w:rPr>
        <w:t xml:space="preserve">. Гвадалахара, 2010 г.). Ряд Советников высказались в поддержку пересмотра Решения 482 (C01, последнее изменение C25); один из Советников отметил, что последние поправки, в соответствии с которыми права на бесплатную публикацию были лишены некоторые категории, вступили в силу только в январе 2026 года. Требуется время для того, чтобы эти изменения начали применяться, прежде чем приступать к дальнейшим доработкам. </w:t>
      </w:r>
      <w:r w:rsidRPr="00D81064">
        <w:rPr>
          <w:lang w:val="ru-RU"/>
        </w:rPr>
        <w:lastRenderedPageBreak/>
        <w:t>Некоторые Советники высказались против каких-либо структурных изменений или ограничений в отношении права на бесплатную публикацию. Двое Советников подчеркнули, что затраты на бесплатную публикацию не должны учитываться в расчете возмещения затрат.</w:t>
      </w:r>
    </w:p>
    <w:p w14:paraId="4808D394" w14:textId="2EFEE3E2" w:rsidR="00B05DEF" w:rsidRPr="00D81064" w:rsidRDefault="00B05DEF" w:rsidP="00B05DEF">
      <w:pPr>
        <w:rPr>
          <w:rFonts w:cs="Calibri"/>
          <w:lang w:val="ru-RU"/>
        </w:rPr>
      </w:pPr>
      <w:r w:rsidRPr="00D81064">
        <w:rPr>
          <w:lang w:val="ru-RU"/>
        </w:rPr>
        <w:t>18.9</w:t>
      </w:r>
      <w:r w:rsidRPr="00D81064">
        <w:rPr>
          <w:lang w:val="ru-RU"/>
        </w:rPr>
        <w:tab/>
        <w:t xml:space="preserve">Двое Советников хотели бы получить информацию о том, каким образом в двух предложенных </w:t>
      </w:r>
      <w:r w:rsidR="00373264" w:rsidRPr="00D81064">
        <w:rPr>
          <w:lang w:val="ru-RU"/>
        </w:rPr>
        <w:t xml:space="preserve">Секретариатом </w:t>
      </w:r>
      <w:r w:rsidRPr="00D81064">
        <w:rPr>
          <w:lang w:val="ru-RU"/>
        </w:rPr>
        <w:t xml:space="preserve">вариантах реформы режима бесплатных публикаций учтены принципы равного доступа и справедливости, финансовые и технические аспекты и каким образом предполагается предотвращать злоупотребление системой. Один из Советников высказался в поддержку первого варианта, который предусматривает ограничение ежегодной бесплатной регистрации одной наименее дорогостоящей заявкой; двое Советников высказались за второй вариант, предусматривающий ограничение права на бесплатную публикацию только НРС, СИДС, ЛЛДС и странами с переходной экономикой; некоторые Советники сочли, что ни один из вариантов не является реалистичным. Можно было бы рассмотреть альтернативные варианты, такие как введение верхнего предела для бесплатной публикации и сокращение частоты бесплатных публикаций. Некоторые Советники отметили, что необходимо дождаться решений </w:t>
      </w:r>
      <w:r w:rsidR="008B7542" w:rsidRPr="00D81064">
        <w:rPr>
          <w:lang w:val="ru-RU"/>
        </w:rPr>
        <w:t>ПК-26</w:t>
      </w:r>
      <w:r w:rsidRPr="00D81064">
        <w:rPr>
          <w:lang w:val="ru-RU"/>
        </w:rPr>
        <w:t>. Дальнейшая работа по этому вопросу может быть продолжена в рамках РГС-ФЛР.</w:t>
      </w:r>
    </w:p>
    <w:p w14:paraId="15A9A9AA" w14:textId="77777777" w:rsidR="00B05DEF" w:rsidRPr="00D81064" w:rsidRDefault="00B05DEF" w:rsidP="00B05DEF">
      <w:pPr>
        <w:rPr>
          <w:rFonts w:cs="Calibri"/>
          <w:lang w:val="ru-RU"/>
        </w:rPr>
      </w:pPr>
      <w:r w:rsidRPr="00D81064">
        <w:rPr>
          <w:lang w:val="ru-RU"/>
        </w:rPr>
        <w:t>18.10</w:t>
      </w:r>
      <w:r w:rsidRPr="00D81064">
        <w:rPr>
          <w:lang w:val="ru-RU"/>
        </w:rPr>
        <w:tab/>
        <w:t>Что касается вкладов групп стран, несколько Советников дали высокую оценку вкладу Аргентины, но высказали мнение, что необходимо дополнительное исследование по вопросу о предлагаемом верхнем пределе для косвенных затрат. Один из Советников выступил против введения верхнего предела на данном этапе: следует сосредоточить усилия на разработке и согласовании методики возмещения затрат. Двое Советников поддержали основные выводы документа, представленного Саудовской Аравией. Несколько Советников и один из наблюдателей поддержали вклад Соединенных Штатов, в том числе в отношении исключения обязательств по АСХИ из числа косвенных затрат; другой Советник подчеркнул, что в расчеты следует включить все затраты по персоналу БР, в том числе обязательства по АСХИ. Двое Советников, сославшись на вклад, представленный наблюдателем от Российской Федерации, высказали возражения против предложения о переносе косвенных затрат в счет регулярного бюджета, хотя один из них согласился с тем, что было бы полезно подготовить всеобъемлющий отчет о финансировании БР за предыдущий четырехгодичный цикл.</w:t>
      </w:r>
    </w:p>
    <w:p w14:paraId="28DE8A85" w14:textId="46DE66AC" w:rsidR="00B05DEF" w:rsidRPr="00D81064" w:rsidRDefault="00B05DEF" w:rsidP="00B05DEF">
      <w:pPr>
        <w:rPr>
          <w:rFonts w:cs="Calibri"/>
          <w:lang w:val="ru-RU"/>
        </w:rPr>
      </w:pPr>
      <w:r w:rsidRPr="00D81064">
        <w:rPr>
          <w:lang w:val="ru-RU"/>
        </w:rPr>
        <w:t>18.11</w:t>
      </w:r>
      <w:r w:rsidRPr="00D81064">
        <w:rPr>
          <w:lang w:val="ru-RU"/>
        </w:rPr>
        <w:tab/>
        <w:t xml:space="preserve">Представитель Генерального секретариата отметил, что, судя по всему, в отношении методики достигнуто общее согласие, хотя и требуется дальнейшая доработка. Отвечая на конкретные замечания и вопросы, он пояснил, что все </w:t>
      </w:r>
      <w:r w:rsidR="00541BB4" w:rsidRPr="00D81064">
        <w:rPr>
          <w:lang w:val="ru-RU"/>
        </w:rPr>
        <w:t>затраты</w:t>
      </w:r>
      <w:r w:rsidRPr="00D81064">
        <w:rPr>
          <w:lang w:val="ru-RU"/>
        </w:rPr>
        <w:t xml:space="preserve"> по персоналу БР, такие как расходы на пенсии и медицинское страхование, были включены в расчеты. Так, например, косвенные затраты по обязательствам по АСХИ рассчитывались исходя из соотношения численности персонала, задействованного в обработке заявок на регистрацию спутниковых сетей, к общей численности персонала Союза. Что касается предложения Аргентины, было бы полезно ознакомиться с моделью, при помощи которой был рассчитан предлагаемый верхний предел косвенных затрат в размере 30%, хотя он представляется разумным и не превышает контрольного показателя, установленного в Документе C26/19. В отношении расчета затрат, связанных с Департаментом информационных служб, он пояснил, что прямые затраты охватывают деятельность, связанную конкретно с обработкой заявок на регистрацию спутниковых сетей, тогда как косвенные затраты основаны на соотношении численности персонала, занятого в обработке заявок на регистрацию спутниковых сетей, к общей численности персонала МСЭ, что отражает общее использование инфраструктуры ИТ персоналом Союза. В ходе предстоящих обсуждений будет представлена информация, касающаяся выполнения рекомендаций ОИГ в отношении прямых и косвенных затрат.</w:t>
      </w:r>
    </w:p>
    <w:p w14:paraId="7C74C6C9" w14:textId="2BDB978E" w:rsidR="00B05DEF" w:rsidRPr="00D81064" w:rsidRDefault="00B05DEF" w:rsidP="00B05DEF">
      <w:pPr>
        <w:rPr>
          <w:rFonts w:cs="Calibri"/>
          <w:lang w:val="ru-RU"/>
        </w:rPr>
      </w:pPr>
      <w:r w:rsidRPr="00D81064">
        <w:rPr>
          <w:lang w:val="ru-RU"/>
        </w:rPr>
        <w:t>18.12</w:t>
      </w:r>
      <w:r w:rsidRPr="00D81064">
        <w:rPr>
          <w:lang w:val="ru-RU"/>
        </w:rPr>
        <w:tab/>
        <w:t xml:space="preserve">По итогам последующих замечаний Советников относительно определения дальнейших действий заместитель Генерального секретаря предложил поручить РГС-ФЛР дополнительно рассмотреть основные спорные моменты, а именно расчет косвенных затрат и возможное изменение режима предоставления права на бесплатную публикацию, с учетом </w:t>
      </w:r>
      <w:r w:rsidRPr="00D81064">
        <w:rPr>
          <w:lang w:val="ru-RU"/>
        </w:rPr>
        <w:lastRenderedPageBreak/>
        <w:t xml:space="preserve">результатов обсуждений и решений </w:t>
      </w:r>
      <w:r w:rsidR="008B7542" w:rsidRPr="00D81064">
        <w:rPr>
          <w:lang w:val="ru-RU"/>
        </w:rPr>
        <w:t>ПК-26</w:t>
      </w:r>
      <w:r w:rsidRPr="00D81064">
        <w:rPr>
          <w:lang w:val="ru-RU"/>
        </w:rPr>
        <w:t>, включая любые поправки к Резолюции 91 (</w:t>
      </w:r>
      <w:proofErr w:type="spellStart"/>
      <w:r w:rsidRPr="00D81064">
        <w:rPr>
          <w:lang w:val="ru-RU"/>
        </w:rPr>
        <w:t>Пересм</w:t>
      </w:r>
      <w:proofErr w:type="spellEnd"/>
      <w:r w:rsidRPr="00D81064">
        <w:rPr>
          <w:lang w:val="ru-RU"/>
        </w:rPr>
        <w:t>. Гвадалахара, 2010 г.).</w:t>
      </w:r>
    </w:p>
    <w:p w14:paraId="26FB0F3F" w14:textId="77777777" w:rsidR="00B05DEF" w:rsidRPr="00D81064" w:rsidRDefault="00B05DEF" w:rsidP="00B05DEF">
      <w:pPr>
        <w:spacing w:line="259" w:lineRule="auto"/>
        <w:rPr>
          <w:rFonts w:eastAsia="Calibri" w:cs="Calibri"/>
          <w:lang w:val="ru-RU"/>
        </w:rPr>
      </w:pPr>
      <w:r w:rsidRPr="00D81064">
        <w:rPr>
          <w:lang w:val="ru-RU"/>
        </w:rPr>
        <w:t>18.13</w:t>
      </w:r>
      <w:r w:rsidRPr="00D81064">
        <w:rPr>
          <w:lang w:val="ru-RU"/>
        </w:rPr>
        <w:tab/>
        <w:t xml:space="preserve">Комитет </w:t>
      </w:r>
      <w:r w:rsidRPr="00D81064">
        <w:rPr>
          <w:b/>
          <w:bCs/>
          <w:lang w:val="ru-RU"/>
        </w:rPr>
        <w:t>принял решение</w:t>
      </w:r>
      <w:r w:rsidRPr="00D81064">
        <w:rPr>
          <w:lang w:val="ru-RU"/>
        </w:rPr>
        <w:t xml:space="preserve"> сделать по данному вопросу следующее заключение:</w:t>
      </w:r>
    </w:p>
    <w:p w14:paraId="0884B20A" w14:textId="77777777" w:rsidR="00B05DEF" w:rsidRPr="00D81064" w:rsidRDefault="00B05DEF" w:rsidP="00AC3268">
      <w:pPr>
        <w:keepNext/>
        <w:pBdr>
          <w:top w:val="single" w:sz="4" w:space="1" w:color="auto"/>
          <w:left w:val="single" w:sz="4" w:space="4" w:color="auto"/>
          <w:bottom w:val="single" w:sz="4" w:space="1" w:color="auto"/>
          <w:right w:val="single" w:sz="4" w:space="4" w:color="auto"/>
        </w:pBdr>
        <w:rPr>
          <w:lang w:val="ru-RU"/>
        </w:rPr>
      </w:pPr>
      <w:r w:rsidRPr="00D81064">
        <w:rPr>
          <w:lang w:val="ru-RU"/>
        </w:rPr>
        <w:t>18.14</w:t>
      </w:r>
      <w:r w:rsidRPr="00D81064">
        <w:rPr>
          <w:lang w:val="ru-RU"/>
        </w:rPr>
        <w:tab/>
        <w:t>Комитет рекомендует Совету:</w:t>
      </w:r>
    </w:p>
    <w:p w14:paraId="4ACB609A" w14:textId="73E606DF" w:rsidR="00B05DEF" w:rsidRPr="00D81064" w:rsidRDefault="00B05DEF" w:rsidP="00847EE3">
      <w:pPr>
        <w:pStyle w:val="enumlev1"/>
        <w:keepNext/>
        <w:pBdr>
          <w:top w:val="single" w:sz="4" w:space="1" w:color="auto"/>
          <w:left w:val="single" w:sz="4" w:space="4" w:color="auto"/>
          <w:bottom w:val="single" w:sz="4" w:space="1" w:color="auto"/>
          <w:right w:val="single" w:sz="4" w:space="4" w:color="auto"/>
        </w:pBdr>
        <w:rPr>
          <w:rFonts w:eastAsia="Calibri" w:cs="Calibri"/>
          <w:lang w:val="ru-RU"/>
        </w:rPr>
      </w:pPr>
      <w:r w:rsidRPr="00D81064">
        <w:rPr>
          <w:rFonts w:eastAsia="Aptos"/>
          <w:lang w:val="ru-RU"/>
        </w:rPr>
        <w:t>•</w:t>
      </w:r>
      <w:r w:rsidRPr="00D81064">
        <w:rPr>
          <w:lang w:val="ru-RU"/>
        </w:rPr>
        <w:tab/>
      </w:r>
      <w:r w:rsidR="00847EE3" w:rsidRPr="00D81064">
        <w:rPr>
          <w:lang w:val="ru-RU"/>
        </w:rPr>
        <w:t xml:space="preserve">просить РГС-ФЛР </w:t>
      </w:r>
      <w:r w:rsidRPr="00D81064">
        <w:rPr>
          <w:lang w:val="ru-RU"/>
        </w:rPr>
        <w:t xml:space="preserve">рассмотреть замечания и предложения, изложенные во вкладах, содержащихся в Документах </w:t>
      </w:r>
      <w:hyperlink r:id="rId107" w:history="1">
        <w:r w:rsidRPr="00D81064">
          <w:rPr>
            <w:rStyle w:val="Hyperlink"/>
            <w:lang w:val="ru-RU"/>
          </w:rPr>
          <w:t>C26/84</w:t>
        </w:r>
      </w:hyperlink>
      <w:r w:rsidRPr="00D81064">
        <w:rPr>
          <w:lang w:val="ru-RU"/>
        </w:rPr>
        <w:t xml:space="preserve">, </w:t>
      </w:r>
      <w:hyperlink r:id="rId108" w:history="1">
        <w:r w:rsidRPr="00D81064">
          <w:rPr>
            <w:rStyle w:val="Hyperlink"/>
            <w:lang w:val="ru-RU"/>
          </w:rPr>
          <w:t>C26/96</w:t>
        </w:r>
      </w:hyperlink>
      <w:r w:rsidRPr="00D81064">
        <w:rPr>
          <w:lang w:val="ru-RU"/>
        </w:rPr>
        <w:t xml:space="preserve">, </w:t>
      </w:r>
      <w:hyperlink r:id="rId109" w:history="1">
        <w:r w:rsidRPr="00D81064">
          <w:rPr>
            <w:rStyle w:val="Hyperlink"/>
            <w:lang w:val="ru-RU"/>
          </w:rPr>
          <w:t>C26/98</w:t>
        </w:r>
      </w:hyperlink>
      <w:r w:rsidRPr="00D81064">
        <w:rPr>
          <w:lang w:val="ru-RU"/>
        </w:rPr>
        <w:t xml:space="preserve"> и </w:t>
      </w:r>
      <w:hyperlink r:id="rId110" w:history="1">
        <w:r w:rsidRPr="00D81064">
          <w:rPr>
            <w:rStyle w:val="Hyperlink"/>
            <w:lang w:val="ru-RU"/>
          </w:rPr>
          <w:t>C26/90</w:t>
        </w:r>
      </w:hyperlink>
      <w:r w:rsidR="00847EE3" w:rsidRPr="00D81064">
        <w:rPr>
          <w:lang w:val="ru-RU"/>
        </w:rPr>
        <w:t>,</w:t>
      </w:r>
      <w:r w:rsidRPr="00D81064">
        <w:rPr>
          <w:lang w:val="ru-RU"/>
        </w:rPr>
        <w:t xml:space="preserve"> а также</w:t>
      </w:r>
      <w:hyperlink r:id="rId111" w:history="1"/>
      <w:hyperlink r:id="rId112" w:history="1"/>
      <w:hyperlink r:id="rId113" w:history="1"/>
      <w:hyperlink r:id="rId114" w:history="1"/>
      <w:r w:rsidR="00847EE3" w:rsidRPr="00D81064">
        <w:rPr>
          <w:lang w:val="ru-RU"/>
        </w:rPr>
        <w:t xml:space="preserve"> </w:t>
      </w:r>
      <w:r w:rsidRPr="00D81064">
        <w:rPr>
          <w:lang w:val="ru-RU"/>
        </w:rPr>
        <w:t>продолжить обсуждение вопроса о расчете косвенных затрат и возможном изменении режима предоставления права на бесплатную публикацию с учетом итогов обсуждений и решений Полномочной конференции (Доха, 2026 г.), включая любые поправки к Резолюции</w:t>
      </w:r>
      <w:r w:rsidR="001C42DB" w:rsidRPr="00D81064">
        <w:rPr>
          <w:lang w:val="ru-RU"/>
        </w:rPr>
        <w:t> </w:t>
      </w:r>
      <w:r w:rsidRPr="00D81064">
        <w:rPr>
          <w:lang w:val="ru-RU"/>
        </w:rPr>
        <w:t>91 (</w:t>
      </w:r>
      <w:proofErr w:type="spellStart"/>
      <w:r w:rsidRPr="00D81064">
        <w:rPr>
          <w:lang w:val="ru-RU"/>
        </w:rPr>
        <w:t>Пересм</w:t>
      </w:r>
      <w:proofErr w:type="spellEnd"/>
      <w:r w:rsidRPr="00D81064">
        <w:rPr>
          <w:lang w:val="ru-RU"/>
        </w:rPr>
        <w:t>. Гвадалахара, 2010 г.).</w:t>
      </w:r>
    </w:p>
    <w:p w14:paraId="2D97BDD2" w14:textId="3CB4327B" w:rsidR="007C0D72" w:rsidRPr="00D81064" w:rsidRDefault="007C0D72" w:rsidP="007C0D72">
      <w:pPr>
        <w:pStyle w:val="Heading1"/>
        <w:rPr>
          <w:lang w:val="ru-RU"/>
        </w:rPr>
      </w:pPr>
      <w:r w:rsidRPr="00D81064">
        <w:rPr>
          <w:bCs/>
          <w:lang w:val="ru-RU"/>
        </w:rPr>
        <w:t>19</w:t>
      </w:r>
      <w:r w:rsidRPr="00D81064">
        <w:rPr>
          <w:lang w:val="ru-RU"/>
        </w:rPr>
        <w:tab/>
        <w:t>Распределение средств, сэкономленных в 2025 году (Документ</w:t>
      </w:r>
      <w:r w:rsidR="00B94D56" w:rsidRPr="00D81064">
        <w:rPr>
          <w:lang w:val="ru-RU"/>
        </w:rPr>
        <w:t>ы</w:t>
      </w:r>
      <w:r w:rsidRPr="00D81064">
        <w:rPr>
          <w:lang w:val="ru-RU"/>
        </w:rPr>
        <w:t> C26/42(Rev.1)</w:t>
      </w:r>
      <w:r w:rsidR="00017C1F" w:rsidRPr="00D81064">
        <w:rPr>
          <w:lang w:val="ru-RU"/>
        </w:rPr>
        <w:t xml:space="preserve"> и </w:t>
      </w:r>
      <w:hyperlink r:id="rId115" w:history="1">
        <w:r w:rsidR="00B94D56" w:rsidRPr="00D81064">
          <w:rPr>
            <w:rStyle w:val="Hyperlink"/>
            <w:lang w:val="ru-RU"/>
          </w:rPr>
          <w:t>C26/42(Rev.2)</w:t>
        </w:r>
      </w:hyperlink>
      <w:r w:rsidRPr="00D81064">
        <w:rPr>
          <w:lang w:val="ru-RU"/>
        </w:rPr>
        <w:t>)</w:t>
      </w:r>
      <w:hyperlink r:id="rId116" w:history="1"/>
    </w:p>
    <w:p w14:paraId="3159FAAE" w14:textId="7DB7ABE3" w:rsidR="007C0D72" w:rsidRPr="00D81064" w:rsidRDefault="007C0D72" w:rsidP="007C0D72">
      <w:pPr>
        <w:rPr>
          <w:lang w:val="ru-RU"/>
        </w:rPr>
      </w:pPr>
      <w:r w:rsidRPr="00D81064">
        <w:rPr>
          <w:lang w:val="ru-RU"/>
        </w:rPr>
        <w:t>19.1</w:t>
      </w:r>
      <w:r w:rsidRPr="00D81064">
        <w:rPr>
          <w:lang w:val="ru-RU"/>
        </w:rPr>
        <w:tab/>
        <w:t>Руководитель FRMD, представляя Документ C26/42(Rev.1), сказал, что в 2025 году была достигнута экономия в размере 11,44 </w:t>
      </w:r>
      <w:proofErr w:type="gramStart"/>
      <w:r w:rsidRPr="00D81064">
        <w:rPr>
          <w:lang w:val="ru-RU"/>
        </w:rPr>
        <w:t>млн.</w:t>
      </w:r>
      <w:proofErr w:type="gramEnd"/>
      <w:r w:rsidRPr="00D81064">
        <w:rPr>
          <w:lang w:val="ru-RU"/>
        </w:rPr>
        <w:t xml:space="preserve"> швейцарских франков. В соответствии с предложением Генерального секретаря Совету было поручено подтвердить выделение средств в размере 559 800 швейцарских франков во ФРИКТ и 1,2 млн. швейцарских франков в фонд программы "Молодые специалисты" и разрешить использование оставшихся 10,24 млн. швейцарских франков для финансирования других конкретных видов деятельности, не охваченных утвержденным регулярным бюджетом, как это показано в Таблице 1 документа.</w:t>
      </w:r>
    </w:p>
    <w:p w14:paraId="63F2B36F" w14:textId="77777777" w:rsidR="007C0D72" w:rsidRPr="00D81064" w:rsidRDefault="007C0D72" w:rsidP="007C0D72">
      <w:pPr>
        <w:rPr>
          <w:lang w:val="ru-RU"/>
        </w:rPr>
      </w:pPr>
      <w:r w:rsidRPr="00D81064">
        <w:rPr>
          <w:lang w:val="ru-RU"/>
        </w:rPr>
        <w:t>19.2</w:t>
      </w:r>
      <w:r w:rsidRPr="00D81064">
        <w:rPr>
          <w:lang w:val="ru-RU"/>
        </w:rPr>
        <w:tab/>
        <w:t>Советники с удовлетворением отметили экономию средств, дали Секретариату высокую оценку за осмотрительное управление финансами и подчеркнули важность эффективного использования сэкономленных средств в соответствии с согласованными приоритетами Союза. Поскольку такая экономия носит в основном нерегулярный характер, в идеале сэкономленные средства следовало бы распределять по разовым стратегическим приоритетам, с тем чтобы эти средства не были поглощены базовым регулярным бюджетом. Один из Советников, подчеркивая необходимость четкого разграничения между экономией, обусловленной эффективностью, регулярными поступлениями в результате учетных корректировок и экономией, связанной со сроками, спросил, какая доля сэкономленных средств обусловлена реальным приростом структурной эффективности. Разовая экономия может обеспечить полезную краткосрочную поддержку, но она не должна стать основным средством финансирования текущих утвержденных видов деятельности. Другой Советник выразил мнение, что экономия является результатом в основном задержек в процессе набора персонала и отложенной реализации, что создает ограничения для ряда важнейших видов деятельности. В будущем эффективность должна достигаться на основе текущих инициатив, таких как внутренняя реструктуризация, цифровая трансформация и деятельность, связанная с процессом трансформации МСЭ. Секретариату следует изучить пути увеличения потоков доходов и добиваться целенаправленного сокращения расходов. Один из наблюдателей, ставя под сомнение общий подход к распределению сэкономленных средств, который становится обычной практикой, предложил изучить соответствующую передовую практику в рамках всей системы Организации Объединенных Наций. Установление приоритетов при распределении сэкономленных средств поможет укрепить финансовую стабильность Союза.</w:t>
      </w:r>
    </w:p>
    <w:p w14:paraId="70DA9B70" w14:textId="77777777" w:rsidR="007C0D72" w:rsidRPr="00D81064" w:rsidRDefault="007C0D72" w:rsidP="007C0D72">
      <w:pPr>
        <w:rPr>
          <w:lang w:val="ru-RU"/>
        </w:rPr>
      </w:pPr>
      <w:r w:rsidRPr="00D81064">
        <w:rPr>
          <w:lang w:val="ru-RU"/>
        </w:rPr>
        <w:t>19.3</w:t>
      </w:r>
      <w:r w:rsidRPr="00D81064">
        <w:rPr>
          <w:lang w:val="ru-RU"/>
        </w:rPr>
        <w:tab/>
        <w:t xml:space="preserve">Один из Советников, обращая внимание на явное расхождение в цифрах общего активного сальдо бюджета, приведенных в различных документах, представленных Совету, попросил разъяснить точную сумму. Другой Советник отметил, что, как представляется, предлагаемая к распределению сумма превышает общую экономию на сумму 550 000 швейцарских франков. Третий Советник спросил, почему существует такая </w:t>
      </w:r>
      <w:r w:rsidRPr="00D81064">
        <w:rPr>
          <w:lang w:val="ru-RU"/>
        </w:rPr>
        <w:lastRenderedPageBreak/>
        <w:t>существенная разница между первоначальной версией Документа C26/42 и его Пересмотром 1.</w:t>
      </w:r>
    </w:p>
    <w:p w14:paraId="0D8A0A08" w14:textId="77777777" w:rsidR="007C0D72" w:rsidRPr="00D81064" w:rsidRDefault="007C0D72" w:rsidP="007C0D72">
      <w:pPr>
        <w:rPr>
          <w:lang w:val="ru-RU"/>
        </w:rPr>
      </w:pPr>
      <w:r w:rsidRPr="00D81064">
        <w:rPr>
          <w:lang w:val="ru-RU"/>
        </w:rPr>
        <w:t>19.4</w:t>
      </w:r>
      <w:r w:rsidRPr="00D81064">
        <w:rPr>
          <w:lang w:val="ru-RU"/>
        </w:rPr>
        <w:tab/>
        <w:t xml:space="preserve">Участники особо приветствовали предложения о выделении части сэкономленных средств на сокращение накопленной задолженности по обработке заявок на регистрацию спутниковых сетей (SNF), которая имеет оперативные, </w:t>
      </w:r>
      <w:proofErr w:type="spellStart"/>
      <w:r w:rsidRPr="00D81064">
        <w:rPr>
          <w:lang w:val="ru-RU"/>
        </w:rPr>
        <w:t>регламентарные</w:t>
      </w:r>
      <w:proofErr w:type="spellEnd"/>
      <w:r w:rsidRPr="00D81064">
        <w:rPr>
          <w:lang w:val="ru-RU"/>
        </w:rPr>
        <w:t xml:space="preserve"> и финансовые последствия и требует первоочередного реагирования, а также на модернизацию программного обеспечения и систем БР. Сокращение накопленной задолженности окажет непосредственное воздействие на правильное внедрение механизмов возмещения расходов и тем самым повысит финансовую стабильность системы в целом. Хотя предложение направить часть сэкономленных средств на решение проблемы за счет дополнительной кадровой поддержки в краткосрочной перспективе было встречено с одобрением, устойчивый характер проблемы свидетельствует о том, что необходим также более структурированный подход. Модернизация соответствующего программного обеспечения БР будет в определенной степени способствовать исправлению ситуации, обеспечивая устойчивые решения для укрепления оперативного потенциала Союза в долгосрочной перспективе. Один из Советников спросил, каким образом Секретариат планирует оказывать целевую финансовую поддержку для решения проблемы нехватки персонала в БР. Несколько советников поинтересовались, когда ожидается возвращение времени обработки SNF к штатному режиму. Другие советники выразили желание получить заверения в том, что предлагаемых для выделения средств будет достаточно для окончательного решения проблемы, а также выразили обеспокоенность в связи с идеей фактического субсидирования деятельности, в отношении которой применяется порядок возмещения затрат. Напомнив о широких обсуждениях Советом того же вопроса в 2025 году и о его решении выделить 500 000 швейцарских франков на модернизацию систем БР, одна из выступающих спросила о размере средств, которые предлагается выделить для решения проблемы накопленной задолженности по обработке SNF и модернизацию базовых систем SNF.</w:t>
      </w:r>
    </w:p>
    <w:p w14:paraId="03AF8F94" w14:textId="77777777" w:rsidR="007C0D72" w:rsidRPr="00D81064" w:rsidRDefault="007C0D72" w:rsidP="007C0D72">
      <w:pPr>
        <w:rPr>
          <w:lang w:val="ru-RU"/>
        </w:rPr>
      </w:pPr>
      <w:r w:rsidRPr="00D81064">
        <w:rPr>
          <w:lang w:val="ru-RU"/>
        </w:rPr>
        <w:t>19.5</w:t>
      </w:r>
      <w:r w:rsidRPr="00D81064">
        <w:rPr>
          <w:lang w:val="ru-RU"/>
        </w:rPr>
        <w:tab/>
        <w:t>Несколько Советников подчеркнули, что сэкономленные средства следует использовать для оказания ощутимого воздействия на развивающиеся страны при сохранении прозрачности, подотчетности и финансовой устойчивости. Несколько Советников выразили особую поддержку предложению о выделении части сэкономленных средств на реализацию региональных инициатив, принятых ВКРЭ-25. Другой Советник, в частности, поддержал выделение 1,5 </w:t>
      </w:r>
      <w:proofErr w:type="gramStart"/>
      <w:r w:rsidRPr="00D81064">
        <w:rPr>
          <w:lang w:val="ru-RU"/>
        </w:rPr>
        <w:t>млн.</w:t>
      </w:r>
      <w:proofErr w:type="gramEnd"/>
      <w:r w:rsidRPr="00D81064">
        <w:rPr>
          <w:lang w:val="ru-RU"/>
        </w:rPr>
        <w:t xml:space="preserve"> швейцарских франков на обеспечение непрерывности деятельности в штаб-квартире, с тем чтобы Союз мог продолжить свою оперативную и уставную деятельность.</w:t>
      </w:r>
    </w:p>
    <w:p w14:paraId="0123DCDD" w14:textId="77777777" w:rsidR="007C0D72" w:rsidRPr="00D81064" w:rsidRDefault="007C0D72" w:rsidP="007C0D72">
      <w:pPr>
        <w:rPr>
          <w:lang w:val="ru-RU"/>
        </w:rPr>
      </w:pPr>
      <w:r w:rsidRPr="00D81064">
        <w:rPr>
          <w:lang w:val="ru-RU"/>
        </w:rPr>
        <w:t>19.6</w:t>
      </w:r>
      <w:r w:rsidRPr="00D81064">
        <w:rPr>
          <w:lang w:val="ru-RU"/>
        </w:rPr>
        <w:tab/>
        <w:t>Один из Советников поинтересовался, была ли исчерпана сумма в 6 млн. швейцарских франков, ранее выделенных на программу добровольного прекращения службы; были ли 42 должности, освободившиеся в результате осуществления программы, заполнены кандидатами извне, что противоречит целям этой схемы, и можно ли использовать средства, выделенные на программу добровольного ухода, для переподготовки увольняемых сотрудников с целью их трудоустройства в других организациях. Другой Советник спросил, является ли предлагаемое выделение 2,5 </w:t>
      </w:r>
      <w:proofErr w:type="gramStart"/>
      <w:r w:rsidRPr="00D81064">
        <w:rPr>
          <w:lang w:val="ru-RU"/>
        </w:rPr>
        <w:t>млн.</w:t>
      </w:r>
      <w:proofErr w:type="gramEnd"/>
      <w:r w:rsidRPr="00D81064">
        <w:rPr>
          <w:lang w:val="ru-RU"/>
        </w:rPr>
        <w:t xml:space="preserve"> швейцарских франков на обеспечение согласованного прекращения службы дополнением к ранее выделенным 6 </w:t>
      </w:r>
      <w:proofErr w:type="gramStart"/>
      <w:r w:rsidRPr="00D81064">
        <w:rPr>
          <w:lang w:val="ru-RU"/>
        </w:rPr>
        <w:t>млн.</w:t>
      </w:r>
      <w:proofErr w:type="gramEnd"/>
      <w:r w:rsidRPr="00D81064">
        <w:rPr>
          <w:lang w:val="ru-RU"/>
        </w:rPr>
        <w:t xml:space="preserve"> швейцарских франков и какие Секторы затронут новые волны сокращений. Один из наблюдателей хотел бы получить информацию о том, сколько сотрудников будет вероятно потеряно в результате согласованного прекращения службы и какие новые должности будут созданы.</w:t>
      </w:r>
    </w:p>
    <w:p w14:paraId="57DCB152" w14:textId="77777777" w:rsidR="007C0D72" w:rsidRPr="00D81064" w:rsidRDefault="007C0D72" w:rsidP="007C0D72">
      <w:pPr>
        <w:rPr>
          <w:lang w:val="ru-RU"/>
        </w:rPr>
      </w:pPr>
      <w:r w:rsidRPr="00D81064">
        <w:rPr>
          <w:lang w:val="ru-RU"/>
        </w:rPr>
        <w:t>19.7</w:t>
      </w:r>
      <w:r w:rsidRPr="00D81064">
        <w:rPr>
          <w:lang w:val="ru-RU"/>
        </w:rPr>
        <w:tab/>
        <w:t xml:space="preserve">Один из Советников поинтересовался, будут ли предполагаемые ассигнования в размере 1,44 млн. швейцарских франков на модернизацию корпоративных систем использоваться на деятельность, связанную с проектом веб-сайта МСЭ, напомнив об обеспокоенности, выраженной в ходе обсуждений по другим пунктам повестки дня, в связи с тем, что ресурсы для процесса трансформации МСЭ должны поступать только из регулярного бюджета, а не за счет сбережений. Еще один Советник попросил разъяснить, как будут </w:t>
      </w:r>
      <w:r w:rsidRPr="00D81064">
        <w:rPr>
          <w:lang w:val="ru-RU"/>
        </w:rPr>
        <w:lastRenderedPageBreak/>
        <w:t>расходоваться предлагаемые ассигнования на инициативы по модернизации корпоративных систем и ИИ и будет ли иметь место дублирование деятельности. Третий Советник указал на аналогичное потенциальное дублирование деятельности по модернизации системы ERP и по поддержке модернизации программного обеспечения БР, связанного с космическими службами, обе из которых связаны с подготовкой к миграции в облако и систематическим внедрением инструментов ИИ. Несколько Советников выразили поддержку предлагаемому выделению суммы в 1 млн. швейцарских франков на реализацию инициатив в области ИИ, что позволит Союзу укрепить лидирующие позиции в области ИИ в рамках системы Организации Объединенных Наций; один из Советников поинтересовался, как именно будут расходоваться ассигнования, и попросил предоставить дополнительную информацию о текущих расходах на ИИ, при том понимании, что такие инициативы планируется финансировать за счет внешних добровольных ресурсов. Еще один Советник, отмечая, что сэкономленные в 2024 году средства также были направлены на деятельность в области ИИ, спросил, предполагается ли продолжить эту практику. Третий Советник, подчеркнув важность интеграции молодых специалистов в штатный состав МСЭ, поинтересовался, насколько востребован Фонд YPP.</w:t>
      </w:r>
    </w:p>
    <w:p w14:paraId="488B88FB" w14:textId="2C443111" w:rsidR="007C0D72" w:rsidRPr="00D81064" w:rsidRDefault="007C0D72" w:rsidP="007C0D72">
      <w:pPr>
        <w:rPr>
          <w:lang w:val="ru-RU"/>
        </w:rPr>
      </w:pPr>
      <w:r w:rsidRPr="00D81064">
        <w:rPr>
          <w:lang w:val="ru-RU"/>
        </w:rPr>
        <w:t>19.8</w:t>
      </w:r>
      <w:r w:rsidRPr="00D81064">
        <w:rPr>
          <w:lang w:val="ru-RU"/>
        </w:rPr>
        <w:tab/>
        <w:t>Руководитель FRMD, отвечая на замечания, сообщил, что после серий прекращения службы в 2023 и 2025 годах из 6 миллионов швейцарских франков, ранее выделенных на финансирование добровольного прекращения службы, осталось лишь 900 швейцарских франков. Средства, сэкономленные в результате этого процесса, были инвестированы в такие области, как ИТ, здания, обеспечение непрерывности деятельности и различные виды деятельности, не покрываемые из средств регулярного бюджета. Следует поощрять практику добровольного прекращения службы: помимо экономии средств, она позволяют Союзу привлекать персонал, обладающий новыми знаниями и навыками. Председатель IMAC поддержал деятельность руководства МСЭ в этом направлении. Новое предлагаемое ассигнование в размере 2,5 </w:t>
      </w:r>
      <w:proofErr w:type="gramStart"/>
      <w:r w:rsidRPr="00D81064">
        <w:rPr>
          <w:lang w:val="ru-RU"/>
        </w:rPr>
        <w:t>млн.</w:t>
      </w:r>
      <w:proofErr w:type="gramEnd"/>
      <w:r w:rsidRPr="00D81064">
        <w:rPr>
          <w:lang w:val="ru-RU"/>
        </w:rPr>
        <w:t xml:space="preserve"> швейцарских франков позволит облегчить этот процесс, хотя оно и не предназначено для финансирования профессиональной подготовки сотрудников, уволившихся из Союза, многие из которых предпочли досрочно выйти на пенсию, отчасти для того, чтобы предоставить возможности своим более молодым коллегам. HRMD располагает отдельным целевым бюджетом, выделяемым на профессиональную подготовку внутреннего и внешнего персонала. Программа "Молодые специалисты" (YPP) не финансируется за счет регулярного бюджета; поэтому средства могут переноситься из одного года на следующий, обеспечивая определенную степень преемственности. Общая сумма экономии в 11,44 </w:t>
      </w:r>
      <w:proofErr w:type="gramStart"/>
      <w:r w:rsidRPr="00D81064">
        <w:rPr>
          <w:lang w:val="ru-RU"/>
        </w:rPr>
        <w:t>млн.</w:t>
      </w:r>
      <w:proofErr w:type="gramEnd"/>
      <w:r w:rsidRPr="00D81064">
        <w:rPr>
          <w:lang w:val="ru-RU"/>
        </w:rPr>
        <w:t> швейцарских франков включает предлагаемое выделение 1,2 </w:t>
      </w:r>
      <w:proofErr w:type="gramStart"/>
      <w:r w:rsidRPr="00D81064">
        <w:rPr>
          <w:lang w:val="ru-RU"/>
        </w:rPr>
        <w:t>млн.</w:t>
      </w:r>
      <w:proofErr w:type="gramEnd"/>
      <w:r w:rsidRPr="00D81064">
        <w:rPr>
          <w:lang w:val="ru-RU"/>
        </w:rPr>
        <w:t xml:space="preserve"> швейцарских франков в Фонд YPP. Цифры представлены в том виде, в каком они приведены в Документе C26/42(Rev.1), в соответствии с учетными запросами Внешнего аудитора. Руководство МСЭ постоянно ищет способы, чтобы средства использовались как можно более эффективно и результативно, в том числе в контексте инициативы "ООН-80"; существенным подспорьем в этом плане послужит модернизация систем. Частью этих усилий является обновление веб-сайта Союза.</w:t>
      </w:r>
    </w:p>
    <w:p w14:paraId="2C12E398" w14:textId="48DF5467" w:rsidR="007C0D72" w:rsidRPr="00D81064" w:rsidRDefault="007C0D72" w:rsidP="007C0D72">
      <w:pPr>
        <w:rPr>
          <w:lang w:val="ru-RU"/>
        </w:rPr>
      </w:pPr>
      <w:r w:rsidRPr="00D81064">
        <w:rPr>
          <w:lang w:val="ru-RU"/>
        </w:rPr>
        <w:t>19.9</w:t>
      </w:r>
      <w:r w:rsidRPr="00D81064">
        <w:rPr>
          <w:lang w:val="ru-RU"/>
        </w:rPr>
        <w:tab/>
        <w:t>Заместитель Директора БСЭ отметил, что инициативы в области ИИ, упомянутые в документе, направлены на поддержку приоритетных мандатов, определенных ВАСЭ-24 (решения, стандарты и навыки), а также на укрепление лидирующей роли Союза в области инноваций ИИ. Для дальнейшей поддержки платформы "ИИ во благо" в соответствии с поручением ВАСЭ БСЭ нуждается в сотрудниках для выполнения соответствующих видов деятельности. Благодаря платформе</w:t>
      </w:r>
      <w:r w:rsidR="00017C1F" w:rsidRPr="00D81064">
        <w:rPr>
          <w:lang w:val="ru-RU"/>
        </w:rPr>
        <w:t xml:space="preserve"> "ИИ во благо"</w:t>
      </w:r>
      <w:r w:rsidRPr="00D81064">
        <w:rPr>
          <w:lang w:val="ru-RU"/>
        </w:rPr>
        <w:t xml:space="preserve"> к организации присоединились примерно 20 новых членов. Стремясь наладить взаимодействие с другими организациями по разработке стандартов, Бюро инициировало сотрудничество в области установления аутентичности мультимедиа. Оно ведет базу данных по обмену стандартами и проводит регулярные собрания с другими организациями, занимающимися разработкой стандартов, для согласования работы по стандартам ИИ. ИИ также используется в ряде мероприятий, связанных с развитием навыков, таких как Коалиция по навыкам в области ИИ</w:t>
      </w:r>
      <w:r w:rsidR="00017C1F" w:rsidRPr="00D81064">
        <w:rPr>
          <w:lang w:val="ru-RU"/>
        </w:rPr>
        <w:t xml:space="preserve"> и конкурсы в области машинного </w:t>
      </w:r>
      <w:r w:rsidR="00017C1F" w:rsidRPr="00D81064">
        <w:rPr>
          <w:lang w:val="ru-RU"/>
        </w:rPr>
        <w:lastRenderedPageBreak/>
        <w:t>обучения</w:t>
      </w:r>
      <w:r w:rsidRPr="00D81064">
        <w:rPr>
          <w:lang w:val="ru-RU"/>
        </w:rPr>
        <w:t>. Предлагаемые ассигнования в размере 1 </w:t>
      </w:r>
      <w:proofErr w:type="gramStart"/>
      <w:r w:rsidRPr="00D81064">
        <w:rPr>
          <w:lang w:val="ru-RU"/>
        </w:rPr>
        <w:t>млн.</w:t>
      </w:r>
      <w:proofErr w:type="gramEnd"/>
      <w:r w:rsidRPr="00D81064">
        <w:rPr>
          <w:lang w:val="ru-RU"/>
        </w:rPr>
        <w:t> швейцарских франков на инициативы в области ИИ будут расходоваться</w:t>
      </w:r>
      <w:r w:rsidR="00017C1F" w:rsidRPr="00D81064">
        <w:rPr>
          <w:lang w:val="ru-RU"/>
        </w:rPr>
        <w:t xml:space="preserve"> на сотрудников на краткосрочных контактах</w:t>
      </w:r>
      <w:r w:rsidRPr="00D81064">
        <w:rPr>
          <w:lang w:val="ru-RU"/>
        </w:rPr>
        <w:t xml:space="preserve"> в соответствии с </w:t>
      </w:r>
      <w:r w:rsidR="00017C1F" w:rsidRPr="00D81064">
        <w:rPr>
          <w:lang w:val="ru-RU"/>
        </w:rPr>
        <w:t xml:space="preserve">Резолюцией 101 </w:t>
      </w:r>
      <w:r w:rsidRPr="00D81064">
        <w:rPr>
          <w:lang w:val="ru-RU"/>
        </w:rPr>
        <w:t>ВАСЭ</w:t>
      </w:r>
      <w:r w:rsidR="00017C1F" w:rsidRPr="00D81064">
        <w:rPr>
          <w:lang w:val="ru-RU"/>
        </w:rPr>
        <w:t>-24</w:t>
      </w:r>
      <w:r w:rsidRPr="00D81064">
        <w:rPr>
          <w:lang w:val="ru-RU"/>
        </w:rPr>
        <w:t>.</w:t>
      </w:r>
    </w:p>
    <w:p w14:paraId="6BB212F6" w14:textId="27732841" w:rsidR="007C0D72" w:rsidRPr="00D81064" w:rsidRDefault="007C0D72" w:rsidP="007C0D72">
      <w:pPr>
        <w:rPr>
          <w:lang w:val="ru-RU"/>
        </w:rPr>
      </w:pPr>
      <w:r w:rsidRPr="00D81064">
        <w:rPr>
          <w:lang w:val="ru-RU"/>
        </w:rPr>
        <w:t>19.10</w:t>
      </w:r>
      <w:r w:rsidRPr="00D81064">
        <w:rPr>
          <w:lang w:val="ru-RU"/>
        </w:rPr>
        <w:tab/>
        <w:t xml:space="preserve">Директор БР сообщил, что сложное программное обеспечение, используемое БР для различных целей, связанных с SNF, обновлялось после каждой ВКР с учетом последних принятых решений. Однако для процессов, которые оставались неизменными, приходилось поддерживать </w:t>
      </w:r>
      <w:r w:rsidR="00017C1F" w:rsidRPr="00D81064">
        <w:rPr>
          <w:lang w:val="ru-RU"/>
        </w:rPr>
        <w:t xml:space="preserve">также </w:t>
      </w:r>
      <w:r w:rsidRPr="00D81064">
        <w:rPr>
          <w:lang w:val="ru-RU"/>
        </w:rPr>
        <w:t xml:space="preserve">старые версии программного обеспечения. Модернизация программного обеспечения БР с целью приведения его в соответствие с </w:t>
      </w:r>
      <w:r w:rsidR="00017C1F" w:rsidRPr="00D81064">
        <w:rPr>
          <w:lang w:val="ru-RU"/>
        </w:rPr>
        <w:t>развитием</w:t>
      </w:r>
      <w:r w:rsidRPr="00D81064">
        <w:rPr>
          <w:lang w:val="ru-RU"/>
        </w:rPr>
        <w:t xml:space="preserve"> спутниковых </w:t>
      </w:r>
      <w:r w:rsidR="00017C1F" w:rsidRPr="00D81064">
        <w:rPr>
          <w:lang w:val="ru-RU"/>
        </w:rPr>
        <w:t>систем</w:t>
      </w:r>
      <w:r w:rsidRPr="00D81064">
        <w:rPr>
          <w:lang w:val="ru-RU"/>
        </w:rPr>
        <w:t xml:space="preserve"> представляет собой серьезную проблему, как и тот факт, что оно работает на устаревших внутренних серверах. Необходимо разработать программы, которые будут работать в облаке и параллельно, а не последовательно, с тем чтобы обеспечить более высокую производительность и содействовать сокращению объема невыполненной работы по SNF. Стоимость модернизации программного обеспечения оценивается примерно в 3 </w:t>
      </w:r>
      <w:proofErr w:type="gramStart"/>
      <w:r w:rsidRPr="00D81064">
        <w:rPr>
          <w:lang w:val="ru-RU"/>
        </w:rPr>
        <w:t>млн.</w:t>
      </w:r>
      <w:proofErr w:type="gramEnd"/>
      <w:r w:rsidRPr="00D81064">
        <w:rPr>
          <w:lang w:val="ru-RU"/>
        </w:rPr>
        <w:t> швейцарских франков. Ожидается, что предлагаемые ассигнования на базовые системы SNF и мощности по модернизации будут дополнены за счет использования других потенциальных источников финансирования. Предлагаемые ассигнования для ликвидации накопившегося объема невыполненной работы по SNF будут использованы для финансирования 2,5 из трех должностей инженеров, необходимых для разрешения этой ситуации в краткосрочной перспективе, хотя для полной подготовки нового персонала</w:t>
      </w:r>
      <w:r w:rsidR="00017C1F" w:rsidRPr="00D81064">
        <w:rPr>
          <w:lang w:val="ru-RU"/>
        </w:rPr>
        <w:t>, с тем чтобы БР могла</w:t>
      </w:r>
      <w:r w:rsidRPr="00D81064">
        <w:rPr>
          <w:lang w:val="ru-RU"/>
        </w:rPr>
        <w:t xml:space="preserve"> </w:t>
      </w:r>
      <w:r w:rsidR="00017C1F" w:rsidRPr="00D81064">
        <w:rPr>
          <w:lang w:val="ru-RU"/>
        </w:rPr>
        <w:t>вернуться</w:t>
      </w:r>
      <w:r w:rsidRPr="00D81064">
        <w:rPr>
          <w:lang w:val="ru-RU"/>
        </w:rPr>
        <w:t xml:space="preserve"> к обычным </w:t>
      </w:r>
      <w:proofErr w:type="spellStart"/>
      <w:r w:rsidRPr="00D81064">
        <w:rPr>
          <w:lang w:val="ru-RU"/>
        </w:rPr>
        <w:t>регламентарным</w:t>
      </w:r>
      <w:proofErr w:type="spellEnd"/>
      <w:r w:rsidRPr="00D81064">
        <w:rPr>
          <w:lang w:val="ru-RU"/>
        </w:rPr>
        <w:t xml:space="preserve"> срокам обработки SNF может потребоваться до одного года.</w:t>
      </w:r>
    </w:p>
    <w:p w14:paraId="298E51EB" w14:textId="77777777" w:rsidR="007C0D72" w:rsidRPr="00D81064" w:rsidRDefault="007C0D72" w:rsidP="007C0D72">
      <w:pPr>
        <w:rPr>
          <w:lang w:val="ru-RU"/>
        </w:rPr>
      </w:pPr>
      <w:r w:rsidRPr="00D81064">
        <w:rPr>
          <w:lang w:val="ru-RU"/>
        </w:rPr>
        <w:t>19.11</w:t>
      </w:r>
      <w:r w:rsidRPr="00D81064">
        <w:rPr>
          <w:lang w:val="ru-RU"/>
        </w:rPr>
        <w:tab/>
        <w:t>Директор БРЭ заявил, что Бюро стремится использовать инновационный и творческий подход к поиску путей выполнения резолюций ВКРЭ и достижения результатов в рамках системы управления, ориентированного на результаты. Дополнительное финансирование, запрашиваемое для реализации региональных инициатив, пойдет на пользу всем регионам. После ВКРЭ-25 в каждом регионе было по пять инициатив, которые осуществлялись в рамках ряда проектов. Предлагаемое ассигнование в размере 1,3 </w:t>
      </w:r>
      <w:proofErr w:type="gramStart"/>
      <w:r w:rsidRPr="00D81064">
        <w:rPr>
          <w:lang w:val="ru-RU"/>
        </w:rPr>
        <w:t>млн.</w:t>
      </w:r>
      <w:proofErr w:type="gramEnd"/>
      <w:r w:rsidRPr="00D81064">
        <w:rPr>
          <w:lang w:val="ru-RU"/>
        </w:rPr>
        <w:t xml:space="preserve"> швейцарских франков будет частично использовано в качестве начального финансирования для стимулирования совместного финансирования со стороны многочисленных партнеров и организаций-доноров, в том числе в рамках договоренностей между учреждениями системы Организации Объединенных Наций.</w:t>
      </w:r>
    </w:p>
    <w:p w14:paraId="53E9633C" w14:textId="77777777" w:rsidR="007C0D72" w:rsidRPr="00D81064" w:rsidRDefault="007C0D72" w:rsidP="007C0D72">
      <w:pPr>
        <w:rPr>
          <w:lang w:val="ru-RU"/>
        </w:rPr>
      </w:pPr>
      <w:r w:rsidRPr="00D81064">
        <w:rPr>
          <w:lang w:val="ru-RU"/>
        </w:rPr>
        <w:t>19.12</w:t>
      </w:r>
      <w:r w:rsidRPr="00D81064">
        <w:rPr>
          <w:lang w:val="ru-RU"/>
        </w:rPr>
        <w:tab/>
        <w:t>Представитель Секретариата заверила, что между инициативами БР и Отдела информационных систем по переходу на облачные технологии не будет дублирования, ведь первые касаются конкретно модернизации программного обеспечения БР, а вторые связаны с предоставлением услуг для Союза в целом.</w:t>
      </w:r>
    </w:p>
    <w:p w14:paraId="3B90DDD9" w14:textId="77777777" w:rsidR="007C0D72" w:rsidRPr="00D81064" w:rsidRDefault="007C0D72" w:rsidP="007C0D72">
      <w:pPr>
        <w:rPr>
          <w:lang w:val="ru-RU"/>
        </w:rPr>
      </w:pPr>
      <w:r w:rsidRPr="00D81064">
        <w:rPr>
          <w:lang w:val="ru-RU"/>
        </w:rPr>
        <w:t>19.13</w:t>
      </w:r>
      <w:r w:rsidRPr="00D81064">
        <w:rPr>
          <w:lang w:val="ru-RU"/>
        </w:rPr>
        <w:tab/>
        <w:t>Ряд Советников вновь обратились с просьбой предоставить конкретную информацию, в частности в отношении общей суммы запрашиваемых ассигнований за счет сэкономленных средств и использования предлагаемых ассигнований на инициативы в области ИИ, а также внести изменения в Документ C26/42(Rev.1), без чего они не смогут принять решение по данному вопросу.</w:t>
      </w:r>
    </w:p>
    <w:p w14:paraId="3F9B9AA2" w14:textId="28AA7EBB" w:rsidR="007C0D72" w:rsidRPr="00D81064" w:rsidRDefault="007C0D72" w:rsidP="007C0D72">
      <w:pPr>
        <w:rPr>
          <w:lang w:val="ru-RU"/>
        </w:rPr>
      </w:pPr>
      <w:r w:rsidRPr="00D81064">
        <w:rPr>
          <w:lang w:val="ru-RU"/>
        </w:rPr>
        <w:t>19.14</w:t>
      </w:r>
      <w:r w:rsidRPr="00D81064">
        <w:rPr>
          <w:lang w:val="ru-RU"/>
        </w:rPr>
        <w:tab/>
        <w:t>Руководитель FRMD пояснил, что активное сальдо бюджета на 2025 год составляет 10,24 млн. швейцарских франков; сумма в 11,44 млн. швейцарских франков включает 559 800 швейцарских франков, уже утвержденных для перевода во ФРИКТ на основании Документа </w:t>
      </w:r>
      <w:hyperlink r:id="rId117" w:history="1">
        <w:r w:rsidRPr="00D81064">
          <w:rPr>
            <w:rStyle w:val="Hyperlink"/>
            <w:lang w:val="ru-RU"/>
          </w:rPr>
          <w:t>C26/34</w:t>
        </w:r>
      </w:hyperlink>
      <w:r w:rsidRPr="00D81064">
        <w:rPr>
          <w:lang w:val="ru-RU"/>
        </w:rPr>
        <w:t>, и 1,2 млн. швейцарских франков, ранее запрошенных для фонда YPP в Документе </w:t>
      </w:r>
      <w:hyperlink r:id="rId118" w:history="1">
        <w:r w:rsidRPr="00D81064">
          <w:rPr>
            <w:rStyle w:val="Hyperlink"/>
            <w:lang w:val="ru-RU"/>
          </w:rPr>
          <w:t>C24/31</w:t>
        </w:r>
      </w:hyperlink>
      <w:r w:rsidRPr="00D81064">
        <w:rPr>
          <w:lang w:val="ru-RU"/>
        </w:rPr>
        <w:t xml:space="preserve">. Что касается согласованного прекращения службы, то трудно спрогнозировать, сколько сотрудников решат воспользоваться этой программой. Любая выделенная, но не использованная сумма будет переведена на Резервный счет. </w:t>
      </w:r>
    </w:p>
    <w:p w14:paraId="4F8819A9" w14:textId="77777777" w:rsidR="007C0D72" w:rsidRPr="00D81064" w:rsidRDefault="007C0D72" w:rsidP="007C0D72">
      <w:pPr>
        <w:rPr>
          <w:lang w:val="ru-RU"/>
        </w:rPr>
      </w:pPr>
      <w:r w:rsidRPr="00D81064">
        <w:rPr>
          <w:lang w:val="ru-RU"/>
        </w:rPr>
        <w:t>19.15</w:t>
      </w:r>
      <w:r w:rsidRPr="00D81064">
        <w:rPr>
          <w:lang w:val="ru-RU"/>
        </w:rPr>
        <w:tab/>
        <w:t xml:space="preserve">Заместитель Генерального секретаря подчеркнул, что предлагаемые ассигнования предназначены для покрытия расходов, которые не могут быть профинансированы из </w:t>
      </w:r>
      <w:r w:rsidRPr="00D81064">
        <w:rPr>
          <w:lang w:val="ru-RU"/>
        </w:rPr>
        <w:lastRenderedPageBreak/>
        <w:t>регулярного бюджета в рамках текущего Финансового плана, и стратегически направлены на удовлетворение важных потребностей. Ассигнования, запрашиваемые на деятельность БР, помогут сократить накопившийся объем невыполненной работы по обработке SNF не только в краткосрочной перспективе за счет привлечения дополнительного персонала, но и в долгосрочной перспективе за счет модернизации программного обеспечения, после чего потребность в дополнительном персонале отпадет, что обеспечит дополнительную экономию средств. Секретариат старается изыскать различные источники финансирования для этой цели. Следует проводить различие между инициативами в области ИИ, о которых говорится в Документе C26/42(Rev.1), и инициативами, которые направлены на удовлетворение внутренних потребностей Союза, например в таких областях, как письменный и устный перевод и ввод субтитров, где ИИ уже применяется для сокращения использования людских ресурсов. Предлагаемое выделение 1 </w:t>
      </w:r>
      <w:proofErr w:type="gramStart"/>
      <w:r w:rsidRPr="00D81064">
        <w:rPr>
          <w:lang w:val="ru-RU"/>
        </w:rPr>
        <w:t>млн.</w:t>
      </w:r>
      <w:proofErr w:type="gramEnd"/>
      <w:r w:rsidRPr="00D81064">
        <w:rPr>
          <w:lang w:val="ru-RU"/>
        </w:rPr>
        <w:t xml:space="preserve"> швейцарских франков на инициативы в области ИИ призвано дополнить договоренности о ежегодной спонсорской поддержке в рамках платформы "ИИ во благо", фактически обеспечивая оборотный фонд для покрытия пробелов и не создавая при этом постоянной нагрузки на регулярный бюджет. Секретариат будет и впредь стремиться к поиску подходящих моделей финансирования, с тем чтобы обеспечить возможность реализации инициатив, востребованных Государствами-Членами, с учетом необходимости обеспечения преемственности в кадровом составе.</w:t>
      </w:r>
    </w:p>
    <w:p w14:paraId="334D35F2" w14:textId="64F8B35A" w:rsidR="007C0D72" w:rsidRPr="00D81064" w:rsidRDefault="007C0D72" w:rsidP="007C0D72">
      <w:pPr>
        <w:rPr>
          <w:lang w:val="ru-RU"/>
        </w:rPr>
      </w:pPr>
      <w:r w:rsidRPr="00D81064">
        <w:rPr>
          <w:lang w:val="ru-RU"/>
        </w:rPr>
        <w:t>19.16</w:t>
      </w:r>
      <w:r w:rsidRPr="00D81064">
        <w:rPr>
          <w:lang w:val="ru-RU"/>
        </w:rPr>
        <w:tab/>
        <w:t>После неофициальных консультаций было объявлено о создании специальной группы для обсуждения этого вопроса, в том числе пересмотренной версии Документа C26/42(Rev.1) и проекта новой Резолюции, приложенного к нему, который был выпущен как Документ </w:t>
      </w:r>
      <w:hyperlink r:id="rId119" w:history="1">
        <w:r w:rsidRPr="00D81064">
          <w:rPr>
            <w:rStyle w:val="Hyperlink"/>
            <w:lang w:val="ru-RU"/>
          </w:rPr>
          <w:t>C26/DT/6</w:t>
        </w:r>
      </w:hyperlink>
      <w:r w:rsidRPr="00D81064">
        <w:rPr>
          <w:lang w:val="ru-RU"/>
        </w:rPr>
        <w:t>. Специальная группа провела два собрания.</w:t>
      </w:r>
    </w:p>
    <w:p w14:paraId="4568E8BC" w14:textId="7F776E57" w:rsidR="00017C1F" w:rsidRPr="00D81064" w:rsidRDefault="00017C1F" w:rsidP="00212D70">
      <w:pPr>
        <w:rPr>
          <w:lang w:val="ru-RU"/>
        </w:rPr>
      </w:pPr>
      <w:r w:rsidRPr="00D81064">
        <w:rPr>
          <w:lang w:val="ru-RU"/>
        </w:rPr>
        <w:t>19.17</w:t>
      </w:r>
      <w:r w:rsidR="00212D70" w:rsidRPr="00D81064">
        <w:rPr>
          <w:lang w:val="ru-RU"/>
        </w:rPr>
        <w:tab/>
      </w:r>
      <w:r w:rsidRPr="00D81064">
        <w:rPr>
          <w:lang w:val="ru-RU"/>
        </w:rPr>
        <w:t>Председатель специальной группы затем представил Документ C26/42(Rev.2), в</w:t>
      </w:r>
      <w:r w:rsidR="00212D70" w:rsidRPr="00D81064">
        <w:rPr>
          <w:lang w:val="ru-RU"/>
        </w:rPr>
        <w:t> </w:t>
      </w:r>
      <w:r w:rsidRPr="00D81064">
        <w:rPr>
          <w:lang w:val="ru-RU"/>
        </w:rPr>
        <w:t>котором содержится обновленная версия отчета и поправки к проекту решения, отражающие консенсусную позицию по распределению средств</w:t>
      </w:r>
      <w:r w:rsidR="00421781" w:rsidRPr="00D81064">
        <w:rPr>
          <w:lang w:val="ru-RU"/>
        </w:rPr>
        <w:t xml:space="preserve">, сэкономленных в </w:t>
      </w:r>
      <w:r w:rsidRPr="00D81064">
        <w:rPr>
          <w:lang w:val="ru-RU"/>
        </w:rPr>
        <w:t>2025 год</w:t>
      </w:r>
      <w:r w:rsidR="00421781" w:rsidRPr="00D81064">
        <w:rPr>
          <w:lang w:val="ru-RU"/>
        </w:rPr>
        <w:t>у</w:t>
      </w:r>
      <w:r w:rsidRPr="00D81064">
        <w:rPr>
          <w:lang w:val="ru-RU"/>
        </w:rPr>
        <w:t>.</w:t>
      </w:r>
    </w:p>
    <w:p w14:paraId="009B50F3" w14:textId="50AF0167" w:rsidR="00017C1F" w:rsidRPr="00D81064" w:rsidRDefault="00017C1F" w:rsidP="00212D70">
      <w:pPr>
        <w:rPr>
          <w:lang w:val="ru-RU"/>
        </w:rPr>
      </w:pPr>
      <w:r w:rsidRPr="00D81064">
        <w:rPr>
          <w:lang w:val="ru-RU"/>
        </w:rPr>
        <w:t>19.18</w:t>
      </w:r>
      <w:r w:rsidRPr="00D81064">
        <w:rPr>
          <w:lang w:val="ru-RU"/>
        </w:rPr>
        <w:tab/>
        <w:t xml:space="preserve">Генеральный секретарь </w:t>
      </w:r>
      <w:r w:rsidR="00421781" w:rsidRPr="00D81064">
        <w:rPr>
          <w:lang w:val="ru-RU"/>
        </w:rPr>
        <w:t>поблагодарила</w:t>
      </w:r>
      <w:r w:rsidRPr="00D81064">
        <w:rPr>
          <w:lang w:val="ru-RU"/>
        </w:rPr>
        <w:t xml:space="preserve"> председателя и членов специальной группы за их приверженность</w:t>
      </w:r>
      <w:r w:rsidR="00421781" w:rsidRPr="00D81064">
        <w:rPr>
          <w:lang w:val="ru-RU"/>
        </w:rPr>
        <w:t xml:space="preserve"> работе</w:t>
      </w:r>
      <w:r w:rsidRPr="00D81064">
        <w:rPr>
          <w:lang w:val="ru-RU"/>
        </w:rPr>
        <w:t xml:space="preserve"> и дух компромисса, проявленные ими при выработке консенсусного предложения.</w:t>
      </w:r>
    </w:p>
    <w:p w14:paraId="341B5EAE" w14:textId="202D3F05" w:rsidR="007C0D72" w:rsidRPr="00D81064" w:rsidRDefault="007C0D72" w:rsidP="007C0D72">
      <w:pPr>
        <w:rPr>
          <w:lang w:val="ru-RU"/>
        </w:rPr>
      </w:pPr>
      <w:r w:rsidRPr="00D81064">
        <w:rPr>
          <w:lang w:val="ru-RU"/>
        </w:rPr>
        <w:t>19.1</w:t>
      </w:r>
      <w:r w:rsidR="00017C1F" w:rsidRPr="00D81064">
        <w:rPr>
          <w:lang w:val="ru-RU"/>
        </w:rPr>
        <w:t>9</w:t>
      </w:r>
      <w:r w:rsidRPr="00D81064">
        <w:rPr>
          <w:lang w:val="ru-RU"/>
        </w:rPr>
        <w:tab/>
        <w:t xml:space="preserve">Комитет </w:t>
      </w:r>
      <w:r w:rsidRPr="00D81064">
        <w:rPr>
          <w:b/>
          <w:bCs/>
          <w:lang w:val="ru-RU"/>
        </w:rPr>
        <w:t>принял решение</w:t>
      </w:r>
      <w:r w:rsidRPr="00D81064">
        <w:rPr>
          <w:lang w:val="ru-RU"/>
        </w:rPr>
        <w:t xml:space="preserve"> сделать по данному вопросу следующее заключение:</w:t>
      </w:r>
    </w:p>
    <w:p w14:paraId="49A91BF9" w14:textId="400FB1ED" w:rsidR="00017C1F" w:rsidRPr="00D81064" w:rsidRDefault="00017C1F" w:rsidP="007C0D72">
      <w:pPr>
        <w:pStyle w:val="enumlev1"/>
        <w:keepNext/>
        <w:keepLines/>
        <w:pBdr>
          <w:top w:val="single" w:sz="4" w:space="1" w:color="auto"/>
          <w:left w:val="single" w:sz="4" w:space="4" w:color="auto"/>
          <w:bottom w:val="single" w:sz="4" w:space="1" w:color="auto"/>
          <w:right w:val="single" w:sz="4" w:space="4" w:color="auto"/>
        </w:pBdr>
        <w:rPr>
          <w:lang w:val="ru-RU"/>
        </w:rPr>
      </w:pPr>
      <w:r w:rsidRPr="00D81064">
        <w:rPr>
          <w:lang w:val="ru-RU"/>
        </w:rPr>
        <w:t>19.20</w:t>
      </w:r>
      <w:r w:rsidRPr="00D81064">
        <w:rPr>
          <w:lang w:val="ru-RU"/>
        </w:rPr>
        <w:tab/>
        <w:t>Комитет рекомендует Совету:</w:t>
      </w:r>
    </w:p>
    <w:p w14:paraId="7CFF0584" w14:textId="39D79246" w:rsidR="007C0D72" w:rsidRPr="00D81064" w:rsidRDefault="007C0D72" w:rsidP="007C0D72">
      <w:pPr>
        <w:pStyle w:val="enumlev1"/>
        <w:keepNext/>
        <w:keepLines/>
        <w:pBdr>
          <w:top w:val="single" w:sz="4" w:space="1" w:color="auto"/>
          <w:left w:val="single" w:sz="4" w:space="4" w:color="auto"/>
          <w:bottom w:val="single" w:sz="4" w:space="1" w:color="auto"/>
          <w:right w:val="single" w:sz="4" w:space="4" w:color="auto"/>
        </w:pBdr>
        <w:rPr>
          <w:lang w:val="ru-RU"/>
        </w:rPr>
      </w:pPr>
      <w:r w:rsidRPr="00D81064">
        <w:rPr>
          <w:lang w:val="ru-RU"/>
        </w:rPr>
        <w:t>•</w:t>
      </w:r>
      <w:r w:rsidRPr="00D81064">
        <w:rPr>
          <w:lang w:val="ru-RU"/>
        </w:rPr>
        <w:tab/>
        <w:t>принять к сведению пересмотренный отчет, содержащийся в Документе </w:t>
      </w:r>
      <w:hyperlink r:id="rId120" w:history="1">
        <w:r w:rsidR="00421781" w:rsidRPr="00D81064">
          <w:rPr>
            <w:rStyle w:val="Hyperlink"/>
            <w:lang w:val="ru-RU"/>
          </w:rPr>
          <w:t>C26/42</w:t>
        </w:r>
        <w:r w:rsidR="00212D70" w:rsidRPr="00D81064">
          <w:rPr>
            <w:rStyle w:val="Hyperlink"/>
            <w:lang w:val="ru-RU"/>
          </w:rPr>
          <w:t>(</w:t>
        </w:r>
        <w:r w:rsidR="00421781" w:rsidRPr="00D81064">
          <w:rPr>
            <w:rStyle w:val="Hyperlink"/>
            <w:lang w:val="ru-RU"/>
          </w:rPr>
          <w:t>Rev.</w:t>
        </w:r>
        <w:r w:rsidR="00212D70" w:rsidRPr="00D81064">
          <w:rPr>
            <w:rStyle w:val="Hyperlink"/>
            <w:lang w:val="ru-RU"/>
          </w:rPr>
          <w:t>2)</w:t>
        </w:r>
      </w:hyperlink>
      <w:r w:rsidRPr="00D81064">
        <w:rPr>
          <w:lang w:val="ru-RU"/>
        </w:rPr>
        <w:t>;</w:t>
      </w:r>
      <w:hyperlink r:id="rId121" w:history="1"/>
    </w:p>
    <w:p w14:paraId="5E838D2A" w14:textId="01C54D53" w:rsidR="007C0D72" w:rsidRPr="00D81064" w:rsidRDefault="007C0D72" w:rsidP="007C0D72">
      <w:pPr>
        <w:pStyle w:val="enumlev1"/>
        <w:pBdr>
          <w:top w:val="single" w:sz="4" w:space="1" w:color="auto"/>
          <w:left w:val="single" w:sz="4" w:space="4" w:color="auto"/>
          <w:bottom w:val="single" w:sz="4" w:space="1" w:color="auto"/>
          <w:right w:val="single" w:sz="4" w:space="4" w:color="auto"/>
        </w:pBdr>
        <w:rPr>
          <w:lang w:val="ru-RU"/>
        </w:rPr>
      </w:pPr>
      <w:r w:rsidRPr="00D81064">
        <w:rPr>
          <w:lang w:val="ru-RU"/>
        </w:rPr>
        <w:t>•</w:t>
      </w:r>
      <w:r w:rsidRPr="00D81064">
        <w:rPr>
          <w:lang w:val="ru-RU"/>
        </w:rPr>
        <w:tab/>
        <w:t xml:space="preserve">принять проект новой Резолюции, содержащийся в </w:t>
      </w:r>
      <w:hyperlink w:anchor="AnnexD" w:history="1">
        <w:r w:rsidRPr="00D81064">
          <w:rPr>
            <w:rStyle w:val="Hyperlink"/>
            <w:b/>
            <w:bCs/>
            <w:lang w:val="ru-RU"/>
          </w:rPr>
          <w:t>Приложении D</w:t>
        </w:r>
      </w:hyperlink>
      <w:r w:rsidRPr="00D81064">
        <w:rPr>
          <w:lang w:val="ru-RU"/>
        </w:rPr>
        <w:t xml:space="preserve"> к настоящему отчету.</w:t>
      </w:r>
      <w:hyperlink w:anchor="Annex_D" w:history="1"/>
    </w:p>
    <w:p w14:paraId="08CA679C" w14:textId="7C77E5AF" w:rsidR="00C161C0" w:rsidRPr="00D81064" w:rsidRDefault="00C161C0" w:rsidP="00C161C0">
      <w:pPr>
        <w:pStyle w:val="Heading1"/>
        <w:rPr>
          <w:szCs w:val="28"/>
          <w:lang w:val="ru-RU"/>
        </w:rPr>
      </w:pPr>
      <w:r w:rsidRPr="00D81064">
        <w:rPr>
          <w:bCs/>
          <w:lang w:val="ru-RU"/>
        </w:rPr>
        <w:t>20</w:t>
      </w:r>
      <w:r w:rsidRPr="00D81064">
        <w:rPr>
          <w:lang w:val="ru-RU"/>
        </w:rPr>
        <w:tab/>
        <w:t xml:space="preserve">Отчет Председателя РГС-ФЛР и Председателя РГС-СФП о совместном собрании РГС-ФЛР и РГС-СФП (Документ </w:t>
      </w:r>
      <w:hyperlink r:id="rId122" w:history="1">
        <w:r w:rsidRPr="00D81064">
          <w:rPr>
            <w:rStyle w:val="Hyperlink"/>
            <w:lang w:val="ru-RU"/>
          </w:rPr>
          <w:t>C26/112</w:t>
        </w:r>
      </w:hyperlink>
      <w:r w:rsidRPr="00D81064">
        <w:rPr>
          <w:lang w:val="ru-RU"/>
        </w:rPr>
        <w:t>)</w:t>
      </w:r>
      <w:hyperlink r:id="rId123" w:history="1"/>
    </w:p>
    <w:p w14:paraId="57F584C4" w14:textId="1C5F737E" w:rsidR="00C161C0" w:rsidRPr="00D81064" w:rsidRDefault="00C161C0" w:rsidP="00C161C0">
      <w:pPr>
        <w:rPr>
          <w:rFonts w:eastAsia="Calibri" w:cs="Calibri"/>
          <w:lang w:val="ru-RU"/>
        </w:rPr>
      </w:pPr>
      <w:r w:rsidRPr="00D81064">
        <w:rPr>
          <w:lang w:val="ru-RU"/>
        </w:rPr>
        <w:t>20.1</w:t>
      </w:r>
      <w:r w:rsidRPr="00D81064">
        <w:rPr>
          <w:lang w:val="ru-RU"/>
        </w:rPr>
        <w:tab/>
        <w:t>Председатель РГС-ФЛР представила содержащийся в Документе C26/112 отчет о совместном собрании РГС-ФЛР и РГС-СФП, проведенном 27 апреля 2026 года и посвященном обсуждению проекта Финансового плана на период 2028–2031 годов (см. Документ</w:t>
      </w:r>
      <w:r w:rsidR="002252F3" w:rsidRPr="00D81064">
        <w:rPr>
          <w:lang w:val="ru-RU"/>
        </w:rPr>
        <w:t> </w:t>
      </w:r>
      <w:hyperlink r:id="rId124" w:history="1">
        <w:r w:rsidRPr="00D81064">
          <w:rPr>
            <w:rStyle w:val="Hyperlink"/>
            <w:rFonts w:cs="Calibri"/>
            <w:lang w:val="ru-RU"/>
          </w:rPr>
          <w:t>C26/32</w:t>
        </w:r>
      </w:hyperlink>
      <w:r w:rsidRPr="00D81064">
        <w:rPr>
          <w:lang w:val="ru-RU"/>
        </w:rPr>
        <w:t xml:space="preserve">). Кроме того, 1 мая была проведена информационная сессия. Члены приветствовали новый подход </w:t>
      </w:r>
      <w:r w:rsidR="00373264" w:rsidRPr="00D81064">
        <w:rPr>
          <w:lang w:val="ru-RU"/>
        </w:rPr>
        <w:t xml:space="preserve">Секретариата </w:t>
      </w:r>
      <w:r w:rsidRPr="00D81064">
        <w:rPr>
          <w:lang w:val="ru-RU"/>
        </w:rPr>
        <w:t>к проекту Финансового плана и его обязательство внедрить принцип управления, ориентированного на результаты, для поддержки Стратегического и Оперативного планов. Вместе с тем, как указано в пункте 2.12 отчета и согласно Решению 5 (</w:t>
      </w:r>
      <w:proofErr w:type="spellStart"/>
      <w:r w:rsidRPr="00D81064">
        <w:rPr>
          <w:lang w:val="ru-RU"/>
        </w:rPr>
        <w:t>Пересм</w:t>
      </w:r>
      <w:proofErr w:type="spellEnd"/>
      <w:r w:rsidRPr="00D81064">
        <w:rPr>
          <w:lang w:val="ru-RU"/>
        </w:rPr>
        <w:t>. Бухарест, 2022 г.) Полномочной конференции, представление более развернутой информации о проекте Финансового плана было бы желательно в целях содействия Государствам-Членам в получении более полного представления о ходе работы по формированию бюджета, ориентированного на результат. Было рекомендовано провести дополнительную информационную сессию по проекту Финансового плана не позднее чем за шесть недель до начала ПК-26.</w:t>
      </w:r>
      <w:hyperlink r:id="rId125" w:history="1"/>
    </w:p>
    <w:p w14:paraId="00F33CC8" w14:textId="77777777" w:rsidR="00C161C0" w:rsidRPr="00D81064" w:rsidRDefault="00C161C0" w:rsidP="00C161C0">
      <w:pPr>
        <w:rPr>
          <w:rFonts w:eastAsia="Calibri" w:cs="Calibri"/>
          <w:szCs w:val="24"/>
          <w:lang w:val="ru-RU"/>
        </w:rPr>
      </w:pPr>
      <w:r w:rsidRPr="00D81064">
        <w:rPr>
          <w:lang w:val="ru-RU"/>
        </w:rPr>
        <w:lastRenderedPageBreak/>
        <w:t>20.2</w:t>
      </w:r>
      <w:r w:rsidRPr="00D81064">
        <w:rPr>
          <w:lang w:val="ru-RU"/>
        </w:rPr>
        <w:tab/>
        <w:t xml:space="preserve">Комитет </w:t>
      </w:r>
      <w:r w:rsidRPr="00D81064">
        <w:rPr>
          <w:b/>
          <w:bCs/>
          <w:lang w:val="ru-RU"/>
        </w:rPr>
        <w:t>принял решение</w:t>
      </w:r>
      <w:r w:rsidRPr="00D81064">
        <w:rPr>
          <w:lang w:val="ru-RU"/>
        </w:rPr>
        <w:t xml:space="preserve"> сделать по данному вопросу следующее заключение:</w:t>
      </w:r>
    </w:p>
    <w:p w14:paraId="0E6F7583" w14:textId="77777777" w:rsidR="00C161C0" w:rsidRPr="00D81064" w:rsidRDefault="00C161C0" w:rsidP="00AC3268">
      <w:pPr>
        <w:keepNext/>
        <w:pBdr>
          <w:top w:val="single" w:sz="4" w:space="1" w:color="auto"/>
          <w:left w:val="single" w:sz="4" w:space="4" w:color="auto"/>
          <w:bottom w:val="single" w:sz="4" w:space="1" w:color="auto"/>
          <w:right w:val="single" w:sz="4" w:space="4" w:color="auto"/>
        </w:pBdr>
        <w:rPr>
          <w:lang w:val="ru-RU"/>
        </w:rPr>
      </w:pPr>
      <w:r w:rsidRPr="00D81064">
        <w:rPr>
          <w:lang w:val="ru-RU"/>
        </w:rPr>
        <w:t>20.3</w:t>
      </w:r>
      <w:r w:rsidRPr="00D81064">
        <w:rPr>
          <w:lang w:val="ru-RU"/>
        </w:rPr>
        <w:tab/>
        <w:t>Комитет рекомендует Совету:</w:t>
      </w:r>
    </w:p>
    <w:p w14:paraId="029F3217" w14:textId="77777777" w:rsidR="00847EE3" w:rsidRPr="00D81064" w:rsidRDefault="00C161C0" w:rsidP="00C161C0">
      <w:pPr>
        <w:pStyle w:val="enumlev1"/>
        <w:pBdr>
          <w:top w:val="single" w:sz="4" w:space="1" w:color="auto"/>
          <w:left w:val="single" w:sz="4" w:space="4" w:color="auto"/>
          <w:bottom w:val="single" w:sz="4" w:space="1" w:color="auto"/>
          <w:right w:val="single" w:sz="4" w:space="4" w:color="auto"/>
        </w:pBdr>
        <w:rPr>
          <w:lang w:val="ru-RU"/>
        </w:rPr>
      </w:pPr>
      <w:r w:rsidRPr="00D81064">
        <w:rPr>
          <w:lang w:val="ru-RU"/>
        </w:rPr>
        <w:t>•</w:t>
      </w:r>
      <w:r w:rsidRPr="00D81064">
        <w:rPr>
          <w:lang w:val="ru-RU"/>
        </w:rPr>
        <w:tab/>
        <w:t>принять к сведению отчет о работе РГС-ФЛР и РГС-СФП, содержащийся в Документе </w:t>
      </w:r>
      <w:hyperlink r:id="rId126" w:history="1">
        <w:r w:rsidRPr="00D81064">
          <w:rPr>
            <w:rStyle w:val="Hyperlink"/>
            <w:rFonts w:cs="Calibri"/>
            <w:lang w:val="ru-RU"/>
          </w:rPr>
          <w:t>C26/112</w:t>
        </w:r>
      </w:hyperlink>
      <w:r w:rsidR="00847EE3" w:rsidRPr="00D81064">
        <w:rPr>
          <w:lang w:val="ru-RU"/>
        </w:rPr>
        <w:t>;</w:t>
      </w:r>
    </w:p>
    <w:p w14:paraId="5D21807D" w14:textId="2921F8A5" w:rsidR="00847EE3" w:rsidRPr="00D81064" w:rsidRDefault="00847EE3" w:rsidP="00C161C0">
      <w:pPr>
        <w:pStyle w:val="enumlev1"/>
        <w:pBdr>
          <w:top w:val="single" w:sz="4" w:space="1" w:color="auto"/>
          <w:left w:val="single" w:sz="4" w:space="4" w:color="auto"/>
          <w:bottom w:val="single" w:sz="4" w:space="1" w:color="auto"/>
          <w:right w:val="single" w:sz="4" w:space="4" w:color="auto"/>
        </w:pBdr>
        <w:rPr>
          <w:lang w:val="ru-RU"/>
        </w:rPr>
      </w:pPr>
      <w:r w:rsidRPr="00D81064">
        <w:rPr>
          <w:lang w:val="ru-RU"/>
        </w:rPr>
        <w:t>•</w:t>
      </w:r>
      <w:r w:rsidRPr="00D81064">
        <w:rPr>
          <w:lang w:val="ru-RU"/>
        </w:rPr>
        <w:tab/>
        <w:t xml:space="preserve">рекомендовать </w:t>
      </w:r>
      <w:r w:rsidR="001C42DB" w:rsidRPr="00D81064">
        <w:rPr>
          <w:lang w:val="ru-RU"/>
        </w:rPr>
        <w:t xml:space="preserve">Секретариату </w:t>
      </w:r>
      <w:r w:rsidRPr="00D81064">
        <w:rPr>
          <w:lang w:val="ru-RU"/>
        </w:rPr>
        <w:t>провести информационную сессию перед Полномочной конференцией (Доха, 2026 г.) для представления ответов на вопросы Государств-Членов;</w:t>
      </w:r>
    </w:p>
    <w:p w14:paraId="64FBE68D" w14:textId="71C05C56" w:rsidR="00C161C0" w:rsidRPr="00D81064" w:rsidRDefault="00847EE3" w:rsidP="00C161C0">
      <w:pPr>
        <w:pStyle w:val="enumlev1"/>
        <w:pBdr>
          <w:top w:val="single" w:sz="4" w:space="1" w:color="auto"/>
          <w:left w:val="single" w:sz="4" w:space="4" w:color="auto"/>
          <w:bottom w:val="single" w:sz="4" w:space="1" w:color="auto"/>
          <w:right w:val="single" w:sz="4" w:space="4" w:color="auto"/>
        </w:pBdr>
        <w:rPr>
          <w:lang w:val="ru-RU"/>
        </w:rPr>
      </w:pPr>
      <w:r w:rsidRPr="00D81064">
        <w:rPr>
          <w:lang w:val="ru-RU"/>
        </w:rPr>
        <w:t>•</w:t>
      </w:r>
      <w:r w:rsidRPr="00D81064">
        <w:rPr>
          <w:lang w:val="ru-RU"/>
        </w:rPr>
        <w:tab/>
        <w:t xml:space="preserve">рекомендовать </w:t>
      </w:r>
      <w:r w:rsidR="001C42DB" w:rsidRPr="00D81064">
        <w:rPr>
          <w:lang w:val="ru-RU"/>
        </w:rPr>
        <w:t xml:space="preserve">Секретариату </w:t>
      </w:r>
      <w:r w:rsidRPr="00D81064">
        <w:rPr>
          <w:lang w:val="ru-RU"/>
        </w:rPr>
        <w:t>представлять более подробную информацию о Финансовом плане, включая постатейн</w:t>
      </w:r>
      <w:r w:rsidR="001D3B2D" w:rsidRPr="00D81064">
        <w:rPr>
          <w:lang w:val="ru-RU"/>
        </w:rPr>
        <w:t>ое указание</w:t>
      </w:r>
      <w:r w:rsidRPr="00D81064">
        <w:rPr>
          <w:lang w:val="ru-RU"/>
        </w:rPr>
        <w:t xml:space="preserve"> расходов каждого Бюро и Генерального секретариата, а также подробное разъяснение бюджетного процесса. </w:t>
      </w:r>
      <w:r w:rsidR="001D3B2D" w:rsidRPr="00D81064">
        <w:rPr>
          <w:lang w:val="ru-RU"/>
        </w:rPr>
        <w:t xml:space="preserve">Следует, чтобы </w:t>
      </w:r>
      <w:r w:rsidRPr="00D81064">
        <w:rPr>
          <w:lang w:val="ru-RU"/>
        </w:rPr>
        <w:t>Финансовый план включа</w:t>
      </w:r>
      <w:r w:rsidR="001D3B2D" w:rsidRPr="00D81064">
        <w:rPr>
          <w:lang w:val="ru-RU"/>
        </w:rPr>
        <w:t>л</w:t>
      </w:r>
      <w:r w:rsidRPr="00D81064">
        <w:rPr>
          <w:lang w:val="ru-RU"/>
        </w:rPr>
        <w:t xml:space="preserve"> подробную информацию о том, как </w:t>
      </w:r>
      <w:r w:rsidR="001D3B2D" w:rsidRPr="00D81064">
        <w:rPr>
          <w:lang w:val="ru-RU"/>
        </w:rPr>
        <w:t xml:space="preserve">именно </w:t>
      </w:r>
      <w:r w:rsidRPr="00D81064">
        <w:rPr>
          <w:lang w:val="ru-RU"/>
        </w:rPr>
        <w:t>перечисленные приоритеты увязаны с бюджетом Оперативного плана.</w:t>
      </w:r>
      <w:hyperlink r:id="rId127" w:history="1"/>
    </w:p>
    <w:p w14:paraId="0A3F3842" w14:textId="77777777" w:rsidR="00F26372" w:rsidRPr="00D81064" w:rsidRDefault="00F26372" w:rsidP="00F26372">
      <w:pPr>
        <w:pStyle w:val="Heading1"/>
        <w:rPr>
          <w:lang w:val="ru-RU"/>
        </w:rPr>
      </w:pPr>
      <w:r w:rsidRPr="00D81064">
        <w:rPr>
          <w:bCs/>
          <w:lang w:val="ru-RU"/>
        </w:rPr>
        <w:t>21</w:t>
      </w:r>
      <w:r w:rsidRPr="00D81064">
        <w:rPr>
          <w:lang w:val="ru-RU"/>
        </w:rPr>
        <w:tab/>
        <w:t xml:space="preserve">Проект Финансового плана на 2028–2031 годы (Документ </w:t>
      </w:r>
      <w:hyperlink r:id="rId128" w:history="1">
        <w:r w:rsidRPr="00D81064">
          <w:rPr>
            <w:rStyle w:val="Hyperlink"/>
            <w:lang w:val="ru-RU"/>
          </w:rPr>
          <w:t>C26/32</w:t>
        </w:r>
      </w:hyperlink>
      <w:r w:rsidRPr="00D81064">
        <w:rPr>
          <w:lang w:val="ru-RU"/>
        </w:rPr>
        <w:t>)</w:t>
      </w:r>
    </w:p>
    <w:p w14:paraId="365DE783" w14:textId="2938CD3D" w:rsidR="00F26372" w:rsidRPr="00D81064" w:rsidRDefault="00D81064" w:rsidP="00D81064">
      <w:pPr>
        <w:pStyle w:val="Headingb"/>
        <w:ind w:left="794" w:hanging="794"/>
        <w:rPr>
          <w:sz w:val="26"/>
          <w:szCs w:val="26"/>
          <w:lang w:val="ru-RU"/>
        </w:rPr>
      </w:pPr>
      <w:r w:rsidRPr="00D81064">
        <w:rPr>
          <w:sz w:val="26"/>
          <w:szCs w:val="26"/>
          <w:lang w:val="ru-RU"/>
        </w:rPr>
        <w:tab/>
      </w:r>
      <w:r w:rsidR="00F26372" w:rsidRPr="00D81064">
        <w:rPr>
          <w:sz w:val="26"/>
          <w:szCs w:val="26"/>
          <w:lang w:val="ru-RU"/>
        </w:rPr>
        <w:t>Рекомендации по повышению прозрачности финансового управления в</w:t>
      </w:r>
      <w:r w:rsidRPr="00D81064">
        <w:rPr>
          <w:sz w:val="26"/>
          <w:szCs w:val="26"/>
          <w:lang w:val="ru-RU"/>
        </w:rPr>
        <w:t> </w:t>
      </w:r>
      <w:r w:rsidR="00F26372" w:rsidRPr="00D81064">
        <w:rPr>
          <w:sz w:val="26"/>
          <w:szCs w:val="26"/>
          <w:lang w:val="ru-RU"/>
        </w:rPr>
        <w:t xml:space="preserve">МСЭ (Документ </w:t>
      </w:r>
      <w:hyperlink r:id="rId129" w:history="1">
        <w:r w:rsidR="00F26372" w:rsidRPr="00D81064">
          <w:rPr>
            <w:rStyle w:val="Hyperlink"/>
            <w:sz w:val="26"/>
            <w:szCs w:val="26"/>
            <w:lang w:val="ru-RU"/>
          </w:rPr>
          <w:t>C26/80</w:t>
        </w:r>
      </w:hyperlink>
      <w:r w:rsidR="00F26372" w:rsidRPr="00D81064">
        <w:rPr>
          <w:sz w:val="26"/>
          <w:szCs w:val="26"/>
          <w:lang w:val="ru-RU"/>
        </w:rPr>
        <w:t>)</w:t>
      </w:r>
    </w:p>
    <w:p w14:paraId="4B875485" w14:textId="02AF7D1A" w:rsidR="00F26372" w:rsidRPr="00D81064" w:rsidRDefault="00D81064" w:rsidP="00D81064">
      <w:pPr>
        <w:pStyle w:val="Headingb"/>
        <w:ind w:left="794" w:hanging="794"/>
        <w:rPr>
          <w:sz w:val="26"/>
          <w:szCs w:val="26"/>
          <w:lang w:val="ru-RU"/>
        </w:rPr>
      </w:pPr>
      <w:r w:rsidRPr="00D81064">
        <w:rPr>
          <w:sz w:val="26"/>
          <w:szCs w:val="26"/>
          <w:lang w:val="ru-RU"/>
        </w:rPr>
        <w:tab/>
      </w:r>
      <w:r w:rsidR="00F26372" w:rsidRPr="00D81064">
        <w:rPr>
          <w:sz w:val="26"/>
          <w:szCs w:val="26"/>
          <w:lang w:val="ru-RU"/>
        </w:rPr>
        <w:t xml:space="preserve">Рекомендации по дальнейшей доработке проекта Финансового плана на </w:t>
      </w:r>
      <w:proofErr w:type="gramStart"/>
      <w:r w:rsidR="00F26372" w:rsidRPr="00D81064">
        <w:rPr>
          <w:sz w:val="26"/>
          <w:szCs w:val="26"/>
          <w:lang w:val="ru-RU"/>
        </w:rPr>
        <w:t>2028−2031</w:t>
      </w:r>
      <w:proofErr w:type="gramEnd"/>
      <w:r w:rsidR="00F26372" w:rsidRPr="00D81064">
        <w:rPr>
          <w:sz w:val="26"/>
          <w:szCs w:val="26"/>
          <w:lang w:val="ru-RU"/>
        </w:rPr>
        <w:t xml:space="preserve"> годы (Документ </w:t>
      </w:r>
      <w:hyperlink r:id="rId130" w:history="1">
        <w:r w:rsidR="00F26372" w:rsidRPr="00D81064">
          <w:rPr>
            <w:rStyle w:val="Hyperlink"/>
            <w:sz w:val="26"/>
            <w:szCs w:val="26"/>
            <w:lang w:val="ru-RU"/>
          </w:rPr>
          <w:t>C26/81</w:t>
        </w:r>
      </w:hyperlink>
      <w:r w:rsidR="00F26372" w:rsidRPr="00D81064">
        <w:rPr>
          <w:sz w:val="26"/>
          <w:szCs w:val="26"/>
          <w:lang w:val="ru-RU"/>
        </w:rPr>
        <w:t>)</w:t>
      </w:r>
    </w:p>
    <w:p w14:paraId="21C25A8B" w14:textId="215EFFD3" w:rsidR="00F26372" w:rsidRPr="00D81064" w:rsidRDefault="00D81064" w:rsidP="00D81064">
      <w:pPr>
        <w:pStyle w:val="Headingb"/>
        <w:ind w:left="794" w:hanging="794"/>
        <w:rPr>
          <w:sz w:val="26"/>
          <w:szCs w:val="26"/>
          <w:lang w:val="ru-RU"/>
        </w:rPr>
      </w:pPr>
      <w:r w:rsidRPr="00D81064">
        <w:rPr>
          <w:sz w:val="26"/>
          <w:szCs w:val="26"/>
          <w:lang w:val="ru-RU"/>
        </w:rPr>
        <w:tab/>
      </w:r>
      <w:r w:rsidR="00F26372" w:rsidRPr="00D81064">
        <w:rPr>
          <w:sz w:val="26"/>
          <w:szCs w:val="26"/>
          <w:lang w:val="ru-RU"/>
        </w:rPr>
        <w:t xml:space="preserve">Предложение по оптимизации распределения ресурсов МСЭ для более точного соответствия целям Союза (Документ </w:t>
      </w:r>
      <w:hyperlink r:id="rId131" w:history="1">
        <w:r w:rsidR="00F26372" w:rsidRPr="00D81064">
          <w:rPr>
            <w:rStyle w:val="Hyperlink"/>
            <w:sz w:val="26"/>
            <w:szCs w:val="26"/>
            <w:lang w:val="ru-RU"/>
          </w:rPr>
          <w:t>C26/91</w:t>
        </w:r>
      </w:hyperlink>
      <w:r w:rsidR="00F26372" w:rsidRPr="00D81064">
        <w:rPr>
          <w:sz w:val="26"/>
          <w:szCs w:val="26"/>
          <w:lang w:val="ru-RU"/>
        </w:rPr>
        <w:t>)</w:t>
      </w:r>
    </w:p>
    <w:p w14:paraId="38185360" w14:textId="77777777" w:rsidR="00F26372" w:rsidRPr="00D81064" w:rsidRDefault="00F26372" w:rsidP="00F26372">
      <w:pPr>
        <w:rPr>
          <w:rFonts w:cs="Calibri"/>
          <w:lang w:val="ru-RU"/>
        </w:rPr>
      </w:pPr>
      <w:r w:rsidRPr="00D81064">
        <w:rPr>
          <w:lang w:val="ru-RU"/>
        </w:rPr>
        <w:t>21.1</w:t>
      </w:r>
      <w:r w:rsidRPr="00D81064">
        <w:rPr>
          <w:lang w:val="ru-RU"/>
        </w:rPr>
        <w:tab/>
        <w:t xml:space="preserve">Руководитель FRMD представил Документ C26/32, содержащий проект Финансового плана на период </w:t>
      </w:r>
      <w:proofErr w:type="gramStart"/>
      <w:r w:rsidRPr="00D81064">
        <w:rPr>
          <w:lang w:val="ru-RU"/>
        </w:rPr>
        <w:t>2028−2031</w:t>
      </w:r>
      <w:proofErr w:type="gramEnd"/>
      <w:r w:rsidRPr="00D81064">
        <w:rPr>
          <w:lang w:val="ru-RU"/>
        </w:rPr>
        <w:t xml:space="preserve"> годов. Имеющиеся в наличии финансовые ресурсы на период 2028–2031 годов будут задействованы для достижения стратегических целей и приоритетов, определенных в Стратегическом плане на 2028–2031 годы, подготовка которого еще не завершена.</w:t>
      </w:r>
    </w:p>
    <w:p w14:paraId="18434B4A" w14:textId="77777777" w:rsidR="00F26372" w:rsidRPr="00D81064" w:rsidRDefault="00F26372" w:rsidP="00F26372">
      <w:pPr>
        <w:rPr>
          <w:lang w:val="ru-RU"/>
        </w:rPr>
      </w:pPr>
      <w:r w:rsidRPr="00D81064">
        <w:rPr>
          <w:lang w:val="ru-RU"/>
        </w:rPr>
        <w:t>21.2</w:t>
      </w:r>
      <w:r w:rsidRPr="00D81064">
        <w:rPr>
          <w:lang w:val="ru-RU"/>
        </w:rPr>
        <w:tab/>
        <w:t>Советник от Китая представил Документ C26/80, содержащий вклад группы из трех стран, в котором подчеркивается важность обеспечения в МСЭ финансового управления, которое бы не только смягчало краткосрочные трудности, но и создавало перспективную основу для повышения финансовой устойчивости; в нем также приводится четыре соответствующие рекомендации.</w:t>
      </w:r>
    </w:p>
    <w:p w14:paraId="68AC1F4F" w14:textId="77777777" w:rsidR="00F26372" w:rsidRPr="00D81064" w:rsidRDefault="00F26372" w:rsidP="00F26372">
      <w:pPr>
        <w:rPr>
          <w:lang w:val="ru-RU"/>
        </w:rPr>
      </w:pPr>
      <w:r w:rsidRPr="00D81064">
        <w:rPr>
          <w:lang w:val="ru-RU"/>
        </w:rPr>
        <w:t>21.3</w:t>
      </w:r>
      <w:r w:rsidRPr="00D81064">
        <w:rPr>
          <w:lang w:val="ru-RU"/>
        </w:rPr>
        <w:tab/>
        <w:t>Советник от Китая представил Документ C26/81, содержащий вклад группы из двух стран с изложением замечаний и рекомендаций по совершенствованию проекта Финансового плана на 2028–2031 годы.</w:t>
      </w:r>
    </w:p>
    <w:p w14:paraId="2E3A1A34" w14:textId="77777777" w:rsidR="00F26372" w:rsidRPr="00D81064" w:rsidRDefault="00F26372" w:rsidP="00F26372">
      <w:pPr>
        <w:rPr>
          <w:rFonts w:cs="Calibri"/>
          <w:lang w:val="ru-RU"/>
        </w:rPr>
      </w:pPr>
      <w:r w:rsidRPr="00D81064">
        <w:rPr>
          <w:lang w:val="ru-RU"/>
        </w:rPr>
        <w:t>21.4</w:t>
      </w:r>
      <w:r w:rsidRPr="00D81064">
        <w:rPr>
          <w:lang w:val="ru-RU"/>
        </w:rPr>
        <w:tab/>
        <w:t>Получив поддержку двух Советников, наблюдатель от Российской Федерации представил Документ C26/91, в котором содержится предложение для ПК-26 создать временную Рабочую группу экспертов высокого уровня для уточнения распределения ресурсов по целям Союза, что позволит Союзу определить уровень приоритетности основных функций и задач. В документе также предлагается, чтобы Совет санкционировал всеобъемлющий независимый обзор всей деятельности МСЭ, поручив его внешней организации, а затем создал постоянный комитет по распределению ресурсов.</w:t>
      </w:r>
    </w:p>
    <w:p w14:paraId="060C0414" w14:textId="0BE811C2" w:rsidR="00F26372" w:rsidRPr="00D81064" w:rsidRDefault="00F26372" w:rsidP="00F26372">
      <w:pPr>
        <w:rPr>
          <w:rFonts w:cs="Calibri"/>
          <w:lang w:val="ru-RU"/>
        </w:rPr>
      </w:pPr>
      <w:r w:rsidRPr="00D81064">
        <w:rPr>
          <w:lang w:val="ru-RU"/>
        </w:rPr>
        <w:t>21.5</w:t>
      </w:r>
      <w:r w:rsidRPr="00D81064">
        <w:rPr>
          <w:lang w:val="ru-RU"/>
        </w:rPr>
        <w:tab/>
        <w:t xml:space="preserve">В ходе последовавшего обсуждения Советники высоко оценили усилия </w:t>
      </w:r>
      <w:r w:rsidR="00373264" w:rsidRPr="00D81064">
        <w:rPr>
          <w:lang w:val="ru-RU"/>
        </w:rPr>
        <w:t xml:space="preserve">Секретариата </w:t>
      </w:r>
      <w:r w:rsidRPr="00D81064">
        <w:rPr>
          <w:lang w:val="ru-RU"/>
        </w:rPr>
        <w:t xml:space="preserve">по обеспечению реалистичного прогнозирования доходов и отметили с признательностью шаги, предпринимаемые для поддержания долгосрочной финансовой стабильности и устойчивости Союза, а также сбалансированности бюджета в условиях сокращения ресурсов и </w:t>
      </w:r>
      <w:r w:rsidRPr="00D81064">
        <w:rPr>
          <w:lang w:val="ru-RU"/>
        </w:rPr>
        <w:lastRenderedPageBreak/>
        <w:t>инфляции; тем не менее они отметили, что проект Финансового плана недостаточно ясен и прозрачен и что связь со стратегическими приоритетами и оперативными аспектами проработана в недостаточной степени. Необходима более четкая увязка со Стратегическим планом. Решающее значение имеют подотчетность и прозрачность финансовой отчетности. Длительный период нулевого номинального роста привел к возникновению у Союза значительных экономических проблем. Однако любое рассмотрение вопроса о корректировке величины единицы взноса в сторону повышения должно учитывать финансовые возможности развивающихся стран. Один из Советников добавил, что необходимо привлекать к ответственности любое Государство-Члена, которое не выполняет своих обязательств по уплате взноса.</w:t>
      </w:r>
    </w:p>
    <w:p w14:paraId="160515CF" w14:textId="4B80DA59" w:rsidR="00F26372" w:rsidRPr="00D81064" w:rsidRDefault="00F26372" w:rsidP="00F26372">
      <w:pPr>
        <w:rPr>
          <w:rFonts w:cs="Calibri"/>
          <w:lang w:val="ru-RU"/>
        </w:rPr>
      </w:pPr>
      <w:r w:rsidRPr="00D81064">
        <w:rPr>
          <w:lang w:val="ru-RU"/>
        </w:rPr>
        <w:t>21.6</w:t>
      </w:r>
      <w:r w:rsidRPr="00D81064">
        <w:rPr>
          <w:lang w:val="ru-RU"/>
        </w:rPr>
        <w:tab/>
        <w:t xml:space="preserve">Дисциплинированное финансовое управление крайне важно. Советники настоятельно призвали соблюдать осмотрительность при расчете и учете доходов от обработки заявок на регистрацию спутниковых сетей, особенно в представлении оценок в преддверии утверждения новой методики возмещения затрат на обработку заявок на регистрацию спутниковых сетей. Была выражена серьезная обеспокоенность в связи с тем, что в Финансовом плане не выделено достаточно ресурсов для обеспечения непрерывности деятельности и инвестиций в инфраструктуру и услуги ИКТ, которые имеют решающее значение для будущего Союза. Крайне важны непрерывность деятельности и согласованность структуры деятельности. Также вызвало обеспокоенность отсутствие четкой методики расчета финансовых последствий решений конференций; необходимо избегать дальнейшего увеличения и без того большого круга полномочий, для реализации которых нет финансирования. Поддержку подавляющего большинства получило выдвинутое Председателем РГС-ФЛР предложение о проведении информационной сессии по Финансовому плану перед ПК-26, с тем чтобы </w:t>
      </w:r>
      <w:r w:rsidR="00373264" w:rsidRPr="00D81064">
        <w:rPr>
          <w:lang w:val="ru-RU"/>
        </w:rPr>
        <w:t xml:space="preserve">Секретариат </w:t>
      </w:r>
      <w:r w:rsidRPr="00D81064">
        <w:rPr>
          <w:lang w:val="ru-RU"/>
        </w:rPr>
        <w:t>представить более конкретную связь со Стратегическим планом и объяснить, каким образом он намерен осуществлять работу в важных областях, на которые не выделено достаточных средств. Необходимо предоставить четкую и подробную информацию по всем аспектам, вызывающим обеспокоенность, и принять во внимание замечания Государств-Членов.</w:t>
      </w:r>
    </w:p>
    <w:p w14:paraId="5C2275EC" w14:textId="140EBF17" w:rsidR="00F26372" w:rsidRPr="00D81064" w:rsidRDefault="00F26372" w:rsidP="00F26372">
      <w:pPr>
        <w:rPr>
          <w:rFonts w:cs="Calibri"/>
          <w:lang w:val="ru-RU"/>
        </w:rPr>
      </w:pPr>
      <w:r w:rsidRPr="00D81064">
        <w:rPr>
          <w:lang w:val="ru-RU"/>
        </w:rPr>
        <w:t>21.7</w:t>
      </w:r>
      <w:r w:rsidRPr="00D81064">
        <w:rPr>
          <w:lang w:val="ru-RU"/>
        </w:rPr>
        <w:tab/>
        <w:t xml:space="preserve">Советники приняли к сведению информацию о мерах по </w:t>
      </w:r>
      <w:r w:rsidR="00D239F1" w:rsidRPr="00D81064">
        <w:rPr>
          <w:lang w:val="ru-RU"/>
        </w:rPr>
        <w:t>сдерживанию</w:t>
      </w:r>
      <w:r w:rsidRPr="00D81064">
        <w:rPr>
          <w:lang w:val="ru-RU"/>
        </w:rPr>
        <w:t xml:space="preserve"> затрат, принятых в целях сокращения бюджета на двухгодичный период </w:t>
      </w:r>
      <w:proofErr w:type="gramStart"/>
      <w:r w:rsidRPr="00D81064">
        <w:rPr>
          <w:lang w:val="ru-RU"/>
        </w:rPr>
        <w:t>2026−2027</w:t>
      </w:r>
      <w:proofErr w:type="gramEnd"/>
      <w:r w:rsidRPr="00D81064">
        <w:rPr>
          <w:lang w:val="ru-RU"/>
        </w:rPr>
        <w:t xml:space="preserve"> годов, и попросили представить дополнительную информацию о достигнутых к настоящему времени результатах. Меры по повышению эффективности должны иметь количественное выражение, и необходимо разработать набор показателей, чтобы обеспечить возможность их регулярной оценки и анализа; кроме того, должны быть определены четкие корректирующие меры для реализации в случае недостаточной эффективности. Один из Советников подчеркнул потребность в принятии четких мер по сокращению командировок персонала, таких как целенаправленное сокращение расходов, расширение дистанционного участия и отказ от приобретения билетов бизнес-класса. Было запрошено уточнение по поводу того, что имеется в виду под "умеренным сокращением общей численности персонала", которое было указано как необходимость для поддержания баланса между расходами и ожидаемыми доходами в условиях номинального нулевого роста доходов и увеличения затрат. Советники поинтересовались, сколько штатных должностей будет упразднено, какие должности будут объединены и в какие сроки, а также хотели бы получить заверения, что это не повлияет на осуществление проектов и предоставление услуг. Один из Советников подчеркнул, что вакантные должности не следует заполнять за счет контрактов на оказание консультационных услуг, а другой Советник заявил, что использование подрядчиков для заполнения пробелов и обеспечения возможности выполнения МСЭ своего мандата станет неизбежным в случае сокращения штатных должностей. Необходима последовательная отчетность о потребностях в контрактных услугах.</w:t>
      </w:r>
    </w:p>
    <w:p w14:paraId="3112C2C4" w14:textId="77777777" w:rsidR="00F26372" w:rsidRPr="00D81064" w:rsidRDefault="00F26372" w:rsidP="00F26372">
      <w:pPr>
        <w:rPr>
          <w:rFonts w:cs="Calibri"/>
          <w:lang w:val="ru-RU"/>
        </w:rPr>
      </w:pPr>
      <w:r w:rsidRPr="00D81064">
        <w:rPr>
          <w:lang w:val="ru-RU"/>
        </w:rPr>
        <w:t>21.8</w:t>
      </w:r>
      <w:r w:rsidRPr="00D81064">
        <w:rPr>
          <w:lang w:val="ru-RU"/>
        </w:rPr>
        <w:tab/>
        <w:t>Крайне важна расстановка приоритетов при распределении ресурсов; необходима четкая и прозрачная процедура определения уровня приоритетности, в которой Государства-</w:t>
      </w:r>
      <w:r w:rsidRPr="00D81064">
        <w:rPr>
          <w:lang w:val="ru-RU"/>
        </w:rPr>
        <w:lastRenderedPageBreak/>
        <w:t>Члены могли бы принимать участие через руководящие органы. Следует составить карту приоритетов по всем Бюро. Некоторые Советники сочли, что, хотя следует изучить дополнительные и инновационные механизмы финансирования, создание специального фонда для ИИ в настоящее время будет преждевременным. Использование ИИ, в том числе инициатива "ИИ во благо", должно соответствовать потребностям и приоритетам Союза, а его финансирование должно и впредь вестись за счет добровольных взносов. Другие Советники выразили обеспокоенность в связи с тем, что использование добровольного финансирования ИИ не соответствует устремлениям Союза, и подняли вопросы об устойчивости и справедливости, особенно в отношении развивающихся стран. Один из Советников спросил, что еще можно сделать для мобилизации средств, и предостерег от того, чтобы полагаться на добровольные взносы, которые зачастую являются целевыми; Союз должен иметь возможность использовать финансовые взносы по мере необходимости, а его цифровая трансформация должна поддерживаться надлежащими ресурсами. Следует повысить прозрачность деятельности, имеющей значительные финансовые и стратегические последствия, сохраняя при этом гибкость и эффективность функционирования Союза. Следует использовать увеличение числа публикаций для увеличения доходов, а также рассмотреть вопрос о минимизации потерь, связанных с обменным курсом валют, и оптимизации получения доходов за счет инвестиционного портфеля МСЭ.</w:t>
      </w:r>
    </w:p>
    <w:p w14:paraId="37C69F7D" w14:textId="14345AB4" w:rsidR="00F26372" w:rsidRPr="00D81064" w:rsidRDefault="00F26372" w:rsidP="00F26372">
      <w:pPr>
        <w:rPr>
          <w:rFonts w:cs="Calibri"/>
          <w:lang w:val="ru-RU"/>
        </w:rPr>
      </w:pPr>
      <w:r w:rsidRPr="00D81064">
        <w:rPr>
          <w:lang w:val="ru-RU"/>
        </w:rPr>
        <w:t>21.9</w:t>
      </w:r>
      <w:r w:rsidRPr="00D81064">
        <w:rPr>
          <w:lang w:val="ru-RU"/>
        </w:rPr>
        <w:tab/>
        <w:t xml:space="preserve">Советники дали высокую оценку вкладам, представленным группами стран </w:t>
      </w:r>
      <w:r w:rsidR="00A34988" w:rsidRPr="00D81064">
        <w:rPr>
          <w:lang w:val="ru-RU"/>
        </w:rPr>
        <w:t xml:space="preserve">в </w:t>
      </w:r>
      <w:r w:rsidRPr="00D81064">
        <w:rPr>
          <w:lang w:val="ru-RU"/>
        </w:rPr>
        <w:t>Документ</w:t>
      </w:r>
      <w:r w:rsidR="00A34988" w:rsidRPr="00D81064">
        <w:rPr>
          <w:lang w:val="ru-RU"/>
        </w:rPr>
        <w:t>ах</w:t>
      </w:r>
      <w:r w:rsidRPr="00D81064">
        <w:rPr>
          <w:lang w:val="ru-RU"/>
        </w:rPr>
        <w:t xml:space="preserve"> C26/80 и C26/81, и согласились с важностью прозрачности в управлении финансами, чтобы Совету были в полной мере понятны затраты на различные виды деятельности МСЭ и, таким образом, он мог направлять деятельность МСЭ в том, что касается его стратегических приоритетов. Выполнение анализа приоритетов имеет решающее значение для обеспечения оптимального использования ограниченных ресурсов Союза. Вместе с тем они предостерегли от усложнения процессов управления МСЭ и роста вероятности управления на микроуровне. Любые дополнительные требования в отношении отчетности не должны увеличивать административную нагрузку на Государства-Члены или </w:t>
      </w:r>
      <w:r w:rsidR="00373264" w:rsidRPr="00D81064">
        <w:rPr>
          <w:lang w:val="ru-RU"/>
        </w:rPr>
        <w:t>Секретариат</w:t>
      </w:r>
      <w:r w:rsidRPr="00D81064">
        <w:rPr>
          <w:lang w:val="ru-RU"/>
        </w:rPr>
        <w:t>. Напротив, было бы предпочтительнее упростить схемы управления и сделать МСЭ более гибким и доступным для Государств-Членов. Следует избегать дублирования работы. Потребуется дальнейшее рассмотрение способов содействия внедрению принципов управления, ориентированного на результаты.</w:t>
      </w:r>
    </w:p>
    <w:p w14:paraId="59E1406C" w14:textId="7B1F2555" w:rsidR="00F26372" w:rsidRPr="00D81064" w:rsidRDefault="00F26372" w:rsidP="00F26372">
      <w:pPr>
        <w:rPr>
          <w:rFonts w:cs="Calibri"/>
          <w:lang w:val="ru-RU"/>
        </w:rPr>
      </w:pPr>
      <w:r w:rsidRPr="00D81064">
        <w:rPr>
          <w:lang w:val="ru-RU"/>
        </w:rPr>
        <w:t>21.10</w:t>
      </w:r>
      <w:r w:rsidRPr="00D81064">
        <w:rPr>
          <w:lang w:val="ru-RU"/>
        </w:rPr>
        <w:tab/>
        <w:t>В отношении вклада Российской Федерации, содержащегося в Документе C26/91, Советники согласились с важностью согласования использования ресурсов с приоритетами и целями МСЭ и подчеркнули необходимость сосредоточиться на основном мандате Союза. Вместе с тем они не хотели бы создавать какие-либо дополнительные органы или дополнительные уровни надзора и управления, и твердо отдали предпочтение использованию потенциала существующих структур, в частности РГС-ФЛР, для дальнейшего обсуждения этого вопроса.</w:t>
      </w:r>
    </w:p>
    <w:p w14:paraId="31714A0C" w14:textId="07DB48CC" w:rsidR="00F26372" w:rsidRPr="00D81064" w:rsidRDefault="00F26372" w:rsidP="00F26372">
      <w:pPr>
        <w:rPr>
          <w:rFonts w:cs="Calibri"/>
          <w:lang w:val="ru-RU"/>
        </w:rPr>
      </w:pPr>
      <w:r w:rsidRPr="00D81064">
        <w:rPr>
          <w:lang w:val="ru-RU"/>
        </w:rPr>
        <w:t>21.11</w:t>
      </w:r>
      <w:r w:rsidRPr="00D81064">
        <w:rPr>
          <w:lang w:val="ru-RU"/>
        </w:rPr>
        <w:tab/>
        <w:t xml:space="preserve">Руководитель FRMD заявил, что значительная заинтересованность Государств-Членов в проведении информационной сессии перед ПК-26 была должным образом принята к сведению. После утверждения Стратегического плана и оперативных планов увязка с ними будет усилена, а затем – под руководством Совета – будет завершена работа над Финансовым планом для представления ПК-26. В Капитальный фонд ИКТ на весь период действия Финансового плана выделено 6 </w:t>
      </w:r>
      <w:proofErr w:type="gramStart"/>
      <w:r w:rsidRPr="00D81064">
        <w:rPr>
          <w:lang w:val="ru-RU"/>
        </w:rPr>
        <w:t>млн.</w:t>
      </w:r>
      <w:proofErr w:type="gramEnd"/>
      <w:r w:rsidRPr="00D81064">
        <w:rPr>
          <w:lang w:val="ru-RU"/>
        </w:rPr>
        <w:t xml:space="preserve"> швейцарских франков, тогда как на предыдущий четырехгодичный цикл было выделено 3 </w:t>
      </w:r>
      <w:proofErr w:type="gramStart"/>
      <w:r w:rsidRPr="00D81064">
        <w:rPr>
          <w:lang w:val="ru-RU"/>
        </w:rPr>
        <w:t>млн.</w:t>
      </w:r>
      <w:proofErr w:type="gramEnd"/>
      <w:r w:rsidRPr="00D81064">
        <w:rPr>
          <w:lang w:val="ru-RU"/>
        </w:rPr>
        <w:t xml:space="preserve"> швейцарских франков. Подробная информация о влиянии двух программ добровольного прекращения службы на сокращение численности персонала, а также о реализации целевых показателей по сокращению командировок сотрудников будет представлена в рамках других пунктов повестки дня. Будут предприняты все усилия для того, чтобы увеличить количество публикаций для получения дополнительных доходов. Что касается влияния обменных курсов валют, то потери в этом отношении являются </w:t>
      </w:r>
      <w:r w:rsidRPr="00D81064">
        <w:rPr>
          <w:lang w:val="ru-RU"/>
        </w:rPr>
        <w:lastRenderedPageBreak/>
        <w:t>незначительными. Бухгалтерский учет в Союзе ведется в швейцарских франках, за исключением взносов в фонды медицинского страхования персонала и пенсионного обеспечения, которые рассчитываются в долларах США. МСЭ также осуществляет меры по повышению эффективности, предусмотренные инициативой "ООН-80".</w:t>
      </w:r>
    </w:p>
    <w:p w14:paraId="62328DE4" w14:textId="02846B7E" w:rsidR="00F26372" w:rsidRPr="00D81064" w:rsidRDefault="00F26372" w:rsidP="00F26372">
      <w:pPr>
        <w:rPr>
          <w:rFonts w:eastAsia="Calibri" w:cs="Calibri"/>
          <w:lang w:val="ru-RU"/>
        </w:rPr>
      </w:pPr>
      <w:r w:rsidRPr="00D81064">
        <w:rPr>
          <w:lang w:val="ru-RU"/>
        </w:rPr>
        <w:t>21.12</w:t>
      </w:r>
      <w:r w:rsidRPr="00D81064">
        <w:rPr>
          <w:lang w:val="ru-RU"/>
        </w:rPr>
        <w:tab/>
        <w:t>Заместитель Генерального секретаря заявил, что реализация нового цикла финансового планирования, в рамках которого будет регулироваться финансовое планирование на период 2028–2031 годов, находится на раннем этапе. В настоящее время ключевым приоритетом является обеспечение прочной увязки Стратегического и Финансового планов, а также отражение в Финансовом плане стратегических тематических приоритетов, определенных Государствами-Членами. В рамках процесса оперативного планирования ресурсы будут распределяться между Бюро и Генеральным секретариатом в соответствии со Стратегическим планом, с тем чтобы обеспечить выполнение приоритетов. Призывы к обеспечению четкости и прозрачности финансовой отчетности были приняты к сведению. Прозрачность будет повышена с помощью информационной панели управления ресурсами. Предпринимаются усилия по обеспечению рационального управления ресурсами. Использование сэкономленных средств МСЭ для финансирования определенных конференциями задач, которые в противном случае остались бы без финансирования, не является устойчивым подходом. Ситуация улучшится только после того, как РГС-ФЛР завершит разработку методики расчета финансовых последствий Решений и Резолюций конференций и ассамблей. Выделяются средства в Капитальный фонд ИКТ и на разработку программного обеспечения для упрощения подачи заявок на регистрацию спутниковых сетей. Секретариат выразил особую признательность Швейцарии за выделение дополнительных ресурсов на обеспечение непрерывности деятельности, что позволит МСЭ продолжать работу на протяжении реализации проекта строительства нового здания штаб-квартиры.</w:t>
      </w:r>
    </w:p>
    <w:p w14:paraId="487A545F" w14:textId="77777777" w:rsidR="00F26372" w:rsidRPr="00D81064" w:rsidRDefault="00F26372" w:rsidP="00B33847">
      <w:pPr>
        <w:keepNext/>
        <w:keepLines/>
        <w:rPr>
          <w:rFonts w:eastAsia="Calibri" w:cs="Calibri"/>
          <w:szCs w:val="24"/>
          <w:lang w:val="ru-RU"/>
        </w:rPr>
      </w:pPr>
      <w:r w:rsidRPr="00D81064">
        <w:rPr>
          <w:lang w:val="ru-RU"/>
        </w:rPr>
        <w:t>21.13</w:t>
      </w:r>
      <w:r w:rsidRPr="00D81064">
        <w:rPr>
          <w:lang w:val="ru-RU"/>
        </w:rPr>
        <w:tab/>
        <w:t xml:space="preserve">Комитет </w:t>
      </w:r>
      <w:r w:rsidRPr="00D81064">
        <w:rPr>
          <w:b/>
          <w:bCs/>
          <w:lang w:val="ru-RU"/>
        </w:rPr>
        <w:t>принял решение</w:t>
      </w:r>
      <w:r w:rsidRPr="00D81064">
        <w:rPr>
          <w:lang w:val="ru-RU"/>
        </w:rPr>
        <w:t xml:space="preserve"> сделать по данному вопросу следующее заключение:</w:t>
      </w:r>
    </w:p>
    <w:p w14:paraId="1803939C" w14:textId="77777777" w:rsidR="00F26372" w:rsidRPr="00D81064" w:rsidRDefault="00F26372" w:rsidP="00B33847">
      <w:pPr>
        <w:keepNext/>
        <w:keepLines/>
        <w:pBdr>
          <w:top w:val="single" w:sz="4" w:space="1" w:color="auto"/>
          <w:left w:val="single" w:sz="4" w:space="4" w:color="auto"/>
          <w:bottom w:val="single" w:sz="4" w:space="1" w:color="auto"/>
          <w:right w:val="single" w:sz="4" w:space="4" w:color="auto"/>
        </w:pBdr>
        <w:rPr>
          <w:lang w:val="ru-RU"/>
        </w:rPr>
      </w:pPr>
      <w:r w:rsidRPr="00D81064">
        <w:rPr>
          <w:lang w:val="ru-RU"/>
        </w:rPr>
        <w:t>21.14</w:t>
      </w:r>
      <w:r w:rsidRPr="00D81064">
        <w:rPr>
          <w:lang w:val="ru-RU"/>
        </w:rPr>
        <w:tab/>
        <w:t>Комитет рекомендует Совету:</w:t>
      </w:r>
    </w:p>
    <w:p w14:paraId="5C428C01" w14:textId="060F5E3F" w:rsidR="00F26372" w:rsidRPr="00D81064" w:rsidRDefault="00F26372" w:rsidP="00AC3268">
      <w:pPr>
        <w:pStyle w:val="enumlev1"/>
        <w:keepNext/>
        <w:pBdr>
          <w:top w:val="single" w:sz="4" w:space="1" w:color="auto"/>
          <w:left w:val="single" w:sz="4" w:space="4" w:color="auto"/>
          <w:bottom w:val="single" w:sz="4" w:space="1" w:color="auto"/>
          <w:right w:val="single" w:sz="4" w:space="4" w:color="auto"/>
        </w:pBdr>
        <w:rPr>
          <w:lang w:val="ru-RU"/>
        </w:rPr>
      </w:pPr>
      <w:r w:rsidRPr="00D81064">
        <w:rPr>
          <w:lang w:val="ru-RU"/>
        </w:rPr>
        <w:t>•</w:t>
      </w:r>
      <w:r w:rsidRPr="00D81064">
        <w:rPr>
          <w:lang w:val="ru-RU"/>
        </w:rPr>
        <w:tab/>
        <w:t xml:space="preserve">принять к сведению отчет, содержащийся в Документе </w:t>
      </w:r>
      <w:hyperlink r:id="rId132" w:history="1">
        <w:r w:rsidRPr="00D81064">
          <w:rPr>
            <w:rStyle w:val="Hyperlink"/>
            <w:lang w:val="ru-RU"/>
          </w:rPr>
          <w:t>C26/32</w:t>
        </w:r>
      </w:hyperlink>
      <w:r w:rsidRPr="00D81064">
        <w:rPr>
          <w:lang w:val="ru-RU"/>
        </w:rPr>
        <w:t xml:space="preserve">, и вклады, содержащиеся в Документах </w:t>
      </w:r>
      <w:hyperlink r:id="rId133" w:history="1">
        <w:r w:rsidRPr="00D81064">
          <w:rPr>
            <w:rStyle w:val="Hyperlink"/>
            <w:lang w:val="ru-RU"/>
          </w:rPr>
          <w:t>C26/80</w:t>
        </w:r>
      </w:hyperlink>
      <w:r w:rsidRPr="00D81064">
        <w:rPr>
          <w:rStyle w:val="Hyperlink"/>
          <w:color w:val="000000" w:themeColor="text1"/>
          <w:u w:val="none"/>
          <w:lang w:val="ru-RU"/>
        </w:rPr>
        <w:t>,</w:t>
      </w:r>
      <w:r w:rsidRPr="00D81064">
        <w:rPr>
          <w:lang w:val="ru-RU"/>
        </w:rPr>
        <w:t xml:space="preserve"> </w:t>
      </w:r>
      <w:hyperlink r:id="rId134" w:history="1">
        <w:r w:rsidRPr="00D81064">
          <w:rPr>
            <w:rStyle w:val="Hyperlink"/>
            <w:lang w:val="ru-RU"/>
          </w:rPr>
          <w:t>C26/81</w:t>
        </w:r>
      </w:hyperlink>
      <w:r w:rsidRPr="00D81064">
        <w:rPr>
          <w:rStyle w:val="Hyperlink"/>
          <w:color w:val="000000" w:themeColor="text1"/>
          <w:u w:val="none"/>
          <w:lang w:val="ru-RU"/>
        </w:rPr>
        <w:t xml:space="preserve"> и</w:t>
      </w:r>
      <w:r w:rsidRPr="00D81064">
        <w:rPr>
          <w:lang w:val="ru-RU"/>
        </w:rPr>
        <w:t xml:space="preserve"> </w:t>
      </w:r>
      <w:hyperlink r:id="rId135" w:history="1">
        <w:r w:rsidRPr="00D81064">
          <w:rPr>
            <w:rStyle w:val="Hyperlink"/>
            <w:lang w:val="ru-RU"/>
          </w:rPr>
          <w:t>C26/91</w:t>
        </w:r>
      </w:hyperlink>
      <w:r w:rsidRPr="00D81064">
        <w:rPr>
          <w:lang w:val="ru-RU"/>
        </w:rPr>
        <w:t>;</w:t>
      </w:r>
    </w:p>
    <w:p w14:paraId="792B157D" w14:textId="12E727A5" w:rsidR="001D3B2D" w:rsidRPr="00D81064" w:rsidRDefault="001D3B2D" w:rsidP="00AC3268">
      <w:pPr>
        <w:pStyle w:val="enumlev1"/>
        <w:keepNext/>
        <w:pBdr>
          <w:top w:val="single" w:sz="4" w:space="1" w:color="auto"/>
          <w:left w:val="single" w:sz="4" w:space="4" w:color="auto"/>
          <w:bottom w:val="single" w:sz="4" w:space="1" w:color="auto"/>
          <w:right w:val="single" w:sz="4" w:space="4" w:color="auto"/>
        </w:pBdr>
        <w:rPr>
          <w:rStyle w:val="Hyperlink"/>
          <w:color w:val="000000" w:themeColor="text1"/>
          <w:lang w:val="ru-RU"/>
        </w:rPr>
      </w:pPr>
      <w:r w:rsidRPr="00D81064">
        <w:rPr>
          <w:lang w:val="ru-RU"/>
        </w:rPr>
        <w:t>•</w:t>
      </w:r>
      <w:r w:rsidRPr="00D81064">
        <w:rPr>
          <w:lang w:val="ru-RU"/>
        </w:rPr>
        <w:tab/>
        <w:t>настоятельно рекомендовать дальнейшее совершенствование финансового планирования и управления в плане обеспечения ясности, прозрачности и подотчетности, а также укреплять его связь со стратегическим и оперативным планированием;</w:t>
      </w:r>
    </w:p>
    <w:p w14:paraId="0001F562" w14:textId="4839745E" w:rsidR="00F26372" w:rsidRPr="00D81064" w:rsidRDefault="00F26372" w:rsidP="00F26372">
      <w:pPr>
        <w:pStyle w:val="enumlev1"/>
        <w:pBdr>
          <w:top w:val="single" w:sz="4" w:space="1" w:color="auto"/>
          <w:left w:val="single" w:sz="4" w:space="4" w:color="auto"/>
          <w:bottom w:val="single" w:sz="4" w:space="1" w:color="auto"/>
          <w:right w:val="single" w:sz="4" w:space="4" w:color="auto"/>
        </w:pBdr>
        <w:rPr>
          <w:lang w:val="ru-RU"/>
        </w:rPr>
      </w:pPr>
      <w:r w:rsidRPr="00D81064">
        <w:rPr>
          <w:lang w:val="ru-RU"/>
        </w:rPr>
        <w:t>•</w:t>
      </w:r>
      <w:r w:rsidRPr="00D81064">
        <w:rPr>
          <w:lang w:val="ru-RU"/>
        </w:rPr>
        <w:tab/>
        <w:t xml:space="preserve">поручить </w:t>
      </w:r>
      <w:r w:rsidR="00373264" w:rsidRPr="00D81064">
        <w:rPr>
          <w:lang w:val="ru-RU"/>
        </w:rPr>
        <w:t xml:space="preserve">Секретариату </w:t>
      </w:r>
      <w:r w:rsidRPr="00D81064">
        <w:rPr>
          <w:lang w:val="ru-RU"/>
        </w:rPr>
        <w:t>организовать информационн</w:t>
      </w:r>
      <w:r w:rsidR="001D3B2D" w:rsidRPr="00D81064">
        <w:rPr>
          <w:lang w:val="ru-RU"/>
        </w:rPr>
        <w:t>ые</w:t>
      </w:r>
      <w:r w:rsidRPr="00D81064">
        <w:rPr>
          <w:lang w:val="ru-RU"/>
        </w:rPr>
        <w:t xml:space="preserve"> сесси</w:t>
      </w:r>
      <w:r w:rsidR="001D3B2D" w:rsidRPr="00D81064">
        <w:rPr>
          <w:lang w:val="ru-RU"/>
        </w:rPr>
        <w:t>и</w:t>
      </w:r>
      <w:r w:rsidRPr="00D81064">
        <w:rPr>
          <w:lang w:val="ru-RU"/>
        </w:rPr>
        <w:t xml:space="preserve"> перед ПК-26</w:t>
      </w:r>
      <w:r w:rsidR="001D3B2D" w:rsidRPr="00D81064">
        <w:rPr>
          <w:lang w:val="ru-RU"/>
        </w:rPr>
        <w:t xml:space="preserve"> по Финансовому плану на </w:t>
      </w:r>
      <w:proofErr w:type="gramStart"/>
      <w:r w:rsidR="001D3B2D" w:rsidRPr="00D81064">
        <w:rPr>
          <w:lang w:val="ru-RU"/>
        </w:rPr>
        <w:t>2028−2031</w:t>
      </w:r>
      <w:proofErr w:type="gramEnd"/>
      <w:r w:rsidR="001D3B2D" w:rsidRPr="00D81064">
        <w:rPr>
          <w:lang w:val="ru-RU"/>
        </w:rPr>
        <w:t xml:space="preserve"> годы, в том числе по Отчету о проверенной финансовой отчетности и финансовой деятельности за 2025 год</w:t>
      </w:r>
      <w:r w:rsidRPr="00D81064">
        <w:rPr>
          <w:lang w:val="ru-RU"/>
        </w:rPr>
        <w:t>.</w:t>
      </w:r>
    </w:p>
    <w:p w14:paraId="14E86B6E" w14:textId="77777777" w:rsidR="00F1107A" w:rsidRPr="00D81064" w:rsidRDefault="00F1107A" w:rsidP="00F1107A">
      <w:pPr>
        <w:pStyle w:val="Heading1"/>
        <w:rPr>
          <w:lang w:val="ru-RU"/>
        </w:rPr>
      </w:pPr>
      <w:r w:rsidRPr="00D81064">
        <w:rPr>
          <w:bCs/>
          <w:lang w:val="ru-RU"/>
        </w:rPr>
        <w:t>22</w:t>
      </w:r>
      <w:r w:rsidRPr="00D81064">
        <w:rPr>
          <w:lang w:val="ru-RU"/>
        </w:rPr>
        <w:tab/>
      </w:r>
      <w:r w:rsidRPr="00D81064">
        <w:rPr>
          <w:bCs/>
          <w:lang w:val="ru-RU"/>
        </w:rPr>
        <w:t xml:space="preserve">Обновленная информация о проекте по помещениям штаб-квартиры Союза (Документ </w:t>
      </w:r>
      <w:hyperlink r:id="rId136" w:history="1">
        <w:r w:rsidRPr="00D81064">
          <w:rPr>
            <w:rStyle w:val="Hyperlink"/>
            <w:bCs/>
            <w:lang w:val="ru-RU"/>
          </w:rPr>
          <w:t>C26/7</w:t>
        </w:r>
      </w:hyperlink>
      <w:r w:rsidRPr="00D81064">
        <w:rPr>
          <w:bCs/>
          <w:lang w:val="ru-RU"/>
        </w:rPr>
        <w:t>)</w:t>
      </w:r>
      <w:hyperlink r:id="rId137" w:history="1"/>
    </w:p>
    <w:p w14:paraId="336E1269" w14:textId="4B76E95C" w:rsidR="00F1107A" w:rsidRPr="00D81064" w:rsidRDefault="00D81064" w:rsidP="00D81064">
      <w:pPr>
        <w:pStyle w:val="Headingb"/>
        <w:ind w:left="794" w:hanging="794"/>
        <w:rPr>
          <w:sz w:val="26"/>
          <w:szCs w:val="26"/>
          <w:lang w:val="ru-RU"/>
        </w:rPr>
      </w:pPr>
      <w:r w:rsidRPr="00D81064">
        <w:rPr>
          <w:sz w:val="26"/>
          <w:szCs w:val="26"/>
          <w:lang w:val="ru-RU"/>
        </w:rPr>
        <w:tab/>
      </w:r>
      <w:r w:rsidR="00F1107A" w:rsidRPr="00D81064">
        <w:rPr>
          <w:sz w:val="26"/>
          <w:szCs w:val="26"/>
          <w:lang w:val="ru-RU"/>
        </w:rPr>
        <w:t>Отчет</w:t>
      </w:r>
      <w:r w:rsidR="00F1107A" w:rsidRPr="00D81064">
        <w:rPr>
          <w:bCs/>
          <w:sz w:val="26"/>
          <w:szCs w:val="26"/>
          <w:lang w:val="ru-RU"/>
        </w:rPr>
        <w:t xml:space="preserve"> Консультативной группы Государств-Членов (КГГЧ) (Документ</w:t>
      </w:r>
      <w:r w:rsidR="009C366B" w:rsidRPr="00D81064">
        <w:rPr>
          <w:bCs/>
          <w:sz w:val="26"/>
          <w:szCs w:val="26"/>
          <w:lang w:val="ru-RU"/>
        </w:rPr>
        <w:t> </w:t>
      </w:r>
      <w:hyperlink r:id="rId138" w:history="1">
        <w:r w:rsidR="00F1107A" w:rsidRPr="00D81064">
          <w:rPr>
            <w:rStyle w:val="Hyperlink"/>
            <w:bCs/>
            <w:sz w:val="26"/>
            <w:szCs w:val="26"/>
            <w:lang w:val="ru-RU"/>
          </w:rPr>
          <w:t>C26/48</w:t>
        </w:r>
      </w:hyperlink>
      <w:r w:rsidR="00F1107A" w:rsidRPr="00D81064">
        <w:rPr>
          <w:bCs/>
          <w:sz w:val="26"/>
          <w:szCs w:val="26"/>
          <w:lang w:val="ru-RU"/>
        </w:rPr>
        <w:t>)</w:t>
      </w:r>
      <w:hyperlink r:id="rId139" w:history="1"/>
    </w:p>
    <w:p w14:paraId="20C52083" w14:textId="137A5848" w:rsidR="00F1107A" w:rsidRPr="00D81064" w:rsidRDefault="00F1107A" w:rsidP="00F1107A">
      <w:pPr>
        <w:rPr>
          <w:lang w:val="ru-RU"/>
        </w:rPr>
      </w:pPr>
      <w:r w:rsidRPr="00D81064">
        <w:rPr>
          <w:lang w:val="ru-RU"/>
        </w:rPr>
        <w:t>22.1</w:t>
      </w:r>
      <w:r w:rsidRPr="00D81064">
        <w:rPr>
          <w:lang w:val="ru-RU"/>
        </w:rPr>
        <w:tab/>
        <w:t xml:space="preserve">Представитель Генерального секретариата представил Документ C26/7, в котором содержится обновленная информация о выполнении Решения 640 (C24) Совета об альтернативном проекте помещений штаб-квартиры МСЭ с переоценкой. В нем также подробно описаны шаги, предпринимаемые для совершенствования управления и надзора и обеспечения непрерывности деятельности в период строительства. Выступающий выразил признательность спонсорам, донорам и принимающей стране, а также техническому эксперту Консультативной группы Государств-Членов (КГГЧ), </w:t>
      </w:r>
      <w:r w:rsidR="00A14A1E" w:rsidRPr="00D81064">
        <w:rPr>
          <w:lang w:val="ru-RU"/>
        </w:rPr>
        <w:t>предоставленному</w:t>
      </w:r>
      <w:r w:rsidRPr="00D81064">
        <w:rPr>
          <w:lang w:val="ru-RU"/>
        </w:rPr>
        <w:t xml:space="preserve"> Германией.</w:t>
      </w:r>
    </w:p>
    <w:p w14:paraId="457CF750" w14:textId="23FF3D4E" w:rsidR="00F1107A" w:rsidRPr="00D81064" w:rsidRDefault="00F1107A" w:rsidP="00F1107A">
      <w:pPr>
        <w:rPr>
          <w:lang w:val="ru-RU"/>
        </w:rPr>
      </w:pPr>
      <w:r w:rsidRPr="00D81064">
        <w:rPr>
          <w:lang w:val="ru-RU"/>
        </w:rPr>
        <w:lastRenderedPageBreak/>
        <w:t>22.2</w:t>
      </w:r>
      <w:r w:rsidRPr="00D81064">
        <w:rPr>
          <w:lang w:val="ru-RU"/>
        </w:rPr>
        <w:tab/>
        <w:t xml:space="preserve">Советник от Бразилии, выступая в качестве Председателя КГГЧ, представил Документ C26/48, в котором содержится информация о деятельности КГГЧ со времени проведения Совета-25. </w:t>
      </w:r>
      <w:r w:rsidR="00AB2E1E" w:rsidRPr="00D81064">
        <w:rPr>
          <w:lang w:val="ru-RU"/>
        </w:rPr>
        <w:t xml:space="preserve">Выступающий особо отметил активную работу по ведению комплексного реестра рисков и его регулярное обновление. </w:t>
      </w:r>
      <w:r w:rsidRPr="00D81064">
        <w:rPr>
          <w:lang w:val="ru-RU"/>
        </w:rPr>
        <w:t>Он подчеркнул важность поддержания тесного взаимодействия со спонсорами проекта, в частности с целью обеспечить надлежащий учет в проекте согласованных требований, например в отношении конференц-зала.</w:t>
      </w:r>
    </w:p>
    <w:p w14:paraId="66289AF7" w14:textId="77777777" w:rsidR="00F1107A" w:rsidRPr="00D81064" w:rsidRDefault="00F1107A" w:rsidP="00F1107A">
      <w:pPr>
        <w:rPr>
          <w:lang w:val="ru-RU"/>
        </w:rPr>
      </w:pPr>
      <w:r w:rsidRPr="00D81064">
        <w:rPr>
          <w:lang w:val="ru-RU"/>
        </w:rPr>
        <w:t>22.3</w:t>
      </w:r>
      <w:r w:rsidRPr="00D81064">
        <w:rPr>
          <w:lang w:val="ru-RU"/>
        </w:rPr>
        <w:tab/>
        <w:t xml:space="preserve">Советники высоко оценили прогресс, достигнутый в осуществлении проекта по помещениям штаб-квартиры, выразив удовлетворение тем фактом, что работа по проекту следует графику и не выходит за рамки утвержденного бюджета. Они высказались за совершенствование механизмов управления и надзора, в частности поддержав новый реестр рисков и новую методику. Ряд Советников подчеркнули, что механизмы обеспечения непрерывности деятельности должны оставаться всеобъемлющими и не создавать дополнительного бремени для Государств-Членов, в частности развивающихся стран. Один из Советников отметил, что в Документе C26/7 недостает подробной информации по сравнению с отчетами об аналогичных проектах в системе Организации Объединенных Наций. Было бы полезно включить в будущие отчеты по проекту сводную таблицу отслеживания затрат; дополнительную информацию о рисках, в том числе о мерах по снижению рисков и остаточных рисках; матрицу решений, отражающую возможные способы проведения будущих собраний в штаб-квартире МСЭ и затраты на них, а также последствия для делегаций развивающихся стран; и подробные сведения об ожидаемых выгодах от проекта. </w:t>
      </w:r>
    </w:p>
    <w:p w14:paraId="3ECDECF1" w14:textId="77777777" w:rsidR="00F1107A" w:rsidRPr="00D81064" w:rsidRDefault="00F1107A" w:rsidP="00F1107A">
      <w:pPr>
        <w:rPr>
          <w:lang w:val="ru-RU"/>
        </w:rPr>
      </w:pPr>
      <w:r w:rsidRPr="00D81064">
        <w:rPr>
          <w:lang w:val="ru-RU"/>
        </w:rPr>
        <w:t>22.4</w:t>
      </w:r>
      <w:r w:rsidRPr="00D81064">
        <w:rPr>
          <w:lang w:val="ru-RU"/>
        </w:rPr>
        <w:tab/>
        <w:t>Советник от Бразилии, выступая в качестве Председателя КГГЧ, отметил, что предложения по будущим отчетам будут обсуждаться на следующем собрании КГГЧ.</w:t>
      </w:r>
    </w:p>
    <w:p w14:paraId="7D07B303" w14:textId="0AF65A23" w:rsidR="00F1107A" w:rsidRPr="00D81064" w:rsidRDefault="00F1107A" w:rsidP="00F1107A">
      <w:pPr>
        <w:rPr>
          <w:lang w:val="ru-RU"/>
        </w:rPr>
      </w:pPr>
      <w:r w:rsidRPr="00D81064">
        <w:rPr>
          <w:lang w:val="ru-RU"/>
        </w:rPr>
        <w:t>22.5</w:t>
      </w:r>
      <w:r w:rsidRPr="00D81064">
        <w:rPr>
          <w:lang w:val="ru-RU"/>
        </w:rPr>
        <w:tab/>
        <w:t xml:space="preserve">Представитель Генерального секретариата заявил, что была проделана согласованная работа по организации регулярных собраний КГГЧ и Руководящего комитета, для того чтобы осуществление проекта шло по графику и соответствовало руководящим указаниям Государств-Членов. Напомнив, что в Приложении А к документу содержится информация об общих бюджетных ассигнованиях и расходах </w:t>
      </w:r>
      <w:proofErr w:type="gramStart"/>
      <w:r w:rsidRPr="00D81064">
        <w:rPr>
          <w:lang w:val="ru-RU"/>
        </w:rPr>
        <w:t>на текущий момент</w:t>
      </w:r>
      <w:proofErr w:type="gramEnd"/>
      <w:r w:rsidRPr="00D81064">
        <w:rPr>
          <w:lang w:val="ru-RU"/>
        </w:rPr>
        <w:t xml:space="preserve">, он проинформировал Советников о том, что более подробный отчет о бюджете </w:t>
      </w:r>
      <w:r w:rsidR="00AB2E1E" w:rsidRPr="00D81064">
        <w:rPr>
          <w:lang w:val="ru-RU"/>
        </w:rPr>
        <w:t>регулярно</w:t>
      </w:r>
      <w:r w:rsidRPr="00D81064">
        <w:rPr>
          <w:lang w:val="ru-RU"/>
        </w:rPr>
        <w:t xml:space="preserve"> представляется группе по проекту; более подробная информация также доводится до сведения Руководящего комитета и КГГЧ. В случае поступления соответствующего запроса в следующий отчет по проекту могут быть включены более подробные данные по всем бюджетным позициям, а также дополнительная информация о рисках и мерах их снижения, которая была предоставлена Руководящему комитету. Он подчеркнул, что благодаря использованию подхода "проектирования по затратам" и обеспечению соблюдения трех ключевых параметров, утвержденных Советом, – масштаба, сроков и стоимости – удалось компенсировать в рамках проекта утрату одного из его предполагаемых спонсоров за счет резервных средств на случай непредвиденных расходов.</w:t>
      </w:r>
    </w:p>
    <w:p w14:paraId="2B6B75A6" w14:textId="57998571" w:rsidR="00F1107A" w:rsidRPr="00D81064" w:rsidRDefault="00F1107A" w:rsidP="00F1107A">
      <w:pPr>
        <w:rPr>
          <w:lang w:val="ru-RU"/>
        </w:rPr>
      </w:pPr>
      <w:r w:rsidRPr="00D81064">
        <w:rPr>
          <w:lang w:val="ru-RU"/>
        </w:rPr>
        <w:t>22.6</w:t>
      </w:r>
      <w:r w:rsidRPr="00D81064">
        <w:rPr>
          <w:lang w:val="ru-RU"/>
        </w:rPr>
        <w:tab/>
        <w:t xml:space="preserve">Отвечая на вопрос об уровнях шума, выступающий сообщил, что, согласно результатам акустических испытаний, </w:t>
      </w:r>
      <w:r w:rsidR="00AB2E1E" w:rsidRPr="00D81064">
        <w:rPr>
          <w:lang w:val="ru-RU"/>
        </w:rPr>
        <w:t xml:space="preserve">структурный </w:t>
      </w:r>
      <w:r w:rsidRPr="00D81064">
        <w:rPr>
          <w:lang w:val="ru-RU"/>
        </w:rPr>
        <w:t>шум от оборудования будет влиять только на зал А и зону для неформальной работы и отдыха, примыкающую к залу им. А.</w:t>
      </w:r>
      <w:r w:rsidR="00A14A1E" w:rsidRPr="00D81064">
        <w:rPr>
          <w:lang w:val="ru-RU"/>
        </w:rPr>
        <w:t xml:space="preserve"> </w:t>
      </w:r>
      <w:r w:rsidRPr="00D81064">
        <w:rPr>
          <w:lang w:val="ru-RU"/>
        </w:rPr>
        <w:t xml:space="preserve">С. Попова. Проводится оценка уровней шума в воздухе, которые имеют более субъективный характер. В целях снижения шумового воздействия </w:t>
      </w:r>
      <w:r w:rsidR="00A14A1E" w:rsidRPr="00D81064">
        <w:rPr>
          <w:lang w:val="ru-RU"/>
        </w:rPr>
        <w:t xml:space="preserve">может быть </w:t>
      </w:r>
      <w:r w:rsidRPr="00D81064">
        <w:rPr>
          <w:lang w:val="ru-RU"/>
        </w:rPr>
        <w:t>достигнута договоренность с подрядчиком о том, что строительные работы могут приостанавливаться на время проведения в штаб-квартире важных мероприятий, а некоторые виды работ, создающие особый шум, могут проводиться за пределами строительной площадки. Период наиболее шумных работ будет связан со сносом здания "</w:t>
      </w:r>
      <w:proofErr w:type="spellStart"/>
      <w:r w:rsidRPr="00D81064">
        <w:rPr>
          <w:lang w:val="ru-RU"/>
        </w:rPr>
        <w:t>Варембе</w:t>
      </w:r>
      <w:proofErr w:type="spellEnd"/>
      <w:r w:rsidRPr="00D81064">
        <w:rPr>
          <w:lang w:val="ru-RU"/>
        </w:rPr>
        <w:t>"</w:t>
      </w:r>
      <w:r w:rsidR="00A14A1E" w:rsidRPr="00D81064">
        <w:rPr>
          <w:lang w:val="ru-RU"/>
        </w:rPr>
        <w:t xml:space="preserve"> и фундаментными работами</w:t>
      </w:r>
      <w:r w:rsidRPr="00D81064">
        <w:rPr>
          <w:lang w:val="ru-RU"/>
        </w:rPr>
        <w:t>, которы</w:t>
      </w:r>
      <w:r w:rsidR="00A14A1E" w:rsidRPr="00D81064">
        <w:rPr>
          <w:lang w:val="ru-RU"/>
        </w:rPr>
        <w:t>е</w:t>
      </w:r>
      <w:r w:rsidRPr="00D81064">
        <w:rPr>
          <w:lang w:val="ru-RU"/>
        </w:rPr>
        <w:t xml:space="preserve"> буд</w:t>
      </w:r>
      <w:r w:rsidR="00A14A1E" w:rsidRPr="00D81064">
        <w:rPr>
          <w:lang w:val="ru-RU"/>
        </w:rPr>
        <w:t>у</w:t>
      </w:r>
      <w:r w:rsidRPr="00D81064">
        <w:rPr>
          <w:lang w:val="ru-RU"/>
        </w:rPr>
        <w:t>т проводиться с октября 2028</w:t>
      </w:r>
      <w:r w:rsidR="00A14A1E" w:rsidRPr="00D81064">
        <w:rPr>
          <w:lang w:val="ru-RU"/>
        </w:rPr>
        <w:t> </w:t>
      </w:r>
      <w:r w:rsidRPr="00D81064">
        <w:rPr>
          <w:lang w:val="ru-RU"/>
        </w:rPr>
        <w:t>года по август 2029 года. Выступающий подтвердил, что при переводе персонала из здания "</w:t>
      </w:r>
      <w:proofErr w:type="spellStart"/>
      <w:r w:rsidRPr="00D81064">
        <w:rPr>
          <w:lang w:val="ru-RU"/>
        </w:rPr>
        <w:t>Варембе</w:t>
      </w:r>
      <w:proofErr w:type="spellEnd"/>
      <w:r w:rsidRPr="00D81064">
        <w:rPr>
          <w:lang w:val="ru-RU"/>
        </w:rPr>
        <w:t>" в комплекс "Башня" и здание "</w:t>
      </w:r>
      <w:proofErr w:type="spellStart"/>
      <w:r w:rsidRPr="00D81064">
        <w:rPr>
          <w:lang w:val="ru-RU"/>
        </w:rPr>
        <w:t>Монбрийан</w:t>
      </w:r>
      <w:proofErr w:type="spellEnd"/>
      <w:r w:rsidRPr="00D81064">
        <w:rPr>
          <w:lang w:val="ru-RU"/>
        </w:rPr>
        <w:t xml:space="preserve">" будет введен смешанный режим </w:t>
      </w:r>
      <w:r w:rsidRPr="00D81064">
        <w:rPr>
          <w:lang w:val="ru-RU"/>
        </w:rPr>
        <w:lastRenderedPageBreak/>
        <w:t>работы и организовано совместное использование рабочих мест, что значительно повысит эффективность использования пространства.</w:t>
      </w:r>
    </w:p>
    <w:p w14:paraId="548D2903" w14:textId="27A171FE" w:rsidR="00F1107A" w:rsidRPr="00D81064" w:rsidRDefault="00F1107A" w:rsidP="00F1107A">
      <w:pPr>
        <w:rPr>
          <w:lang w:val="ru-RU"/>
        </w:rPr>
      </w:pPr>
      <w:r w:rsidRPr="00D81064">
        <w:rPr>
          <w:lang w:val="ru-RU"/>
        </w:rPr>
        <w:t>22.7</w:t>
      </w:r>
      <w:r w:rsidRPr="00D81064">
        <w:rPr>
          <w:lang w:val="ru-RU"/>
        </w:rPr>
        <w:tab/>
        <w:t xml:space="preserve">Представитель Подразделения по правовым вопросам, отвечая на вопрос одного из Советников, напомнил, что в Приложении B к Документу C26/7 содержится информация о том, какие положения постановляющих частей решений Совета остаются в силе, а какие </w:t>
      </w:r>
      <w:r w:rsidR="00FD6969" w:rsidRPr="00D81064">
        <w:rPr>
          <w:lang w:val="ru-RU"/>
        </w:rPr>
        <w:t xml:space="preserve">либо </w:t>
      </w:r>
      <w:r w:rsidRPr="00D81064">
        <w:rPr>
          <w:lang w:val="ru-RU"/>
        </w:rPr>
        <w:t>были заменены последующими решениями Совета, либо</w:t>
      </w:r>
      <w:r w:rsidR="00FD6969" w:rsidRPr="00D81064">
        <w:rPr>
          <w:lang w:val="ru-RU"/>
        </w:rPr>
        <w:t xml:space="preserve"> перестали применяться на практике в связи с </w:t>
      </w:r>
      <w:r w:rsidRPr="00D81064">
        <w:rPr>
          <w:lang w:val="ru-RU"/>
        </w:rPr>
        <w:t>произошедшими изменениями. Он признал наличие некоторых расхождений между Решением</w:t>
      </w:r>
      <w:r w:rsidR="007C6049" w:rsidRPr="00D81064">
        <w:rPr>
          <w:lang w:val="ru-RU"/>
        </w:rPr>
        <w:t> </w:t>
      </w:r>
      <w:r w:rsidRPr="00D81064">
        <w:rPr>
          <w:lang w:val="ru-RU"/>
        </w:rPr>
        <w:t>640 (C24) Совета</w:t>
      </w:r>
      <w:r w:rsidR="00FD6969" w:rsidRPr="00D81064">
        <w:rPr>
          <w:lang w:val="ru-RU"/>
        </w:rPr>
        <w:t xml:space="preserve"> и предыдущими Решениями 588 (C16) и 619 (C19, последнее изменение C21) Совета, и вопрос об их согласовании в рамках актуализации нормативных актов должен быть рассмотрен Советом.</w:t>
      </w:r>
    </w:p>
    <w:p w14:paraId="466B2B69" w14:textId="3B11CA00" w:rsidR="00F1107A" w:rsidRPr="00D81064" w:rsidRDefault="00F1107A" w:rsidP="00F1107A">
      <w:pPr>
        <w:rPr>
          <w:lang w:val="ru-RU"/>
        </w:rPr>
      </w:pPr>
      <w:r w:rsidRPr="00D81064">
        <w:rPr>
          <w:lang w:val="ru-RU"/>
        </w:rPr>
        <w:t>22.8</w:t>
      </w:r>
      <w:r w:rsidRPr="00D81064">
        <w:rPr>
          <w:lang w:val="ru-RU"/>
        </w:rPr>
        <w:tab/>
        <w:t xml:space="preserve">Заместитель Генерального секретаря отметил, что в </w:t>
      </w:r>
      <w:r w:rsidR="00A14A1E" w:rsidRPr="00D81064">
        <w:rPr>
          <w:lang w:val="ru-RU"/>
        </w:rPr>
        <w:t xml:space="preserve">сферу деятельности КГГЧ </w:t>
      </w:r>
      <w:r w:rsidRPr="00D81064">
        <w:rPr>
          <w:lang w:val="ru-RU"/>
        </w:rPr>
        <w:t>было надлежащим образом интегрировано управление рисками, как это было предложено ранее,</w:t>
      </w:r>
      <w:r w:rsidR="00A14A1E" w:rsidRPr="00D81064">
        <w:rPr>
          <w:lang w:val="ru-RU"/>
        </w:rPr>
        <w:t xml:space="preserve"> и</w:t>
      </w:r>
      <w:r w:rsidRPr="00D81064">
        <w:rPr>
          <w:lang w:val="ru-RU"/>
        </w:rPr>
        <w:t xml:space="preserve"> </w:t>
      </w:r>
      <w:r w:rsidR="00A14A1E" w:rsidRPr="00D81064">
        <w:rPr>
          <w:lang w:val="ru-RU"/>
        </w:rPr>
        <w:t xml:space="preserve">поблагодарил Германию за укрепление </w:t>
      </w:r>
      <w:r w:rsidRPr="00D81064">
        <w:rPr>
          <w:lang w:val="ru-RU"/>
        </w:rPr>
        <w:t>техническ</w:t>
      </w:r>
      <w:r w:rsidR="00A14A1E" w:rsidRPr="00D81064">
        <w:rPr>
          <w:lang w:val="ru-RU"/>
        </w:rPr>
        <w:t>ого</w:t>
      </w:r>
      <w:r w:rsidRPr="00D81064">
        <w:rPr>
          <w:lang w:val="ru-RU"/>
        </w:rPr>
        <w:t xml:space="preserve"> потенциал</w:t>
      </w:r>
      <w:r w:rsidR="00A14A1E" w:rsidRPr="00D81064">
        <w:rPr>
          <w:lang w:val="ru-RU"/>
        </w:rPr>
        <w:t>а</w:t>
      </w:r>
      <w:r w:rsidRPr="00D81064">
        <w:rPr>
          <w:lang w:val="ru-RU"/>
        </w:rPr>
        <w:t xml:space="preserve"> КГГЧ </w:t>
      </w:r>
      <w:r w:rsidR="00A14A1E" w:rsidRPr="00D81064">
        <w:rPr>
          <w:lang w:val="ru-RU"/>
        </w:rPr>
        <w:t>путем предоставления технического эксперта</w:t>
      </w:r>
      <w:r w:rsidRPr="00D81064">
        <w:rPr>
          <w:lang w:val="ru-RU"/>
        </w:rPr>
        <w:t xml:space="preserve">. Он выразил спонсорам признательность за их неизменную поддержку и прагматичный подход и заявил, что будет работать над тем, чтобы их потребности были удовлетворены. Отметив поддержку Советниками идеи диверсификации источников финансирования, он подчеркнул, что заинтересованным сторонам будут предоставлены дополнительные возможности в области спонсорской поддержки, подробная информация о которых будет предоставлена </w:t>
      </w:r>
      <w:r w:rsidR="00A14A1E" w:rsidRPr="00D81064">
        <w:rPr>
          <w:lang w:val="ru-RU"/>
        </w:rPr>
        <w:t>к</w:t>
      </w:r>
      <w:r w:rsidRPr="00D81064">
        <w:rPr>
          <w:lang w:val="ru-RU"/>
        </w:rPr>
        <w:t xml:space="preserve"> ПК</w:t>
      </w:r>
      <w:r w:rsidR="009C366B" w:rsidRPr="00D81064">
        <w:rPr>
          <w:lang w:val="ru-RU"/>
        </w:rPr>
        <w:noBreakHyphen/>
      </w:r>
      <w:r w:rsidRPr="00D81064">
        <w:rPr>
          <w:lang w:val="ru-RU"/>
        </w:rPr>
        <w:t>26.</w:t>
      </w:r>
    </w:p>
    <w:p w14:paraId="186D3463" w14:textId="572EFB9C" w:rsidR="00F1107A" w:rsidRPr="00D81064" w:rsidRDefault="00F1107A" w:rsidP="00F1107A">
      <w:pPr>
        <w:rPr>
          <w:lang w:val="ru-RU"/>
        </w:rPr>
      </w:pPr>
      <w:r w:rsidRPr="00D81064">
        <w:rPr>
          <w:lang w:val="ru-RU"/>
        </w:rPr>
        <w:t>22.9</w:t>
      </w:r>
      <w:r w:rsidRPr="00D81064">
        <w:rPr>
          <w:lang w:val="ru-RU"/>
        </w:rPr>
        <w:tab/>
        <w:t xml:space="preserve">Советник от Саудовской Аравии, напомнив о существующем соглашении о спонсорской поддержке между его страной и МСЭ, попросил </w:t>
      </w:r>
      <w:r w:rsidR="00373264" w:rsidRPr="00D81064">
        <w:rPr>
          <w:lang w:val="ru-RU"/>
        </w:rPr>
        <w:t xml:space="preserve">Секретариат </w:t>
      </w:r>
      <w:r w:rsidRPr="00D81064">
        <w:rPr>
          <w:lang w:val="ru-RU"/>
        </w:rPr>
        <w:t>направить по дипломатическим каналам официальное письмо в адрес администрации Саудовской Аравии с разъяснением по вопросу о том, какие пункты этого соглашения являются трудновыполнимыми, в том числе по финансовым и проектным причинам, с тем чтобы урегулировать возникшие трудности.</w:t>
      </w:r>
    </w:p>
    <w:p w14:paraId="307F7A41" w14:textId="09686BE4" w:rsidR="00F1107A" w:rsidRPr="00D81064" w:rsidRDefault="00F1107A" w:rsidP="00F1107A">
      <w:pPr>
        <w:rPr>
          <w:lang w:val="ru-RU"/>
        </w:rPr>
      </w:pPr>
      <w:r w:rsidRPr="00D81064">
        <w:rPr>
          <w:lang w:val="ru-RU"/>
        </w:rPr>
        <w:t>22.10</w:t>
      </w:r>
      <w:r w:rsidRPr="00D81064">
        <w:rPr>
          <w:lang w:val="ru-RU"/>
        </w:rPr>
        <w:tab/>
        <w:t xml:space="preserve">Представитель Генерального секретариата подтвердил, что такое письмо будет направлено и что </w:t>
      </w:r>
      <w:r w:rsidR="00373264" w:rsidRPr="00D81064">
        <w:rPr>
          <w:lang w:val="ru-RU"/>
        </w:rPr>
        <w:t xml:space="preserve">Секретариат </w:t>
      </w:r>
      <w:r w:rsidRPr="00D81064">
        <w:rPr>
          <w:lang w:val="ru-RU"/>
        </w:rPr>
        <w:t xml:space="preserve">готов работать со всеми спонсорами над тем, чтобы их интересы были отражены в окончательном проекте. Приоритетом </w:t>
      </w:r>
      <w:r w:rsidR="00373264" w:rsidRPr="00D81064">
        <w:rPr>
          <w:lang w:val="ru-RU"/>
        </w:rPr>
        <w:t xml:space="preserve">Секретариата </w:t>
      </w:r>
      <w:r w:rsidRPr="00D81064">
        <w:rPr>
          <w:lang w:val="ru-RU"/>
        </w:rPr>
        <w:t>является повышение потенциала для проведения крупных собраний.</w:t>
      </w:r>
    </w:p>
    <w:p w14:paraId="2581E39C" w14:textId="77777777" w:rsidR="00F1107A" w:rsidRPr="00D81064" w:rsidRDefault="00F1107A" w:rsidP="00B33847">
      <w:pPr>
        <w:keepNext/>
        <w:keepLines/>
        <w:rPr>
          <w:lang w:val="ru-RU"/>
        </w:rPr>
      </w:pPr>
      <w:r w:rsidRPr="00D81064">
        <w:rPr>
          <w:lang w:val="ru-RU"/>
        </w:rPr>
        <w:t>22.11</w:t>
      </w:r>
      <w:r w:rsidRPr="00D81064">
        <w:rPr>
          <w:lang w:val="ru-RU"/>
        </w:rPr>
        <w:tab/>
        <w:t xml:space="preserve">Комитет </w:t>
      </w:r>
      <w:r w:rsidRPr="00D81064">
        <w:rPr>
          <w:b/>
          <w:bCs/>
          <w:lang w:val="ru-RU"/>
        </w:rPr>
        <w:t>принял решение</w:t>
      </w:r>
      <w:r w:rsidRPr="00D81064">
        <w:rPr>
          <w:lang w:val="ru-RU"/>
        </w:rPr>
        <w:t xml:space="preserve"> сделать по данному вопросу следующее заключение:</w:t>
      </w:r>
    </w:p>
    <w:p w14:paraId="0305A2E7" w14:textId="77777777" w:rsidR="00F1107A" w:rsidRPr="00D81064" w:rsidRDefault="00F1107A" w:rsidP="00B33847">
      <w:pPr>
        <w:keepNext/>
        <w:keepLines/>
        <w:pBdr>
          <w:top w:val="single" w:sz="4" w:space="1" w:color="auto"/>
          <w:left w:val="single" w:sz="4" w:space="4" w:color="auto"/>
          <w:bottom w:val="single" w:sz="4" w:space="1" w:color="auto"/>
          <w:right w:val="single" w:sz="4" w:space="4" w:color="auto"/>
        </w:pBdr>
        <w:rPr>
          <w:lang w:val="ru-RU"/>
        </w:rPr>
      </w:pPr>
      <w:r w:rsidRPr="00D81064">
        <w:rPr>
          <w:lang w:val="ru-RU"/>
        </w:rPr>
        <w:t>22.12</w:t>
      </w:r>
      <w:r w:rsidRPr="00D81064">
        <w:rPr>
          <w:lang w:val="ru-RU"/>
        </w:rPr>
        <w:tab/>
        <w:t>Комитет рекомендует Совету:</w:t>
      </w:r>
    </w:p>
    <w:p w14:paraId="087C570F" w14:textId="2EF88812" w:rsidR="001D3B2D" w:rsidRPr="00D81064" w:rsidRDefault="00F1107A" w:rsidP="00F1107A">
      <w:pPr>
        <w:pStyle w:val="enumlev1"/>
        <w:pBdr>
          <w:top w:val="single" w:sz="4" w:space="1" w:color="auto"/>
          <w:left w:val="single" w:sz="4" w:space="4" w:color="auto"/>
          <w:bottom w:val="single" w:sz="4" w:space="1" w:color="auto"/>
          <w:right w:val="single" w:sz="4" w:space="4" w:color="auto"/>
        </w:pBdr>
        <w:rPr>
          <w:lang w:val="ru-RU"/>
        </w:rPr>
      </w:pPr>
      <w:r w:rsidRPr="00D81064">
        <w:rPr>
          <w:lang w:val="ru-RU"/>
        </w:rPr>
        <w:t>•</w:t>
      </w:r>
      <w:r w:rsidRPr="00D81064">
        <w:rPr>
          <w:lang w:val="ru-RU"/>
        </w:rPr>
        <w:tab/>
        <w:t xml:space="preserve">принять к сведению отчеты, содержащиеся в Документах </w:t>
      </w:r>
      <w:hyperlink r:id="rId140" w:history="1">
        <w:r w:rsidRPr="00D81064">
          <w:rPr>
            <w:rStyle w:val="Hyperlink"/>
            <w:lang w:val="ru-RU"/>
          </w:rPr>
          <w:t>C26/7</w:t>
        </w:r>
      </w:hyperlink>
      <w:r w:rsidRPr="00D81064">
        <w:rPr>
          <w:lang w:val="ru-RU"/>
        </w:rPr>
        <w:t xml:space="preserve"> и </w:t>
      </w:r>
      <w:hyperlink r:id="rId141" w:history="1">
        <w:r w:rsidRPr="00D81064">
          <w:rPr>
            <w:rStyle w:val="Hyperlink"/>
            <w:lang w:val="ru-RU"/>
          </w:rPr>
          <w:t>C26/48</w:t>
        </w:r>
      </w:hyperlink>
      <w:r w:rsidR="001D3B2D" w:rsidRPr="00D81064">
        <w:rPr>
          <w:lang w:val="ru-RU"/>
        </w:rPr>
        <w:t>;</w:t>
      </w:r>
    </w:p>
    <w:p w14:paraId="0A47397C" w14:textId="2B02505E" w:rsidR="00F1107A" w:rsidRPr="00D81064" w:rsidRDefault="001D3B2D" w:rsidP="00F1107A">
      <w:pPr>
        <w:pStyle w:val="enumlev1"/>
        <w:pBdr>
          <w:top w:val="single" w:sz="4" w:space="1" w:color="auto"/>
          <w:left w:val="single" w:sz="4" w:space="4" w:color="auto"/>
          <w:bottom w:val="single" w:sz="4" w:space="1" w:color="auto"/>
          <w:right w:val="single" w:sz="4" w:space="4" w:color="auto"/>
        </w:pBdr>
        <w:rPr>
          <w:lang w:val="ru-RU"/>
        </w:rPr>
      </w:pPr>
      <w:r w:rsidRPr="00D81064">
        <w:rPr>
          <w:lang w:val="ru-RU"/>
        </w:rPr>
        <w:t>•</w:t>
      </w:r>
      <w:r w:rsidRPr="00D81064">
        <w:rPr>
          <w:lang w:val="ru-RU"/>
        </w:rPr>
        <w:tab/>
        <w:t>поручить Генеральному секретариату представить официальное сообщение, как подробно описано в п. 22.9, выше.</w:t>
      </w:r>
      <w:hyperlink r:id="rId142" w:history="1"/>
      <w:hyperlink r:id="rId143" w:history="1"/>
    </w:p>
    <w:p w14:paraId="6C7AB45C" w14:textId="77777777" w:rsidR="00207F31" w:rsidRPr="00D81064" w:rsidRDefault="00207F31" w:rsidP="00207F31">
      <w:pPr>
        <w:pStyle w:val="Heading1"/>
        <w:rPr>
          <w:lang w:val="ru-RU"/>
        </w:rPr>
      </w:pPr>
      <w:r w:rsidRPr="00D81064">
        <w:rPr>
          <w:bCs/>
          <w:lang w:val="ru-RU"/>
        </w:rPr>
        <w:t>23</w:t>
      </w:r>
      <w:r w:rsidRPr="00D81064">
        <w:rPr>
          <w:lang w:val="ru-RU"/>
        </w:rPr>
        <w:tab/>
      </w:r>
      <w:r w:rsidRPr="00D81064">
        <w:rPr>
          <w:bCs/>
          <w:lang w:val="ru-RU"/>
        </w:rPr>
        <w:t xml:space="preserve">Обновление Стратегического плана в отношении комплекса зданий (Документ </w:t>
      </w:r>
      <w:hyperlink r:id="rId144" w:history="1">
        <w:r w:rsidRPr="00D81064">
          <w:rPr>
            <w:rStyle w:val="Hyperlink"/>
            <w:bCs/>
            <w:lang w:val="ru-RU"/>
          </w:rPr>
          <w:t>C26/63</w:t>
        </w:r>
      </w:hyperlink>
      <w:r w:rsidRPr="00D81064">
        <w:rPr>
          <w:bCs/>
          <w:lang w:val="ru-RU"/>
        </w:rPr>
        <w:t>)</w:t>
      </w:r>
      <w:hyperlink r:id="rId145" w:history="1"/>
    </w:p>
    <w:p w14:paraId="3A662F6C" w14:textId="10CAFF66" w:rsidR="00207F31" w:rsidRPr="00D81064" w:rsidRDefault="00207F31" w:rsidP="00207F31">
      <w:pPr>
        <w:rPr>
          <w:lang w:val="ru-RU"/>
        </w:rPr>
      </w:pPr>
      <w:r w:rsidRPr="00D81064">
        <w:rPr>
          <w:lang w:val="ru-RU"/>
        </w:rPr>
        <w:t>23.1</w:t>
      </w:r>
      <w:r w:rsidRPr="00D81064">
        <w:rPr>
          <w:lang w:val="ru-RU"/>
        </w:rPr>
        <w:tab/>
        <w:t xml:space="preserve">Представитель Генерального секретариата представил Документ C26/63, в котором содержится обновленная информация о работе по составлению стратегического плана для комплекса зданий МСЭ, проделанной со времени проведения Совета-25. В документе делается вывод, что в текущих правовых, рыночных и операционных условиях сохранение существующего комплекса из трех зданий является наиболее целесообразной стратегией для обеспечения гибкости и защиты долгосрочных интересов МСЭ. В связи с этим </w:t>
      </w:r>
      <w:r w:rsidR="00373264" w:rsidRPr="00D81064">
        <w:rPr>
          <w:lang w:val="ru-RU"/>
        </w:rPr>
        <w:t xml:space="preserve">Секретариат </w:t>
      </w:r>
      <w:r w:rsidRPr="00D81064">
        <w:rPr>
          <w:lang w:val="ru-RU"/>
        </w:rPr>
        <w:t>предложил дальнейшие меры, направленные на обеспечение стратегической гибкости и изучение возможностей синергии с другими организациями, расположенными в Женеве.</w:t>
      </w:r>
    </w:p>
    <w:p w14:paraId="7D3621C4" w14:textId="2B2D7D90" w:rsidR="00207F31" w:rsidRPr="00D81064" w:rsidRDefault="00207F31" w:rsidP="00207F31">
      <w:pPr>
        <w:rPr>
          <w:lang w:val="ru-RU"/>
        </w:rPr>
      </w:pPr>
      <w:r w:rsidRPr="00D81064">
        <w:rPr>
          <w:lang w:val="ru-RU"/>
        </w:rPr>
        <w:t>23.2</w:t>
      </w:r>
      <w:r w:rsidRPr="00D81064">
        <w:rPr>
          <w:lang w:val="ru-RU"/>
        </w:rPr>
        <w:tab/>
        <w:t xml:space="preserve">Советники выразили поддержку дальнейшей работе над стратегическим планом развития комплекса зданий и усилиям по реконструкции штаб-квартиры в целом. Они </w:t>
      </w:r>
      <w:r w:rsidRPr="00D81064">
        <w:rPr>
          <w:lang w:val="ru-RU"/>
        </w:rPr>
        <w:lastRenderedPageBreak/>
        <w:t xml:space="preserve">поддержали изучение возможностей совместного использования пространства, механизмов возмещения затрат и диверсифицированного финансирования, а также сотрудничество с другими международными организациями и смешанные форматы работы. Соответствующие решения должны опираться на всесторонний и прозрачный анализ затрат и выгод. Было бы желательно получить дополнительную информацию о сроках следующих действий в соответствии со стратегическим планом развития комплекса зданий. Один из Советников предложил </w:t>
      </w:r>
      <w:r w:rsidR="00A14A1E" w:rsidRPr="00D81064">
        <w:rPr>
          <w:lang w:val="ru-RU"/>
        </w:rPr>
        <w:t xml:space="preserve">включить </w:t>
      </w:r>
      <w:r w:rsidR="005D2FCB" w:rsidRPr="00D81064">
        <w:rPr>
          <w:lang w:val="ru-RU"/>
        </w:rPr>
        <w:t xml:space="preserve">деятельность МСЭ по административно-хозяйственному управлению в </w:t>
      </w:r>
      <w:r w:rsidRPr="00D81064">
        <w:rPr>
          <w:lang w:val="ru-RU"/>
        </w:rPr>
        <w:t>стратегическ</w:t>
      </w:r>
      <w:r w:rsidR="005D2FCB" w:rsidRPr="00D81064">
        <w:rPr>
          <w:lang w:val="ru-RU"/>
        </w:rPr>
        <w:t>ий</w:t>
      </w:r>
      <w:r w:rsidRPr="00D81064">
        <w:rPr>
          <w:lang w:val="ru-RU"/>
        </w:rPr>
        <w:t xml:space="preserve"> план развития комплекса зданий.</w:t>
      </w:r>
    </w:p>
    <w:p w14:paraId="20BA4CBF" w14:textId="2836EB1F" w:rsidR="00207F31" w:rsidRPr="00D81064" w:rsidRDefault="00207F31" w:rsidP="00207F31">
      <w:pPr>
        <w:rPr>
          <w:lang w:val="ru-RU"/>
        </w:rPr>
      </w:pPr>
      <w:r w:rsidRPr="00D81064">
        <w:rPr>
          <w:lang w:val="ru-RU"/>
        </w:rPr>
        <w:t>23.3</w:t>
      </w:r>
      <w:r w:rsidRPr="00D81064">
        <w:rPr>
          <w:lang w:val="ru-RU"/>
        </w:rPr>
        <w:tab/>
        <w:t xml:space="preserve">В отношении вопроса финансирования технико-экономического обоснования реконструкции </w:t>
      </w:r>
      <w:r w:rsidR="00265407" w:rsidRPr="00D81064">
        <w:rPr>
          <w:lang w:val="ru-RU"/>
        </w:rPr>
        <w:t>комплекса</w:t>
      </w:r>
      <w:r w:rsidRPr="00D81064">
        <w:rPr>
          <w:lang w:val="ru-RU"/>
        </w:rPr>
        <w:t xml:space="preserve"> "Башня" представитель Генерального секретариата подтвердил, что эт</w:t>
      </w:r>
      <w:r w:rsidR="005D2FCB" w:rsidRPr="00D81064">
        <w:rPr>
          <w:lang w:val="ru-RU"/>
        </w:rPr>
        <w:t>а</w:t>
      </w:r>
      <w:r w:rsidRPr="00D81064">
        <w:rPr>
          <w:lang w:val="ru-RU"/>
        </w:rPr>
        <w:t xml:space="preserve"> </w:t>
      </w:r>
      <w:r w:rsidR="005D2FCB" w:rsidRPr="00D81064">
        <w:rPr>
          <w:lang w:val="ru-RU"/>
        </w:rPr>
        <w:t>работа может</w:t>
      </w:r>
      <w:r w:rsidRPr="00D81064">
        <w:rPr>
          <w:lang w:val="ru-RU"/>
        </w:rPr>
        <w:t xml:space="preserve"> финансироваться из средств Фонда эксплуатации зданий, в который поступает 750 000 швейцарских франков ежегодно. Стоимость данной работы в размере 843 000 швейцарских франков является предварительной оценкой, </w:t>
      </w:r>
      <w:proofErr w:type="gramStart"/>
      <w:r w:rsidRPr="00D81064">
        <w:rPr>
          <w:lang w:val="ru-RU"/>
        </w:rPr>
        <w:t>до тех пор пока</w:t>
      </w:r>
      <w:proofErr w:type="gramEnd"/>
      <w:r w:rsidRPr="00D81064">
        <w:rPr>
          <w:lang w:val="ru-RU"/>
        </w:rPr>
        <w:t xml:space="preserve"> не будет проведена дополнительная оценка конкретных долгосрочных потребностей </w:t>
      </w:r>
      <w:r w:rsidR="00265407" w:rsidRPr="00D81064">
        <w:rPr>
          <w:lang w:val="ru-RU"/>
        </w:rPr>
        <w:t>комплекса</w:t>
      </w:r>
      <w:r w:rsidRPr="00D81064">
        <w:rPr>
          <w:lang w:val="ru-RU"/>
        </w:rPr>
        <w:t xml:space="preserve"> "Башня". Поскольку в настоящее время </w:t>
      </w:r>
      <w:r w:rsidR="00373264" w:rsidRPr="00D81064">
        <w:rPr>
          <w:lang w:val="ru-RU"/>
        </w:rPr>
        <w:t xml:space="preserve">Секретариат </w:t>
      </w:r>
      <w:r w:rsidRPr="00D81064">
        <w:rPr>
          <w:lang w:val="ru-RU"/>
        </w:rPr>
        <w:t xml:space="preserve">занят проектными работами, </w:t>
      </w:r>
      <w:r w:rsidR="005D2FCB" w:rsidRPr="00D81064">
        <w:rPr>
          <w:lang w:val="ru-RU"/>
        </w:rPr>
        <w:t>технико-экономическое обоснование может</w:t>
      </w:r>
      <w:r w:rsidRPr="00D81064">
        <w:rPr>
          <w:lang w:val="ru-RU"/>
        </w:rPr>
        <w:t xml:space="preserve"> проводиться начиная с 2028 года. </w:t>
      </w:r>
      <w:r w:rsidR="00C27ABC" w:rsidRPr="00D81064">
        <w:rPr>
          <w:lang w:val="ru-RU"/>
        </w:rPr>
        <w:t xml:space="preserve">Предлагаемые </w:t>
      </w:r>
      <w:r w:rsidRPr="00D81064">
        <w:rPr>
          <w:lang w:val="ru-RU"/>
        </w:rPr>
        <w:t>срок</w:t>
      </w:r>
      <w:r w:rsidR="005D2FCB" w:rsidRPr="00D81064">
        <w:rPr>
          <w:lang w:val="ru-RU"/>
        </w:rPr>
        <w:t>и</w:t>
      </w:r>
      <w:r w:rsidRPr="00D81064">
        <w:rPr>
          <w:lang w:val="ru-RU"/>
        </w:rPr>
        <w:t xml:space="preserve"> подготовки технико-экономического обоснования позвол</w:t>
      </w:r>
      <w:r w:rsidR="005D2FCB" w:rsidRPr="00D81064">
        <w:rPr>
          <w:lang w:val="ru-RU"/>
        </w:rPr>
        <w:t>я</w:t>
      </w:r>
      <w:r w:rsidRPr="00D81064">
        <w:rPr>
          <w:lang w:val="ru-RU"/>
        </w:rPr>
        <w:t xml:space="preserve">т </w:t>
      </w:r>
      <w:r w:rsidR="005D2FCB" w:rsidRPr="00D81064">
        <w:rPr>
          <w:lang w:val="ru-RU"/>
        </w:rPr>
        <w:t xml:space="preserve">сосредоточить имеющиеся ресурсы на проекте строительства нового здания и </w:t>
      </w:r>
      <w:r w:rsidR="00C27ABC" w:rsidRPr="00D81064">
        <w:rPr>
          <w:lang w:val="ru-RU"/>
        </w:rPr>
        <w:t xml:space="preserve">внедрении </w:t>
      </w:r>
      <w:r w:rsidR="005D2FCB" w:rsidRPr="00D81064">
        <w:rPr>
          <w:lang w:val="ru-RU"/>
        </w:rPr>
        <w:t xml:space="preserve">мер </w:t>
      </w:r>
      <w:r w:rsidR="00C27ABC" w:rsidRPr="00D81064">
        <w:rPr>
          <w:lang w:val="ru-RU"/>
        </w:rPr>
        <w:t>п</w:t>
      </w:r>
      <w:r w:rsidR="005D2FCB" w:rsidRPr="00D81064">
        <w:rPr>
          <w:lang w:val="ru-RU"/>
        </w:rPr>
        <w:t xml:space="preserve">о обеспечению непрерывности деятельности, а также </w:t>
      </w:r>
      <w:r w:rsidR="00C27ABC" w:rsidRPr="00D81064">
        <w:rPr>
          <w:lang w:val="ru-RU"/>
        </w:rPr>
        <w:t xml:space="preserve">получить более четкое представление о тенденциях на </w:t>
      </w:r>
      <w:r w:rsidRPr="00D81064">
        <w:rPr>
          <w:lang w:val="ru-RU"/>
        </w:rPr>
        <w:t>рынк</w:t>
      </w:r>
      <w:r w:rsidR="00C27ABC" w:rsidRPr="00D81064">
        <w:rPr>
          <w:lang w:val="ru-RU"/>
        </w:rPr>
        <w:t>е</w:t>
      </w:r>
      <w:r w:rsidRPr="00D81064">
        <w:rPr>
          <w:lang w:val="ru-RU"/>
        </w:rPr>
        <w:t xml:space="preserve"> недвижимости в Женеве.</w:t>
      </w:r>
    </w:p>
    <w:p w14:paraId="261F0EA2" w14:textId="77777777" w:rsidR="00207F31" w:rsidRPr="00D81064" w:rsidRDefault="00207F31" w:rsidP="00207F31">
      <w:pPr>
        <w:rPr>
          <w:lang w:val="ru-RU"/>
        </w:rPr>
      </w:pPr>
      <w:r w:rsidRPr="00D81064">
        <w:rPr>
          <w:lang w:val="ru-RU"/>
        </w:rPr>
        <w:t>23.4</w:t>
      </w:r>
      <w:r w:rsidRPr="00D81064">
        <w:rPr>
          <w:lang w:val="ru-RU"/>
        </w:rPr>
        <w:tab/>
        <w:t>В этом контексте он отметил, что наблюдается прогресс в переговорах с другими расположенными в Женеве международными организациями, включая Всемирную организацию здравоохранения (ВОЗ) и Всемирную организацию интеллектуальной собственности, по вопросу о возможном снижении затрат за счет совместного использования служебных помещений. Отделение Организации Объединенных Наций в Женеве (ЮНОГ) представило информацию о тарифах на аренду залов заседаний. Он подтвердил, что в стратегический план развития комплекса зданий будет включена информация о долгосрочных финансовых последствиях проекта реконструкции, включая варианты финансирования, такие как дополнительные виды ссуд от правительства Швейцарии.</w:t>
      </w:r>
    </w:p>
    <w:p w14:paraId="10812F20" w14:textId="06BAB505" w:rsidR="00207F31" w:rsidRPr="00D81064" w:rsidRDefault="00207F31" w:rsidP="00207F31">
      <w:pPr>
        <w:rPr>
          <w:lang w:val="ru-RU"/>
        </w:rPr>
      </w:pPr>
      <w:r w:rsidRPr="00D81064">
        <w:rPr>
          <w:lang w:val="ru-RU"/>
        </w:rPr>
        <w:t>23.5</w:t>
      </w:r>
      <w:r w:rsidRPr="00D81064">
        <w:rPr>
          <w:lang w:val="ru-RU"/>
        </w:rPr>
        <w:tab/>
        <w:t xml:space="preserve">Отвечая на вопрос наблюдателя, выступающий заявил, что </w:t>
      </w:r>
      <w:r w:rsidR="00C27ABC" w:rsidRPr="00D81064">
        <w:rPr>
          <w:lang w:val="ru-RU"/>
        </w:rPr>
        <w:t xml:space="preserve">запланированные работы по техническому обслуживанию </w:t>
      </w:r>
      <w:r w:rsidRPr="00D81064">
        <w:rPr>
          <w:lang w:val="ru-RU"/>
        </w:rPr>
        <w:t>здания "</w:t>
      </w:r>
      <w:proofErr w:type="spellStart"/>
      <w:r w:rsidRPr="00D81064">
        <w:rPr>
          <w:lang w:val="ru-RU"/>
        </w:rPr>
        <w:t>Монбрийан</w:t>
      </w:r>
      <w:proofErr w:type="spellEnd"/>
      <w:r w:rsidRPr="00D81064">
        <w:rPr>
          <w:lang w:val="ru-RU"/>
        </w:rPr>
        <w:t>" явля</w:t>
      </w:r>
      <w:r w:rsidR="00C27ABC" w:rsidRPr="00D81064">
        <w:rPr>
          <w:lang w:val="ru-RU"/>
        </w:rPr>
        <w:t>ю</w:t>
      </w:r>
      <w:r w:rsidRPr="00D81064">
        <w:rPr>
          <w:lang w:val="ru-RU"/>
        </w:rPr>
        <w:t>тся менее масштабн</w:t>
      </w:r>
      <w:r w:rsidR="00C27ABC" w:rsidRPr="00D81064">
        <w:rPr>
          <w:lang w:val="ru-RU"/>
        </w:rPr>
        <w:t>ыми</w:t>
      </w:r>
      <w:r w:rsidRPr="00D81064">
        <w:rPr>
          <w:lang w:val="ru-RU"/>
        </w:rPr>
        <w:t xml:space="preserve"> и, соответственно, менее затратн</w:t>
      </w:r>
      <w:r w:rsidR="00C27ABC" w:rsidRPr="00D81064">
        <w:rPr>
          <w:lang w:val="ru-RU"/>
        </w:rPr>
        <w:t>ыми</w:t>
      </w:r>
      <w:r w:rsidRPr="00D81064">
        <w:rPr>
          <w:lang w:val="ru-RU"/>
        </w:rPr>
        <w:t>, нежели работ</w:t>
      </w:r>
      <w:r w:rsidR="00C27ABC" w:rsidRPr="00D81064">
        <w:rPr>
          <w:lang w:val="ru-RU"/>
        </w:rPr>
        <w:t>ы</w:t>
      </w:r>
      <w:r w:rsidRPr="00D81064">
        <w:rPr>
          <w:lang w:val="ru-RU"/>
        </w:rPr>
        <w:t>, запланированн</w:t>
      </w:r>
      <w:r w:rsidR="00C27ABC" w:rsidRPr="00D81064">
        <w:rPr>
          <w:lang w:val="ru-RU"/>
        </w:rPr>
        <w:t>ые</w:t>
      </w:r>
      <w:r w:rsidRPr="00D81064">
        <w:rPr>
          <w:lang w:val="ru-RU"/>
        </w:rPr>
        <w:t xml:space="preserve"> для </w:t>
      </w:r>
      <w:r w:rsidR="00265407" w:rsidRPr="00D81064">
        <w:rPr>
          <w:lang w:val="ru-RU"/>
        </w:rPr>
        <w:t>комплекса</w:t>
      </w:r>
      <w:r w:rsidRPr="00D81064">
        <w:rPr>
          <w:lang w:val="ru-RU"/>
        </w:rPr>
        <w:t xml:space="preserve"> "Башня". Ожидается, что для строительных работ в </w:t>
      </w:r>
      <w:r w:rsidR="00265407" w:rsidRPr="00D81064">
        <w:rPr>
          <w:lang w:val="ru-RU"/>
        </w:rPr>
        <w:t>комплексе</w:t>
      </w:r>
      <w:r w:rsidRPr="00D81064">
        <w:rPr>
          <w:lang w:val="ru-RU"/>
        </w:rPr>
        <w:t xml:space="preserve"> "Башня" потребуются инвестиции в размере </w:t>
      </w:r>
      <w:r w:rsidR="00C27ABC" w:rsidRPr="00D81064">
        <w:rPr>
          <w:lang w:val="ru-RU"/>
        </w:rPr>
        <w:t xml:space="preserve">приблизительно </w:t>
      </w:r>
      <w:r w:rsidRPr="00D81064">
        <w:rPr>
          <w:lang w:val="ru-RU"/>
        </w:rPr>
        <w:t>7</w:t>
      </w:r>
      <w:r w:rsidR="00F53A11" w:rsidRPr="00D81064">
        <w:rPr>
          <w:lang w:val="ru-RU"/>
        </w:rPr>
        <w:t> </w:t>
      </w:r>
      <w:proofErr w:type="gramStart"/>
      <w:r w:rsidRPr="00D81064">
        <w:rPr>
          <w:lang w:val="ru-RU"/>
        </w:rPr>
        <w:t>млн.</w:t>
      </w:r>
      <w:proofErr w:type="gramEnd"/>
      <w:r w:rsidRPr="00D81064">
        <w:rPr>
          <w:lang w:val="ru-RU"/>
        </w:rPr>
        <w:t xml:space="preserve"> швейцарских франков в течение последующего десятилетия, в то время как в случае здания "</w:t>
      </w:r>
      <w:proofErr w:type="spellStart"/>
      <w:r w:rsidRPr="00D81064">
        <w:rPr>
          <w:lang w:val="ru-RU"/>
        </w:rPr>
        <w:t>Монбрийан</w:t>
      </w:r>
      <w:proofErr w:type="spellEnd"/>
      <w:r w:rsidRPr="00D81064">
        <w:rPr>
          <w:lang w:val="ru-RU"/>
        </w:rPr>
        <w:t xml:space="preserve">" на аналогичный период потребуется </w:t>
      </w:r>
      <w:r w:rsidR="00C27ABC" w:rsidRPr="00D81064">
        <w:rPr>
          <w:lang w:val="ru-RU"/>
        </w:rPr>
        <w:t xml:space="preserve">приблизительно </w:t>
      </w:r>
      <w:r w:rsidRPr="00D81064">
        <w:rPr>
          <w:lang w:val="ru-RU"/>
        </w:rPr>
        <w:t>3</w:t>
      </w:r>
      <w:r w:rsidR="00F53A11" w:rsidRPr="00D81064">
        <w:rPr>
          <w:lang w:val="ru-RU"/>
        </w:rPr>
        <w:t> </w:t>
      </w:r>
      <w:proofErr w:type="gramStart"/>
      <w:r w:rsidRPr="00D81064">
        <w:rPr>
          <w:lang w:val="ru-RU"/>
        </w:rPr>
        <w:t>млн.</w:t>
      </w:r>
      <w:proofErr w:type="gramEnd"/>
      <w:r w:rsidR="00F53A11" w:rsidRPr="00D81064">
        <w:rPr>
          <w:lang w:val="ru-RU"/>
        </w:rPr>
        <w:t> </w:t>
      </w:r>
      <w:r w:rsidRPr="00D81064">
        <w:rPr>
          <w:lang w:val="ru-RU"/>
        </w:rPr>
        <w:t>швейцарских франков.</w:t>
      </w:r>
    </w:p>
    <w:p w14:paraId="46F9A309" w14:textId="59DA9644" w:rsidR="00207F31" w:rsidRPr="00D81064" w:rsidRDefault="00207F31" w:rsidP="00207F31">
      <w:pPr>
        <w:rPr>
          <w:lang w:val="ru-RU"/>
        </w:rPr>
      </w:pPr>
      <w:r w:rsidRPr="00D81064">
        <w:rPr>
          <w:lang w:val="ru-RU"/>
        </w:rPr>
        <w:t>23.6</w:t>
      </w:r>
      <w:r w:rsidRPr="00D81064">
        <w:rPr>
          <w:lang w:val="ru-RU"/>
        </w:rPr>
        <w:tab/>
        <w:t xml:space="preserve">Представитель Подразделения по правовым вопросам, отвечая на вопросы Советников, </w:t>
      </w:r>
      <w:r w:rsidR="00265407" w:rsidRPr="00D81064">
        <w:rPr>
          <w:lang w:val="ru-RU"/>
        </w:rPr>
        <w:t>отметил</w:t>
      </w:r>
      <w:r w:rsidRPr="00D81064">
        <w:rPr>
          <w:lang w:val="ru-RU"/>
        </w:rPr>
        <w:t>, что положения</w:t>
      </w:r>
      <w:r w:rsidR="00265407" w:rsidRPr="00D81064">
        <w:rPr>
          <w:lang w:val="ru-RU"/>
        </w:rPr>
        <w:t xml:space="preserve"> </w:t>
      </w:r>
      <w:r w:rsidRPr="00D81064">
        <w:rPr>
          <w:lang w:val="ru-RU"/>
        </w:rPr>
        <w:t>Решения</w:t>
      </w:r>
      <w:r w:rsidR="00F26593" w:rsidRPr="00D81064">
        <w:rPr>
          <w:lang w:val="ru-RU"/>
        </w:rPr>
        <w:t> </w:t>
      </w:r>
      <w:r w:rsidRPr="00D81064">
        <w:rPr>
          <w:lang w:val="ru-RU"/>
        </w:rPr>
        <w:t>588 (C16)</w:t>
      </w:r>
      <w:r w:rsidR="00265407" w:rsidRPr="00D81064">
        <w:rPr>
          <w:lang w:val="ru-RU"/>
        </w:rPr>
        <w:t xml:space="preserve"> Совета</w:t>
      </w:r>
      <w:r w:rsidRPr="00D81064">
        <w:rPr>
          <w:lang w:val="ru-RU"/>
        </w:rPr>
        <w:t xml:space="preserve">, </w:t>
      </w:r>
      <w:r w:rsidR="00265407" w:rsidRPr="00D81064">
        <w:rPr>
          <w:lang w:val="ru-RU"/>
        </w:rPr>
        <w:t xml:space="preserve">Решения 619 (C19, последнее изменение C21) Совета, </w:t>
      </w:r>
      <w:r w:rsidRPr="00D81064">
        <w:rPr>
          <w:lang w:val="ru-RU"/>
        </w:rPr>
        <w:t>Решения 640 (C24) Совета и Резолюции 212 (</w:t>
      </w:r>
      <w:proofErr w:type="spellStart"/>
      <w:r w:rsidRPr="00D81064">
        <w:rPr>
          <w:lang w:val="ru-RU"/>
        </w:rPr>
        <w:t>Пересм</w:t>
      </w:r>
      <w:proofErr w:type="spellEnd"/>
      <w:r w:rsidRPr="00D81064">
        <w:rPr>
          <w:lang w:val="ru-RU"/>
        </w:rPr>
        <w:t>. Бухарест, 2022</w:t>
      </w:r>
      <w:r w:rsidR="00F26593" w:rsidRPr="00D81064">
        <w:rPr>
          <w:lang w:val="ru-RU"/>
        </w:rPr>
        <w:t> </w:t>
      </w:r>
      <w:r w:rsidRPr="00D81064">
        <w:rPr>
          <w:lang w:val="ru-RU"/>
        </w:rPr>
        <w:t>г.) Полномочной конференции</w:t>
      </w:r>
      <w:r w:rsidR="005D4E0D" w:rsidRPr="00D81064">
        <w:rPr>
          <w:lang w:val="ru-RU"/>
        </w:rPr>
        <w:t xml:space="preserve">, возможно, целесообразно дополнительно согласовать </w:t>
      </w:r>
      <w:r w:rsidR="00265407" w:rsidRPr="00D81064">
        <w:rPr>
          <w:lang w:val="ru-RU"/>
        </w:rPr>
        <w:t>с учетом последующих изменени</w:t>
      </w:r>
      <w:r w:rsidR="005D4E0D" w:rsidRPr="00D81064">
        <w:rPr>
          <w:lang w:val="ru-RU"/>
        </w:rPr>
        <w:t>й</w:t>
      </w:r>
      <w:r w:rsidR="00265407" w:rsidRPr="00D81064">
        <w:rPr>
          <w:lang w:val="ru-RU"/>
        </w:rPr>
        <w:t xml:space="preserve"> в </w:t>
      </w:r>
      <w:r w:rsidR="005D4E0D" w:rsidRPr="00D81064">
        <w:rPr>
          <w:lang w:val="ru-RU"/>
        </w:rPr>
        <w:t xml:space="preserve">рамках </w:t>
      </w:r>
      <w:r w:rsidR="00265407" w:rsidRPr="00D81064">
        <w:rPr>
          <w:lang w:val="ru-RU"/>
        </w:rPr>
        <w:t>проект</w:t>
      </w:r>
      <w:r w:rsidR="005D4E0D" w:rsidRPr="00D81064">
        <w:rPr>
          <w:lang w:val="ru-RU"/>
        </w:rPr>
        <w:t>а</w:t>
      </w:r>
      <w:r w:rsidR="00265407" w:rsidRPr="00D81064">
        <w:rPr>
          <w:lang w:val="ru-RU"/>
        </w:rPr>
        <w:t>, связанно</w:t>
      </w:r>
      <w:r w:rsidR="005D4E0D" w:rsidRPr="00D81064">
        <w:rPr>
          <w:lang w:val="ru-RU"/>
        </w:rPr>
        <w:t>го</w:t>
      </w:r>
      <w:r w:rsidR="00265407" w:rsidRPr="00D81064">
        <w:rPr>
          <w:lang w:val="ru-RU"/>
        </w:rPr>
        <w:t xml:space="preserve"> с помещениями штаб-квартиры, в том числе в </w:t>
      </w:r>
      <w:r w:rsidRPr="00D81064">
        <w:rPr>
          <w:lang w:val="ru-RU"/>
        </w:rPr>
        <w:t>отношении потенциальной продажи</w:t>
      </w:r>
      <w:r w:rsidR="00265407" w:rsidRPr="00D81064">
        <w:rPr>
          <w:lang w:val="ru-RU"/>
        </w:rPr>
        <w:t xml:space="preserve"> комплекса</w:t>
      </w:r>
      <w:r w:rsidRPr="00D81064">
        <w:rPr>
          <w:lang w:val="ru-RU"/>
        </w:rPr>
        <w:t xml:space="preserve"> "Башня". Согласно последним руководящим указаниям Совета, полученным </w:t>
      </w:r>
      <w:r w:rsidR="00373264" w:rsidRPr="00D81064">
        <w:rPr>
          <w:lang w:val="ru-RU"/>
        </w:rPr>
        <w:t>Секретариатом</w:t>
      </w:r>
      <w:r w:rsidRPr="00D81064">
        <w:rPr>
          <w:lang w:val="ru-RU"/>
        </w:rPr>
        <w:t>, в соответствии с Решением</w:t>
      </w:r>
      <w:r w:rsidR="00F26593" w:rsidRPr="00D81064">
        <w:rPr>
          <w:lang w:val="ru-RU"/>
        </w:rPr>
        <w:t> </w:t>
      </w:r>
      <w:r w:rsidRPr="00D81064">
        <w:rPr>
          <w:lang w:val="ru-RU"/>
        </w:rPr>
        <w:t xml:space="preserve">640 (C24) Совету поручено провести исследования, охватывающие весь комплекс зданий МСЭ в Женеве, включая </w:t>
      </w:r>
      <w:r w:rsidR="00265407" w:rsidRPr="00D81064">
        <w:rPr>
          <w:lang w:val="ru-RU"/>
        </w:rPr>
        <w:t>комплекс</w:t>
      </w:r>
      <w:r w:rsidRPr="00D81064">
        <w:rPr>
          <w:lang w:val="ru-RU"/>
        </w:rPr>
        <w:t xml:space="preserve"> "Башня". В связи с этим </w:t>
      </w:r>
      <w:r w:rsidR="00373264" w:rsidRPr="00D81064">
        <w:rPr>
          <w:lang w:val="ru-RU"/>
        </w:rPr>
        <w:t xml:space="preserve">Секретариат </w:t>
      </w:r>
      <w:r w:rsidRPr="00D81064">
        <w:rPr>
          <w:lang w:val="ru-RU"/>
        </w:rPr>
        <w:t>указал, что положения Решения</w:t>
      </w:r>
      <w:r w:rsidR="007C6049" w:rsidRPr="00D81064">
        <w:rPr>
          <w:lang w:val="ru-RU"/>
        </w:rPr>
        <w:t> </w:t>
      </w:r>
      <w:r w:rsidRPr="00D81064">
        <w:rPr>
          <w:lang w:val="ru-RU"/>
        </w:rPr>
        <w:t xml:space="preserve">588 (C16) были заменены положениями Решения 640 (C24). Однако данное мнение </w:t>
      </w:r>
      <w:r w:rsidR="005D4E0D" w:rsidRPr="00D81064">
        <w:rPr>
          <w:lang w:val="ru-RU"/>
        </w:rPr>
        <w:t xml:space="preserve">было выражено без ущерба для </w:t>
      </w:r>
      <w:r w:rsidRPr="00D81064">
        <w:rPr>
          <w:lang w:val="ru-RU"/>
        </w:rPr>
        <w:t>прерогатив</w:t>
      </w:r>
      <w:r w:rsidR="005D4E0D" w:rsidRPr="00D81064">
        <w:rPr>
          <w:lang w:val="ru-RU"/>
        </w:rPr>
        <w:t>ы</w:t>
      </w:r>
      <w:r w:rsidRPr="00D81064">
        <w:rPr>
          <w:lang w:val="ru-RU"/>
        </w:rPr>
        <w:t xml:space="preserve"> Государств-Членов решать вопрос о том, следует ли пересм</w:t>
      </w:r>
      <w:r w:rsidR="005D4E0D" w:rsidRPr="00D81064">
        <w:rPr>
          <w:lang w:val="ru-RU"/>
        </w:rPr>
        <w:t xml:space="preserve">отреть </w:t>
      </w:r>
      <w:r w:rsidRPr="00D81064">
        <w:rPr>
          <w:lang w:val="ru-RU"/>
        </w:rPr>
        <w:t>Резолюцию 212 (</w:t>
      </w:r>
      <w:proofErr w:type="spellStart"/>
      <w:r w:rsidRPr="00D81064">
        <w:rPr>
          <w:lang w:val="ru-RU"/>
        </w:rPr>
        <w:t>Пересм</w:t>
      </w:r>
      <w:proofErr w:type="spellEnd"/>
      <w:r w:rsidRPr="00D81064">
        <w:rPr>
          <w:lang w:val="ru-RU"/>
        </w:rPr>
        <w:t>. Бухарест, 2022 г.) на ПК-26, чтобы разрешить эту ситуацию</w:t>
      </w:r>
      <w:r w:rsidR="005D4E0D" w:rsidRPr="00D81064">
        <w:rPr>
          <w:lang w:val="ru-RU"/>
        </w:rPr>
        <w:t>, и каким образом это сделать</w:t>
      </w:r>
      <w:r w:rsidRPr="00D81064">
        <w:rPr>
          <w:lang w:val="ru-RU"/>
        </w:rPr>
        <w:t>.</w:t>
      </w:r>
    </w:p>
    <w:p w14:paraId="71F063E3" w14:textId="3C0008DC" w:rsidR="00207F31" w:rsidRPr="00D81064" w:rsidRDefault="00207F31" w:rsidP="00207F31">
      <w:pPr>
        <w:rPr>
          <w:rFonts w:eastAsia="Calibri" w:cs="Calibri"/>
          <w:lang w:val="ru-RU"/>
        </w:rPr>
      </w:pPr>
      <w:r w:rsidRPr="00D81064">
        <w:rPr>
          <w:lang w:val="ru-RU"/>
        </w:rPr>
        <w:lastRenderedPageBreak/>
        <w:t>23.7</w:t>
      </w:r>
      <w:r w:rsidRPr="00D81064">
        <w:rPr>
          <w:lang w:val="ru-RU"/>
        </w:rPr>
        <w:tab/>
        <w:t>Заместитель Генерального секретаря выразил признательность Швейцарии как принимающей стране МСЭ за ее поддержку проекта строительства здания и за стратегическое согласование таких вопросов, как обеспечение безопасности комплекса зданий. Он поблагодарил Государства-Члены за поддержку предложенного технико-экономического обоснования и потенциального сотрудничества с другими международными организациями в Женеве. Для эффективного и оптимального использования существующих активов МСЭ на благо членов, возможно, было бы целесообразно рассмотреть вопрос о совместном использовании помещений и возмещении затрат. Он отметил, что независимый эксперт консультировал руководящий состав МСЭ по вопросам службы эксплуатации зданий</w:t>
      </w:r>
      <w:r w:rsidR="00421781" w:rsidRPr="00D81064">
        <w:rPr>
          <w:lang w:val="ru-RU"/>
        </w:rPr>
        <w:t xml:space="preserve"> и сооружений в связи с проектом, связанным с помещениями штаб-квартиры; работа службы</w:t>
      </w:r>
      <w:r w:rsidRPr="00D81064">
        <w:rPr>
          <w:lang w:val="ru-RU"/>
        </w:rPr>
        <w:t xml:space="preserve"> постоянно совершенствуется.</w:t>
      </w:r>
    </w:p>
    <w:p w14:paraId="2E34F094" w14:textId="77777777" w:rsidR="00207F31" w:rsidRPr="00D81064" w:rsidRDefault="00207F31" w:rsidP="00207F31">
      <w:pPr>
        <w:rPr>
          <w:rFonts w:eastAsia="Calibri" w:cs="Calibri"/>
          <w:szCs w:val="24"/>
          <w:lang w:val="ru-RU"/>
        </w:rPr>
      </w:pPr>
      <w:r w:rsidRPr="00D81064">
        <w:rPr>
          <w:lang w:val="ru-RU"/>
        </w:rPr>
        <w:t>23.8</w:t>
      </w:r>
      <w:r w:rsidRPr="00D81064">
        <w:rPr>
          <w:lang w:val="ru-RU"/>
        </w:rPr>
        <w:tab/>
        <w:t xml:space="preserve">Комитет </w:t>
      </w:r>
      <w:r w:rsidRPr="00D81064">
        <w:rPr>
          <w:b/>
          <w:bCs/>
          <w:lang w:val="ru-RU"/>
        </w:rPr>
        <w:t>принял решение</w:t>
      </w:r>
      <w:r w:rsidRPr="00D81064">
        <w:rPr>
          <w:lang w:val="ru-RU"/>
        </w:rPr>
        <w:t xml:space="preserve"> сделать по данному вопросу следующее заключение:</w:t>
      </w:r>
    </w:p>
    <w:p w14:paraId="3FFE3402" w14:textId="77777777" w:rsidR="00207F31" w:rsidRPr="00D81064" w:rsidRDefault="00207F31" w:rsidP="00207F31">
      <w:pPr>
        <w:keepNext/>
        <w:pBdr>
          <w:top w:val="single" w:sz="4" w:space="1" w:color="auto"/>
          <w:left w:val="single" w:sz="4" w:space="4" w:color="auto"/>
          <w:bottom w:val="single" w:sz="4" w:space="1" w:color="auto"/>
          <w:right w:val="single" w:sz="4" w:space="4" w:color="auto"/>
        </w:pBdr>
        <w:rPr>
          <w:lang w:val="ru-RU"/>
        </w:rPr>
      </w:pPr>
      <w:r w:rsidRPr="00D81064">
        <w:rPr>
          <w:lang w:val="ru-RU"/>
        </w:rPr>
        <w:t>23.9</w:t>
      </w:r>
      <w:r w:rsidRPr="00D81064">
        <w:rPr>
          <w:lang w:val="ru-RU"/>
        </w:rPr>
        <w:tab/>
        <w:t>Комитет рекомендует Совету:</w:t>
      </w:r>
    </w:p>
    <w:p w14:paraId="161E0D31" w14:textId="77777777" w:rsidR="00207F31" w:rsidRPr="00D81064" w:rsidRDefault="00207F31" w:rsidP="00207F31">
      <w:pPr>
        <w:pStyle w:val="enumlev1"/>
        <w:keepNext/>
        <w:pBdr>
          <w:top w:val="single" w:sz="4" w:space="1" w:color="auto"/>
          <w:left w:val="single" w:sz="4" w:space="4" w:color="auto"/>
          <w:bottom w:val="single" w:sz="4" w:space="1" w:color="auto"/>
          <w:right w:val="single" w:sz="4" w:space="4" w:color="auto"/>
        </w:pBdr>
        <w:rPr>
          <w:rFonts w:eastAsia="Calibri" w:cs="Calibri"/>
          <w:szCs w:val="24"/>
          <w:lang w:val="ru-RU"/>
        </w:rPr>
      </w:pPr>
      <w:r w:rsidRPr="00D81064">
        <w:rPr>
          <w:lang w:val="ru-RU"/>
        </w:rPr>
        <w:t>•</w:t>
      </w:r>
      <w:r w:rsidRPr="00D81064">
        <w:rPr>
          <w:lang w:val="ru-RU"/>
        </w:rPr>
        <w:tab/>
        <w:t xml:space="preserve">принять к сведению отчет, содержащийся в Документе </w:t>
      </w:r>
      <w:hyperlink r:id="rId146" w:history="1">
        <w:r w:rsidRPr="00D81064">
          <w:rPr>
            <w:rStyle w:val="Hyperlink"/>
            <w:lang w:val="ru-RU"/>
          </w:rPr>
          <w:t>C26/63</w:t>
        </w:r>
      </w:hyperlink>
      <w:r w:rsidRPr="00D81064">
        <w:rPr>
          <w:lang w:val="ru-RU"/>
        </w:rPr>
        <w:t>, и замечания, сделанные в ходе собрания;</w:t>
      </w:r>
      <w:hyperlink r:id="rId147" w:history="1"/>
    </w:p>
    <w:p w14:paraId="19ECC9D3" w14:textId="1C848806" w:rsidR="00207F31" w:rsidRPr="00D81064" w:rsidRDefault="00207F31" w:rsidP="00207F31">
      <w:pPr>
        <w:pStyle w:val="enumlev1"/>
        <w:keepNext/>
        <w:pBdr>
          <w:top w:val="single" w:sz="4" w:space="1" w:color="auto"/>
          <w:left w:val="single" w:sz="4" w:space="4" w:color="auto"/>
          <w:bottom w:val="single" w:sz="4" w:space="1" w:color="auto"/>
          <w:right w:val="single" w:sz="4" w:space="4" w:color="auto"/>
        </w:pBdr>
        <w:rPr>
          <w:lang w:val="ru-RU"/>
        </w:rPr>
      </w:pPr>
      <w:r w:rsidRPr="00D81064">
        <w:rPr>
          <w:lang w:val="ru-RU"/>
        </w:rPr>
        <w:t>•</w:t>
      </w:r>
      <w:r w:rsidRPr="00D81064">
        <w:rPr>
          <w:lang w:val="ru-RU"/>
        </w:rPr>
        <w:tab/>
        <w:t xml:space="preserve">поручить </w:t>
      </w:r>
      <w:r w:rsidR="00F26593" w:rsidRPr="00D81064">
        <w:rPr>
          <w:lang w:val="ru-RU"/>
        </w:rPr>
        <w:t xml:space="preserve">Секретариату </w:t>
      </w:r>
      <w:r w:rsidR="00C27ABC" w:rsidRPr="00D81064">
        <w:rPr>
          <w:lang w:val="ru-RU"/>
        </w:rPr>
        <w:t xml:space="preserve">реализовать предложенный план, включая </w:t>
      </w:r>
      <w:r w:rsidRPr="00D81064">
        <w:rPr>
          <w:lang w:val="ru-RU"/>
        </w:rPr>
        <w:t>технико-экономическо</w:t>
      </w:r>
      <w:r w:rsidR="00C27ABC" w:rsidRPr="00D81064">
        <w:rPr>
          <w:lang w:val="ru-RU"/>
        </w:rPr>
        <w:t>е</w:t>
      </w:r>
      <w:r w:rsidRPr="00D81064">
        <w:rPr>
          <w:lang w:val="ru-RU"/>
        </w:rPr>
        <w:t xml:space="preserve"> обоснование</w:t>
      </w:r>
      <w:r w:rsidR="00C27ABC" w:rsidRPr="00D81064">
        <w:rPr>
          <w:lang w:val="ru-RU"/>
        </w:rPr>
        <w:t>, для реконструкции комплекса "Башня"</w:t>
      </w:r>
      <w:r w:rsidRPr="00D81064">
        <w:rPr>
          <w:lang w:val="ru-RU"/>
        </w:rPr>
        <w:t>;</w:t>
      </w:r>
    </w:p>
    <w:p w14:paraId="2D0904BE" w14:textId="4ECAB00E" w:rsidR="001D3B2D" w:rsidRPr="00D81064" w:rsidRDefault="001D3B2D" w:rsidP="00207F31">
      <w:pPr>
        <w:pStyle w:val="enumlev1"/>
        <w:keepNext/>
        <w:pBdr>
          <w:top w:val="single" w:sz="4" w:space="1" w:color="auto"/>
          <w:left w:val="single" w:sz="4" w:space="4" w:color="auto"/>
          <w:bottom w:val="single" w:sz="4" w:space="1" w:color="auto"/>
          <w:right w:val="single" w:sz="4" w:space="4" w:color="auto"/>
        </w:pBdr>
        <w:rPr>
          <w:lang w:val="ru-RU"/>
        </w:rPr>
      </w:pPr>
      <w:r w:rsidRPr="00D81064">
        <w:rPr>
          <w:lang w:val="ru-RU"/>
        </w:rPr>
        <w:t>•</w:t>
      </w:r>
      <w:r w:rsidRPr="00D81064">
        <w:rPr>
          <w:lang w:val="ru-RU"/>
        </w:rPr>
        <w:tab/>
        <w:t xml:space="preserve">поручить </w:t>
      </w:r>
      <w:r w:rsidR="00B31145" w:rsidRPr="00D81064">
        <w:rPr>
          <w:lang w:val="ru-RU"/>
        </w:rPr>
        <w:t xml:space="preserve">Секретариату </w:t>
      </w:r>
      <w:r w:rsidRPr="00D81064">
        <w:rPr>
          <w:lang w:val="ru-RU"/>
        </w:rPr>
        <w:t>представить отчет о существующей практике административно-хозяйственного управления в МСЭ;</w:t>
      </w:r>
    </w:p>
    <w:p w14:paraId="2C075FE5" w14:textId="1E495D25" w:rsidR="00207F31" w:rsidRPr="00D81064" w:rsidRDefault="00207F31" w:rsidP="00207F31">
      <w:pPr>
        <w:pStyle w:val="enumlev1"/>
        <w:pBdr>
          <w:top w:val="single" w:sz="4" w:space="1" w:color="auto"/>
          <w:left w:val="single" w:sz="4" w:space="4" w:color="auto"/>
          <w:bottom w:val="single" w:sz="4" w:space="1" w:color="auto"/>
          <w:right w:val="single" w:sz="4" w:space="4" w:color="auto"/>
        </w:pBdr>
        <w:rPr>
          <w:lang w:val="ru-RU"/>
        </w:rPr>
      </w:pPr>
      <w:r w:rsidRPr="00D81064">
        <w:rPr>
          <w:lang w:val="ru-RU"/>
        </w:rPr>
        <w:t>•</w:t>
      </w:r>
      <w:r w:rsidRPr="00D81064">
        <w:rPr>
          <w:lang w:val="ru-RU"/>
        </w:rPr>
        <w:tab/>
        <w:t>предложить Государствам-Членам представить Полномочной конференции (Доха, 2026</w:t>
      </w:r>
      <w:r w:rsidR="00F74DF7" w:rsidRPr="00D81064">
        <w:rPr>
          <w:lang w:val="ru-RU"/>
        </w:rPr>
        <w:t> </w:t>
      </w:r>
      <w:r w:rsidRPr="00D81064">
        <w:rPr>
          <w:lang w:val="ru-RU"/>
        </w:rPr>
        <w:t>г.) вклады, направленные на приведение Резолюции 212 (</w:t>
      </w:r>
      <w:proofErr w:type="spellStart"/>
      <w:r w:rsidRPr="00D81064">
        <w:rPr>
          <w:lang w:val="ru-RU"/>
        </w:rPr>
        <w:t>Пересм</w:t>
      </w:r>
      <w:proofErr w:type="spellEnd"/>
      <w:r w:rsidRPr="00D81064">
        <w:rPr>
          <w:lang w:val="ru-RU"/>
        </w:rPr>
        <w:t>. Бухарест, 2022 г.) в соответствие с последними изменениями в рамках проекта строительства помещений штаб-квартиры.</w:t>
      </w:r>
    </w:p>
    <w:p w14:paraId="4173CA13" w14:textId="6F7E5882" w:rsidR="007A3D38" w:rsidRPr="00D81064" w:rsidRDefault="007A3D38" w:rsidP="007A3D38">
      <w:pPr>
        <w:pStyle w:val="Heading1"/>
        <w:rPr>
          <w:lang w:val="ru-RU"/>
        </w:rPr>
      </w:pPr>
      <w:r w:rsidRPr="00D81064">
        <w:rPr>
          <w:lang w:val="ru-RU"/>
        </w:rPr>
        <w:t>24</w:t>
      </w:r>
      <w:r w:rsidRPr="00D81064">
        <w:rPr>
          <w:lang w:val="ru-RU"/>
        </w:rPr>
        <w:tab/>
        <w:t>Обновленная информация об обеспечении непрерывности деятельности в период строительства нового здания МСЭ (Документ </w:t>
      </w:r>
      <w:hyperlink r:id="rId148" w:history="1">
        <w:r w:rsidRPr="00D81064">
          <w:rPr>
            <w:rStyle w:val="Hyperlink"/>
            <w:bCs/>
            <w:lang w:val="ru-RU"/>
          </w:rPr>
          <w:t>C26/65</w:t>
        </w:r>
      </w:hyperlink>
      <w:r w:rsidRPr="00D81064">
        <w:rPr>
          <w:lang w:val="ru-RU"/>
        </w:rPr>
        <w:t>)</w:t>
      </w:r>
      <w:hyperlink r:id="rId149" w:history="1"/>
    </w:p>
    <w:p w14:paraId="121C06CF" w14:textId="13750EF5" w:rsidR="007A3D38" w:rsidRPr="00D81064" w:rsidRDefault="00D81064" w:rsidP="00D81064">
      <w:pPr>
        <w:pStyle w:val="Headingb"/>
        <w:ind w:left="794" w:hanging="794"/>
        <w:rPr>
          <w:bCs/>
          <w:sz w:val="26"/>
          <w:szCs w:val="26"/>
          <w:lang w:val="ru-RU"/>
        </w:rPr>
      </w:pPr>
      <w:r w:rsidRPr="00D81064">
        <w:rPr>
          <w:sz w:val="26"/>
          <w:szCs w:val="26"/>
          <w:lang w:val="ru-RU"/>
        </w:rPr>
        <w:tab/>
      </w:r>
      <w:r w:rsidR="007A3D38" w:rsidRPr="00D81064">
        <w:rPr>
          <w:sz w:val="26"/>
          <w:szCs w:val="26"/>
          <w:lang w:val="ru-RU"/>
        </w:rPr>
        <w:t>Обеспечение</w:t>
      </w:r>
      <w:r w:rsidR="007A3D38" w:rsidRPr="00D81064">
        <w:rPr>
          <w:bCs/>
          <w:sz w:val="26"/>
          <w:szCs w:val="26"/>
          <w:lang w:val="ru-RU"/>
        </w:rPr>
        <w:t xml:space="preserve"> непрерывности деятельности собраний рабочих групп Совета (Документ </w:t>
      </w:r>
      <w:hyperlink r:id="rId150" w:history="1">
        <w:r w:rsidR="007A3D38" w:rsidRPr="00D81064">
          <w:rPr>
            <w:rStyle w:val="Hyperlink"/>
            <w:bCs/>
            <w:sz w:val="26"/>
            <w:szCs w:val="26"/>
            <w:lang w:val="ru-RU"/>
          </w:rPr>
          <w:t>C26/105</w:t>
        </w:r>
      </w:hyperlink>
      <w:r w:rsidR="007A3D38" w:rsidRPr="00D81064">
        <w:rPr>
          <w:bCs/>
          <w:sz w:val="26"/>
          <w:szCs w:val="26"/>
          <w:lang w:val="ru-RU"/>
        </w:rPr>
        <w:t>)</w:t>
      </w:r>
      <w:hyperlink r:id="rId151" w:history="1"/>
    </w:p>
    <w:p w14:paraId="583DE6C0" w14:textId="0CCB8C06" w:rsidR="007A3D38" w:rsidRPr="00D81064" w:rsidRDefault="00D81064" w:rsidP="00D81064">
      <w:pPr>
        <w:pStyle w:val="Headingb"/>
        <w:ind w:left="794" w:hanging="794"/>
        <w:rPr>
          <w:sz w:val="26"/>
          <w:szCs w:val="26"/>
          <w:lang w:val="ru-RU"/>
        </w:rPr>
      </w:pPr>
      <w:r w:rsidRPr="00D81064">
        <w:rPr>
          <w:sz w:val="26"/>
          <w:szCs w:val="26"/>
          <w:lang w:val="ru-RU"/>
        </w:rPr>
        <w:tab/>
      </w:r>
      <w:r w:rsidR="007A3D38" w:rsidRPr="00D81064">
        <w:rPr>
          <w:sz w:val="26"/>
          <w:szCs w:val="26"/>
          <w:lang w:val="ru-RU"/>
        </w:rPr>
        <w:t xml:space="preserve">Предлагаемые сроки и продолжительность сессий Совета 2027, 2028 и 2029 годов, а также серии собраний РГС на период </w:t>
      </w:r>
      <w:proofErr w:type="gramStart"/>
      <w:r w:rsidR="007A3D38" w:rsidRPr="00D81064">
        <w:rPr>
          <w:sz w:val="26"/>
          <w:szCs w:val="26"/>
          <w:lang w:val="ru-RU"/>
        </w:rPr>
        <w:t>2027−2029</w:t>
      </w:r>
      <w:proofErr w:type="gramEnd"/>
      <w:r w:rsidR="007A3D38" w:rsidRPr="00D81064">
        <w:rPr>
          <w:sz w:val="26"/>
          <w:szCs w:val="26"/>
          <w:lang w:val="ru-RU"/>
        </w:rPr>
        <w:t> годов (Документ </w:t>
      </w:r>
      <w:hyperlink r:id="rId152" w:history="1">
        <w:r w:rsidR="007A3D38" w:rsidRPr="00D81064">
          <w:rPr>
            <w:rStyle w:val="Hyperlink"/>
            <w:sz w:val="26"/>
            <w:szCs w:val="26"/>
            <w:lang w:val="ru-RU"/>
          </w:rPr>
          <w:t>C26/106</w:t>
        </w:r>
      </w:hyperlink>
      <w:r w:rsidR="007A3D38" w:rsidRPr="00D81064">
        <w:rPr>
          <w:sz w:val="26"/>
          <w:szCs w:val="26"/>
          <w:lang w:val="ru-RU"/>
        </w:rPr>
        <w:t>)</w:t>
      </w:r>
      <w:hyperlink r:id="rId153" w:history="1"/>
    </w:p>
    <w:p w14:paraId="59CA2C64" w14:textId="32DE1C81" w:rsidR="007A3D38" w:rsidRPr="00D81064" w:rsidRDefault="007A3D38" w:rsidP="007A3D38">
      <w:pPr>
        <w:rPr>
          <w:lang w:val="ru-RU"/>
        </w:rPr>
      </w:pPr>
      <w:r w:rsidRPr="00D81064">
        <w:rPr>
          <w:lang w:val="ru-RU"/>
        </w:rPr>
        <w:t>24.1</w:t>
      </w:r>
      <w:r w:rsidRPr="00D81064">
        <w:rPr>
          <w:lang w:val="ru-RU"/>
        </w:rPr>
        <w:tab/>
        <w:t xml:space="preserve">Представитель Генерального секретариата представил Документ C26/65, основное внимание в котором уделяется механизмам обеспечения непрерывности деятельности для собраний МСЭ, которые должны состояться в 2028 и 2029 годах в период </w:t>
      </w:r>
      <w:r w:rsidR="00267E7D" w:rsidRPr="00D81064">
        <w:rPr>
          <w:lang w:val="ru-RU"/>
        </w:rPr>
        <w:t xml:space="preserve">наиболее шумных работ по </w:t>
      </w:r>
      <w:r w:rsidRPr="00D81064">
        <w:rPr>
          <w:lang w:val="ru-RU"/>
        </w:rPr>
        <w:t>строительств</w:t>
      </w:r>
      <w:r w:rsidR="00267E7D" w:rsidRPr="00D81064">
        <w:rPr>
          <w:lang w:val="ru-RU"/>
        </w:rPr>
        <w:t>у</w:t>
      </w:r>
      <w:r w:rsidRPr="00D81064">
        <w:rPr>
          <w:lang w:val="ru-RU"/>
        </w:rPr>
        <w:t xml:space="preserve"> здания штаб-квартиры МСЭ, а также сообщил дополнительную информацию о различных вариантах проведения собраний в этот период и соответствующих финансовых последствиях.</w:t>
      </w:r>
    </w:p>
    <w:p w14:paraId="3C15CD99" w14:textId="4A948E20" w:rsidR="007A3D38" w:rsidRPr="00D81064" w:rsidRDefault="007A3D38" w:rsidP="007A3D38">
      <w:pPr>
        <w:rPr>
          <w:lang w:val="ru-RU"/>
        </w:rPr>
      </w:pPr>
      <w:r w:rsidRPr="00D81064">
        <w:rPr>
          <w:lang w:val="ru-RU"/>
        </w:rPr>
        <w:t>24.2</w:t>
      </w:r>
      <w:r w:rsidRPr="00D81064">
        <w:rPr>
          <w:lang w:val="ru-RU"/>
        </w:rPr>
        <w:tab/>
        <w:t>Советник от Марокко представил содержащийся в Документе C26/105 вклад группы стран об обеспечении непрерывности деятельности собраний рабочих групп Совета (РГС), в котором подчеркивается необходимость принятия Советом надлежащих мер для обеспечения непрерывности работы РГС, учитывая их ключевую роль в поддержке процессов принятия решений в рамках Совета. Он также представил содержащийся в Документе C26/106 вклад группы стран по вопросу проведения сессий Совета и серии собраний РГС в 2027</w:t>
      </w:r>
      <w:r w:rsidR="009B5A3A" w:rsidRPr="00D81064">
        <w:rPr>
          <w:lang w:val="ru-RU"/>
        </w:rPr>
        <w:t>−</w:t>
      </w:r>
      <w:r w:rsidRPr="00D81064">
        <w:rPr>
          <w:lang w:val="ru-RU"/>
        </w:rPr>
        <w:t>2029</w:t>
      </w:r>
      <w:r w:rsidR="009B5A3A" w:rsidRPr="00D81064">
        <w:rPr>
          <w:lang w:val="ru-RU"/>
        </w:rPr>
        <w:t> </w:t>
      </w:r>
      <w:r w:rsidRPr="00D81064">
        <w:rPr>
          <w:lang w:val="ru-RU"/>
        </w:rPr>
        <w:t xml:space="preserve">годах, в котором рассматриваются вероятные правовые, оперативные и финансовые ограничения, </w:t>
      </w:r>
      <w:r w:rsidRPr="00D81064">
        <w:rPr>
          <w:lang w:val="ru-RU"/>
        </w:rPr>
        <w:lastRenderedPageBreak/>
        <w:t xml:space="preserve">возникающие в связи с реализацией проекта строительства, и сопутствующие институциональные риски, а Совету предлагается принять меры для обеспечения непрерывности деятельности в максимально благоприятных условиях в соответствии с установленными требованиями и бюджетными ограничениями. </w:t>
      </w:r>
    </w:p>
    <w:p w14:paraId="2B7D352F" w14:textId="594217C1" w:rsidR="007A3D38" w:rsidRPr="00D81064" w:rsidRDefault="007A3D38" w:rsidP="007A3D38">
      <w:pPr>
        <w:rPr>
          <w:lang w:val="ru-RU"/>
        </w:rPr>
      </w:pPr>
      <w:r w:rsidRPr="00D81064">
        <w:rPr>
          <w:lang w:val="ru-RU"/>
        </w:rPr>
        <w:t>24.3</w:t>
      </w:r>
      <w:r w:rsidRPr="00D81064">
        <w:rPr>
          <w:lang w:val="ru-RU"/>
        </w:rPr>
        <w:tab/>
        <w:t xml:space="preserve">Советники приветствовали обновленную информацию, представленную </w:t>
      </w:r>
      <w:r w:rsidR="00373264" w:rsidRPr="00D81064">
        <w:rPr>
          <w:lang w:val="ru-RU"/>
        </w:rPr>
        <w:t>Секретариатом</w:t>
      </w:r>
      <w:r w:rsidRPr="00D81064">
        <w:rPr>
          <w:lang w:val="ru-RU"/>
        </w:rPr>
        <w:t xml:space="preserve">, и практический подход к обеспечению непрерывности деятельности Союза в этот сложный и трудный период. Была выражена признательность за предоставленную Швейцарской Конфедерацией двухлетнюю отсрочку погашения ссуды и за направление сэкономленных средств в фонд обеспечения непрерывности деятельности. Несмотря на имеющиеся трудности, крайне важно, чтобы </w:t>
      </w:r>
      <w:r w:rsidR="00373264" w:rsidRPr="00D81064">
        <w:rPr>
          <w:lang w:val="ru-RU"/>
        </w:rPr>
        <w:t xml:space="preserve">Секретариат </w:t>
      </w:r>
      <w:r w:rsidRPr="00D81064">
        <w:rPr>
          <w:lang w:val="ru-RU"/>
        </w:rPr>
        <w:t>подготовил четкий план обеспечения непрерывности деятельности для представления на ПК-26.</w:t>
      </w:r>
    </w:p>
    <w:p w14:paraId="7D6E144D" w14:textId="77777777" w:rsidR="007A3D38" w:rsidRPr="00D81064" w:rsidRDefault="007A3D38" w:rsidP="007A3D38">
      <w:pPr>
        <w:rPr>
          <w:lang w:val="ru-RU"/>
        </w:rPr>
      </w:pPr>
      <w:r w:rsidRPr="00D81064">
        <w:rPr>
          <w:lang w:val="ru-RU"/>
        </w:rPr>
        <w:t>24.4</w:t>
      </w:r>
      <w:r w:rsidRPr="00D81064">
        <w:rPr>
          <w:lang w:val="ru-RU"/>
        </w:rPr>
        <w:tab/>
        <w:t>Несколько Советников подчеркнули необходимость обеспечения экономической эффективности и предсказуемости предлагаемых мер, особенно с учетом ограниченного количества доступных помещений для проведения собраний и финансовых последствий использования площадок вне Союза. Секретариату следует продолжить изучение имеющихся вариантов, включая возможность совместного использования помещений с другими международными организациями, базирующимися в Женеве. Некоторые Советники высказали мнение, что подготовка к этапу строительства дает возможность творчески подойти к вопросу организации собраний Союза и рассмотреть возможность внесения изменений, таких как использование некоторых элементов смешанных форматов проведения собраний. Ряд Советников выразили решительную поддержку идее сохранения двух ежегодных собраний РГС на протяжении всего периода, даже если текущая практика проведения блоков собраний окажется неприемлемой. РГС, будучи открытыми для всех Государств-Членов, являются форумами, которые позволяют обеспечить широкое и справедливое представительство; в частности, РГС-ФЛР вносит значительный вклад в процесс принятия решений Советом и не должна быть оттеснена на второй план. Решения Союза как глобальной регуляторной организации имеют прямые и косвенные последствия не только для его Членов, но и для многих заинтересованных сторон; в некоторых случаях его решения имеют обязательную юридическую силу. Следует позаботиться о том, чтобы не подорвать его авторитет в этом отношении. Собрания должны по-прежнему проводиться своевременно и, по мере возможности, объединяться в тематические группы. В случае проведения мероприятий за пределами Женевы необходимо уведомлять Государства-Члены об этом заблаговременно для обеспечения возможности планирования.</w:t>
      </w:r>
    </w:p>
    <w:p w14:paraId="030DD213" w14:textId="77777777" w:rsidR="007A3D38" w:rsidRPr="00D81064" w:rsidRDefault="007A3D38" w:rsidP="007A3D38">
      <w:pPr>
        <w:rPr>
          <w:lang w:val="ru-RU"/>
        </w:rPr>
      </w:pPr>
      <w:r w:rsidRPr="00D81064">
        <w:rPr>
          <w:lang w:val="ru-RU"/>
        </w:rPr>
        <w:t>24.5</w:t>
      </w:r>
      <w:r w:rsidRPr="00D81064">
        <w:rPr>
          <w:lang w:val="ru-RU"/>
        </w:rPr>
        <w:tab/>
        <w:t>Несколько Советников выразили поддержку предложениям, изложенным в Документах C26/105 и C26/106. Один из Советников поинтересовался ходом выполнения различных процессов обеспечения непрерывности деятельности в рамках Системы обеспечения организационной жизнеспособности (ORMS).</w:t>
      </w:r>
    </w:p>
    <w:p w14:paraId="4440DF5F" w14:textId="354E4BC7" w:rsidR="007A3D38" w:rsidRPr="00D81064" w:rsidRDefault="007A3D38" w:rsidP="007A3D38">
      <w:pPr>
        <w:rPr>
          <w:lang w:val="ru-RU"/>
        </w:rPr>
      </w:pPr>
      <w:r w:rsidRPr="00D81064">
        <w:rPr>
          <w:lang w:val="ru-RU"/>
        </w:rPr>
        <w:t>24.6</w:t>
      </w:r>
      <w:r w:rsidRPr="00D81064">
        <w:rPr>
          <w:lang w:val="ru-RU"/>
        </w:rPr>
        <w:tab/>
        <w:t xml:space="preserve">Представитель Генерального секретариата, комментируя высказанные замечания, заявил, что будут приложены все усилия для поиска экономически эффективных решений и обеспечения прозрачности в процессе принятия решений. В настоящее время рассматривается несколько сценариев; по мере подтверждения дат проведения собраний и поступления дополнительной информации будет разработан четкий план обеспечения непрерывности деятельности для представления на ПК-26. В частности, при выработке предлагаемого подхода будут учитываться результаты акустических испытаний. Конкретных предложений относительно центров проведения собраний пока не поступало, однако с Международной организацией труда (МОТ) и </w:t>
      </w:r>
      <w:r w:rsidR="00A34988" w:rsidRPr="00D81064">
        <w:rPr>
          <w:lang w:val="ru-RU"/>
        </w:rPr>
        <w:t>ВОЗ</w:t>
      </w:r>
      <w:r w:rsidRPr="00D81064">
        <w:rPr>
          <w:lang w:val="ru-RU"/>
        </w:rPr>
        <w:t xml:space="preserve"> были проведены конструктивные переговоры по вопросу аренды помещений для проведения собраний, и </w:t>
      </w:r>
      <w:r w:rsidR="00373264" w:rsidRPr="00D81064">
        <w:rPr>
          <w:lang w:val="ru-RU"/>
        </w:rPr>
        <w:t xml:space="preserve">Секретариат </w:t>
      </w:r>
      <w:r w:rsidRPr="00D81064">
        <w:rPr>
          <w:lang w:val="ru-RU"/>
        </w:rPr>
        <w:t>выразил надежду на то, что большинство собраний можно будет провести в Женеве в соответствии с графиком и периодичностью, согласованными Государствами-Членами.</w:t>
      </w:r>
    </w:p>
    <w:p w14:paraId="07C60966" w14:textId="4630778D" w:rsidR="007A3D38" w:rsidRPr="00D81064" w:rsidRDefault="007A3D38" w:rsidP="007A3D38">
      <w:pPr>
        <w:rPr>
          <w:lang w:val="ru-RU"/>
        </w:rPr>
      </w:pPr>
      <w:r w:rsidRPr="00D81064">
        <w:rPr>
          <w:lang w:val="ru-RU"/>
        </w:rPr>
        <w:lastRenderedPageBreak/>
        <w:t>24.7</w:t>
      </w:r>
      <w:r w:rsidRPr="00D81064">
        <w:rPr>
          <w:lang w:val="ru-RU"/>
        </w:rPr>
        <w:tab/>
        <w:t xml:space="preserve">Заместитель Генерального секретаря отметил, что в </w:t>
      </w:r>
      <w:r w:rsidR="00267E7D" w:rsidRPr="00D81064">
        <w:rPr>
          <w:lang w:val="ru-RU"/>
        </w:rPr>
        <w:t>рамках</w:t>
      </w:r>
      <w:r w:rsidRPr="00D81064">
        <w:rPr>
          <w:lang w:val="ru-RU"/>
        </w:rPr>
        <w:t xml:space="preserve"> подготовки к </w:t>
      </w:r>
      <w:r w:rsidR="00267E7D" w:rsidRPr="00D81064">
        <w:rPr>
          <w:lang w:val="ru-RU"/>
        </w:rPr>
        <w:t xml:space="preserve">обеспечению непрерывности деятельности </w:t>
      </w:r>
      <w:r w:rsidRPr="00D81064">
        <w:rPr>
          <w:lang w:val="ru-RU"/>
        </w:rPr>
        <w:t>был достигнут значительный прогресс, особенно с учетом того, что основные работы начнутся не раньше второй половины 2028 года и что на некоторые факторы неизбежно повлияют решения, принятые на ПК-26. Ситуация с бюджетом улучшилась благодаря крупн</w:t>
      </w:r>
      <w:r w:rsidR="00267E7D" w:rsidRPr="00D81064">
        <w:rPr>
          <w:lang w:val="ru-RU"/>
        </w:rPr>
        <w:t>о</w:t>
      </w:r>
      <w:r w:rsidRPr="00D81064">
        <w:rPr>
          <w:lang w:val="ru-RU"/>
        </w:rPr>
        <w:t>м</w:t>
      </w:r>
      <w:r w:rsidR="00267E7D" w:rsidRPr="00D81064">
        <w:rPr>
          <w:lang w:val="ru-RU"/>
        </w:rPr>
        <w:t>у</w:t>
      </w:r>
      <w:r w:rsidRPr="00D81064">
        <w:rPr>
          <w:lang w:val="ru-RU"/>
        </w:rPr>
        <w:t xml:space="preserve"> взнос</w:t>
      </w:r>
      <w:r w:rsidR="00267E7D" w:rsidRPr="00D81064">
        <w:rPr>
          <w:lang w:val="ru-RU"/>
        </w:rPr>
        <w:t>у</w:t>
      </w:r>
      <w:r w:rsidRPr="00D81064">
        <w:rPr>
          <w:lang w:val="ru-RU"/>
        </w:rPr>
        <w:t xml:space="preserve"> Швейцарии, хотя дополнительные средства по-прежнему будут необходимы. Чем больше собраний удастся провести в собственных помещениях Союза, тем ниже будут расходы на аренду сторонних помещений. В то же время Генеральный секретарь активно взаимодействует с другими учреждениями системы Организации Объединенных Наций, в частности с МОТ и </w:t>
      </w:r>
      <w:r w:rsidR="00A34988" w:rsidRPr="00D81064">
        <w:rPr>
          <w:lang w:val="ru-RU"/>
        </w:rPr>
        <w:t>ЮНОГ</w:t>
      </w:r>
      <w:r w:rsidRPr="00D81064">
        <w:rPr>
          <w:lang w:val="ru-RU"/>
        </w:rPr>
        <w:t>, с целью изучения возможности более тесной координации в вопросах совместного использования помещений международными организациями, базирующимися в Женеве. В соответствии с поручением Совета 2025 года проводится также оценка и других аспектов обеспечения непрерывности деятельности</w:t>
      </w:r>
      <w:r w:rsidR="00267E7D" w:rsidRPr="00D81064">
        <w:rPr>
          <w:lang w:val="ru-RU"/>
        </w:rPr>
        <w:t>, как указано в Документе</w:t>
      </w:r>
      <w:r w:rsidR="007C0D72" w:rsidRPr="00D81064">
        <w:rPr>
          <w:lang w:val="ru-RU"/>
        </w:rPr>
        <w:t> </w:t>
      </w:r>
      <w:r w:rsidR="00267E7D" w:rsidRPr="00D81064">
        <w:rPr>
          <w:lang w:val="ru-RU"/>
        </w:rPr>
        <w:t>C26/7, на которое запрашивается выделение 1,5</w:t>
      </w:r>
      <w:r w:rsidR="00F26593" w:rsidRPr="00D81064">
        <w:rPr>
          <w:lang w:val="ru-RU"/>
        </w:rPr>
        <w:t> </w:t>
      </w:r>
      <w:proofErr w:type="gramStart"/>
      <w:r w:rsidR="00267E7D" w:rsidRPr="00D81064">
        <w:rPr>
          <w:lang w:val="ru-RU"/>
        </w:rPr>
        <w:t>млн.</w:t>
      </w:r>
      <w:proofErr w:type="gramEnd"/>
      <w:r w:rsidR="00267E7D" w:rsidRPr="00D81064">
        <w:rPr>
          <w:lang w:val="ru-RU"/>
        </w:rPr>
        <w:t xml:space="preserve"> швейцарских франков за счет сэкономленных средств бюджета 2025</w:t>
      </w:r>
      <w:r w:rsidR="00F26593" w:rsidRPr="00D81064">
        <w:rPr>
          <w:lang w:val="ru-RU"/>
        </w:rPr>
        <w:t> </w:t>
      </w:r>
      <w:r w:rsidR="00267E7D" w:rsidRPr="00D81064">
        <w:rPr>
          <w:lang w:val="ru-RU"/>
        </w:rPr>
        <w:t>года</w:t>
      </w:r>
      <w:r w:rsidRPr="00D81064">
        <w:rPr>
          <w:lang w:val="ru-RU"/>
        </w:rPr>
        <w:t>. Более подробная информация будет представлена на ПК-26.</w:t>
      </w:r>
    </w:p>
    <w:p w14:paraId="536335EA" w14:textId="77777777" w:rsidR="007A3D38" w:rsidRPr="00D81064" w:rsidRDefault="007A3D38" w:rsidP="001A2C26">
      <w:pPr>
        <w:keepNext/>
        <w:keepLines/>
        <w:rPr>
          <w:lang w:val="ru-RU"/>
        </w:rPr>
      </w:pPr>
      <w:r w:rsidRPr="00D81064">
        <w:rPr>
          <w:lang w:val="ru-RU"/>
        </w:rPr>
        <w:t>24.8</w:t>
      </w:r>
      <w:r w:rsidRPr="00D81064">
        <w:rPr>
          <w:lang w:val="ru-RU"/>
        </w:rPr>
        <w:tab/>
        <w:t xml:space="preserve">Комитет </w:t>
      </w:r>
      <w:r w:rsidRPr="00D81064">
        <w:rPr>
          <w:b/>
          <w:bCs/>
          <w:lang w:val="ru-RU"/>
        </w:rPr>
        <w:t xml:space="preserve">принял решение </w:t>
      </w:r>
      <w:r w:rsidRPr="00D81064">
        <w:rPr>
          <w:lang w:val="ru-RU"/>
        </w:rPr>
        <w:t>сделать по данному вопросу следующее заключение:</w:t>
      </w:r>
    </w:p>
    <w:p w14:paraId="20184420" w14:textId="77777777" w:rsidR="007A3D38" w:rsidRPr="00D81064" w:rsidRDefault="007A3D38" w:rsidP="001A2C26">
      <w:pPr>
        <w:keepNext/>
        <w:keepLines/>
        <w:pBdr>
          <w:top w:val="single" w:sz="4" w:space="1" w:color="auto"/>
          <w:left w:val="single" w:sz="4" w:space="4" w:color="auto"/>
          <w:bottom w:val="single" w:sz="4" w:space="1" w:color="auto"/>
          <w:right w:val="single" w:sz="4" w:space="4" w:color="auto"/>
        </w:pBdr>
        <w:rPr>
          <w:lang w:val="ru-RU"/>
        </w:rPr>
      </w:pPr>
      <w:r w:rsidRPr="00D81064">
        <w:rPr>
          <w:lang w:val="ru-RU"/>
        </w:rPr>
        <w:t>24.9</w:t>
      </w:r>
      <w:r w:rsidRPr="00D81064">
        <w:rPr>
          <w:lang w:val="ru-RU"/>
        </w:rPr>
        <w:tab/>
        <w:t>Комитет рекомендует Совету:</w:t>
      </w:r>
    </w:p>
    <w:p w14:paraId="5DFA4B9A" w14:textId="77777777" w:rsidR="007A3D38" w:rsidRPr="00D81064" w:rsidRDefault="007A3D38" w:rsidP="001A2C26">
      <w:pPr>
        <w:pStyle w:val="enumlev1"/>
        <w:pBdr>
          <w:top w:val="single" w:sz="4" w:space="1" w:color="auto"/>
          <w:left w:val="single" w:sz="4" w:space="4" w:color="auto"/>
          <w:bottom w:val="single" w:sz="4" w:space="1" w:color="auto"/>
          <w:right w:val="single" w:sz="4" w:space="4" w:color="auto"/>
        </w:pBdr>
        <w:rPr>
          <w:lang w:val="ru-RU"/>
        </w:rPr>
      </w:pPr>
      <w:r w:rsidRPr="00D81064">
        <w:rPr>
          <w:lang w:val="ru-RU"/>
        </w:rPr>
        <w:t>•</w:t>
      </w:r>
      <w:r w:rsidRPr="00D81064">
        <w:rPr>
          <w:lang w:val="ru-RU"/>
        </w:rPr>
        <w:tab/>
        <w:t xml:space="preserve">принять к сведению отчет, содержащийся в Документе </w:t>
      </w:r>
      <w:hyperlink r:id="rId154" w:history="1">
        <w:r w:rsidRPr="00D81064">
          <w:rPr>
            <w:rStyle w:val="Hyperlink"/>
            <w:lang w:val="ru-RU"/>
          </w:rPr>
          <w:t>C26/65</w:t>
        </w:r>
      </w:hyperlink>
      <w:r w:rsidRPr="00D81064">
        <w:rPr>
          <w:lang w:val="ru-RU"/>
        </w:rPr>
        <w:t xml:space="preserve">, и вклады, содержащиеся в Документах </w:t>
      </w:r>
      <w:hyperlink r:id="rId155" w:history="1">
        <w:r w:rsidRPr="00D81064">
          <w:rPr>
            <w:rStyle w:val="Hyperlink"/>
            <w:lang w:val="ru-RU"/>
          </w:rPr>
          <w:t>C26/105</w:t>
        </w:r>
      </w:hyperlink>
      <w:r w:rsidRPr="00D81064">
        <w:rPr>
          <w:lang w:val="ru-RU"/>
        </w:rPr>
        <w:t xml:space="preserve"> и </w:t>
      </w:r>
      <w:hyperlink r:id="rId156" w:history="1">
        <w:r w:rsidRPr="00D81064">
          <w:rPr>
            <w:rStyle w:val="Hyperlink"/>
            <w:lang w:val="ru-RU"/>
          </w:rPr>
          <w:t>C26/106</w:t>
        </w:r>
      </w:hyperlink>
      <w:r w:rsidRPr="00D81064">
        <w:rPr>
          <w:lang w:val="ru-RU"/>
        </w:rPr>
        <w:t>.</w:t>
      </w:r>
      <w:hyperlink r:id="rId157" w:history="1"/>
      <w:hyperlink r:id="rId158" w:history="1"/>
      <w:hyperlink r:id="rId159" w:history="1"/>
    </w:p>
    <w:p w14:paraId="4B344225" w14:textId="77777777" w:rsidR="00A54C84" w:rsidRPr="00D81064" w:rsidRDefault="00A54C84" w:rsidP="00A54C84">
      <w:pPr>
        <w:pStyle w:val="Heading1"/>
        <w:rPr>
          <w:lang w:val="ru-RU"/>
        </w:rPr>
      </w:pPr>
      <w:r w:rsidRPr="00D81064">
        <w:rPr>
          <w:bCs/>
          <w:lang w:val="ru-RU"/>
        </w:rPr>
        <w:t>25</w:t>
      </w:r>
      <w:r w:rsidRPr="00D81064">
        <w:rPr>
          <w:lang w:val="ru-RU"/>
        </w:rPr>
        <w:tab/>
      </w:r>
      <w:r w:rsidRPr="00D81064">
        <w:rPr>
          <w:bCs/>
          <w:lang w:val="ru-RU"/>
        </w:rPr>
        <w:t xml:space="preserve">Предлагаемая рамочная основа процесса отбора стран, принимающих конференции и ассамблеи МСЭ (Документ </w:t>
      </w:r>
      <w:hyperlink r:id="rId160" w:history="1">
        <w:r w:rsidRPr="00D81064">
          <w:rPr>
            <w:rStyle w:val="Hyperlink"/>
            <w:bCs/>
            <w:lang w:val="ru-RU"/>
          </w:rPr>
          <w:t>C26/70</w:t>
        </w:r>
      </w:hyperlink>
      <w:r w:rsidRPr="00D81064">
        <w:rPr>
          <w:bCs/>
          <w:lang w:val="ru-RU"/>
        </w:rPr>
        <w:t>)</w:t>
      </w:r>
      <w:hyperlink r:id="rId161" w:history="1"/>
    </w:p>
    <w:p w14:paraId="2EDA5C36" w14:textId="3DD14B7B" w:rsidR="00A54C84" w:rsidRPr="00D81064" w:rsidRDefault="00D81064" w:rsidP="00D81064">
      <w:pPr>
        <w:pStyle w:val="Headingb"/>
        <w:ind w:left="794" w:hanging="794"/>
        <w:rPr>
          <w:sz w:val="26"/>
          <w:szCs w:val="26"/>
          <w:lang w:val="ru-RU"/>
        </w:rPr>
      </w:pPr>
      <w:r w:rsidRPr="00D81064">
        <w:rPr>
          <w:sz w:val="26"/>
          <w:szCs w:val="26"/>
          <w:lang w:val="ru-RU"/>
        </w:rPr>
        <w:tab/>
      </w:r>
      <w:r w:rsidR="00A54C84" w:rsidRPr="00D81064">
        <w:rPr>
          <w:sz w:val="26"/>
          <w:szCs w:val="26"/>
          <w:lang w:val="ru-RU"/>
        </w:rPr>
        <w:t>Аргументы в пользу регионального равенства и создания благоприятных условий для более широкого участия в проведении полномочных конференций МСЭ (Документ</w:t>
      </w:r>
      <w:r w:rsidR="00115736" w:rsidRPr="00115736">
        <w:rPr>
          <w:sz w:val="26"/>
          <w:szCs w:val="26"/>
          <w:lang w:val="ru-RU"/>
        </w:rPr>
        <w:t xml:space="preserve"> </w:t>
      </w:r>
      <w:hyperlink r:id="rId162" w:history="1">
        <w:r w:rsidR="00115736" w:rsidRPr="00115736">
          <w:rPr>
            <w:rStyle w:val="Hyperlink"/>
            <w:sz w:val="26"/>
            <w:szCs w:val="26"/>
            <w:lang w:val="fr-CH"/>
          </w:rPr>
          <w:t>C</w:t>
        </w:r>
        <w:r w:rsidR="00115736" w:rsidRPr="00115736">
          <w:rPr>
            <w:rStyle w:val="Hyperlink"/>
            <w:sz w:val="26"/>
            <w:szCs w:val="26"/>
            <w:lang w:val="ru-RU"/>
          </w:rPr>
          <w:t>26/102</w:t>
        </w:r>
      </w:hyperlink>
      <w:r w:rsidR="00A54C84" w:rsidRPr="00D81064">
        <w:rPr>
          <w:sz w:val="26"/>
          <w:szCs w:val="26"/>
          <w:lang w:val="ru-RU"/>
        </w:rPr>
        <w:t>)</w:t>
      </w:r>
      <w:hyperlink r:id="rId163" w:history="1"/>
    </w:p>
    <w:p w14:paraId="0A104422" w14:textId="05693215" w:rsidR="00A54C84" w:rsidRPr="00D81064" w:rsidRDefault="00A54C84" w:rsidP="00A54C84">
      <w:pPr>
        <w:rPr>
          <w:lang w:val="ru-RU"/>
        </w:rPr>
      </w:pPr>
      <w:r w:rsidRPr="00D81064">
        <w:rPr>
          <w:lang w:val="ru-RU"/>
        </w:rPr>
        <w:t>25.1</w:t>
      </w:r>
      <w:r w:rsidRPr="00D81064">
        <w:rPr>
          <w:lang w:val="ru-RU"/>
        </w:rPr>
        <w:tab/>
        <w:t xml:space="preserve">Представитель Генерального секретариата представил Документ C26/70, в котором предлагается рамочная основа процесса отбора стран, принимающих крупные конференции и ассамблеи МСЭ. Этот процесс </w:t>
      </w:r>
      <w:r w:rsidR="00421781" w:rsidRPr="00D81064">
        <w:rPr>
          <w:lang w:val="ru-RU"/>
        </w:rPr>
        <w:t xml:space="preserve">заключается в направлении предложения о принятии конференции или ассамблеи за четыре года до ее начала и </w:t>
      </w:r>
      <w:r w:rsidRPr="00D81064">
        <w:rPr>
          <w:lang w:val="ru-RU"/>
        </w:rPr>
        <w:t>включает направление циркулярного письма с предложением представить выражения заинтересованности, проведение консультаций с Секретариатом, представление официальных предложений, период применения процедур надлежащего исполнения с отчетом Секретариата, выбор принимающей страны Советом или Полномочной конференцией за три года до соответствующего мероприятия, а также доработку и подписание соглашения с принимающей страной. В документе приводятся общие затраты на проведение конференции или ассамблеи МСЭ. Веб-портал принимающей страны МСЭ доступен и будет обновляться по мере необходимости. Более подробная информация представлена в Документе </w:t>
      </w:r>
      <w:hyperlink r:id="rId164" w:history="1">
        <w:r w:rsidRPr="00D81064">
          <w:rPr>
            <w:rStyle w:val="Hyperlink"/>
            <w:lang w:val="ru-RU"/>
          </w:rPr>
          <w:t>C26/INF/4</w:t>
        </w:r>
      </w:hyperlink>
      <w:r w:rsidRPr="00D81064">
        <w:rPr>
          <w:lang w:val="ru-RU"/>
        </w:rPr>
        <w:t>.</w:t>
      </w:r>
      <w:hyperlink r:id="rId165" w:history="1"/>
    </w:p>
    <w:p w14:paraId="2D128EE4" w14:textId="5CCCCF54" w:rsidR="00A54C84" w:rsidRPr="00D81064" w:rsidRDefault="00A54C84" w:rsidP="00A54C84">
      <w:pPr>
        <w:rPr>
          <w:lang w:val="ru-RU"/>
        </w:rPr>
      </w:pPr>
      <w:r w:rsidRPr="00D81064">
        <w:rPr>
          <w:lang w:val="ru-RU"/>
        </w:rPr>
        <w:t>25.2</w:t>
      </w:r>
      <w:r w:rsidRPr="00D81064">
        <w:rPr>
          <w:lang w:val="ru-RU"/>
        </w:rPr>
        <w:tab/>
        <w:t>Советник от Южно-Африканской Республики представил вклад группы стран, содержащийся в Документе C26/102, от имени четырех стран. Он призван способствовать совершенствованию процесса отбора, предлагаемому в Документе C26/70, и созданию практических благоприятных условий, необходимых для более широкого участия Государств-Членов, в частности развивающихся стран, в соответствии с просьбой РГС-ФЛР, выраженной в январе 2026 года. Содействие обеспечению более широкого участия в процессе проведения собраний высокого уровня соответствует принципам справедливости, инклюзивности и глобального взаимодействия, которые лежат в основе деятельности МСЭ.</w:t>
      </w:r>
    </w:p>
    <w:p w14:paraId="3C007FB2" w14:textId="77777777" w:rsidR="00A54C84" w:rsidRPr="00D81064" w:rsidRDefault="00A54C84" w:rsidP="00A54C84">
      <w:pPr>
        <w:rPr>
          <w:lang w:val="ru-RU"/>
        </w:rPr>
      </w:pPr>
      <w:r w:rsidRPr="00D81064">
        <w:rPr>
          <w:lang w:val="ru-RU"/>
        </w:rPr>
        <w:t>25.3</w:t>
      </w:r>
      <w:r w:rsidRPr="00D81064">
        <w:rPr>
          <w:lang w:val="ru-RU"/>
        </w:rPr>
        <w:tab/>
        <w:t xml:space="preserve">Советники поддержали предлагаемую рамочную основу, в которой учтены итоги обсуждений, проведенных РГС-ФЛР, а также точки зрения и опасения Государств-Членов. </w:t>
      </w:r>
      <w:r w:rsidRPr="00D81064">
        <w:rPr>
          <w:lang w:val="ru-RU"/>
        </w:rPr>
        <w:lastRenderedPageBreak/>
        <w:t xml:space="preserve">Вклад группы стран был сочтен конструктивным дополнением к работе над процессом отбора. Собравшиеся подчеркнули важность соблюдения принципов открытости, прозрачности и подотчетности в процессе отбора, что будет поощрять большее число Государств-Членов к участию и способствовать уменьшению финансового бремени, связанного с проведением мероприятий. Обеспечение большей доступности информации благодаря ее размещению на веб-портале было воспринято положительно; это будет служить подспорьем Государствам-Членам в принятии решений. </w:t>
      </w:r>
    </w:p>
    <w:p w14:paraId="7A2F9259" w14:textId="414D47CA" w:rsidR="00A54C84" w:rsidRPr="00D81064" w:rsidRDefault="00A54C84" w:rsidP="00A54C84">
      <w:pPr>
        <w:rPr>
          <w:lang w:val="ru-RU"/>
        </w:rPr>
      </w:pPr>
      <w:r w:rsidRPr="00D81064">
        <w:rPr>
          <w:lang w:val="ru-RU"/>
        </w:rPr>
        <w:t>25.4</w:t>
      </w:r>
      <w:r w:rsidRPr="00D81064">
        <w:rPr>
          <w:lang w:val="ru-RU"/>
        </w:rPr>
        <w:tab/>
        <w:t>Многие из Советников положительно оценили четко обозначенные в предлагаемой рамочной основе сроки и требования, подчеркнув важность объективной оценки предложений на основе заранее известных критериев при сохранении баланса между заблаговременным планированием и максимально широким участием Государств-Членов. Эта система должна быть достаточно гибкой и прочной, чтобы могли рассматриваться редкие ситуации, когда на проведение одного мероприятия выдвинуто несколько кандидатур; в так</w:t>
      </w:r>
      <w:r w:rsidR="00421781" w:rsidRPr="00D81064">
        <w:rPr>
          <w:lang w:val="ru-RU"/>
        </w:rPr>
        <w:t>их</w:t>
      </w:r>
      <w:r w:rsidRPr="00D81064">
        <w:rPr>
          <w:lang w:val="ru-RU"/>
        </w:rPr>
        <w:t xml:space="preserve"> случа</w:t>
      </w:r>
      <w:r w:rsidR="00421781" w:rsidRPr="00D81064">
        <w:rPr>
          <w:lang w:val="ru-RU"/>
        </w:rPr>
        <w:t>ях</w:t>
      </w:r>
      <w:r w:rsidRPr="00D81064">
        <w:rPr>
          <w:lang w:val="ru-RU"/>
        </w:rPr>
        <w:t xml:space="preserve"> географический баланс может выступать в качестве решающего фактора. Один из Советников высказал мнение, что процесс отбора, применявшийся в соответствии с аннулированной Резолюцией 11 (</w:t>
      </w:r>
      <w:proofErr w:type="spellStart"/>
      <w:r w:rsidRPr="00D81064">
        <w:rPr>
          <w:lang w:val="ru-RU"/>
        </w:rPr>
        <w:t>Пересм</w:t>
      </w:r>
      <w:proofErr w:type="spellEnd"/>
      <w:r w:rsidRPr="00D81064">
        <w:rPr>
          <w:lang w:val="ru-RU"/>
        </w:rPr>
        <w:t>. Дубай, 2018 г.) о мероприятиях ITU Telecom, мог бы служить полезным ориентиром относительно того, как структурированные, основанные на правилах критерии могут эффективно применяться на практике.</w:t>
      </w:r>
    </w:p>
    <w:p w14:paraId="79DD7CB0" w14:textId="77777777" w:rsidR="00A54C84" w:rsidRPr="00D81064" w:rsidRDefault="00A54C84" w:rsidP="00A54C84">
      <w:pPr>
        <w:rPr>
          <w:lang w:val="ru-RU"/>
        </w:rPr>
      </w:pPr>
      <w:r w:rsidRPr="00D81064">
        <w:rPr>
          <w:lang w:val="ru-RU"/>
        </w:rPr>
        <w:t>25.5</w:t>
      </w:r>
      <w:r w:rsidRPr="00D81064">
        <w:rPr>
          <w:lang w:val="ru-RU"/>
        </w:rPr>
        <w:tab/>
        <w:t xml:space="preserve">Многие Советники подчеркнули важность эффективного применения принципа географической ротации при выборе принимающей страны с учетом заинтересованности и готовности Государств-Членов выдвигать свои кандидатуры, а также их возможности обеспечить выполнение установленных требований. Вместе с тем были высказаны опасения относительно того, что чрезмерно жесткий или излишне формализованный подход может непреднамеренно ограничить возможности участия развивающихся стран. В этом контексте решающее значение имеют гибкость в применении требований и постоянные усилия по снижению финансового бремени для принимающих стран. </w:t>
      </w:r>
    </w:p>
    <w:p w14:paraId="41056D30" w14:textId="77777777" w:rsidR="00A54C84" w:rsidRPr="00D81064" w:rsidRDefault="00A54C84" w:rsidP="00A54C84">
      <w:pPr>
        <w:rPr>
          <w:lang w:val="ru-RU"/>
        </w:rPr>
      </w:pPr>
      <w:r w:rsidRPr="00D81064">
        <w:rPr>
          <w:lang w:val="ru-RU"/>
        </w:rPr>
        <w:t>25.6</w:t>
      </w:r>
      <w:r w:rsidRPr="00D81064">
        <w:rPr>
          <w:lang w:val="ru-RU"/>
        </w:rPr>
        <w:tab/>
        <w:t>Один из Советников предложил дополнительно доработать график, предлагаемый в рамочной основе, в соответствии с которыми принимающая сторона должна выбираться за три года до начала мероприятия; например, Полномочную конференцию принято завершать объявлением о том, какая страна будет принимать следующую конференцию.</w:t>
      </w:r>
    </w:p>
    <w:p w14:paraId="083AB105" w14:textId="1442347E" w:rsidR="00A54C84" w:rsidRPr="00D81064" w:rsidRDefault="00A54C84" w:rsidP="00A54C84">
      <w:pPr>
        <w:rPr>
          <w:lang w:val="ru-RU"/>
        </w:rPr>
      </w:pPr>
      <w:r w:rsidRPr="00D81064">
        <w:rPr>
          <w:lang w:val="ru-RU"/>
        </w:rPr>
        <w:t>25.7</w:t>
      </w:r>
      <w:r w:rsidRPr="00D81064">
        <w:rPr>
          <w:lang w:val="ru-RU"/>
        </w:rPr>
        <w:tab/>
        <w:t xml:space="preserve">Еще одна из Советников предложила собрать в ходе ПК-26 дополнительную информацию, в том числе о количестве участников различных собраний, в целях дальнейшего укрепления предлагаемой рамочной основы. </w:t>
      </w:r>
      <w:r w:rsidR="00421781" w:rsidRPr="00D81064">
        <w:rPr>
          <w:lang w:val="ru-RU"/>
        </w:rPr>
        <w:t>Такие</w:t>
      </w:r>
      <w:r w:rsidRPr="00D81064">
        <w:rPr>
          <w:lang w:val="ru-RU"/>
        </w:rPr>
        <w:t xml:space="preserve"> данные могли бы</w:t>
      </w:r>
      <w:r w:rsidR="00421781" w:rsidRPr="00D81064">
        <w:rPr>
          <w:lang w:val="ru-RU"/>
        </w:rPr>
        <w:t xml:space="preserve"> обосновать требования, такие как количество и вместимость помещений, и</w:t>
      </w:r>
      <w:r w:rsidRPr="00D81064">
        <w:rPr>
          <w:lang w:val="ru-RU"/>
        </w:rPr>
        <w:t xml:space="preserve"> помочь разработать инструмент, в большей степени основанный на статистических данных, что было бы полезно для потенциальных принимающих стран, особенно в части планирования расходов.</w:t>
      </w:r>
    </w:p>
    <w:p w14:paraId="4EA5B37B" w14:textId="77777777" w:rsidR="00A54C84" w:rsidRPr="00D81064" w:rsidRDefault="00A54C84" w:rsidP="00A54C84">
      <w:pPr>
        <w:rPr>
          <w:lang w:val="ru-RU"/>
        </w:rPr>
      </w:pPr>
      <w:proofErr w:type="gramStart"/>
      <w:r w:rsidRPr="00D81064">
        <w:rPr>
          <w:lang w:val="ru-RU"/>
        </w:rPr>
        <w:t>25.8</w:t>
      </w:r>
      <w:r w:rsidRPr="00D81064">
        <w:rPr>
          <w:lang w:val="ru-RU"/>
        </w:rPr>
        <w:tab/>
        <w:t>Кроме того</w:t>
      </w:r>
      <w:proofErr w:type="gramEnd"/>
      <w:r w:rsidRPr="00D81064">
        <w:rPr>
          <w:lang w:val="ru-RU"/>
        </w:rPr>
        <w:t>, было высказано мнение о том, что предлагаемая рамочная основа может быть внедрена незамедлительно в качестве промежуточного шага с последующим обсуждением на ПК-26 для уточнения и совершенствования процесса отбора, если это потребуется.</w:t>
      </w:r>
    </w:p>
    <w:p w14:paraId="45E34508" w14:textId="4383477E" w:rsidR="00A54C84" w:rsidRPr="00D81064" w:rsidRDefault="00A54C84" w:rsidP="00A54C84">
      <w:pPr>
        <w:rPr>
          <w:lang w:val="ru-RU"/>
        </w:rPr>
      </w:pPr>
      <w:r w:rsidRPr="00D81064">
        <w:rPr>
          <w:lang w:val="ru-RU"/>
        </w:rPr>
        <w:t>25.9</w:t>
      </w:r>
      <w:r w:rsidRPr="00D81064">
        <w:rPr>
          <w:lang w:val="ru-RU"/>
        </w:rPr>
        <w:tab/>
        <w:t xml:space="preserve">Представитель Генерального секретариата приняла к сведению мнения Советников о важности принципа географической ротации и необходимости снижения нагрузки, связанной с проведением конференций. Вся соответствующая информация может быть размещена на веб-портале в кратчайшие сроки. Отвечая на вопрос одной из Советников, она сказала, </w:t>
      </w:r>
      <w:proofErr w:type="gramStart"/>
      <w:r w:rsidRPr="00D81064">
        <w:rPr>
          <w:lang w:val="ru-RU"/>
        </w:rPr>
        <w:t>что в случае если</w:t>
      </w:r>
      <w:proofErr w:type="gramEnd"/>
      <w:r w:rsidRPr="00D81064">
        <w:rPr>
          <w:lang w:val="ru-RU"/>
        </w:rPr>
        <w:t xml:space="preserve"> на право проведения мероприятия претендуют два кандидата, равно удовлетворяющих требованиям, Государства-Член</w:t>
      </w:r>
      <w:r w:rsidR="00421781" w:rsidRPr="00D81064">
        <w:rPr>
          <w:lang w:val="ru-RU"/>
        </w:rPr>
        <w:t>ы могут предложить более конкретные критерии отбора, и им</w:t>
      </w:r>
      <w:r w:rsidRPr="00D81064">
        <w:rPr>
          <w:lang w:val="ru-RU"/>
        </w:rPr>
        <w:t xml:space="preserve"> будет предложено принять решение на сессии Совета или на Полномочной конференции. </w:t>
      </w:r>
    </w:p>
    <w:p w14:paraId="3ADC2B75" w14:textId="77777777" w:rsidR="00A54C84" w:rsidRPr="00D81064" w:rsidRDefault="00A54C84" w:rsidP="00A54C84">
      <w:pPr>
        <w:keepNext/>
        <w:keepLines/>
        <w:rPr>
          <w:lang w:val="ru-RU"/>
        </w:rPr>
      </w:pPr>
      <w:r w:rsidRPr="00D81064">
        <w:rPr>
          <w:lang w:val="ru-RU"/>
        </w:rPr>
        <w:lastRenderedPageBreak/>
        <w:t>25.10</w:t>
      </w:r>
      <w:r w:rsidRPr="00D81064">
        <w:rPr>
          <w:lang w:val="ru-RU"/>
        </w:rPr>
        <w:tab/>
        <w:t xml:space="preserve">Комитет </w:t>
      </w:r>
      <w:r w:rsidRPr="00D81064">
        <w:rPr>
          <w:b/>
          <w:bCs/>
          <w:lang w:val="ru-RU"/>
        </w:rPr>
        <w:t>принял решение</w:t>
      </w:r>
      <w:r w:rsidRPr="00D81064">
        <w:rPr>
          <w:lang w:val="ru-RU"/>
        </w:rPr>
        <w:t xml:space="preserve"> сделать по данному вопросу следующее заключение:</w:t>
      </w:r>
    </w:p>
    <w:p w14:paraId="2B7C0265" w14:textId="77777777" w:rsidR="00A54C84" w:rsidRPr="00D81064" w:rsidRDefault="00A54C84" w:rsidP="00A54C84">
      <w:pPr>
        <w:keepNext/>
        <w:keepLines/>
        <w:pBdr>
          <w:top w:val="single" w:sz="4" w:space="1" w:color="auto"/>
          <w:left w:val="single" w:sz="4" w:space="4" w:color="auto"/>
          <w:bottom w:val="single" w:sz="4" w:space="1" w:color="auto"/>
          <w:right w:val="single" w:sz="4" w:space="4" w:color="auto"/>
        </w:pBdr>
        <w:rPr>
          <w:lang w:val="ru-RU"/>
        </w:rPr>
      </w:pPr>
      <w:r w:rsidRPr="00D81064">
        <w:rPr>
          <w:lang w:val="ru-RU"/>
        </w:rPr>
        <w:t>25.11</w:t>
      </w:r>
      <w:r w:rsidRPr="00D81064">
        <w:rPr>
          <w:lang w:val="ru-RU"/>
        </w:rPr>
        <w:tab/>
        <w:t>Комитет рекомендует Совету:</w:t>
      </w:r>
    </w:p>
    <w:p w14:paraId="4F749CD4" w14:textId="77777777" w:rsidR="00A54C84" w:rsidRPr="00D81064" w:rsidRDefault="00A54C84" w:rsidP="00A54C84">
      <w:pPr>
        <w:pStyle w:val="enumlev1"/>
        <w:pBdr>
          <w:top w:val="single" w:sz="4" w:space="1" w:color="auto"/>
          <w:left w:val="single" w:sz="4" w:space="4" w:color="auto"/>
          <w:bottom w:val="single" w:sz="4" w:space="1" w:color="auto"/>
          <w:right w:val="single" w:sz="4" w:space="4" w:color="auto"/>
        </w:pBdr>
        <w:rPr>
          <w:lang w:val="ru-RU"/>
        </w:rPr>
      </w:pPr>
      <w:r w:rsidRPr="00D81064">
        <w:rPr>
          <w:lang w:val="ru-RU"/>
        </w:rPr>
        <w:t>•</w:t>
      </w:r>
      <w:r w:rsidRPr="00D81064">
        <w:rPr>
          <w:lang w:val="ru-RU"/>
        </w:rPr>
        <w:tab/>
        <w:t xml:space="preserve">принять к сведению предлагаемую рамочную основу, описанную в Документе C26/70, и вклад группы стран, содержащийся в Документе C26/102; </w:t>
      </w:r>
    </w:p>
    <w:p w14:paraId="47B15D70" w14:textId="08D73A10" w:rsidR="00A54C84" w:rsidRPr="00D81064" w:rsidRDefault="00A54C84" w:rsidP="00A54C84">
      <w:pPr>
        <w:pStyle w:val="enumlev1"/>
        <w:pBdr>
          <w:top w:val="single" w:sz="4" w:space="1" w:color="auto"/>
          <w:left w:val="single" w:sz="4" w:space="4" w:color="auto"/>
          <w:bottom w:val="single" w:sz="4" w:space="1" w:color="auto"/>
          <w:right w:val="single" w:sz="4" w:space="4" w:color="auto"/>
        </w:pBdr>
        <w:rPr>
          <w:lang w:val="ru-RU"/>
        </w:rPr>
      </w:pPr>
      <w:r w:rsidRPr="00D81064">
        <w:rPr>
          <w:lang w:val="ru-RU"/>
        </w:rPr>
        <w:t>•</w:t>
      </w:r>
      <w:r w:rsidRPr="00D81064">
        <w:rPr>
          <w:lang w:val="ru-RU"/>
        </w:rPr>
        <w:tab/>
        <w:t xml:space="preserve">предложить Генеральному секретариату внедрить в качестве первого шага рамочную основу процесса отбора, изложенную в Документе </w:t>
      </w:r>
      <w:hyperlink r:id="rId166" w:history="1">
        <w:r w:rsidRPr="00D81064">
          <w:rPr>
            <w:rStyle w:val="Hyperlink"/>
            <w:lang w:val="ru-RU"/>
          </w:rPr>
          <w:t>C26/70</w:t>
        </w:r>
      </w:hyperlink>
      <w:r w:rsidRPr="00D81064">
        <w:rPr>
          <w:lang w:val="ru-RU"/>
        </w:rPr>
        <w:t xml:space="preserve">, с учетом положений Документа </w:t>
      </w:r>
      <w:hyperlink r:id="rId167" w:history="1">
        <w:r w:rsidRPr="00D81064">
          <w:rPr>
            <w:rStyle w:val="Hyperlink"/>
            <w:lang w:val="ru-RU"/>
          </w:rPr>
          <w:t>C26/102</w:t>
        </w:r>
      </w:hyperlink>
      <w:r w:rsidRPr="00D81064">
        <w:rPr>
          <w:lang w:val="ru-RU"/>
        </w:rPr>
        <w:t>;</w:t>
      </w:r>
      <w:hyperlink r:id="rId168" w:history="1"/>
      <w:hyperlink r:id="rId169" w:history="1"/>
    </w:p>
    <w:p w14:paraId="7A5A6528" w14:textId="77777777" w:rsidR="00A54C84" w:rsidRPr="00D81064" w:rsidRDefault="00A54C84" w:rsidP="00A54C84">
      <w:pPr>
        <w:pStyle w:val="enumlev1"/>
        <w:pBdr>
          <w:top w:val="single" w:sz="4" w:space="1" w:color="auto"/>
          <w:left w:val="single" w:sz="4" w:space="4" w:color="auto"/>
          <w:bottom w:val="single" w:sz="4" w:space="1" w:color="auto"/>
          <w:right w:val="single" w:sz="4" w:space="4" w:color="auto"/>
        </w:pBdr>
        <w:rPr>
          <w:lang w:val="ru-RU"/>
        </w:rPr>
      </w:pPr>
      <w:r w:rsidRPr="00D81064">
        <w:rPr>
          <w:lang w:val="ru-RU"/>
        </w:rPr>
        <w:t>•</w:t>
      </w:r>
      <w:r w:rsidRPr="00D81064">
        <w:rPr>
          <w:lang w:val="ru-RU"/>
        </w:rPr>
        <w:tab/>
        <w:t>предложить Полномочной конференции (Доха, 2026 г.) продолжить рассмотрение этого вопроса с целью дальнейшего совершенствования и укрепления этого процесса в будущем, если это будет необходимо.</w:t>
      </w:r>
    </w:p>
    <w:p w14:paraId="3F156145" w14:textId="57EB505F" w:rsidR="00FD209D" w:rsidRPr="00D81064" w:rsidRDefault="00FD209D" w:rsidP="00FD209D">
      <w:pPr>
        <w:pStyle w:val="Heading1"/>
        <w:rPr>
          <w:lang w:val="ru-RU"/>
        </w:rPr>
      </w:pPr>
      <w:r w:rsidRPr="00D81064">
        <w:rPr>
          <w:lang w:val="ru-RU"/>
        </w:rPr>
        <w:t>26</w:t>
      </w:r>
      <w:r w:rsidRPr="00D81064">
        <w:rPr>
          <w:lang w:val="ru-RU"/>
        </w:rPr>
        <w:tab/>
        <w:t xml:space="preserve">Обновленная информация о мерах по уменьшению финансового бремени для стран, принимающих конференции, собрания и мероприятия МСЭ (Документ </w:t>
      </w:r>
      <w:hyperlink r:id="rId170" w:history="1">
        <w:r w:rsidRPr="00D81064">
          <w:rPr>
            <w:rStyle w:val="Hyperlink"/>
            <w:bCs/>
            <w:lang w:val="ru-RU"/>
          </w:rPr>
          <w:t>C26/71</w:t>
        </w:r>
      </w:hyperlink>
      <w:r w:rsidRPr="00D81064">
        <w:rPr>
          <w:lang w:val="ru-RU"/>
        </w:rPr>
        <w:t>)</w:t>
      </w:r>
      <w:hyperlink r:id="rId171" w:history="1"/>
    </w:p>
    <w:p w14:paraId="32416511" w14:textId="24606F79" w:rsidR="00FD209D" w:rsidRPr="00D81064" w:rsidRDefault="00FD209D" w:rsidP="00FD209D">
      <w:pPr>
        <w:rPr>
          <w:lang w:val="ru-RU"/>
        </w:rPr>
      </w:pPr>
      <w:r w:rsidRPr="00D81064">
        <w:rPr>
          <w:lang w:val="ru-RU"/>
        </w:rPr>
        <w:t>26.1</w:t>
      </w:r>
      <w:r w:rsidRPr="00D81064">
        <w:rPr>
          <w:lang w:val="ru-RU"/>
        </w:rPr>
        <w:tab/>
        <w:t>Представитель Генерального секретариата представила Документ C26/71, в котором содержится дополнительная информация о трех предложениях, представленных Совету-25 в Документе </w:t>
      </w:r>
      <w:hyperlink r:id="rId172" w:history="1">
        <w:r w:rsidR="003A1F6A" w:rsidRPr="00D81064">
          <w:rPr>
            <w:rStyle w:val="Hyperlink"/>
            <w:lang w:val="ru-RU"/>
          </w:rPr>
          <w:t>C25/95</w:t>
        </w:r>
      </w:hyperlink>
      <w:r w:rsidRPr="00D81064">
        <w:rPr>
          <w:lang w:val="ru-RU"/>
        </w:rPr>
        <w:t>. Предложения касаются задействования большего числа местных кадров для устного перевода и применения услуг дистанционного синхронного перевода (RSI) при проведении мероприятий МСЭ; привлечения местных поставщиков ИТ-оборудования и устройств; перехода к полностью цифровой модели аккредитации на конференциях за счет оптимизации процессов и использования цифровых пропусков</w:t>
      </w:r>
    </w:p>
    <w:p w14:paraId="11CEFE37" w14:textId="788D3820" w:rsidR="00FD209D" w:rsidRPr="00D81064" w:rsidRDefault="00FD209D" w:rsidP="00FD209D">
      <w:pPr>
        <w:rPr>
          <w:lang w:val="ru-RU"/>
        </w:rPr>
      </w:pPr>
      <w:r w:rsidRPr="00D81064">
        <w:rPr>
          <w:lang w:val="ru-RU"/>
        </w:rPr>
        <w:t>26.2</w:t>
      </w:r>
      <w:r w:rsidRPr="00D81064">
        <w:rPr>
          <w:lang w:val="ru-RU"/>
        </w:rPr>
        <w:tab/>
        <w:t>Советники выразили решительную поддержку всем предпринимаемым усилиям, направленным на уменьшение финансовой и операционной нагрузки, связанной с проведением мероприятий. Стратегическое использование технологий и местных ресурсов могло бы в значительной степени способствовать снижению затрат для принимающих стран, а также оказать положительное воздействие на местную экономику. Такие меры особенно важны для небольших администраций и СИДС.</w:t>
      </w:r>
    </w:p>
    <w:p w14:paraId="4CFB50EE" w14:textId="77777777" w:rsidR="00FD209D" w:rsidRPr="00D81064" w:rsidRDefault="00FD209D" w:rsidP="00FD209D">
      <w:pPr>
        <w:rPr>
          <w:lang w:val="ru-RU"/>
        </w:rPr>
      </w:pPr>
      <w:r w:rsidRPr="00D81064">
        <w:rPr>
          <w:lang w:val="ru-RU"/>
        </w:rPr>
        <w:t>26.3</w:t>
      </w:r>
      <w:r w:rsidRPr="00D81064">
        <w:rPr>
          <w:lang w:val="ru-RU"/>
        </w:rPr>
        <w:tab/>
        <w:t>Вместе с тем ряд Советников отметили, что предложения не обязательно касаются самых расходных статей в рамках проведения мероприятия. Было предложено рассмотреть такие смелые предложения, как сокращение продолжительности мероприятий или налаживание механизмов совместного несения расходов несколькими принимающими странами, что, вероятно, окажет более непосредственное воздействие на сокращение расходов.</w:t>
      </w:r>
    </w:p>
    <w:p w14:paraId="605CA934" w14:textId="77777777" w:rsidR="00FD209D" w:rsidRPr="00D81064" w:rsidRDefault="00FD209D" w:rsidP="00FD209D">
      <w:pPr>
        <w:rPr>
          <w:lang w:val="ru-RU"/>
        </w:rPr>
      </w:pPr>
      <w:r w:rsidRPr="00D81064">
        <w:rPr>
          <w:lang w:val="ru-RU"/>
        </w:rPr>
        <w:t>26.4</w:t>
      </w:r>
      <w:r w:rsidRPr="00D81064">
        <w:rPr>
          <w:lang w:val="ru-RU"/>
        </w:rPr>
        <w:tab/>
        <w:t>Несколько Советников заявили, что реализация предложений должна оставаться гибкой, позволяя обеспечить равноправное участие всех делегатов. Гибридный подход к предоставлению оборудования и инфраструктуры ИТ местными поставщиками позволил бы принимающей стране по мере возможности закупать оборудование на месте и способствовал бы значительному сокращению затрат на доставку и материально-техническое обеспечение, одновременно стимулируя развитие местных цифровых экосистем. Было отмечено положительное воздействие модели цифровой аккредитации на окружающую среду.</w:t>
      </w:r>
    </w:p>
    <w:p w14:paraId="5DD41B90" w14:textId="68B58E35" w:rsidR="00FD209D" w:rsidRPr="00D81064" w:rsidRDefault="00FD209D" w:rsidP="00FD209D">
      <w:pPr>
        <w:rPr>
          <w:lang w:val="ru-RU"/>
        </w:rPr>
      </w:pPr>
      <w:r w:rsidRPr="00D81064">
        <w:rPr>
          <w:lang w:val="ru-RU"/>
        </w:rPr>
        <w:t>26.5</w:t>
      </w:r>
      <w:r w:rsidRPr="00D81064">
        <w:rPr>
          <w:lang w:val="ru-RU"/>
        </w:rPr>
        <w:tab/>
        <w:t xml:space="preserve">Советники с одобрением восприняли предложение активнее привлекать местных поставщиков услуг устного перевода при условии соблюдения стандартов качества. Хотя многие из Советников высказались за использование услуг RSI, они отметили, что было бы разумно внедрять их постепенно, руководствуясь четкими критериями технической готовности, опытом аналогичных форматов и запасными вариантами. Одна из Советников подчеркнула, что крайне важно не допустить простого переноса расходов; так, например, использование RSI позволит сократить командировочные и гостиничные расходы, но потребует увеличения </w:t>
      </w:r>
      <w:r w:rsidRPr="00D81064">
        <w:rPr>
          <w:lang w:val="ru-RU"/>
        </w:rPr>
        <w:lastRenderedPageBreak/>
        <w:t xml:space="preserve">вложений в техническую инфраструктуру и обеспечение надежного соединения. Кроме того, использование RSI подходит не для всех мероприятий. Что касается устного перевода на базе ИИ, то собравшиеся приветствовали осторожный подход со стороны </w:t>
      </w:r>
      <w:r w:rsidR="00263248" w:rsidRPr="00D81064">
        <w:rPr>
          <w:lang w:val="ru-RU"/>
        </w:rPr>
        <w:t xml:space="preserve">Секретариата </w:t>
      </w:r>
      <w:r w:rsidRPr="00D81064">
        <w:rPr>
          <w:lang w:val="ru-RU"/>
        </w:rPr>
        <w:t>и его заверения в том, что этот способ не будет применяться на официальных собраниях.</w:t>
      </w:r>
    </w:p>
    <w:p w14:paraId="2D323DD4" w14:textId="09F96DA9" w:rsidR="00FD209D" w:rsidRPr="00D81064" w:rsidRDefault="00FD209D" w:rsidP="00FD209D">
      <w:pPr>
        <w:rPr>
          <w:lang w:val="ru-RU"/>
        </w:rPr>
      </w:pPr>
      <w:r w:rsidRPr="00D81064">
        <w:rPr>
          <w:lang w:val="ru-RU"/>
        </w:rPr>
        <w:t>26.6</w:t>
      </w:r>
      <w:r w:rsidRPr="00D81064">
        <w:rPr>
          <w:lang w:val="ru-RU"/>
        </w:rPr>
        <w:tab/>
        <w:t>Несколько Советников хотели бы получить дополнительную информацию о финансовых последствиях реализации предложений. Была запрошена информация о предполагаемой экономии, преимуществах для МСЭ и принимающей страны, остаточных расходах МСЭ и о том, может ли страна разработать свои собственные стратегии сокращения затрат для конкретного мероприятия.</w:t>
      </w:r>
    </w:p>
    <w:p w14:paraId="7B7AB1AC" w14:textId="6F370B6A" w:rsidR="00FD209D" w:rsidRPr="00D81064" w:rsidRDefault="00FD209D" w:rsidP="00FD209D">
      <w:pPr>
        <w:rPr>
          <w:lang w:val="ru-RU"/>
        </w:rPr>
      </w:pPr>
      <w:r w:rsidRPr="00D81064">
        <w:rPr>
          <w:lang w:val="ru-RU"/>
        </w:rPr>
        <w:t>26.7</w:t>
      </w:r>
      <w:r w:rsidRPr="00D81064">
        <w:rPr>
          <w:lang w:val="ru-RU"/>
        </w:rPr>
        <w:tab/>
        <w:t>Представитель Генерального секретариата, отмечая широкую поддержку Советниками использования местных устных переводчиков и услуг RSI, отметила, что Циркулярное письмо (</w:t>
      </w:r>
      <w:hyperlink r:id="rId173" w:history="1">
        <w:r w:rsidR="009B2CEA" w:rsidRPr="00D81064">
          <w:rPr>
            <w:rStyle w:val="Hyperlink"/>
            <w:lang w:val="ru-RU"/>
          </w:rPr>
          <w:t>CL-26/11</w:t>
        </w:r>
      </w:hyperlink>
      <w:r w:rsidRPr="00D81064">
        <w:rPr>
          <w:lang w:val="ru-RU"/>
        </w:rPr>
        <w:t xml:space="preserve">), которое было направлено Государствам-Членам и региональным организациям электросвязи, имело целью поиск устных переводчиков соответствующего стандарта. Она отметила, что вопросы, затронутые в предложениях, были определены Советом и РГС-ФЛР; дополнительные возможности сокращения расходов </w:t>
      </w:r>
      <w:r w:rsidR="00421781" w:rsidRPr="00D81064">
        <w:rPr>
          <w:lang w:val="ru-RU"/>
        </w:rPr>
        <w:t xml:space="preserve">учитываются, когда это возможно, и новые предложения </w:t>
      </w:r>
      <w:r w:rsidRPr="00D81064">
        <w:rPr>
          <w:lang w:val="ru-RU"/>
        </w:rPr>
        <w:t xml:space="preserve">всегда приветствуются и могут быть обсуждены Советниками. Она подчеркнула, что использование RSI не приведет просто к переносу затрат, отметив, что это позволит достичь экономии в </w:t>
      </w:r>
      <w:proofErr w:type="gramStart"/>
      <w:r w:rsidRPr="00D81064">
        <w:rPr>
          <w:lang w:val="ru-RU"/>
        </w:rPr>
        <w:t>20</w:t>
      </w:r>
      <w:r w:rsidR="00823CC7" w:rsidRPr="00D81064">
        <w:rPr>
          <w:lang w:val="ru-RU"/>
        </w:rPr>
        <w:t>−</w:t>
      </w:r>
      <w:r w:rsidRPr="00D81064">
        <w:rPr>
          <w:lang w:val="ru-RU"/>
        </w:rPr>
        <w:t>25%</w:t>
      </w:r>
      <w:proofErr w:type="gramEnd"/>
      <w:r w:rsidRPr="00D81064">
        <w:rPr>
          <w:lang w:val="ru-RU"/>
        </w:rPr>
        <w:t xml:space="preserve"> </w:t>
      </w:r>
      <w:r w:rsidR="00421781" w:rsidRPr="00D81064">
        <w:rPr>
          <w:lang w:val="ru-RU"/>
        </w:rPr>
        <w:t xml:space="preserve">для каждого мероприятия </w:t>
      </w:r>
      <w:r w:rsidRPr="00D81064">
        <w:rPr>
          <w:lang w:val="ru-RU"/>
        </w:rPr>
        <w:t>по сравнению с использованием устных переводчиков на местах, не считая сокращения командировочных расходов. Дополнительная оценка и дальнейшая информация о затратах могут быть представлены в отчете о последующих мерах на сессии Совета 2027 года.</w:t>
      </w:r>
    </w:p>
    <w:p w14:paraId="2CFF1483" w14:textId="77777777" w:rsidR="00FD209D" w:rsidRPr="00D81064" w:rsidRDefault="00FD209D" w:rsidP="00FD209D">
      <w:pPr>
        <w:keepNext/>
        <w:keepLines/>
        <w:rPr>
          <w:lang w:val="ru-RU"/>
        </w:rPr>
      </w:pPr>
      <w:r w:rsidRPr="00D81064">
        <w:rPr>
          <w:lang w:val="ru-RU"/>
        </w:rPr>
        <w:t>26.8</w:t>
      </w:r>
      <w:r w:rsidRPr="00D81064">
        <w:rPr>
          <w:lang w:val="ru-RU"/>
        </w:rPr>
        <w:tab/>
        <w:t xml:space="preserve">Комитет </w:t>
      </w:r>
      <w:r w:rsidRPr="00D81064">
        <w:rPr>
          <w:b/>
          <w:bCs/>
          <w:lang w:val="ru-RU"/>
        </w:rPr>
        <w:t>принял решение</w:t>
      </w:r>
      <w:r w:rsidRPr="00D81064">
        <w:rPr>
          <w:lang w:val="ru-RU"/>
        </w:rPr>
        <w:t xml:space="preserve"> сделать по данному вопросу следующее заключение:</w:t>
      </w:r>
    </w:p>
    <w:p w14:paraId="50C2B756" w14:textId="77777777" w:rsidR="00FD209D" w:rsidRPr="00D81064" w:rsidRDefault="00FD209D" w:rsidP="00FD209D">
      <w:pPr>
        <w:keepNext/>
        <w:keepLines/>
        <w:pBdr>
          <w:top w:val="single" w:sz="4" w:space="1" w:color="auto"/>
          <w:left w:val="single" w:sz="4" w:space="4" w:color="auto"/>
          <w:bottom w:val="single" w:sz="4" w:space="1" w:color="auto"/>
          <w:right w:val="single" w:sz="4" w:space="4" w:color="auto"/>
        </w:pBdr>
        <w:rPr>
          <w:lang w:val="ru-RU"/>
        </w:rPr>
      </w:pPr>
      <w:r w:rsidRPr="00D81064">
        <w:rPr>
          <w:lang w:val="ru-RU"/>
        </w:rPr>
        <w:t>26.9</w:t>
      </w:r>
      <w:r w:rsidRPr="00D81064">
        <w:rPr>
          <w:lang w:val="ru-RU"/>
        </w:rPr>
        <w:tab/>
        <w:t>Комитет рекомендует Совету:</w:t>
      </w:r>
    </w:p>
    <w:p w14:paraId="59003E99" w14:textId="31F106F7" w:rsidR="00FD209D" w:rsidRPr="00D81064" w:rsidRDefault="00FD209D" w:rsidP="00FD209D">
      <w:pPr>
        <w:pStyle w:val="enumlev1"/>
        <w:pBdr>
          <w:top w:val="single" w:sz="4" w:space="1" w:color="auto"/>
          <w:left w:val="single" w:sz="4" w:space="4" w:color="auto"/>
          <w:bottom w:val="single" w:sz="4" w:space="1" w:color="auto"/>
          <w:right w:val="single" w:sz="4" w:space="4" w:color="auto"/>
        </w:pBdr>
        <w:rPr>
          <w:lang w:val="ru-RU"/>
        </w:rPr>
      </w:pPr>
      <w:r w:rsidRPr="00D81064">
        <w:rPr>
          <w:lang w:val="ru-RU"/>
        </w:rPr>
        <w:t>•</w:t>
      </w:r>
      <w:r w:rsidRPr="00D81064">
        <w:rPr>
          <w:lang w:val="ru-RU"/>
        </w:rPr>
        <w:tab/>
        <w:t xml:space="preserve">принять к сведению отчет, содержащийся в Документе </w:t>
      </w:r>
      <w:hyperlink r:id="rId174" w:history="1">
        <w:r w:rsidRPr="00D81064">
          <w:rPr>
            <w:rStyle w:val="Hyperlink"/>
            <w:lang w:val="ru-RU"/>
          </w:rPr>
          <w:t>C26/71</w:t>
        </w:r>
      </w:hyperlink>
      <w:r w:rsidR="00593E6D" w:rsidRPr="00D81064">
        <w:rPr>
          <w:lang w:val="ru-RU"/>
        </w:rPr>
        <w:t>;</w:t>
      </w:r>
    </w:p>
    <w:p w14:paraId="043577AA" w14:textId="7B7E4EA9" w:rsidR="00593E6D" w:rsidRPr="00D81064" w:rsidRDefault="00593E6D" w:rsidP="00FD209D">
      <w:pPr>
        <w:pStyle w:val="enumlev1"/>
        <w:pBdr>
          <w:top w:val="single" w:sz="4" w:space="1" w:color="auto"/>
          <w:left w:val="single" w:sz="4" w:space="4" w:color="auto"/>
          <w:bottom w:val="single" w:sz="4" w:space="1" w:color="auto"/>
          <w:right w:val="single" w:sz="4" w:space="4" w:color="auto"/>
        </w:pBdr>
        <w:rPr>
          <w:lang w:val="ru-RU"/>
        </w:rPr>
      </w:pPr>
      <w:r w:rsidRPr="00D81064">
        <w:rPr>
          <w:lang w:val="ru-RU"/>
        </w:rPr>
        <w:t>•</w:t>
      </w:r>
      <w:r w:rsidRPr="00D81064">
        <w:rPr>
          <w:lang w:val="ru-RU"/>
        </w:rPr>
        <w:tab/>
        <w:t xml:space="preserve">поручить </w:t>
      </w:r>
      <w:r w:rsidR="00B31145" w:rsidRPr="00D81064">
        <w:rPr>
          <w:lang w:val="ru-RU"/>
        </w:rPr>
        <w:t xml:space="preserve">Секретариату </w:t>
      </w:r>
      <w:r w:rsidRPr="00D81064">
        <w:rPr>
          <w:lang w:val="ru-RU"/>
        </w:rPr>
        <w:t>представить дополнительную оценку и дополнительную информацию о затратах в отчете о последующих мерах для сессии Совета 2027 года.</w:t>
      </w:r>
    </w:p>
    <w:p w14:paraId="6B82DD7F" w14:textId="03D0C869" w:rsidR="00CF0F9E" w:rsidRPr="00D81064" w:rsidRDefault="00CF0F9E" w:rsidP="00CF0F9E">
      <w:pPr>
        <w:pStyle w:val="Heading1"/>
        <w:rPr>
          <w:lang w:val="ru-RU"/>
        </w:rPr>
      </w:pPr>
      <w:r w:rsidRPr="00D81064">
        <w:rPr>
          <w:lang w:val="ru-RU"/>
        </w:rPr>
        <w:t>27</w:t>
      </w:r>
      <w:r w:rsidRPr="00D81064">
        <w:rPr>
          <w:lang w:val="ru-RU"/>
        </w:rPr>
        <w:tab/>
        <w:t xml:space="preserve">Отчет Управления по вопросам этики (Документы </w:t>
      </w:r>
      <w:hyperlink r:id="rId175" w:history="1">
        <w:r w:rsidRPr="00D81064">
          <w:rPr>
            <w:bCs/>
            <w:color w:val="4F81BD" w:themeColor="accent1"/>
            <w:szCs w:val="22"/>
            <w:u w:val="single"/>
            <w:lang w:val="ru-RU"/>
          </w:rPr>
          <w:t>C26/14</w:t>
        </w:r>
      </w:hyperlink>
      <w:r w:rsidRPr="00D81064">
        <w:rPr>
          <w:lang w:val="ru-RU"/>
        </w:rPr>
        <w:t xml:space="preserve"> и </w:t>
      </w:r>
      <w:hyperlink r:id="rId176" w:history="1">
        <w:r w:rsidRPr="00D81064">
          <w:rPr>
            <w:rStyle w:val="Hyperlink"/>
            <w:lang w:val="ru-RU"/>
          </w:rPr>
          <w:t>C26/INF/27</w:t>
        </w:r>
      </w:hyperlink>
      <w:r w:rsidRPr="00D81064">
        <w:rPr>
          <w:lang w:val="ru-RU"/>
        </w:rPr>
        <w:t>)</w:t>
      </w:r>
      <w:hyperlink r:id="rId177" w:history="1"/>
      <w:hyperlink r:id="rId178" w:history="1"/>
    </w:p>
    <w:p w14:paraId="16784175" w14:textId="119A8856" w:rsidR="00CF0F9E" w:rsidRPr="00D81064" w:rsidRDefault="00CF0F9E" w:rsidP="00CF0F9E">
      <w:pPr>
        <w:rPr>
          <w:lang w:val="ru-RU"/>
        </w:rPr>
      </w:pPr>
      <w:r w:rsidRPr="00D81064">
        <w:rPr>
          <w:lang w:val="ru-RU"/>
        </w:rPr>
        <w:t>27.1</w:t>
      </w:r>
      <w:r w:rsidRPr="00D81064">
        <w:rPr>
          <w:lang w:val="ru-RU"/>
        </w:rPr>
        <w:tab/>
        <w:t>Старший сотрудник по вопросам этики Бюро по вопросам этики Организации Объединенных Наций (БЭ ООН) представила Документ C26/14 и обратила внимание на дополнительную информацию, содержащуюся в Документе C26/INF/27. Она вновь подтвердила, что Управление по вопросам этики МСЭ привержено поддержанию принципов независимости своей деятельности и целостности своего мандата. Управление по вопросам этики регулярно представляет отчеты о своей деятельности Генеральному секретарю МСЭ и Совету на ежегодной основе, а также периодически предоставляет IMAC информацию об исполнении функций по вопросам этики. Управление по вопросам этики продолжает предоставлять консультации и рекомендации сотрудникам МСЭ по широкому кругу связанных с этикой вопросов, включая, в частности, вопросы институциональной целостности, конфликта интересов, внеслужебной деятельности и занятости. В дополнение к представленной информации об укреплении нормативно-правовой базы Союза она сообщила, что по 2025</w:t>
      </w:r>
      <w:r w:rsidR="00F26593" w:rsidRPr="00D81064">
        <w:rPr>
          <w:lang w:val="ru-RU"/>
        </w:rPr>
        <w:t> </w:t>
      </w:r>
      <w:r w:rsidRPr="00D81064">
        <w:rPr>
          <w:lang w:val="ru-RU"/>
        </w:rPr>
        <w:t>году рассмотрение представленных деклараций об интересах было завершено к сентябрю 2025 года. В четвертом квартале 2025 года велась активная подготовка, направленная на максимальное обеспечение соответствия требованиям деятельности в 2026 году; показатель соответствия достиг 100 процентов в феврале 2026 года.</w:t>
      </w:r>
    </w:p>
    <w:p w14:paraId="1E73E3C6" w14:textId="12CE1454" w:rsidR="00CF0F9E" w:rsidRPr="00D81064" w:rsidRDefault="00CF0F9E" w:rsidP="00CF0F9E">
      <w:pPr>
        <w:rPr>
          <w:lang w:val="ru-RU"/>
        </w:rPr>
      </w:pPr>
      <w:r w:rsidRPr="00D81064">
        <w:rPr>
          <w:lang w:val="ru-RU"/>
        </w:rPr>
        <w:t>27.2</w:t>
      </w:r>
      <w:r w:rsidRPr="00D81064">
        <w:rPr>
          <w:lang w:val="ru-RU"/>
        </w:rPr>
        <w:tab/>
        <w:t xml:space="preserve">Советники в целом высоко оценили расширенную отчетность </w:t>
      </w:r>
      <w:r w:rsidR="00373264" w:rsidRPr="00D81064">
        <w:rPr>
          <w:lang w:val="ru-RU"/>
        </w:rPr>
        <w:t xml:space="preserve">Секретариата </w:t>
      </w:r>
      <w:r w:rsidRPr="00D81064">
        <w:rPr>
          <w:lang w:val="ru-RU"/>
        </w:rPr>
        <w:t xml:space="preserve">о функции МСЭ по вопросам этики, которая демонстрирует активное реагирование на запросы Государств-Членов, рекомендации ОИГ и принципы реформирования Организации Объединенных Наций, однако некоторые Советники указали на необходимость представления </w:t>
      </w:r>
      <w:r w:rsidRPr="00D81064">
        <w:rPr>
          <w:lang w:val="ru-RU"/>
        </w:rPr>
        <w:lastRenderedPageBreak/>
        <w:t>всех данных в интересах полной прозрачности. Задержка с публикацией Документа</w:t>
      </w:r>
      <w:r w:rsidR="00F26593" w:rsidRPr="00D81064">
        <w:rPr>
          <w:lang w:val="ru-RU"/>
        </w:rPr>
        <w:t> </w:t>
      </w:r>
      <w:r w:rsidRPr="00D81064">
        <w:rPr>
          <w:lang w:val="ru-RU"/>
        </w:rPr>
        <w:t>C26/INF/27 вызывает сожаление. Также было предложено сделать информацию о деятельности Управления по вопросам этики более доступной на веб-сайте Союза и шире распространять дополнительные материалы, такие как план работы Управления на 2025 год.</w:t>
      </w:r>
    </w:p>
    <w:p w14:paraId="5EF5D43B" w14:textId="77777777" w:rsidR="00CF0F9E" w:rsidRPr="00D81064" w:rsidRDefault="00CF0F9E" w:rsidP="00CF0F9E">
      <w:pPr>
        <w:rPr>
          <w:lang w:val="ru-RU"/>
        </w:rPr>
      </w:pPr>
      <w:r w:rsidRPr="00D81064">
        <w:rPr>
          <w:lang w:val="ru-RU"/>
        </w:rPr>
        <w:t>27.3</w:t>
      </w:r>
      <w:r w:rsidRPr="00D81064">
        <w:rPr>
          <w:lang w:val="ru-RU"/>
        </w:rPr>
        <w:tab/>
        <w:t>Создание Управления МСЭ по вопросам этики является положительным событием, однако была выражена обеспокоенность в связи с текучестью ключевых сотрудников и являющейся следствием этого недостаточной преемственности при составлении и представлении отчетов. Один из Советников поинтересовался, будет ли новый назначенный сотрудник по вопросам этики работать на долгосрочной основе. Другой Советник отметил, что приверженность Управления независимости следует сформулировать в более абсолютных терминах, и спросил, каково место Управления по вопросам этики в рамках модели "трех линий защиты", разработанной Институтом внутренних аудиторов, и включены ли риски в вопросах этики в общеорганизационную систему управления рисками МСЭ.</w:t>
      </w:r>
    </w:p>
    <w:p w14:paraId="17DBC935" w14:textId="364B92C6" w:rsidR="00CF0F9E" w:rsidRPr="00D81064" w:rsidRDefault="00CF0F9E" w:rsidP="00CF0F9E">
      <w:pPr>
        <w:rPr>
          <w:lang w:val="ru-RU"/>
        </w:rPr>
      </w:pPr>
      <w:r w:rsidRPr="00D81064">
        <w:rPr>
          <w:lang w:val="ru-RU"/>
        </w:rPr>
        <w:t>27.4</w:t>
      </w:r>
      <w:r w:rsidRPr="00D81064">
        <w:rPr>
          <w:lang w:val="ru-RU"/>
        </w:rPr>
        <w:tab/>
        <w:t xml:space="preserve">Советники выразили поддержку усилиям по развитию корпоративной культуры, способствующей созданию безопасной, вызывающей доверие и благоприятной рабочей обстановки, где сотрудники осознают свое право выступать в защиту этических ценностей и где этические нормы являются неотъемлемой частью повседневной деятельности по принятию решений и организационной деятельности. Функция этики должна составлять неотъемлемую часть более общей деятельности по трансформации МСЭ. Рост числа консультаций, указанный в отчете, обнадеживает, поскольку свидетельствует о повышении доверия к этому процессу среди персонала. Один из Советников упомянул выборы, которые состоятся на ПК-26, </w:t>
      </w:r>
      <w:proofErr w:type="gramStart"/>
      <w:r w:rsidRPr="00D81064">
        <w:rPr>
          <w:lang w:val="ru-RU"/>
        </w:rPr>
        <w:t>и</w:t>
      </w:r>
      <w:proofErr w:type="gramEnd"/>
      <w:r w:rsidRPr="00D81064">
        <w:rPr>
          <w:lang w:val="ru-RU"/>
        </w:rPr>
        <w:t xml:space="preserve"> в связи с этим предложил укрепить применимые руководящие указания по этическим аспектам, с тем чтобы обеспечить ясность, последовательность и надлежащее соблюдение требований всеми участниками. Другие Советники подчеркнули необходимость проведения различия между информированием о нарушениях, которое справедливо охватывается политикой Союза по защите от мести, и распространением ложной информации, ложных обвинений или клеветы, которые могут нанести ущерб репутации организации и ее персонала, и установления четкой ответственности в отношении каждого из таких случаев.</w:t>
      </w:r>
    </w:p>
    <w:p w14:paraId="65C2ADB3" w14:textId="3F6DF493" w:rsidR="00CF0F9E" w:rsidRPr="00D81064" w:rsidRDefault="00CF0F9E" w:rsidP="00CF0F9E">
      <w:pPr>
        <w:rPr>
          <w:lang w:val="ru-RU"/>
        </w:rPr>
      </w:pPr>
      <w:r w:rsidRPr="00D81064">
        <w:rPr>
          <w:lang w:val="ru-RU"/>
        </w:rPr>
        <w:t>27.5</w:t>
      </w:r>
      <w:r w:rsidRPr="00D81064">
        <w:rPr>
          <w:lang w:val="ru-RU"/>
        </w:rPr>
        <w:tab/>
        <w:t xml:space="preserve">Один из Советников попросил </w:t>
      </w:r>
      <w:r w:rsidR="00373264" w:rsidRPr="00D81064">
        <w:rPr>
          <w:lang w:val="ru-RU"/>
        </w:rPr>
        <w:t xml:space="preserve">Секретариат </w:t>
      </w:r>
      <w:r w:rsidRPr="00D81064">
        <w:rPr>
          <w:lang w:val="ru-RU"/>
        </w:rPr>
        <w:t>поделиться результатами обследований, проведенных под эгидой Целевой группы Координационного совета руководителей системы Организации Объединенных Наций (КСР) по борьбе с сексуальными домогательствами, и спрашивает, какие рекомендации проведенного ОИГ в 2025 году обзора политики и практики в области предотвращения сексуальной эксплуатации и сексуальных надругательств в организациях системы Организации Объединенных Наций и реагирования на них (</w:t>
      </w:r>
      <w:hyperlink r:id="rId179" w:history="1">
        <w:r w:rsidRPr="00D81064">
          <w:rPr>
            <w:rStyle w:val="Hyperlink"/>
            <w:lang w:val="ru-RU"/>
          </w:rPr>
          <w:t>JIU/REP/2025/2</w:t>
        </w:r>
      </w:hyperlink>
      <w:r w:rsidRPr="00D81064">
        <w:rPr>
          <w:lang w:val="ru-RU"/>
        </w:rPr>
        <w:t xml:space="preserve">) не были включены в проект политики </w:t>
      </w:r>
      <w:r w:rsidR="00373264" w:rsidRPr="00D81064">
        <w:rPr>
          <w:lang w:val="ru-RU"/>
        </w:rPr>
        <w:t xml:space="preserve">Секретариата </w:t>
      </w:r>
      <w:r w:rsidRPr="00D81064">
        <w:rPr>
          <w:lang w:val="ru-RU"/>
        </w:rPr>
        <w:t xml:space="preserve">по предупреждению сексуальной эксплуатации и сексуальных надругательств (СЭСН). Секретариату следует довести План действий по СЭСН до сведения Государств-Членов, сделать обучение по СЭСН обязательным и установить ответственность персонала за соблюдение требований. Тот же Советник задал вопрос об уровне прохождения обязательного обучения по этике и добросовестности, который представляется неприемлемо низким, особенно среди сотрудников старшего звена, и поинтересовался, как именно </w:t>
      </w:r>
      <w:r w:rsidR="00373264" w:rsidRPr="00D81064">
        <w:rPr>
          <w:lang w:val="ru-RU"/>
        </w:rPr>
        <w:t xml:space="preserve">Секретариат </w:t>
      </w:r>
      <w:r w:rsidRPr="00D81064">
        <w:rPr>
          <w:lang w:val="ru-RU"/>
        </w:rPr>
        <w:t>будет обеспечивать подотчетность, и попросил разъяснить характер консультаций по вопросам этики. Другой Советник попросил представить дополнительную информацию о разнице между заявлениями о внеслужебной деятельности и декларациями об интересах.</w:t>
      </w:r>
    </w:p>
    <w:p w14:paraId="788E95BF" w14:textId="4BFAEAEA" w:rsidR="00CF0F9E" w:rsidRPr="00D81064" w:rsidRDefault="00CF0F9E" w:rsidP="00CF0F9E">
      <w:pPr>
        <w:rPr>
          <w:lang w:val="ru-RU"/>
        </w:rPr>
      </w:pPr>
      <w:r w:rsidRPr="00D81064">
        <w:rPr>
          <w:lang w:val="ru-RU"/>
        </w:rPr>
        <w:t>27.6</w:t>
      </w:r>
      <w:r w:rsidRPr="00D81064">
        <w:rPr>
          <w:lang w:val="ru-RU"/>
        </w:rPr>
        <w:tab/>
        <w:t xml:space="preserve">Старший сотрудник по вопросам этики БЭ ООН, отвечая на замечания, отметила, что в Уставе Управления МСЭ по вопросам этики четко изложены его миссия и принципы, которым оно следует, и которые полностью соответствуют рекомендациям ОИГ и демонстрируют приверженность руководства обеспечению независимости Управления по вопросам этики. Управление по вопросам этики выполняет свои функции без вмешательства со стороны </w:t>
      </w:r>
      <w:r w:rsidR="001B24D8" w:rsidRPr="00D81064">
        <w:rPr>
          <w:lang w:val="ru-RU"/>
        </w:rPr>
        <w:t xml:space="preserve">каких бы то ни было других </w:t>
      </w:r>
      <w:r w:rsidRPr="00D81064">
        <w:rPr>
          <w:lang w:val="ru-RU"/>
        </w:rPr>
        <w:t>подразделений</w:t>
      </w:r>
      <w:r w:rsidR="001B24D8" w:rsidRPr="00D81064">
        <w:rPr>
          <w:lang w:val="ru-RU"/>
        </w:rPr>
        <w:t xml:space="preserve"> Организации</w:t>
      </w:r>
      <w:r w:rsidRPr="00D81064">
        <w:rPr>
          <w:lang w:val="ru-RU"/>
        </w:rPr>
        <w:t xml:space="preserve">. Персоналу были предоставлены </w:t>
      </w:r>
      <w:r w:rsidRPr="00D81064">
        <w:rPr>
          <w:lang w:val="ru-RU"/>
        </w:rPr>
        <w:lastRenderedPageBreak/>
        <w:t>рекомендации и консультации по вопросам этики, в том числе по заявлениям о внеслужебной деятельности, с тем чтобы обеспечить возможность обнаружения и устранения потенциальных конфликтов интересов или репутационных рисков для организации.</w:t>
      </w:r>
    </w:p>
    <w:p w14:paraId="1113CBE8" w14:textId="392FE530" w:rsidR="00CF0F9E" w:rsidRPr="00D81064" w:rsidRDefault="00CF0F9E" w:rsidP="00CF0F9E">
      <w:pPr>
        <w:rPr>
          <w:rFonts w:eastAsia="Calibri" w:cs="Calibri"/>
          <w:lang w:val="ru-RU"/>
        </w:rPr>
      </w:pPr>
      <w:r w:rsidRPr="00D81064">
        <w:rPr>
          <w:lang w:val="ru-RU"/>
        </w:rPr>
        <w:t>27.7</w:t>
      </w:r>
      <w:r w:rsidRPr="00D81064">
        <w:rPr>
          <w:lang w:val="ru-RU"/>
        </w:rPr>
        <w:tab/>
        <w:t xml:space="preserve">Руководитель HRMD добавил, что, как ожидается, новый сотрудник по вопросам этики будет назначен в июне 2026 года по срочному контракту и что Управление по вопросам этики будет полностью укомплектовано персоналом в обозримом будущем. Показатель прохождения обязательной подготовки сотрудников по вопросам этики и добросовестности возрос до 61 процента от общего числа сотрудников, но подвержен колебаниям. Весь персонал должен пройти обучение в течение трех месяцев после начала работы, независимо от типа контракта. Соблюдение требований поощряется с помощью кампаний по повышению осведомленности, целевых сообщений и регулярных напоминаний, отслеживание которых осуществлялся в тесном сотрудничестве с </w:t>
      </w:r>
      <w:r w:rsidR="000D45EC" w:rsidRPr="00D81064">
        <w:rPr>
          <w:lang w:val="ru-RU"/>
        </w:rPr>
        <w:t>координаторами по вопросам людских ресурсов</w:t>
      </w:r>
      <w:r w:rsidRPr="00D81064">
        <w:rPr>
          <w:lang w:val="ru-RU"/>
        </w:rPr>
        <w:t xml:space="preserve">, и которые были увязаны с процессом управления показателями деятельности. Секретариат планирует укрепить обеспечение соблюдения требований с помощью управления контрактами; контракт не будет продлеваться до завершения обязательной подготовки. В отношении вопроса СЭСН одна рекомендация ОИГ, которая не была включена в проект политики Союза, касается объединения политики Союза в отношении сексуальных домогательств и СЭСН. В настоящее время </w:t>
      </w:r>
      <w:r w:rsidR="00373264" w:rsidRPr="00D81064">
        <w:rPr>
          <w:lang w:val="ru-RU"/>
        </w:rPr>
        <w:t xml:space="preserve">Секретариат </w:t>
      </w:r>
      <w:r w:rsidRPr="00D81064">
        <w:rPr>
          <w:lang w:val="ru-RU"/>
        </w:rPr>
        <w:t>считает целесообразным разделить эти две стратегии, но по-прежнему готов отслеживать тенденции в рамках всей системы Организации Объединенных Наций. В соответствии с результатами обследования по вопросу о сексуальных домогательствах, проведенного целевой группой КСР, были оптимизированы внутренние процессы, а функции и обязанности уточнены в соответствующих служебных приказах в целях содействия более своевременному рассмотрению дел. Подотчетность усилена за счет четкого разграничения обязанностей по соответствующим функциям и укреплению механизмов надзора, а в политику и практику был включен подход, ориентированный на интересы жертв.</w:t>
      </w:r>
    </w:p>
    <w:p w14:paraId="3F823F26" w14:textId="77777777" w:rsidR="00CF0F9E" w:rsidRPr="00D81064" w:rsidRDefault="00CF0F9E" w:rsidP="009956D8">
      <w:pPr>
        <w:keepNext/>
        <w:rPr>
          <w:rFonts w:eastAsia="Calibri" w:cs="Calibri"/>
          <w:szCs w:val="24"/>
          <w:lang w:val="ru-RU"/>
        </w:rPr>
      </w:pPr>
      <w:r w:rsidRPr="00D81064">
        <w:rPr>
          <w:lang w:val="ru-RU"/>
        </w:rPr>
        <w:t>27.8</w:t>
      </w:r>
      <w:r w:rsidRPr="00D81064">
        <w:rPr>
          <w:lang w:val="ru-RU"/>
        </w:rPr>
        <w:tab/>
        <w:t xml:space="preserve">Комитет </w:t>
      </w:r>
      <w:r w:rsidRPr="00D81064">
        <w:rPr>
          <w:b/>
          <w:bCs/>
          <w:lang w:val="ru-RU"/>
        </w:rPr>
        <w:t>принял решение</w:t>
      </w:r>
      <w:r w:rsidRPr="00D81064">
        <w:rPr>
          <w:lang w:val="ru-RU"/>
        </w:rPr>
        <w:t xml:space="preserve"> сделать по данному вопросу следующее заключение:</w:t>
      </w:r>
    </w:p>
    <w:p w14:paraId="4526907F" w14:textId="77777777" w:rsidR="00CF0F9E" w:rsidRPr="00D81064" w:rsidRDefault="00CF0F9E" w:rsidP="00CF0F9E">
      <w:pPr>
        <w:keepNext/>
        <w:pBdr>
          <w:top w:val="single" w:sz="4" w:space="1" w:color="auto"/>
          <w:left w:val="single" w:sz="4" w:space="4" w:color="auto"/>
          <w:bottom w:val="single" w:sz="4" w:space="1" w:color="auto"/>
          <w:right w:val="single" w:sz="4" w:space="4" w:color="auto"/>
        </w:pBdr>
        <w:rPr>
          <w:lang w:val="ru-RU"/>
        </w:rPr>
      </w:pPr>
      <w:r w:rsidRPr="00D81064">
        <w:rPr>
          <w:lang w:val="ru-RU"/>
        </w:rPr>
        <w:t>27.9</w:t>
      </w:r>
      <w:r w:rsidRPr="00D81064">
        <w:rPr>
          <w:lang w:val="ru-RU"/>
        </w:rPr>
        <w:tab/>
        <w:t>Комитет рекомендует Совету:</w:t>
      </w:r>
    </w:p>
    <w:p w14:paraId="02BD73AB" w14:textId="71C6B870" w:rsidR="00CF0F9E" w:rsidRPr="00D81064" w:rsidRDefault="00CF0F9E" w:rsidP="00CF0F9E">
      <w:pPr>
        <w:pStyle w:val="enumlev1"/>
        <w:pBdr>
          <w:top w:val="single" w:sz="4" w:space="1" w:color="auto"/>
          <w:left w:val="single" w:sz="4" w:space="4" w:color="auto"/>
          <w:bottom w:val="single" w:sz="4" w:space="1" w:color="auto"/>
          <w:right w:val="single" w:sz="4" w:space="4" w:color="auto"/>
        </w:pBdr>
        <w:rPr>
          <w:lang w:val="ru-RU"/>
        </w:rPr>
      </w:pPr>
      <w:r w:rsidRPr="00D81064">
        <w:rPr>
          <w:lang w:val="ru-RU"/>
        </w:rPr>
        <w:t>•</w:t>
      </w:r>
      <w:r w:rsidRPr="00D81064">
        <w:rPr>
          <w:lang w:val="ru-RU"/>
        </w:rPr>
        <w:tab/>
        <w:t xml:space="preserve">принять к сведению отчет, содержащийся в Документах </w:t>
      </w:r>
      <w:hyperlink r:id="rId180" w:history="1">
        <w:r w:rsidRPr="00D81064">
          <w:rPr>
            <w:rStyle w:val="Hyperlink"/>
            <w:lang w:val="ru-RU"/>
          </w:rPr>
          <w:t>C26/14</w:t>
        </w:r>
      </w:hyperlink>
      <w:r w:rsidRPr="00D81064">
        <w:rPr>
          <w:lang w:val="ru-RU"/>
        </w:rPr>
        <w:t xml:space="preserve"> и </w:t>
      </w:r>
      <w:hyperlink r:id="rId181" w:history="1">
        <w:r w:rsidRPr="00D81064">
          <w:rPr>
            <w:rStyle w:val="Hyperlink"/>
            <w:lang w:val="ru-RU"/>
          </w:rPr>
          <w:t>C26/INF/27</w:t>
        </w:r>
      </w:hyperlink>
      <w:r w:rsidR="00593E6D" w:rsidRPr="00D81064">
        <w:rPr>
          <w:lang w:val="ru-RU"/>
        </w:rPr>
        <w:t>;</w:t>
      </w:r>
    </w:p>
    <w:p w14:paraId="174BA63F" w14:textId="3D9282A0" w:rsidR="00593E6D" w:rsidRPr="00D81064" w:rsidRDefault="00593E6D" w:rsidP="00CF0F9E">
      <w:pPr>
        <w:pStyle w:val="enumlev1"/>
        <w:pBdr>
          <w:top w:val="single" w:sz="4" w:space="1" w:color="auto"/>
          <w:left w:val="single" w:sz="4" w:space="4" w:color="auto"/>
          <w:bottom w:val="single" w:sz="4" w:space="1" w:color="auto"/>
          <w:right w:val="single" w:sz="4" w:space="4" w:color="auto"/>
        </w:pBdr>
        <w:rPr>
          <w:lang w:val="ru-RU"/>
        </w:rPr>
      </w:pPr>
      <w:r w:rsidRPr="00D81064">
        <w:rPr>
          <w:lang w:val="ru-RU"/>
        </w:rPr>
        <w:t>•</w:t>
      </w:r>
      <w:r w:rsidRPr="00D81064">
        <w:rPr>
          <w:lang w:val="ru-RU"/>
        </w:rPr>
        <w:tab/>
        <w:t xml:space="preserve">поручить </w:t>
      </w:r>
      <w:r w:rsidR="00B31145" w:rsidRPr="00D81064">
        <w:rPr>
          <w:lang w:val="ru-RU"/>
        </w:rPr>
        <w:t xml:space="preserve">Секретариату </w:t>
      </w:r>
      <w:r w:rsidRPr="00D81064">
        <w:rPr>
          <w:lang w:val="ru-RU"/>
        </w:rPr>
        <w:t xml:space="preserve">представить к 31 июля 2026 года обновленный отчет с информацией, запрошенной в ходе обсуждений </w:t>
      </w:r>
      <w:r w:rsidR="00B31145" w:rsidRPr="00D81064">
        <w:rPr>
          <w:lang w:val="ru-RU"/>
        </w:rPr>
        <w:t>на</w:t>
      </w:r>
      <w:r w:rsidRPr="00D81064">
        <w:rPr>
          <w:lang w:val="ru-RU"/>
        </w:rPr>
        <w:t xml:space="preserve"> Совете, как указано в п.</w:t>
      </w:r>
      <w:r w:rsidR="00B31145" w:rsidRPr="00D81064">
        <w:rPr>
          <w:lang w:val="ru-RU"/>
        </w:rPr>
        <w:t> </w:t>
      </w:r>
      <w:r w:rsidRPr="00D81064">
        <w:rPr>
          <w:lang w:val="ru-RU"/>
        </w:rPr>
        <w:t>27.5, выше.</w:t>
      </w:r>
    </w:p>
    <w:p w14:paraId="7EE81E27" w14:textId="77777777" w:rsidR="00A231E3" w:rsidRPr="00D81064" w:rsidRDefault="00A231E3" w:rsidP="00A231E3">
      <w:pPr>
        <w:pStyle w:val="Heading1"/>
        <w:rPr>
          <w:lang w:val="ru-RU"/>
        </w:rPr>
      </w:pPr>
      <w:r w:rsidRPr="00D81064">
        <w:rPr>
          <w:bCs/>
          <w:lang w:val="ru-RU"/>
        </w:rPr>
        <w:t>28</w:t>
      </w:r>
      <w:r w:rsidRPr="00D81064">
        <w:rPr>
          <w:bCs/>
          <w:lang w:val="ru-RU"/>
        </w:rPr>
        <w:tab/>
      </w:r>
      <w:r w:rsidRPr="00D81064">
        <w:rPr>
          <w:lang w:val="ru-RU"/>
        </w:rPr>
        <w:t xml:space="preserve">Отчет Подразделения по надзору об осуществлении </w:t>
      </w:r>
      <w:r w:rsidRPr="00D81064">
        <w:rPr>
          <w:bCs/>
          <w:lang w:val="ru-RU"/>
        </w:rPr>
        <w:t xml:space="preserve">функции внутреннего аудита (Документ </w:t>
      </w:r>
      <w:hyperlink r:id="rId182">
        <w:r w:rsidRPr="00D81064">
          <w:rPr>
            <w:rStyle w:val="Hyperlink"/>
            <w:lang w:val="ru-RU"/>
          </w:rPr>
          <w:t>C26/44</w:t>
        </w:r>
      </w:hyperlink>
      <w:r w:rsidRPr="00D81064">
        <w:rPr>
          <w:bCs/>
          <w:lang w:val="ru-RU"/>
        </w:rPr>
        <w:t>)</w:t>
      </w:r>
      <w:hyperlink r:id="rId183"/>
    </w:p>
    <w:p w14:paraId="29D9AF29" w14:textId="77777777" w:rsidR="00A231E3" w:rsidRPr="00D81064" w:rsidRDefault="00A231E3" w:rsidP="00A231E3">
      <w:pPr>
        <w:rPr>
          <w:lang w:val="ru-RU"/>
        </w:rPr>
      </w:pPr>
      <w:r w:rsidRPr="00D81064">
        <w:rPr>
          <w:lang w:val="ru-RU"/>
        </w:rPr>
        <w:t>28.1</w:t>
      </w:r>
      <w:r w:rsidRPr="00D81064">
        <w:rPr>
          <w:lang w:val="ru-RU"/>
        </w:rPr>
        <w:tab/>
        <w:t>Руководитель Подразделения по надзору представила отчет, содержащийся в Документе C26/44, в котором освещается деятельность Подразделения по надзору по внутреннему аудиту за период с апреля 2025 года по февраль 2026 года. Эта деятельность включала аудит Зонального отделения для Юго-Восточной Азии и инспекцию организации поездок по линии БРЭ со всеми вытекающими из этого рекомендациями для БРЭ, выполненными с тех пор.</w:t>
      </w:r>
    </w:p>
    <w:p w14:paraId="656230A8" w14:textId="27B86EAC" w:rsidR="00A231E3" w:rsidRPr="00D81064" w:rsidRDefault="00A231E3" w:rsidP="00A231E3">
      <w:pPr>
        <w:rPr>
          <w:lang w:val="ru-RU"/>
        </w:rPr>
      </w:pPr>
      <w:r w:rsidRPr="00D81064">
        <w:rPr>
          <w:lang w:val="ru-RU"/>
        </w:rPr>
        <w:t>28.2</w:t>
      </w:r>
      <w:r w:rsidRPr="00D81064">
        <w:rPr>
          <w:lang w:val="ru-RU"/>
        </w:rPr>
        <w:tab/>
        <w:t>Наряду с этим для информации Совету был представлен Документ </w:t>
      </w:r>
      <w:hyperlink r:id="rId184" w:history="1">
        <w:r w:rsidRPr="00D81064">
          <w:rPr>
            <w:rStyle w:val="Hyperlink"/>
            <w:lang w:val="ru-RU"/>
          </w:rPr>
          <w:t>C26/INF/5</w:t>
        </w:r>
      </w:hyperlink>
      <w:r w:rsidRPr="00D81064">
        <w:rPr>
          <w:lang w:val="ru-RU"/>
        </w:rPr>
        <w:t xml:space="preserve"> о последующих мерах в связи с рекомендациями судебно-бухгалтерской экспертизы и внутреннего аудита.</w:t>
      </w:r>
      <w:r w:rsidR="00C86443" w:rsidRPr="00D81064">
        <w:rPr>
          <w:lang w:val="ru-RU"/>
        </w:rPr>
        <w:t xml:space="preserve"> </w:t>
      </w:r>
      <w:hyperlink r:id="rId185" w:history="1"/>
      <w:r w:rsidRPr="00D81064">
        <w:rPr>
          <w:lang w:val="ru-RU"/>
        </w:rPr>
        <w:t xml:space="preserve">Отвечая на вопросы и замечания Советников и одного из наблюдателей, выступающая сказала, что замечания в отношении аудита, ориентированного на результаты деятельности, были должным образом приняты к сведению. В момент опубликования отдельных отчетов об аудите предыдущие рекомендации не были выполнены, но некоторые из них выполнены к настоящему моменту. Подразделение внутреннего аудита избегало повторения рекомендаций; при этом подразделение провело оценку в рамках своей </w:t>
      </w:r>
      <w:r w:rsidRPr="00D81064">
        <w:rPr>
          <w:lang w:val="ru-RU"/>
        </w:rPr>
        <w:lastRenderedPageBreak/>
        <w:t xml:space="preserve">последующей деятельности перед собраниями Независимого консультативного комитета по управлению (IMAC). За отчетный период было выполнено в общей сложности 43 рекомендации по итогам внутреннего аудита; задержки в выполнении рекомендаций обусловлены главным образом действиями по управлению. Представленные ранее текущие рекомендации и более поздние </w:t>
      </w:r>
      <w:bookmarkStart w:id="10" w:name="_Hlk229072940"/>
      <w:r w:rsidRPr="00D81064">
        <w:rPr>
          <w:lang w:val="ru-RU"/>
        </w:rPr>
        <w:t xml:space="preserve">рекомендации по результатам аудиторской проверки </w:t>
      </w:r>
      <w:bookmarkEnd w:id="10"/>
      <w:r w:rsidRPr="00D81064">
        <w:rPr>
          <w:lang w:val="ru-RU"/>
        </w:rPr>
        <w:t>не дублируют друг друга. Оратор обратила внимание участников собрания на Документ</w:t>
      </w:r>
      <w:r w:rsidR="00C86443" w:rsidRPr="00D81064">
        <w:rPr>
          <w:lang w:val="ru-RU"/>
        </w:rPr>
        <w:t> </w:t>
      </w:r>
      <w:hyperlink r:id="rId186" w:history="1">
        <w:r w:rsidRPr="00D81064">
          <w:rPr>
            <w:rStyle w:val="Hyperlink"/>
            <w:lang w:val="ru-RU"/>
          </w:rPr>
          <w:t>C26/INF/23</w:t>
        </w:r>
      </w:hyperlink>
      <w:r w:rsidRPr="00D81064">
        <w:rPr>
          <w:lang w:val="ru-RU"/>
        </w:rPr>
        <w:t>, в котором содержится информация об информационной панели МСЭ по вопросам соблюдения для Советников, с помощью которой они могут отслеживать ход выполнения всех рекомендаций по итогам внутренних и внешних надзорных мероприятий, что повышает прозрачность и доступность.</w:t>
      </w:r>
      <w:hyperlink r:id="rId187" w:history="1"/>
    </w:p>
    <w:p w14:paraId="02F1924C" w14:textId="5C410F33" w:rsidR="00A231E3" w:rsidRPr="00D81064" w:rsidRDefault="00A231E3" w:rsidP="00A231E3">
      <w:pPr>
        <w:rPr>
          <w:lang w:val="ru-RU"/>
        </w:rPr>
      </w:pPr>
      <w:r w:rsidRPr="00D81064">
        <w:rPr>
          <w:lang w:val="ru-RU"/>
        </w:rPr>
        <w:t>28.</w:t>
      </w:r>
      <w:r w:rsidR="00C86443" w:rsidRPr="00D81064">
        <w:rPr>
          <w:lang w:val="ru-RU"/>
        </w:rPr>
        <w:t>3</w:t>
      </w:r>
      <w:r w:rsidRPr="00D81064">
        <w:rPr>
          <w:lang w:val="ru-RU"/>
        </w:rPr>
        <w:tab/>
        <w:t>Внешняя оценка качества, которая осуществляется каждые пять лет в соответствии с Глобальными стандартами внутреннего аудита и Уставом надзора, проводится Французским институтом внутреннего аудита и контроля (IFACI), который входит в состав членов Института внутренних аудиторов. Несоответствия, выявленные IFACI, подлежат устранению в срок до конца 2026 года; стратегия внутреннего аудита является частью дорожной карты Подразделения, а обновленный план аудиторской проверки, основанный на оценке рисков, будет представлен IMAC в июне. Подразделение по надзору работает с IMAC над выполнением рекомендаций последнего в отношении пересмотра программы аудита (см. п. 48 Документа </w:t>
      </w:r>
      <w:hyperlink r:id="rId188" w:history="1">
        <w:r w:rsidRPr="00D81064">
          <w:rPr>
            <w:rStyle w:val="Hyperlink"/>
            <w:lang w:val="ru-RU"/>
          </w:rPr>
          <w:t>C26/22</w:t>
        </w:r>
      </w:hyperlink>
      <w:r w:rsidRPr="00D81064">
        <w:rPr>
          <w:lang w:val="ru-RU"/>
        </w:rPr>
        <w:t>). Наконец, в настоящее время проводится аудит проекта строительства нового здания, а аудит областей, связанных с кибербезопасностью, включен в план аудиторских проверок. Выступающая приняла к сведению предложения относительно проведения аудиторской проверки на основе показателей деятельности, и в конкретных областях, определенных для возможной проверки, включая планирование поездок и использование искусственного интеллекта в Союзе.</w:t>
      </w:r>
      <w:hyperlink r:id="rId189" w:history="1"/>
    </w:p>
    <w:p w14:paraId="08862B5B" w14:textId="3572150C" w:rsidR="00A231E3" w:rsidRPr="00D81064" w:rsidRDefault="00A231E3" w:rsidP="00A231E3">
      <w:pPr>
        <w:rPr>
          <w:lang w:val="ru-RU"/>
        </w:rPr>
      </w:pPr>
      <w:r w:rsidRPr="00D81064">
        <w:rPr>
          <w:lang w:val="ru-RU"/>
        </w:rPr>
        <w:t>28.</w:t>
      </w:r>
      <w:r w:rsidR="00C86443" w:rsidRPr="00D81064">
        <w:rPr>
          <w:lang w:val="ru-RU"/>
        </w:rPr>
        <w:t>4</w:t>
      </w:r>
      <w:r w:rsidRPr="00D81064">
        <w:rPr>
          <w:lang w:val="ru-RU"/>
        </w:rPr>
        <w:tab/>
        <w:t>Заместитель Директора БРЭ заявил, что рекомендации по результатам аудиторской проверки, касающиеся организации поездок БРЭ и Зонального отделения для Юго-Восточной Азии, были полностью выполнены. Было разработано цифровое приложение для модернизации и объединения всех связанных с поездками процессов на одной платформе. Данное приложение, которое уже полноценно применяется, помогло оптимизировать процессы рассмотрения, утверждения и мониторинга всех заявок на поездки в БРЭ; обеспечить более тщательный контроль способов передвижения; а также способствовало повышению прозрачности, подотчетности и улучшению управленческого надзора. По рекомендации Подразделения по надзору приложение было представлено Группе МСЭ по трансформации, которая сочла его потенциальным прототипом, которым смогут воспользоваться другие Бюро и Генеральный секретариат. БРЭ также пояснило, что Зональному отделению для Юго-Восточной Азии было предложено закрыть старые проекты, в которых имели место случаи мошенничества. Другие рекомендации, касающиеся проектов, носят в основном системный характер и связаны с набором персонала и закупками. Их выполнение ведется в координации с FRMD и HRMD. Кроме того, выпол</w:t>
      </w:r>
      <w:r w:rsidR="000D45EC" w:rsidRPr="00D81064">
        <w:rPr>
          <w:lang w:val="ru-RU"/>
        </w:rPr>
        <w:t>нены</w:t>
      </w:r>
      <w:r w:rsidRPr="00D81064">
        <w:rPr>
          <w:lang w:val="ru-RU"/>
        </w:rPr>
        <w:t xml:space="preserve"> рекомендации, касающиеся профессиональной подготовки персонала и расстановки приоритетов при использовании средств доноров по отношению к средствам МСЭ.</w:t>
      </w:r>
    </w:p>
    <w:p w14:paraId="1E39E8F3" w14:textId="55678A6D" w:rsidR="00A231E3" w:rsidRPr="00D81064" w:rsidRDefault="00A231E3" w:rsidP="00A231E3">
      <w:pPr>
        <w:rPr>
          <w:rFonts w:eastAsia="Calibri" w:cs="Calibri"/>
          <w:lang w:val="ru-RU"/>
        </w:rPr>
      </w:pPr>
      <w:r w:rsidRPr="00D81064">
        <w:rPr>
          <w:lang w:val="ru-RU"/>
        </w:rPr>
        <w:t>28.</w:t>
      </w:r>
      <w:r w:rsidR="00C86443" w:rsidRPr="00D81064">
        <w:rPr>
          <w:lang w:val="ru-RU"/>
        </w:rPr>
        <w:t>5</w:t>
      </w:r>
      <w:r w:rsidRPr="00D81064">
        <w:rPr>
          <w:lang w:val="ru-RU"/>
        </w:rPr>
        <w:tab/>
        <w:t xml:space="preserve">Советники подчеркнули важную роль функции внутреннего аудита в укреплении добросовестности, обеспечении эффективности деятельности, надлежащего управления и подотчетности Союза. Они дали высокую оценку прогрессу, достигнутому в выполнении рекомендаций по итогам аудиторских проверок, отметили необходимость дальнейших усилий и призвали к сохранению прозрачности в отчетности. Некоторые Советники подчеркнули необходимость принятия дополнительных мер для совершенствования функции внутреннего аудита и повышения эффективности Подразделения по надзору, в том числе путем укрепления элементов механизма трех линий защиты, пересмотра Устава надзора и оценки уровня зрелости функции на основе модели возможностей внутреннего аудита. Одна из Советников </w:t>
      </w:r>
      <w:r w:rsidRPr="00D81064">
        <w:rPr>
          <w:lang w:val="ru-RU"/>
        </w:rPr>
        <w:lastRenderedPageBreak/>
        <w:t>подчеркнула важность предоставления Подразделению по надзору возможности выполнять свой мандат без внедрения параллельных процессов, которые могут снизить эффективность его работы или усилить вмешательство со стороны Совета; существующая система отвечает поставленным перед ней задачам, и следует позволить ей функционировать в соответствии с ее назначением.</w:t>
      </w:r>
    </w:p>
    <w:p w14:paraId="2EAA872A" w14:textId="4240406F" w:rsidR="00A231E3" w:rsidRPr="00D81064" w:rsidRDefault="00A231E3" w:rsidP="00A231E3">
      <w:pPr>
        <w:rPr>
          <w:rFonts w:eastAsia="Calibri" w:cs="Calibri"/>
          <w:lang w:val="ru-RU"/>
        </w:rPr>
      </w:pPr>
      <w:r w:rsidRPr="00D81064">
        <w:rPr>
          <w:lang w:val="ru-RU"/>
        </w:rPr>
        <w:t>28.</w:t>
      </w:r>
      <w:r w:rsidR="00C86443" w:rsidRPr="00D81064">
        <w:rPr>
          <w:lang w:val="ru-RU"/>
        </w:rPr>
        <w:t>6</w:t>
      </w:r>
      <w:r w:rsidRPr="00D81064">
        <w:rPr>
          <w:lang w:val="ru-RU"/>
        </w:rPr>
        <w:tab/>
        <w:t>Одна из Советников подчеркнула, что аудиты должны приводить к принятию корректирующих мер, обеспечению измеримой выгоды, снижению затрат, смягчению рисков и ощутимому повышению эффективности деятельности. Несколько Советников просили представить дополнительную информацию, в том числе о том, почему выполнение рекомендаций, вынесенных в 2017 году, до сих пор не завершено, каким образом устанавливается приоритетность рекомендаций по итогам аудита, каковы критерии отбора рекомендаций для последующих действий и планируются ли аудиторские проверки других региональных или зональных отделений и департаментов штаб-квартиры. Советники предложили, в частности, чтобы будущая отчетность включала ежегодный обзор плана аудита, основанного на оценке рисков, а ежегодный отчет об аудиторской проверке содержал всеобъемлющее заявление о независимости в соответствии с передовым опытом. Один из наблюдателей предложил, чтобы оценка риска корпоративного мошенничества и система подотчетности МСЭ оставались предметом регулярных аудиторских проверок на постоянной основе.</w:t>
      </w:r>
    </w:p>
    <w:p w14:paraId="5F101921" w14:textId="06E6AE36" w:rsidR="00A231E3" w:rsidRPr="00D81064" w:rsidRDefault="00A231E3" w:rsidP="00A231E3">
      <w:pPr>
        <w:rPr>
          <w:rFonts w:eastAsia="Calibri" w:cs="Calibri"/>
          <w:szCs w:val="24"/>
          <w:lang w:val="ru-RU"/>
        </w:rPr>
      </w:pPr>
      <w:r w:rsidRPr="00D81064">
        <w:rPr>
          <w:lang w:val="ru-RU"/>
        </w:rPr>
        <w:t>28.</w:t>
      </w:r>
      <w:r w:rsidR="00C86443" w:rsidRPr="00D81064">
        <w:rPr>
          <w:lang w:val="ru-RU"/>
        </w:rPr>
        <w:t>7</w:t>
      </w:r>
      <w:r w:rsidRPr="00D81064">
        <w:rPr>
          <w:lang w:val="ru-RU"/>
        </w:rPr>
        <w:tab/>
        <w:t xml:space="preserve">Комитет </w:t>
      </w:r>
      <w:r w:rsidRPr="00D81064">
        <w:rPr>
          <w:b/>
          <w:bCs/>
          <w:lang w:val="ru-RU"/>
        </w:rPr>
        <w:t xml:space="preserve">принял решение </w:t>
      </w:r>
      <w:r w:rsidRPr="00D81064">
        <w:rPr>
          <w:lang w:val="ru-RU"/>
        </w:rPr>
        <w:t>сделать по данному вопросу следующее заключение:</w:t>
      </w:r>
    </w:p>
    <w:p w14:paraId="07A0F865" w14:textId="129FAF8B" w:rsidR="00A231E3" w:rsidRPr="00D81064" w:rsidRDefault="00A231E3" w:rsidP="00A231E3">
      <w:pPr>
        <w:pBdr>
          <w:top w:val="single" w:sz="4" w:space="1" w:color="auto"/>
          <w:left w:val="single" w:sz="4" w:space="4" w:color="auto"/>
          <w:bottom w:val="single" w:sz="4" w:space="1" w:color="auto"/>
          <w:right w:val="single" w:sz="4" w:space="4" w:color="auto"/>
        </w:pBdr>
        <w:rPr>
          <w:lang w:val="ru-RU"/>
        </w:rPr>
      </w:pPr>
      <w:r w:rsidRPr="00D81064">
        <w:rPr>
          <w:lang w:val="ru-RU"/>
        </w:rPr>
        <w:t>28.</w:t>
      </w:r>
      <w:r w:rsidR="00C86443" w:rsidRPr="00D81064">
        <w:rPr>
          <w:lang w:val="ru-RU"/>
        </w:rPr>
        <w:t>8</w:t>
      </w:r>
      <w:r w:rsidRPr="00D81064">
        <w:rPr>
          <w:lang w:val="ru-RU"/>
        </w:rPr>
        <w:tab/>
        <w:t>Комитет рекомендует Совету:</w:t>
      </w:r>
    </w:p>
    <w:p w14:paraId="4565FDFA" w14:textId="36BB1C27" w:rsidR="00A231E3" w:rsidRPr="00D81064" w:rsidRDefault="00A231E3" w:rsidP="00A231E3">
      <w:pPr>
        <w:pStyle w:val="enumlev1"/>
        <w:pBdr>
          <w:top w:val="single" w:sz="4" w:space="1" w:color="auto"/>
          <w:left w:val="single" w:sz="4" w:space="4" w:color="auto"/>
          <w:bottom w:val="single" w:sz="4" w:space="1" w:color="auto"/>
          <w:right w:val="single" w:sz="4" w:space="4" w:color="auto"/>
        </w:pBdr>
        <w:rPr>
          <w:lang w:val="ru-RU"/>
        </w:rPr>
      </w:pPr>
      <w:r w:rsidRPr="00D81064">
        <w:rPr>
          <w:lang w:val="ru-RU"/>
        </w:rPr>
        <w:t>•</w:t>
      </w:r>
      <w:r w:rsidRPr="00D81064">
        <w:rPr>
          <w:lang w:val="ru-RU"/>
        </w:rPr>
        <w:tab/>
        <w:t xml:space="preserve">принять к сведению отчет, содержащийся в Документе </w:t>
      </w:r>
      <w:hyperlink r:id="rId190" w:history="1">
        <w:r w:rsidRPr="00D81064">
          <w:rPr>
            <w:rStyle w:val="Hyperlink"/>
            <w:lang w:val="ru-RU"/>
          </w:rPr>
          <w:t>C26/44</w:t>
        </w:r>
      </w:hyperlink>
      <w:r w:rsidR="00593E6D" w:rsidRPr="00D81064">
        <w:rPr>
          <w:lang w:val="ru-RU"/>
        </w:rPr>
        <w:t>;</w:t>
      </w:r>
    </w:p>
    <w:p w14:paraId="38825CC5" w14:textId="5DF1A137" w:rsidR="00593E6D" w:rsidRPr="00D81064" w:rsidRDefault="00593E6D" w:rsidP="00A231E3">
      <w:pPr>
        <w:pStyle w:val="enumlev1"/>
        <w:pBdr>
          <w:top w:val="single" w:sz="4" w:space="1" w:color="auto"/>
          <w:left w:val="single" w:sz="4" w:space="4" w:color="auto"/>
          <w:bottom w:val="single" w:sz="4" w:space="1" w:color="auto"/>
          <w:right w:val="single" w:sz="4" w:space="4" w:color="auto"/>
        </w:pBdr>
        <w:rPr>
          <w:lang w:val="ru-RU"/>
        </w:rPr>
      </w:pPr>
      <w:r w:rsidRPr="00D81064">
        <w:rPr>
          <w:lang w:val="ru-RU"/>
        </w:rPr>
        <w:t>•</w:t>
      </w:r>
      <w:r w:rsidRPr="00D81064">
        <w:rPr>
          <w:lang w:val="ru-RU"/>
        </w:rPr>
        <w:tab/>
        <w:t xml:space="preserve">поручить </w:t>
      </w:r>
      <w:r w:rsidR="00B31145" w:rsidRPr="00D81064">
        <w:rPr>
          <w:lang w:val="ru-RU"/>
        </w:rPr>
        <w:t xml:space="preserve">Секретариату </w:t>
      </w:r>
      <w:r w:rsidRPr="00D81064">
        <w:rPr>
          <w:lang w:val="ru-RU"/>
        </w:rPr>
        <w:t xml:space="preserve">представить к 31 июля 2026 года обновленный отчет с информацией, запрошенной в ходе обсуждений </w:t>
      </w:r>
      <w:r w:rsidR="00B31145" w:rsidRPr="00D81064">
        <w:rPr>
          <w:lang w:val="ru-RU"/>
        </w:rPr>
        <w:t>на</w:t>
      </w:r>
      <w:r w:rsidRPr="00D81064">
        <w:rPr>
          <w:lang w:val="ru-RU"/>
        </w:rPr>
        <w:t xml:space="preserve"> Совете.</w:t>
      </w:r>
    </w:p>
    <w:p w14:paraId="6AE49FEB" w14:textId="389A7492" w:rsidR="00741278" w:rsidRPr="00D81064" w:rsidRDefault="00741278" w:rsidP="00901946">
      <w:pPr>
        <w:pStyle w:val="Heading1"/>
        <w:rPr>
          <w:bCs/>
          <w:szCs w:val="26"/>
          <w:lang w:val="ru-RU"/>
        </w:rPr>
      </w:pPr>
      <w:r w:rsidRPr="00D81064">
        <w:rPr>
          <w:bCs/>
          <w:lang w:val="ru-RU"/>
        </w:rPr>
        <w:t>2</w:t>
      </w:r>
      <w:r w:rsidR="008F1A7E" w:rsidRPr="00D81064">
        <w:rPr>
          <w:bCs/>
          <w:lang w:val="ru-RU"/>
        </w:rPr>
        <w:t>9</w:t>
      </w:r>
      <w:r w:rsidRPr="00D81064">
        <w:rPr>
          <w:lang w:val="ru-RU"/>
        </w:rPr>
        <w:tab/>
      </w:r>
      <w:r w:rsidRPr="00D81064">
        <w:rPr>
          <w:bCs/>
          <w:lang w:val="ru-RU"/>
        </w:rPr>
        <w:t>Отчет Подразделения по надзору</w:t>
      </w:r>
      <w:r w:rsidR="00901946" w:rsidRPr="00D81064">
        <w:rPr>
          <w:bCs/>
          <w:lang w:val="ru-RU"/>
        </w:rPr>
        <w:t xml:space="preserve"> о ф</w:t>
      </w:r>
      <w:r w:rsidRPr="00D81064">
        <w:rPr>
          <w:bCs/>
          <w:szCs w:val="26"/>
          <w:lang w:val="ru-RU"/>
        </w:rPr>
        <w:t>ункци</w:t>
      </w:r>
      <w:r w:rsidR="00901946" w:rsidRPr="00D81064">
        <w:rPr>
          <w:bCs/>
          <w:szCs w:val="26"/>
          <w:lang w:val="ru-RU"/>
        </w:rPr>
        <w:t>и</w:t>
      </w:r>
      <w:r w:rsidRPr="00D81064">
        <w:rPr>
          <w:bCs/>
          <w:szCs w:val="26"/>
          <w:lang w:val="ru-RU"/>
        </w:rPr>
        <w:t xml:space="preserve"> расследования (Документ</w:t>
      </w:r>
      <w:r w:rsidR="00A231E3" w:rsidRPr="00D81064">
        <w:rPr>
          <w:bCs/>
          <w:szCs w:val="26"/>
          <w:lang w:val="ru-RU"/>
        </w:rPr>
        <w:t> </w:t>
      </w:r>
      <w:hyperlink r:id="rId191" w:history="1">
        <w:r w:rsidRPr="00D81064">
          <w:rPr>
            <w:bCs/>
            <w:color w:val="4F81BD" w:themeColor="accent1"/>
            <w:szCs w:val="26"/>
            <w:u w:val="single"/>
            <w:lang w:val="ru-RU"/>
          </w:rPr>
          <w:t>C26/39</w:t>
        </w:r>
      </w:hyperlink>
      <w:r w:rsidRPr="00D81064">
        <w:rPr>
          <w:bCs/>
          <w:szCs w:val="26"/>
          <w:lang w:val="ru-RU"/>
        </w:rPr>
        <w:t>)</w:t>
      </w:r>
    </w:p>
    <w:p w14:paraId="6DA08E59" w14:textId="1170B8E5" w:rsidR="009F4BFD" w:rsidRPr="00D81064" w:rsidRDefault="009F4BFD" w:rsidP="009F4BFD">
      <w:pPr>
        <w:rPr>
          <w:rFonts w:cs="Calibri"/>
          <w:lang w:val="ru-RU"/>
        </w:rPr>
      </w:pPr>
      <w:r w:rsidRPr="00D81064">
        <w:rPr>
          <w:lang w:val="ru-RU"/>
        </w:rPr>
        <w:t>2</w:t>
      </w:r>
      <w:r w:rsidR="008F1A7E" w:rsidRPr="00D81064">
        <w:rPr>
          <w:lang w:val="ru-RU"/>
        </w:rPr>
        <w:t>9</w:t>
      </w:r>
      <w:r w:rsidRPr="00D81064">
        <w:rPr>
          <w:lang w:val="ru-RU"/>
        </w:rPr>
        <w:t>.1</w:t>
      </w:r>
      <w:r w:rsidRPr="00D81064">
        <w:rPr>
          <w:lang w:val="ru-RU"/>
        </w:rPr>
        <w:tab/>
        <w:t>Руководитель Подразделения по надзору представил Документ C26/39, в котором содержится отчет Подразделения по надзору об осуществлении функции проведения расследований за период с 1 января 2025 года по 31 декабря 2025 года. В течение этого периода ограничений доступа к помещениям, персоналу или документации не было. Был официально зарегистрирован один случай вмешательства в независимость расследования. За</w:t>
      </w:r>
      <w:r w:rsidR="00997CB4" w:rsidRPr="00D81064">
        <w:rPr>
          <w:lang w:val="ru-RU"/>
        </w:rPr>
        <w:t> </w:t>
      </w:r>
      <w:r w:rsidRPr="00D81064">
        <w:rPr>
          <w:lang w:val="ru-RU"/>
        </w:rPr>
        <w:t>отчетный период Подразделение по надзору рассмотрело 76 дел, из которых 51 было новым, а</w:t>
      </w:r>
      <w:r w:rsidR="00997CB4" w:rsidRPr="00D81064">
        <w:rPr>
          <w:lang w:val="ru-RU"/>
        </w:rPr>
        <w:t> </w:t>
      </w:r>
      <w:r w:rsidRPr="00D81064">
        <w:rPr>
          <w:lang w:val="ru-RU"/>
        </w:rPr>
        <w:t xml:space="preserve">25 были перенесены с 2024 года. 58 дел было закрыто. В общей сложности было инициировано 15 расследований, 12 из которых были закрыты, при этом шесть из них были признаны обоснованными. </w:t>
      </w:r>
    </w:p>
    <w:p w14:paraId="4381E08C" w14:textId="25F7CBA2" w:rsidR="009F4BFD" w:rsidRPr="00D81064" w:rsidRDefault="009F4BFD" w:rsidP="009F4BFD">
      <w:pPr>
        <w:rPr>
          <w:lang w:val="ru-RU"/>
        </w:rPr>
      </w:pPr>
      <w:r w:rsidRPr="00D81064">
        <w:rPr>
          <w:lang w:val="ru-RU"/>
        </w:rPr>
        <w:t>2</w:t>
      </w:r>
      <w:r w:rsidR="008F1A7E" w:rsidRPr="00D81064">
        <w:rPr>
          <w:lang w:val="ru-RU"/>
        </w:rPr>
        <w:t>9</w:t>
      </w:r>
      <w:r w:rsidRPr="00D81064">
        <w:rPr>
          <w:lang w:val="ru-RU"/>
        </w:rPr>
        <w:t>.2</w:t>
      </w:r>
      <w:r w:rsidRPr="00D81064">
        <w:rPr>
          <w:lang w:val="ru-RU"/>
        </w:rPr>
        <w:tab/>
        <w:t xml:space="preserve">Советники дали высокую оценку отчету и недавно выпущенному информационному документу (Документ </w:t>
      </w:r>
      <w:hyperlink r:id="rId192" w:history="1">
        <w:r w:rsidR="00901946" w:rsidRPr="00D81064">
          <w:rPr>
            <w:rStyle w:val="Hyperlink"/>
            <w:lang w:val="ru-RU"/>
          </w:rPr>
          <w:t>C26/INF/28</w:t>
        </w:r>
      </w:hyperlink>
      <w:r w:rsidRPr="00D81064">
        <w:rPr>
          <w:lang w:val="ru-RU"/>
        </w:rPr>
        <w:t>), что является важным шагом с точки зрения прозрачности. Одна из Советников подчеркнула, что для организационной подотчетности требуются комплексные меры и, следовательно, комплексная отчетность. У Государств-Членов не должно быть необходимости запрашивать дополнительную информацию в письменном виде. Ее администрация ожидает, что впредь полная и всеобъемлющая отчетность станет нормой, в противном случае администрация пересмотрит свою позицию и взносы.</w:t>
      </w:r>
    </w:p>
    <w:p w14:paraId="68902A35" w14:textId="7B52C5A8" w:rsidR="009F4BFD" w:rsidRPr="00D81064" w:rsidRDefault="009F4BFD" w:rsidP="009F4BFD">
      <w:pPr>
        <w:rPr>
          <w:lang w:val="ru-RU"/>
        </w:rPr>
      </w:pPr>
      <w:r w:rsidRPr="00D81064">
        <w:rPr>
          <w:lang w:val="ru-RU"/>
        </w:rPr>
        <w:t>2</w:t>
      </w:r>
      <w:r w:rsidR="008F1A7E" w:rsidRPr="00D81064">
        <w:rPr>
          <w:lang w:val="ru-RU"/>
        </w:rPr>
        <w:t>9</w:t>
      </w:r>
      <w:r w:rsidRPr="00D81064">
        <w:rPr>
          <w:lang w:val="ru-RU"/>
        </w:rPr>
        <w:t>.3</w:t>
      </w:r>
      <w:r w:rsidRPr="00D81064">
        <w:rPr>
          <w:lang w:val="ru-RU"/>
        </w:rPr>
        <w:tab/>
        <w:t xml:space="preserve">Несколько Советников отметили значительное увеличение числа инициированных дел и значительную долю обвинений, связанных с мошенничеством и коррупцией. Была запрошена дополнительная информация о корректирующих мерах, принятых в случае признания дел обоснованными. Была выражена обеспокоенность в связи с большим числом </w:t>
      </w:r>
      <w:r w:rsidRPr="00D81064">
        <w:rPr>
          <w:lang w:val="ru-RU"/>
        </w:rPr>
        <w:lastRenderedPageBreak/>
        <w:t>случаев, в отношении которых было принято решение о невозможности принятия к рассмотрению; Советники поинтересовались, не имеет ли место нехватка осведомленности о том, что считается обоснованным обвинением. Было рекомендовано проводить более тщательный предварительный анализ перед началом расследования. Было запрошено разъяснение по поводу кадрового обеспечения функции расследования.</w:t>
      </w:r>
    </w:p>
    <w:p w14:paraId="7DB01ACD" w14:textId="47B44626" w:rsidR="009F4BFD" w:rsidRPr="00D81064" w:rsidRDefault="009F4BFD" w:rsidP="009F4BFD">
      <w:pPr>
        <w:rPr>
          <w:lang w:val="ru-RU"/>
        </w:rPr>
      </w:pPr>
      <w:r w:rsidRPr="00D81064">
        <w:rPr>
          <w:lang w:val="ru-RU"/>
        </w:rPr>
        <w:t>2</w:t>
      </w:r>
      <w:r w:rsidR="008F1A7E" w:rsidRPr="00D81064">
        <w:rPr>
          <w:lang w:val="ru-RU"/>
        </w:rPr>
        <w:t>9</w:t>
      </w:r>
      <w:r w:rsidRPr="00D81064">
        <w:rPr>
          <w:lang w:val="ru-RU"/>
        </w:rPr>
        <w:t>.4</w:t>
      </w:r>
      <w:r w:rsidRPr="00D81064">
        <w:rPr>
          <w:lang w:val="ru-RU"/>
        </w:rPr>
        <w:tab/>
        <w:t xml:space="preserve">Доверие к надзорной функции требует обеспечения ее абсолютной независимости; любое послабление в этом отношении является причиной для обеспокоенности. В связи с этим Советники просили уточнить, какие обеспечивающие меры были приняты в этом плане, какие уроки извлечены и какие корректирующие шаги предприняты для предотвращения какого-либо вмешательства в дальнейшем. Было бы желательно провести оценку Подразделения по надзору. Один из Советников выразил обеспокоенность в связи с возможным ростом объема невыполненной работы, учитывая растущее число инициированных дел, и предостерег, что несвоевременное завершение расследований может подорвать доверие к надзорной функции. В будущем в отчеты следует включать более подробную информацию, в том числе о нагрузке на каждого специалиста по расследованиям, об использованных ресурсах в процентном отношении к доходам МСЭ, а также о сроках проведения расследований. Еще одна из Советников подчеркнула значимость представления Совету полной информации, в частности данных в разбивке по категориям дел, для повышения прозрачности и выявления тенденций в рамках организации. Такая подробная информация особенно важна в отношении большого числа инициированных дел, которые были классифицированы как "Выходит за рамки мандата" и "Другое". Администрация ее страны не согласна с утверждением </w:t>
      </w:r>
      <w:r w:rsidR="00373264" w:rsidRPr="00D81064">
        <w:rPr>
          <w:lang w:val="ru-RU"/>
        </w:rPr>
        <w:t>Секретариата</w:t>
      </w:r>
      <w:r w:rsidRPr="00D81064">
        <w:rPr>
          <w:lang w:val="ru-RU"/>
        </w:rPr>
        <w:t>, что не все обвинения в неправомерном поведении требуют категоризации; четкая терминология позволила бы проводить сравнения по годам и содействовать принятию обоснованных решений.</w:t>
      </w:r>
    </w:p>
    <w:p w14:paraId="68012BB9" w14:textId="7362B635" w:rsidR="009F4BFD" w:rsidRPr="00D81064" w:rsidRDefault="009F4BFD" w:rsidP="009F4BFD">
      <w:pPr>
        <w:rPr>
          <w:rFonts w:eastAsia="Calibri" w:cs="Calibri"/>
          <w:lang w:val="ru-RU"/>
        </w:rPr>
      </w:pPr>
      <w:r w:rsidRPr="00D81064">
        <w:rPr>
          <w:lang w:val="ru-RU"/>
        </w:rPr>
        <w:t>2</w:t>
      </w:r>
      <w:r w:rsidR="008F1A7E" w:rsidRPr="00D81064">
        <w:rPr>
          <w:lang w:val="ru-RU"/>
        </w:rPr>
        <w:t>9</w:t>
      </w:r>
      <w:r w:rsidRPr="00D81064">
        <w:rPr>
          <w:lang w:val="ru-RU"/>
        </w:rPr>
        <w:t>.5</w:t>
      </w:r>
      <w:r w:rsidRPr="00D81064">
        <w:rPr>
          <w:lang w:val="ru-RU"/>
        </w:rPr>
        <w:tab/>
        <w:t xml:space="preserve">Руководитель Подразделения по надзору, отвечая на заданные вопросы, заявил, что число зарегистрированных случаев мошенничества и коррупции соответствует ожиданиям; дела касались преимущественно мошенничества с получением льгот, а меры по исправлению ситуации были приняты HRMD. Один случай мошенничества, признанный обоснованным, касался вопроса, связанного с людскими ресурсами, и соответствующие элементы были рассмотрены HRMD. Показатели трансформации производства из одного вида в другой, как и показатели признания обоснованности также в значительной степени соответствуют мировым стандартам; согласно отраслевым контрольным показателям и передовому опыту, в давно учрежденных подразделениях, отвечающих за функцию по обеспечению нормативно-правового соответствия, официальные расследования инициируются по 40–60 процентам заявлений. Доля принимаемых к рассмотрению дел – 50 процентов – не вызывает обеспокоенности. Использование формулировки "Выходит за рамки мандата" является частью делопроизводственной функции Подразделения по надзору. Подразделение по надзору было создано недавно и провело большую разъяснительную работу, которая способствовала увеличению числа донесений. Расширение активности не вызывает удивления, равно как и тот факт, что не все обвинения входят в мандат подразделения, что, вероятно, будет меняться в лучшую сторону по мере дальнейшего проведения разъяснительной работы. Хотя из-за увеличения рабочей нагрузки и нехватки ресурсов накопился определенный объем невыполненной работы, факторы, которые привели к этому, были доведены до сведения IMAC и устранены с привлечением краткосрочных ресурсов. Существует одна постоянная должность специалиста по расследованиям категории P4, которая была дополнена должностью P4 с краткосрочным контрактом сроком действия до июля 2026 года, возможность продления которого в настоящее время рассматривается. Помощь оказывает также сотрудник по надзору категории P2, работающий на краткосрочном контракте. Дисциплинарные меры выходят за рамки мандата Подразделения по надзору и освещаются в отчете, который Совету представит HRMD. Можно принять дополнительные меры для подготовки отчетности в соответствии с запросами Советников и предоставления более подробной дезагрегированной информации, </w:t>
      </w:r>
      <w:r w:rsidRPr="00D81064">
        <w:rPr>
          <w:lang w:val="ru-RU"/>
        </w:rPr>
        <w:lastRenderedPageBreak/>
        <w:t>возможно в виде информационного документа. Просьба о предоставлении конкретной информации о видах дел, отнесенных к категории "Другое", была принята к сведению, однако использование формулировки "Другое" полностью соответствует практике расследований Организации Объединенных Наций.</w:t>
      </w:r>
    </w:p>
    <w:p w14:paraId="0FF73ECA" w14:textId="50D1C814" w:rsidR="009F4BFD" w:rsidRPr="00D81064" w:rsidRDefault="009F4BFD" w:rsidP="005F68EC">
      <w:pPr>
        <w:keepNext/>
        <w:keepLines/>
        <w:rPr>
          <w:rFonts w:eastAsia="Calibri" w:cs="Calibri"/>
          <w:szCs w:val="24"/>
          <w:lang w:val="ru-RU"/>
        </w:rPr>
      </w:pPr>
      <w:r w:rsidRPr="00D81064">
        <w:rPr>
          <w:lang w:val="ru-RU"/>
        </w:rPr>
        <w:t>2</w:t>
      </w:r>
      <w:r w:rsidR="008F1A7E" w:rsidRPr="00D81064">
        <w:rPr>
          <w:lang w:val="ru-RU"/>
        </w:rPr>
        <w:t>9</w:t>
      </w:r>
      <w:r w:rsidRPr="00D81064">
        <w:rPr>
          <w:lang w:val="ru-RU"/>
        </w:rPr>
        <w:t>.6</w:t>
      </w:r>
      <w:r w:rsidRPr="00D81064">
        <w:rPr>
          <w:lang w:val="ru-RU"/>
        </w:rPr>
        <w:tab/>
        <w:t xml:space="preserve">Комитет </w:t>
      </w:r>
      <w:r w:rsidRPr="00D81064">
        <w:rPr>
          <w:b/>
          <w:bCs/>
          <w:lang w:val="ru-RU"/>
        </w:rPr>
        <w:t>принял решение</w:t>
      </w:r>
      <w:r w:rsidRPr="00D81064">
        <w:rPr>
          <w:lang w:val="ru-RU"/>
        </w:rPr>
        <w:t xml:space="preserve"> сделать по данному вопросу следующее заключение:</w:t>
      </w:r>
    </w:p>
    <w:p w14:paraId="1B30720C" w14:textId="56ABE2E3" w:rsidR="009F4BFD" w:rsidRPr="00D81064" w:rsidRDefault="009F4BFD" w:rsidP="00527E2B">
      <w:pPr>
        <w:keepNext/>
        <w:keepLines/>
        <w:pBdr>
          <w:top w:val="single" w:sz="4" w:space="1" w:color="auto"/>
          <w:left w:val="single" w:sz="4" w:space="4" w:color="auto"/>
          <w:bottom w:val="single" w:sz="4" w:space="1" w:color="auto"/>
          <w:right w:val="single" w:sz="4" w:space="4" w:color="auto"/>
        </w:pBdr>
        <w:rPr>
          <w:lang w:val="ru-RU"/>
        </w:rPr>
      </w:pPr>
      <w:r w:rsidRPr="00D81064">
        <w:rPr>
          <w:lang w:val="ru-RU"/>
        </w:rPr>
        <w:t>2</w:t>
      </w:r>
      <w:r w:rsidR="008F1A7E" w:rsidRPr="00D81064">
        <w:rPr>
          <w:lang w:val="ru-RU"/>
        </w:rPr>
        <w:t>9</w:t>
      </w:r>
      <w:r w:rsidRPr="00D81064">
        <w:rPr>
          <w:lang w:val="ru-RU"/>
        </w:rPr>
        <w:t>.7</w:t>
      </w:r>
      <w:r w:rsidRPr="00D81064">
        <w:rPr>
          <w:lang w:val="ru-RU"/>
        </w:rPr>
        <w:tab/>
        <w:t>Комитет рекомендует Совету:</w:t>
      </w:r>
    </w:p>
    <w:p w14:paraId="2C9405B6" w14:textId="4DE776AB" w:rsidR="009F4BFD" w:rsidRPr="00D81064" w:rsidRDefault="009F4BFD" w:rsidP="00527E2B">
      <w:pPr>
        <w:pStyle w:val="enumlev1"/>
        <w:pBdr>
          <w:top w:val="single" w:sz="4" w:space="1" w:color="auto"/>
          <w:left w:val="single" w:sz="4" w:space="4" w:color="auto"/>
          <w:bottom w:val="single" w:sz="4" w:space="1" w:color="auto"/>
          <w:right w:val="single" w:sz="4" w:space="4" w:color="auto"/>
        </w:pBdr>
        <w:rPr>
          <w:lang w:val="ru-RU"/>
        </w:rPr>
      </w:pPr>
      <w:r w:rsidRPr="00D81064">
        <w:rPr>
          <w:lang w:val="ru-RU"/>
        </w:rPr>
        <w:t>•</w:t>
      </w:r>
      <w:r w:rsidRPr="00D81064">
        <w:rPr>
          <w:lang w:val="ru-RU"/>
        </w:rPr>
        <w:tab/>
        <w:t xml:space="preserve">принять к сведению отчет, содержащийся в Документе </w:t>
      </w:r>
      <w:hyperlink r:id="rId193" w:history="1">
        <w:r w:rsidRPr="00D81064">
          <w:rPr>
            <w:rStyle w:val="Hyperlink"/>
            <w:bCs/>
            <w:lang w:val="ru-RU"/>
          </w:rPr>
          <w:t>C26/39</w:t>
        </w:r>
      </w:hyperlink>
      <w:r w:rsidR="00593E6D" w:rsidRPr="00D81064">
        <w:rPr>
          <w:lang w:val="ru-RU"/>
        </w:rPr>
        <w:t>;</w:t>
      </w:r>
    </w:p>
    <w:p w14:paraId="44D02BFB" w14:textId="5B35728B" w:rsidR="00593E6D" w:rsidRPr="00D81064" w:rsidRDefault="00593E6D" w:rsidP="00527E2B">
      <w:pPr>
        <w:pStyle w:val="enumlev1"/>
        <w:pBdr>
          <w:top w:val="single" w:sz="4" w:space="1" w:color="auto"/>
          <w:left w:val="single" w:sz="4" w:space="4" w:color="auto"/>
          <w:bottom w:val="single" w:sz="4" w:space="1" w:color="auto"/>
          <w:right w:val="single" w:sz="4" w:space="4" w:color="auto"/>
        </w:pBdr>
        <w:rPr>
          <w:lang w:val="ru-RU"/>
        </w:rPr>
      </w:pPr>
      <w:r w:rsidRPr="00D81064">
        <w:rPr>
          <w:lang w:val="ru-RU"/>
        </w:rPr>
        <w:t>•</w:t>
      </w:r>
      <w:r w:rsidRPr="00D81064">
        <w:rPr>
          <w:lang w:val="ru-RU"/>
        </w:rPr>
        <w:tab/>
        <w:t xml:space="preserve">настоятельно рекомендовать </w:t>
      </w:r>
      <w:r w:rsidR="00B31145" w:rsidRPr="00D81064">
        <w:rPr>
          <w:lang w:val="ru-RU"/>
        </w:rPr>
        <w:t xml:space="preserve">Секретариату </w:t>
      </w:r>
      <w:r w:rsidRPr="00D81064">
        <w:rPr>
          <w:lang w:val="ru-RU"/>
        </w:rPr>
        <w:t>принять необходимые меры для обеспечения рассмотрения сообщенных случаев на основании фактов и правовых норм;</w:t>
      </w:r>
    </w:p>
    <w:p w14:paraId="1762092B" w14:textId="5F07517F" w:rsidR="00593E6D" w:rsidRPr="00D81064" w:rsidRDefault="00593E6D" w:rsidP="00527E2B">
      <w:pPr>
        <w:pStyle w:val="enumlev1"/>
        <w:pBdr>
          <w:top w:val="single" w:sz="4" w:space="1" w:color="auto"/>
          <w:left w:val="single" w:sz="4" w:space="4" w:color="auto"/>
          <w:bottom w:val="single" w:sz="4" w:space="1" w:color="auto"/>
          <w:right w:val="single" w:sz="4" w:space="4" w:color="auto"/>
        </w:pBdr>
        <w:rPr>
          <w:lang w:val="ru-RU"/>
        </w:rPr>
      </w:pPr>
      <w:r w:rsidRPr="00D81064">
        <w:rPr>
          <w:lang w:val="ru-RU"/>
        </w:rPr>
        <w:t>•</w:t>
      </w:r>
      <w:r w:rsidRPr="00D81064">
        <w:rPr>
          <w:lang w:val="ru-RU"/>
        </w:rPr>
        <w:tab/>
        <w:t xml:space="preserve">поручить </w:t>
      </w:r>
      <w:r w:rsidR="00B31145" w:rsidRPr="00D81064">
        <w:rPr>
          <w:lang w:val="ru-RU"/>
        </w:rPr>
        <w:t xml:space="preserve">Секретариату </w:t>
      </w:r>
      <w:r w:rsidRPr="00D81064">
        <w:rPr>
          <w:lang w:val="ru-RU"/>
        </w:rPr>
        <w:t xml:space="preserve">представить к 31 июля 2026 года обновленный отчет с информацией, запрошенной в ходе обсуждений </w:t>
      </w:r>
      <w:r w:rsidR="00B31145" w:rsidRPr="00D81064">
        <w:rPr>
          <w:lang w:val="ru-RU"/>
        </w:rPr>
        <w:t>на</w:t>
      </w:r>
      <w:r w:rsidRPr="00D81064">
        <w:rPr>
          <w:lang w:val="ru-RU"/>
        </w:rPr>
        <w:t xml:space="preserve"> Совете, в том числе о возможностях функции расследования и достаточности выделенных для нее ресурсов.</w:t>
      </w:r>
    </w:p>
    <w:p w14:paraId="5FD7E3F2" w14:textId="73BDE3C1" w:rsidR="00741278" w:rsidRPr="00D81064" w:rsidRDefault="008F1A7E" w:rsidP="00C86443">
      <w:pPr>
        <w:pStyle w:val="Heading1"/>
        <w:rPr>
          <w:szCs w:val="26"/>
          <w:lang w:val="ru-RU"/>
        </w:rPr>
      </w:pPr>
      <w:r w:rsidRPr="00D81064">
        <w:rPr>
          <w:bCs/>
          <w:szCs w:val="26"/>
          <w:lang w:val="ru-RU"/>
        </w:rPr>
        <w:t>30</w:t>
      </w:r>
      <w:r w:rsidR="002759CF" w:rsidRPr="00D81064">
        <w:rPr>
          <w:bCs/>
          <w:szCs w:val="26"/>
          <w:lang w:val="ru-RU"/>
        </w:rPr>
        <w:tab/>
        <w:t xml:space="preserve">Отчет Подразделения по надзору о двухгодичном </w:t>
      </w:r>
      <w:r w:rsidR="00741278" w:rsidRPr="00D81064">
        <w:rPr>
          <w:bCs/>
          <w:szCs w:val="26"/>
          <w:lang w:val="ru-RU"/>
        </w:rPr>
        <w:t>план</w:t>
      </w:r>
      <w:r w:rsidR="002759CF" w:rsidRPr="00D81064">
        <w:rPr>
          <w:bCs/>
          <w:szCs w:val="26"/>
          <w:lang w:val="ru-RU"/>
        </w:rPr>
        <w:t>е</w:t>
      </w:r>
      <w:r w:rsidR="00741278" w:rsidRPr="00D81064">
        <w:rPr>
          <w:bCs/>
          <w:szCs w:val="26"/>
          <w:lang w:val="ru-RU"/>
        </w:rPr>
        <w:t xml:space="preserve"> оценки (</w:t>
      </w:r>
      <w:proofErr w:type="gramStart"/>
      <w:r w:rsidR="00741278" w:rsidRPr="00D81064">
        <w:rPr>
          <w:bCs/>
          <w:szCs w:val="26"/>
          <w:lang w:val="ru-RU"/>
        </w:rPr>
        <w:t>2026</w:t>
      </w:r>
      <w:r w:rsidR="00A231E3" w:rsidRPr="00D81064">
        <w:rPr>
          <w:bCs/>
          <w:szCs w:val="26"/>
          <w:lang w:val="ru-RU"/>
        </w:rPr>
        <w:t>−</w:t>
      </w:r>
      <w:r w:rsidR="00741278" w:rsidRPr="00D81064">
        <w:rPr>
          <w:bCs/>
          <w:szCs w:val="26"/>
          <w:lang w:val="ru-RU"/>
        </w:rPr>
        <w:t>2027</w:t>
      </w:r>
      <w:proofErr w:type="gramEnd"/>
      <w:r w:rsidR="00741278" w:rsidRPr="00D81064">
        <w:rPr>
          <w:bCs/>
          <w:szCs w:val="26"/>
          <w:lang w:val="ru-RU"/>
        </w:rPr>
        <w:t xml:space="preserve"> гг.) (Документ </w:t>
      </w:r>
      <w:hyperlink r:id="rId194" w:history="1">
        <w:r w:rsidR="00741278" w:rsidRPr="00D81064">
          <w:rPr>
            <w:bCs/>
            <w:color w:val="4F81BD" w:themeColor="accent1"/>
            <w:szCs w:val="26"/>
            <w:u w:val="single"/>
            <w:lang w:val="ru-RU"/>
          </w:rPr>
          <w:t>C26/45</w:t>
        </w:r>
      </w:hyperlink>
      <w:r w:rsidR="00741278" w:rsidRPr="00D81064">
        <w:rPr>
          <w:bCs/>
          <w:szCs w:val="26"/>
          <w:lang w:val="ru-RU"/>
        </w:rPr>
        <w:t>)</w:t>
      </w:r>
      <w:hyperlink r:id="rId195" w:history="1"/>
      <w:hyperlink r:id="rId196" w:history="1"/>
    </w:p>
    <w:p w14:paraId="78509234" w14:textId="262DBD93" w:rsidR="00741278" w:rsidRPr="00D81064" w:rsidRDefault="008F1A7E" w:rsidP="00741278">
      <w:pPr>
        <w:rPr>
          <w:lang w:val="ru-RU"/>
        </w:rPr>
      </w:pPr>
      <w:r w:rsidRPr="00D81064">
        <w:rPr>
          <w:lang w:val="ru-RU"/>
        </w:rPr>
        <w:t>30</w:t>
      </w:r>
      <w:r w:rsidR="00741278" w:rsidRPr="00D81064">
        <w:rPr>
          <w:lang w:val="ru-RU"/>
        </w:rPr>
        <w:t>.1</w:t>
      </w:r>
      <w:r w:rsidR="00741278" w:rsidRPr="00D81064">
        <w:rPr>
          <w:lang w:val="ru-RU"/>
        </w:rPr>
        <w:tab/>
        <w:t xml:space="preserve">Руководитель Подразделения по надзору представил на рассмотрение Совета Документ C26/45, содержащий план централизованных и децентрализованных оценок на </w:t>
      </w:r>
      <w:proofErr w:type="gramStart"/>
      <w:r w:rsidR="00741278" w:rsidRPr="00D81064">
        <w:rPr>
          <w:lang w:val="ru-RU"/>
        </w:rPr>
        <w:t>2026−2027</w:t>
      </w:r>
      <w:proofErr w:type="gramEnd"/>
      <w:r w:rsidR="00A231E3" w:rsidRPr="00D81064">
        <w:rPr>
          <w:lang w:val="ru-RU"/>
        </w:rPr>
        <w:t> </w:t>
      </w:r>
      <w:r w:rsidR="00741278" w:rsidRPr="00D81064">
        <w:rPr>
          <w:lang w:val="ru-RU"/>
        </w:rPr>
        <w:t>годы, которые будут проводиться группой по оценке в рамках Подразделения по надзору в соответствии с Уставом внутреннего надзора МСЭ.</w:t>
      </w:r>
    </w:p>
    <w:p w14:paraId="4605C62F" w14:textId="7942ACB4" w:rsidR="00741278" w:rsidRPr="00D81064" w:rsidRDefault="008F1A7E" w:rsidP="00741278">
      <w:pPr>
        <w:rPr>
          <w:lang w:val="ru-RU"/>
        </w:rPr>
      </w:pPr>
      <w:r w:rsidRPr="00D81064">
        <w:rPr>
          <w:lang w:val="ru-RU"/>
        </w:rPr>
        <w:t>30</w:t>
      </w:r>
      <w:r w:rsidR="00741278" w:rsidRPr="00D81064">
        <w:rPr>
          <w:lang w:val="ru-RU"/>
        </w:rPr>
        <w:t>.2</w:t>
      </w:r>
      <w:r w:rsidR="00741278" w:rsidRPr="00D81064">
        <w:rPr>
          <w:lang w:val="ru-RU"/>
        </w:rPr>
        <w:tab/>
        <w:t>Советники приветствовали этот план и выразили надежду на то, что внедрение новой функции оценки принесет положительные результаты. Были подняты вопросы, касающиеся практических аспектов функции надзора, в том числе того, на основании каких критериев Подразделение по надзору будет принимать решение о проведении экспресс-оценки или стандартной оценки, и каковы временные рамки для проведения каждой из этих оценок. Один из Советников предложил включать в план оценки общую цель. Советники поинтересовались, каким образом были определены области для проведения оценки, будет ли Совет иметь возможность рассмотреть их, и будет ли проводиться анализ воздействия этих оценок с доведением его результатов до сведения Совета. Были подняты вопросы относительно формата рекомендаций по оценке того, как будет контролироваться их выполнение и будет ли создана информационная панель с рекомендациями. Советники попросили разъяснить, каким образом будет укомплектован штат группы по оценке и предложили провести анализ затрат и выгод в отношении модели, основанной на привлечении консультантов. Один из Советников поддержал идею проведения оценки ФРИКТ, однако предупредил, что оценка инициативы "ИИ во благо" на данном этапе была бы преждевременной. Один из наблюдателей приветствовал создание функции оценки как одного из основных аспектов управления, ориентированного на результаты, и предложил учредить контактную группу Государств-Членов по аналогии с Группой Организации Объединенных Наций по оценке (ЮНЕГ). Было бы полезно провести неофициальный брифинг для Государств-Членов для предоставления им более подробной информации о деятельности группы по оценке по мере ее развития. Следует провести оценку процесса трансформации МСЭ и людских ресурсов.</w:t>
      </w:r>
    </w:p>
    <w:p w14:paraId="6690C520" w14:textId="2C828FB0" w:rsidR="00741278" w:rsidRPr="00D81064" w:rsidRDefault="008F1A7E" w:rsidP="00741278">
      <w:pPr>
        <w:rPr>
          <w:rFonts w:eastAsia="Calibri" w:cs="Calibri"/>
          <w:lang w:val="ru-RU"/>
        </w:rPr>
      </w:pPr>
      <w:r w:rsidRPr="00D81064">
        <w:rPr>
          <w:lang w:val="ru-RU"/>
        </w:rPr>
        <w:t>30</w:t>
      </w:r>
      <w:r w:rsidR="00741278" w:rsidRPr="00D81064">
        <w:rPr>
          <w:lang w:val="ru-RU"/>
        </w:rPr>
        <w:t>.3</w:t>
      </w:r>
      <w:r w:rsidR="00741278" w:rsidRPr="00D81064">
        <w:rPr>
          <w:lang w:val="ru-RU"/>
        </w:rPr>
        <w:tab/>
        <w:t xml:space="preserve">Руководитель Подразделения по надзору заявил, что обеспокоенность по поводу оценки инициативы "ИИ во благо", а также просьба о проведении оценки процесса трансформации и людских ресурсов были должным образом приняты к сведению. План оценки был составлен в процессе широких консультаций, в том числе со старшим руководством, при этом были учтены риски и практические аспекты проведения оценок, а также их потенциал в плане обеспечения полезной обратной связи для совершенствования функций организации. Был рассмотрен вопрос об использовании экспресс-оценок в первый </w:t>
      </w:r>
      <w:r w:rsidR="00741278" w:rsidRPr="00D81064">
        <w:rPr>
          <w:lang w:val="ru-RU"/>
        </w:rPr>
        <w:lastRenderedPageBreak/>
        <w:t>год проведения оценок для корректировки ожидаемых результатов с учетом имеющихся ресурсов. Стандартные оценки будут более всеобъемлющими и точными, и для их проведения потребуется больший объем ресурсов.</w:t>
      </w:r>
      <w:r w:rsidR="00206178" w:rsidRPr="00D81064">
        <w:rPr>
          <w:lang w:val="ru-RU"/>
        </w:rPr>
        <w:t xml:space="preserve"> Экспресс-оценки являются практическим средством предоставления подтверждающих данных, они полезны в случаях более коротких сроков и меньшего объема доступных ресурсов.</w:t>
      </w:r>
      <w:r w:rsidR="00741278" w:rsidRPr="00D81064">
        <w:rPr>
          <w:lang w:val="ru-RU"/>
        </w:rPr>
        <w:t xml:space="preserve"> При подготовке плана оценки в формулировку миссии может быть добавлена общая цель. Продолжается работа над структурой и политикой в области оценки, а на этапе определения сферы охвата будут составлены структуры для каждой отдельной оценки</w:t>
      </w:r>
      <w:r w:rsidR="00206178" w:rsidRPr="00D81064">
        <w:rPr>
          <w:lang w:val="ru-RU"/>
        </w:rPr>
        <w:t>; они будут включены в круг ведения</w:t>
      </w:r>
      <w:r w:rsidR="00741278" w:rsidRPr="00D81064">
        <w:rPr>
          <w:lang w:val="ru-RU"/>
        </w:rPr>
        <w:t xml:space="preserve">. Формат рекомендаций будет соответствовать руководящим указаниям ЮНЕГ, а выполнение рекомендаций будет отслеживаться с помощью информационной панели. Отчеты об оценке будут находиться в открытом доступе, а Подразделение по надзору будет ежегодно отчитываться перед Советом. Для </w:t>
      </w:r>
      <w:r w:rsidR="00206178" w:rsidRPr="00D81064">
        <w:rPr>
          <w:lang w:val="ru-RU"/>
        </w:rPr>
        <w:t xml:space="preserve">отбора </w:t>
      </w:r>
      <w:r w:rsidR="00741278" w:rsidRPr="00D81064">
        <w:rPr>
          <w:lang w:val="ru-RU"/>
        </w:rPr>
        <w:t>группы по оценке</w:t>
      </w:r>
      <w:r w:rsidR="00206178" w:rsidRPr="00D81064">
        <w:rPr>
          <w:lang w:val="ru-RU"/>
        </w:rPr>
        <w:t xml:space="preserve"> или специалистов по оценке </w:t>
      </w:r>
      <w:r w:rsidR="00741278" w:rsidRPr="00D81064">
        <w:rPr>
          <w:lang w:val="ru-RU"/>
        </w:rPr>
        <w:t xml:space="preserve">будет создана </w:t>
      </w:r>
      <w:r w:rsidR="00206178" w:rsidRPr="00D81064">
        <w:rPr>
          <w:lang w:val="ru-RU"/>
        </w:rPr>
        <w:t>соответствующая</w:t>
      </w:r>
      <w:r w:rsidR="00741278" w:rsidRPr="00D81064">
        <w:rPr>
          <w:lang w:val="ru-RU"/>
        </w:rPr>
        <w:t xml:space="preserve"> комиссия</w:t>
      </w:r>
      <w:r w:rsidR="00206178" w:rsidRPr="00D81064">
        <w:rPr>
          <w:lang w:val="ru-RU"/>
        </w:rPr>
        <w:t>, которая будет осуществлять отбор прозрачным и основанным на конкретных критериях образом</w:t>
      </w:r>
      <w:r w:rsidR="00741278" w:rsidRPr="00D81064">
        <w:rPr>
          <w:lang w:val="ru-RU"/>
        </w:rPr>
        <w:t>.</w:t>
      </w:r>
    </w:p>
    <w:p w14:paraId="5AE74479" w14:textId="416024C7" w:rsidR="00741278" w:rsidRPr="00D81064" w:rsidRDefault="008F1A7E" w:rsidP="009F4BFD">
      <w:pPr>
        <w:keepNext/>
        <w:rPr>
          <w:rFonts w:eastAsia="Calibri" w:cs="Calibri"/>
          <w:szCs w:val="24"/>
          <w:lang w:val="ru-RU"/>
        </w:rPr>
      </w:pPr>
      <w:r w:rsidRPr="00D81064">
        <w:rPr>
          <w:lang w:val="ru-RU"/>
        </w:rPr>
        <w:t>30</w:t>
      </w:r>
      <w:r w:rsidR="00741278" w:rsidRPr="00D81064">
        <w:rPr>
          <w:lang w:val="ru-RU"/>
        </w:rPr>
        <w:t>.4</w:t>
      </w:r>
      <w:r w:rsidR="00741278" w:rsidRPr="00D81064">
        <w:rPr>
          <w:lang w:val="ru-RU"/>
        </w:rPr>
        <w:tab/>
        <w:t xml:space="preserve">Комитет </w:t>
      </w:r>
      <w:r w:rsidR="00741278" w:rsidRPr="00D81064">
        <w:rPr>
          <w:b/>
          <w:bCs/>
          <w:lang w:val="ru-RU"/>
        </w:rPr>
        <w:t>принял решение</w:t>
      </w:r>
      <w:r w:rsidR="00741278" w:rsidRPr="00D81064">
        <w:rPr>
          <w:lang w:val="ru-RU"/>
        </w:rPr>
        <w:t xml:space="preserve"> сделать по данному вопросу следующее заключение:</w:t>
      </w:r>
    </w:p>
    <w:p w14:paraId="753ACCB7" w14:textId="20E6FBCC" w:rsidR="00741278" w:rsidRPr="00D81064" w:rsidRDefault="008F1A7E" w:rsidP="009F4BFD">
      <w:pPr>
        <w:keepNext/>
        <w:pBdr>
          <w:top w:val="single" w:sz="4" w:space="1" w:color="auto"/>
          <w:left w:val="single" w:sz="4" w:space="4" w:color="auto"/>
          <w:bottom w:val="single" w:sz="4" w:space="1" w:color="auto"/>
          <w:right w:val="single" w:sz="4" w:space="4" w:color="auto"/>
        </w:pBdr>
        <w:rPr>
          <w:lang w:val="ru-RU"/>
        </w:rPr>
      </w:pPr>
      <w:r w:rsidRPr="00D81064">
        <w:rPr>
          <w:lang w:val="ru-RU"/>
        </w:rPr>
        <w:t>30</w:t>
      </w:r>
      <w:r w:rsidR="00741278" w:rsidRPr="00D81064">
        <w:rPr>
          <w:lang w:val="ru-RU"/>
        </w:rPr>
        <w:t>.5</w:t>
      </w:r>
      <w:r w:rsidR="00741278" w:rsidRPr="00D81064">
        <w:rPr>
          <w:lang w:val="ru-RU"/>
        </w:rPr>
        <w:tab/>
        <w:t>Комитет рекомендует Совету:</w:t>
      </w:r>
    </w:p>
    <w:p w14:paraId="6BCC84DC" w14:textId="6C3279DD" w:rsidR="00741278" w:rsidRPr="00D81064" w:rsidRDefault="00741278" w:rsidP="009F4BFD">
      <w:pPr>
        <w:pStyle w:val="enumlev1"/>
        <w:pBdr>
          <w:top w:val="single" w:sz="4" w:space="1" w:color="auto"/>
          <w:left w:val="single" w:sz="4" w:space="4" w:color="auto"/>
          <w:bottom w:val="single" w:sz="4" w:space="1" w:color="auto"/>
          <w:right w:val="single" w:sz="4" w:space="4" w:color="auto"/>
        </w:pBdr>
        <w:rPr>
          <w:lang w:val="ru-RU"/>
        </w:rPr>
      </w:pPr>
      <w:r w:rsidRPr="00D81064">
        <w:rPr>
          <w:lang w:val="ru-RU"/>
        </w:rPr>
        <w:t>•</w:t>
      </w:r>
      <w:r w:rsidRPr="00D81064">
        <w:rPr>
          <w:lang w:val="ru-RU"/>
        </w:rPr>
        <w:tab/>
        <w:t xml:space="preserve">принять к сведению отчет, содержащийся в Документе </w:t>
      </w:r>
      <w:hyperlink r:id="rId197" w:history="1">
        <w:r w:rsidRPr="00D81064">
          <w:rPr>
            <w:rStyle w:val="Hyperlink"/>
            <w:lang w:val="ru-RU"/>
          </w:rPr>
          <w:t>C26/45</w:t>
        </w:r>
      </w:hyperlink>
      <w:r w:rsidR="003042C7" w:rsidRPr="00D81064">
        <w:rPr>
          <w:lang w:val="ru-RU"/>
        </w:rPr>
        <w:t>.</w:t>
      </w:r>
      <w:hyperlink r:id="rId198" w:history="1"/>
    </w:p>
    <w:p w14:paraId="350B3C4D" w14:textId="5D1F72CA" w:rsidR="009F4BFD" w:rsidRPr="00D81064" w:rsidRDefault="008F1A7E" w:rsidP="009F4BFD">
      <w:pPr>
        <w:pStyle w:val="Heading1"/>
        <w:rPr>
          <w:sz w:val="28"/>
          <w:szCs w:val="28"/>
          <w:lang w:val="ru-RU"/>
        </w:rPr>
      </w:pPr>
      <w:r w:rsidRPr="00D81064">
        <w:rPr>
          <w:lang w:val="ru-RU"/>
        </w:rPr>
        <w:t>31</w:t>
      </w:r>
      <w:r w:rsidR="009F4BFD" w:rsidRPr="00D81064">
        <w:rPr>
          <w:lang w:val="ru-RU"/>
        </w:rPr>
        <w:tab/>
        <w:t xml:space="preserve">Рассмотрение Председателем Совета обвинений в отношении избираемых должностных лиц в период с июня 2025 года по апрель 2026 года (Документ </w:t>
      </w:r>
      <w:hyperlink r:id="rId199" w:history="1">
        <w:r w:rsidR="009F4BFD" w:rsidRPr="00D81064">
          <w:rPr>
            <w:rStyle w:val="Hyperlink"/>
            <w:bCs/>
            <w:lang w:val="ru-RU"/>
          </w:rPr>
          <w:t>C26/110</w:t>
        </w:r>
      </w:hyperlink>
      <w:r w:rsidR="009F4BFD" w:rsidRPr="00D81064">
        <w:rPr>
          <w:lang w:val="ru-RU"/>
        </w:rPr>
        <w:t>)</w:t>
      </w:r>
      <w:hyperlink r:id="rId200" w:history="1"/>
    </w:p>
    <w:p w14:paraId="0B152999" w14:textId="6D1F3935" w:rsidR="009F4BFD" w:rsidRPr="00D81064" w:rsidRDefault="008F1A7E" w:rsidP="009F4BFD">
      <w:pPr>
        <w:rPr>
          <w:lang w:val="ru-RU"/>
        </w:rPr>
      </w:pPr>
      <w:r w:rsidRPr="00D81064">
        <w:rPr>
          <w:lang w:val="ru-RU"/>
        </w:rPr>
        <w:t>31</w:t>
      </w:r>
      <w:r w:rsidR="009F4BFD" w:rsidRPr="00D81064">
        <w:rPr>
          <w:lang w:val="ru-RU"/>
        </w:rPr>
        <w:t>.1</w:t>
      </w:r>
      <w:r w:rsidR="009F4BFD" w:rsidRPr="00D81064">
        <w:rPr>
          <w:lang w:val="ru-RU"/>
        </w:rPr>
        <w:tab/>
        <w:t>Председатель Совета-25 представила свой отчет, содержащийся в Документе</w:t>
      </w:r>
      <w:r w:rsidR="00F26593" w:rsidRPr="00D81064">
        <w:rPr>
          <w:lang w:val="ru-RU"/>
        </w:rPr>
        <w:t> </w:t>
      </w:r>
      <w:r w:rsidR="009F4BFD" w:rsidRPr="00D81064">
        <w:rPr>
          <w:lang w:val="ru-RU"/>
        </w:rPr>
        <w:t>C26/110, о рассмотрении обвинений в отношении избираемых должностных лиц в период с июня 2025</w:t>
      </w:r>
      <w:r w:rsidR="00997CB4" w:rsidRPr="00D81064">
        <w:rPr>
          <w:lang w:val="ru-RU"/>
        </w:rPr>
        <w:t> </w:t>
      </w:r>
      <w:r w:rsidR="009F4BFD" w:rsidRPr="00D81064">
        <w:rPr>
          <w:lang w:val="ru-RU"/>
        </w:rPr>
        <w:t xml:space="preserve">года по апрель 2026 года. Отчет содержит обезличенные </w:t>
      </w:r>
      <w:r w:rsidR="00B35917" w:rsidRPr="00D81064">
        <w:rPr>
          <w:lang w:val="ru-RU"/>
        </w:rPr>
        <w:t xml:space="preserve">и </w:t>
      </w:r>
      <w:r w:rsidR="009F4BFD" w:rsidRPr="00D81064">
        <w:rPr>
          <w:lang w:val="ru-RU"/>
        </w:rPr>
        <w:t>агрегированные сведения</w:t>
      </w:r>
      <w:r w:rsidR="00B35917" w:rsidRPr="00D81064">
        <w:rPr>
          <w:lang w:val="ru-RU"/>
        </w:rPr>
        <w:t xml:space="preserve"> в соответствии с принципом </w:t>
      </w:r>
      <w:r w:rsidR="009F4BFD" w:rsidRPr="00D81064">
        <w:rPr>
          <w:lang w:val="ru-RU"/>
        </w:rPr>
        <w:t>"ограниченн</w:t>
      </w:r>
      <w:r w:rsidR="00B35917" w:rsidRPr="00D81064">
        <w:rPr>
          <w:lang w:val="ru-RU"/>
        </w:rPr>
        <w:t>ой</w:t>
      </w:r>
      <w:r w:rsidR="009F4BFD" w:rsidRPr="00D81064">
        <w:rPr>
          <w:lang w:val="ru-RU"/>
        </w:rPr>
        <w:t xml:space="preserve"> необходим</w:t>
      </w:r>
      <w:r w:rsidR="00B35917" w:rsidRPr="00D81064">
        <w:rPr>
          <w:lang w:val="ru-RU"/>
        </w:rPr>
        <w:t>ой</w:t>
      </w:r>
      <w:r w:rsidR="009F4BFD" w:rsidRPr="00D81064">
        <w:rPr>
          <w:lang w:val="ru-RU"/>
        </w:rPr>
        <w:t xml:space="preserve"> информаци</w:t>
      </w:r>
      <w:r w:rsidR="00B35917" w:rsidRPr="00D81064">
        <w:rPr>
          <w:lang w:val="ru-RU"/>
        </w:rPr>
        <w:t>и</w:t>
      </w:r>
      <w:r w:rsidR="009F4BFD" w:rsidRPr="00D81064">
        <w:rPr>
          <w:lang w:val="ru-RU"/>
        </w:rPr>
        <w:t xml:space="preserve">", </w:t>
      </w:r>
      <w:r w:rsidR="00B35917" w:rsidRPr="00D81064">
        <w:rPr>
          <w:lang w:val="ru-RU"/>
        </w:rPr>
        <w:t xml:space="preserve">закрепленным в </w:t>
      </w:r>
      <w:r w:rsidR="009F4BFD" w:rsidRPr="00D81064">
        <w:rPr>
          <w:lang w:val="ru-RU"/>
        </w:rPr>
        <w:t xml:space="preserve">Устав </w:t>
      </w:r>
      <w:r w:rsidR="00BB140E" w:rsidRPr="00D81064">
        <w:rPr>
          <w:lang w:val="ru-RU"/>
        </w:rPr>
        <w:t xml:space="preserve">внутреннего </w:t>
      </w:r>
      <w:r w:rsidR="009F4BFD" w:rsidRPr="00D81064">
        <w:rPr>
          <w:lang w:val="ru-RU"/>
        </w:rPr>
        <w:t xml:space="preserve">надзора МСЭ. Председатель напомнила, что вся информация, касающаяся обвинений в ненадлежащем поведении, является строго конфиденциальной, и </w:t>
      </w:r>
      <w:r w:rsidR="00054FFD" w:rsidRPr="00D81064">
        <w:rPr>
          <w:lang w:val="ru-RU"/>
        </w:rPr>
        <w:t>описала</w:t>
      </w:r>
      <w:r w:rsidR="009F4BFD" w:rsidRPr="00D81064">
        <w:rPr>
          <w:lang w:val="ru-RU"/>
        </w:rPr>
        <w:t xml:space="preserve"> примен</w:t>
      </w:r>
      <w:r w:rsidR="00054FFD" w:rsidRPr="00D81064">
        <w:rPr>
          <w:lang w:val="ru-RU"/>
        </w:rPr>
        <w:t xml:space="preserve">имый </w:t>
      </w:r>
      <w:r w:rsidR="009F4BFD" w:rsidRPr="00D81064">
        <w:rPr>
          <w:lang w:val="ru-RU"/>
        </w:rPr>
        <w:t>проце</w:t>
      </w:r>
      <w:r w:rsidR="00054FFD" w:rsidRPr="00D81064">
        <w:rPr>
          <w:lang w:val="ru-RU"/>
        </w:rPr>
        <w:t>сс</w:t>
      </w:r>
      <w:r w:rsidR="009F4BFD" w:rsidRPr="00D81064">
        <w:rPr>
          <w:lang w:val="ru-RU"/>
        </w:rPr>
        <w:t xml:space="preserve"> в соответствии с </w:t>
      </w:r>
      <w:r w:rsidR="00BB140E" w:rsidRPr="00D81064">
        <w:rPr>
          <w:lang w:val="ru-RU"/>
        </w:rPr>
        <w:t xml:space="preserve">этим </w:t>
      </w:r>
      <w:r w:rsidR="009F4BFD" w:rsidRPr="00D81064">
        <w:rPr>
          <w:lang w:val="ru-RU"/>
        </w:rPr>
        <w:t>Уставом, включая использование внешних независимых следственных структур, отбираемых в соответствии с процедурами закупок МСЭ, и, когда это возможно, существующих надзорных органов в рамках системы Организации Объединенных Наций. За отчетный период было зарегистрировано четыре жалобы в отношении избираемых должностных лиц. Одна жалоба была закрыта на этапе приема, одна была закрыта после предварительной оценки, а две находятся на рассмотрении в рамках установленн</w:t>
      </w:r>
      <w:r w:rsidR="00054FFD" w:rsidRPr="00D81064">
        <w:rPr>
          <w:lang w:val="ru-RU"/>
        </w:rPr>
        <w:t>ого процесса</w:t>
      </w:r>
      <w:r w:rsidR="009F4BFD" w:rsidRPr="00D81064">
        <w:rPr>
          <w:lang w:val="ru-RU"/>
        </w:rPr>
        <w:t xml:space="preserve">. Председатель подчеркнула, что не следует делать каких-либо выводов по находящимся на рассмотрении случаям, пока </w:t>
      </w:r>
      <w:r w:rsidR="00054FFD" w:rsidRPr="00D81064">
        <w:rPr>
          <w:lang w:val="ru-RU"/>
        </w:rPr>
        <w:t>не завершены процессы</w:t>
      </w:r>
      <w:r w:rsidR="009F4BFD" w:rsidRPr="00D81064">
        <w:rPr>
          <w:lang w:val="ru-RU"/>
        </w:rPr>
        <w:t xml:space="preserve"> независимого </w:t>
      </w:r>
      <w:r w:rsidR="00054FFD" w:rsidRPr="00D81064">
        <w:rPr>
          <w:lang w:val="ru-RU"/>
        </w:rPr>
        <w:t>обзора</w:t>
      </w:r>
      <w:r w:rsidR="009F4BFD" w:rsidRPr="00D81064">
        <w:rPr>
          <w:lang w:val="ru-RU"/>
        </w:rPr>
        <w:t>. Председатель также отметила начало функционирования института омбудсмена в качестве дополнительного способа неофициального решения определенных проблем на рабочем месте, в том числе путем посредничества, когда это целесообразно.</w:t>
      </w:r>
    </w:p>
    <w:p w14:paraId="45E97AF8" w14:textId="066ADA72" w:rsidR="009F4BFD" w:rsidRPr="00D81064" w:rsidRDefault="008F1A7E" w:rsidP="009F4BFD">
      <w:pPr>
        <w:rPr>
          <w:lang w:val="ru-RU"/>
        </w:rPr>
      </w:pPr>
      <w:r w:rsidRPr="00D81064">
        <w:rPr>
          <w:lang w:val="ru-RU"/>
        </w:rPr>
        <w:t>31</w:t>
      </w:r>
      <w:r w:rsidR="009F4BFD" w:rsidRPr="00D81064">
        <w:rPr>
          <w:lang w:val="ru-RU"/>
        </w:rPr>
        <w:t>.2</w:t>
      </w:r>
      <w:r w:rsidR="009F4BFD" w:rsidRPr="00D81064">
        <w:rPr>
          <w:lang w:val="ru-RU"/>
        </w:rPr>
        <w:tab/>
        <w:t>Советники приветствовали отчет и выразили признательность Председателю Совета-25 за ее вклад в обеспечение прозрачности и правосудия в рамках организации. Высокую оценку получили своевременный и оперативный подход к рассмотрению заявлений, а также полная независимость расследований. Независимый, профессиональный и свободный от политического вмешательства надзор выгоден всем Государствам-Членам. Были запрошены разъяснения относительно ограниченного потенциала других служб Организации Объединенных Наций по надзору и расследованиям, что привело к привлечению внешних следственных структур; было бы желательно получить информацию о финансовых последствиях этих мер. Необходима четкая политика в отношении роли Совета в надзоре за расследованиями.</w:t>
      </w:r>
    </w:p>
    <w:p w14:paraId="291F5243" w14:textId="0CEF1F14" w:rsidR="009F4BFD" w:rsidRPr="00D81064" w:rsidRDefault="008F1A7E" w:rsidP="009F4BFD">
      <w:pPr>
        <w:rPr>
          <w:lang w:val="ru-RU"/>
        </w:rPr>
      </w:pPr>
      <w:r w:rsidRPr="00D81064">
        <w:rPr>
          <w:lang w:val="ru-RU"/>
        </w:rPr>
        <w:lastRenderedPageBreak/>
        <w:t>31</w:t>
      </w:r>
      <w:r w:rsidR="009F4BFD" w:rsidRPr="00D81064">
        <w:rPr>
          <w:lang w:val="ru-RU"/>
        </w:rPr>
        <w:t>.3</w:t>
      </w:r>
      <w:r w:rsidR="009F4BFD" w:rsidRPr="00D81064">
        <w:rPr>
          <w:lang w:val="ru-RU"/>
        </w:rPr>
        <w:tab/>
        <w:t>Председатель Совета-25 заявила, что всестороннее взаимодействие с надзорными органами Организации Объединенных Наций в установленные сроки не было возможным, в</w:t>
      </w:r>
      <w:r w:rsidR="00997CB4" w:rsidRPr="00D81064">
        <w:rPr>
          <w:lang w:val="ru-RU"/>
        </w:rPr>
        <w:t> </w:t>
      </w:r>
      <w:r w:rsidR="009F4BFD" w:rsidRPr="00D81064">
        <w:rPr>
          <w:lang w:val="ru-RU"/>
        </w:rPr>
        <w:t>результате чего с соблюдением правил закупок и применимых финансовых процедур МСЭ были привлечены внешние независимые следственные структуры. В соответствии с Уставом надзора на рассмотрение Совета будут представляться только случаи</w:t>
      </w:r>
      <w:r w:rsidR="00A564FE" w:rsidRPr="00D81064">
        <w:rPr>
          <w:lang w:val="ru-RU"/>
        </w:rPr>
        <w:t xml:space="preserve"> ненадлежащего поведения,</w:t>
      </w:r>
      <w:r w:rsidR="009F4BFD" w:rsidRPr="00D81064">
        <w:rPr>
          <w:lang w:val="ru-RU"/>
        </w:rPr>
        <w:t xml:space="preserve"> признанные обоснованными.</w:t>
      </w:r>
    </w:p>
    <w:p w14:paraId="31A3A9D6" w14:textId="26B61FD6" w:rsidR="009F4BFD" w:rsidRPr="00D81064" w:rsidRDefault="008F1A7E" w:rsidP="009F4BFD">
      <w:pPr>
        <w:keepNext/>
        <w:spacing w:line="259" w:lineRule="auto"/>
        <w:rPr>
          <w:rFonts w:eastAsia="Calibri" w:cs="Calibri"/>
          <w:szCs w:val="24"/>
          <w:lang w:val="ru-RU"/>
        </w:rPr>
      </w:pPr>
      <w:r w:rsidRPr="00D81064">
        <w:rPr>
          <w:lang w:val="ru-RU"/>
        </w:rPr>
        <w:t>31</w:t>
      </w:r>
      <w:r w:rsidR="009F4BFD" w:rsidRPr="00D81064">
        <w:rPr>
          <w:lang w:val="ru-RU"/>
        </w:rPr>
        <w:t>.4</w:t>
      </w:r>
      <w:r w:rsidR="009F4BFD" w:rsidRPr="00D81064">
        <w:rPr>
          <w:lang w:val="ru-RU"/>
        </w:rPr>
        <w:tab/>
        <w:t xml:space="preserve">Комитет </w:t>
      </w:r>
      <w:r w:rsidR="009F4BFD" w:rsidRPr="00D81064">
        <w:rPr>
          <w:b/>
          <w:bCs/>
          <w:lang w:val="ru-RU"/>
        </w:rPr>
        <w:t>принял решение</w:t>
      </w:r>
      <w:r w:rsidR="009F4BFD" w:rsidRPr="00D81064">
        <w:rPr>
          <w:lang w:val="ru-RU"/>
        </w:rPr>
        <w:t xml:space="preserve"> сделать по данному вопросу следующее заключение:</w:t>
      </w:r>
    </w:p>
    <w:p w14:paraId="6EB733E2" w14:textId="4C11C9B4" w:rsidR="009F4BFD" w:rsidRPr="00D81064" w:rsidRDefault="008F1A7E" w:rsidP="009F4BFD">
      <w:pPr>
        <w:keepNext/>
        <w:pBdr>
          <w:top w:val="single" w:sz="4" w:space="1" w:color="auto"/>
          <w:left w:val="single" w:sz="4" w:space="4" w:color="auto"/>
          <w:bottom w:val="single" w:sz="4" w:space="1" w:color="auto"/>
          <w:right w:val="single" w:sz="4" w:space="4" w:color="auto"/>
        </w:pBdr>
        <w:rPr>
          <w:lang w:val="ru-RU"/>
        </w:rPr>
      </w:pPr>
      <w:r w:rsidRPr="00D81064">
        <w:rPr>
          <w:lang w:val="ru-RU"/>
        </w:rPr>
        <w:t>31</w:t>
      </w:r>
      <w:r w:rsidR="009F4BFD" w:rsidRPr="00D81064">
        <w:rPr>
          <w:lang w:val="ru-RU"/>
        </w:rPr>
        <w:t>.5</w:t>
      </w:r>
      <w:r w:rsidR="009F4BFD" w:rsidRPr="00D81064">
        <w:rPr>
          <w:lang w:val="ru-RU"/>
        </w:rPr>
        <w:tab/>
        <w:t>Комитет рекомендует Совету:</w:t>
      </w:r>
    </w:p>
    <w:p w14:paraId="054E4756" w14:textId="77777777" w:rsidR="009F4BFD" w:rsidRPr="00D81064" w:rsidRDefault="009F4BFD" w:rsidP="009F4BFD">
      <w:pPr>
        <w:pStyle w:val="enumlev1"/>
        <w:pBdr>
          <w:top w:val="single" w:sz="4" w:space="1" w:color="auto"/>
          <w:left w:val="single" w:sz="4" w:space="4" w:color="auto"/>
          <w:bottom w:val="single" w:sz="4" w:space="1" w:color="auto"/>
          <w:right w:val="single" w:sz="4" w:space="4" w:color="auto"/>
        </w:pBdr>
        <w:rPr>
          <w:lang w:val="ru-RU"/>
        </w:rPr>
      </w:pPr>
      <w:r w:rsidRPr="00D81064">
        <w:rPr>
          <w:lang w:val="ru-RU"/>
        </w:rPr>
        <w:t>•</w:t>
      </w:r>
      <w:r w:rsidRPr="00D81064">
        <w:rPr>
          <w:lang w:val="ru-RU"/>
        </w:rPr>
        <w:tab/>
        <w:t xml:space="preserve">принять к сведению отчет, содержащийся в Документе </w:t>
      </w:r>
      <w:hyperlink r:id="rId201" w:history="1">
        <w:r w:rsidRPr="00D81064">
          <w:rPr>
            <w:rStyle w:val="Hyperlink"/>
            <w:bCs/>
            <w:lang w:val="ru-RU"/>
          </w:rPr>
          <w:t>C26/110</w:t>
        </w:r>
      </w:hyperlink>
      <w:r w:rsidRPr="00D81064">
        <w:rPr>
          <w:lang w:val="ru-RU"/>
        </w:rPr>
        <w:t>.</w:t>
      </w:r>
      <w:hyperlink r:id="rId202" w:history="1"/>
    </w:p>
    <w:p w14:paraId="2A93631F" w14:textId="24A271D0" w:rsidR="00481869" w:rsidRPr="00D81064" w:rsidRDefault="00035EE3" w:rsidP="00A231E3">
      <w:pPr>
        <w:pStyle w:val="Heading1"/>
        <w:rPr>
          <w:bCs/>
          <w:lang w:val="ru-RU"/>
        </w:rPr>
      </w:pPr>
      <w:r w:rsidRPr="00D81064">
        <w:rPr>
          <w:bCs/>
          <w:lang w:val="ru-RU"/>
        </w:rPr>
        <w:t>32</w:t>
      </w:r>
      <w:r w:rsidR="00A231E3" w:rsidRPr="00D81064">
        <w:rPr>
          <w:lang w:val="ru-RU"/>
        </w:rPr>
        <w:tab/>
      </w:r>
      <w:r w:rsidR="00A231E3" w:rsidRPr="00D81064">
        <w:rPr>
          <w:bCs/>
          <w:lang w:val="ru-RU"/>
        </w:rPr>
        <w:t xml:space="preserve">Пятнадцатый отчет Независимого консультативного комитета по управлению (IMAC) (Документ </w:t>
      </w:r>
      <w:hyperlink r:id="rId203" w:history="1">
        <w:r w:rsidR="00A231E3" w:rsidRPr="00D81064">
          <w:rPr>
            <w:rStyle w:val="Hyperlink"/>
            <w:bCs/>
            <w:lang w:val="ru-RU"/>
          </w:rPr>
          <w:t>C26/22</w:t>
        </w:r>
      </w:hyperlink>
      <w:r w:rsidR="00A231E3" w:rsidRPr="00D81064">
        <w:rPr>
          <w:bCs/>
          <w:lang w:val="ru-RU"/>
        </w:rPr>
        <w:t>)</w:t>
      </w:r>
    </w:p>
    <w:p w14:paraId="54D2F46B" w14:textId="102606D8" w:rsidR="00481869" w:rsidRPr="00D81064" w:rsidRDefault="00481869" w:rsidP="00481869">
      <w:pPr>
        <w:rPr>
          <w:rFonts w:eastAsia="Calibri" w:cs="Calibri"/>
          <w:lang w:val="ru-RU"/>
        </w:rPr>
      </w:pPr>
      <w:r w:rsidRPr="00D81064">
        <w:rPr>
          <w:lang w:val="ru-RU"/>
        </w:rPr>
        <w:t>32.1</w:t>
      </w:r>
      <w:r w:rsidRPr="00D81064">
        <w:rPr>
          <w:lang w:val="ru-RU"/>
        </w:rPr>
        <w:tab/>
        <w:t xml:space="preserve">Председатель IMAC представил </w:t>
      </w:r>
      <w:r w:rsidR="00C95B1C" w:rsidRPr="00D81064">
        <w:rPr>
          <w:lang w:val="ru-RU"/>
        </w:rPr>
        <w:t>15-</w:t>
      </w:r>
      <w:r w:rsidRPr="00D81064">
        <w:rPr>
          <w:lang w:val="ru-RU"/>
        </w:rPr>
        <w:t>й отчет IMAC, содержащийся в Документе C26/22. Он подчеркнул, что при выполнении своих обязанностей в соответствии со своим кругом ведения, планом работы и просьбами руководства МСЭ и Совета Комитет осуществлял надзорную и консультативную деятельность независимо и без вмешательства. За</w:t>
      </w:r>
      <w:r w:rsidR="00EF4A4A" w:rsidRPr="00D81064">
        <w:rPr>
          <w:lang w:val="ru-RU"/>
        </w:rPr>
        <w:t> </w:t>
      </w:r>
      <w:r w:rsidRPr="00D81064">
        <w:rPr>
          <w:lang w:val="ru-RU"/>
        </w:rPr>
        <w:t>отчетный период не имело место какого бы то ни было реального или мнимого нарушения независимости. На протяжении всей своей работы IMAC пользовался полной поддержкой со стороны руководства и персонала и сотрудничал с ними, в том числе благодаря регулярному конструктивному взаимодействию. Каждое собрание IMAC включало заседание, посвященное открытию собрания, и заключительное заседание для подведения итогов с участием Генерального секретаря.</w:t>
      </w:r>
    </w:p>
    <w:p w14:paraId="3BF78FED" w14:textId="4CCA8E18" w:rsidR="00481869" w:rsidRPr="00D81064" w:rsidRDefault="00481869" w:rsidP="00481869">
      <w:pPr>
        <w:rPr>
          <w:rFonts w:cs="Calibri"/>
          <w:lang w:val="ru-RU"/>
        </w:rPr>
      </w:pPr>
      <w:r w:rsidRPr="00D81064">
        <w:rPr>
          <w:lang w:val="ru-RU"/>
        </w:rPr>
        <w:t>32.2</w:t>
      </w:r>
      <w:r w:rsidRPr="00D81064">
        <w:rPr>
          <w:lang w:val="ru-RU"/>
        </w:rPr>
        <w:tab/>
        <w:t>В соответствии с Резолюцией 162 (</w:t>
      </w:r>
      <w:proofErr w:type="spellStart"/>
      <w:r w:rsidRPr="00D81064">
        <w:rPr>
          <w:lang w:val="ru-RU"/>
        </w:rPr>
        <w:t>Пересм</w:t>
      </w:r>
      <w:proofErr w:type="spellEnd"/>
      <w:r w:rsidRPr="00D81064">
        <w:rPr>
          <w:lang w:val="ru-RU"/>
        </w:rPr>
        <w:t>. Бухарест, 2022 г.)</w:t>
      </w:r>
      <w:r w:rsidR="00C95B1C" w:rsidRPr="00D81064">
        <w:rPr>
          <w:lang w:val="ru-RU"/>
        </w:rPr>
        <w:t xml:space="preserve"> Полномочной конференции</w:t>
      </w:r>
      <w:r w:rsidRPr="00D81064">
        <w:rPr>
          <w:lang w:val="ru-RU"/>
        </w:rPr>
        <w:t>, в которой предписывается периодически пересматривать круг ведения IMAC, в</w:t>
      </w:r>
      <w:r w:rsidR="00E669EA" w:rsidRPr="00D81064">
        <w:rPr>
          <w:lang w:val="ru-RU"/>
        </w:rPr>
        <w:t> </w:t>
      </w:r>
      <w:r w:rsidRPr="00D81064">
        <w:rPr>
          <w:lang w:val="ru-RU"/>
        </w:rPr>
        <w:t>Приложении</w:t>
      </w:r>
      <w:r w:rsidR="00EF4A4A" w:rsidRPr="00D81064">
        <w:rPr>
          <w:lang w:val="ru-RU"/>
        </w:rPr>
        <w:t> </w:t>
      </w:r>
      <w:r w:rsidRPr="00D81064">
        <w:rPr>
          <w:lang w:val="ru-RU"/>
        </w:rPr>
        <w:t>3 к отчету для Совета представлен обновленный круг ведения, рассмотренный Комитетом и руководством МСЭ.</w:t>
      </w:r>
    </w:p>
    <w:p w14:paraId="235955E2" w14:textId="29EDC5FC" w:rsidR="00481869" w:rsidRPr="00D81064" w:rsidRDefault="00481869" w:rsidP="00481869">
      <w:pPr>
        <w:rPr>
          <w:rFonts w:cs="Calibri"/>
          <w:lang w:val="ru-RU"/>
        </w:rPr>
      </w:pPr>
      <w:r w:rsidRPr="00D81064">
        <w:rPr>
          <w:lang w:val="ru-RU"/>
        </w:rPr>
        <w:t>32.3</w:t>
      </w:r>
      <w:r w:rsidRPr="00D81064">
        <w:rPr>
          <w:lang w:val="ru-RU"/>
        </w:rPr>
        <w:tab/>
        <w:t>Председатель IMAC обратил внимание на пять содержащихся в отчете рекомендаций и отметил, что, несмотря на сложную глобальную обстановку, которая характеризуется геополитической напряженностью, затрагивающей многостороннее взаимодействие, а также финансовым давлением на Государства-Члены, МСЭ вступил в новый период в более стабильном и дисциплинированном состоянии, особенно в том, что касается финансовой отчетности и процессов управления. Однако теперь этот прогресс необходимо закрепить путем более активного внедрения и реализации. Стратегии реформирования должны выходить за рамки планирования и воплощаться в практические действия с четким распределением ответственности, подотчетностью и конкретными сроками. Управление рисками должно стать неотъемлемой частью процесса принятия решений и определения приоритетов; требуется более общее изменение культурной парадигмы на уровне организации.</w:t>
      </w:r>
    </w:p>
    <w:p w14:paraId="35409053" w14:textId="65D91D7D" w:rsidR="00481869" w:rsidRPr="00D81064" w:rsidRDefault="00481869" w:rsidP="00481869">
      <w:pPr>
        <w:rPr>
          <w:lang w:val="ru-RU"/>
        </w:rPr>
      </w:pPr>
      <w:r w:rsidRPr="00D81064">
        <w:rPr>
          <w:lang w:val="ru-RU"/>
        </w:rPr>
        <w:t>32.4</w:t>
      </w:r>
      <w:r w:rsidRPr="00D81064">
        <w:rPr>
          <w:lang w:val="ru-RU"/>
        </w:rPr>
        <w:tab/>
        <w:t xml:space="preserve">Председатель высоко оценил заблаговременное завершение подготовки проекта финансовой отчетности за 2025 год и качество работы FRMD в отчетный период. В конце финансового года IMAC провел собрание с Внешним аудитором, и никаких существенных нерешенных вопросов или серьезных трудностей выявлено не было. Вместе с тем сохраняются структурные проблемы. Сохраняющийся нулевой номинальный рост единицы взносов продолжает приводить к эрозии покупательной способности МСЭ, в то время как рост затрат по персоналу указывает на необходимость комплексного планирования людских ресурсов и финансового планирования, которое следует подкрепить измеримыми показателями эффективности. Полученная экономия не обязательно связана со структурной эффективностью, но Комитет поддерживает стратегические приоритеты, установленные руководством МСЭ для использования сэкономленных средств. IMAC рекомендовал пересмотреть структуру </w:t>
      </w:r>
      <w:r w:rsidRPr="00D81064">
        <w:rPr>
          <w:lang w:val="ru-RU"/>
        </w:rPr>
        <w:lastRenderedPageBreak/>
        <w:t>представления бюджета, с тем чтобы лучше отразить распределение затрат по персоналу и затрат на обеспечение деятельности по Секторам и Генеральному секретариату.</w:t>
      </w:r>
    </w:p>
    <w:p w14:paraId="08ED9619" w14:textId="4E69E9D3" w:rsidR="00481869" w:rsidRPr="00D81064" w:rsidRDefault="00481869" w:rsidP="00481869">
      <w:pPr>
        <w:rPr>
          <w:rFonts w:cs="Calibri"/>
          <w:lang w:val="ru-RU"/>
        </w:rPr>
      </w:pPr>
      <w:r w:rsidRPr="00D81064">
        <w:rPr>
          <w:lang w:val="ru-RU"/>
        </w:rPr>
        <w:t>32.5</w:t>
      </w:r>
      <w:r w:rsidRPr="00D81064">
        <w:rPr>
          <w:lang w:val="ru-RU"/>
        </w:rPr>
        <w:tab/>
        <w:t>IMAC рекомендовал переформулировать план внутреннего аудита в пользу модели, в большей степени основанной на оценке рисков, а также принять меры по повышению вовлеченности Оперативных подразделений. Что касается расследований, будет проведена дополнительная работа по уточнению соответствующих показателей, и обновленные отчеты будут представлены Совету в установленном порядке. IMAC также отметил увеличение нагрузки и растущий спрос на услуги по вопросам этики и консультирования, в частности связанные с производственной культурой, и подчеркнул необходимость поощрения уважительного, вежливого обращения и развития доверия на уровне организации. Комитет выразил поддержку реализации новой Хартии цифрового управления и текущим усилиям по модернизации ИТ, вместе с тем отметив недостаточную зрелость архитектуры организации, фрагментированный характер системы и необходимость оптимизации управления данными как обязательного условия для реализации инициатив, связанных с ИИ. Вследствие этого Комитет рекомендовал провести всестороннее сопоставление облачных и серверных систем в увязке с измеримым повышением эффективности и возможной экономией средств. Наконец, Комитет рекомендовал провести внешнюю оценку зрелости внутренней системы правосудия и механизма правовой защиты, где в настоящее время наблюдается фрагментация и требуется упрощение и модернизация.</w:t>
      </w:r>
    </w:p>
    <w:p w14:paraId="1DA3FDAC" w14:textId="115876C6" w:rsidR="00481869" w:rsidRPr="00D81064" w:rsidRDefault="00481869" w:rsidP="00481869">
      <w:pPr>
        <w:rPr>
          <w:lang w:val="ru-RU"/>
        </w:rPr>
      </w:pPr>
      <w:r w:rsidRPr="00D81064">
        <w:rPr>
          <w:lang w:val="ru-RU"/>
        </w:rPr>
        <w:t>32.6</w:t>
      </w:r>
      <w:r w:rsidRPr="00D81064">
        <w:rPr>
          <w:lang w:val="ru-RU"/>
        </w:rPr>
        <w:tab/>
        <w:t>В отношении стратегического планирования IMAC подчеркнул важность обеспечения большего соответствия между стратегическим и финансовым планированием и показателями эффективности деятельности. При этом следует обеспечить, чтобы приоритеты организации оставались согласованными с фактическими возможностями Союза в области реализации. МСЭ добился значительного прогресса и действует на более прочной институциональной основе, однако теперь организации необходимо сделать более решительный шаг от планирования к реализации за счет укрепления подотчетности, дисциплины реализации, принятия решений с учетом рисков и постоянного внимания к вопросам эффективности. IMAC по-прежнему готов оказывать поддержку Совету в этом отношении.</w:t>
      </w:r>
    </w:p>
    <w:p w14:paraId="374778FD" w14:textId="05FC2BDD" w:rsidR="00481869" w:rsidRPr="00D81064" w:rsidRDefault="00481869" w:rsidP="00481869">
      <w:pPr>
        <w:rPr>
          <w:lang w:val="ru-RU"/>
        </w:rPr>
      </w:pPr>
      <w:r w:rsidRPr="00D81064">
        <w:rPr>
          <w:lang w:val="ru-RU"/>
        </w:rPr>
        <w:t>32.7</w:t>
      </w:r>
      <w:r w:rsidRPr="00D81064">
        <w:rPr>
          <w:lang w:val="ru-RU"/>
        </w:rPr>
        <w:tab/>
        <w:t>Советники выразили решительную поддержку работе IMAC и приветствовали всеобъемлющий и искренний отчет Председателя, а также заявление Комитета о независимости. Кроме того, они высоко оценили готовность персонала и руководства МСЭ в полной мере сотрудничать с IMAC. Советники высоко оценили откровенность отчета Комитета, приветствовали пять содержащихся в нем рекомендаций, и подчеркнули важность их своевременного выполнения. Один из Советников поинтересовался, будут ли рекомендации отражены в информационной панели по соблюдению требований. Другой Советник отметил, что при представлении рекомендаций следует по-прежнему учитывать организационную структуру МСЭ, равно как и соответствующие руководящие и надзорные функции Совета и Полномочной конференции.</w:t>
      </w:r>
    </w:p>
    <w:p w14:paraId="4BF96304" w14:textId="084E62D1" w:rsidR="00481869" w:rsidRPr="00D81064" w:rsidRDefault="00481869" w:rsidP="00481869">
      <w:pPr>
        <w:rPr>
          <w:lang w:val="ru-RU"/>
        </w:rPr>
      </w:pPr>
      <w:r w:rsidRPr="00D81064">
        <w:rPr>
          <w:lang w:val="ru-RU"/>
        </w:rPr>
        <w:t>32.8</w:t>
      </w:r>
      <w:r w:rsidRPr="00D81064">
        <w:rPr>
          <w:lang w:val="ru-RU"/>
        </w:rPr>
        <w:tab/>
        <w:t>Советники приветствовали сделанный в отчете акцент на вопросах управления рисками, внутреннего контроля и подотчетности; они подчеркнули необходимость обеспечения четкой отчетности и измеримых показателей для демонстрации повышения эффективности. Более эффективное управление, ориентированное на результаты, требует большей согласованности между стратегическими задачами МСЭ и повседневной деятельностью персонала при помощи показателей, в большей степени ориентированных на результаты. Подотчетность должна также охватывать вопросы эффективного использования людских ресурсов, включая кадровые последствия деятельности, которая, как считается, не сопряжена с прямыми финансовыми последствиями.</w:t>
      </w:r>
    </w:p>
    <w:p w14:paraId="395879E1" w14:textId="321C12E1" w:rsidR="00481869" w:rsidRPr="00D81064" w:rsidRDefault="00481869" w:rsidP="00481869">
      <w:pPr>
        <w:rPr>
          <w:lang w:val="ru-RU"/>
        </w:rPr>
      </w:pPr>
      <w:r w:rsidRPr="00D81064">
        <w:rPr>
          <w:lang w:val="ru-RU"/>
        </w:rPr>
        <w:t>32.9</w:t>
      </w:r>
      <w:r w:rsidRPr="00D81064">
        <w:rPr>
          <w:lang w:val="ru-RU"/>
        </w:rPr>
        <w:tab/>
        <w:t xml:space="preserve">Один из Советников поинтересовался, как именно можно устранить различия между подходами, применяемыми компанией EY при оценке управления рисками, и подходами ОИГ. </w:t>
      </w:r>
      <w:r w:rsidRPr="00D81064">
        <w:rPr>
          <w:lang w:val="ru-RU"/>
        </w:rPr>
        <w:lastRenderedPageBreak/>
        <w:t xml:space="preserve">Несколько Советников подчеркнули важность внедрения современной и всеобъемлющей </w:t>
      </w:r>
      <w:r w:rsidR="008331FB" w:rsidRPr="00D81064">
        <w:rPr>
          <w:lang w:val="ru-RU"/>
        </w:rPr>
        <w:t>системы</w:t>
      </w:r>
      <w:r w:rsidRPr="00D81064">
        <w:rPr>
          <w:lang w:val="ru-RU"/>
        </w:rPr>
        <w:t xml:space="preserve"> управления рисками в рамках всего МСЭ. Советники положительно оценили предложение о проведении всеобъемлющего обзора внутренней системы правосудия. Советники также поддержали усилия по пересмотру формата представления бюджета для обеспечения более сбалансированного представления затрат, однако попросили представить дополнительную информацию о практических последствиях такого пересмотра. Наконец, была отмечена необходимость дальнейшего обсуждения вопроса о совершенствовании процесса отбора членов IMAC.</w:t>
      </w:r>
    </w:p>
    <w:p w14:paraId="12487605" w14:textId="3EC24FF4" w:rsidR="00481869" w:rsidRPr="00D81064" w:rsidRDefault="00481869" w:rsidP="00481869">
      <w:pPr>
        <w:rPr>
          <w:lang w:val="ru-RU"/>
        </w:rPr>
      </w:pPr>
      <w:r w:rsidRPr="00D81064">
        <w:rPr>
          <w:lang w:val="ru-RU"/>
        </w:rPr>
        <w:t>32.10</w:t>
      </w:r>
      <w:r w:rsidRPr="00D81064">
        <w:rPr>
          <w:lang w:val="ru-RU"/>
        </w:rPr>
        <w:tab/>
        <w:t xml:space="preserve">Председатель IMAC выразил признательность Государствам-Членам за поддержку и за конструктивное признание работы и откровенности IMAC. Он принял к сведению все замечания, сделанные Советниками, и высоко оценил открытость </w:t>
      </w:r>
      <w:r w:rsidR="00373264" w:rsidRPr="00D81064">
        <w:rPr>
          <w:lang w:val="ru-RU"/>
        </w:rPr>
        <w:t xml:space="preserve">Секретариата </w:t>
      </w:r>
      <w:r w:rsidRPr="00D81064">
        <w:rPr>
          <w:lang w:val="ru-RU"/>
        </w:rPr>
        <w:t xml:space="preserve">в отношении вовлечения IMAC в широкий круг процессов. IMAC продолжит вносить независимый и конструктивный вклад, в том числе в таких областях, как консультации с компанией EY по вопросам управлению рисками, где его вклад был принят во внимание. Он подтвердил, что после утверждения Советом отчета рекомендации будут включены в совместную систему отслеживания соблюдения требований в целях контроля за выполнением. </w:t>
      </w:r>
    </w:p>
    <w:p w14:paraId="00E46A06" w14:textId="587D608D" w:rsidR="00481869" w:rsidRPr="00D81064" w:rsidRDefault="00481869" w:rsidP="00481869">
      <w:pPr>
        <w:rPr>
          <w:rFonts w:eastAsia="Calibri" w:cs="Calibri"/>
          <w:lang w:val="ru-RU"/>
        </w:rPr>
      </w:pPr>
      <w:r w:rsidRPr="00D81064">
        <w:rPr>
          <w:lang w:val="ru-RU"/>
        </w:rPr>
        <w:t>32.11</w:t>
      </w:r>
      <w:r w:rsidRPr="00D81064">
        <w:rPr>
          <w:lang w:val="ru-RU"/>
        </w:rPr>
        <w:tab/>
        <w:t xml:space="preserve">Генеральный секретарь поблагодарила IMAC и его председателя за их работу и подчеркнул важную роль, которую играет IMAC в структуре подотчетности и надзора Союза. Своими независимыми консультациями, стратегическими идеями и внешней перспективой IMAC внес ценный вклад в обоснование процесса принятия решений. Генеральный секретарь приняла к сведению пять рекомендаций, содержащихся в отчете, и подтвердила, что </w:t>
      </w:r>
      <w:r w:rsidR="00373264" w:rsidRPr="00D81064">
        <w:rPr>
          <w:lang w:val="ru-RU"/>
        </w:rPr>
        <w:t xml:space="preserve">Секретариат </w:t>
      </w:r>
      <w:r w:rsidRPr="00D81064">
        <w:rPr>
          <w:lang w:val="ru-RU"/>
        </w:rPr>
        <w:t xml:space="preserve">будет тесно сотрудничать с IMAC для обеспечения принятия ими результативных последующих мер и интеграции в текущие усилия по трансформации Союза. </w:t>
      </w:r>
    </w:p>
    <w:p w14:paraId="55C4113D" w14:textId="52D4AF22" w:rsidR="00481869" w:rsidRPr="00D81064" w:rsidRDefault="00481869" w:rsidP="00EF4A4A">
      <w:pPr>
        <w:keepNext/>
        <w:keepLines/>
        <w:rPr>
          <w:lang w:val="ru-RU"/>
        </w:rPr>
      </w:pPr>
      <w:r w:rsidRPr="00D81064">
        <w:rPr>
          <w:lang w:val="ru-RU"/>
        </w:rPr>
        <w:t>32.12</w:t>
      </w:r>
      <w:r w:rsidRPr="00D81064">
        <w:rPr>
          <w:lang w:val="ru-RU"/>
        </w:rPr>
        <w:tab/>
        <w:t xml:space="preserve">Комитет </w:t>
      </w:r>
      <w:r w:rsidRPr="00D81064">
        <w:rPr>
          <w:b/>
          <w:bCs/>
          <w:lang w:val="ru-RU"/>
        </w:rPr>
        <w:t>принял решение</w:t>
      </w:r>
      <w:r w:rsidRPr="00D81064">
        <w:rPr>
          <w:lang w:val="ru-RU"/>
        </w:rPr>
        <w:t xml:space="preserve"> сделать следующее заключение по данному вопросу:</w:t>
      </w:r>
    </w:p>
    <w:p w14:paraId="5DD63FAE" w14:textId="47B27795" w:rsidR="00481869" w:rsidRPr="00D81064" w:rsidRDefault="00481869" w:rsidP="00EF4A4A">
      <w:pPr>
        <w:keepNext/>
        <w:keepLines/>
        <w:pBdr>
          <w:top w:val="single" w:sz="4" w:space="1" w:color="auto"/>
          <w:left w:val="single" w:sz="4" w:space="4" w:color="auto"/>
          <w:bottom w:val="single" w:sz="4" w:space="1" w:color="auto"/>
          <w:right w:val="single" w:sz="4" w:space="4" w:color="auto"/>
        </w:pBdr>
        <w:rPr>
          <w:lang w:val="ru-RU"/>
        </w:rPr>
      </w:pPr>
      <w:r w:rsidRPr="00D81064">
        <w:rPr>
          <w:lang w:val="ru-RU"/>
        </w:rPr>
        <w:t>32.13</w:t>
      </w:r>
      <w:r w:rsidRPr="00D81064">
        <w:rPr>
          <w:lang w:val="ru-RU"/>
        </w:rPr>
        <w:tab/>
        <w:t>Комитет рекомендует Совету:</w:t>
      </w:r>
    </w:p>
    <w:p w14:paraId="7F55D870" w14:textId="77777777" w:rsidR="00481869" w:rsidRPr="00D81064" w:rsidRDefault="00481869" w:rsidP="00481869">
      <w:pPr>
        <w:pStyle w:val="enumlev1"/>
        <w:pBdr>
          <w:top w:val="single" w:sz="4" w:space="1" w:color="auto"/>
          <w:left w:val="single" w:sz="4" w:space="4" w:color="auto"/>
          <w:bottom w:val="single" w:sz="4" w:space="1" w:color="auto"/>
          <w:right w:val="single" w:sz="4" w:space="4" w:color="auto"/>
        </w:pBdr>
        <w:rPr>
          <w:lang w:val="ru-RU"/>
        </w:rPr>
      </w:pPr>
      <w:r w:rsidRPr="00D81064">
        <w:rPr>
          <w:lang w:val="ru-RU"/>
        </w:rPr>
        <w:t>•</w:t>
      </w:r>
      <w:r w:rsidRPr="00D81064">
        <w:rPr>
          <w:lang w:val="ru-RU"/>
        </w:rPr>
        <w:tab/>
        <w:t xml:space="preserve">утвердить отчет, содержащийся в Документе </w:t>
      </w:r>
      <w:hyperlink r:id="rId204" w:history="1">
        <w:r w:rsidRPr="00D81064">
          <w:rPr>
            <w:rStyle w:val="Hyperlink"/>
            <w:bCs/>
            <w:lang w:val="ru-RU"/>
          </w:rPr>
          <w:t>C26/22</w:t>
        </w:r>
      </w:hyperlink>
      <w:r w:rsidRPr="00D81064">
        <w:rPr>
          <w:lang w:val="ru-RU"/>
        </w:rPr>
        <w:t>, и изложенные в нем рекомендации для принятия мер Секретариатом.</w:t>
      </w:r>
      <w:hyperlink r:id="rId205" w:history="1"/>
    </w:p>
    <w:p w14:paraId="75E25D7B" w14:textId="1B7F74CE" w:rsidR="00FB0A64" w:rsidRPr="00D81064" w:rsidRDefault="00FB0A64" w:rsidP="00FB0A64">
      <w:pPr>
        <w:pStyle w:val="Heading1"/>
        <w:rPr>
          <w:lang w:val="ru-RU"/>
        </w:rPr>
      </w:pPr>
      <w:r w:rsidRPr="00D81064">
        <w:rPr>
          <w:lang w:val="ru-RU"/>
        </w:rPr>
        <w:t>33</w:t>
      </w:r>
      <w:r w:rsidRPr="00D81064">
        <w:rPr>
          <w:lang w:val="ru-RU"/>
        </w:rPr>
        <w:tab/>
        <w:t>Вклад о равном представительстве шести регионов в IMAC (Документ </w:t>
      </w:r>
      <w:hyperlink r:id="rId206" w:history="1">
        <w:r w:rsidRPr="00D81064">
          <w:rPr>
            <w:rStyle w:val="Hyperlink"/>
            <w:bCs/>
            <w:lang w:val="ru-RU"/>
          </w:rPr>
          <w:t>C26/92</w:t>
        </w:r>
      </w:hyperlink>
      <w:r w:rsidRPr="00D81064">
        <w:rPr>
          <w:lang w:val="ru-RU"/>
        </w:rPr>
        <w:t>)</w:t>
      </w:r>
    </w:p>
    <w:p w14:paraId="022CD678" w14:textId="6703724D" w:rsidR="008B4D8A" w:rsidRPr="00D81064" w:rsidRDefault="008B4D8A" w:rsidP="008B4D8A">
      <w:pPr>
        <w:rPr>
          <w:lang w:val="ru-RU"/>
        </w:rPr>
      </w:pPr>
      <w:r w:rsidRPr="00D81064">
        <w:rPr>
          <w:lang w:val="ru-RU"/>
        </w:rPr>
        <w:t>33.1</w:t>
      </w:r>
      <w:r w:rsidRPr="00D81064">
        <w:rPr>
          <w:lang w:val="ru-RU"/>
        </w:rPr>
        <w:tab/>
        <w:t>При поддержке Советника от Китая наблюдатель от Российской Федерации представил содержащийся в Документе C26/92 вклад группы стран от имени семи стран. Во вкладе содержится призыв обеспечить равное представительство шести регионов МСЭ в составе IMAC в соответствии с Резолюцией 162 (</w:t>
      </w:r>
      <w:proofErr w:type="spellStart"/>
      <w:r w:rsidRPr="00D81064">
        <w:rPr>
          <w:lang w:val="ru-RU"/>
        </w:rPr>
        <w:t>Пересм</w:t>
      </w:r>
      <w:proofErr w:type="spellEnd"/>
      <w:r w:rsidRPr="00D81064">
        <w:rPr>
          <w:lang w:val="ru-RU"/>
        </w:rPr>
        <w:t>. Бухарест, 2022 г.) Полномочной конференции, касающейся IMAC и его круга ведения. Выступающий отметил, что в настоящее время в состав IMAC входят два члена из региона Европы и ни одного члена из региона Содружества Независимых Государств (СНГ).</w:t>
      </w:r>
    </w:p>
    <w:p w14:paraId="0D2C6A73" w14:textId="2A43AAE5" w:rsidR="008B4D8A" w:rsidRPr="00D81064" w:rsidRDefault="008B4D8A" w:rsidP="008B4D8A">
      <w:pPr>
        <w:rPr>
          <w:lang w:val="ru-RU"/>
        </w:rPr>
      </w:pPr>
      <w:r w:rsidRPr="00D81064">
        <w:rPr>
          <w:lang w:val="ru-RU"/>
        </w:rPr>
        <w:t>33.2</w:t>
      </w:r>
      <w:r w:rsidRPr="00D81064">
        <w:rPr>
          <w:lang w:val="ru-RU"/>
        </w:rPr>
        <w:tab/>
        <w:t>Один из Советников приветствовал этот вклад и признал важность равного географического представительства; вместе с тем он напомнил, что в круге ведения IMAC в качестве основного критерия отбора установлена профессиональная компетенция, тогда как добиваться равного географического представительства следует лишь "в максимально возможной степени". Он отметил, что если Государства-Члены хотят рассматривать географическое представительство наравне с профессиональной компетенцией, то Полномочной конференции потребуется пересмотреть круг ведения во избежание различий в толковании.</w:t>
      </w:r>
    </w:p>
    <w:p w14:paraId="7BFC81BC" w14:textId="31446ADE" w:rsidR="008B4D8A" w:rsidRPr="00D81064" w:rsidRDefault="008B4D8A" w:rsidP="008B4D8A">
      <w:pPr>
        <w:rPr>
          <w:lang w:val="ru-RU"/>
        </w:rPr>
      </w:pPr>
      <w:r w:rsidRPr="00D81064">
        <w:rPr>
          <w:lang w:val="ru-RU"/>
        </w:rPr>
        <w:t>33.3</w:t>
      </w:r>
      <w:r w:rsidRPr="00D81064">
        <w:rPr>
          <w:lang w:val="ru-RU"/>
        </w:rPr>
        <w:tab/>
        <w:t>Ряд других Советников вновь подчеркнули, что отбор членов IMAC должен по</w:t>
      </w:r>
      <w:r w:rsidRPr="00D81064">
        <w:rPr>
          <w:lang w:val="ru-RU"/>
        </w:rPr>
        <w:noBreakHyphen/>
        <w:t xml:space="preserve">прежнему основываться в первую очередь на заслугах и определяться профессиональной </w:t>
      </w:r>
      <w:r w:rsidRPr="00D81064">
        <w:rPr>
          <w:lang w:val="ru-RU"/>
        </w:rPr>
        <w:lastRenderedPageBreak/>
        <w:t>компетенцией и независимостью. В то же время некоторые Советники и один из наблюдателей отметили, что сбалансированное географическое представительство по-прежнему остается важным фактором.</w:t>
      </w:r>
    </w:p>
    <w:p w14:paraId="210A16D4" w14:textId="48F0A95F" w:rsidR="008B4D8A" w:rsidRPr="00D81064" w:rsidRDefault="008B4D8A" w:rsidP="00F74DF7">
      <w:pPr>
        <w:keepNext/>
        <w:keepLines/>
        <w:rPr>
          <w:lang w:val="ru-RU"/>
        </w:rPr>
      </w:pPr>
      <w:r w:rsidRPr="00D81064">
        <w:rPr>
          <w:lang w:val="ru-RU"/>
        </w:rPr>
        <w:t>33.4</w:t>
      </w:r>
      <w:r w:rsidRPr="00D81064">
        <w:rPr>
          <w:lang w:val="ru-RU"/>
        </w:rPr>
        <w:tab/>
        <w:t xml:space="preserve">Комитет </w:t>
      </w:r>
      <w:r w:rsidRPr="00D81064">
        <w:rPr>
          <w:b/>
          <w:bCs/>
          <w:lang w:val="ru-RU"/>
        </w:rPr>
        <w:t>принял решение</w:t>
      </w:r>
      <w:r w:rsidRPr="00D81064">
        <w:rPr>
          <w:lang w:val="ru-RU"/>
        </w:rPr>
        <w:t xml:space="preserve"> сделать по данному вопросу следующее заключение:</w:t>
      </w:r>
    </w:p>
    <w:p w14:paraId="1B1A9238" w14:textId="08F62A9D" w:rsidR="008B4D8A" w:rsidRPr="00D81064" w:rsidRDefault="008B4D8A" w:rsidP="00F74DF7">
      <w:pPr>
        <w:keepNext/>
        <w:keepLines/>
        <w:pBdr>
          <w:top w:val="single" w:sz="4" w:space="1" w:color="auto"/>
          <w:left w:val="single" w:sz="4" w:space="4" w:color="auto"/>
          <w:bottom w:val="single" w:sz="4" w:space="1" w:color="auto"/>
          <w:right w:val="single" w:sz="4" w:space="4" w:color="auto"/>
        </w:pBdr>
        <w:rPr>
          <w:lang w:val="ru-RU"/>
        </w:rPr>
      </w:pPr>
      <w:r w:rsidRPr="00D81064">
        <w:rPr>
          <w:lang w:val="ru-RU"/>
        </w:rPr>
        <w:t>33.5</w:t>
      </w:r>
      <w:r w:rsidRPr="00D81064">
        <w:rPr>
          <w:lang w:val="ru-RU"/>
        </w:rPr>
        <w:tab/>
        <w:t>Комитет рекомендует Совету:</w:t>
      </w:r>
    </w:p>
    <w:p w14:paraId="65682198" w14:textId="675008E4" w:rsidR="008B4D8A" w:rsidRPr="00D81064" w:rsidRDefault="008B4D8A" w:rsidP="008B4D8A">
      <w:pPr>
        <w:pStyle w:val="enumlev1"/>
        <w:pBdr>
          <w:top w:val="single" w:sz="4" w:space="1" w:color="auto"/>
          <w:left w:val="single" w:sz="4" w:space="4" w:color="auto"/>
          <w:bottom w:val="single" w:sz="4" w:space="1" w:color="auto"/>
          <w:right w:val="single" w:sz="4" w:space="4" w:color="auto"/>
        </w:pBdr>
        <w:rPr>
          <w:lang w:val="ru-RU"/>
        </w:rPr>
      </w:pPr>
      <w:r w:rsidRPr="00D81064">
        <w:rPr>
          <w:lang w:val="ru-RU"/>
        </w:rPr>
        <w:t>•</w:t>
      </w:r>
      <w:r w:rsidRPr="00D81064">
        <w:rPr>
          <w:lang w:val="ru-RU"/>
        </w:rPr>
        <w:tab/>
        <w:t xml:space="preserve">принять к сведению мнения Советников и наблюдателей по предложению, содержащемуся в Документе </w:t>
      </w:r>
      <w:hyperlink r:id="rId207" w:history="1">
        <w:r w:rsidRPr="00D81064">
          <w:rPr>
            <w:rStyle w:val="Hyperlink"/>
            <w:lang w:val="ru-RU"/>
          </w:rPr>
          <w:t>C26/92</w:t>
        </w:r>
      </w:hyperlink>
      <w:r w:rsidRPr="00D81064">
        <w:rPr>
          <w:lang w:val="ru-RU"/>
        </w:rPr>
        <w:t>;</w:t>
      </w:r>
    </w:p>
    <w:p w14:paraId="66DDA759" w14:textId="77777777" w:rsidR="008B4D8A" w:rsidRPr="00D81064" w:rsidRDefault="008B4D8A" w:rsidP="008B4D8A">
      <w:pPr>
        <w:pStyle w:val="enumlev1"/>
        <w:pBdr>
          <w:top w:val="single" w:sz="4" w:space="1" w:color="auto"/>
          <w:left w:val="single" w:sz="4" w:space="4" w:color="auto"/>
          <w:bottom w:val="single" w:sz="4" w:space="1" w:color="auto"/>
          <w:right w:val="single" w:sz="4" w:space="4" w:color="auto"/>
        </w:pBdr>
        <w:rPr>
          <w:lang w:val="ru-RU"/>
        </w:rPr>
      </w:pPr>
      <w:r w:rsidRPr="00D81064">
        <w:rPr>
          <w:lang w:val="ru-RU"/>
        </w:rPr>
        <w:t>•</w:t>
      </w:r>
      <w:r w:rsidRPr="00D81064">
        <w:rPr>
          <w:lang w:val="ru-RU"/>
        </w:rPr>
        <w:tab/>
        <w:t>предложить Государствам-Членам представить Полномочной конференции (Доха, 2026 г.) предложения по пересмотру Резолюции 162 (</w:t>
      </w:r>
      <w:proofErr w:type="spellStart"/>
      <w:r w:rsidRPr="00D81064">
        <w:rPr>
          <w:lang w:val="ru-RU"/>
        </w:rPr>
        <w:t>Пересм</w:t>
      </w:r>
      <w:proofErr w:type="spellEnd"/>
      <w:r w:rsidRPr="00D81064">
        <w:rPr>
          <w:lang w:val="ru-RU"/>
        </w:rPr>
        <w:t>. Бухарест, 2022 г.), если это будет целесообразно.</w:t>
      </w:r>
    </w:p>
    <w:p w14:paraId="399A0557" w14:textId="036C7367" w:rsidR="00E42AAD" w:rsidRPr="00D81064" w:rsidRDefault="00E42AAD" w:rsidP="00E42AAD">
      <w:pPr>
        <w:pStyle w:val="Heading1"/>
        <w:rPr>
          <w:lang w:val="ru-RU"/>
        </w:rPr>
      </w:pPr>
      <w:r w:rsidRPr="00D81064">
        <w:rPr>
          <w:bCs/>
          <w:lang w:val="ru-RU"/>
        </w:rPr>
        <w:t>3</w:t>
      </w:r>
      <w:r w:rsidR="00035EE3" w:rsidRPr="00D81064">
        <w:rPr>
          <w:bCs/>
          <w:lang w:val="ru-RU"/>
        </w:rPr>
        <w:t>4</w:t>
      </w:r>
      <w:r w:rsidRPr="00D81064">
        <w:rPr>
          <w:lang w:val="ru-RU"/>
        </w:rPr>
        <w:tab/>
        <w:t xml:space="preserve">Непроверенные счета: непроверенный отчет о финансовой деятельности за 2025 год (Документ </w:t>
      </w:r>
      <w:hyperlink r:id="rId208" w:history="1">
        <w:r w:rsidRPr="00D81064">
          <w:rPr>
            <w:bCs/>
            <w:color w:val="4F81BD" w:themeColor="accent1"/>
            <w:szCs w:val="22"/>
            <w:u w:val="single"/>
            <w:lang w:val="ru-RU"/>
          </w:rPr>
          <w:t>C26/36</w:t>
        </w:r>
      </w:hyperlink>
      <w:r w:rsidRPr="00D81064">
        <w:rPr>
          <w:lang w:val="ru-RU"/>
        </w:rPr>
        <w:t>)</w:t>
      </w:r>
      <w:hyperlink r:id="rId209" w:history="1"/>
    </w:p>
    <w:p w14:paraId="64CBBC4F" w14:textId="61B8F12A" w:rsidR="00E42AAD" w:rsidRPr="00D81064" w:rsidRDefault="00E42AAD" w:rsidP="00E42AAD">
      <w:pPr>
        <w:rPr>
          <w:rFonts w:cs="Calibri"/>
          <w:lang w:val="ru-RU"/>
        </w:rPr>
      </w:pPr>
      <w:r w:rsidRPr="00D81064">
        <w:rPr>
          <w:lang w:val="ru-RU"/>
        </w:rPr>
        <w:t>3</w:t>
      </w:r>
      <w:r w:rsidR="00035EE3" w:rsidRPr="00D81064">
        <w:rPr>
          <w:lang w:val="ru-RU"/>
        </w:rPr>
        <w:t>4</w:t>
      </w:r>
      <w:r w:rsidRPr="00D81064">
        <w:rPr>
          <w:lang w:val="ru-RU"/>
        </w:rPr>
        <w:t>.1</w:t>
      </w:r>
      <w:r w:rsidRPr="00D81064">
        <w:rPr>
          <w:lang w:val="ru-RU"/>
        </w:rPr>
        <w:tab/>
        <w:t>Генеральный секретарь, пояснив, что Внешний аудитор не смог присутствовать на сессии Совета 2026 года (Совет-26), отметила, что финансовые результаты за 2025 год свидетельствуют об эффективном управлении ресурсами Государств-Членов: было достигнуто активное сальдо бюджета, а также обеспечено полное соответствие стандартам IPSAS. Был также достигнут значительный прогресс в выполнении рекомендаций внешнего аудитора, что таким образом укрепляет деятельность Союза и его структуры управления. Наличие прочной финансовой основы позволило Союзу эффективно выполнить свой мандат, который предусматривает сокращение цифрового разрыва, ответственное использование ИИ и поддержку устойчивой цифровой трансформации во всем мире.</w:t>
      </w:r>
    </w:p>
    <w:p w14:paraId="77041D81" w14:textId="5B96DB66" w:rsidR="00E42AAD" w:rsidRPr="00D81064" w:rsidRDefault="00E42AAD" w:rsidP="00E42AAD">
      <w:pPr>
        <w:rPr>
          <w:rFonts w:cs="Calibri"/>
          <w:lang w:val="ru-RU"/>
        </w:rPr>
      </w:pPr>
      <w:r w:rsidRPr="00D81064">
        <w:rPr>
          <w:lang w:val="ru-RU"/>
        </w:rPr>
        <w:t>3</w:t>
      </w:r>
      <w:r w:rsidR="00035EE3" w:rsidRPr="00D81064">
        <w:rPr>
          <w:lang w:val="ru-RU"/>
        </w:rPr>
        <w:t>4</w:t>
      </w:r>
      <w:r w:rsidRPr="00D81064">
        <w:rPr>
          <w:lang w:val="ru-RU"/>
        </w:rPr>
        <w:t>.2</w:t>
      </w:r>
      <w:r w:rsidRPr="00D81064">
        <w:rPr>
          <w:lang w:val="ru-RU"/>
        </w:rPr>
        <w:tab/>
        <w:t>Руководитель FRMD представил обзор Документа C26/36, содержащего непроверенный отчет о финансовой деятельности и финансовую отчетность за 2025</w:t>
      </w:r>
      <w:r w:rsidR="00856AFA" w:rsidRPr="00D81064">
        <w:rPr>
          <w:lang w:val="ru-RU"/>
        </w:rPr>
        <w:t> </w:t>
      </w:r>
      <w:r w:rsidRPr="00D81064">
        <w:rPr>
          <w:lang w:val="ru-RU"/>
        </w:rPr>
        <w:t>финансовый год, которые были представлены в соответствии со Статьей</w:t>
      </w:r>
      <w:r w:rsidR="00C83CE4" w:rsidRPr="00D81064">
        <w:rPr>
          <w:lang w:val="ru-RU"/>
        </w:rPr>
        <w:t> </w:t>
      </w:r>
      <w:r w:rsidRPr="00D81064">
        <w:rPr>
          <w:lang w:val="ru-RU"/>
        </w:rPr>
        <w:t>29 Финансового регламента и Финансовых правил Союза. Основные показатели за 2025 финансовый год включают следующее: повышение общих доходов на 11,7</w:t>
      </w:r>
      <w:r w:rsidR="00C83CE4" w:rsidRPr="00D81064">
        <w:rPr>
          <w:lang w:val="ru-RU"/>
        </w:rPr>
        <w:t> </w:t>
      </w:r>
      <w:r w:rsidRPr="00D81064">
        <w:rPr>
          <w:lang w:val="ru-RU"/>
        </w:rPr>
        <w:t>млн. швейцарских франков, в</w:t>
      </w:r>
      <w:r w:rsidR="00856AFA" w:rsidRPr="00D81064">
        <w:rPr>
          <w:lang w:val="ru-RU"/>
        </w:rPr>
        <w:t> </w:t>
      </w:r>
      <w:r w:rsidRPr="00D81064">
        <w:rPr>
          <w:lang w:val="ru-RU"/>
        </w:rPr>
        <w:t>основном за счет увеличения внебюджетных взносов, роста продаж публикаций и других доходов, таких как положительная актуарная корректировка затрат на репатриацию сотрудников; снижение расходов на 20,9 млн. швейцарских франков, в основном в связи с обесценением проекта строительства нового здания; снижение финансовых доходов/расходов, в основном вследствие курсовых убытков; и уменьшение обязательств по активам на 56,4 млн. швейцарских франков, связанное с уменьшением обязательств по АСХИ.</w:t>
      </w:r>
    </w:p>
    <w:p w14:paraId="73ECD2E6" w14:textId="5299AD13" w:rsidR="00E42AAD" w:rsidRPr="00D81064" w:rsidRDefault="00E42AAD" w:rsidP="00E42AAD">
      <w:pPr>
        <w:rPr>
          <w:rFonts w:cs="Calibri"/>
          <w:lang w:val="ru-RU"/>
        </w:rPr>
      </w:pPr>
      <w:r w:rsidRPr="00D81064">
        <w:rPr>
          <w:lang w:val="ru-RU"/>
        </w:rPr>
        <w:t>3</w:t>
      </w:r>
      <w:r w:rsidR="00035EE3" w:rsidRPr="00D81064">
        <w:rPr>
          <w:lang w:val="ru-RU"/>
        </w:rPr>
        <w:t>4</w:t>
      </w:r>
      <w:r w:rsidRPr="00D81064">
        <w:rPr>
          <w:lang w:val="ru-RU"/>
        </w:rPr>
        <w:t>.3</w:t>
      </w:r>
      <w:r w:rsidRPr="00D81064">
        <w:rPr>
          <w:lang w:val="ru-RU"/>
        </w:rPr>
        <w:tab/>
        <w:t>Отвечая на вопросы и замечания, выступающий отметил, что в соответствии с IPSAS требуется представлять ежегодную финансовую отчетность по методу начисления, в то время как Союз работает на основе двухгодичного бюджета, ориентированного на результаты, который составляется с использованием модифицированного кассового метода. В документе представлена информация о возникающих расхождениях между предусмотренными в бюджете суммами и фактическими суммами. Иными словами, модифицированный кассовый метод, используемый МСЭ, показал активное сальдо бюджета в размере 10,2</w:t>
      </w:r>
      <w:r w:rsidR="00856AFA" w:rsidRPr="00D81064">
        <w:rPr>
          <w:lang w:val="ru-RU"/>
        </w:rPr>
        <w:t> </w:t>
      </w:r>
      <w:r w:rsidRPr="00D81064">
        <w:rPr>
          <w:lang w:val="ru-RU"/>
        </w:rPr>
        <w:t>млн.</w:t>
      </w:r>
      <w:r w:rsidR="00856AFA" w:rsidRPr="00D81064">
        <w:rPr>
          <w:lang w:val="ru-RU"/>
        </w:rPr>
        <w:t> </w:t>
      </w:r>
      <w:r w:rsidRPr="00D81064">
        <w:rPr>
          <w:lang w:val="ru-RU"/>
        </w:rPr>
        <w:t>швейцарских франков; в то же время согласно методу IPSAS в отчете о результатах финансовой деятельности показан дефицит в размере 9,9 млн. швейцарских франков, который в значительной степени объясняется неденежными статьями, не включенными в бюджет МСЭ, такими как начисления по АСХИ, курсовые убытки и амортизация активов.</w:t>
      </w:r>
    </w:p>
    <w:p w14:paraId="5F63B744" w14:textId="55CE6C4F" w:rsidR="00E42AAD" w:rsidRPr="00D81064" w:rsidRDefault="00E42AAD" w:rsidP="00E42AAD">
      <w:pPr>
        <w:rPr>
          <w:rFonts w:cs="Calibri"/>
          <w:lang w:val="ru-RU"/>
        </w:rPr>
      </w:pPr>
      <w:r w:rsidRPr="00D81064">
        <w:rPr>
          <w:lang w:val="ru-RU"/>
        </w:rPr>
        <w:t>3</w:t>
      </w:r>
      <w:r w:rsidR="00035EE3" w:rsidRPr="00D81064">
        <w:rPr>
          <w:lang w:val="ru-RU"/>
        </w:rPr>
        <w:t>4</w:t>
      </w:r>
      <w:r w:rsidRPr="00D81064">
        <w:rPr>
          <w:lang w:val="ru-RU"/>
        </w:rPr>
        <w:t>.4</w:t>
      </w:r>
      <w:r w:rsidRPr="00D81064">
        <w:rPr>
          <w:lang w:val="ru-RU"/>
        </w:rPr>
        <w:tab/>
        <w:t xml:space="preserve">В отношении непроверенных счетов выступающий пояснил, что в соответствии с Финансовым регламентом и Финансовыми правилами Союза финансовая отчетность представляется Внешнему аудитору к 31 марта после окончания года, к которому она </w:t>
      </w:r>
      <w:r w:rsidRPr="00D81064">
        <w:rPr>
          <w:lang w:val="ru-RU"/>
        </w:rPr>
        <w:lastRenderedPageBreak/>
        <w:t>относится. С учетом того, что в годы проведения полномочных конференций сессия Совета проводится за шесть месяцев до конференции, обычно в марте или апреле, Внешний аудитор не в состоянии опубликовать свой проверенный отчет в эти сроки. Проверенный отчет будет опубликован в конце июня и представлен на заключительном пленарном заседании Совета-26, которое состоится непосредственно перед ПК-26. При желании обсуждение проверенного отчета может быть включено в информационную сессию по проекту Финансового плана на 2028–2031</w:t>
      </w:r>
      <w:r w:rsidR="00DA4740" w:rsidRPr="00D81064">
        <w:rPr>
          <w:lang w:val="ru-RU"/>
        </w:rPr>
        <w:t> </w:t>
      </w:r>
      <w:r w:rsidRPr="00D81064">
        <w:rPr>
          <w:lang w:val="ru-RU"/>
        </w:rPr>
        <w:t>годы, которая проводится в межсессионный период.</w:t>
      </w:r>
    </w:p>
    <w:p w14:paraId="0F7A9355" w14:textId="527641B9" w:rsidR="00E42AAD" w:rsidRPr="00D81064" w:rsidRDefault="00E42AAD" w:rsidP="00E42AAD">
      <w:pPr>
        <w:rPr>
          <w:rFonts w:cs="Calibri"/>
          <w:lang w:val="ru-RU"/>
        </w:rPr>
      </w:pPr>
      <w:r w:rsidRPr="00D81064">
        <w:rPr>
          <w:lang w:val="ru-RU"/>
        </w:rPr>
        <w:t>3</w:t>
      </w:r>
      <w:r w:rsidR="00035EE3" w:rsidRPr="00D81064">
        <w:rPr>
          <w:lang w:val="ru-RU"/>
        </w:rPr>
        <w:t>4</w:t>
      </w:r>
      <w:r w:rsidRPr="00D81064">
        <w:rPr>
          <w:lang w:val="ru-RU"/>
        </w:rPr>
        <w:t>.5</w:t>
      </w:r>
      <w:r w:rsidRPr="00D81064">
        <w:rPr>
          <w:lang w:val="ru-RU"/>
        </w:rPr>
        <w:tab/>
        <w:t>Увеличение затрат по персоналу обусловлено несколькими факторами, в том числе корректировками шкал окладов сотрудников категории общего обслуживания и сотрудников категории специалистов и выше, согласованными после принятия бюджета на 2025 год в 2023</w:t>
      </w:r>
      <w:r w:rsidR="00856AFA" w:rsidRPr="00D81064">
        <w:rPr>
          <w:lang w:val="ru-RU"/>
        </w:rPr>
        <w:t> </w:t>
      </w:r>
      <w:r w:rsidRPr="00D81064">
        <w:rPr>
          <w:lang w:val="ru-RU"/>
        </w:rPr>
        <w:t>году; регулярным повышением пенсионных взносов; и повышением чистых выплат по АСХИ. Рост затрат на контрактные услуги связан с необходимостью привлечения экспертов для осуществления проектов, в случае если работа не может быть выполнена собственными силами. Выступающий кратко описал затраты, связанные с категорией путевых расходов, которая включает стоимость авиаперелетов и суточные. Информация по этому вопросу представлена в разбивке по Секторам в финансовой отчетности и примечаниях к ней. Путевые расходы, связанные с участием в конференциях МСЭ за пределами Женевы, покрываются в основном соответствующей принимающей страной.</w:t>
      </w:r>
    </w:p>
    <w:p w14:paraId="6C72DF5F" w14:textId="7968BC81" w:rsidR="00E42AAD" w:rsidRPr="00D81064" w:rsidRDefault="00E42AAD" w:rsidP="00E42AAD">
      <w:pPr>
        <w:rPr>
          <w:rFonts w:cs="Calibri"/>
          <w:lang w:val="ru-RU"/>
        </w:rPr>
      </w:pPr>
      <w:r w:rsidRPr="00D81064">
        <w:rPr>
          <w:lang w:val="ru-RU"/>
        </w:rPr>
        <w:t>3</w:t>
      </w:r>
      <w:r w:rsidR="00035EE3" w:rsidRPr="00D81064">
        <w:rPr>
          <w:lang w:val="ru-RU"/>
        </w:rPr>
        <w:t>4</w:t>
      </w:r>
      <w:r w:rsidRPr="00D81064">
        <w:rPr>
          <w:lang w:val="ru-RU"/>
        </w:rPr>
        <w:t>.6</w:t>
      </w:r>
      <w:r w:rsidRPr="00D81064">
        <w:rPr>
          <w:lang w:val="ru-RU"/>
        </w:rPr>
        <w:tab/>
        <w:t xml:space="preserve">Что касается курсовых убытков, </w:t>
      </w:r>
      <w:proofErr w:type="gramStart"/>
      <w:r w:rsidRPr="00D81064">
        <w:rPr>
          <w:lang w:val="ru-RU"/>
        </w:rPr>
        <w:t>притом</w:t>
      </w:r>
      <w:proofErr w:type="gramEnd"/>
      <w:r w:rsidRPr="00D81064">
        <w:rPr>
          <w:lang w:val="ru-RU"/>
        </w:rPr>
        <w:t xml:space="preserve"> что швейцарский франк является отчетной и рабочей валютой Союза, процентные ставки в этой валюте ничтожно малы. По этой причине краткосрочные инвестиции осуществляются в основном в долларах США и евро. В 2024</w:t>
      </w:r>
      <w:r w:rsidR="00550A92" w:rsidRPr="00D81064">
        <w:rPr>
          <w:lang w:val="ru-RU"/>
        </w:rPr>
        <w:t> </w:t>
      </w:r>
      <w:r w:rsidRPr="00D81064">
        <w:rPr>
          <w:lang w:val="ru-RU"/>
        </w:rPr>
        <w:t>году этот подход оказался благоприятным, однако в 2025 году процентные ставки снизились. Аналогичным образом, проекты, управление которыми велось в других валютах, приходилось конвертировать в швейцарские франки для целей учета, что приводило к расхождениям в стоимостных показателях. Для упрощения задачи планируется обеспечить, чтобы управление всеми проектами осуществлялось в швейцарских франках.</w:t>
      </w:r>
    </w:p>
    <w:p w14:paraId="0DF021E5" w14:textId="0E0CF5B0" w:rsidR="00E42AAD" w:rsidRPr="00D81064" w:rsidRDefault="00E42AAD" w:rsidP="00E42AAD">
      <w:pPr>
        <w:rPr>
          <w:rFonts w:cs="Calibri"/>
          <w:lang w:val="ru-RU"/>
        </w:rPr>
      </w:pPr>
      <w:r w:rsidRPr="00D81064">
        <w:rPr>
          <w:lang w:val="ru-RU"/>
        </w:rPr>
        <w:t>3</w:t>
      </w:r>
      <w:r w:rsidR="00035EE3" w:rsidRPr="00D81064">
        <w:rPr>
          <w:lang w:val="ru-RU"/>
        </w:rPr>
        <w:t>4</w:t>
      </w:r>
      <w:r w:rsidRPr="00D81064">
        <w:rPr>
          <w:lang w:val="ru-RU"/>
        </w:rPr>
        <w:t>.7</w:t>
      </w:r>
      <w:r w:rsidRPr="00D81064">
        <w:rPr>
          <w:lang w:val="ru-RU"/>
        </w:rPr>
        <w:tab/>
        <w:t>Советники приветствовали отчет и дали высокую оценку усилиям Союза по улучшению своего финансового положения, обратив особое внимание на сокращение дефицита, увеличение доходов и активное сальдо бюджета. Некоторые Советники выразили обеспокоенность в связи с убытками, связанными с колебаниями валютных курсов. Один из Советников подчеркнул необходимость принятия мер для обеспечения финансовой стабильности Союза в условиях будущей волатильности финансовых рынков и для прекращения тенденции к росту затрат по персоналу. Другой Советник, отметив, что долгосрочные обязательства Союза превышают его активы, призвал к дальнейшим усилиям по упорядочению ситуации и управлению рисками. В будущую отчетность следует включать информацию по этому вопросу, а также дезагрегированные данные о путевых расходах и расходах, связанных с контрактными соглашениями. Он также хотел бы получить информацию о конкретных сценариях, при которых будут задействованы правила</w:t>
      </w:r>
      <w:r w:rsidR="00550A92" w:rsidRPr="00D81064">
        <w:rPr>
          <w:lang w:val="ru-RU"/>
        </w:rPr>
        <w:t> </w:t>
      </w:r>
      <w:r w:rsidRPr="00D81064">
        <w:rPr>
          <w:lang w:val="ru-RU"/>
        </w:rPr>
        <w:t>40–44 IPSAS, и о возможных финансовых последствиях этого.</w:t>
      </w:r>
    </w:p>
    <w:p w14:paraId="505114B3" w14:textId="3B4D1754" w:rsidR="00E42AAD" w:rsidRPr="00D81064" w:rsidRDefault="00E42AAD" w:rsidP="00E42AAD">
      <w:pPr>
        <w:rPr>
          <w:lang w:val="ru-RU"/>
        </w:rPr>
      </w:pPr>
      <w:r w:rsidRPr="00D81064">
        <w:rPr>
          <w:lang w:val="ru-RU"/>
        </w:rPr>
        <w:t>3</w:t>
      </w:r>
      <w:r w:rsidR="00035EE3" w:rsidRPr="00D81064">
        <w:rPr>
          <w:lang w:val="ru-RU"/>
        </w:rPr>
        <w:t>4</w:t>
      </w:r>
      <w:r w:rsidRPr="00D81064">
        <w:rPr>
          <w:lang w:val="ru-RU"/>
        </w:rPr>
        <w:t>.8</w:t>
      </w:r>
      <w:r w:rsidRPr="00D81064">
        <w:rPr>
          <w:lang w:val="ru-RU"/>
        </w:rPr>
        <w:tab/>
        <w:t>Один из Советников отметил, что объем средств на резервном счете значительно превышает пороговое значение, установленное Решением 5 (</w:t>
      </w:r>
      <w:proofErr w:type="spellStart"/>
      <w:r w:rsidRPr="00D81064">
        <w:rPr>
          <w:lang w:val="ru-RU"/>
        </w:rPr>
        <w:t>Пересм</w:t>
      </w:r>
      <w:proofErr w:type="spellEnd"/>
      <w:r w:rsidRPr="00D81064">
        <w:rPr>
          <w:lang w:val="ru-RU"/>
        </w:rPr>
        <w:t>. Бухарест, 2022</w:t>
      </w:r>
      <w:r w:rsidR="00550A92" w:rsidRPr="00D81064">
        <w:rPr>
          <w:lang w:val="ru-RU"/>
        </w:rPr>
        <w:t> </w:t>
      </w:r>
      <w:r w:rsidRPr="00D81064">
        <w:rPr>
          <w:lang w:val="ru-RU"/>
        </w:rPr>
        <w:t>г.) Полномочной конференции, и подчеркнул важность обеспечения более устойчивого финансирования развития с учетом масштабных потребностей в области цифровой трансформации во всем мире, особенно в развивающихся странах и НРС. В связи с этим необходимо продолжить обсуждение специальных механизмов финансирования. Один из Советников призвал к осторожности при выделении средств, сэкономленных при исполнении бюджета на 2025 год, с учетом накопленного дефицита. Другой Советник подчеркнул необходимость дальнейших усилий по обеспечению своевременного взыскания дебиторской задолженности.</w:t>
      </w:r>
    </w:p>
    <w:p w14:paraId="5193EDF2" w14:textId="1A3C97B8" w:rsidR="00E42AAD" w:rsidRPr="00D81064" w:rsidRDefault="00E42AAD" w:rsidP="00F74DF7">
      <w:pPr>
        <w:keepNext/>
        <w:keepLines/>
        <w:rPr>
          <w:lang w:val="ru-RU"/>
        </w:rPr>
      </w:pPr>
      <w:r w:rsidRPr="00D81064">
        <w:rPr>
          <w:spacing w:val="-4"/>
          <w:lang w:val="ru-RU"/>
        </w:rPr>
        <w:lastRenderedPageBreak/>
        <w:t>3</w:t>
      </w:r>
      <w:r w:rsidR="00035EE3" w:rsidRPr="00D81064">
        <w:rPr>
          <w:spacing w:val="-4"/>
          <w:lang w:val="ru-RU"/>
        </w:rPr>
        <w:t>4</w:t>
      </w:r>
      <w:r w:rsidRPr="00D81064">
        <w:rPr>
          <w:spacing w:val="-4"/>
          <w:lang w:val="ru-RU"/>
        </w:rPr>
        <w:t>.9</w:t>
      </w:r>
      <w:r w:rsidRPr="00D81064">
        <w:rPr>
          <w:spacing w:val="-4"/>
          <w:lang w:val="ru-RU"/>
        </w:rPr>
        <w:tab/>
      </w:r>
      <w:r w:rsidRPr="00D81064">
        <w:rPr>
          <w:lang w:val="ru-RU"/>
        </w:rPr>
        <w:t xml:space="preserve">Комитет </w:t>
      </w:r>
      <w:r w:rsidRPr="00D81064">
        <w:rPr>
          <w:b/>
          <w:bCs/>
          <w:lang w:val="ru-RU"/>
        </w:rPr>
        <w:t>принял решение</w:t>
      </w:r>
      <w:r w:rsidRPr="00D81064">
        <w:rPr>
          <w:lang w:val="ru-RU"/>
        </w:rPr>
        <w:t xml:space="preserve"> сделать по данному вопросу следующее заключение:</w:t>
      </w:r>
    </w:p>
    <w:p w14:paraId="331C2B5D" w14:textId="73CCBA32" w:rsidR="00E42AAD" w:rsidRPr="00D81064" w:rsidRDefault="00E42AAD" w:rsidP="00AC3268">
      <w:pPr>
        <w:keepNext/>
        <w:pBdr>
          <w:top w:val="single" w:sz="4" w:space="1" w:color="auto"/>
          <w:left w:val="single" w:sz="4" w:space="4" w:color="auto"/>
          <w:bottom w:val="single" w:sz="4" w:space="1" w:color="auto"/>
          <w:right w:val="single" w:sz="4" w:space="4" w:color="auto"/>
        </w:pBdr>
        <w:rPr>
          <w:lang w:val="ru-RU"/>
        </w:rPr>
      </w:pPr>
      <w:bookmarkStart w:id="11" w:name="_Hlk229003552"/>
      <w:r w:rsidRPr="00D81064">
        <w:rPr>
          <w:lang w:val="ru-RU"/>
        </w:rPr>
        <w:t>3</w:t>
      </w:r>
      <w:r w:rsidR="00035EE3" w:rsidRPr="00D81064">
        <w:rPr>
          <w:lang w:val="ru-RU"/>
        </w:rPr>
        <w:t>4</w:t>
      </w:r>
      <w:r w:rsidRPr="00D81064">
        <w:rPr>
          <w:lang w:val="ru-RU"/>
        </w:rPr>
        <w:t>.10</w:t>
      </w:r>
      <w:r w:rsidRPr="00D81064">
        <w:rPr>
          <w:lang w:val="ru-RU"/>
        </w:rPr>
        <w:tab/>
        <w:t>Комитет рекомендует Совету:</w:t>
      </w:r>
    </w:p>
    <w:p w14:paraId="7C296855" w14:textId="3DCEB81E" w:rsidR="00593E6D" w:rsidRPr="00D81064" w:rsidRDefault="00E42AAD" w:rsidP="00E42AAD">
      <w:pPr>
        <w:pStyle w:val="enumlev1"/>
        <w:pBdr>
          <w:top w:val="single" w:sz="4" w:space="1" w:color="auto"/>
          <w:left w:val="single" w:sz="4" w:space="4" w:color="auto"/>
          <w:bottom w:val="single" w:sz="4" w:space="1" w:color="auto"/>
          <w:right w:val="single" w:sz="4" w:space="4" w:color="auto"/>
        </w:pBdr>
        <w:rPr>
          <w:lang w:val="ru-RU"/>
        </w:rPr>
      </w:pPr>
      <w:r w:rsidRPr="00D81064">
        <w:rPr>
          <w:lang w:val="ru-RU"/>
        </w:rPr>
        <w:t>•</w:t>
      </w:r>
      <w:r w:rsidRPr="00D81064">
        <w:rPr>
          <w:lang w:val="ru-RU"/>
        </w:rPr>
        <w:tab/>
        <w:t xml:space="preserve">принять к сведению непроверенный отчет о финансовой деятельности и финансовую отчетность, представленные в Документе </w:t>
      </w:r>
      <w:hyperlink r:id="rId210" w:history="1">
        <w:r w:rsidRPr="00D81064">
          <w:rPr>
            <w:rStyle w:val="Hyperlink"/>
            <w:szCs w:val="24"/>
            <w:lang w:val="ru-RU"/>
          </w:rPr>
          <w:t>C26/36</w:t>
        </w:r>
      </w:hyperlink>
      <w:r w:rsidR="00593E6D" w:rsidRPr="00D81064">
        <w:rPr>
          <w:lang w:val="ru-RU"/>
        </w:rPr>
        <w:t>, и что проверенный отчет о финансовой деятельности и отчет Внешнего аудитора будут представлены к концу июня 2026 года;</w:t>
      </w:r>
    </w:p>
    <w:p w14:paraId="5AB86F71" w14:textId="11EB6046" w:rsidR="00E42AAD" w:rsidRPr="00D81064" w:rsidRDefault="00593E6D" w:rsidP="00E42AAD">
      <w:pPr>
        <w:pStyle w:val="enumlev1"/>
        <w:pBdr>
          <w:top w:val="single" w:sz="4" w:space="1" w:color="auto"/>
          <w:left w:val="single" w:sz="4" w:space="4" w:color="auto"/>
          <w:bottom w:val="single" w:sz="4" w:space="1" w:color="auto"/>
          <w:right w:val="single" w:sz="4" w:space="4" w:color="auto"/>
        </w:pBdr>
        <w:rPr>
          <w:lang w:val="ru-RU"/>
        </w:rPr>
      </w:pPr>
      <w:r w:rsidRPr="00D81064">
        <w:rPr>
          <w:lang w:val="ru-RU"/>
        </w:rPr>
        <w:t>•</w:t>
      </w:r>
      <w:r w:rsidRPr="00D81064">
        <w:rPr>
          <w:lang w:val="ru-RU"/>
        </w:rPr>
        <w:tab/>
        <w:t xml:space="preserve">поручить </w:t>
      </w:r>
      <w:r w:rsidR="00B31145" w:rsidRPr="00D81064">
        <w:rPr>
          <w:lang w:val="ru-RU"/>
        </w:rPr>
        <w:t xml:space="preserve">Секретариату </w:t>
      </w:r>
      <w:r w:rsidRPr="00D81064">
        <w:rPr>
          <w:lang w:val="ru-RU"/>
        </w:rPr>
        <w:t xml:space="preserve">запланировать информационную сессию с участием Внешнего аудитора для обсуждения проверенного отчета, возможно, одновременно с информационной сессией по проекту Финансового плана на период </w:t>
      </w:r>
      <w:proofErr w:type="gramStart"/>
      <w:r w:rsidRPr="00D81064">
        <w:rPr>
          <w:lang w:val="ru-RU"/>
        </w:rPr>
        <w:t>2028−2031</w:t>
      </w:r>
      <w:proofErr w:type="gramEnd"/>
      <w:r w:rsidR="00B31145" w:rsidRPr="00D81064">
        <w:rPr>
          <w:lang w:val="ru-RU"/>
        </w:rPr>
        <w:t> </w:t>
      </w:r>
      <w:r w:rsidRPr="00D81064">
        <w:rPr>
          <w:lang w:val="ru-RU"/>
        </w:rPr>
        <w:t>годов.</w:t>
      </w:r>
      <w:hyperlink r:id="rId211" w:history="1"/>
      <w:bookmarkEnd w:id="11"/>
    </w:p>
    <w:p w14:paraId="35186432" w14:textId="0E691E83" w:rsidR="00230A8C" w:rsidRPr="00D81064" w:rsidRDefault="00230A8C" w:rsidP="00230A8C">
      <w:pPr>
        <w:pStyle w:val="Heading1"/>
        <w:rPr>
          <w:lang w:val="ru-RU"/>
        </w:rPr>
      </w:pPr>
      <w:r w:rsidRPr="00D81064">
        <w:rPr>
          <w:bCs/>
          <w:lang w:val="ru-RU"/>
        </w:rPr>
        <w:t>3</w:t>
      </w:r>
      <w:r w:rsidR="00035EE3" w:rsidRPr="00D81064">
        <w:rPr>
          <w:bCs/>
          <w:lang w:val="ru-RU"/>
        </w:rPr>
        <w:t>5</w:t>
      </w:r>
      <w:r w:rsidRPr="00D81064">
        <w:rPr>
          <w:lang w:val="ru-RU"/>
        </w:rPr>
        <w:tab/>
        <w:t xml:space="preserve">Доклады ОИГ по вопросам, касающимся всей системы Организации Объединенных Наций, за 2025 год и рекомендации директивным органам (Документ </w:t>
      </w:r>
      <w:hyperlink r:id="rId212" w:history="1">
        <w:r w:rsidRPr="00D81064">
          <w:rPr>
            <w:rStyle w:val="Hyperlink"/>
            <w:bCs/>
            <w:lang w:val="ru-RU"/>
          </w:rPr>
          <w:t>C26/57</w:t>
        </w:r>
      </w:hyperlink>
      <w:r w:rsidRPr="00D81064">
        <w:rPr>
          <w:lang w:val="ru-RU"/>
        </w:rPr>
        <w:t>)</w:t>
      </w:r>
      <w:hyperlink r:id="rId213" w:history="1"/>
    </w:p>
    <w:p w14:paraId="03C89454" w14:textId="13A3BFB7" w:rsidR="00230A8C" w:rsidRPr="00D81064" w:rsidRDefault="00230A8C" w:rsidP="00230A8C">
      <w:pPr>
        <w:rPr>
          <w:lang w:val="ru-RU"/>
        </w:rPr>
      </w:pPr>
      <w:r w:rsidRPr="00D81064">
        <w:rPr>
          <w:lang w:val="ru-RU"/>
        </w:rPr>
        <w:t>3</w:t>
      </w:r>
      <w:r w:rsidR="00035EE3" w:rsidRPr="00D81064">
        <w:rPr>
          <w:lang w:val="ru-RU"/>
        </w:rPr>
        <w:t>5</w:t>
      </w:r>
      <w:r w:rsidRPr="00D81064">
        <w:rPr>
          <w:lang w:val="ru-RU"/>
        </w:rPr>
        <w:t>.1</w:t>
      </w:r>
      <w:r w:rsidRPr="00D81064">
        <w:rPr>
          <w:lang w:val="ru-RU"/>
        </w:rPr>
        <w:tab/>
        <w:t xml:space="preserve">Во исполнение рекомендации Совета-25 Генеральный секретарь приветствовала представителя ОИГ, приглашенного на сессию Совета в качестве наблюдателя с правом совещательного голоса в соответствии с порядком, предложенным РГС-ФЛР. Она отметила, что ОИГ впервые участвует в обсуждении общесистемных докладов. По ее словам, </w:t>
      </w:r>
      <w:r w:rsidR="00373264" w:rsidRPr="00D81064">
        <w:rPr>
          <w:lang w:val="ru-RU"/>
        </w:rPr>
        <w:t xml:space="preserve">Секретариат </w:t>
      </w:r>
      <w:r w:rsidRPr="00D81064">
        <w:rPr>
          <w:lang w:val="ru-RU"/>
        </w:rPr>
        <w:t>предпринял всеобъемлющие усилия в масштабах всей организации по усилению контроля со стороны руководства за выполнением рекомендаций ОИГ и отчетности по ним, достигнув 82</w:t>
      </w:r>
      <w:r w:rsidRPr="00D81064">
        <w:rPr>
          <w:lang w:val="ru-RU"/>
        </w:rPr>
        <w:noBreakHyphen/>
        <w:t>процентного уровня принятия и 87-процентного уровня выполнения в целом, и полностью готов продолжать эту работу.</w:t>
      </w:r>
    </w:p>
    <w:p w14:paraId="40EF1CE7" w14:textId="086AA74A" w:rsidR="00230A8C" w:rsidRPr="00D81064" w:rsidRDefault="00230A8C" w:rsidP="00230A8C">
      <w:pPr>
        <w:rPr>
          <w:lang w:val="ru-RU"/>
        </w:rPr>
      </w:pPr>
      <w:r w:rsidRPr="00D81064">
        <w:rPr>
          <w:lang w:val="ru-RU"/>
        </w:rPr>
        <w:t>3</w:t>
      </w:r>
      <w:r w:rsidR="00035EE3" w:rsidRPr="00D81064">
        <w:rPr>
          <w:lang w:val="ru-RU"/>
        </w:rPr>
        <w:t>5</w:t>
      </w:r>
      <w:r w:rsidRPr="00D81064">
        <w:rPr>
          <w:lang w:val="ru-RU"/>
        </w:rPr>
        <w:t>.2</w:t>
      </w:r>
      <w:r w:rsidRPr="00D81064">
        <w:rPr>
          <w:lang w:val="ru-RU"/>
        </w:rPr>
        <w:tab/>
        <w:t>Представитель Генерального секретариата представил Документ C26/57, в котором содержатся доклады ОИГ по программе работы на 2025 год по вопросам, касающимся всей системы Организации Объединенных Наций, и набор из пяти рекомендаций, адресованных руководящим органам МСЭ, а именно: Рекомендаций 1 и 3 в рамках обзора политики и практики определения ставок расходов на вспомогательное обслуживание по программам в организациях системы Организации Объединенных Наций (</w:t>
      </w:r>
      <w:hyperlink r:id="rId214" w:history="1">
        <w:r w:rsidRPr="00D81064">
          <w:rPr>
            <w:rStyle w:val="Hyperlink"/>
            <w:lang w:val="ru-RU"/>
          </w:rPr>
          <w:t>JIU/REP/2025/4</w:t>
        </w:r>
      </w:hyperlink>
      <w:r w:rsidRPr="00D81064">
        <w:rPr>
          <w:lang w:val="ru-RU"/>
        </w:rPr>
        <w:t>); Рекомендации 7 в рамках обзора оценок организаций системы Организации Объединенных Наций, проводимых под руководством доноров, и других просьб доноров, связанных с надзором, в контексте соглашений о финансировании и принципа единого аудита в Организации Объединенных Наций (</w:t>
      </w:r>
      <w:hyperlink r:id="rId215" w:history="1">
        <w:r w:rsidRPr="00D81064">
          <w:rPr>
            <w:rStyle w:val="Hyperlink"/>
            <w:lang w:val="ru-RU"/>
          </w:rPr>
          <w:t>JIU/REP/2025/3</w:t>
        </w:r>
      </w:hyperlink>
      <w:r w:rsidRPr="00D81064">
        <w:rPr>
          <w:lang w:val="ru-RU"/>
        </w:rPr>
        <w:t>); и Рекомендаций 3 и 13 в рамках обзора политики и практики в целях предупреждения и пресечения сексуальной эксплуатации и сексуальных надругательств в организациях системы Организации Объединенных Наций (</w:t>
      </w:r>
      <w:hyperlink r:id="rId216" w:history="1">
        <w:r w:rsidRPr="00D81064">
          <w:rPr>
            <w:rStyle w:val="Hyperlink"/>
            <w:lang w:val="ru-RU"/>
          </w:rPr>
          <w:t>JIU/REP/2025/2</w:t>
        </w:r>
      </w:hyperlink>
      <w:r w:rsidRPr="00D81064">
        <w:rPr>
          <w:lang w:val="ru-RU"/>
        </w:rPr>
        <w:t>). Секретариат рекомендовал принять все пять рекомендаций.</w:t>
      </w:r>
      <w:hyperlink r:id="rId217" w:history="1"/>
      <w:hyperlink r:id="rId218" w:history="1"/>
      <w:hyperlink r:id="rId219" w:history="1"/>
    </w:p>
    <w:p w14:paraId="3034A136" w14:textId="6C64405C" w:rsidR="00230A8C" w:rsidRPr="00D81064" w:rsidRDefault="00230A8C" w:rsidP="00230A8C">
      <w:pPr>
        <w:rPr>
          <w:lang w:val="ru-RU"/>
        </w:rPr>
      </w:pPr>
      <w:r w:rsidRPr="00D81064">
        <w:rPr>
          <w:lang w:val="ru-RU"/>
        </w:rPr>
        <w:t>3</w:t>
      </w:r>
      <w:r w:rsidR="00035EE3" w:rsidRPr="00D81064">
        <w:rPr>
          <w:lang w:val="ru-RU"/>
        </w:rPr>
        <w:t>5</w:t>
      </w:r>
      <w:r w:rsidRPr="00D81064">
        <w:rPr>
          <w:lang w:val="ru-RU"/>
        </w:rPr>
        <w:t>.3</w:t>
      </w:r>
      <w:r w:rsidRPr="00D81064">
        <w:rPr>
          <w:lang w:val="ru-RU"/>
        </w:rPr>
        <w:tab/>
        <w:t>Отвечая на вопрос одного из Советников, представитель Генерального секретариата сказал, что цель имевших место в прошлом оговорок к статуту ОИГ, как это изложено в Резолюции 38 (Найроби, 1982 г.) Полномочной конференции, заключалась в защите мандата МСЭ. Пересмотр этих оговорок является прерогативой Полномочной конференции. Он добавил, что любое изменение будет являться для Государств-Членов более широким вопросом политического характера и что делегации, возможно, пожелают рассмотреть вопрос о том, необходимо ли такое изменение, учитывая, что существующая система функционирует эффективно.</w:t>
      </w:r>
    </w:p>
    <w:p w14:paraId="6E195F8B" w14:textId="2C7DCC84" w:rsidR="00230A8C" w:rsidRPr="00D81064" w:rsidRDefault="00230A8C" w:rsidP="00230A8C">
      <w:pPr>
        <w:rPr>
          <w:lang w:val="ru-RU"/>
        </w:rPr>
      </w:pPr>
      <w:r w:rsidRPr="00D81064">
        <w:rPr>
          <w:lang w:val="ru-RU"/>
        </w:rPr>
        <w:t>3</w:t>
      </w:r>
      <w:r w:rsidR="00035EE3" w:rsidRPr="00D81064">
        <w:rPr>
          <w:lang w:val="ru-RU"/>
        </w:rPr>
        <w:t>5</w:t>
      </w:r>
      <w:r w:rsidRPr="00D81064">
        <w:rPr>
          <w:lang w:val="ru-RU"/>
        </w:rPr>
        <w:t>.4</w:t>
      </w:r>
      <w:r w:rsidRPr="00D81064">
        <w:rPr>
          <w:lang w:val="ru-RU"/>
        </w:rPr>
        <w:tab/>
        <w:t xml:space="preserve">В отношении Рекомендации 3 (JIU/REP/2025/2) руководитель HRMD сообщил, что политика МСЭ по защите от СЭСН находится на заключительном этапе рассмотрения HRMD и Подразделением по правовым вопросам. В настоящее время </w:t>
      </w:r>
      <w:r w:rsidR="00373264" w:rsidRPr="00D81064">
        <w:rPr>
          <w:lang w:val="ru-RU"/>
        </w:rPr>
        <w:t xml:space="preserve">Секретариат </w:t>
      </w:r>
      <w:r w:rsidRPr="00D81064">
        <w:rPr>
          <w:lang w:val="ru-RU"/>
        </w:rPr>
        <w:t>предполагает принятие отдельных видов политики в отношении СЭСН и домогательств, но будет отслеживать тенденции в системе Организации Объединенных Наций.</w:t>
      </w:r>
    </w:p>
    <w:p w14:paraId="5E7349E9" w14:textId="2B04455C" w:rsidR="00230A8C" w:rsidRPr="00D81064" w:rsidRDefault="00230A8C" w:rsidP="00230A8C">
      <w:pPr>
        <w:rPr>
          <w:lang w:val="ru-RU"/>
        </w:rPr>
      </w:pPr>
      <w:r w:rsidRPr="00D81064">
        <w:rPr>
          <w:lang w:val="ru-RU"/>
        </w:rPr>
        <w:lastRenderedPageBreak/>
        <w:t>3</w:t>
      </w:r>
      <w:r w:rsidR="00035EE3" w:rsidRPr="00D81064">
        <w:rPr>
          <w:lang w:val="ru-RU"/>
        </w:rPr>
        <w:t>5</w:t>
      </w:r>
      <w:r w:rsidRPr="00D81064">
        <w:rPr>
          <w:lang w:val="ru-RU"/>
        </w:rPr>
        <w:t>.5</w:t>
      </w:r>
      <w:r w:rsidRPr="00D81064">
        <w:rPr>
          <w:lang w:val="ru-RU"/>
        </w:rPr>
        <w:tab/>
        <w:t>Отвечая на вопросы одного из Советников, представитель ОИГ сообщил, что Группа ежегодно включает в свой план работы проведение обзора управления и администрирования одной из организаций системы Организации Объединенных Наций. Она принимает решение о выборе конкретной организации на основе нескольких критериев: организация недавно провела или вскоре проведет крупную реформу; существует высокий риск принятия мер по привлечению к ответственности; произошла смена административного руководителя. В отношении МСЭ такой обзор проводился в 2016 году. ОИГ готов рассмотреть просьбу Совета или другого руководящего органа в отношении обзора управления и администрирования, но при этом сохраняет независимость при определении своего плана работы. Инспекторы смогут участвовать в обсуждении результатов такого обзора только в том случае, если они еще работают по контракту в ОИГ.</w:t>
      </w:r>
    </w:p>
    <w:p w14:paraId="07E75793" w14:textId="4D5301C4" w:rsidR="00230A8C" w:rsidRPr="00D81064" w:rsidRDefault="00230A8C" w:rsidP="00230A8C">
      <w:pPr>
        <w:rPr>
          <w:lang w:val="ru-RU"/>
        </w:rPr>
      </w:pPr>
      <w:r w:rsidRPr="00D81064">
        <w:rPr>
          <w:lang w:val="ru-RU"/>
        </w:rPr>
        <w:t>3</w:t>
      </w:r>
      <w:r w:rsidR="00035EE3" w:rsidRPr="00D81064">
        <w:rPr>
          <w:lang w:val="ru-RU"/>
        </w:rPr>
        <w:t>5</w:t>
      </w:r>
      <w:r w:rsidRPr="00D81064">
        <w:rPr>
          <w:lang w:val="ru-RU"/>
        </w:rPr>
        <w:t>.6</w:t>
      </w:r>
      <w:r w:rsidRPr="00D81064">
        <w:rPr>
          <w:lang w:val="ru-RU"/>
        </w:rPr>
        <w:tab/>
        <w:t>Несколько Советников с одобрением отметили участие ОИГ в обсуждении и заявили, что рекомендации ОИГ следует принять, при этом один из Советников отметил, что некоторые из них уже выполнены. Некоторые Советники приветствовали, в частности, рекомендацию о разработке отдельной политики в отношении возмещения затрат, но просили разъяснить, каким образом такая политика будет влиять на Резолюцию 91 (</w:t>
      </w:r>
      <w:proofErr w:type="spellStart"/>
      <w:r w:rsidRPr="00D81064">
        <w:rPr>
          <w:lang w:val="ru-RU"/>
        </w:rPr>
        <w:t>Пересм</w:t>
      </w:r>
      <w:proofErr w:type="spellEnd"/>
      <w:r w:rsidRPr="00D81064">
        <w:rPr>
          <w:lang w:val="ru-RU"/>
        </w:rPr>
        <w:t>. Гвадалахара, 2010 г.) Полномочной конференции или формироваться под ее влиянием. Они подчеркнули, что согласованная политика в отношении возмещения затрат и определения затрат по проектам/программам имеет решающее значение для финансовой устойчивости Союза и для обеспечения эффективного распределения ресурсов и согласования видов деятельности с основным мандатом Союза.</w:t>
      </w:r>
    </w:p>
    <w:p w14:paraId="51175368" w14:textId="7AE953FC" w:rsidR="00230A8C" w:rsidRPr="00D81064" w:rsidRDefault="00230A8C" w:rsidP="00230A8C">
      <w:pPr>
        <w:rPr>
          <w:lang w:val="ru-RU"/>
        </w:rPr>
      </w:pPr>
      <w:r w:rsidRPr="00D81064">
        <w:rPr>
          <w:lang w:val="ru-RU"/>
        </w:rPr>
        <w:t>3</w:t>
      </w:r>
      <w:r w:rsidR="00035EE3" w:rsidRPr="00D81064">
        <w:rPr>
          <w:lang w:val="ru-RU"/>
        </w:rPr>
        <w:t>5</w:t>
      </w:r>
      <w:r w:rsidRPr="00D81064">
        <w:rPr>
          <w:lang w:val="ru-RU"/>
        </w:rPr>
        <w:t>.7</w:t>
      </w:r>
      <w:r w:rsidRPr="00D81064">
        <w:rPr>
          <w:lang w:val="ru-RU"/>
        </w:rPr>
        <w:tab/>
        <w:t>Отвечая на вопросы и замечания Советников, руководитель FRMD сказал, что целью Рекомендации 1 (JIU/REP/2025/4) является достижение широко согласованной общей политики в рамках всей системы Организации Объединенных Наций в отношении возмещения затрат, при этом допускается возможность различных бизнес-моделей в каждой организации. Политика МСЭ по этому вопросу изложена в Резолюции 91 (</w:t>
      </w:r>
      <w:proofErr w:type="spellStart"/>
      <w:r w:rsidRPr="00D81064">
        <w:rPr>
          <w:lang w:val="ru-RU"/>
        </w:rPr>
        <w:t>Пересм</w:t>
      </w:r>
      <w:proofErr w:type="spellEnd"/>
      <w:r w:rsidRPr="00D81064">
        <w:rPr>
          <w:lang w:val="ru-RU"/>
        </w:rPr>
        <w:t>. Гвадалахара, 2010 г.), которая, несомненно, нуждается в пересмотре. Секретариат дождется результатов обсуждений на ПК-26 по этому вопросу, прежде чем представлять предложения по Рекомендации 1 (JIU/REP/2025/4).</w:t>
      </w:r>
    </w:p>
    <w:p w14:paraId="06E78EAF" w14:textId="33ACD49A" w:rsidR="00230A8C" w:rsidRPr="00D81064" w:rsidRDefault="00230A8C" w:rsidP="00230A8C">
      <w:pPr>
        <w:keepNext/>
        <w:keepLines/>
        <w:rPr>
          <w:lang w:val="ru-RU"/>
        </w:rPr>
      </w:pPr>
      <w:r w:rsidRPr="00D81064">
        <w:rPr>
          <w:lang w:val="ru-RU"/>
        </w:rPr>
        <w:t>3</w:t>
      </w:r>
      <w:r w:rsidR="00035EE3" w:rsidRPr="00D81064">
        <w:rPr>
          <w:lang w:val="ru-RU"/>
        </w:rPr>
        <w:t>5</w:t>
      </w:r>
      <w:r w:rsidRPr="00D81064">
        <w:rPr>
          <w:lang w:val="ru-RU"/>
        </w:rPr>
        <w:t>.8</w:t>
      </w:r>
      <w:r w:rsidRPr="00D81064">
        <w:rPr>
          <w:lang w:val="ru-RU"/>
        </w:rPr>
        <w:tab/>
        <w:t xml:space="preserve">Комитет </w:t>
      </w:r>
      <w:r w:rsidRPr="00D81064">
        <w:rPr>
          <w:b/>
          <w:bCs/>
          <w:lang w:val="ru-RU"/>
        </w:rPr>
        <w:t>принял решение</w:t>
      </w:r>
      <w:r w:rsidRPr="00D81064">
        <w:rPr>
          <w:lang w:val="ru-RU"/>
        </w:rPr>
        <w:t xml:space="preserve"> сделать по данному вопросу следующее заключение:</w:t>
      </w:r>
    </w:p>
    <w:p w14:paraId="7C597124" w14:textId="227A2AC1" w:rsidR="00230A8C" w:rsidRPr="00D81064" w:rsidRDefault="00230A8C" w:rsidP="00230A8C">
      <w:pPr>
        <w:keepNext/>
        <w:keepLines/>
        <w:pBdr>
          <w:top w:val="single" w:sz="4" w:space="1" w:color="auto"/>
          <w:left w:val="single" w:sz="4" w:space="4" w:color="auto"/>
          <w:bottom w:val="single" w:sz="4" w:space="1" w:color="auto"/>
          <w:right w:val="single" w:sz="4" w:space="4" w:color="auto"/>
        </w:pBdr>
        <w:rPr>
          <w:lang w:val="ru-RU"/>
        </w:rPr>
      </w:pPr>
      <w:r w:rsidRPr="00D81064">
        <w:rPr>
          <w:lang w:val="ru-RU"/>
        </w:rPr>
        <w:t>3</w:t>
      </w:r>
      <w:r w:rsidR="00035EE3" w:rsidRPr="00D81064">
        <w:rPr>
          <w:lang w:val="ru-RU"/>
        </w:rPr>
        <w:t>5</w:t>
      </w:r>
      <w:r w:rsidRPr="00D81064">
        <w:rPr>
          <w:lang w:val="ru-RU"/>
        </w:rPr>
        <w:t>.9</w:t>
      </w:r>
      <w:r w:rsidRPr="00D81064">
        <w:rPr>
          <w:lang w:val="ru-RU"/>
        </w:rPr>
        <w:tab/>
        <w:t>Комитет рекомендует Совету:</w:t>
      </w:r>
    </w:p>
    <w:p w14:paraId="0E565A4F" w14:textId="088D1372" w:rsidR="00230A8C" w:rsidRPr="00D81064" w:rsidRDefault="00230A8C" w:rsidP="00DA4740">
      <w:pPr>
        <w:pStyle w:val="enumlev1"/>
        <w:pBdr>
          <w:top w:val="single" w:sz="4" w:space="1" w:color="auto"/>
          <w:left w:val="single" w:sz="4" w:space="4" w:color="auto"/>
          <w:bottom w:val="single" w:sz="4" w:space="1" w:color="auto"/>
          <w:right w:val="single" w:sz="4" w:space="4" w:color="auto"/>
        </w:pBdr>
        <w:rPr>
          <w:lang w:val="ru-RU"/>
        </w:rPr>
      </w:pPr>
      <w:r w:rsidRPr="00D81064">
        <w:rPr>
          <w:lang w:val="ru-RU"/>
        </w:rPr>
        <w:t>•</w:t>
      </w:r>
      <w:r w:rsidRPr="00D81064">
        <w:rPr>
          <w:lang w:val="ru-RU"/>
        </w:rPr>
        <w:tab/>
        <w:t xml:space="preserve">принять к сведению отчет, содержащийся в Документе </w:t>
      </w:r>
      <w:hyperlink r:id="rId220" w:history="1">
        <w:r w:rsidRPr="00D81064">
          <w:rPr>
            <w:rStyle w:val="Hyperlink"/>
            <w:lang w:val="ru-RU"/>
          </w:rPr>
          <w:t>C26/57</w:t>
        </w:r>
      </w:hyperlink>
      <w:r w:rsidRPr="00D81064">
        <w:rPr>
          <w:lang w:val="ru-RU"/>
        </w:rPr>
        <w:t>;</w:t>
      </w:r>
      <w:hyperlink r:id="rId221" w:history="1"/>
    </w:p>
    <w:p w14:paraId="21D32F4A" w14:textId="7A020910" w:rsidR="00230A8C" w:rsidRPr="00D81064" w:rsidRDefault="00230A8C" w:rsidP="00230A8C">
      <w:pPr>
        <w:pStyle w:val="enumlev1"/>
        <w:pBdr>
          <w:top w:val="single" w:sz="4" w:space="1" w:color="auto"/>
          <w:left w:val="single" w:sz="4" w:space="4" w:color="auto"/>
          <w:bottom w:val="single" w:sz="4" w:space="1" w:color="auto"/>
          <w:right w:val="single" w:sz="4" w:space="4" w:color="auto"/>
        </w:pBdr>
        <w:rPr>
          <w:lang w:val="ru-RU"/>
        </w:rPr>
      </w:pPr>
      <w:r w:rsidRPr="00D81064">
        <w:rPr>
          <w:lang w:val="ru-RU"/>
        </w:rPr>
        <w:t>•</w:t>
      </w:r>
      <w:r w:rsidRPr="00D81064">
        <w:rPr>
          <w:lang w:val="ru-RU"/>
        </w:rPr>
        <w:tab/>
        <w:t>принять решение о принятии пяти рекомендаций ОИГ, содержащихся в Документе C26/57.</w:t>
      </w:r>
    </w:p>
    <w:p w14:paraId="1074B0DE" w14:textId="449A580C" w:rsidR="009B5A3A" w:rsidRPr="00D81064" w:rsidRDefault="009B5A3A" w:rsidP="009B5A3A">
      <w:pPr>
        <w:pStyle w:val="Heading1"/>
        <w:rPr>
          <w:lang w:val="ru-RU"/>
        </w:rPr>
      </w:pPr>
      <w:r w:rsidRPr="00D81064">
        <w:rPr>
          <w:bCs/>
          <w:lang w:val="ru-RU"/>
        </w:rPr>
        <w:t>3</w:t>
      </w:r>
      <w:r w:rsidR="00035EE3" w:rsidRPr="00D81064">
        <w:rPr>
          <w:bCs/>
          <w:lang w:val="ru-RU"/>
        </w:rPr>
        <w:t>6</w:t>
      </w:r>
      <w:r w:rsidRPr="00D81064">
        <w:rPr>
          <w:lang w:val="ru-RU"/>
        </w:rPr>
        <w:tab/>
      </w:r>
      <w:r w:rsidRPr="00D81064">
        <w:rPr>
          <w:bCs/>
          <w:lang w:val="ru-RU"/>
        </w:rPr>
        <w:t>Укрепление системы управления рисками и внутреннего контроля (Документ </w:t>
      </w:r>
      <w:hyperlink r:id="rId222" w:history="1">
        <w:r w:rsidRPr="00D81064">
          <w:rPr>
            <w:rStyle w:val="Hyperlink"/>
            <w:bCs/>
            <w:lang w:val="ru-RU"/>
          </w:rPr>
          <w:t>C26/49</w:t>
        </w:r>
      </w:hyperlink>
      <w:r w:rsidRPr="00D81064">
        <w:rPr>
          <w:bCs/>
          <w:lang w:val="ru-RU"/>
        </w:rPr>
        <w:t>)</w:t>
      </w:r>
      <w:hyperlink r:id="rId223" w:history="1"/>
    </w:p>
    <w:p w14:paraId="67B1E38D" w14:textId="169EFA0B" w:rsidR="009B5A3A" w:rsidRPr="00D81064" w:rsidRDefault="009B5A3A" w:rsidP="009B5A3A">
      <w:pPr>
        <w:rPr>
          <w:lang w:val="ru-RU"/>
        </w:rPr>
      </w:pPr>
      <w:r w:rsidRPr="00D81064">
        <w:rPr>
          <w:lang w:val="ru-RU"/>
        </w:rPr>
        <w:t>3</w:t>
      </w:r>
      <w:r w:rsidR="00035EE3" w:rsidRPr="00D81064">
        <w:rPr>
          <w:lang w:val="ru-RU"/>
        </w:rPr>
        <w:t>6</w:t>
      </w:r>
      <w:r w:rsidRPr="00D81064">
        <w:rPr>
          <w:lang w:val="ru-RU"/>
        </w:rPr>
        <w:t>.1</w:t>
      </w:r>
      <w:r w:rsidRPr="00D81064">
        <w:rPr>
          <w:lang w:val="ru-RU"/>
        </w:rPr>
        <w:tab/>
        <w:t>Представитель Генерального секретариата представил Документ C26/49, в котором содержится отчет об изменениях в сфере укрепления системы управления рисками и внутреннего контроля</w:t>
      </w:r>
      <w:r w:rsidR="00206178" w:rsidRPr="00D81064">
        <w:rPr>
          <w:lang w:val="ru-RU"/>
        </w:rPr>
        <w:t>. В отчете освещается ряд последних инициатив и видов деятельности</w:t>
      </w:r>
      <w:r w:rsidRPr="00D81064">
        <w:rPr>
          <w:lang w:val="ru-RU"/>
        </w:rPr>
        <w:t xml:space="preserve">, включая создание Целевой группы по управлению рисками и внутреннему контролю, </w:t>
      </w:r>
      <w:r w:rsidR="00206178" w:rsidRPr="00D81064">
        <w:rPr>
          <w:lang w:val="ru-RU"/>
        </w:rPr>
        <w:t xml:space="preserve">проведение диагностического анализа системы управления рисками МСЭ, </w:t>
      </w:r>
      <w:r w:rsidRPr="00D81064">
        <w:rPr>
          <w:lang w:val="ru-RU"/>
        </w:rPr>
        <w:t>обновление реестра корпоративных рисков, проведение независимой оценки риска</w:t>
      </w:r>
      <w:r w:rsidR="00206178" w:rsidRPr="00D81064">
        <w:rPr>
          <w:lang w:val="ru-RU"/>
        </w:rPr>
        <w:t xml:space="preserve"> корпоративного</w:t>
      </w:r>
      <w:r w:rsidRPr="00D81064">
        <w:rPr>
          <w:lang w:val="ru-RU"/>
        </w:rPr>
        <w:t xml:space="preserve"> мошенничества, </w:t>
      </w:r>
      <w:r w:rsidR="00206178" w:rsidRPr="00D81064">
        <w:rPr>
          <w:lang w:val="ru-RU"/>
        </w:rPr>
        <w:t xml:space="preserve">усилия по преобразованиям, направленные на совершенствование согласования Стратегического, Финансового и Оперативного планов, что позволит лучше интегрировать управление рисками в эти процессы планирования, </w:t>
      </w:r>
      <w:r w:rsidRPr="00D81064">
        <w:rPr>
          <w:lang w:val="ru-RU"/>
        </w:rPr>
        <w:t xml:space="preserve">выполнение рекомендаций предыдущего Внешнего аудитора (ранее вынесенные рекомендации) и разработку комплексной системы делегирования полномочий МСЭ, которая в настоящее время находится </w:t>
      </w:r>
      <w:r w:rsidRPr="00D81064">
        <w:rPr>
          <w:lang w:val="ru-RU"/>
        </w:rPr>
        <w:lastRenderedPageBreak/>
        <w:t>на этапе окончательного рассмотрения. Со времени публикации отчета</w:t>
      </w:r>
      <w:r w:rsidR="00206178" w:rsidRPr="00D81064">
        <w:rPr>
          <w:lang w:val="ru-RU"/>
        </w:rPr>
        <w:t xml:space="preserve"> для Совета в апреле 2026</w:t>
      </w:r>
      <w:r w:rsidR="00481869" w:rsidRPr="00D81064">
        <w:rPr>
          <w:lang w:val="ru-RU"/>
        </w:rPr>
        <w:t> </w:t>
      </w:r>
      <w:r w:rsidR="00206178" w:rsidRPr="00D81064">
        <w:rPr>
          <w:lang w:val="ru-RU"/>
        </w:rPr>
        <w:t>года</w:t>
      </w:r>
      <w:r w:rsidRPr="00D81064">
        <w:rPr>
          <w:lang w:val="ru-RU"/>
        </w:rPr>
        <w:t xml:space="preserve"> </w:t>
      </w:r>
      <w:r w:rsidR="00373264" w:rsidRPr="00D81064">
        <w:rPr>
          <w:lang w:val="ru-RU"/>
        </w:rPr>
        <w:t xml:space="preserve">Секретариат </w:t>
      </w:r>
      <w:r w:rsidRPr="00D81064">
        <w:rPr>
          <w:lang w:val="ru-RU"/>
        </w:rPr>
        <w:t xml:space="preserve">активизировал усилия </w:t>
      </w:r>
      <w:r w:rsidR="00206178" w:rsidRPr="00D81064">
        <w:rPr>
          <w:lang w:val="ru-RU"/>
        </w:rPr>
        <w:t>и</w:t>
      </w:r>
      <w:r w:rsidRPr="00D81064">
        <w:rPr>
          <w:lang w:val="ru-RU"/>
        </w:rPr>
        <w:t xml:space="preserve"> выполн</w:t>
      </w:r>
      <w:r w:rsidR="00206178" w:rsidRPr="00D81064">
        <w:rPr>
          <w:lang w:val="ru-RU"/>
        </w:rPr>
        <w:t>ил</w:t>
      </w:r>
      <w:r w:rsidRPr="00D81064">
        <w:rPr>
          <w:lang w:val="ru-RU"/>
        </w:rPr>
        <w:t xml:space="preserve"> ранее вынесенных рекомендаций, которые еще не были выполнены, и в своем отчете нынешнему Внешнему аудитору будет рекомендовать закрыть все рекомендации, за исключением четырех. Из этих четырех последних</w:t>
      </w:r>
      <w:r w:rsidR="00C538C9" w:rsidRPr="00D81064">
        <w:rPr>
          <w:lang w:val="ru-RU"/>
        </w:rPr>
        <w:t xml:space="preserve"> три</w:t>
      </w:r>
      <w:r w:rsidR="00206178" w:rsidRPr="00D81064">
        <w:rPr>
          <w:lang w:val="ru-RU"/>
        </w:rPr>
        <w:t xml:space="preserve"> касаю</w:t>
      </w:r>
      <w:r w:rsidR="00C538C9" w:rsidRPr="00D81064">
        <w:rPr>
          <w:lang w:val="ru-RU"/>
        </w:rPr>
        <w:t>т</w:t>
      </w:r>
      <w:r w:rsidR="00206178" w:rsidRPr="00D81064">
        <w:rPr>
          <w:lang w:val="ru-RU"/>
        </w:rPr>
        <w:t>ся мобильности персонала</w:t>
      </w:r>
      <w:r w:rsidR="00C538C9" w:rsidRPr="00D81064">
        <w:rPr>
          <w:lang w:val="ru-RU"/>
        </w:rPr>
        <w:t>;</w:t>
      </w:r>
      <w:r w:rsidR="00206178" w:rsidRPr="00D81064">
        <w:rPr>
          <w:lang w:val="ru-RU"/>
        </w:rPr>
        <w:t xml:space="preserve"> </w:t>
      </w:r>
      <w:r w:rsidR="00373264" w:rsidRPr="00D81064">
        <w:rPr>
          <w:lang w:val="ru-RU"/>
        </w:rPr>
        <w:t xml:space="preserve">Секретариат </w:t>
      </w:r>
      <w:r w:rsidR="00206178" w:rsidRPr="00D81064">
        <w:rPr>
          <w:lang w:val="ru-RU"/>
        </w:rPr>
        <w:t>предложит, чтобы они были обновлены и переизданы с учетом обсуждений и замечаний Государств-Членов</w:t>
      </w:r>
      <w:r w:rsidR="00C538C9" w:rsidRPr="00D81064">
        <w:rPr>
          <w:lang w:val="ru-RU"/>
        </w:rPr>
        <w:t xml:space="preserve"> по</w:t>
      </w:r>
      <w:r w:rsidR="00206178" w:rsidRPr="00D81064">
        <w:rPr>
          <w:lang w:val="ru-RU"/>
        </w:rPr>
        <w:t xml:space="preserve"> регионально</w:t>
      </w:r>
      <w:r w:rsidR="00C538C9" w:rsidRPr="00D81064">
        <w:rPr>
          <w:lang w:val="ru-RU"/>
        </w:rPr>
        <w:t>му</w:t>
      </w:r>
      <w:r w:rsidR="00206178" w:rsidRPr="00D81064">
        <w:rPr>
          <w:lang w:val="ru-RU"/>
        </w:rPr>
        <w:t xml:space="preserve"> присутстви</w:t>
      </w:r>
      <w:r w:rsidR="00C538C9" w:rsidRPr="00D81064">
        <w:rPr>
          <w:lang w:val="ru-RU"/>
        </w:rPr>
        <w:t>ю на Совете-26</w:t>
      </w:r>
      <w:r w:rsidRPr="00D81064">
        <w:rPr>
          <w:lang w:val="ru-RU"/>
        </w:rPr>
        <w:t xml:space="preserve">. Последняя из ранее вынесенных рекомендаций касается вопроса подготовки </w:t>
      </w:r>
      <w:r w:rsidR="00C538C9" w:rsidRPr="00D81064">
        <w:rPr>
          <w:lang w:val="ru-RU"/>
        </w:rPr>
        <w:t xml:space="preserve">функции </w:t>
      </w:r>
      <w:r w:rsidRPr="00D81064">
        <w:rPr>
          <w:lang w:val="ru-RU"/>
        </w:rPr>
        <w:t>аудита и</w:t>
      </w:r>
      <w:r w:rsidR="00C538C9" w:rsidRPr="00D81064">
        <w:rPr>
          <w:lang w:val="ru-RU"/>
        </w:rPr>
        <w:t>, она</w:t>
      </w:r>
      <w:r w:rsidRPr="00D81064">
        <w:rPr>
          <w:lang w:val="ru-RU"/>
        </w:rPr>
        <w:t xml:space="preserve"> включена в </w:t>
      </w:r>
      <w:r w:rsidR="00C538C9" w:rsidRPr="00D81064">
        <w:rPr>
          <w:lang w:val="ru-RU"/>
        </w:rPr>
        <w:t xml:space="preserve">недавно представленные </w:t>
      </w:r>
      <w:r w:rsidRPr="00D81064">
        <w:rPr>
          <w:lang w:val="ru-RU"/>
        </w:rPr>
        <w:t xml:space="preserve">рекомендации </w:t>
      </w:r>
      <w:r w:rsidR="00C538C9" w:rsidRPr="00D81064">
        <w:rPr>
          <w:lang w:val="ru-RU"/>
        </w:rPr>
        <w:t xml:space="preserve">в рамках обязательного внешнего обзора обеспечения качества </w:t>
      </w:r>
      <w:r w:rsidRPr="00D81064">
        <w:rPr>
          <w:lang w:val="ru-RU"/>
        </w:rPr>
        <w:t xml:space="preserve">по </w:t>
      </w:r>
      <w:r w:rsidR="00C538C9" w:rsidRPr="00D81064">
        <w:rPr>
          <w:lang w:val="ru-RU"/>
        </w:rPr>
        <w:t>вопросу функции внутреннего аудита; эти рекомендации более подробны и согласованы с новыми Глобальными стандартами внутреннего аудита</w:t>
      </w:r>
      <w:r w:rsidRPr="00D81064">
        <w:rPr>
          <w:lang w:val="ru-RU"/>
        </w:rPr>
        <w:t xml:space="preserve">. </w:t>
      </w:r>
    </w:p>
    <w:p w14:paraId="21FC32AC" w14:textId="2928B088" w:rsidR="009B5A3A" w:rsidRPr="00D81064" w:rsidRDefault="009B5A3A" w:rsidP="009B5A3A">
      <w:pPr>
        <w:rPr>
          <w:lang w:val="ru-RU"/>
        </w:rPr>
      </w:pPr>
      <w:r w:rsidRPr="00D81064">
        <w:rPr>
          <w:lang w:val="ru-RU"/>
        </w:rPr>
        <w:t>3</w:t>
      </w:r>
      <w:r w:rsidR="00035EE3" w:rsidRPr="00D81064">
        <w:rPr>
          <w:lang w:val="ru-RU"/>
        </w:rPr>
        <w:t>6</w:t>
      </w:r>
      <w:r w:rsidRPr="00D81064">
        <w:rPr>
          <w:lang w:val="ru-RU"/>
        </w:rPr>
        <w:t>.</w:t>
      </w:r>
      <w:r w:rsidR="00C538C9" w:rsidRPr="00D81064">
        <w:rPr>
          <w:lang w:val="ru-RU"/>
        </w:rPr>
        <w:t>2</w:t>
      </w:r>
      <w:r w:rsidRPr="00D81064">
        <w:rPr>
          <w:lang w:val="ru-RU"/>
        </w:rPr>
        <w:tab/>
        <w:t xml:space="preserve">Двое Советников обратились с просьбой представить дополнительные отчеты о выполнении ранее вынесенных рекомендаций, подчеркнув, что для закрытия рекомендации необходимо провести тщательный анализ сути проблемы и определить виды деятельности, процессы и правила, которые можно было бы внедрить или скорректировать для закрепления институциональных изменений. Один из Советников попросил представить более подробные сведения с применением показателей, которые </w:t>
      </w:r>
      <w:proofErr w:type="gramStart"/>
      <w:r w:rsidRPr="00D81064">
        <w:rPr>
          <w:lang w:val="ru-RU"/>
        </w:rPr>
        <w:t>наглядно продемонстрируют</w:t>
      </w:r>
      <w:proofErr w:type="gramEnd"/>
      <w:r w:rsidRPr="00D81064">
        <w:rPr>
          <w:lang w:val="ru-RU"/>
        </w:rPr>
        <w:t>, что описанные меры выполняются эффективно. Еще один Советник выразил обеспокоенность в связи с тем, что управление рисками остается в МСЭ на уровне политики, а не реализуется на практике.</w:t>
      </w:r>
    </w:p>
    <w:p w14:paraId="6330A7DB" w14:textId="0FEF6003" w:rsidR="009B5A3A" w:rsidRPr="00D81064" w:rsidRDefault="009B5A3A" w:rsidP="009B5A3A">
      <w:pPr>
        <w:rPr>
          <w:lang w:val="ru-RU"/>
        </w:rPr>
      </w:pPr>
      <w:r w:rsidRPr="00D81064">
        <w:rPr>
          <w:lang w:val="ru-RU"/>
        </w:rPr>
        <w:t>3</w:t>
      </w:r>
      <w:r w:rsidR="00035EE3" w:rsidRPr="00D81064">
        <w:rPr>
          <w:lang w:val="ru-RU"/>
        </w:rPr>
        <w:t>6</w:t>
      </w:r>
      <w:r w:rsidRPr="00D81064">
        <w:rPr>
          <w:lang w:val="ru-RU"/>
        </w:rPr>
        <w:t>.</w:t>
      </w:r>
      <w:r w:rsidR="00C538C9" w:rsidRPr="00D81064">
        <w:rPr>
          <w:lang w:val="ru-RU"/>
        </w:rPr>
        <w:t>3</w:t>
      </w:r>
      <w:r w:rsidRPr="00D81064">
        <w:rPr>
          <w:lang w:val="ru-RU"/>
        </w:rPr>
        <w:tab/>
        <w:t xml:space="preserve">Один из Советников предложил представлять отдельные отчеты по каждой из линий защиты, поскольку вследствие объединения обсуждения вопросов управления операционными рисками, соблюдения требований и внутреннего контроля в отчете не удалось добиться четкого отображения ситуации по каждой из линий защиты, не говоря уже об их эффективности и ресурсах. </w:t>
      </w:r>
    </w:p>
    <w:p w14:paraId="57FF7CF7" w14:textId="3DA50E44" w:rsidR="001A2C26" w:rsidRPr="00D81064" w:rsidRDefault="001A2C26" w:rsidP="001A2C26">
      <w:pPr>
        <w:rPr>
          <w:lang w:val="ru-RU"/>
        </w:rPr>
      </w:pPr>
      <w:r w:rsidRPr="00D81064">
        <w:rPr>
          <w:lang w:val="ru-RU"/>
        </w:rPr>
        <w:t>3</w:t>
      </w:r>
      <w:r w:rsidR="00035EE3" w:rsidRPr="00D81064">
        <w:rPr>
          <w:lang w:val="ru-RU"/>
        </w:rPr>
        <w:t>6</w:t>
      </w:r>
      <w:r w:rsidRPr="00D81064">
        <w:rPr>
          <w:lang w:val="ru-RU"/>
        </w:rPr>
        <w:t>.</w:t>
      </w:r>
      <w:r w:rsidR="00C538C9" w:rsidRPr="00D81064">
        <w:rPr>
          <w:lang w:val="ru-RU"/>
        </w:rPr>
        <w:t>4</w:t>
      </w:r>
      <w:r w:rsidRPr="00D81064">
        <w:rPr>
          <w:lang w:val="ru-RU"/>
        </w:rPr>
        <w:tab/>
        <w:t>Одна из Советников, отметив создание Целевой группы по управлению рисками и внутреннему контролю и предлагаемое учреждение комитета по управлению рисками, выразила сомнение в необходимости столь многоуровневой структуры и поинтересовалась, можно ли усилить существующие механизмы для выполнения этих функций.</w:t>
      </w:r>
    </w:p>
    <w:p w14:paraId="7F69ECB7" w14:textId="0F386536" w:rsidR="001A2C26" w:rsidRPr="00D81064" w:rsidRDefault="001A2C26" w:rsidP="001A2C26">
      <w:pPr>
        <w:rPr>
          <w:lang w:val="ru-RU"/>
        </w:rPr>
      </w:pPr>
      <w:r w:rsidRPr="00D81064">
        <w:rPr>
          <w:lang w:val="ru-RU"/>
        </w:rPr>
        <w:t>3</w:t>
      </w:r>
      <w:r w:rsidR="00035EE3" w:rsidRPr="00D81064">
        <w:rPr>
          <w:lang w:val="ru-RU"/>
        </w:rPr>
        <w:t>6</w:t>
      </w:r>
      <w:r w:rsidRPr="00D81064">
        <w:rPr>
          <w:lang w:val="ru-RU"/>
        </w:rPr>
        <w:t>.</w:t>
      </w:r>
      <w:r w:rsidR="00C538C9" w:rsidRPr="00D81064">
        <w:rPr>
          <w:lang w:val="ru-RU"/>
        </w:rPr>
        <w:t>5</w:t>
      </w:r>
      <w:r w:rsidRPr="00D81064">
        <w:rPr>
          <w:lang w:val="ru-RU"/>
        </w:rPr>
        <w:tab/>
        <w:t>Еще один Советник приветствовал создание целевой группы, а также прогресс в выполнении рекомендаций по надзору и интеграции процесса управления рисками в оперативное планирование. Крайне важно обеспечить координацию в рамках всех трех линий защиты, усилить превентивные меры контроля и укрепить систему подотчетности на практике.</w:t>
      </w:r>
    </w:p>
    <w:p w14:paraId="1DAB1248" w14:textId="77455404" w:rsidR="001A2C26" w:rsidRPr="00D81064" w:rsidRDefault="001A2C26" w:rsidP="001A2C26">
      <w:pPr>
        <w:rPr>
          <w:lang w:val="ru-RU"/>
        </w:rPr>
      </w:pPr>
      <w:r w:rsidRPr="00D81064">
        <w:rPr>
          <w:lang w:val="ru-RU"/>
        </w:rPr>
        <w:t>3</w:t>
      </w:r>
      <w:r w:rsidR="00035EE3" w:rsidRPr="00D81064">
        <w:rPr>
          <w:lang w:val="ru-RU"/>
        </w:rPr>
        <w:t>6</w:t>
      </w:r>
      <w:r w:rsidRPr="00D81064">
        <w:rPr>
          <w:lang w:val="ru-RU"/>
        </w:rPr>
        <w:t>.</w:t>
      </w:r>
      <w:r w:rsidR="00C538C9" w:rsidRPr="00D81064">
        <w:rPr>
          <w:lang w:val="ru-RU"/>
        </w:rPr>
        <w:t>6</w:t>
      </w:r>
      <w:r w:rsidRPr="00D81064">
        <w:rPr>
          <w:lang w:val="ru-RU"/>
        </w:rPr>
        <w:tab/>
        <w:t xml:space="preserve">Отвечая на замечание одного из Советников, представитель Генерального секретариата напомнил, что компания EY была привлечена по рекомендации Внешнего аудитора для анализа эффективности системы управления рисками в целях укрепления второй линии защиты. Подход компании EY не рассматривался в качестве эталонной модели, как это было в случае с моделью КСР. По его мнению, противоречия здесь нет, в частности потому, что результаты проведенного компанией EY обзора в целом соответствуют </w:t>
      </w:r>
      <w:r w:rsidR="00C538C9" w:rsidRPr="00D81064">
        <w:rPr>
          <w:lang w:val="ru-RU"/>
        </w:rPr>
        <w:t xml:space="preserve">утвержденной Советом </w:t>
      </w:r>
      <w:r w:rsidRPr="00D81064">
        <w:rPr>
          <w:lang w:val="ru-RU"/>
        </w:rPr>
        <w:t>рекомендаци</w:t>
      </w:r>
      <w:r w:rsidR="00C538C9" w:rsidRPr="00D81064">
        <w:rPr>
          <w:lang w:val="ru-RU"/>
        </w:rPr>
        <w:t>и</w:t>
      </w:r>
      <w:r w:rsidRPr="00D81064">
        <w:rPr>
          <w:lang w:val="ru-RU"/>
        </w:rPr>
        <w:t xml:space="preserve"> IMAC. Кроме того, предлагаемые структуры управления полезны для обеспечения координации в рамках всех трех линий защиты. </w:t>
      </w:r>
      <w:r w:rsidR="00C538C9" w:rsidRPr="00D81064">
        <w:rPr>
          <w:lang w:val="ru-RU"/>
        </w:rPr>
        <w:t xml:space="preserve">Помимо этого, </w:t>
      </w:r>
      <w:r w:rsidRPr="00D81064">
        <w:rPr>
          <w:lang w:val="ru-RU"/>
        </w:rPr>
        <w:t>Целевая группа регулярно отчитывается перед КК.</w:t>
      </w:r>
    </w:p>
    <w:p w14:paraId="118B9B6D" w14:textId="72C64C4F" w:rsidR="00C538C9" w:rsidRPr="00D81064" w:rsidRDefault="00C538C9" w:rsidP="001A2C26">
      <w:pPr>
        <w:rPr>
          <w:lang w:val="ru-RU"/>
        </w:rPr>
      </w:pPr>
      <w:r w:rsidRPr="00D81064">
        <w:rPr>
          <w:lang w:val="ru-RU"/>
        </w:rPr>
        <w:t>3</w:t>
      </w:r>
      <w:r w:rsidR="00035EE3" w:rsidRPr="00D81064">
        <w:rPr>
          <w:lang w:val="ru-RU"/>
        </w:rPr>
        <w:t>6</w:t>
      </w:r>
      <w:r w:rsidRPr="00D81064">
        <w:rPr>
          <w:lang w:val="ru-RU"/>
        </w:rPr>
        <w:t>.7</w:t>
      </w:r>
      <w:r w:rsidRPr="00D81064">
        <w:rPr>
          <w:lang w:val="ru-RU"/>
        </w:rPr>
        <w:tab/>
        <w:t>Отвечая на другие замечания Советников, он отметил, что процесс завершения выполнения представленных ранее рекомендаций не представляет собой механическую проверку контрольного перечня; напротив, он требует представления Внешнему аудитору всеобъемлющей, основанной на фактических данных отчетности, которая бы подтверждала практическое выполнение каждой рекомендации. Внешний аудитор не закроет рекомендацию, если не будет удовлетворен результатом.</w:t>
      </w:r>
    </w:p>
    <w:p w14:paraId="46E919EA" w14:textId="45AA527E" w:rsidR="001A2C26" w:rsidRPr="00D81064" w:rsidRDefault="001A2C26" w:rsidP="001A2C26">
      <w:pPr>
        <w:rPr>
          <w:lang w:val="ru-RU"/>
        </w:rPr>
      </w:pPr>
      <w:r w:rsidRPr="00D81064">
        <w:rPr>
          <w:lang w:val="ru-RU"/>
        </w:rPr>
        <w:lastRenderedPageBreak/>
        <w:t>3</w:t>
      </w:r>
      <w:r w:rsidR="00035EE3" w:rsidRPr="00D81064">
        <w:rPr>
          <w:lang w:val="ru-RU"/>
        </w:rPr>
        <w:t>6</w:t>
      </w:r>
      <w:r w:rsidRPr="00D81064">
        <w:rPr>
          <w:lang w:val="ru-RU"/>
        </w:rPr>
        <w:t>.8</w:t>
      </w:r>
      <w:r w:rsidRPr="00D81064">
        <w:rPr>
          <w:lang w:val="ru-RU"/>
        </w:rPr>
        <w:tab/>
        <w:t xml:space="preserve">Заместитель Генерального секретаря отметил, что степень вовлеченности, продемонстрированная Советниками, свидетельствует о важности вопросов внутреннего контроля и управления рисками для деятельности Союза и процесса планирования. Такой же уровень вовлеченности и приверженности был продемонстрирован и со стороны </w:t>
      </w:r>
      <w:r w:rsidR="00373264" w:rsidRPr="00D81064">
        <w:rPr>
          <w:lang w:val="ru-RU"/>
        </w:rPr>
        <w:t>Секретариата</w:t>
      </w:r>
      <w:r w:rsidRPr="00D81064">
        <w:rPr>
          <w:lang w:val="ru-RU"/>
        </w:rPr>
        <w:t>. Ключевые руководящие органы, такие как КК и более широкая группа по управлению, регулярно рассматривают вопросы управления рисками как на уровне концептуальной основы, так и на практическом оперативном уровне. Система управления рисками и внутреннего контроля была недостаточно зрелой, поэтому был заключен контракт на проведение ее обзора с компанией EY, которая была рекомендована Внешним аудитором и которая пришла к результатам, совпадающим с выводами IMAC. По итогам обзора была разработана поэтапная дорожная карта, в которой представлены конкретные практические меры по повышению зрелости системы, как это описано в отчете. Кроме того, была создана информационная панель по вопросам соблюдения, описанная в Документе </w:t>
      </w:r>
      <w:hyperlink r:id="rId224" w:history="1">
        <w:r w:rsidRPr="00D81064">
          <w:rPr>
            <w:rStyle w:val="Hyperlink"/>
            <w:lang w:val="ru-RU"/>
          </w:rPr>
          <w:t>C26/INF/23</w:t>
        </w:r>
      </w:hyperlink>
      <w:r w:rsidRPr="00D81064">
        <w:rPr>
          <w:lang w:val="ru-RU"/>
        </w:rPr>
        <w:t>, которая стала доступна для Государств-Членов и которая позволяет получить представление о ходе выполнения рекомендаций по надзору, все из которых, за исключением рекомендаций ОИГ, отображаются на информационной панели. Отследить выполнение рекомендаций ОИГ можно с помощью инструмента отчетности ОИГ, соответствующая информация из которого приведена в Документе </w:t>
      </w:r>
      <w:hyperlink r:id="rId225" w:history="1">
        <w:r w:rsidRPr="00D81064">
          <w:rPr>
            <w:rStyle w:val="Hyperlink"/>
            <w:lang w:val="ru-RU"/>
          </w:rPr>
          <w:t>C26/INF/17</w:t>
        </w:r>
      </w:hyperlink>
      <w:r w:rsidRPr="00D81064">
        <w:rPr>
          <w:lang w:val="ru-RU"/>
        </w:rPr>
        <w:t>.</w:t>
      </w:r>
      <w:hyperlink r:id="rId226" w:history="1"/>
      <w:hyperlink r:id="rId227" w:history="1"/>
    </w:p>
    <w:p w14:paraId="779403F7" w14:textId="19AEEB78" w:rsidR="001A2C26" w:rsidRPr="00D81064" w:rsidRDefault="001A2C26" w:rsidP="001A2C26">
      <w:pPr>
        <w:rPr>
          <w:lang w:val="ru-RU"/>
        </w:rPr>
      </w:pPr>
      <w:r w:rsidRPr="00D81064">
        <w:rPr>
          <w:lang w:val="ru-RU"/>
        </w:rPr>
        <w:t>3</w:t>
      </w:r>
      <w:r w:rsidR="00035EE3" w:rsidRPr="00D81064">
        <w:rPr>
          <w:lang w:val="ru-RU"/>
        </w:rPr>
        <w:t>6</w:t>
      </w:r>
      <w:r w:rsidRPr="00D81064">
        <w:rPr>
          <w:lang w:val="ru-RU"/>
        </w:rPr>
        <w:t>.9</w:t>
      </w:r>
      <w:r w:rsidRPr="00D81064">
        <w:rPr>
          <w:lang w:val="ru-RU"/>
        </w:rPr>
        <w:tab/>
        <w:t xml:space="preserve">Отвечая на вопросы Советников, он сообщил, что механизм делегирования полномочий будет разработан до ПК-26 и что </w:t>
      </w:r>
      <w:r w:rsidR="00373264" w:rsidRPr="00D81064">
        <w:rPr>
          <w:lang w:val="ru-RU"/>
        </w:rPr>
        <w:t xml:space="preserve">Секретариат </w:t>
      </w:r>
      <w:r w:rsidRPr="00D81064">
        <w:rPr>
          <w:lang w:val="ru-RU"/>
        </w:rPr>
        <w:t>также представит к ПК-26 дополнительную отчетность в целях устранения пробелов, выявленных Советниками.</w:t>
      </w:r>
    </w:p>
    <w:p w14:paraId="04691265" w14:textId="0B70D6BC" w:rsidR="001A2C26" w:rsidRPr="00D81064" w:rsidRDefault="001A2C26" w:rsidP="001A2C26">
      <w:pPr>
        <w:keepNext/>
        <w:keepLines/>
        <w:rPr>
          <w:lang w:val="ru-RU"/>
        </w:rPr>
      </w:pPr>
      <w:r w:rsidRPr="00D81064">
        <w:rPr>
          <w:lang w:val="ru-RU"/>
        </w:rPr>
        <w:t>3</w:t>
      </w:r>
      <w:r w:rsidR="00035EE3" w:rsidRPr="00D81064">
        <w:rPr>
          <w:lang w:val="ru-RU"/>
        </w:rPr>
        <w:t>6</w:t>
      </w:r>
      <w:r w:rsidRPr="00D81064">
        <w:rPr>
          <w:lang w:val="ru-RU"/>
        </w:rPr>
        <w:t>.10</w:t>
      </w:r>
      <w:r w:rsidRPr="00D81064">
        <w:rPr>
          <w:lang w:val="ru-RU"/>
        </w:rPr>
        <w:tab/>
        <w:t xml:space="preserve">Комитет </w:t>
      </w:r>
      <w:r w:rsidRPr="00D81064">
        <w:rPr>
          <w:b/>
          <w:bCs/>
          <w:lang w:val="ru-RU"/>
        </w:rPr>
        <w:t>принял решение</w:t>
      </w:r>
      <w:r w:rsidRPr="00D81064">
        <w:rPr>
          <w:lang w:val="ru-RU"/>
        </w:rPr>
        <w:t xml:space="preserve"> сделать по данному вопросу следующее заключение:</w:t>
      </w:r>
    </w:p>
    <w:p w14:paraId="4DF36350" w14:textId="0BC042C0" w:rsidR="001A2C26" w:rsidRPr="00D81064" w:rsidRDefault="001A2C26" w:rsidP="001A2C26">
      <w:pPr>
        <w:keepNext/>
        <w:keepLines/>
        <w:pBdr>
          <w:top w:val="single" w:sz="4" w:space="1" w:color="auto"/>
          <w:left w:val="single" w:sz="4" w:space="4" w:color="auto"/>
          <w:bottom w:val="single" w:sz="4" w:space="1" w:color="auto"/>
          <w:right w:val="single" w:sz="4" w:space="4" w:color="auto"/>
        </w:pBdr>
        <w:rPr>
          <w:lang w:val="ru-RU"/>
        </w:rPr>
      </w:pPr>
      <w:r w:rsidRPr="00D81064">
        <w:rPr>
          <w:lang w:val="ru-RU"/>
        </w:rPr>
        <w:t>3</w:t>
      </w:r>
      <w:r w:rsidR="00035EE3" w:rsidRPr="00D81064">
        <w:rPr>
          <w:lang w:val="ru-RU"/>
        </w:rPr>
        <w:t>6</w:t>
      </w:r>
      <w:r w:rsidRPr="00D81064">
        <w:rPr>
          <w:lang w:val="ru-RU"/>
        </w:rPr>
        <w:t>.11</w:t>
      </w:r>
      <w:r w:rsidRPr="00D81064">
        <w:rPr>
          <w:lang w:val="ru-RU"/>
        </w:rPr>
        <w:tab/>
        <w:t>Комитет рекомендует Совету:</w:t>
      </w:r>
    </w:p>
    <w:p w14:paraId="19C750D8" w14:textId="77777777" w:rsidR="00593E6D" w:rsidRPr="00D81064" w:rsidRDefault="001A2C26" w:rsidP="001A2C26">
      <w:pPr>
        <w:pStyle w:val="enumlev1"/>
        <w:pBdr>
          <w:top w:val="single" w:sz="4" w:space="1" w:color="auto"/>
          <w:left w:val="single" w:sz="4" w:space="4" w:color="auto"/>
          <w:bottom w:val="single" w:sz="4" w:space="1" w:color="auto"/>
          <w:right w:val="single" w:sz="4" w:space="4" w:color="auto"/>
        </w:pBdr>
        <w:rPr>
          <w:lang w:val="ru-RU"/>
        </w:rPr>
      </w:pPr>
      <w:r w:rsidRPr="00D81064">
        <w:rPr>
          <w:lang w:val="ru-RU"/>
        </w:rPr>
        <w:t>•</w:t>
      </w:r>
      <w:r w:rsidRPr="00D81064">
        <w:rPr>
          <w:lang w:val="ru-RU"/>
        </w:rPr>
        <w:tab/>
        <w:t xml:space="preserve">принять к сведению отчет, содержащийся в Документе </w:t>
      </w:r>
      <w:hyperlink r:id="rId228" w:history="1">
        <w:r w:rsidRPr="00D81064">
          <w:rPr>
            <w:rStyle w:val="Hyperlink"/>
            <w:lang w:val="ru-RU"/>
          </w:rPr>
          <w:t>C26/49</w:t>
        </w:r>
      </w:hyperlink>
      <w:r w:rsidR="00593E6D" w:rsidRPr="00D81064">
        <w:rPr>
          <w:lang w:val="ru-RU"/>
        </w:rPr>
        <w:t>;</w:t>
      </w:r>
    </w:p>
    <w:p w14:paraId="0D35DDDD" w14:textId="25B2D81C" w:rsidR="001A2C26" w:rsidRPr="00D81064" w:rsidRDefault="00593E6D" w:rsidP="001A2C26">
      <w:pPr>
        <w:pStyle w:val="enumlev1"/>
        <w:pBdr>
          <w:top w:val="single" w:sz="4" w:space="1" w:color="auto"/>
          <w:left w:val="single" w:sz="4" w:space="4" w:color="auto"/>
          <w:bottom w:val="single" w:sz="4" w:space="1" w:color="auto"/>
          <w:right w:val="single" w:sz="4" w:space="4" w:color="auto"/>
        </w:pBdr>
        <w:rPr>
          <w:lang w:val="ru-RU"/>
        </w:rPr>
      </w:pPr>
      <w:r w:rsidRPr="00D81064">
        <w:rPr>
          <w:lang w:val="ru-RU"/>
        </w:rPr>
        <w:t>•</w:t>
      </w:r>
      <w:r w:rsidRPr="00D81064">
        <w:rPr>
          <w:lang w:val="ru-RU"/>
        </w:rPr>
        <w:tab/>
        <w:t>принять к сведению, что система делегирования полномочий будет разработана к</w:t>
      </w:r>
      <w:r w:rsidR="00B31145" w:rsidRPr="00D81064">
        <w:rPr>
          <w:lang w:val="ru-RU"/>
        </w:rPr>
        <w:t> </w:t>
      </w:r>
      <w:r w:rsidRPr="00D81064">
        <w:rPr>
          <w:lang w:val="ru-RU"/>
        </w:rPr>
        <w:t>ПК</w:t>
      </w:r>
      <w:r w:rsidR="00B31145" w:rsidRPr="00D81064">
        <w:rPr>
          <w:lang w:val="ru-RU"/>
        </w:rPr>
        <w:noBreakHyphen/>
      </w:r>
      <w:r w:rsidRPr="00D81064">
        <w:rPr>
          <w:lang w:val="ru-RU"/>
        </w:rPr>
        <w:t xml:space="preserve">26, и что </w:t>
      </w:r>
      <w:r w:rsidR="00B31145" w:rsidRPr="00D81064">
        <w:rPr>
          <w:lang w:val="ru-RU"/>
        </w:rPr>
        <w:t xml:space="preserve">Секретариат </w:t>
      </w:r>
      <w:r w:rsidRPr="00D81064">
        <w:rPr>
          <w:lang w:val="ru-RU"/>
        </w:rPr>
        <w:t>также представит ПК-26 дополнительный отчет для устранения пробелов, выявленных Советниками.</w:t>
      </w:r>
      <w:hyperlink r:id="rId229" w:history="1"/>
    </w:p>
    <w:p w14:paraId="7F868567" w14:textId="503BC4FA" w:rsidR="00D7625B" w:rsidRPr="00D81064" w:rsidRDefault="00D7625B" w:rsidP="00D7625B">
      <w:pPr>
        <w:pStyle w:val="Heading1"/>
        <w:rPr>
          <w:lang w:val="ru-RU"/>
        </w:rPr>
      </w:pPr>
      <w:r w:rsidRPr="00D81064">
        <w:rPr>
          <w:bCs/>
          <w:lang w:val="ru-RU"/>
        </w:rPr>
        <w:t>37</w:t>
      </w:r>
      <w:r w:rsidRPr="00D81064">
        <w:rPr>
          <w:lang w:val="ru-RU"/>
        </w:rPr>
        <w:tab/>
        <w:t>Отчет о ходе работы по выполнению плана трансформации людских ресурсов и Резолюции 48 (</w:t>
      </w:r>
      <w:proofErr w:type="spellStart"/>
      <w:r w:rsidRPr="00D81064">
        <w:rPr>
          <w:lang w:val="ru-RU"/>
        </w:rPr>
        <w:t>Пересм</w:t>
      </w:r>
      <w:proofErr w:type="spellEnd"/>
      <w:r w:rsidRPr="00D81064">
        <w:rPr>
          <w:lang w:val="ru-RU"/>
        </w:rPr>
        <w:t>. Бухарест, 2022 г.) (Документ </w:t>
      </w:r>
      <w:hyperlink r:id="rId230" w:history="1">
        <w:r w:rsidRPr="00D81064">
          <w:rPr>
            <w:rStyle w:val="Hyperlink"/>
            <w:bCs/>
            <w:lang w:val="ru-RU"/>
          </w:rPr>
          <w:t>C26/</w:t>
        </w:r>
        <w:r w:rsidRPr="00D81064">
          <w:rPr>
            <w:rStyle w:val="Hyperlink"/>
            <w:lang w:val="ru-RU"/>
          </w:rPr>
          <w:t>66</w:t>
        </w:r>
      </w:hyperlink>
      <w:r w:rsidRPr="00D81064">
        <w:rPr>
          <w:lang w:val="ru-RU"/>
        </w:rPr>
        <w:t>)</w:t>
      </w:r>
      <w:hyperlink r:id="rId231" w:history="1"/>
    </w:p>
    <w:p w14:paraId="66B8C6C3" w14:textId="7FD666C6" w:rsidR="00D7625B" w:rsidRPr="00D81064" w:rsidRDefault="00D7625B" w:rsidP="00D7625B">
      <w:pPr>
        <w:rPr>
          <w:lang w:val="ru-RU"/>
        </w:rPr>
      </w:pPr>
      <w:r w:rsidRPr="00D81064">
        <w:rPr>
          <w:lang w:val="ru-RU"/>
        </w:rPr>
        <w:t>37.1</w:t>
      </w:r>
      <w:r w:rsidRPr="00D81064">
        <w:rPr>
          <w:lang w:val="ru-RU"/>
        </w:rPr>
        <w:tab/>
        <w:t>Руководитель HRMD представила обзор информации в Документе C26/66, в котором содержится отчет о ходе выполнения Плана трансформации людских ресурсов (ПТЛР) и Резолюции 48 (</w:t>
      </w:r>
      <w:proofErr w:type="spellStart"/>
      <w:r w:rsidRPr="00D81064">
        <w:rPr>
          <w:lang w:val="ru-RU"/>
        </w:rPr>
        <w:t>Пересм</w:t>
      </w:r>
      <w:proofErr w:type="spellEnd"/>
      <w:r w:rsidRPr="00D81064">
        <w:rPr>
          <w:lang w:val="ru-RU"/>
        </w:rPr>
        <w:t>. Бухарест, 2022 г.) Полномочной конференции. Она рассказала о некоторых ключевых результатах, которые были достигнуты за отчетный период в рамках трех направлений работы ПТРЛ, а именно в области людей, культуры и услуг. Кроме того, она отметила программу Союза "Молодые специалисты" (YPP), на участие в которой поступило более 3500 заявок. В первую группу молодых специалистов, отобранных для работы в Союзе, вошли шесть представителей НРС, которые привнесли в свои команды свежие взгляды, технические инновации и новую энергию. На 2027 год планируется увеличить размер второй группы, включить в программу региональные отделения и сосредоточиться на молодых таланливых специалистах из развивающихся стран, НРС, ЛЛДС и СИДС. Она выразила признательность тем Государствам-Членам, которые внесли свой вклад в эту инициативу, и призвала Членов Союза и далее оказывать поддержку.</w:t>
      </w:r>
    </w:p>
    <w:p w14:paraId="59AE1AE7" w14:textId="129E254E" w:rsidR="00D7625B" w:rsidRPr="00D81064" w:rsidRDefault="00D7625B" w:rsidP="00D7625B">
      <w:pPr>
        <w:rPr>
          <w:lang w:val="ru-RU"/>
        </w:rPr>
      </w:pPr>
      <w:r w:rsidRPr="00D81064">
        <w:rPr>
          <w:lang w:val="ru-RU"/>
        </w:rPr>
        <w:t>37.2</w:t>
      </w:r>
      <w:r w:rsidRPr="00D81064">
        <w:rPr>
          <w:lang w:val="ru-RU"/>
        </w:rPr>
        <w:tab/>
        <w:t>Молодые специалисты из Ганы, Индии, Кот-д'Ивуара, Малави и Пакистана выступили с рассказами об опыте, приобретенном ими в МСЭ, где они работали в различных областях – от космических служб, устойчивости подводных кабелей до кибербезопасности.</w:t>
      </w:r>
    </w:p>
    <w:p w14:paraId="074AF79F" w14:textId="66B06EF3" w:rsidR="00D7625B" w:rsidRPr="00D81064" w:rsidRDefault="00D7625B" w:rsidP="00D7625B">
      <w:pPr>
        <w:rPr>
          <w:lang w:val="ru-RU"/>
        </w:rPr>
      </w:pPr>
      <w:r w:rsidRPr="00D81064">
        <w:rPr>
          <w:lang w:val="ru-RU"/>
        </w:rPr>
        <w:lastRenderedPageBreak/>
        <w:t>37.3</w:t>
      </w:r>
      <w:r w:rsidRPr="00D81064">
        <w:rPr>
          <w:lang w:val="ru-RU"/>
        </w:rPr>
        <w:tab/>
        <w:t>Советник от Японии объявил, что правительство его страны сделает взнос в размере 300 000 долларов США для поддержки второй группы молодых специалистов, тем самым демонстрируя свою неизменную приверженность программе.</w:t>
      </w:r>
    </w:p>
    <w:p w14:paraId="620A5139" w14:textId="313FFFDA" w:rsidR="00D7625B" w:rsidRPr="00D81064" w:rsidRDefault="00D7625B" w:rsidP="00D7625B">
      <w:pPr>
        <w:rPr>
          <w:lang w:val="ru-RU"/>
        </w:rPr>
      </w:pPr>
      <w:r w:rsidRPr="00D81064">
        <w:rPr>
          <w:lang w:val="ru-RU"/>
        </w:rPr>
        <w:t>37.4</w:t>
      </w:r>
      <w:r w:rsidRPr="00D81064">
        <w:rPr>
          <w:lang w:val="ru-RU"/>
        </w:rPr>
        <w:tab/>
        <w:t xml:space="preserve">В ходе последовавшего обсуждения Советники высоко оценили усилия HRMD в течение отчетного периода, в частности по линии реализации программы "Молодые специалисты" для привлечения молодых талантов; развития цифровых навыков; достижения прогресса на пути к гендерному паритету; оптимизации процессов управления показателями деятельности; и повышения показателей завершения обязательного обучения. Тем не менее некоторые Советники призвали предпринять согласованные усилия для повышения показателей прохождения подготовки по вопросам этики и добросовестности, предотвращения сексуальной эксплуатации и сексуальных надругательств, а также предотвращения сексуальных домогательств и других запрещенных действий. В будущую отчетность следует включать информацию о </w:t>
      </w:r>
      <w:r w:rsidR="000D45EC" w:rsidRPr="00D81064">
        <w:rPr>
          <w:lang w:val="ru-RU"/>
        </w:rPr>
        <w:t>мерах</w:t>
      </w:r>
      <w:r w:rsidRPr="00D81064">
        <w:rPr>
          <w:lang w:val="ru-RU"/>
        </w:rPr>
        <w:t xml:space="preserve">, принятых </w:t>
      </w:r>
      <w:r w:rsidR="000D45EC" w:rsidRPr="00D81064">
        <w:rPr>
          <w:lang w:val="ru-RU"/>
        </w:rPr>
        <w:t>для улучшения показателей завершения обязательного обучения</w:t>
      </w:r>
      <w:r w:rsidRPr="00D81064">
        <w:rPr>
          <w:lang w:val="ru-RU"/>
        </w:rPr>
        <w:t xml:space="preserve"> руководителей и персонала. Один из Советников предложил, чтобы HRMD обновил систему управления служебной деятельностью, включив требование о том, что для успешной аттестации все сотрудники должны пройти полное обязательное обучение. Она обратилась к Секретариату с просьбой поделиться с Государствами-Членами его планом действий по предупреждению сексуальной эксплуатации и сексуальных надругательств, а также результатами ежегодного обследования КСР по вопросам информирования о случаях сексуальных домогательств в целях содействия прозрачности и привлечению к ответственности.</w:t>
      </w:r>
    </w:p>
    <w:p w14:paraId="40DAD5F8" w14:textId="7E662EFF" w:rsidR="00D7625B" w:rsidRPr="00D81064" w:rsidRDefault="00D7625B" w:rsidP="00D7625B">
      <w:pPr>
        <w:rPr>
          <w:lang w:val="ru-RU"/>
        </w:rPr>
      </w:pPr>
      <w:r w:rsidRPr="00D81064">
        <w:rPr>
          <w:lang w:val="ru-RU"/>
        </w:rPr>
        <w:t>37.5</w:t>
      </w:r>
      <w:r w:rsidRPr="00D81064">
        <w:rPr>
          <w:lang w:val="ru-RU"/>
        </w:rPr>
        <w:tab/>
        <w:t>Некоторые Советники обратили внимание делегатов на сохраняющийся дисбаланс кадрового разнообразия, особенно в части соблюдения принципа географического распределения, и просили предоставить дополнительную информацию о любых специальных мерах по набору персонала, которые были приняты для решения этой проблемы в соответствии с Резолюцией 48 (</w:t>
      </w:r>
      <w:proofErr w:type="spellStart"/>
      <w:r w:rsidRPr="00D81064">
        <w:rPr>
          <w:lang w:val="ru-RU"/>
        </w:rPr>
        <w:t>Пересм</w:t>
      </w:r>
      <w:proofErr w:type="spellEnd"/>
      <w:r w:rsidRPr="00D81064">
        <w:rPr>
          <w:lang w:val="ru-RU"/>
        </w:rPr>
        <w:t>. Бухарест, 2022 г.). В будущую отчетность следует включать более точные показатели и данные о существующем составе персонала Союза в разбивке по регионам и полу. Один из Советников предложил использовать меры, направленные на достижение гендерного паритета, в качестве модели для улучшения географической представленности среди персонала МСЭ, в особенности из развивающихся стран. Другой Советник отме</w:t>
      </w:r>
      <w:r w:rsidR="000D45EC" w:rsidRPr="00D81064">
        <w:rPr>
          <w:lang w:val="ru-RU"/>
        </w:rPr>
        <w:t>тил</w:t>
      </w:r>
      <w:r w:rsidRPr="00D81064">
        <w:rPr>
          <w:lang w:val="ru-RU"/>
        </w:rPr>
        <w:t xml:space="preserve"> </w:t>
      </w:r>
      <w:r w:rsidR="000D45EC" w:rsidRPr="00D81064">
        <w:rPr>
          <w:lang w:val="ru-RU"/>
        </w:rPr>
        <w:t xml:space="preserve">усилия и </w:t>
      </w:r>
      <w:r w:rsidRPr="00D81064">
        <w:rPr>
          <w:lang w:val="ru-RU"/>
        </w:rPr>
        <w:t xml:space="preserve">прогресс в достижении гендерного паритета, призвал принять дальнейшие меры в </w:t>
      </w:r>
      <w:r w:rsidR="000D45EC" w:rsidRPr="00D81064">
        <w:rPr>
          <w:lang w:val="ru-RU"/>
        </w:rPr>
        <w:t>этом направлении</w:t>
      </w:r>
      <w:r w:rsidRPr="00D81064">
        <w:rPr>
          <w:lang w:val="ru-RU"/>
        </w:rPr>
        <w:t>. HRMD также было рекомендовано ускорить завершение реформ процедур, связанных с наймом, и систем кадрового планирования, а также увеличить инвестиции в обучение персонала.</w:t>
      </w:r>
    </w:p>
    <w:p w14:paraId="54A35866" w14:textId="3125DA8F" w:rsidR="00D7625B" w:rsidRPr="00D81064" w:rsidRDefault="00D7625B" w:rsidP="00D7625B">
      <w:pPr>
        <w:rPr>
          <w:lang w:val="ru-RU"/>
        </w:rPr>
      </w:pPr>
      <w:r w:rsidRPr="00D81064">
        <w:rPr>
          <w:lang w:val="ru-RU"/>
        </w:rPr>
        <w:t>37.6</w:t>
      </w:r>
      <w:r w:rsidRPr="00D81064">
        <w:rPr>
          <w:lang w:val="ru-RU"/>
        </w:rPr>
        <w:tab/>
        <w:t>Что касается кадрового планирования, некоторые Советники, подчеркивая специализированный характер работы Союза, хотели бы получить информацию о воздействии программы добровольного прекращения службы на перераспределение рабочей нагрузки, передачу знаний и моральное состояние персонала. Один из Советников попросил представить подробную информацию о новой политике привлечения консультантов, в том числе о том, как она позволит обеспечить применение консультантов только для краткосрочных потребностей и выполнения неосновных функций персонала, и каким образом она будет содействовать повышению прозрачности, улучшению мониторинга показателей работы и регионального представительства. Будущие отчеты должны содержать данные об измеримом воздействии мер HRMD на показатели деятельности организации и предоставление услуг.</w:t>
      </w:r>
    </w:p>
    <w:p w14:paraId="19832CBB" w14:textId="0FAC5546" w:rsidR="00D7625B" w:rsidRPr="00D81064" w:rsidRDefault="00D7625B" w:rsidP="00D7625B">
      <w:pPr>
        <w:rPr>
          <w:lang w:val="ru-RU"/>
        </w:rPr>
      </w:pPr>
      <w:r w:rsidRPr="00D81064">
        <w:rPr>
          <w:lang w:val="ru-RU"/>
        </w:rPr>
        <w:t>37.7</w:t>
      </w:r>
      <w:r w:rsidRPr="00D81064">
        <w:rPr>
          <w:lang w:val="ru-RU"/>
        </w:rPr>
        <w:tab/>
        <w:t xml:space="preserve">Отвечая на замечания и вопросы Советников и выразив благодарность правительству Японии за его щедрый взнос, руководитель HRMD сообщила по вопросу о географическом разнообразии, что, хотя набор персонала осуществляется на основе заслуг, соображениям разнообразия придается приоритетное значение согласно соответствующим резолюциям и нормативным актам. Меры, принимаемые для увеличения разнообразия кадрового состава, </w:t>
      </w:r>
      <w:r w:rsidRPr="00D81064">
        <w:rPr>
          <w:lang w:val="ru-RU"/>
        </w:rPr>
        <w:lastRenderedPageBreak/>
        <w:t xml:space="preserve">включают целенаправленную информационно-пропагандистскую работу через онлайновые форумы для привлечения лучших кандидатов </w:t>
      </w:r>
      <w:r w:rsidR="000D45EC" w:rsidRPr="00D81064">
        <w:rPr>
          <w:lang w:val="ru-RU"/>
        </w:rPr>
        <w:t>из</w:t>
      </w:r>
      <w:r w:rsidRPr="00D81064">
        <w:rPr>
          <w:lang w:val="ru-RU"/>
        </w:rPr>
        <w:t xml:space="preserve"> </w:t>
      </w:r>
      <w:r w:rsidR="000D45EC" w:rsidRPr="00D81064">
        <w:rPr>
          <w:lang w:val="ru-RU"/>
        </w:rPr>
        <w:t>различных регионов</w:t>
      </w:r>
      <w:r w:rsidRPr="00D81064">
        <w:rPr>
          <w:lang w:val="ru-RU"/>
        </w:rPr>
        <w:t xml:space="preserve"> мира</w:t>
      </w:r>
      <w:r w:rsidR="000D45EC" w:rsidRPr="00D81064">
        <w:rPr>
          <w:lang w:val="ru-RU"/>
        </w:rPr>
        <w:t xml:space="preserve"> и с помощью таких программ, как "Молодые специалисты", которые привлекают молодые перспективные кадры</w:t>
      </w:r>
      <w:r w:rsidRPr="00D81064">
        <w:rPr>
          <w:lang w:val="ru-RU"/>
        </w:rPr>
        <w:t>.</w:t>
      </w:r>
    </w:p>
    <w:p w14:paraId="5857B615" w14:textId="77777777" w:rsidR="00D7625B" w:rsidRPr="00D81064" w:rsidRDefault="00D7625B" w:rsidP="00D7625B">
      <w:pPr>
        <w:rPr>
          <w:lang w:val="ru-RU"/>
        </w:rPr>
      </w:pPr>
      <w:r w:rsidRPr="00D81064">
        <w:rPr>
          <w:lang w:val="ru-RU"/>
        </w:rPr>
        <w:t>37.8</w:t>
      </w:r>
      <w:r w:rsidRPr="00D81064">
        <w:rPr>
          <w:lang w:val="ru-RU"/>
        </w:rPr>
        <w:tab/>
        <w:t>Стратегическое кадровое планирование предполагает определение наиболее подходящего места для заполнения вакансий, возникающих в связи с выходом сотрудников на пенсию или уходом со службы, что позволяет повышать региональное присутствие, укреплять систему планирования преемственности и обеспечивать наличие у руководителей функций и навыков, необходимых для достижения поставленных целей. Повышение квалификации персонала является основополагающим в этом отношении, и HRMD постоянно работает над совершенствованием процесса обучения и развития и тесно взаимодействует с Группой по трансформации для содействия повышению квалификации в области ИИ. Она высказала признательность за замечания Советников относительно бюджета на обучение и продолжит выступать за его увеличение. Кроме того, используются возможности обучения в рамках более широкой системы Организации Объединенных Наций. Согласно последним данным об обязательной подготовке, 76 процентов сотрудников, работающих по постоянным, длящимся, срочным и краткосрочным контрактам, прошли обучение по вопросам предотвращения сексуальной эксплуатации и сексуальных надругательств.</w:t>
      </w:r>
    </w:p>
    <w:p w14:paraId="37F12DA7" w14:textId="77777777" w:rsidR="00D7625B" w:rsidRPr="00D81064" w:rsidRDefault="00D7625B" w:rsidP="00D7625B">
      <w:pPr>
        <w:rPr>
          <w:lang w:val="ru-RU"/>
        </w:rPr>
      </w:pPr>
      <w:r w:rsidRPr="00D81064">
        <w:rPr>
          <w:lang w:val="ru-RU"/>
        </w:rPr>
        <w:t>37.9</w:t>
      </w:r>
      <w:r w:rsidRPr="00D81064">
        <w:rPr>
          <w:lang w:val="ru-RU"/>
        </w:rPr>
        <w:tab/>
        <w:t xml:space="preserve">15 сотрудников, уволившихся в рамках программы добровольного прекращения службы, либо были близки к выходу на пенсию, либо хотели уйти по другим причинам. Принимая во внимание компетентность, знания и профессиональный опыт персонала, при принятии решений об таких увольнениях учитываются главные потребности Союза. Крайне важно обеспечить наличие в Союзе имелось правильного сочетания институциональных знаний и новых кадров. </w:t>
      </w:r>
    </w:p>
    <w:p w14:paraId="3A713A55" w14:textId="32E26A13" w:rsidR="00D7625B" w:rsidRPr="00D81064" w:rsidRDefault="00D7625B" w:rsidP="00D7625B">
      <w:pPr>
        <w:rPr>
          <w:lang w:val="ru-RU"/>
        </w:rPr>
      </w:pPr>
      <w:r w:rsidRPr="00D81064">
        <w:rPr>
          <w:lang w:val="ru-RU"/>
        </w:rPr>
        <w:t>37.10</w:t>
      </w:r>
      <w:r w:rsidRPr="00D81064">
        <w:rPr>
          <w:lang w:val="ru-RU"/>
        </w:rPr>
        <w:tab/>
        <w:t>Что касается производственной и отношений между сотрудниками, она подчеркнула, что HRMD тесно сотрудничает с Советом персонала, в том числе в целях принятия последующих мер по результатам обследования вовлеченности сотрудников. Фактически их усилия были объединены для разработки и осуществления программы, разработанной по итогам обследования. Кроме того, HRMD провел подготовку по вопросам психологической безопасности и культуры гласности. Для решения вопросов управления показателями эффективности деятельности применяется целый ряд подходов. Например, проводится обзор соответствующих служебных приказов, планируется проведение семинаров-практикумов по постановке целей; разработан комплект материалов для оказания руководителям помощи в решении проблем неудовлетворительного выполнения должностных обязанностей, что позволит HRMD поэтапно вести их через весь процесс.</w:t>
      </w:r>
    </w:p>
    <w:p w14:paraId="24D7A07A" w14:textId="4D98FCE8" w:rsidR="00D7625B" w:rsidRPr="00D81064" w:rsidRDefault="00D7625B" w:rsidP="00D7625B">
      <w:pPr>
        <w:rPr>
          <w:lang w:val="ru-RU"/>
        </w:rPr>
      </w:pPr>
      <w:r w:rsidRPr="00D81064">
        <w:rPr>
          <w:lang w:val="ru-RU"/>
        </w:rPr>
        <w:t>37.11</w:t>
      </w:r>
      <w:r w:rsidRPr="00D81064">
        <w:rPr>
          <w:lang w:val="ru-RU"/>
        </w:rPr>
        <w:tab/>
        <w:t xml:space="preserve">В заключение она подтвердила, что HRMD подготовит отчет о значении критериев "значительных" организационных изменений для дальнейшего обсуждения на ПК-26, если Совет утвердит рекомендацию РГС-ФЛР по этой теме (Документ </w:t>
      </w:r>
      <w:hyperlink r:id="rId232" w:history="1">
        <w:r w:rsidRPr="00D81064">
          <w:rPr>
            <w:rStyle w:val="Hyperlink"/>
            <w:lang w:val="ru-RU"/>
          </w:rPr>
          <w:t>C26/50(Rev.1)</w:t>
        </w:r>
      </w:hyperlink>
      <w:r w:rsidRPr="00D81064">
        <w:rPr>
          <w:lang w:val="ru-RU"/>
        </w:rPr>
        <w:t>, п. 10.6).</w:t>
      </w:r>
      <w:hyperlink r:id="rId233" w:history="1"/>
    </w:p>
    <w:p w14:paraId="7F343ABD" w14:textId="485EA900" w:rsidR="00D7625B" w:rsidRPr="00D81064" w:rsidRDefault="00D7625B" w:rsidP="00C501A9">
      <w:pPr>
        <w:keepNext/>
        <w:keepLines/>
        <w:rPr>
          <w:lang w:val="ru-RU"/>
        </w:rPr>
      </w:pPr>
      <w:r w:rsidRPr="00D81064">
        <w:rPr>
          <w:lang w:val="ru-RU"/>
        </w:rPr>
        <w:t>37.12</w:t>
      </w:r>
      <w:r w:rsidRPr="00D81064">
        <w:rPr>
          <w:lang w:val="ru-RU"/>
        </w:rPr>
        <w:tab/>
        <w:t xml:space="preserve">Комитет </w:t>
      </w:r>
      <w:r w:rsidRPr="00D81064">
        <w:rPr>
          <w:b/>
          <w:bCs/>
          <w:lang w:val="ru-RU"/>
        </w:rPr>
        <w:t>принял решение</w:t>
      </w:r>
      <w:r w:rsidRPr="00D81064">
        <w:rPr>
          <w:lang w:val="ru-RU"/>
        </w:rPr>
        <w:t xml:space="preserve"> сделать по данному вопросу следующее заключение:</w:t>
      </w:r>
    </w:p>
    <w:p w14:paraId="11BE5D5F" w14:textId="67A290F6" w:rsidR="00D7625B" w:rsidRPr="00D81064" w:rsidRDefault="00D7625B" w:rsidP="00C501A9">
      <w:pPr>
        <w:keepNext/>
        <w:keepLines/>
        <w:pBdr>
          <w:top w:val="single" w:sz="4" w:space="1" w:color="auto"/>
          <w:left w:val="single" w:sz="4" w:space="4" w:color="auto"/>
          <w:bottom w:val="single" w:sz="4" w:space="1" w:color="auto"/>
          <w:right w:val="single" w:sz="4" w:space="4" w:color="auto"/>
        </w:pBdr>
        <w:rPr>
          <w:lang w:val="ru-RU"/>
        </w:rPr>
      </w:pPr>
      <w:r w:rsidRPr="00D81064">
        <w:rPr>
          <w:lang w:val="ru-RU"/>
        </w:rPr>
        <w:t>37.13</w:t>
      </w:r>
      <w:r w:rsidRPr="00D81064">
        <w:rPr>
          <w:lang w:val="ru-RU"/>
        </w:rPr>
        <w:tab/>
        <w:t>Комитет рекомендует Совету:</w:t>
      </w:r>
    </w:p>
    <w:p w14:paraId="4F10D0F7" w14:textId="73A96D3A" w:rsidR="00D7625B" w:rsidRPr="00D81064" w:rsidRDefault="00D7625B" w:rsidP="00D7625B">
      <w:pPr>
        <w:pStyle w:val="enumlev1"/>
        <w:pBdr>
          <w:top w:val="single" w:sz="4" w:space="1" w:color="auto"/>
          <w:left w:val="single" w:sz="4" w:space="4" w:color="auto"/>
          <w:bottom w:val="single" w:sz="4" w:space="1" w:color="auto"/>
          <w:right w:val="single" w:sz="4" w:space="4" w:color="auto"/>
        </w:pBdr>
        <w:rPr>
          <w:lang w:val="ru-RU"/>
        </w:rPr>
      </w:pPr>
      <w:r w:rsidRPr="00D81064">
        <w:rPr>
          <w:lang w:val="ru-RU"/>
        </w:rPr>
        <w:t>•</w:t>
      </w:r>
      <w:r w:rsidRPr="00D81064">
        <w:rPr>
          <w:lang w:val="ru-RU"/>
        </w:rPr>
        <w:tab/>
        <w:t>принять к сведению отчет о ходе работы по выполнению Плана трансформации людских ресурсов и Резолюции 48 (</w:t>
      </w:r>
      <w:proofErr w:type="spellStart"/>
      <w:r w:rsidRPr="00D81064">
        <w:rPr>
          <w:lang w:val="ru-RU"/>
        </w:rPr>
        <w:t>Пересм</w:t>
      </w:r>
      <w:proofErr w:type="spellEnd"/>
      <w:r w:rsidRPr="00D81064">
        <w:rPr>
          <w:lang w:val="ru-RU"/>
        </w:rPr>
        <w:t xml:space="preserve">. Бухарест, 2022 г.) Полномочной конференции, который содержится в Документе </w:t>
      </w:r>
      <w:hyperlink r:id="rId234" w:history="1">
        <w:r w:rsidRPr="00D81064">
          <w:rPr>
            <w:rStyle w:val="Hyperlink"/>
            <w:lang w:val="ru-RU"/>
          </w:rPr>
          <w:t>C26/66</w:t>
        </w:r>
      </w:hyperlink>
      <w:r w:rsidR="003D32A1" w:rsidRPr="00D81064">
        <w:rPr>
          <w:lang w:val="ru-RU"/>
        </w:rPr>
        <w:t>;</w:t>
      </w:r>
    </w:p>
    <w:p w14:paraId="5F099BDA" w14:textId="6D6F176F" w:rsidR="003D32A1" w:rsidRPr="00D81064" w:rsidRDefault="003D32A1" w:rsidP="00D7625B">
      <w:pPr>
        <w:pStyle w:val="enumlev1"/>
        <w:pBdr>
          <w:top w:val="single" w:sz="4" w:space="1" w:color="auto"/>
          <w:left w:val="single" w:sz="4" w:space="4" w:color="auto"/>
          <w:bottom w:val="single" w:sz="4" w:space="1" w:color="auto"/>
          <w:right w:val="single" w:sz="4" w:space="4" w:color="auto"/>
        </w:pBdr>
        <w:rPr>
          <w:lang w:val="ru-RU"/>
        </w:rPr>
      </w:pPr>
      <w:r w:rsidRPr="00D81064">
        <w:rPr>
          <w:lang w:val="ru-RU"/>
        </w:rPr>
        <w:t>•</w:t>
      </w:r>
      <w:r w:rsidRPr="00D81064">
        <w:rPr>
          <w:lang w:val="ru-RU"/>
        </w:rPr>
        <w:tab/>
        <w:t xml:space="preserve">поручить </w:t>
      </w:r>
      <w:r w:rsidR="00B31145" w:rsidRPr="00D81064">
        <w:rPr>
          <w:lang w:val="ru-RU"/>
        </w:rPr>
        <w:t xml:space="preserve">Секретариату </w:t>
      </w:r>
      <w:r w:rsidRPr="00D81064">
        <w:rPr>
          <w:lang w:val="ru-RU"/>
        </w:rPr>
        <w:t xml:space="preserve">подготовить к 31 июля 2026 года отчет с подробным описанием принятых </w:t>
      </w:r>
      <w:r w:rsidR="00B31145" w:rsidRPr="00D81064">
        <w:rPr>
          <w:lang w:val="ru-RU"/>
        </w:rPr>
        <w:t xml:space="preserve">Секретариатом </w:t>
      </w:r>
      <w:r w:rsidRPr="00D81064">
        <w:rPr>
          <w:lang w:val="ru-RU"/>
        </w:rPr>
        <w:t>мер в отношении неправомерных действий и по привлечению к ответственности.</w:t>
      </w:r>
    </w:p>
    <w:p w14:paraId="05585146" w14:textId="77777777" w:rsidR="00550A92" w:rsidRPr="00D81064" w:rsidRDefault="00550A92" w:rsidP="00550A92">
      <w:pPr>
        <w:pStyle w:val="Heading1"/>
        <w:rPr>
          <w:lang w:val="ru-RU"/>
        </w:rPr>
      </w:pPr>
      <w:r w:rsidRPr="00D81064">
        <w:rPr>
          <w:bCs/>
          <w:lang w:val="ru-RU"/>
        </w:rPr>
        <w:lastRenderedPageBreak/>
        <w:t>38</w:t>
      </w:r>
      <w:r w:rsidRPr="00D81064">
        <w:rPr>
          <w:lang w:val="ru-RU"/>
        </w:rPr>
        <w:tab/>
      </w:r>
      <w:r w:rsidRPr="00D81064">
        <w:rPr>
          <w:bCs/>
          <w:lang w:val="ru-RU"/>
        </w:rPr>
        <w:t xml:space="preserve">Изменение условий службы в общей системе Организации Объединенных Наций (Документ </w:t>
      </w:r>
      <w:hyperlink r:id="rId235" w:history="1">
        <w:r w:rsidRPr="00D81064">
          <w:rPr>
            <w:rStyle w:val="Hyperlink"/>
            <w:bCs/>
            <w:lang w:val="ru-RU"/>
          </w:rPr>
          <w:t>C26/</w:t>
        </w:r>
        <w:r w:rsidRPr="00D81064">
          <w:rPr>
            <w:rStyle w:val="Hyperlink"/>
            <w:lang w:val="ru-RU"/>
          </w:rPr>
          <w:t>23</w:t>
        </w:r>
      </w:hyperlink>
      <w:r w:rsidRPr="00D81064">
        <w:rPr>
          <w:bCs/>
          <w:lang w:val="ru-RU"/>
        </w:rPr>
        <w:t>)</w:t>
      </w:r>
      <w:hyperlink r:id="rId236" w:history="1"/>
    </w:p>
    <w:p w14:paraId="2832A03B" w14:textId="573369CE" w:rsidR="00550A92" w:rsidRPr="00D81064" w:rsidRDefault="00550A92" w:rsidP="00550A92">
      <w:pPr>
        <w:rPr>
          <w:lang w:val="ru-RU"/>
        </w:rPr>
      </w:pPr>
      <w:r w:rsidRPr="00D81064">
        <w:rPr>
          <w:lang w:val="ru-RU"/>
        </w:rPr>
        <w:t>38.1</w:t>
      </w:r>
      <w:r w:rsidRPr="00D81064">
        <w:rPr>
          <w:lang w:val="ru-RU"/>
        </w:rPr>
        <w:tab/>
        <w:t>Руководитель HRMD представил Документ C26/23, в котором содержится отчет о недавних изменениях в условиях службы в соответствии с резолюцией 80/236 ГА ООН от 3</w:t>
      </w:r>
      <w:r w:rsidR="000D45EC" w:rsidRPr="00D81064">
        <w:rPr>
          <w:lang w:val="ru-RU"/>
        </w:rPr>
        <w:t>0</w:t>
      </w:r>
      <w:r w:rsidRPr="00D81064">
        <w:rPr>
          <w:lang w:val="ru-RU"/>
        </w:rPr>
        <w:t> декабря 2025 года об общей системе Организации Объединенных Наций, принятой на основе рекомендаций Комиссии по международной гражданской службе (КМГС).</w:t>
      </w:r>
    </w:p>
    <w:p w14:paraId="3939BAF2" w14:textId="14BADA23" w:rsidR="00550A92" w:rsidRPr="00D81064" w:rsidRDefault="00550A92" w:rsidP="00550A92">
      <w:pPr>
        <w:rPr>
          <w:lang w:val="ru-RU"/>
        </w:rPr>
      </w:pPr>
      <w:r w:rsidRPr="00D81064">
        <w:rPr>
          <w:lang w:val="ru-RU"/>
        </w:rPr>
        <w:t>38.2</w:t>
      </w:r>
      <w:r w:rsidRPr="00D81064">
        <w:rPr>
          <w:lang w:val="ru-RU"/>
        </w:rPr>
        <w:tab/>
        <w:t>Руководитель FRMD, отвечая на вопросы одного из Советников и наблюдателя о финансовых последствиях этих изменений, пояснил, что, насколько это возможно, расходы, связанные с ними, будут покрываться за счет регулярного бюджета. Он напомнил, что в случае необходимости Совет в своей Резолюции 1435 (C25) о двухгодичном бюджете Союза на </w:t>
      </w:r>
      <w:proofErr w:type="gramStart"/>
      <w:r w:rsidRPr="00D81064">
        <w:rPr>
          <w:lang w:val="ru-RU"/>
        </w:rPr>
        <w:t>2026−2027</w:t>
      </w:r>
      <w:proofErr w:type="gramEnd"/>
      <w:r w:rsidRPr="00D81064">
        <w:rPr>
          <w:lang w:val="ru-RU"/>
        </w:rPr>
        <w:t> годы уполномочил Генерального секретаря корректировать ассигнования в связи с расходами, связанными с изменением условий службы в общей системе Организации Объединенных Наций, путем использования Резервного счета.</w:t>
      </w:r>
    </w:p>
    <w:p w14:paraId="76C5A2A3" w14:textId="77777777" w:rsidR="00550A92" w:rsidRPr="00D81064" w:rsidRDefault="00550A92" w:rsidP="00550A92">
      <w:pPr>
        <w:rPr>
          <w:lang w:val="ru-RU"/>
        </w:rPr>
      </w:pPr>
      <w:r w:rsidRPr="00D81064">
        <w:rPr>
          <w:lang w:val="ru-RU"/>
        </w:rPr>
        <w:t>38.3</w:t>
      </w:r>
      <w:r w:rsidRPr="00D81064">
        <w:rPr>
          <w:lang w:val="ru-RU"/>
        </w:rPr>
        <w:tab/>
        <w:t>Несколько Советников и один из наблюдателей подчеркнули важность обеспечения согласованности с общей системой Организации Объединенных Наций и соблюдения резолюций ГА ООН.</w:t>
      </w:r>
    </w:p>
    <w:p w14:paraId="16FD476C" w14:textId="77777777" w:rsidR="00550A92" w:rsidRPr="00D81064" w:rsidRDefault="00550A92" w:rsidP="00550A92">
      <w:pPr>
        <w:keepNext/>
        <w:keepLines/>
        <w:rPr>
          <w:lang w:val="ru-RU"/>
        </w:rPr>
      </w:pPr>
      <w:r w:rsidRPr="00D81064">
        <w:rPr>
          <w:lang w:val="ru-RU"/>
        </w:rPr>
        <w:t>38.4</w:t>
      </w:r>
      <w:r w:rsidRPr="00D81064">
        <w:rPr>
          <w:lang w:val="ru-RU"/>
        </w:rPr>
        <w:tab/>
        <w:t xml:space="preserve">Комитет </w:t>
      </w:r>
      <w:r w:rsidRPr="00D81064">
        <w:rPr>
          <w:b/>
          <w:bCs/>
          <w:lang w:val="ru-RU"/>
        </w:rPr>
        <w:t>принял решение</w:t>
      </w:r>
      <w:r w:rsidRPr="00D81064">
        <w:rPr>
          <w:lang w:val="ru-RU"/>
        </w:rPr>
        <w:t xml:space="preserve"> сделать по данному вопросу следующее заключение:</w:t>
      </w:r>
    </w:p>
    <w:p w14:paraId="0DA9A59F" w14:textId="77777777" w:rsidR="00550A92" w:rsidRPr="00D81064" w:rsidRDefault="00550A92" w:rsidP="00550A92">
      <w:pPr>
        <w:keepNext/>
        <w:keepLines/>
        <w:pBdr>
          <w:top w:val="single" w:sz="4" w:space="1" w:color="auto"/>
          <w:left w:val="single" w:sz="4" w:space="4" w:color="auto"/>
          <w:bottom w:val="single" w:sz="4" w:space="1" w:color="auto"/>
          <w:right w:val="single" w:sz="4" w:space="4" w:color="auto"/>
        </w:pBdr>
        <w:rPr>
          <w:lang w:val="ru-RU"/>
        </w:rPr>
      </w:pPr>
      <w:r w:rsidRPr="00D81064">
        <w:rPr>
          <w:lang w:val="ru-RU"/>
        </w:rPr>
        <w:t>38.5</w:t>
      </w:r>
      <w:r w:rsidRPr="00D81064">
        <w:rPr>
          <w:lang w:val="ru-RU"/>
        </w:rPr>
        <w:tab/>
        <w:t>Комитет рекомендует Совету:</w:t>
      </w:r>
    </w:p>
    <w:p w14:paraId="40437EC2" w14:textId="4634E6E2" w:rsidR="00550A92" w:rsidRPr="00D81064" w:rsidRDefault="00550A92" w:rsidP="00550A92">
      <w:pPr>
        <w:pStyle w:val="enumlev1"/>
        <w:pBdr>
          <w:top w:val="single" w:sz="4" w:space="1" w:color="auto"/>
          <w:left w:val="single" w:sz="4" w:space="4" w:color="auto"/>
          <w:bottom w:val="single" w:sz="4" w:space="1" w:color="auto"/>
          <w:right w:val="single" w:sz="4" w:space="4" w:color="auto"/>
        </w:pBdr>
        <w:rPr>
          <w:lang w:val="ru-RU"/>
        </w:rPr>
      </w:pPr>
      <w:r w:rsidRPr="00D81064">
        <w:rPr>
          <w:lang w:val="ru-RU"/>
        </w:rPr>
        <w:t>•</w:t>
      </w:r>
      <w:r w:rsidRPr="00D81064">
        <w:rPr>
          <w:lang w:val="ru-RU"/>
        </w:rPr>
        <w:tab/>
        <w:t>принять к сведению выполнение Генеральным секретарем резолюций Генеральной Ассамблеи Организации Объединенных Наций, касающихся изменения условий службы назначаемого персонала, в соответствии с Положениями о персонале и Правилами о персонале МСЭ, установленными процедурами Комиссии по международной гражданской службе и Резолюцией 647 (С-1969, последнее изменение С03) Совета;</w:t>
      </w:r>
    </w:p>
    <w:p w14:paraId="7862A294" w14:textId="0CE87E34" w:rsidR="00550A92" w:rsidRPr="00D81064" w:rsidRDefault="00550A92" w:rsidP="00550A92">
      <w:pPr>
        <w:pStyle w:val="enumlev1"/>
        <w:pBdr>
          <w:top w:val="single" w:sz="4" w:space="1" w:color="auto"/>
          <w:left w:val="single" w:sz="4" w:space="4" w:color="auto"/>
          <w:bottom w:val="single" w:sz="4" w:space="1" w:color="auto"/>
          <w:right w:val="single" w:sz="4" w:space="4" w:color="auto"/>
        </w:pBdr>
        <w:rPr>
          <w:lang w:val="ru-RU"/>
        </w:rPr>
      </w:pPr>
      <w:r w:rsidRPr="00D81064">
        <w:rPr>
          <w:lang w:val="ru-RU"/>
        </w:rPr>
        <w:t>•</w:t>
      </w:r>
      <w:r w:rsidRPr="00D81064">
        <w:rPr>
          <w:lang w:val="ru-RU"/>
        </w:rPr>
        <w:tab/>
        <w:t xml:space="preserve">утвердить шкалу окладов и засчитываемое для пенсии вознаграждение, применяемые к избираемым должностным лицам, в том виде, в котором они представлены в проекте Резолюции, содержащемся в </w:t>
      </w:r>
      <w:hyperlink w:anchor="AnnexE" w:history="1">
        <w:r w:rsidRPr="00D81064">
          <w:rPr>
            <w:rStyle w:val="Hyperlink"/>
            <w:b/>
            <w:bCs/>
            <w:lang w:val="ru-RU"/>
          </w:rPr>
          <w:t xml:space="preserve">Приложении </w:t>
        </w:r>
        <w:r w:rsidR="00F74DF7" w:rsidRPr="00D81064">
          <w:rPr>
            <w:rStyle w:val="Hyperlink"/>
            <w:b/>
            <w:bCs/>
            <w:lang w:val="ru-RU"/>
          </w:rPr>
          <w:t>E</w:t>
        </w:r>
      </w:hyperlink>
      <w:r w:rsidRPr="00D81064">
        <w:rPr>
          <w:lang w:val="ru-RU"/>
        </w:rPr>
        <w:t xml:space="preserve"> к настоящему отчету.</w:t>
      </w:r>
      <w:hyperlink w:anchor="Annex_D" w:history="1"/>
    </w:p>
    <w:p w14:paraId="696EA018" w14:textId="130FDAAF" w:rsidR="00C501A9" w:rsidRPr="00D81064" w:rsidRDefault="00C501A9" w:rsidP="00C501A9">
      <w:pPr>
        <w:pStyle w:val="Heading1"/>
        <w:rPr>
          <w:lang w:val="ru-RU"/>
        </w:rPr>
      </w:pPr>
      <w:r w:rsidRPr="00D81064">
        <w:rPr>
          <w:bCs/>
          <w:lang w:val="ru-RU"/>
        </w:rPr>
        <w:t>39</w:t>
      </w:r>
      <w:r w:rsidRPr="00D81064">
        <w:rPr>
          <w:lang w:val="ru-RU"/>
        </w:rPr>
        <w:tab/>
        <w:t>Стратегический план МСЭ в области людских ресурсов на </w:t>
      </w:r>
      <w:proofErr w:type="gramStart"/>
      <w:r w:rsidRPr="00D81064">
        <w:rPr>
          <w:lang w:val="ru-RU"/>
        </w:rPr>
        <w:t>2026−2027</w:t>
      </w:r>
      <w:proofErr w:type="gramEnd"/>
      <w:r w:rsidRPr="00D81064">
        <w:rPr>
          <w:lang w:val="ru-RU"/>
        </w:rPr>
        <w:t xml:space="preserve"> годы (Документ </w:t>
      </w:r>
      <w:hyperlink r:id="rId237" w:history="1">
        <w:r w:rsidRPr="00D81064">
          <w:rPr>
            <w:rStyle w:val="Hyperlink"/>
            <w:bCs/>
            <w:lang w:val="ru-RU"/>
          </w:rPr>
          <w:t>C26/</w:t>
        </w:r>
        <w:r w:rsidRPr="00D81064">
          <w:rPr>
            <w:rStyle w:val="Hyperlink"/>
            <w:lang w:val="ru-RU"/>
          </w:rPr>
          <w:t>67</w:t>
        </w:r>
      </w:hyperlink>
      <w:r w:rsidRPr="00D81064">
        <w:rPr>
          <w:lang w:val="ru-RU"/>
        </w:rPr>
        <w:t>)</w:t>
      </w:r>
      <w:hyperlink r:id="rId238" w:history="1"/>
    </w:p>
    <w:p w14:paraId="540095DB" w14:textId="77777777" w:rsidR="00C501A9" w:rsidRPr="00D81064" w:rsidRDefault="00C501A9" w:rsidP="00C501A9">
      <w:pPr>
        <w:rPr>
          <w:lang w:val="ru-RU"/>
        </w:rPr>
      </w:pPr>
      <w:r w:rsidRPr="00D81064">
        <w:rPr>
          <w:lang w:val="ru-RU"/>
        </w:rPr>
        <w:t>39.1</w:t>
      </w:r>
      <w:r w:rsidRPr="00D81064">
        <w:rPr>
          <w:lang w:val="ru-RU"/>
        </w:rPr>
        <w:tab/>
        <w:t>Руководитель HRMD представила Документ C26/67, в котором содержится Стратегический план МСЭ в области людских ресурсов (СП ЛР) на период 2026–2027 годов, согласованный со Стратегическим планом МСЭ на 2024–2027 годы и Резолюцией 48 (</w:t>
      </w:r>
      <w:proofErr w:type="spellStart"/>
      <w:r w:rsidRPr="00D81064">
        <w:rPr>
          <w:lang w:val="ru-RU"/>
        </w:rPr>
        <w:t>Пересм</w:t>
      </w:r>
      <w:proofErr w:type="spellEnd"/>
      <w:r w:rsidRPr="00D81064">
        <w:rPr>
          <w:lang w:val="ru-RU"/>
        </w:rPr>
        <w:t>. Бухарест, 2022 г.) Полномочной конференции. План построен на основе пяти взаимодополняющих направлений, каждое из которых включает набор инициатив на двухгодичный период 2026–2027 годов. Реализация будет осуществляться в рамках ежегодного плана работы HRMD при поддержке дорожной карты реализации, устанавливающей показатели и сроки. О достигнутом прогрессе будет сообщаться по установленным каналам управления, а результаты и собранные данные послужат отправной точкой для подготовки следующего цикла стратегического планирования и позволят разработать обновленные показатели деятельности и целевые показатели.</w:t>
      </w:r>
    </w:p>
    <w:p w14:paraId="3581C3EF" w14:textId="624517EE" w:rsidR="00C501A9" w:rsidRPr="00D81064" w:rsidRDefault="00C501A9" w:rsidP="00C501A9">
      <w:pPr>
        <w:rPr>
          <w:lang w:val="ru-RU"/>
        </w:rPr>
      </w:pPr>
      <w:r w:rsidRPr="00D81064">
        <w:rPr>
          <w:lang w:val="ru-RU"/>
        </w:rPr>
        <w:t>39.2</w:t>
      </w:r>
      <w:r w:rsidRPr="00D81064">
        <w:rPr>
          <w:lang w:val="ru-RU"/>
        </w:rPr>
        <w:tab/>
        <w:t xml:space="preserve">Советники и один из наблюдателей дали высокую оценку СП ЛР, в котором уделяется должное внимание благополучию, инклюзивности и вовлеченности сотрудников. В нем признается, что институциональная эффективность и организационная устойчивость напрямую связаны со способностью МСЭ привлекать, развивать и удерживать квалифицированные кадры в развивающейся цифровой среде. Подчеркивалось значение лидерства и управления кадрами </w:t>
      </w:r>
      <w:r w:rsidRPr="00D81064">
        <w:rPr>
          <w:lang w:val="ru-RU"/>
        </w:rPr>
        <w:lastRenderedPageBreak/>
        <w:t>как ключевых факторов будущего МСЭ, а также важность обеспечения географического представительства в практике подбора персонала, особенно для развивающихся стран.</w:t>
      </w:r>
    </w:p>
    <w:p w14:paraId="4E466557" w14:textId="4879E01A" w:rsidR="00C501A9" w:rsidRPr="00D81064" w:rsidRDefault="00C501A9" w:rsidP="00C501A9">
      <w:pPr>
        <w:rPr>
          <w:lang w:val="ru-RU"/>
        </w:rPr>
      </w:pPr>
      <w:r w:rsidRPr="00D81064">
        <w:rPr>
          <w:lang w:val="ru-RU"/>
        </w:rPr>
        <w:t>39.3</w:t>
      </w:r>
      <w:r w:rsidRPr="00D81064">
        <w:rPr>
          <w:lang w:val="ru-RU"/>
        </w:rPr>
        <w:tab/>
        <w:t xml:space="preserve">Один из Советников, подчеркивая важность обеспечения того, чтобы масштабы деятельности оставались реалистичными с учетом имеющихся ресурсов, сказал, что дорожная карта реализации выиграла бы от включения более четких базовых данных и измеримых целевых показателей. Один из наблюдателей предложил провести </w:t>
      </w:r>
      <w:r w:rsidR="000D45EC" w:rsidRPr="00D81064">
        <w:rPr>
          <w:lang w:val="ru-RU"/>
        </w:rPr>
        <w:t>рассмотрение</w:t>
      </w:r>
      <w:r w:rsidRPr="00D81064">
        <w:rPr>
          <w:lang w:val="ru-RU"/>
        </w:rPr>
        <w:t xml:space="preserve"> результатов ПТРЛ для улучшения выполнения Стратегического плана в области людских ресурсов (СП ЛР), с тем чтобы извлечь уроки на будущее и </w:t>
      </w:r>
      <w:r w:rsidR="000D45EC" w:rsidRPr="00D81064">
        <w:rPr>
          <w:lang w:val="ru-RU"/>
        </w:rPr>
        <w:t>содействовать</w:t>
      </w:r>
      <w:r w:rsidRPr="00D81064">
        <w:rPr>
          <w:lang w:val="ru-RU"/>
        </w:rPr>
        <w:t xml:space="preserve"> внедрени</w:t>
      </w:r>
      <w:r w:rsidR="000D45EC" w:rsidRPr="00D81064">
        <w:rPr>
          <w:lang w:val="ru-RU"/>
        </w:rPr>
        <w:t>ю</w:t>
      </w:r>
      <w:r w:rsidRPr="00D81064">
        <w:rPr>
          <w:lang w:val="ru-RU"/>
        </w:rPr>
        <w:t xml:space="preserve"> управления, ориентированного на результаты.</w:t>
      </w:r>
    </w:p>
    <w:p w14:paraId="7DAA9950" w14:textId="77777777" w:rsidR="00C501A9" w:rsidRPr="00D81064" w:rsidRDefault="00C501A9" w:rsidP="00C501A9">
      <w:pPr>
        <w:rPr>
          <w:lang w:val="ru-RU"/>
        </w:rPr>
      </w:pPr>
      <w:r w:rsidRPr="00D81064">
        <w:rPr>
          <w:lang w:val="ru-RU"/>
        </w:rPr>
        <w:t>39.4</w:t>
      </w:r>
      <w:r w:rsidRPr="00D81064">
        <w:rPr>
          <w:lang w:val="ru-RU"/>
        </w:rPr>
        <w:tab/>
        <w:t>Другой Советник сказал, что периодические обзоры должностных профилей и закрепленных функций могли бы помочь оптимизировать использование существующих ресурсов, позволяя по мере возможности поручать возникающие задачи текущему персоналу и тем самым поддерживая эффективность в условиях ограниченных ресурсов. Внедрение такого подхода при сохранении гибкости в привлечении внешних ресурсов, когда это необходимо, могло бы способствовать повышению гибкости кадров, оптимизации ресурсов и общей эффективности организации. Один из наблюдателей подчеркнул важность обеспечения того, чтобы любое потенциальное использование ИИ в работе Секретариата контролировалось сотрудниками.</w:t>
      </w:r>
    </w:p>
    <w:p w14:paraId="14C882AF" w14:textId="77777777" w:rsidR="00C501A9" w:rsidRPr="00D81064" w:rsidRDefault="00C501A9" w:rsidP="00C501A9">
      <w:pPr>
        <w:rPr>
          <w:lang w:val="ru-RU"/>
        </w:rPr>
      </w:pPr>
      <w:r w:rsidRPr="00D81064">
        <w:rPr>
          <w:lang w:val="ru-RU"/>
        </w:rPr>
        <w:t>39.5</w:t>
      </w:r>
      <w:r w:rsidRPr="00D81064">
        <w:rPr>
          <w:lang w:val="ru-RU"/>
        </w:rPr>
        <w:tab/>
        <w:t>В связи с заявленным намерением установить более гибкие контрактные условия было рекомендовано строго соблюдать правила и стандарты КМГС. Отмечая важность набора персонала на основе заслуг, одна из Советников упомянула, что в августе 2025 года Подразделение по надзору выразило обеспокоенность по поводу процесса набора сотрудников на краткосрочные контракты без проведения конкурса, и что HRMD все еще рассматривает вопрос о том, следует ли вводить декларации о конфликте интересов и поиске кандидатов. Она обратилась к HRMD и Секретариату с просьбой взять на себя обязательство внедрить такие основанные на здравом смысле меры подотчетности не позднее ПК-26.</w:t>
      </w:r>
    </w:p>
    <w:p w14:paraId="6B4A2759" w14:textId="77777777" w:rsidR="00C501A9" w:rsidRPr="00D81064" w:rsidRDefault="00C501A9" w:rsidP="00C501A9">
      <w:pPr>
        <w:rPr>
          <w:lang w:val="ru-RU"/>
        </w:rPr>
      </w:pPr>
      <w:r w:rsidRPr="00D81064">
        <w:rPr>
          <w:lang w:val="ru-RU"/>
        </w:rPr>
        <w:t>39.6</w:t>
      </w:r>
      <w:r w:rsidRPr="00D81064">
        <w:rPr>
          <w:lang w:val="ru-RU"/>
        </w:rPr>
        <w:tab/>
        <w:t xml:space="preserve">Руководитель HRMD, отвечая на вопросы Советников, сказала, что система ключевых показателей деятельности и показатели, основанные на результатах, будут и далее совершенствоваться. Уже удалось усилить соответствие должностных функций организационным потребностям. Приоритет отдается использованию внутренних кадров, а вакансии по специальным соглашениям об услугах публикуются в соответствии с применимыми нормативными документами. Все сотрудники, нанятые МСЭ в любом качестве, перед приемом на работу проходят проверку. Продолжается реализация процесса обеспечения согласованности с инициативой "ООН-80", а также мер по внесению улучшений и повышению эффективности в соответствии с инициативой. </w:t>
      </w:r>
    </w:p>
    <w:p w14:paraId="16D46EE1" w14:textId="77777777" w:rsidR="00C501A9" w:rsidRPr="00D81064" w:rsidRDefault="00C501A9" w:rsidP="00C501A9">
      <w:pPr>
        <w:keepNext/>
        <w:keepLines/>
        <w:rPr>
          <w:lang w:val="ru-RU"/>
        </w:rPr>
      </w:pPr>
      <w:r w:rsidRPr="00D81064">
        <w:rPr>
          <w:lang w:val="ru-RU"/>
        </w:rPr>
        <w:t>39.7</w:t>
      </w:r>
      <w:r w:rsidRPr="00D81064">
        <w:rPr>
          <w:lang w:val="ru-RU"/>
        </w:rPr>
        <w:tab/>
        <w:t xml:space="preserve">Комитет </w:t>
      </w:r>
      <w:r w:rsidRPr="00D81064">
        <w:rPr>
          <w:b/>
          <w:bCs/>
          <w:lang w:val="ru-RU"/>
        </w:rPr>
        <w:t>принял решение</w:t>
      </w:r>
      <w:r w:rsidRPr="00D81064">
        <w:rPr>
          <w:lang w:val="ru-RU"/>
        </w:rPr>
        <w:t xml:space="preserve"> сделать по данному вопросу следующее заключение:</w:t>
      </w:r>
    </w:p>
    <w:p w14:paraId="6EAE76CA" w14:textId="77777777" w:rsidR="00C501A9" w:rsidRPr="00D81064" w:rsidRDefault="00C501A9" w:rsidP="00C501A9">
      <w:pPr>
        <w:keepNext/>
        <w:keepLines/>
        <w:pBdr>
          <w:top w:val="single" w:sz="4" w:space="1" w:color="auto"/>
          <w:left w:val="single" w:sz="4" w:space="4" w:color="auto"/>
          <w:bottom w:val="single" w:sz="4" w:space="1" w:color="auto"/>
          <w:right w:val="single" w:sz="4" w:space="4" w:color="auto"/>
        </w:pBdr>
        <w:rPr>
          <w:lang w:val="ru-RU"/>
        </w:rPr>
      </w:pPr>
      <w:r w:rsidRPr="00D81064">
        <w:rPr>
          <w:lang w:val="ru-RU"/>
        </w:rPr>
        <w:t>39.8</w:t>
      </w:r>
      <w:r w:rsidRPr="00D81064">
        <w:rPr>
          <w:lang w:val="ru-RU"/>
        </w:rPr>
        <w:tab/>
        <w:t>Комитет рекомендует Совету:</w:t>
      </w:r>
    </w:p>
    <w:p w14:paraId="36102768" w14:textId="64CB17DC" w:rsidR="00C501A9" w:rsidRPr="00D81064" w:rsidRDefault="00C501A9" w:rsidP="00C501A9">
      <w:pPr>
        <w:pStyle w:val="enumlev1"/>
        <w:pBdr>
          <w:top w:val="single" w:sz="4" w:space="1" w:color="auto"/>
          <w:left w:val="single" w:sz="4" w:space="4" w:color="auto"/>
          <w:bottom w:val="single" w:sz="4" w:space="1" w:color="auto"/>
          <w:right w:val="single" w:sz="4" w:space="4" w:color="auto"/>
        </w:pBdr>
        <w:rPr>
          <w:lang w:val="ru-RU"/>
        </w:rPr>
      </w:pPr>
      <w:r w:rsidRPr="00D81064">
        <w:rPr>
          <w:lang w:val="ru-RU"/>
        </w:rPr>
        <w:t>•</w:t>
      </w:r>
      <w:r w:rsidRPr="00D81064">
        <w:rPr>
          <w:lang w:val="ru-RU"/>
        </w:rPr>
        <w:tab/>
        <w:t>утвердить Стратегический план МСЭ в области людских ресурсов на</w:t>
      </w:r>
      <w:r w:rsidR="006C1508" w:rsidRPr="00D81064">
        <w:rPr>
          <w:lang w:val="ru-RU"/>
        </w:rPr>
        <w:t> </w:t>
      </w:r>
      <w:proofErr w:type="gramStart"/>
      <w:r w:rsidRPr="00D81064">
        <w:rPr>
          <w:lang w:val="ru-RU"/>
        </w:rPr>
        <w:t>2026−2027</w:t>
      </w:r>
      <w:proofErr w:type="gramEnd"/>
      <w:r w:rsidRPr="00D81064">
        <w:rPr>
          <w:lang w:val="ru-RU"/>
        </w:rPr>
        <w:t xml:space="preserve"> годы, содержащийся в Документе </w:t>
      </w:r>
      <w:hyperlink r:id="rId239" w:history="1">
        <w:r w:rsidRPr="00D81064">
          <w:rPr>
            <w:rStyle w:val="Hyperlink"/>
            <w:lang w:val="ru-RU"/>
          </w:rPr>
          <w:t>C26/67</w:t>
        </w:r>
      </w:hyperlink>
      <w:r w:rsidRPr="00D81064">
        <w:rPr>
          <w:lang w:val="ru-RU"/>
        </w:rPr>
        <w:t>.</w:t>
      </w:r>
    </w:p>
    <w:p w14:paraId="2948753C" w14:textId="2610E916" w:rsidR="00E669EA" w:rsidRPr="00D81064" w:rsidRDefault="00E669EA" w:rsidP="00E669EA">
      <w:pPr>
        <w:pStyle w:val="Heading1"/>
        <w:rPr>
          <w:lang w:val="ru-RU"/>
        </w:rPr>
      </w:pPr>
      <w:r w:rsidRPr="00D81064">
        <w:rPr>
          <w:bCs/>
          <w:lang w:val="ru-RU"/>
        </w:rPr>
        <w:t>40</w:t>
      </w:r>
      <w:r w:rsidRPr="00D81064">
        <w:rPr>
          <w:lang w:val="ru-RU"/>
        </w:rPr>
        <w:tab/>
        <w:t xml:space="preserve">Укрепление внутренних цифровых основ МСЭ для трансформации – стратегия, архитектура организации, управление ИКТ и операционная модель ИТ (Документ </w:t>
      </w:r>
      <w:hyperlink r:id="rId240" w:history="1">
        <w:r w:rsidRPr="00D81064">
          <w:rPr>
            <w:rStyle w:val="Hyperlink"/>
            <w:bCs/>
            <w:lang w:val="ru-RU"/>
          </w:rPr>
          <w:t>C26/62</w:t>
        </w:r>
      </w:hyperlink>
      <w:r w:rsidRPr="00D81064">
        <w:rPr>
          <w:lang w:val="ru-RU"/>
        </w:rPr>
        <w:t>)</w:t>
      </w:r>
      <w:hyperlink r:id="rId241" w:history="1"/>
    </w:p>
    <w:p w14:paraId="5BC63784" w14:textId="07E6BD15" w:rsidR="00E669EA" w:rsidRPr="00D81064" w:rsidRDefault="00E669EA" w:rsidP="00E669EA">
      <w:pPr>
        <w:rPr>
          <w:lang w:val="ru-RU"/>
        </w:rPr>
      </w:pPr>
      <w:r w:rsidRPr="00D81064">
        <w:rPr>
          <w:lang w:val="ru-RU"/>
        </w:rPr>
        <w:t>40.1</w:t>
      </w:r>
      <w:r w:rsidRPr="00D81064">
        <w:rPr>
          <w:lang w:val="ru-RU"/>
        </w:rPr>
        <w:tab/>
        <w:t xml:space="preserve">Директор по информационным технологиям представила отчет, содержащийся в Документе C26/62, об укреплении внутренних цифровых основ трансформации Союза. В документе описан прогресс, достигнутый в разработке основных структурных элементов, необходимых для превращения Союза в организацию, характеризующуюся более высоким </w:t>
      </w:r>
      <w:r w:rsidRPr="00D81064">
        <w:rPr>
          <w:lang w:val="ru-RU"/>
        </w:rPr>
        <w:lastRenderedPageBreak/>
        <w:t xml:space="preserve">уровнем цифровой устойчивости и защищенности, ориентированной на данные и поддерживающей ИИ. Выступающая представила обзор этих составных элементов − стратегии и стратегического плана цифровой трансформации на период </w:t>
      </w:r>
      <w:proofErr w:type="gramStart"/>
      <w:r w:rsidRPr="00D81064">
        <w:rPr>
          <w:lang w:val="ru-RU"/>
        </w:rPr>
        <w:t>2026−2027</w:t>
      </w:r>
      <w:proofErr w:type="gramEnd"/>
      <w:r w:rsidRPr="00D81064">
        <w:rPr>
          <w:lang w:val="ru-RU"/>
        </w:rPr>
        <w:t xml:space="preserve"> годов, программы по архитектуре организации, системы цифрового управления и переработанной операционной модели Департамента информационных служб (ISD), которые в совокупности образуют полностью интегрированную внутреннюю экосистему цифровой трансформации. Дополнительная информация была представлена в Документе </w:t>
      </w:r>
      <w:hyperlink r:id="rId242" w:history="1">
        <w:r w:rsidR="009B2CEA" w:rsidRPr="00D81064">
          <w:rPr>
            <w:rStyle w:val="Hyperlink"/>
            <w:lang w:val="ru-RU"/>
          </w:rPr>
          <w:t>C26/INF/6</w:t>
        </w:r>
      </w:hyperlink>
      <w:r w:rsidRPr="00D81064">
        <w:rPr>
          <w:lang w:val="ru-RU"/>
        </w:rPr>
        <w:t>.</w:t>
      </w:r>
    </w:p>
    <w:p w14:paraId="5E4CB00C" w14:textId="25597E61" w:rsidR="00E669EA" w:rsidRPr="00D81064" w:rsidRDefault="00E669EA" w:rsidP="00E669EA">
      <w:pPr>
        <w:rPr>
          <w:lang w:val="ru-RU"/>
        </w:rPr>
      </w:pPr>
      <w:r w:rsidRPr="00D81064">
        <w:rPr>
          <w:lang w:val="ru-RU"/>
        </w:rPr>
        <w:t>40.2</w:t>
      </w:r>
      <w:r w:rsidRPr="00D81064">
        <w:rPr>
          <w:lang w:val="ru-RU"/>
        </w:rPr>
        <w:tab/>
        <w:t>Советники высоко оценили прогресс, достигнутый в реализации внутренней дорожной карты цифровой трансформации Союза, и приветствовали комплексный подход, изложенный в документе. Было одобрено внедрение архитектуры организации; в будущих отчетах была бы полезна информация о соответствующих результатах в области управления, анализа и планирования, а также об управлении информационными рисками, кибербезопасности и технологическом устаревании.</w:t>
      </w:r>
      <w:r w:rsidR="000D45EC" w:rsidRPr="00D81064">
        <w:rPr>
          <w:lang w:val="ru-RU"/>
        </w:rPr>
        <w:t xml:space="preserve"> Советники отметили, что внутренняя цифровая стратегия ИС является весьма комплексной и впечатляющей, и обратили внимание, что она потребует соответствующего финансирования, а не только перераспределения сэкономленных средств.</w:t>
      </w:r>
      <w:r w:rsidRPr="00D81064">
        <w:rPr>
          <w:lang w:val="ru-RU"/>
        </w:rPr>
        <w:t xml:space="preserve"> Один из Советников подчеркнул, что инклюзивность и прозрачность управления ИКТ имеют решающее значение; цифровая реформа должна учитывать потребности и реалии всех Государств-Членов и должна обеспечивать ощутимые выгоды для развивающихся стран. Было бы полезно </w:t>
      </w:r>
      <w:r w:rsidR="00A504A0" w:rsidRPr="00D81064">
        <w:rPr>
          <w:lang w:val="ru-RU"/>
        </w:rPr>
        <w:t>получить</w:t>
      </w:r>
      <w:r w:rsidRPr="00D81064">
        <w:rPr>
          <w:lang w:val="ru-RU"/>
        </w:rPr>
        <w:t xml:space="preserve"> информацию о критериях</w:t>
      </w:r>
      <w:r w:rsidR="00A504A0" w:rsidRPr="00D81064">
        <w:rPr>
          <w:lang w:val="ru-RU"/>
        </w:rPr>
        <w:t xml:space="preserve"> в отношении внешних подрядчиков</w:t>
      </w:r>
      <w:r w:rsidRPr="00D81064">
        <w:rPr>
          <w:lang w:val="ru-RU"/>
        </w:rPr>
        <w:t xml:space="preserve">, </w:t>
      </w:r>
      <w:r w:rsidR="00A504A0" w:rsidRPr="00D81064">
        <w:rPr>
          <w:lang w:val="ru-RU"/>
        </w:rPr>
        <w:t>а также получить разъяснение, как именно связаны различные консультационные проекты, в частности с привлечением компании EY и Международного вычислительного центра Организации Объединенных Наций (МВЦ ООН).</w:t>
      </w:r>
    </w:p>
    <w:p w14:paraId="3F0AA82E" w14:textId="3A02A5A4" w:rsidR="00E669EA" w:rsidRPr="00D81064" w:rsidRDefault="00E669EA" w:rsidP="00E669EA">
      <w:pPr>
        <w:rPr>
          <w:lang w:val="ru-RU"/>
        </w:rPr>
      </w:pPr>
      <w:r w:rsidRPr="00D81064">
        <w:rPr>
          <w:lang w:val="ru-RU"/>
        </w:rPr>
        <w:t>40.3</w:t>
      </w:r>
      <w:r w:rsidRPr="00D81064">
        <w:rPr>
          <w:lang w:val="ru-RU"/>
        </w:rPr>
        <w:tab/>
        <w:t>Отвечая на вопросы и замечания,</w:t>
      </w:r>
      <w:r w:rsidR="00A504A0" w:rsidRPr="00D81064">
        <w:rPr>
          <w:lang w:val="ru-RU"/>
        </w:rPr>
        <w:t xml:space="preserve"> касающиеся выделения средств на деятельность, связанную с ИИ,</w:t>
      </w:r>
      <w:r w:rsidRPr="00D81064">
        <w:rPr>
          <w:lang w:val="ru-RU"/>
        </w:rPr>
        <w:t xml:space="preserve"> Директор по информационным технологиям пояснила, что предлагаемое выделение 1 млн. швейцарских франков из активного сальдо бюджета, как указано в Документе C26/42, предназначено для внешних инициатив в области ИИ, тогда как инвестиции во внутренние возможности ИИ будут покрываться за счет капитальных вложений в ИКТ. В настоящее время проводится анализ затрат на инициативы в рамках имеющихся бюджетных ресурсов; выделение сэкономленных средств бюджета поможет ускорить осуществление ряда важнейших инициатив. Для развития ИИ необходимо использовать преимущества в эффективности. Необходимо сократить технический долг; необходимо модернизировать ИКТ и создать потенциал ИИ и данных. В связи с этим решающее значение будут иметь дополнительные инвестиции, принимая во внимание продолжающиеся затраты на модернизацию, совершенствование и техническое обслуживание.</w:t>
      </w:r>
    </w:p>
    <w:p w14:paraId="16E2D52A" w14:textId="77777777" w:rsidR="00E669EA" w:rsidRPr="00D81064" w:rsidRDefault="00E669EA" w:rsidP="00E669EA">
      <w:pPr>
        <w:rPr>
          <w:lang w:val="ru-RU"/>
        </w:rPr>
      </w:pPr>
      <w:r w:rsidRPr="00D81064">
        <w:rPr>
          <w:lang w:val="ru-RU"/>
        </w:rPr>
        <w:t>40.4</w:t>
      </w:r>
      <w:r w:rsidRPr="00D81064">
        <w:rPr>
          <w:lang w:val="ru-RU"/>
        </w:rPr>
        <w:tab/>
        <w:t xml:space="preserve">Цифровая трансформация была структурирована таким образом, чтобы соответствовать различным потокам создания ценности Союза, с акцентом на оказании помощи Государствам-Членам, поддержке Секторов и предоставлении трудовым ресурсам возможности выполнять свои мандаты. Разрабатывается комплексный подход к управлению данными, ИИ и кибербезопасности, имеющий стратегическое отношение к Совету, его рабочим группам и IMAC. </w:t>
      </w:r>
    </w:p>
    <w:p w14:paraId="7B7E3E9A" w14:textId="199A223A" w:rsidR="00A504A0" w:rsidRPr="00D81064" w:rsidRDefault="00E669EA" w:rsidP="00E669EA">
      <w:pPr>
        <w:rPr>
          <w:lang w:val="ru-RU"/>
        </w:rPr>
      </w:pPr>
      <w:r w:rsidRPr="00D81064">
        <w:rPr>
          <w:lang w:val="ru-RU"/>
        </w:rPr>
        <w:t>40.5</w:t>
      </w:r>
      <w:r w:rsidRPr="00D81064">
        <w:rPr>
          <w:lang w:val="ru-RU"/>
        </w:rPr>
        <w:tab/>
        <w:t xml:space="preserve">В соответствии со </w:t>
      </w:r>
      <w:r w:rsidR="00A504A0" w:rsidRPr="00D81064">
        <w:rPr>
          <w:lang w:val="ru-RU"/>
        </w:rPr>
        <w:t xml:space="preserve">стратегическим </w:t>
      </w:r>
      <w:r w:rsidRPr="00D81064">
        <w:rPr>
          <w:lang w:val="ru-RU"/>
        </w:rPr>
        <w:t xml:space="preserve">планом </w:t>
      </w:r>
      <w:r w:rsidR="00A504A0" w:rsidRPr="00D81064">
        <w:rPr>
          <w:lang w:val="ru-RU"/>
        </w:rPr>
        <w:t xml:space="preserve">ISD </w:t>
      </w:r>
      <w:r w:rsidRPr="00D81064">
        <w:rPr>
          <w:lang w:val="ru-RU"/>
        </w:rPr>
        <w:t xml:space="preserve">была создана система </w:t>
      </w:r>
      <w:r w:rsidR="00A504A0" w:rsidRPr="00D81064">
        <w:rPr>
          <w:lang w:val="ru-RU"/>
        </w:rPr>
        <w:t>для отслеживания</w:t>
      </w:r>
      <w:r w:rsidRPr="00D81064">
        <w:rPr>
          <w:lang w:val="ru-RU"/>
        </w:rPr>
        <w:t xml:space="preserve"> показател</w:t>
      </w:r>
      <w:r w:rsidR="00A504A0" w:rsidRPr="00D81064">
        <w:rPr>
          <w:lang w:val="ru-RU"/>
        </w:rPr>
        <w:t>ей</w:t>
      </w:r>
      <w:r w:rsidRPr="00D81064">
        <w:rPr>
          <w:lang w:val="ru-RU"/>
        </w:rPr>
        <w:t xml:space="preserve"> деятельности и</w:t>
      </w:r>
      <w:r w:rsidR="00A504A0" w:rsidRPr="00D81064">
        <w:rPr>
          <w:lang w:val="ru-RU"/>
        </w:rPr>
        <w:t xml:space="preserve"> управления рисками</w:t>
      </w:r>
      <w:r w:rsidRPr="00D81064">
        <w:rPr>
          <w:lang w:val="ru-RU"/>
        </w:rPr>
        <w:t xml:space="preserve">. </w:t>
      </w:r>
      <w:r w:rsidR="00A504A0" w:rsidRPr="00D81064">
        <w:rPr>
          <w:lang w:val="ru-RU"/>
        </w:rPr>
        <w:t>Структура организации в качестве одного из основных принципов обеспечивает четкое представление в масштабах всей организации о ситуации в области ИТ в Союзе и его Секторах, и ее значение признано IMAC.</w:t>
      </w:r>
      <w:r w:rsidR="00823CC7" w:rsidRPr="00D81064">
        <w:rPr>
          <w:lang w:val="ru-RU"/>
        </w:rPr>
        <w:t xml:space="preserve"> </w:t>
      </w:r>
      <w:r w:rsidR="00A504A0" w:rsidRPr="00D81064">
        <w:rPr>
          <w:lang w:val="ru-RU"/>
        </w:rPr>
        <w:t xml:space="preserve">В рамках инициативы структуры организации в тесном сотрудничестве с Секторами была проведена подробная работа по определению текущего базового уровня и выявлению будущих потребностей в потенциале ИКТ. К примеру, взаимодействие с БР помогло определить потребности и дополнительные возможности в таких областях, как кибербезопасность. Эта работа будет формировать внутреннюю дорожную карту цифровой трансформации и содействовать определению приоритетов при принятии финансовых решений. Помимо этого, </w:t>
      </w:r>
      <w:r w:rsidR="00A504A0" w:rsidRPr="00D81064">
        <w:rPr>
          <w:lang w:val="ru-RU"/>
        </w:rPr>
        <w:lastRenderedPageBreak/>
        <w:t>разрабатывается набор из 25 общих для всего МСЭ принципов для руководства процессом управления, укрепления процесса принятия решений и рационализации инвестиций и систем во избежание дублирования.</w:t>
      </w:r>
    </w:p>
    <w:p w14:paraId="1E4E3343" w14:textId="491FC07E" w:rsidR="00E669EA" w:rsidRPr="00D81064" w:rsidRDefault="00E669EA" w:rsidP="00E669EA">
      <w:pPr>
        <w:rPr>
          <w:lang w:val="ru-RU"/>
        </w:rPr>
      </w:pPr>
      <w:r w:rsidRPr="00D81064">
        <w:rPr>
          <w:lang w:val="ru-RU"/>
        </w:rPr>
        <w:t>40.6</w:t>
      </w:r>
      <w:r w:rsidRPr="00D81064">
        <w:rPr>
          <w:lang w:val="ru-RU"/>
        </w:rPr>
        <w:tab/>
        <w:t xml:space="preserve">Что касается связей между компанией EY и МВЦ ООН, в 2023 году EY провела общую стратегическую оценку. За прошедший период многое изменилось, и необходима более современная оценка. </w:t>
      </w:r>
      <w:r w:rsidR="00A504A0" w:rsidRPr="00D81064">
        <w:rPr>
          <w:lang w:val="ru-RU"/>
        </w:rPr>
        <w:t xml:space="preserve">МВЦ ООН оказал помощь во внедрении и начале работы программы "Структура организации". </w:t>
      </w:r>
      <w:r w:rsidRPr="00D81064">
        <w:rPr>
          <w:lang w:val="ru-RU"/>
        </w:rPr>
        <w:t xml:space="preserve">Что касается Комитета высокого уровня по вопросам управления (КВУУ), МСЭ участвовал в работе нескольких групп и возглавлял инициативы КВУУ в рамках "ООН-80", в том числе инициативы по </w:t>
      </w:r>
      <w:r w:rsidR="001F051B" w:rsidRPr="00D81064">
        <w:rPr>
          <w:lang w:val="ru-RU"/>
        </w:rPr>
        <w:t>использованию ИИ в письменном переводе и цифровых конференционных услугах</w:t>
      </w:r>
      <w:r w:rsidRPr="00D81064">
        <w:rPr>
          <w:lang w:val="ru-RU"/>
        </w:rPr>
        <w:t>.</w:t>
      </w:r>
      <w:r w:rsidR="001F051B" w:rsidRPr="00D81064">
        <w:rPr>
          <w:lang w:val="ru-RU"/>
        </w:rPr>
        <w:t xml:space="preserve"> Эта стратегия была полностью согласована с РГ15 "ООН-80". Уделение особого внимания надежной цифровой основе, общим платформам, облачным технологиям, кибербезопасности и структуре организации напрямую способствовало достижению цели снижения уровня фрагментации и использования общих технологий в рамках системы Организации Объединенных Наций.</w:t>
      </w:r>
    </w:p>
    <w:p w14:paraId="39115BE5" w14:textId="77777777" w:rsidR="00E669EA" w:rsidRPr="00D81064" w:rsidRDefault="00E669EA" w:rsidP="00E669EA">
      <w:pPr>
        <w:keepNext/>
        <w:keepLines/>
        <w:rPr>
          <w:lang w:val="ru-RU"/>
        </w:rPr>
      </w:pPr>
      <w:r w:rsidRPr="00D81064">
        <w:rPr>
          <w:lang w:val="ru-RU"/>
        </w:rPr>
        <w:t>40.7</w:t>
      </w:r>
      <w:r w:rsidRPr="00D81064">
        <w:rPr>
          <w:lang w:val="ru-RU"/>
        </w:rPr>
        <w:tab/>
        <w:t xml:space="preserve">Комитет </w:t>
      </w:r>
      <w:r w:rsidRPr="00D81064">
        <w:rPr>
          <w:b/>
          <w:bCs/>
          <w:lang w:val="ru-RU"/>
        </w:rPr>
        <w:t>принял решение</w:t>
      </w:r>
      <w:r w:rsidRPr="00D81064">
        <w:rPr>
          <w:lang w:val="ru-RU"/>
        </w:rPr>
        <w:t xml:space="preserve"> сделать по данному вопросу следующее заключение:</w:t>
      </w:r>
    </w:p>
    <w:p w14:paraId="69FF2FC3" w14:textId="77777777" w:rsidR="00E669EA" w:rsidRPr="00D81064" w:rsidRDefault="00E669EA" w:rsidP="00E669EA">
      <w:pPr>
        <w:keepNext/>
        <w:keepLines/>
        <w:pBdr>
          <w:top w:val="single" w:sz="4" w:space="1" w:color="auto"/>
          <w:left w:val="single" w:sz="4" w:space="4" w:color="auto"/>
          <w:bottom w:val="single" w:sz="4" w:space="1" w:color="auto"/>
          <w:right w:val="single" w:sz="4" w:space="4" w:color="auto"/>
        </w:pBdr>
        <w:rPr>
          <w:lang w:val="ru-RU"/>
        </w:rPr>
      </w:pPr>
      <w:r w:rsidRPr="00D81064">
        <w:rPr>
          <w:lang w:val="ru-RU"/>
        </w:rPr>
        <w:t>40.8</w:t>
      </w:r>
      <w:r w:rsidRPr="00D81064">
        <w:rPr>
          <w:lang w:val="ru-RU"/>
        </w:rPr>
        <w:tab/>
        <w:t>Комитет рекомендует Совету:</w:t>
      </w:r>
    </w:p>
    <w:p w14:paraId="7DD8484B" w14:textId="59E2FCA0" w:rsidR="00E669EA" w:rsidRPr="00D81064" w:rsidRDefault="00E669EA" w:rsidP="00E669EA">
      <w:pPr>
        <w:pStyle w:val="enumlev1"/>
        <w:pBdr>
          <w:top w:val="single" w:sz="4" w:space="1" w:color="auto"/>
          <w:left w:val="single" w:sz="4" w:space="4" w:color="auto"/>
          <w:bottom w:val="single" w:sz="4" w:space="1" w:color="auto"/>
          <w:right w:val="single" w:sz="4" w:space="4" w:color="auto"/>
        </w:pBdr>
        <w:rPr>
          <w:lang w:val="ru-RU"/>
        </w:rPr>
      </w:pPr>
      <w:r w:rsidRPr="00D81064">
        <w:rPr>
          <w:lang w:val="ru-RU"/>
        </w:rPr>
        <w:t>•</w:t>
      </w:r>
      <w:r w:rsidRPr="00D81064">
        <w:rPr>
          <w:lang w:val="ru-RU"/>
        </w:rPr>
        <w:tab/>
        <w:t>принять к сведению информацию о ходе работы, приведенную в Документе </w:t>
      </w:r>
      <w:hyperlink r:id="rId243" w:history="1">
        <w:r w:rsidRPr="00D81064">
          <w:rPr>
            <w:rStyle w:val="Hyperlink"/>
            <w:lang w:val="ru-RU"/>
          </w:rPr>
          <w:t>C26/62</w:t>
        </w:r>
      </w:hyperlink>
      <w:r w:rsidRPr="00D81064">
        <w:rPr>
          <w:lang w:val="ru-RU"/>
        </w:rPr>
        <w:t xml:space="preserve">; </w:t>
      </w:r>
      <w:hyperlink r:id="rId244" w:history="1"/>
    </w:p>
    <w:p w14:paraId="6D5A5A22" w14:textId="087DD5E4" w:rsidR="00E669EA" w:rsidRPr="00D81064" w:rsidRDefault="00E669EA" w:rsidP="00E669EA">
      <w:pPr>
        <w:pStyle w:val="enumlev1"/>
        <w:pBdr>
          <w:top w:val="single" w:sz="4" w:space="1" w:color="auto"/>
          <w:left w:val="single" w:sz="4" w:space="4" w:color="auto"/>
          <w:bottom w:val="single" w:sz="4" w:space="1" w:color="auto"/>
          <w:right w:val="single" w:sz="4" w:space="4" w:color="auto"/>
        </w:pBdr>
        <w:rPr>
          <w:lang w:val="ru-RU"/>
        </w:rPr>
      </w:pPr>
      <w:r w:rsidRPr="00D81064">
        <w:rPr>
          <w:lang w:val="ru-RU"/>
        </w:rPr>
        <w:t>•</w:t>
      </w:r>
      <w:r w:rsidRPr="00D81064">
        <w:rPr>
          <w:lang w:val="ru-RU"/>
        </w:rPr>
        <w:tab/>
        <w:t>в случае необходимости предоставить Секретариату любые руководящие указания</w:t>
      </w:r>
      <w:r w:rsidR="003D32A1" w:rsidRPr="00D81064">
        <w:rPr>
          <w:lang w:val="ru-RU"/>
        </w:rPr>
        <w:t>;</w:t>
      </w:r>
    </w:p>
    <w:p w14:paraId="69D03FA6" w14:textId="1DA9300E" w:rsidR="003D32A1" w:rsidRPr="00D81064" w:rsidRDefault="003D32A1" w:rsidP="00E669EA">
      <w:pPr>
        <w:pStyle w:val="enumlev1"/>
        <w:pBdr>
          <w:top w:val="single" w:sz="4" w:space="1" w:color="auto"/>
          <w:left w:val="single" w:sz="4" w:space="4" w:color="auto"/>
          <w:bottom w:val="single" w:sz="4" w:space="1" w:color="auto"/>
          <w:right w:val="single" w:sz="4" w:space="4" w:color="auto"/>
        </w:pBdr>
        <w:rPr>
          <w:lang w:val="ru-RU"/>
        </w:rPr>
      </w:pPr>
      <w:r w:rsidRPr="00D81064">
        <w:rPr>
          <w:lang w:val="ru-RU"/>
        </w:rPr>
        <w:t>•</w:t>
      </w:r>
      <w:r w:rsidRPr="00D81064">
        <w:rPr>
          <w:lang w:val="ru-RU"/>
        </w:rPr>
        <w:tab/>
        <w:t xml:space="preserve">предложить </w:t>
      </w:r>
      <w:r w:rsidR="00B31145" w:rsidRPr="00D81064">
        <w:rPr>
          <w:lang w:val="ru-RU"/>
        </w:rPr>
        <w:t xml:space="preserve">Секретариату </w:t>
      </w:r>
      <w:r w:rsidRPr="00D81064">
        <w:rPr>
          <w:lang w:val="ru-RU"/>
        </w:rPr>
        <w:t>представить свой проект стратегии цифровой трансформации на рассмотрение РГС-ФЛР;</w:t>
      </w:r>
    </w:p>
    <w:p w14:paraId="6773CAD3" w14:textId="073E1A18" w:rsidR="003D32A1" w:rsidRPr="00D81064" w:rsidRDefault="003D32A1" w:rsidP="00E669EA">
      <w:pPr>
        <w:pStyle w:val="enumlev1"/>
        <w:pBdr>
          <w:top w:val="single" w:sz="4" w:space="1" w:color="auto"/>
          <w:left w:val="single" w:sz="4" w:space="4" w:color="auto"/>
          <w:bottom w:val="single" w:sz="4" w:space="1" w:color="auto"/>
          <w:right w:val="single" w:sz="4" w:space="4" w:color="auto"/>
        </w:pBdr>
        <w:rPr>
          <w:lang w:val="ru-RU"/>
        </w:rPr>
      </w:pPr>
      <w:r w:rsidRPr="00D81064">
        <w:rPr>
          <w:lang w:val="ru-RU"/>
        </w:rPr>
        <w:t>•</w:t>
      </w:r>
      <w:r w:rsidRPr="00D81064">
        <w:rPr>
          <w:lang w:val="ru-RU"/>
        </w:rPr>
        <w:tab/>
        <w:t>регулярно представлять РГС-ФЛР отчеты о деятельности, связанной с ИТ и цифровой трансформацией.</w:t>
      </w:r>
    </w:p>
    <w:p w14:paraId="360435AF" w14:textId="63D21336" w:rsidR="00EA67A5" w:rsidRPr="00D81064" w:rsidRDefault="00EA67A5" w:rsidP="00EA67A5">
      <w:pPr>
        <w:pStyle w:val="Heading1"/>
        <w:rPr>
          <w:lang w:val="ru-RU"/>
        </w:rPr>
      </w:pPr>
      <w:r w:rsidRPr="00D81064">
        <w:rPr>
          <w:bCs/>
          <w:lang w:val="ru-RU"/>
        </w:rPr>
        <w:t>41</w:t>
      </w:r>
      <w:r w:rsidRPr="00D81064">
        <w:rPr>
          <w:lang w:val="ru-RU"/>
        </w:rPr>
        <w:tab/>
      </w:r>
      <w:r w:rsidRPr="00D81064">
        <w:rPr>
          <w:bCs/>
          <w:lang w:val="ru-RU"/>
        </w:rPr>
        <w:t xml:space="preserve">Укрепление </w:t>
      </w:r>
      <w:proofErr w:type="spellStart"/>
      <w:r w:rsidRPr="00D81064">
        <w:rPr>
          <w:bCs/>
          <w:lang w:val="ru-RU"/>
        </w:rPr>
        <w:t>межсекторальной</w:t>
      </w:r>
      <w:proofErr w:type="spellEnd"/>
      <w:r w:rsidRPr="00D81064">
        <w:rPr>
          <w:bCs/>
          <w:lang w:val="ru-RU"/>
        </w:rPr>
        <w:t xml:space="preserve"> координации в рамках МСЭ (Документ</w:t>
      </w:r>
      <w:r w:rsidRPr="00D81064">
        <w:rPr>
          <w:lang w:val="ru-RU"/>
        </w:rPr>
        <w:t> </w:t>
      </w:r>
      <w:hyperlink r:id="rId245" w:history="1">
        <w:r w:rsidRPr="00D81064">
          <w:rPr>
            <w:rStyle w:val="Hyperlink"/>
            <w:bCs/>
            <w:lang w:val="ru-RU"/>
          </w:rPr>
          <w:t>C26/27</w:t>
        </w:r>
      </w:hyperlink>
      <w:r w:rsidRPr="00D81064">
        <w:rPr>
          <w:lang w:val="ru-RU"/>
        </w:rPr>
        <w:t>)</w:t>
      </w:r>
      <w:hyperlink r:id="rId246" w:history="1"/>
    </w:p>
    <w:p w14:paraId="5A8C54B6" w14:textId="7D5B98A1" w:rsidR="00EA67A5" w:rsidRPr="00D81064" w:rsidRDefault="00D81064" w:rsidP="00D81064">
      <w:pPr>
        <w:pStyle w:val="Headingb"/>
        <w:ind w:left="794" w:hanging="794"/>
        <w:rPr>
          <w:sz w:val="26"/>
          <w:szCs w:val="26"/>
          <w:lang w:val="ru-RU"/>
        </w:rPr>
      </w:pPr>
      <w:r w:rsidRPr="00D81064">
        <w:rPr>
          <w:sz w:val="26"/>
          <w:szCs w:val="26"/>
          <w:lang w:val="ru-RU"/>
        </w:rPr>
        <w:tab/>
      </w:r>
      <w:r w:rsidR="00EA67A5" w:rsidRPr="00D81064">
        <w:rPr>
          <w:sz w:val="26"/>
          <w:szCs w:val="26"/>
          <w:lang w:val="ru-RU"/>
        </w:rPr>
        <w:t>Предложение по пересмотру Резолюции 191 (</w:t>
      </w:r>
      <w:proofErr w:type="spellStart"/>
      <w:r w:rsidR="00EA67A5" w:rsidRPr="00D81064">
        <w:rPr>
          <w:sz w:val="26"/>
          <w:szCs w:val="26"/>
          <w:lang w:val="ru-RU"/>
        </w:rPr>
        <w:t>Пересм</w:t>
      </w:r>
      <w:proofErr w:type="spellEnd"/>
      <w:r w:rsidR="00EA67A5" w:rsidRPr="00D81064">
        <w:rPr>
          <w:sz w:val="26"/>
          <w:szCs w:val="26"/>
          <w:lang w:val="ru-RU"/>
        </w:rPr>
        <w:t xml:space="preserve">. Бухарест, 2022 г.) Полномочной конференции </w:t>
      </w:r>
      <w:r w:rsidR="00EA67A5" w:rsidRPr="00D81064">
        <w:rPr>
          <w:b w:val="0"/>
          <w:bCs/>
          <w:sz w:val="26"/>
          <w:szCs w:val="26"/>
          <w:lang w:val="ru-RU"/>
        </w:rPr>
        <w:t>"</w:t>
      </w:r>
      <w:r w:rsidR="00EA67A5" w:rsidRPr="00D81064">
        <w:rPr>
          <w:sz w:val="26"/>
          <w:szCs w:val="26"/>
          <w:lang w:val="ru-RU"/>
        </w:rPr>
        <w:t>Стратегия координации усилий трех Секторов Союза</w:t>
      </w:r>
      <w:r w:rsidR="00EA67A5" w:rsidRPr="00D81064">
        <w:rPr>
          <w:b w:val="0"/>
          <w:bCs/>
          <w:sz w:val="26"/>
          <w:szCs w:val="26"/>
          <w:lang w:val="ru-RU"/>
        </w:rPr>
        <w:t>"</w:t>
      </w:r>
      <w:r w:rsidR="00EA67A5" w:rsidRPr="00D81064">
        <w:rPr>
          <w:sz w:val="26"/>
          <w:szCs w:val="26"/>
          <w:lang w:val="ru-RU"/>
        </w:rPr>
        <w:t xml:space="preserve"> (Документ </w:t>
      </w:r>
      <w:hyperlink r:id="rId247" w:history="1">
        <w:r w:rsidR="00EA67A5" w:rsidRPr="00D81064">
          <w:rPr>
            <w:rStyle w:val="Hyperlink"/>
            <w:sz w:val="26"/>
            <w:szCs w:val="26"/>
            <w:lang w:val="ru-RU"/>
          </w:rPr>
          <w:t>C26/89</w:t>
        </w:r>
      </w:hyperlink>
      <w:r w:rsidR="00EA67A5" w:rsidRPr="00D81064">
        <w:rPr>
          <w:sz w:val="26"/>
          <w:szCs w:val="26"/>
          <w:lang w:val="ru-RU"/>
        </w:rPr>
        <w:t>)</w:t>
      </w:r>
      <w:hyperlink r:id="rId248" w:history="1"/>
    </w:p>
    <w:p w14:paraId="549AB7A9" w14:textId="3DFB4416" w:rsidR="00EA67A5" w:rsidRPr="00D81064" w:rsidRDefault="00D81064" w:rsidP="00D81064">
      <w:pPr>
        <w:pStyle w:val="Headingb"/>
        <w:ind w:left="794" w:hanging="794"/>
        <w:rPr>
          <w:sz w:val="26"/>
          <w:szCs w:val="26"/>
          <w:lang w:val="ru-RU"/>
        </w:rPr>
      </w:pPr>
      <w:r w:rsidRPr="00D81064">
        <w:rPr>
          <w:sz w:val="26"/>
          <w:szCs w:val="26"/>
          <w:lang w:val="ru-RU"/>
        </w:rPr>
        <w:tab/>
      </w:r>
      <w:r w:rsidR="00EA67A5" w:rsidRPr="00D81064">
        <w:rPr>
          <w:sz w:val="26"/>
          <w:szCs w:val="26"/>
          <w:lang w:val="ru-RU"/>
        </w:rPr>
        <w:t>Предложение</w:t>
      </w:r>
      <w:r w:rsidR="00EA67A5" w:rsidRPr="00D81064">
        <w:rPr>
          <w:bCs/>
          <w:sz w:val="26"/>
          <w:szCs w:val="26"/>
          <w:lang w:val="ru-RU"/>
        </w:rPr>
        <w:t xml:space="preserve"> по пересмотру Резолюции 58 (</w:t>
      </w:r>
      <w:proofErr w:type="spellStart"/>
      <w:r w:rsidR="00EA67A5" w:rsidRPr="00D81064">
        <w:rPr>
          <w:bCs/>
          <w:sz w:val="26"/>
          <w:szCs w:val="26"/>
          <w:lang w:val="ru-RU"/>
        </w:rPr>
        <w:t>Пересм</w:t>
      </w:r>
      <w:proofErr w:type="spellEnd"/>
      <w:r w:rsidR="00EA67A5" w:rsidRPr="00D81064">
        <w:rPr>
          <w:bCs/>
          <w:sz w:val="26"/>
          <w:szCs w:val="26"/>
          <w:lang w:val="ru-RU"/>
        </w:rPr>
        <w:t xml:space="preserve">. Пусан, 2014 г.) Полномочной конференции (Документ </w:t>
      </w:r>
      <w:hyperlink r:id="rId249" w:history="1">
        <w:r w:rsidR="00EA67A5" w:rsidRPr="00D81064">
          <w:rPr>
            <w:rStyle w:val="Hyperlink"/>
            <w:sz w:val="26"/>
            <w:szCs w:val="26"/>
            <w:lang w:val="ru-RU"/>
          </w:rPr>
          <w:t>C26/88</w:t>
        </w:r>
      </w:hyperlink>
      <w:r w:rsidR="00EA67A5" w:rsidRPr="00D81064">
        <w:rPr>
          <w:bCs/>
          <w:sz w:val="26"/>
          <w:szCs w:val="26"/>
          <w:lang w:val="ru-RU"/>
        </w:rPr>
        <w:t>)</w:t>
      </w:r>
      <w:hyperlink r:id="rId250" w:history="1"/>
    </w:p>
    <w:p w14:paraId="4E84BDAA" w14:textId="0220D14E" w:rsidR="00EA67A5" w:rsidRPr="00D81064" w:rsidRDefault="00EA67A5" w:rsidP="00EA67A5">
      <w:pPr>
        <w:rPr>
          <w:lang w:val="ru-RU"/>
        </w:rPr>
      </w:pPr>
      <w:r w:rsidRPr="00D81064">
        <w:rPr>
          <w:lang w:val="ru-RU"/>
        </w:rPr>
        <w:t>41.1</w:t>
      </w:r>
      <w:r w:rsidRPr="00D81064">
        <w:rPr>
          <w:lang w:val="ru-RU"/>
        </w:rPr>
        <w:tab/>
        <w:t xml:space="preserve">Представитель Генерального секретариата представил отчет, содержащийся в Документе C26/27, об укреплении </w:t>
      </w:r>
      <w:proofErr w:type="spellStart"/>
      <w:r w:rsidRPr="00D81064">
        <w:rPr>
          <w:lang w:val="ru-RU"/>
        </w:rPr>
        <w:t>межсекторальной</w:t>
      </w:r>
      <w:proofErr w:type="spellEnd"/>
      <w:r w:rsidRPr="00D81064">
        <w:rPr>
          <w:lang w:val="ru-RU"/>
        </w:rPr>
        <w:t xml:space="preserve"> координации в рамках МСЭ. В отчете рассматривается ход выполнения Резолюции 191 (</w:t>
      </w:r>
      <w:proofErr w:type="spellStart"/>
      <w:r w:rsidRPr="00D81064">
        <w:rPr>
          <w:lang w:val="ru-RU"/>
        </w:rPr>
        <w:t>Пересм</w:t>
      </w:r>
      <w:proofErr w:type="spellEnd"/>
      <w:r w:rsidRPr="00D81064">
        <w:rPr>
          <w:lang w:val="ru-RU"/>
        </w:rPr>
        <w:t xml:space="preserve">. Бухарест, 2022 г.) Полномочной конференции, касающейся стратегии координации усилий трех Секторов Союза и Генерального секретариата. В нем описывается административная работа, проделанная </w:t>
      </w:r>
      <w:r w:rsidR="00D913B1" w:rsidRPr="00D81064">
        <w:rPr>
          <w:lang w:val="ru-RU"/>
        </w:rPr>
        <w:t>Секретариатом</w:t>
      </w:r>
      <w:r w:rsidRPr="00D81064">
        <w:rPr>
          <w:lang w:val="ru-RU"/>
        </w:rPr>
        <w:t xml:space="preserve">; приводится обновленный перечень тем, требующих </w:t>
      </w:r>
      <w:proofErr w:type="spellStart"/>
      <w:r w:rsidRPr="00D81064">
        <w:rPr>
          <w:lang w:val="ru-RU"/>
        </w:rPr>
        <w:t>межсекторальной</w:t>
      </w:r>
      <w:proofErr w:type="spellEnd"/>
      <w:r w:rsidRPr="00D81064">
        <w:rPr>
          <w:lang w:val="ru-RU"/>
        </w:rPr>
        <w:t xml:space="preserve"> координации, и соответствующее сопоставление резолюций; а также содержится краткий обзор работы </w:t>
      </w:r>
      <w:proofErr w:type="spellStart"/>
      <w:r w:rsidRPr="00D81064">
        <w:rPr>
          <w:lang w:val="ru-RU"/>
        </w:rPr>
        <w:t>Межсекторальной</w:t>
      </w:r>
      <w:proofErr w:type="spellEnd"/>
      <w:r w:rsidRPr="00D81064">
        <w:rPr>
          <w:lang w:val="ru-RU"/>
        </w:rPr>
        <w:t xml:space="preserve"> координационной группы (МСКГ) по вопросам, представляющим взаимный интерес.</w:t>
      </w:r>
    </w:p>
    <w:p w14:paraId="556CF27B" w14:textId="1E350640" w:rsidR="00EA67A5" w:rsidRPr="00D81064" w:rsidRDefault="00EA67A5" w:rsidP="00EA67A5">
      <w:pPr>
        <w:rPr>
          <w:lang w:val="ru-RU"/>
        </w:rPr>
      </w:pPr>
      <w:r w:rsidRPr="00D81064">
        <w:rPr>
          <w:lang w:val="ru-RU"/>
        </w:rPr>
        <w:t>41.2</w:t>
      </w:r>
      <w:r w:rsidRPr="00D81064">
        <w:rPr>
          <w:lang w:val="ru-RU"/>
        </w:rPr>
        <w:tab/>
        <w:t xml:space="preserve">Председатель МСКГ представил обзор работы Группы, содержащийся в Документе C26/27. Он пояснил, что МСКГ является механизмом, основанным на вкладах, который работает при активном участии консультативных групп Секторов и играет ключевую роль в укреплении координации между членами МСЭ. Деятельность Группы сосредоточена на тематических областях, которые недавно были расширены за счет включения вопросов взаимодействия с представителями отрасли. МСКГ учредила Группу Докладчика по </w:t>
      </w:r>
      <w:r w:rsidRPr="00D81064">
        <w:rPr>
          <w:lang w:val="ru-RU"/>
        </w:rPr>
        <w:lastRenderedPageBreak/>
        <w:t>упорядочению Резолюций и добавила в качестве новой темы вопрос повышения эффективности, что должно содействовать обмену примерами передового опыта между тремя Секторами. Была проведена работа по сопоставлению задач с целью улучшения согласованности деятельности в рамках Союза; в настоящее время результаты этой работы находятся на рассмотрении. Было рекомендовано принимать активное участие в работе МСКГ и вносить свой вклад в ее деятельность. Председатель далее проинформировал Комитет о том, что МСКГ намерена в будущем представлять Совету отдельный отчет в целях повышения наглядности и результативности своей деятельности.</w:t>
      </w:r>
    </w:p>
    <w:p w14:paraId="4F9F3CB6" w14:textId="6B000BD7" w:rsidR="00EA67A5" w:rsidRPr="00D81064" w:rsidRDefault="00EA67A5" w:rsidP="00EA67A5">
      <w:pPr>
        <w:rPr>
          <w:lang w:val="ru-RU"/>
        </w:rPr>
      </w:pPr>
      <w:r w:rsidRPr="00D81064">
        <w:rPr>
          <w:lang w:val="ru-RU"/>
        </w:rPr>
        <w:t>41.3</w:t>
      </w:r>
      <w:r w:rsidRPr="00D81064">
        <w:rPr>
          <w:lang w:val="ru-RU"/>
        </w:rPr>
        <w:tab/>
        <w:t>При поддержке двух Советников наблюдатель от Российской Федерации представил два вклада группы стран, содержащиеся в Документах C26/89 и C26/88, каждый от имени трех стран. Во вкладах предлагалось внести поправки в Резолюции 191 (</w:t>
      </w:r>
      <w:proofErr w:type="spellStart"/>
      <w:r w:rsidRPr="00D81064">
        <w:rPr>
          <w:lang w:val="ru-RU"/>
        </w:rPr>
        <w:t>Пересм</w:t>
      </w:r>
      <w:proofErr w:type="spellEnd"/>
      <w:r w:rsidRPr="00D81064">
        <w:rPr>
          <w:lang w:val="ru-RU"/>
        </w:rPr>
        <w:t>. Бухарест, 2022 г.) и 58 (</w:t>
      </w:r>
      <w:proofErr w:type="spellStart"/>
      <w:r w:rsidRPr="00D81064">
        <w:rPr>
          <w:lang w:val="ru-RU"/>
        </w:rPr>
        <w:t>Пересм</w:t>
      </w:r>
      <w:proofErr w:type="spellEnd"/>
      <w:r w:rsidRPr="00D81064">
        <w:rPr>
          <w:lang w:val="ru-RU"/>
        </w:rPr>
        <w:t>. Пусан, 2014 г.), соответственно. Было отмечено, что предлагаемые изменения были подготовлены с учетом замечаний, высказанных в ходе консультаций в рабочих группах Совета, а также результатов сравнительного анализа положений этих Резолюций и соответствующих Резолюций Секторов в целях повышения уровня согласованности и сокращения дублирования. В случае принятия предлагаемых изменений на ПК-26 вопрос пересмотра или аннулирования соответствующих резолюций Секторов будет рассмотрен на АР-27, ВАСЭ-28 и ВКРЭ-29 после представления соответствующих предложений Государствами-Членами и Членами Секторов.</w:t>
      </w:r>
    </w:p>
    <w:p w14:paraId="2AE8FEC4" w14:textId="1CF3C11F" w:rsidR="00EA67A5" w:rsidRPr="00D81064" w:rsidRDefault="00EA67A5" w:rsidP="00EA67A5">
      <w:pPr>
        <w:rPr>
          <w:lang w:val="ru-RU"/>
        </w:rPr>
      </w:pPr>
      <w:r w:rsidRPr="00D81064">
        <w:rPr>
          <w:lang w:val="ru-RU"/>
        </w:rPr>
        <w:t>41.4</w:t>
      </w:r>
      <w:r w:rsidRPr="00D81064">
        <w:rPr>
          <w:lang w:val="ru-RU"/>
        </w:rPr>
        <w:tab/>
        <w:t>Советники положительно оценили отчет и обновленную информацию, представленную Председателем МСКГ, и дали высокую оценку масштабной работе, проделанной для выполнения Резолюции 191 (</w:t>
      </w:r>
      <w:proofErr w:type="spellStart"/>
      <w:r w:rsidRPr="00D81064">
        <w:rPr>
          <w:lang w:val="ru-RU"/>
        </w:rPr>
        <w:t>Пересм</w:t>
      </w:r>
      <w:proofErr w:type="spellEnd"/>
      <w:r w:rsidRPr="00D81064">
        <w:rPr>
          <w:lang w:val="ru-RU"/>
        </w:rPr>
        <w:t xml:space="preserve">. Бухарест, 2022 г.). Было подчеркнуто, что </w:t>
      </w:r>
      <w:proofErr w:type="spellStart"/>
      <w:r w:rsidRPr="00D81064">
        <w:rPr>
          <w:lang w:val="ru-RU"/>
        </w:rPr>
        <w:t>межсекторальная</w:t>
      </w:r>
      <w:proofErr w:type="spellEnd"/>
      <w:r w:rsidRPr="00D81064">
        <w:rPr>
          <w:lang w:val="ru-RU"/>
        </w:rPr>
        <w:t xml:space="preserve"> координация должна быть непрерывным процессом, охватывающим весь Генеральный секретариат и все Бюро, с тем чтобы обеспечивать согласованность, сокращать дублирование, повышать эффективность и результативность деятельности. Несколько Советников призвали представлять Совету отчеты о повышении эффективности, достигнутой благодаря </w:t>
      </w:r>
      <w:proofErr w:type="spellStart"/>
      <w:r w:rsidRPr="00D81064">
        <w:rPr>
          <w:lang w:val="ru-RU"/>
        </w:rPr>
        <w:t>межсекторальной</w:t>
      </w:r>
      <w:proofErr w:type="spellEnd"/>
      <w:r w:rsidRPr="00D81064">
        <w:rPr>
          <w:lang w:val="ru-RU"/>
        </w:rPr>
        <w:t xml:space="preserve"> координации. Была также подчеркнута важность содействия применению согласованного подхода на основе принципа "единого МСЭ" к вопросам, представляющим взаимный интерес, которые выходят за рамки мандатов отдельных Секторов. Советники подчеркнули, что несмотря на то, что для недопущения дублирования и максимального увеличения синергии необходимо обеспечить четкое распределение функций и обязанностей, нужно также сохранить конкретные мандаты каждого Сектора. Сопоставление резолюций было признано чрезвычайно полезным, принимая во внимание растущее число резолюций, ежегодно принимаемых на конференциях и ассамблеях МСЭ. Один из Советников поинтересовался, почему в отчете перечислены только три области, требующие координации. Роль МСКГ следует усилить.</w:t>
      </w:r>
    </w:p>
    <w:p w14:paraId="47826737" w14:textId="1C928BD3" w:rsidR="00EA67A5" w:rsidRPr="00D81064" w:rsidRDefault="00EA67A5" w:rsidP="00EA67A5">
      <w:pPr>
        <w:rPr>
          <w:lang w:val="ru-RU"/>
        </w:rPr>
      </w:pPr>
      <w:r w:rsidRPr="00D81064">
        <w:rPr>
          <w:lang w:val="ru-RU"/>
        </w:rPr>
        <w:t>41.5</w:t>
      </w:r>
      <w:r w:rsidRPr="00D81064">
        <w:rPr>
          <w:lang w:val="ru-RU"/>
        </w:rPr>
        <w:tab/>
        <w:t xml:space="preserve">Советники выразили поддержку двум вкладам группы стран и признали важность согласования резолюций Полномочной конференции, а также конференций и ассамблей Секторов. Были положительно оценены усилия по пересмотру этих двух Резолюций в преддверии ПК-26 в рамках более широких мер по упорядочению и обеспечению </w:t>
      </w:r>
      <w:proofErr w:type="spellStart"/>
      <w:r w:rsidRPr="00D81064">
        <w:rPr>
          <w:lang w:val="ru-RU"/>
        </w:rPr>
        <w:t>межсекторальной</w:t>
      </w:r>
      <w:proofErr w:type="spellEnd"/>
      <w:r w:rsidRPr="00D81064">
        <w:rPr>
          <w:lang w:val="ru-RU"/>
        </w:rPr>
        <w:t xml:space="preserve"> координации. Несколько делегаций напомнили о том, что необходимость упорядочения резолюций уже обсуждалась на Совете-25 и в рабочих группах Совета. Было также отмечено, что предлагаемые изменения могут укрепить координацию как внутри МСЭ, так и между МСЭ и региональными организациями электросвязи, и поэтому заслуживают тщательного рассмотрения.</w:t>
      </w:r>
    </w:p>
    <w:p w14:paraId="70BE83CA" w14:textId="67C801DB" w:rsidR="00EA67A5" w:rsidRPr="00D81064" w:rsidRDefault="00EA67A5" w:rsidP="00EA67A5">
      <w:pPr>
        <w:rPr>
          <w:lang w:val="ru-RU"/>
        </w:rPr>
      </w:pPr>
      <w:r w:rsidRPr="00D81064">
        <w:rPr>
          <w:lang w:val="ru-RU"/>
        </w:rPr>
        <w:t>41.6</w:t>
      </w:r>
      <w:r w:rsidRPr="00D81064">
        <w:rPr>
          <w:lang w:val="ru-RU"/>
        </w:rPr>
        <w:tab/>
        <w:t xml:space="preserve">Представитель Генерального секретариата подтвердил приверженность </w:t>
      </w:r>
      <w:r w:rsidR="00D913B1" w:rsidRPr="00D81064">
        <w:rPr>
          <w:lang w:val="ru-RU"/>
        </w:rPr>
        <w:t xml:space="preserve">Секретариата </w:t>
      </w:r>
      <w:r w:rsidRPr="00D81064">
        <w:rPr>
          <w:lang w:val="ru-RU"/>
        </w:rPr>
        <w:t xml:space="preserve">дальнейшему укреплению </w:t>
      </w:r>
      <w:proofErr w:type="spellStart"/>
      <w:r w:rsidRPr="00D81064">
        <w:rPr>
          <w:lang w:val="ru-RU"/>
        </w:rPr>
        <w:t>межсекторальной</w:t>
      </w:r>
      <w:proofErr w:type="spellEnd"/>
      <w:r w:rsidRPr="00D81064">
        <w:rPr>
          <w:lang w:val="ru-RU"/>
        </w:rPr>
        <w:t xml:space="preserve"> координации. Он отметил, что доступная для всех онлайновая таблица сопоставления резолюций обновляется после каждой конференции или ассамблеи. Одним из примеров, когда </w:t>
      </w:r>
      <w:proofErr w:type="spellStart"/>
      <w:r w:rsidRPr="00D81064">
        <w:rPr>
          <w:lang w:val="ru-RU"/>
        </w:rPr>
        <w:t>межсекторальная</w:t>
      </w:r>
      <w:proofErr w:type="spellEnd"/>
      <w:r w:rsidRPr="00D81064">
        <w:rPr>
          <w:lang w:val="ru-RU"/>
        </w:rPr>
        <w:t xml:space="preserve"> координация оказалась особенно успешной, стала деятельность, осуществляемая в рамках инициативы "ООН-80". Было </w:t>
      </w:r>
      <w:r w:rsidRPr="00D81064">
        <w:rPr>
          <w:lang w:val="ru-RU"/>
        </w:rPr>
        <w:lastRenderedPageBreak/>
        <w:t xml:space="preserve">определено более 40 областей, представляющих общий интерес, в которых </w:t>
      </w:r>
      <w:proofErr w:type="spellStart"/>
      <w:r w:rsidRPr="00D81064">
        <w:rPr>
          <w:lang w:val="ru-RU"/>
        </w:rPr>
        <w:t>межсекторальная</w:t>
      </w:r>
      <w:proofErr w:type="spellEnd"/>
      <w:r w:rsidRPr="00D81064">
        <w:rPr>
          <w:lang w:val="ru-RU"/>
        </w:rPr>
        <w:t xml:space="preserve"> координация была бы полезна; три области, упомянутые в отчете, являются наглядными примерами успешных мер по координации. Информация по остальным областям находится в открытом доступе на веб-сайте МСКГ, а другие примеры приведены в Документе C26/35.</w:t>
      </w:r>
    </w:p>
    <w:p w14:paraId="57D2E247" w14:textId="77777777" w:rsidR="00EA67A5" w:rsidRPr="00D81064" w:rsidRDefault="00EA67A5" w:rsidP="00EA67A5">
      <w:pPr>
        <w:keepNext/>
        <w:keepLines/>
        <w:rPr>
          <w:lang w:val="ru-RU"/>
        </w:rPr>
      </w:pPr>
      <w:r w:rsidRPr="00D81064">
        <w:rPr>
          <w:lang w:val="ru-RU"/>
        </w:rPr>
        <w:t>41.7</w:t>
      </w:r>
      <w:r w:rsidRPr="00D81064">
        <w:rPr>
          <w:lang w:val="ru-RU"/>
        </w:rPr>
        <w:tab/>
        <w:t xml:space="preserve">Комитет </w:t>
      </w:r>
      <w:r w:rsidRPr="00D81064">
        <w:rPr>
          <w:b/>
          <w:bCs/>
          <w:lang w:val="ru-RU"/>
        </w:rPr>
        <w:t>принял решение</w:t>
      </w:r>
      <w:r w:rsidRPr="00D81064">
        <w:rPr>
          <w:lang w:val="ru-RU"/>
        </w:rPr>
        <w:t xml:space="preserve"> сделать по данному вопросу следующее заключение:</w:t>
      </w:r>
    </w:p>
    <w:p w14:paraId="503FAE69" w14:textId="77777777" w:rsidR="00EA67A5" w:rsidRPr="00D81064" w:rsidRDefault="00EA67A5" w:rsidP="00EA67A5">
      <w:pPr>
        <w:keepNext/>
        <w:keepLines/>
        <w:pBdr>
          <w:top w:val="single" w:sz="4" w:space="1" w:color="auto"/>
          <w:left w:val="single" w:sz="4" w:space="4" w:color="auto"/>
          <w:bottom w:val="single" w:sz="4" w:space="1" w:color="auto"/>
          <w:right w:val="single" w:sz="4" w:space="4" w:color="auto"/>
        </w:pBdr>
        <w:rPr>
          <w:lang w:val="ru-RU"/>
        </w:rPr>
      </w:pPr>
      <w:r w:rsidRPr="00D81064">
        <w:rPr>
          <w:lang w:val="ru-RU"/>
        </w:rPr>
        <w:t>41.8</w:t>
      </w:r>
      <w:r w:rsidRPr="00D81064">
        <w:rPr>
          <w:lang w:val="ru-RU"/>
        </w:rPr>
        <w:tab/>
        <w:t>Комитет рекомендует Совету:</w:t>
      </w:r>
    </w:p>
    <w:p w14:paraId="3612CC36" w14:textId="631424FE" w:rsidR="00EA67A5" w:rsidRPr="00D81064" w:rsidRDefault="00EA67A5" w:rsidP="00EA67A5">
      <w:pPr>
        <w:pStyle w:val="enumlev1"/>
        <w:pBdr>
          <w:top w:val="single" w:sz="4" w:space="1" w:color="auto"/>
          <w:left w:val="single" w:sz="4" w:space="4" w:color="auto"/>
          <w:bottom w:val="single" w:sz="4" w:space="1" w:color="auto"/>
          <w:right w:val="single" w:sz="4" w:space="4" w:color="auto"/>
        </w:pBdr>
        <w:rPr>
          <w:lang w:val="ru-RU"/>
        </w:rPr>
      </w:pPr>
      <w:r w:rsidRPr="00D81064">
        <w:rPr>
          <w:lang w:val="ru-RU"/>
        </w:rPr>
        <w:t>•</w:t>
      </w:r>
      <w:r w:rsidRPr="00D81064">
        <w:rPr>
          <w:lang w:val="ru-RU"/>
        </w:rPr>
        <w:tab/>
        <w:t xml:space="preserve">принять к сведению отчет, содержащийся в Документе </w:t>
      </w:r>
      <w:hyperlink r:id="rId251" w:history="1">
        <w:r w:rsidRPr="00D81064">
          <w:rPr>
            <w:rStyle w:val="Hyperlink"/>
            <w:bCs/>
            <w:lang w:val="ru-RU"/>
          </w:rPr>
          <w:t>C26/27</w:t>
        </w:r>
      </w:hyperlink>
      <w:r w:rsidRPr="00D81064">
        <w:rPr>
          <w:lang w:val="ru-RU"/>
        </w:rPr>
        <w:t xml:space="preserve">, и вклады группы стран, представленные в Документах </w:t>
      </w:r>
      <w:hyperlink r:id="rId252" w:history="1">
        <w:r w:rsidRPr="00D81064">
          <w:rPr>
            <w:rStyle w:val="Hyperlink"/>
            <w:lang w:val="ru-RU"/>
          </w:rPr>
          <w:t>C26/89</w:t>
        </w:r>
      </w:hyperlink>
      <w:r w:rsidRPr="00D81064">
        <w:rPr>
          <w:lang w:val="ru-RU"/>
        </w:rPr>
        <w:t xml:space="preserve"> и </w:t>
      </w:r>
      <w:hyperlink r:id="rId253" w:history="1">
        <w:r w:rsidRPr="00D81064">
          <w:rPr>
            <w:rStyle w:val="Hyperlink"/>
            <w:lang w:val="ru-RU"/>
          </w:rPr>
          <w:t>C26/88</w:t>
        </w:r>
      </w:hyperlink>
      <w:r w:rsidRPr="00D81064">
        <w:rPr>
          <w:lang w:val="ru-RU"/>
        </w:rPr>
        <w:t>;</w:t>
      </w:r>
    </w:p>
    <w:p w14:paraId="0A30F3D6" w14:textId="77777777" w:rsidR="00EA67A5" w:rsidRPr="00D81064" w:rsidRDefault="00EA67A5" w:rsidP="00EA67A5">
      <w:pPr>
        <w:pStyle w:val="enumlev1"/>
        <w:pBdr>
          <w:top w:val="single" w:sz="4" w:space="1" w:color="auto"/>
          <w:left w:val="single" w:sz="4" w:space="4" w:color="auto"/>
          <w:bottom w:val="single" w:sz="4" w:space="1" w:color="auto"/>
          <w:right w:val="single" w:sz="4" w:space="4" w:color="auto"/>
        </w:pBdr>
        <w:rPr>
          <w:lang w:val="ru-RU"/>
        </w:rPr>
      </w:pPr>
      <w:r w:rsidRPr="00D81064">
        <w:rPr>
          <w:lang w:val="ru-RU"/>
        </w:rPr>
        <w:t>•</w:t>
      </w:r>
      <w:r w:rsidRPr="00D81064">
        <w:rPr>
          <w:lang w:val="ru-RU"/>
        </w:rPr>
        <w:tab/>
        <w:t>предложить авторам вкладов группы стран представить свои предложения Полномочной конференции (Доха, 2026 г.) для рассмотрения.</w:t>
      </w:r>
      <w:hyperlink r:id="rId254" w:history="1"/>
    </w:p>
    <w:p w14:paraId="4809A399" w14:textId="3773FB25" w:rsidR="00D63001" w:rsidRPr="00D81064" w:rsidRDefault="00D63001" w:rsidP="00230A8C">
      <w:pPr>
        <w:rPr>
          <w:lang w:val="ru-RU"/>
        </w:rPr>
      </w:pPr>
      <w:r w:rsidRPr="00D81064">
        <w:rPr>
          <w:lang w:val="ru-RU"/>
        </w:rPr>
        <w:br w:type="page"/>
      </w:r>
    </w:p>
    <w:p w14:paraId="3191AF29" w14:textId="786080D8" w:rsidR="00C462C5" w:rsidRPr="00D81064" w:rsidRDefault="00D63001" w:rsidP="00D63001">
      <w:pPr>
        <w:pStyle w:val="AnnexNo"/>
        <w:rPr>
          <w:lang w:val="ru-RU"/>
        </w:rPr>
      </w:pPr>
      <w:bookmarkStart w:id="12" w:name="AnnexA"/>
      <w:r w:rsidRPr="00D81064">
        <w:rPr>
          <w:lang w:val="ru-RU"/>
        </w:rPr>
        <w:lastRenderedPageBreak/>
        <w:t>ПРИЛОЖЕНИЕ А</w:t>
      </w:r>
      <w:bookmarkEnd w:id="12"/>
    </w:p>
    <w:p w14:paraId="39BBCF74" w14:textId="77777777" w:rsidR="00AC4239" w:rsidRPr="00D81064" w:rsidRDefault="00AC4239" w:rsidP="00AC4239">
      <w:pPr>
        <w:pStyle w:val="ResNo"/>
        <w:rPr>
          <w:lang w:val="ru-RU"/>
        </w:rPr>
      </w:pPr>
      <w:r w:rsidRPr="00D81064">
        <w:rPr>
          <w:lang w:val="ru-RU"/>
        </w:rPr>
        <w:t>ПРОЕКТ НОВОЙ РЕЗОЛЮЦИИ […]</w:t>
      </w:r>
    </w:p>
    <w:p w14:paraId="7EAF10BA" w14:textId="77777777" w:rsidR="007A277C" w:rsidRPr="00D81064" w:rsidRDefault="007A277C" w:rsidP="007A277C">
      <w:pPr>
        <w:pStyle w:val="Restitle"/>
        <w:rPr>
          <w:lang w:val="ru-RU"/>
        </w:rPr>
      </w:pPr>
      <w:r w:rsidRPr="00D81064">
        <w:rPr>
          <w:lang w:val="ru-RU"/>
        </w:rPr>
        <w:t>Взносы Эквадора на покрытие расходов Союза</w:t>
      </w:r>
    </w:p>
    <w:p w14:paraId="1D21BE63" w14:textId="77777777" w:rsidR="007A277C" w:rsidRPr="00D81064" w:rsidRDefault="007A277C" w:rsidP="007A277C">
      <w:pPr>
        <w:pStyle w:val="Normalaftertitle"/>
        <w:rPr>
          <w:lang w:val="ru-RU"/>
        </w:rPr>
      </w:pPr>
      <w:r w:rsidRPr="00D81064">
        <w:rPr>
          <w:lang w:val="ru-RU"/>
        </w:rPr>
        <w:t>Совет МСЭ,</w:t>
      </w:r>
    </w:p>
    <w:p w14:paraId="32919789" w14:textId="77777777" w:rsidR="007A277C" w:rsidRPr="00D81064" w:rsidRDefault="007A277C" w:rsidP="007A277C">
      <w:pPr>
        <w:pStyle w:val="Call"/>
        <w:rPr>
          <w:lang w:val="ru-RU"/>
        </w:rPr>
      </w:pPr>
      <w:r w:rsidRPr="00D81064">
        <w:rPr>
          <w:lang w:val="ru-RU"/>
        </w:rPr>
        <w:t>ввиду</w:t>
      </w:r>
    </w:p>
    <w:p w14:paraId="166F25C2" w14:textId="77777777" w:rsidR="007A277C" w:rsidRPr="00D81064" w:rsidRDefault="007A277C" w:rsidP="007A277C">
      <w:pPr>
        <w:rPr>
          <w:rFonts w:cs="Calibri"/>
          <w:lang w:val="ru-RU"/>
        </w:rPr>
      </w:pPr>
      <w:r w:rsidRPr="00D81064">
        <w:rPr>
          <w:rFonts w:cs="Calibri"/>
          <w:lang w:val="ru-RU"/>
        </w:rPr>
        <w:t>положений п. 165A Статьи 28 Устава МСЭ,</w:t>
      </w:r>
    </w:p>
    <w:p w14:paraId="410845CA" w14:textId="77777777" w:rsidR="007A277C" w:rsidRPr="00D81064" w:rsidRDefault="007A277C" w:rsidP="007A277C">
      <w:pPr>
        <w:pStyle w:val="Call"/>
        <w:rPr>
          <w:lang w:val="ru-RU"/>
        </w:rPr>
      </w:pPr>
      <w:r w:rsidRPr="00D81064">
        <w:rPr>
          <w:lang w:val="ru-RU"/>
        </w:rPr>
        <w:t>приняв к сведению</w:t>
      </w:r>
    </w:p>
    <w:p w14:paraId="756A26B4" w14:textId="1D11CF28" w:rsidR="007A277C" w:rsidRPr="00D81064" w:rsidRDefault="007A277C" w:rsidP="007A277C">
      <w:pPr>
        <w:rPr>
          <w:rFonts w:cs="Calibri"/>
          <w:lang w:val="ru-RU"/>
        </w:rPr>
      </w:pPr>
      <w:r w:rsidRPr="00D81064">
        <w:rPr>
          <w:rFonts w:cs="Calibri"/>
          <w:lang w:val="ru-RU"/>
        </w:rPr>
        <w:t>записку Генерального секретаря, содержащуюся в Документ</w:t>
      </w:r>
      <w:r w:rsidR="008B29D3" w:rsidRPr="00D81064">
        <w:rPr>
          <w:rFonts w:cs="Calibri"/>
          <w:lang w:val="ru-RU"/>
        </w:rPr>
        <w:t>ах</w:t>
      </w:r>
      <w:r w:rsidRPr="00D81064">
        <w:rPr>
          <w:lang w:val="ru-RU"/>
        </w:rPr>
        <w:t xml:space="preserve"> </w:t>
      </w:r>
      <w:hyperlink r:id="rId255" w:history="1">
        <w:r w:rsidRPr="00D81064">
          <w:rPr>
            <w:rStyle w:val="Hyperlink"/>
            <w:lang w:val="ru-RU"/>
          </w:rPr>
          <w:t>C26/54</w:t>
        </w:r>
      </w:hyperlink>
      <w:r w:rsidR="001F051B" w:rsidRPr="00D81064">
        <w:rPr>
          <w:lang w:val="ru-RU"/>
        </w:rPr>
        <w:t xml:space="preserve"> и </w:t>
      </w:r>
      <w:hyperlink r:id="rId256" w:history="1">
        <w:r w:rsidR="001F051B" w:rsidRPr="00D81064">
          <w:rPr>
            <w:rStyle w:val="Hyperlink"/>
            <w:lang w:val="ru-RU"/>
          </w:rPr>
          <w:t>C26/DT/5(Rev.</w:t>
        </w:r>
        <w:r w:rsidR="00115736" w:rsidRPr="00115736">
          <w:rPr>
            <w:rStyle w:val="Hyperlink"/>
            <w:lang w:val="ru-RU"/>
          </w:rPr>
          <w:t>2</w:t>
        </w:r>
        <w:r w:rsidR="001F051B" w:rsidRPr="00D81064">
          <w:rPr>
            <w:rStyle w:val="Hyperlink"/>
            <w:lang w:val="ru-RU"/>
          </w:rPr>
          <w:t>)</w:t>
        </w:r>
      </w:hyperlink>
      <w:r w:rsidRPr="00D81064">
        <w:rPr>
          <w:rFonts w:cs="Calibri"/>
          <w:lang w:val="ru-RU"/>
        </w:rPr>
        <w:t>,</w:t>
      </w:r>
    </w:p>
    <w:p w14:paraId="045BBCCF" w14:textId="77777777" w:rsidR="007A277C" w:rsidRPr="00D81064" w:rsidRDefault="007A277C" w:rsidP="007A277C">
      <w:pPr>
        <w:pStyle w:val="Call"/>
        <w:rPr>
          <w:lang w:val="ru-RU"/>
        </w:rPr>
      </w:pPr>
      <w:r w:rsidRPr="00D81064">
        <w:rPr>
          <w:lang w:val="ru-RU"/>
        </w:rPr>
        <w:t>решает</w:t>
      </w:r>
    </w:p>
    <w:p w14:paraId="4E66F696" w14:textId="74142DD0" w:rsidR="007A277C" w:rsidRPr="00D81064" w:rsidRDefault="007A277C" w:rsidP="007A277C">
      <w:pPr>
        <w:rPr>
          <w:lang w:val="ru-RU"/>
        </w:rPr>
      </w:pPr>
      <w:r w:rsidRPr="00D81064">
        <w:rPr>
          <w:rFonts w:cs="Calibri"/>
          <w:lang w:val="ru-RU"/>
        </w:rPr>
        <w:t>разрешить Эквадору участвовать в покрытии расходов Союза по классу в 1/8 единицы с 1 января 2028 года до 31 декабря 2031 года</w:t>
      </w:r>
      <w:r w:rsidRPr="00D81064">
        <w:rPr>
          <w:lang w:val="ru-RU"/>
        </w:rPr>
        <w:t xml:space="preserve"> или до того момента, когда Совет установит, что изменились обстоятельства, при которых было предоставлено такое исключение</w:t>
      </w:r>
      <w:r w:rsidR="003D32A1" w:rsidRPr="00D81064">
        <w:rPr>
          <w:lang w:val="ru-RU"/>
        </w:rPr>
        <w:t>.</w:t>
      </w:r>
    </w:p>
    <w:p w14:paraId="0778B3C0" w14:textId="77777777" w:rsidR="00AC4239" w:rsidRPr="00D81064" w:rsidRDefault="00AC4239" w:rsidP="00AC4239">
      <w:pPr>
        <w:rPr>
          <w:lang w:val="ru-RU"/>
        </w:rPr>
      </w:pPr>
      <w:r w:rsidRPr="00D81064">
        <w:rPr>
          <w:lang w:val="ru-RU"/>
        </w:rPr>
        <w:br w:type="page"/>
      </w:r>
    </w:p>
    <w:p w14:paraId="18485A16" w14:textId="4A13EBAA" w:rsidR="00AC4239" w:rsidRPr="00D81064" w:rsidRDefault="00AC4239" w:rsidP="00AC4239">
      <w:pPr>
        <w:pStyle w:val="AnnexNo"/>
        <w:rPr>
          <w:lang w:val="ru-RU"/>
        </w:rPr>
      </w:pPr>
      <w:bookmarkStart w:id="13" w:name="AnnexB"/>
      <w:r w:rsidRPr="00D81064">
        <w:rPr>
          <w:lang w:val="ru-RU"/>
        </w:rPr>
        <w:lastRenderedPageBreak/>
        <w:t>ПРИЛОЖЕНИЕ B</w:t>
      </w:r>
      <w:bookmarkEnd w:id="13"/>
    </w:p>
    <w:p w14:paraId="66B84965" w14:textId="08AAF6E7" w:rsidR="00D63001" w:rsidRPr="00D81064" w:rsidRDefault="00D63001" w:rsidP="00C83CE4">
      <w:pPr>
        <w:pStyle w:val="ResNo"/>
        <w:rPr>
          <w:lang w:val="ru-RU"/>
        </w:rPr>
      </w:pPr>
      <w:r w:rsidRPr="00D81064">
        <w:rPr>
          <w:lang w:val="ru-RU"/>
        </w:rPr>
        <w:t xml:space="preserve">Проект </w:t>
      </w:r>
      <w:r w:rsidR="00DE4FF1" w:rsidRPr="00D81064">
        <w:rPr>
          <w:lang w:val="ru-RU"/>
        </w:rPr>
        <w:t xml:space="preserve">НОВОГО </w:t>
      </w:r>
      <w:r w:rsidRPr="00D81064">
        <w:rPr>
          <w:lang w:val="ru-RU"/>
        </w:rPr>
        <w:t>решения [...]</w:t>
      </w:r>
    </w:p>
    <w:p w14:paraId="46E49516" w14:textId="77777777" w:rsidR="00D63001" w:rsidRPr="00D81064" w:rsidRDefault="00D63001" w:rsidP="00C83CE4">
      <w:pPr>
        <w:pStyle w:val="Restitle"/>
        <w:rPr>
          <w:lang w:val="ru-RU"/>
        </w:rPr>
      </w:pPr>
      <w:r w:rsidRPr="00D81064">
        <w:rPr>
          <w:lang w:val="ru-RU"/>
        </w:rPr>
        <w:t>Списание процентов по просроченным платежам и безнадежных долгов</w:t>
      </w:r>
    </w:p>
    <w:p w14:paraId="4A384E53" w14:textId="77777777" w:rsidR="00D63001" w:rsidRPr="00D81064" w:rsidRDefault="00D63001" w:rsidP="00D63001">
      <w:pPr>
        <w:pStyle w:val="Normalaftertitle"/>
        <w:rPr>
          <w:rFonts w:asciiTheme="minorHAnsi" w:hAnsiTheme="minorHAnsi" w:cstheme="minorHAnsi"/>
          <w:szCs w:val="22"/>
          <w:lang w:val="ru-RU"/>
        </w:rPr>
      </w:pPr>
      <w:r w:rsidRPr="00D81064">
        <w:rPr>
          <w:rFonts w:asciiTheme="minorHAnsi" w:hAnsiTheme="minorHAnsi" w:cstheme="minorHAnsi"/>
          <w:szCs w:val="22"/>
          <w:lang w:val="ru-RU"/>
        </w:rPr>
        <w:t>Совет МСЭ,</w:t>
      </w:r>
    </w:p>
    <w:p w14:paraId="6D219E1E" w14:textId="77777777" w:rsidR="00D63001" w:rsidRPr="00D81064" w:rsidRDefault="00D63001" w:rsidP="00D63001">
      <w:pPr>
        <w:pStyle w:val="Call"/>
        <w:rPr>
          <w:lang w:val="ru-RU"/>
        </w:rPr>
      </w:pPr>
      <w:r w:rsidRPr="00D81064">
        <w:rPr>
          <w:lang w:val="ru-RU"/>
        </w:rPr>
        <w:t>рассмотрев</w:t>
      </w:r>
    </w:p>
    <w:p w14:paraId="3DBBC82E" w14:textId="3D3D601B" w:rsidR="00D63001" w:rsidRPr="00D81064" w:rsidRDefault="00D63001" w:rsidP="00D63001">
      <w:pPr>
        <w:rPr>
          <w:lang w:val="ru-RU"/>
        </w:rPr>
      </w:pPr>
      <w:r w:rsidRPr="00D81064">
        <w:rPr>
          <w:lang w:val="ru-RU"/>
        </w:rPr>
        <w:t xml:space="preserve">отчет Генерального секретаря о задолженностях и специальных счетах задолженностей (Документ </w:t>
      </w:r>
      <w:hyperlink r:id="rId257">
        <w:r w:rsidRPr="00D81064">
          <w:rPr>
            <w:rStyle w:val="Hyperlink"/>
            <w:lang w:val="ru-RU"/>
          </w:rPr>
          <w:t>C26/1</w:t>
        </w:r>
        <w:r w:rsidR="00A564FE" w:rsidRPr="00D81064">
          <w:rPr>
            <w:rStyle w:val="Hyperlink"/>
            <w:lang w:val="ru-RU"/>
          </w:rPr>
          <w:t>1(Rev.1)</w:t>
        </w:r>
      </w:hyperlink>
      <w:r w:rsidRPr="00D81064">
        <w:rPr>
          <w:lang w:val="ru-RU"/>
        </w:rPr>
        <w:t>),</w:t>
      </w:r>
    </w:p>
    <w:p w14:paraId="67FB5A1C" w14:textId="77777777" w:rsidR="00D63001" w:rsidRPr="00D81064" w:rsidRDefault="00D63001" w:rsidP="00D63001">
      <w:pPr>
        <w:pStyle w:val="Call"/>
        <w:rPr>
          <w:lang w:val="ru-RU"/>
        </w:rPr>
      </w:pPr>
      <w:r w:rsidRPr="00D81064">
        <w:rPr>
          <w:lang w:val="ru-RU"/>
        </w:rPr>
        <w:t>решает</w:t>
      </w:r>
      <w:r w:rsidRPr="00D81064">
        <w:rPr>
          <w:i w:val="0"/>
          <w:iCs/>
          <w:lang w:val="ru-RU"/>
        </w:rPr>
        <w:t>,</w:t>
      </w:r>
    </w:p>
    <w:p w14:paraId="30BCD65D" w14:textId="77777777" w:rsidR="00D63001" w:rsidRPr="00D81064" w:rsidRDefault="00D63001" w:rsidP="00D63001">
      <w:pPr>
        <w:spacing w:after="120"/>
        <w:rPr>
          <w:lang w:val="ru-RU"/>
        </w:rPr>
      </w:pPr>
      <w:r w:rsidRPr="00D81064">
        <w:rPr>
          <w:lang w:val="ru-RU"/>
        </w:rPr>
        <w:t xml:space="preserve">утвердить списание процентов по просроченным платежам и безнадежных долгов в сумме </w:t>
      </w:r>
      <w:r w:rsidRPr="00D81064">
        <w:rPr>
          <w:b/>
          <w:bCs/>
          <w:lang w:val="ru-RU"/>
        </w:rPr>
        <w:t>566 815,60 швейцарского франка</w:t>
      </w:r>
      <w:r w:rsidRPr="00D81064">
        <w:rPr>
          <w:lang w:val="ru-RU"/>
        </w:rPr>
        <w:t xml:space="preserve"> путем снятия соответствующей суммы из средств Резервного фонда для счетов должников. Подробные данные приведены в таблице, ниже.</w:t>
      </w:r>
    </w:p>
    <w:tbl>
      <w:tblPr>
        <w:tblW w:w="9346" w:type="dxa"/>
        <w:tblLayout w:type="fixed"/>
        <w:tblCellMar>
          <w:left w:w="57" w:type="dxa"/>
          <w:right w:w="57" w:type="dxa"/>
        </w:tblCellMar>
        <w:tblLook w:val="04A0" w:firstRow="1" w:lastRow="0" w:firstColumn="1" w:lastColumn="0" w:noHBand="0" w:noVBand="1"/>
      </w:tblPr>
      <w:tblGrid>
        <w:gridCol w:w="1124"/>
        <w:gridCol w:w="1418"/>
        <w:gridCol w:w="2551"/>
        <w:gridCol w:w="993"/>
        <w:gridCol w:w="1086"/>
        <w:gridCol w:w="1087"/>
        <w:gridCol w:w="1087"/>
      </w:tblGrid>
      <w:tr w:rsidR="00D63001" w:rsidRPr="00D81064" w14:paraId="2F0B889B" w14:textId="77777777" w:rsidTr="00782D8A">
        <w:trPr>
          <w:tblHeader/>
        </w:trPr>
        <w:tc>
          <w:tcPr>
            <w:tcW w:w="1124" w:type="dxa"/>
            <w:tcBorders>
              <w:top w:val="single" w:sz="8" w:space="0" w:color="auto"/>
              <w:left w:val="single" w:sz="8" w:space="0" w:color="auto"/>
              <w:bottom w:val="nil"/>
              <w:right w:val="single" w:sz="4" w:space="0" w:color="auto"/>
            </w:tcBorders>
            <w:shd w:val="clear" w:color="auto" w:fill="C0C0C0"/>
            <w:vAlign w:val="center"/>
          </w:tcPr>
          <w:p w14:paraId="577880BB" w14:textId="77777777" w:rsidR="00D63001" w:rsidRPr="00D81064" w:rsidRDefault="00D63001" w:rsidP="00782D8A">
            <w:pPr>
              <w:pStyle w:val="Tablehead"/>
              <w:rPr>
                <w:sz w:val="18"/>
                <w:szCs w:val="18"/>
                <w:lang w:val="ru-RU"/>
              </w:rPr>
            </w:pPr>
            <w:r w:rsidRPr="00D81064">
              <w:rPr>
                <w:sz w:val="18"/>
                <w:szCs w:val="18"/>
                <w:lang w:val="ru-RU"/>
              </w:rPr>
              <w:t>№ счета</w:t>
            </w:r>
          </w:p>
        </w:tc>
        <w:tc>
          <w:tcPr>
            <w:tcW w:w="1418" w:type="dxa"/>
            <w:tcBorders>
              <w:top w:val="single" w:sz="8" w:space="0" w:color="auto"/>
              <w:left w:val="single" w:sz="8" w:space="0" w:color="auto"/>
              <w:bottom w:val="nil"/>
              <w:right w:val="single" w:sz="4" w:space="0" w:color="auto"/>
            </w:tcBorders>
            <w:shd w:val="clear" w:color="auto" w:fill="C0C0C0"/>
            <w:noWrap/>
            <w:vAlign w:val="center"/>
            <w:hideMark/>
          </w:tcPr>
          <w:p w14:paraId="44EF62B2" w14:textId="77777777" w:rsidR="00D63001" w:rsidRPr="00D81064" w:rsidRDefault="00D63001" w:rsidP="00782D8A">
            <w:pPr>
              <w:pStyle w:val="Tablehead"/>
              <w:rPr>
                <w:sz w:val="18"/>
                <w:szCs w:val="18"/>
                <w:lang w:val="ru-RU"/>
              </w:rPr>
            </w:pPr>
            <w:r w:rsidRPr="00D81064">
              <w:rPr>
                <w:sz w:val="18"/>
                <w:szCs w:val="18"/>
                <w:lang w:val="ru-RU"/>
              </w:rPr>
              <w:t>Страна</w:t>
            </w:r>
          </w:p>
        </w:tc>
        <w:tc>
          <w:tcPr>
            <w:tcW w:w="2551" w:type="dxa"/>
            <w:tcBorders>
              <w:top w:val="single" w:sz="8" w:space="0" w:color="auto"/>
              <w:left w:val="nil"/>
              <w:bottom w:val="nil"/>
              <w:right w:val="single" w:sz="4" w:space="0" w:color="auto"/>
            </w:tcBorders>
            <w:shd w:val="clear" w:color="auto" w:fill="C0C0C0"/>
            <w:noWrap/>
            <w:vAlign w:val="center"/>
            <w:hideMark/>
          </w:tcPr>
          <w:p w14:paraId="2EAA1B8F" w14:textId="77777777" w:rsidR="00D63001" w:rsidRPr="00D81064" w:rsidRDefault="00D63001" w:rsidP="00782D8A">
            <w:pPr>
              <w:pStyle w:val="Tablehead"/>
              <w:rPr>
                <w:sz w:val="18"/>
                <w:szCs w:val="18"/>
                <w:lang w:val="ru-RU"/>
              </w:rPr>
            </w:pPr>
            <w:r w:rsidRPr="00D81064">
              <w:rPr>
                <w:sz w:val="18"/>
                <w:szCs w:val="18"/>
                <w:lang w:val="ru-RU"/>
              </w:rPr>
              <w:t>Название организации</w:t>
            </w:r>
          </w:p>
        </w:tc>
        <w:tc>
          <w:tcPr>
            <w:tcW w:w="993" w:type="dxa"/>
            <w:tcBorders>
              <w:top w:val="single" w:sz="8" w:space="0" w:color="auto"/>
              <w:left w:val="nil"/>
              <w:bottom w:val="nil"/>
              <w:right w:val="single" w:sz="4" w:space="0" w:color="auto"/>
            </w:tcBorders>
            <w:shd w:val="clear" w:color="auto" w:fill="C0C0C0"/>
            <w:noWrap/>
            <w:vAlign w:val="center"/>
            <w:hideMark/>
          </w:tcPr>
          <w:p w14:paraId="4EF00F12" w14:textId="77777777" w:rsidR="00D63001" w:rsidRPr="00D81064" w:rsidRDefault="00D63001" w:rsidP="00782D8A">
            <w:pPr>
              <w:pStyle w:val="Tablehead"/>
              <w:rPr>
                <w:sz w:val="18"/>
                <w:szCs w:val="18"/>
                <w:lang w:val="ru-RU"/>
              </w:rPr>
            </w:pPr>
            <w:r w:rsidRPr="00D81064">
              <w:rPr>
                <w:sz w:val="18"/>
                <w:szCs w:val="18"/>
                <w:lang w:val="ru-RU"/>
              </w:rPr>
              <w:t>Год</w:t>
            </w:r>
          </w:p>
        </w:tc>
        <w:tc>
          <w:tcPr>
            <w:tcW w:w="1086" w:type="dxa"/>
            <w:tcBorders>
              <w:top w:val="single" w:sz="8" w:space="0" w:color="auto"/>
              <w:left w:val="nil"/>
              <w:bottom w:val="nil"/>
              <w:right w:val="single" w:sz="4" w:space="0" w:color="auto"/>
            </w:tcBorders>
            <w:shd w:val="clear" w:color="auto" w:fill="C0C0C0"/>
            <w:noWrap/>
            <w:vAlign w:val="center"/>
            <w:hideMark/>
          </w:tcPr>
          <w:p w14:paraId="6A7F025F" w14:textId="77777777" w:rsidR="00D63001" w:rsidRPr="00D81064" w:rsidRDefault="00D63001" w:rsidP="00782D8A">
            <w:pPr>
              <w:pStyle w:val="Tablehead"/>
              <w:rPr>
                <w:sz w:val="18"/>
                <w:szCs w:val="18"/>
                <w:lang w:val="ru-RU"/>
              </w:rPr>
            </w:pPr>
            <w:r w:rsidRPr="00D81064">
              <w:rPr>
                <w:sz w:val="18"/>
                <w:szCs w:val="18"/>
                <w:lang w:val="ru-RU"/>
              </w:rPr>
              <w:t>Основной долг</w:t>
            </w:r>
          </w:p>
        </w:tc>
        <w:tc>
          <w:tcPr>
            <w:tcW w:w="1087" w:type="dxa"/>
            <w:tcBorders>
              <w:top w:val="single" w:sz="8" w:space="0" w:color="auto"/>
              <w:left w:val="nil"/>
              <w:bottom w:val="nil"/>
              <w:right w:val="single" w:sz="4" w:space="0" w:color="auto"/>
            </w:tcBorders>
            <w:shd w:val="clear" w:color="auto" w:fill="C0C0C0"/>
            <w:noWrap/>
            <w:vAlign w:val="center"/>
            <w:hideMark/>
          </w:tcPr>
          <w:p w14:paraId="258AF8BD" w14:textId="77777777" w:rsidR="00D63001" w:rsidRPr="00D81064" w:rsidRDefault="00D63001" w:rsidP="00782D8A">
            <w:pPr>
              <w:pStyle w:val="Tablehead"/>
              <w:rPr>
                <w:sz w:val="18"/>
                <w:szCs w:val="18"/>
                <w:lang w:val="ru-RU"/>
              </w:rPr>
            </w:pPr>
            <w:r w:rsidRPr="00D81064">
              <w:rPr>
                <w:sz w:val="18"/>
                <w:szCs w:val="18"/>
                <w:lang w:val="ru-RU"/>
              </w:rPr>
              <w:t>Проценты</w:t>
            </w:r>
          </w:p>
        </w:tc>
        <w:tc>
          <w:tcPr>
            <w:tcW w:w="1087" w:type="dxa"/>
            <w:tcBorders>
              <w:top w:val="single" w:sz="8" w:space="0" w:color="auto"/>
              <w:left w:val="nil"/>
              <w:bottom w:val="nil"/>
              <w:right w:val="single" w:sz="8" w:space="0" w:color="auto"/>
            </w:tcBorders>
            <w:shd w:val="clear" w:color="auto" w:fill="C0C0C0"/>
            <w:noWrap/>
            <w:vAlign w:val="center"/>
            <w:hideMark/>
          </w:tcPr>
          <w:p w14:paraId="5F7538A9" w14:textId="77777777" w:rsidR="00D63001" w:rsidRPr="00D81064" w:rsidRDefault="00D63001" w:rsidP="00782D8A">
            <w:pPr>
              <w:pStyle w:val="Tablehead"/>
              <w:rPr>
                <w:sz w:val="18"/>
                <w:szCs w:val="18"/>
                <w:lang w:val="ru-RU"/>
              </w:rPr>
            </w:pPr>
            <w:r w:rsidRPr="00D81064">
              <w:rPr>
                <w:sz w:val="18"/>
                <w:szCs w:val="18"/>
                <w:lang w:val="ru-RU"/>
              </w:rPr>
              <w:t>Итого</w:t>
            </w:r>
          </w:p>
        </w:tc>
      </w:tr>
      <w:tr w:rsidR="00D63001" w:rsidRPr="00D81064" w14:paraId="1AE49410" w14:textId="77777777" w:rsidTr="00782D8A">
        <w:tc>
          <w:tcPr>
            <w:tcW w:w="1124" w:type="dxa"/>
            <w:tcBorders>
              <w:top w:val="single" w:sz="4" w:space="0" w:color="auto"/>
              <w:left w:val="single" w:sz="4" w:space="0" w:color="auto"/>
              <w:bottom w:val="single" w:sz="4" w:space="0" w:color="auto"/>
              <w:right w:val="single" w:sz="4" w:space="0" w:color="auto"/>
            </w:tcBorders>
            <w:shd w:val="clear" w:color="auto" w:fill="FFFFFF" w:themeFill="background1"/>
          </w:tcPr>
          <w:p w14:paraId="68847AA6" w14:textId="77777777" w:rsidR="00D63001" w:rsidRPr="00D81064" w:rsidRDefault="00D63001" w:rsidP="00782D8A">
            <w:pPr>
              <w:pStyle w:val="Tabletext"/>
              <w:jc w:val="center"/>
              <w:rPr>
                <w:sz w:val="18"/>
                <w:szCs w:val="18"/>
                <w:lang w:val="ru-RU"/>
              </w:rPr>
            </w:pPr>
            <w:r w:rsidRPr="00D81064">
              <w:rPr>
                <w:sz w:val="18"/>
                <w:szCs w:val="18"/>
                <w:lang w:val="ru-RU"/>
              </w:rPr>
              <w:t>53305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D621210" w14:textId="77777777" w:rsidR="00D63001" w:rsidRPr="00D81064" w:rsidRDefault="00D63001" w:rsidP="00782D8A">
            <w:pPr>
              <w:pStyle w:val="Tabletext"/>
              <w:rPr>
                <w:sz w:val="18"/>
                <w:szCs w:val="18"/>
                <w:lang w:val="ru-RU"/>
              </w:rPr>
            </w:pPr>
            <w:r w:rsidRPr="00D81064">
              <w:rPr>
                <w:sz w:val="18"/>
                <w:szCs w:val="18"/>
                <w:lang w:val="ru-RU"/>
              </w:rPr>
              <w:t>Кот-д'Ивуар</w:t>
            </w:r>
          </w:p>
        </w:tc>
        <w:tc>
          <w:tcPr>
            <w:tcW w:w="2551" w:type="dxa"/>
            <w:tcBorders>
              <w:top w:val="single" w:sz="4" w:space="0" w:color="auto"/>
              <w:left w:val="nil"/>
              <w:bottom w:val="single" w:sz="4" w:space="0" w:color="auto"/>
              <w:right w:val="single" w:sz="4" w:space="0" w:color="auto"/>
            </w:tcBorders>
            <w:shd w:val="clear" w:color="auto" w:fill="FFFFFF" w:themeFill="background1"/>
            <w:hideMark/>
          </w:tcPr>
          <w:p w14:paraId="765BCEE5" w14:textId="77777777" w:rsidR="00D63001" w:rsidRPr="00D81064" w:rsidRDefault="00D63001" w:rsidP="00782D8A">
            <w:pPr>
              <w:pStyle w:val="Tabletext"/>
              <w:rPr>
                <w:sz w:val="18"/>
                <w:szCs w:val="18"/>
                <w:lang w:val="ru-RU"/>
              </w:rPr>
            </w:pPr>
            <w:r w:rsidRPr="00D81064">
              <w:rPr>
                <w:sz w:val="18"/>
                <w:szCs w:val="18"/>
                <w:lang w:val="ru-RU"/>
              </w:rPr>
              <w:t>Регуляторный орган электросвязи/ИКТ Кот</w:t>
            </w:r>
            <w:r w:rsidRPr="00D81064">
              <w:rPr>
                <w:sz w:val="18"/>
                <w:szCs w:val="18"/>
                <w:lang w:val="ru-RU"/>
              </w:rPr>
              <w:noBreakHyphen/>
              <w:t>д’Ивуара (ARTCI)</w:t>
            </w:r>
          </w:p>
        </w:tc>
        <w:tc>
          <w:tcPr>
            <w:tcW w:w="993" w:type="dxa"/>
            <w:tcBorders>
              <w:top w:val="single" w:sz="4" w:space="0" w:color="auto"/>
              <w:left w:val="nil"/>
              <w:bottom w:val="single" w:sz="4" w:space="0" w:color="auto"/>
              <w:right w:val="single" w:sz="4" w:space="0" w:color="auto"/>
            </w:tcBorders>
            <w:shd w:val="clear" w:color="auto" w:fill="FFFFFF" w:themeFill="background1"/>
            <w:noWrap/>
            <w:hideMark/>
          </w:tcPr>
          <w:p w14:paraId="3B1D144A" w14:textId="77777777" w:rsidR="00D63001" w:rsidRPr="00D81064" w:rsidRDefault="00D63001" w:rsidP="00782D8A">
            <w:pPr>
              <w:pStyle w:val="Tabletext"/>
              <w:jc w:val="center"/>
              <w:rPr>
                <w:sz w:val="18"/>
                <w:szCs w:val="18"/>
                <w:lang w:val="ru-RU"/>
              </w:rPr>
            </w:pPr>
            <w:proofErr w:type="gramStart"/>
            <w:r w:rsidRPr="00D81064">
              <w:rPr>
                <w:sz w:val="18"/>
                <w:szCs w:val="18"/>
                <w:lang w:val="ru-RU"/>
              </w:rPr>
              <w:t>2023−2025</w:t>
            </w:r>
            <w:proofErr w:type="gramEnd"/>
          </w:p>
        </w:tc>
        <w:tc>
          <w:tcPr>
            <w:tcW w:w="1086" w:type="dxa"/>
            <w:tcBorders>
              <w:top w:val="single" w:sz="4" w:space="0" w:color="auto"/>
              <w:left w:val="nil"/>
              <w:bottom w:val="single" w:sz="4" w:space="0" w:color="auto"/>
              <w:right w:val="single" w:sz="4" w:space="0" w:color="auto"/>
            </w:tcBorders>
            <w:shd w:val="clear" w:color="auto" w:fill="FFFFFF" w:themeFill="background1"/>
            <w:noWrap/>
            <w:hideMark/>
          </w:tcPr>
          <w:p w14:paraId="65A02057" w14:textId="77777777" w:rsidR="00D63001" w:rsidRPr="00D81064" w:rsidRDefault="00D63001" w:rsidP="00B55BD8">
            <w:pPr>
              <w:pStyle w:val="Tabletext"/>
              <w:ind w:right="57"/>
              <w:jc w:val="right"/>
              <w:rPr>
                <w:sz w:val="18"/>
                <w:szCs w:val="18"/>
                <w:lang w:val="ru-RU"/>
              </w:rPr>
            </w:pPr>
            <w:r w:rsidRPr="00D81064">
              <w:rPr>
                <w:sz w:val="18"/>
                <w:szCs w:val="18"/>
                <w:lang w:val="ru-RU"/>
              </w:rPr>
              <w:t>0,00</w:t>
            </w:r>
          </w:p>
        </w:tc>
        <w:tc>
          <w:tcPr>
            <w:tcW w:w="1087" w:type="dxa"/>
            <w:tcBorders>
              <w:top w:val="single" w:sz="4" w:space="0" w:color="auto"/>
              <w:left w:val="nil"/>
              <w:bottom w:val="single" w:sz="4" w:space="0" w:color="auto"/>
              <w:right w:val="single" w:sz="4" w:space="0" w:color="auto"/>
            </w:tcBorders>
            <w:shd w:val="clear" w:color="auto" w:fill="FFFFFF" w:themeFill="background1"/>
            <w:noWrap/>
            <w:hideMark/>
          </w:tcPr>
          <w:p w14:paraId="4B05920E" w14:textId="77777777" w:rsidR="00D63001" w:rsidRPr="00D81064" w:rsidRDefault="00D63001" w:rsidP="00B55BD8">
            <w:pPr>
              <w:pStyle w:val="Tabletext"/>
              <w:ind w:right="57"/>
              <w:jc w:val="right"/>
              <w:rPr>
                <w:sz w:val="18"/>
                <w:szCs w:val="18"/>
                <w:lang w:val="ru-RU"/>
              </w:rPr>
            </w:pPr>
            <w:r w:rsidRPr="00D81064">
              <w:rPr>
                <w:sz w:val="18"/>
                <w:szCs w:val="18"/>
                <w:lang w:val="ru-RU"/>
              </w:rPr>
              <w:t>91 315,30</w:t>
            </w:r>
          </w:p>
        </w:tc>
        <w:tc>
          <w:tcPr>
            <w:tcW w:w="1087" w:type="dxa"/>
            <w:tcBorders>
              <w:top w:val="single" w:sz="4" w:space="0" w:color="auto"/>
              <w:left w:val="nil"/>
              <w:bottom w:val="single" w:sz="4" w:space="0" w:color="auto"/>
              <w:right w:val="single" w:sz="4" w:space="0" w:color="auto"/>
            </w:tcBorders>
            <w:shd w:val="clear" w:color="auto" w:fill="FFFFFF" w:themeFill="background1"/>
            <w:noWrap/>
            <w:hideMark/>
          </w:tcPr>
          <w:p w14:paraId="2FC104DE" w14:textId="77777777" w:rsidR="00D63001" w:rsidRPr="00D81064" w:rsidRDefault="00D63001" w:rsidP="00B55BD8">
            <w:pPr>
              <w:pStyle w:val="Tabletext"/>
              <w:ind w:right="57"/>
              <w:jc w:val="right"/>
              <w:rPr>
                <w:sz w:val="18"/>
                <w:szCs w:val="18"/>
                <w:lang w:val="ru-RU"/>
              </w:rPr>
            </w:pPr>
            <w:r w:rsidRPr="00D81064">
              <w:rPr>
                <w:sz w:val="18"/>
                <w:szCs w:val="18"/>
                <w:lang w:val="ru-RU"/>
              </w:rPr>
              <w:t>91 315,30</w:t>
            </w:r>
          </w:p>
        </w:tc>
      </w:tr>
      <w:tr w:rsidR="00D63001" w:rsidRPr="00D81064" w14:paraId="4A190E29" w14:textId="77777777" w:rsidTr="00782D8A">
        <w:tc>
          <w:tcPr>
            <w:tcW w:w="1124" w:type="dxa"/>
            <w:tcBorders>
              <w:top w:val="nil"/>
              <w:left w:val="single" w:sz="4" w:space="0" w:color="auto"/>
              <w:bottom w:val="single" w:sz="4" w:space="0" w:color="auto"/>
              <w:right w:val="single" w:sz="4" w:space="0" w:color="auto"/>
            </w:tcBorders>
            <w:shd w:val="clear" w:color="auto" w:fill="FFFFFF" w:themeFill="background1"/>
          </w:tcPr>
          <w:p w14:paraId="4E10F45E" w14:textId="77777777" w:rsidR="00D63001" w:rsidRPr="00D81064" w:rsidRDefault="00D63001" w:rsidP="00782D8A">
            <w:pPr>
              <w:pStyle w:val="Tabletext"/>
              <w:jc w:val="center"/>
              <w:rPr>
                <w:sz w:val="18"/>
                <w:szCs w:val="18"/>
                <w:lang w:val="ru-RU"/>
              </w:rPr>
            </w:pPr>
            <w:r w:rsidRPr="00D81064">
              <w:rPr>
                <w:sz w:val="18"/>
                <w:szCs w:val="18"/>
                <w:lang w:val="ru-RU"/>
              </w:rPr>
              <w:t>131</w:t>
            </w:r>
          </w:p>
        </w:tc>
        <w:tc>
          <w:tcPr>
            <w:tcW w:w="1418" w:type="dxa"/>
            <w:tcBorders>
              <w:top w:val="nil"/>
              <w:left w:val="single" w:sz="4" w:space="0" w:color="auto"/>
              <w:bottom w:val="single" w:sz="4" w:space="0" w:color="auto"/>
              <w:right w:val="single" w:sz="4" w:space="0" w:color="auto"/>
            </w:tcBorders>
            <w:shd w:val="clear" w:color="auto" w:fill="FFFFFF" w:themeFill="background1"/>
            <w:noWrap/>
            <w:hideMark/>
          </w:tcPr>
          <w:p w14:paraId="7B7B89B8" w14:textId="77777777" w:rsidR="00D63001" w:rsidRPr="00D81064" w:rsidRDefault="00D63001" w:rsidP="00782D8A">
            <w:pPr>
              <w:pStyle w:val="Tabletext"/>
              <w:rPr>
                <w:sz w:val="18"/>
                <w:szCs w:val="18"/>
                <w:lang w:val="ru-RU"/>
              </w:rPr>
            </w:pPr>
            <w:r w:rsidRPr="00D81064">
              <w:rPr>
                <w:sz w:val="18"/>
                <w:szCs w:val="18"/>
                <w:lang w:val="ru-RU"/>
              </w:rPr>
              <w:t>Израиль</w:t>
            </w:r>
          </w:p>
        </w:tc>
        <w:tc>
          <w:tcPr>
            <w:tcW w:w="2551" w:type="dxa"/>
            <w:tcBorders>
              <w:top w:val="nil"/>
              <w:left w:val="nil"/>
              <w:bottom w:val="single" w:sz="4" w:space="0" w:color="auto"/>
              <w:right w:val="single" w:sz="4" w:space="0" w:color="auto"/>
            </w:tcBorders>
            <w:shd w:val="clear" w:color="auto" w:fill="FFFFFF" w:themeFill="background1"/>
            <w:hideMark/>
          </w:tcPr>
          <w:p w14:paraId="4D5F544D" w14:textId="77777777" w:rsidR="00D63001" w:rsidRPr="00D81064" w:rsidRDefault="00D63001" w:rsidP="00782D8A">
            <w:pPr>
              <w:pStyle w:val="Tabletext"/>
              <w:rPr>
                <w:sz w:val="18"/>
                <w:szCs w:val="18"/>
                <w:lang w:val="ru-RU"/>
              </w:rPr>
            </w:pPr>
            <w:r w:rsidRPr="00D81064">
              <w:rPr>
                <w:sz w:val="18"/>
                <w:szCs w:val="18"/>
                <w:lang w:val="ru-RU"/>
              </w:rPr>
              <w:t>Министерство связи</w:t>
            </w:r>
          </w:p>
        </w:tc>
        <w:tc>
          <w:tcPr>
            <w:tcW w:w="993" w:type="dxa"/>
            <w:tcBorders>
              <w:top w:val="nil"/>
              <w:left w:val="nil"/>
              <w:bottom w:val="single" w:sz="4" w:space="0" w:color="auto"/>
              <w:right w:val="single" w:sz="4" w:space="0" w:color="auto"/>
            </w:tcBorders>
            <w:shd w:val="clear" w:color="auto" w:fill="FFFFFF" w:themeFill="background1"/>
            <w:noWrap/>
            <w:hideMark/>
          </w:tcPr>
          <w:p w14:paraId="5D31DC92" w14:textId="77777777" w:rsidR="00D63001" w:rsidRPr="00D81064" w:rsidRDefault="00D63001" w:rsidP="00782D8A">
            <w:pPr>
              <w:pStyle w:val="Tabletext"/>
              <w:jc w:val="center"/>
              <w:rPr>
                <w:sz w:val="18"/>
                <w:szCs w:val="18"/>
                <w:lang w:val="ru-RU"/>
              </w:rPr>
            </w:pPr>
            <w:r w:rsidRPr="00D81064">
              <w:rPr>
                <w:sz w:val="18"/>
                <w:szCs w:val="18"/>
                <w:lang w:val="ru-RU"/>
              </w:rPr>
              <w:t>2025</w:t>
            </w:r>
          </w:p>
        </w:tc>
        <w:tc>
          <w:tcPr>
            <w:tcW w:w="1086" w:type="dxa"/>
            <w:tcBorders>
              <w:top w:val="nil"/>
              <w:left w:val="nil"/>
              <w:bottom w:val="single" w:sz="4" w:space="0" w:color="auto"/>
              <w:right w:val="single" w:sz="4" w:space="0" w:color="auto"/>
            </w:tcBorders>
            <w:shd w:val="clear" w:color="auto" w:fill="FFFFFF" w:themeFill="background1"/>
            <w:noWrap/>
            <w:hideMark/>
          </w:tcPr>
          <w:p w14:paraId="5CE7BBA2" w14:textId="77777777" w:rsidR="00D63001" w:rsidRPr="00D81064" w:rsidRDefault="00D63001" w:rsidP="00B55BD8">
            <w:pPr>
              <w:pStyle w:val="Tabletext"/>
              <w:ind w:right="57"/>
              <w:jc w:val="right"/>
              <w:rPr>
                <w:sz w:val="18"/>
                <w:szCs w:val="18"/>
                <w:lang w:val="ru-RU"/>
              </w:rPr>
            </w:pPr>
            <w:r w:rsidRPr="00D81064">
              <w:rPr>
                <w:sz w:val="18"/>
                <w:szCs w:val="18"/>
                <w:lang w:val="ru-RU"/>
              </w:rPr>
              <w:t>0,00</w:t>
            </w:r>
          </w:p>
        </w:tc>
        <w:tc>
          <w:tcPr>
            <w:tcW w:w="1087" w:type="dxa"/>
            <w:tcBorders>
              <w:top w:val="nil"/>
              <w:left w:val="nil"/>
              <w:bottom w:val="single" w:sz="4" w:space="0" w:color="auto"/>
              <w:right w:val="single" w:sz="4" w:space="0" w:color="auto"/>
            </w:tcBorders>
            <w:shd w:val="clear" w:color="auto" w:fill="FFFFFF" w:themeFill="background1"/>
            <w:noWrap/>
            <w:hideMark/>
          </w:tcPr>
          <w:p w14:paraId="41161396" w14:textId="77777777" w:rsidR="00D63001" w:rsidRPr="00D81064" w:rsidRDefault="00D63001" w:rsidP="00B55BD8">
            <w:pPr>
              <w:pStyle w:val="Tabletext"/>
              <w:ind w:right="57"/>
              <w:jc w:val="right"/>
              <w:rPr>
                <w:sz w:val="18"/>
                <w:szCs w:val="18"/>
                <w:lang w:val="ru-RU"/>
              </w:rPr>
            </w:pPr>
            <w:r w:rsidRPr="00D81064">
              <w:rPr>
                <w:sz w:val="18"/>
                <w:szCs w:val="18"/>
                <w:lang w:val="ru-RU"/>
              </w:rPr>
              <w:t>7 314,00</w:t>
            </w:r>
          </w:p>
        </w:tc>
        <w:tc>
          <w:tcPr>
            <w:tcW w:w="1087" w:type="dxa"/>
            <w:tcBorders>
              <w:top w:val="nil"/>
              <w:left w:val="nil"/>
              <w:bottom w:val="single" w:sz="4" w:space="0" w:color="auto"/>
              <w:right w:val="single" w:sz="4" w:space="0" w:color="auto"/>
            </w:tcBorders>
            <w:shd w:val="clear" w:color="auto" w:fill="FFFFFF" w:themeFill="background1"/>
            <w:noWrap/>
            <w:hideMark/>
          </w:tcPr>
          <w:p w14:paraId="06FA4440" w14:textId="77777777" w:rsidR="00D63001" w:rsidRPr="00D81064" w:rsidRDefault="00D63001" w:rsidP="00B55BD8">
            <w:pPr>
              <w:pStyle w:val="Tabletext"/>
              <w:ind w:right="57"/>
              <w:jc w:val="right"/>
              <w:rPr>
                <w:sz w:val="18"/>
                <w:szCs w:val="18"/>
                <w:lang w:val="ru-RU"/>
              </w:rPr>
            </w:pPr>
            <w:r w:rsidRPr="00D81064">
              <w:rPr>
                <w:sz w:val="18"/>
                <w:szCs w:val="18"/>
                <w:lang w:val="ru-RU"/>
              </w:rPr>
              <w:t>7 314,00</w:t>
            </w:r>
          </w:p>
        </w:tc>
      </w:tr>
      <w:tr w:rsidR="00D63001" w:rsidRPr="00D81064" w14:paraId="4E1DB1A0" w14:textId="77777777" w:rsidTr="00782D8A">
        <w:tc>
          <w:tcPr>
            <w:tcW w:w="1124" w:type="dxa"/>
            <w:tcBorders>
              <w:top w:val="nil"/>
              <w:left w:val="single" w:sz="4" w:space="0" w:color="auto"/>
              <w:bottom w:val="single" w:sz="4" w:space="0" w:color="auto"/>
              <w:right w:val="single" w:sz="4" w:space="0" w:color="auto"/>
            </w:tcBorders>
            <w:shd w:val="clear" w:color="auto" w:fill="FFFFFF" w:themeFill="background1"/>
          </w:tcPr>
          <w:p w14:paraId="3E411C9A" w14:textId="77777777" w:rsidR="00D63001" w:rsidRPr="00D81064" w:rsidRDefault="00D63001" w:rsidP="00782D8A">
            <w:pPr>
              <w:pStyle w:val="Tabletext"/>
              <w:jc w:val="center"/>
              <w:rPr>
                <w:sz w:val="18"/>
                <w:szCs w:val="18"/>
                <w:lang w:val="ru-RU"/>
              </w:rPr>
            </w:pPr>
            <w:r w:rsidRPr="00D81064">
              <w:rPr>
                <w:sz w:val="18"/>
                <w:szCs w:val="18"/>
                <w:lang w:val="ru-RU"/>
              </w:rPr>
              <w:t>14794</w:t>
            </w:r>
          </w:p>
        </w:tc>
        <w:tc>
          <w:tcPr>
            <w:tcW w:w="1418" w:type="dxa"/>
            <w:tcBorders>
              <w:top w:val="nil"/>
              <w:left w:val="single" w:sz="4" w:space="0" w:color="auto"/>
              <w:bottom w:val="single" w:sz="4" w:space="0" w:color="auto"/>
              <w:right w:val="single" w:sz="4" w:space="0" w:color="auto"/>
            </w:tcBorders>
            <w:shd w:val="clear" w:color="auto" w:fill="FFFFFF" w:themeFill="background1"/>
            <w:noWrap/>
          </w:tcPr>
          <w:p w14:paraId="62F31463" w14:textId="77777777" w:rsidR="00D63001" w:rsidRPr="00D81064" w:rsidRDefault="00D63001" w:rsidP="00782D8A">
            <w:pPr>
              <w:pStyle w:val="Tabletext"/>
              <w:rPr>
                <w:sz w:val="18"/>
                <w:szCs w:val="18"/>
                <w:lang w:val="ru-RU"/>
              </w:rPr>
            </w:pPr>
            <w:r w:rsidRPr="00D81064">
              <w:rPr>
                <w:sz w:val="18"/>
                <w:szCs w:val="18"/>
                <w:lang w:val="ru-RU"/>
              </w:rPr>
              <w:t>Казахстан</w:t>
            </w:r>
          </w:p>
        </w:tc>
        <w:tc>
          <w:tcPr>
            <w:tcW w:w="2551" w:type="dxa"/>
            <w:tcBorders>
              <w:top w:val="nil"/>
              <w:left w:val="nil"/>
              <w:bottom w:val="single" w:sz="4" w:space="0" w:color="auto"/>
              <w:right w:val="single" w:sz="4" w:space="0" w:color="auto"/>
            </w:tcBorders>
            <w:shd w:val="clear" w:color="auto" w:fill="FFFFFF" w:themeFill="background1"/>
          </w:tcPr>
          <w:p w14:paraId="22620F01" w14:textId="77777777" w:rsidR="00D63001" w:rsidRPr="00D81064" w:rsidRDefault="00D63001" w:rsidP="00782D8A">
            <w:pPr>
              <w:pStyle w:val="Tabletext"/>
              <w:rPr>
                <w:sz w:val="18"/>
                <w:szCs w:val="18"/>
                <w:lang w:val="ru-RU"/>
              </w:rPr>
            </w:pPr>
            <w:r w:rsidRPr="00D81064">
              <w:rPr>
                <w:sz w:val="18"/>
                <w:szCs w:val="18"/>
                <w:lang w:val="ru-RU" w:eastAsia="en-GB"/>
              </w:rPr>
              <w:t>Министерство искусственного интеллекта и цифрового развития</w:t>
            </w:r>
          </w:p>
        </w:tc>
        <w:tc>
          <w:tcPr>
            <w:tcW w:w="993" w:type="dxa"/>
            <w:tcBorders>
              <w:top w:val="nil"/>
              <w:left w:val="nil"/>
              <w:bottom w:val="single" w:sz="4" w:space="0" w:color="auto"/>
              <w:right w:val="single" w:sz="4" w:space="0" w:color="auto"/>
            </w:tcBorders>
            <w:shd w:val="clear" w:color="auto" w:fill="FFFFFF" w:themeFill="background1"/>
            <w:noWrap/>
          </w:tcPr>
          <w:p w14:paraId="26E66890" w14:textId="77777777" w:rsidR="00D63001" w:rsidRPr="00D81064" w:rsidRDefault="00D63001" w:rsidP="00782D8A">
            <w:pPr>
              <w:pStyle w:val="Tabletext"/>
              <w:jc w:val="center"/>
              <w:rPr>
                <w:sz w:val="18"/>
                <w:szCs w:val="18"/>
                <w:lang w:val="ru-RU"/>
              </w:rPr>
            </w:pPr>
            <w:proofErr w:type="gramStart"/>
            <w:r w:rsidRPr="00D81064">
              <w:rPr>
                <w:sz w:val="18"/>
                <w:szCs w:val="18"/>
                <w:lang w:val="ru-RU" w:eastAsia="en-GB"/>
              </w:rPr>
              <w:t>2024−2025</w:t>
            </w:r>
            <w:proofErr w:type="gramEnd"/>
          </w:p>
        </w:tc>
        <w:tc>
          <w:tcPr>
            <w:tcW w:w="1086" w:type="dxa"/>
            <w:tcBorders>
              <w:top w:val="nil"/>
              <w:left w:val="nil"/>
              <w:bottom w:val="single" w:sz="4" w:space="0" w:color="auto"/>
              <w:right w:val="single" w:sz="4" w:space="0" w:color="auto"/>
            </w:tcBorders>
            <w:shd w:val="clear" w:color="auto" w:fill="FFFFFF" w:themeFill="background1"/>
            <w:noWrap/>
          </w:tcPr>
          <w:p w14:paraId="704635ED" w14:textId="77777777" w:rsidR="00D63001" w:rsidRPr="00D81064" w:rsidRDefault="00D63001" w:rsidP="00B55BD8">
            <w:pPr>
              <w:pStyle w:val="Tabletext"/>
              <w:ind w:right="57"/>
              <w:jc w:val="right"/>
              <w:rPr>
                <w:sz w:val="18"/>
                <w:szCs w:val="18"/>
                <w:lang w:val="ru-RU"/>
              </w:rPr>
            </w:pPr>
            <w:r w:rsidRPr="00D81064">
              <w:rPr>
                <w:sz w:val="18"/>
                <w:szCs w:val="18"/>
                <w:lang w:val="ru-RU" w:eastAsia="en-GB"/>
              </w:rPr>
              <w:t>0,00</w:t>
            </w:r>
          </w:p>
        </w:tc>
        <w:tc>
          <w:tcPr>
            <w:tcW w:w="1087" w:type="dxa"/>
            <w:tcBorders>
              <w:top w:val="nil"/>
              <w:left w:val="nil"/>
              <w:bottom w:val="single" w:sz="4" w:space="0" w:color="auto"/>
              <w:right w:val="single" w:sz="4" w:space="0" w:color="auto"/>
            </w:tcBorders>
            <w:shd w:val="clear" w:color="auto" w:fill="FFFFFF" w:themeFill="background1"/>
            <w:noWrap/>
          </w:tcPr>
          <w:p w14:paraId="508FA83A" w14:textId="77777777" w:rsidR="00D63001" w:rsidRPr="00D81064" w:rsidRDefault="00D63001" w:rsidP="00B55BD8">
            <w:pPr>
              <w:pStyle w:val="Tabletext"/>
              <w:ind w:right="57"/>
              <w:jc w:val="right"/>
              <w:rPr>
                <w:sz w:val="18"/>
                <w:szCs w:val="18"/>
                <w:lang w:val="ru-RU"/>
              </w:rPr>
            </w:pPr>
            <w:r w:rsidRPr="00D81064">
              <w:rPr>
                <w:sz w:val="18"/>
                <w:szCs w:val="18"/>
                <w:lang w:val="ru-RU" w:eastAsia="en-GB"/>
              </w:rPr>
              <w:t>5 313,25</w:t>
            </w:r>
          </w:p>
        </w:tc>
        <w:tc>
          <w:tcPr>
            <w:tcW w:w="1087" w:type="dxa"/>
            <w:tcBorders>
              <w:top w:val="nil"/>
              <w:left w:val="nil"/>
              <w:bottom w:val="single" w:sz="4" w:space="0" w:color="auto"/>
              <w:right w:val="single" w:sz="4" w:space="0" w:color="auto"/>
            </w:tcBorders>
            <w:shd w:val="clear" w:color="auto" w:fill="FFFFFF" w:themeFill="background1"/>
            <w:noWrap/>
          </w:tcPr>
          <w:p w14:paraId="32359EE6" w14:textId="77777777" w:rsidR="00D63001" w:rsidRPr="00D81064" w:rsidRDefault="00D63001" w:rsidP="00B55BD8">
            <w:pPr>
              <w:pStyle w:val="Tabletext"/>
              <w:ind w:right="57"/>
              <w:jc w:val="right"/>
              <w:rPr>
                <w:sz w:val="18"/>
                <w:szCs w:val="18"/>
                <w:lang w:val="ru-RU"/>
              </w:rPr>
            </w:pPr>
            <w:r w:rsidRPr="00D81064">
              <w:rPr>
                <w:sz w:val="18"/>
                <w:szCs w:val="18"/>
                <w:lang w:val="ru-RU" w:eastAsia="en-GB"/>
              </w:rPr>
              <w:t>5 313,25</w:t>
            </w:r>
          </w:p>
        </w:tc>
      </w:tr>
      <w:tr w:rsidR="00D63001" w:rsidRPr="00D81064" w14:paraId="3F833ECF" w14:textId="77777777" w:rsidTr="00782D8A">
        <w:tc>
          <w:tcPr>
            <w:tcW w:w="1124" w:type="dxa"/>
            <w:tcBorders>
              <w:top w:val="nil"/>
              <w:left w:val="single" w:sz="4" w:space="0" w:color="auto"/>
              <w:bottom w:val="single" w:sz="4" w:space="0" w:color="auto"/>
              <w:right w:val="single" w:sz="4" w:space="0" w:color="auto"/>
            </w:tcBorders>
            <w:shd w:val="clear" w:color="auto" w:fill="FFFFFF" w:themeFill="background1"/>
          </w:tcPr>
          <w:p w14:paraId="64341952" w14:textId="77777777" w:rsidR="00D63001" w:rsidRPr="00D81064" w:rsidRDefault="00D63001" w:rsidP="00782D8A">
            <w:pPr>
              <w:pStyle w:val="Tabletext"/>
              <w:jc w:val="center"/>
              <w:rPr>
                <w:sz w:val="18"/>
                <w:szCs w:val="18"/>
                <w:lang w:val="ru-RU"/>
              </w:rPr>
            </w:pPr>
            <w:r w:rsidRPr="00D81064">
              <w:rPr>
                <w:sz w:val="18"/>
                <w:szCs w:val="18"/>
                <w:lang w:val="ru-RU"/>
              </w:rPr>
              <w:t>181</w:t>
            </w:r>
          </w:p>
        </w:tc>
        <w:tc>
          <w:tcPr>
            <w:tcW w:w="1418" w:type="dxa"/>
            <w:tcBorders>
              <w:top w:val="nil"/>
              <w:left w:val="single" w:sz="4" w:space="0" w:color="auto"/>
              <w:bottom w:val="single" w:sz="4" w:space="0" w:color="auto"/>
              <w:right w:val="single" w:sz="4" w:space="0" w:color="auto"/>
            </w:tcBorders>
            <w:shd w:val="clear" w:color="auto" w:fill="FFFFFF" w:themeFill="background1"/>
            <w:noWrap/>
            <w:hideMark/>
          </w:tcPr>
          <w:p w14:paraId="3DBC4298" w14:textId="77777777" w:rsidR="00D63001" w:rsidRPr="00D81064" w:rsidRDefault="00D63001" w:rsidP="00782D8A">
            <w:pPr>
              <w:pStyle w:val="Tabletext"/>
              <w:rPr>
                <w:sz w:val="18"/>
                <w:szCs w:val="18"/>
                <w:lang w:val="ru-RU"/>
              </w:rPr>
            </w:pPr>
            <w:r w:rsidRPr="00D81064">
              <w:rPr>
                <w:sz w:val="18"/>
                <w:szCs w:val="18"/>
                <w:lang w:val="ru-RU"/>
              </w:rPr>
              <w:t>Нигерия</w:t>
            </w:r>
          </w:p>
        </w:tc>
        <w:tc>
          <w:tcPr>
            <w:tcW w:w="2551" w:type="dxa"/>
            <w:tcBorders>
              <w:top w:val="nil"/>
              <w:left w:val="nil"/>
              <w:bottom w:val="single" w:sz="4" w:space="0" w:color="auto"/>
              <w:right w:val="single" w:sz="4" w:space="0" w:color="auto"/>
            </w:tcBorders>
            <w:shd w:val="clear" w:color="auto" w:fill="FFFFFF" w:themeFill="background1"/>
            <w:hideMark/>
          </w:tcPr>
          <w:p w14:paraId="7A5398F5" w14:textId="77777777" w:rsidR="00D63001" w:rsidRPr="00D81064" w:rsidRDefault="00D63001" w:rsidP="00782D8A">
            <w:pPr>
              <w:pStyle w:val="Tabletext"/>
              <w:rPr>
                <w:sz w:val="18"/>
                <w:szCs w:val="18"/>
                <w:lang w:val="ru-RU"/>
              </w:rPr>
            </w:pPr>
            <w:r w:rsidRPr="00D81064">
              <w:rPr>
                <w:sz w:val="18"/>
                <w:szCs w:val="18"/>
                <w:lang w:val="ru-RU"/>
              </w:rPr>
              <w:t>Федеральное министерство связи и цифровой экономики</w:t>
            </w:r>
          </w:p>
        </w:tc>
        <w:tc>
          <w:tcPr>
            <w:tcW w:w="993" w:type="dxa"/>
            <w:tcBorders>
              <w:top w:val="nil"/>
              <w:left w:val="nil"/>
              <w:bottom w:val="single" w:sz="4" w:space="0" w:color="auto"/>
              <w:right w:val="single" w:sz="4" w:space="0" w:color="auto"/>
            </w:tcBorders>
            <w:shd w:val="clear" w:color="auto" w:fill="FFFFFF" w:themeFill="background1"/>
            <w:noWrap/>
            <w:hideMark/>
          </w:tcPr>
          <w:p w14:paraId="741FE3BD" w14:textId="77777777" w:rsidR="00D63001" w:rsidRPr="00D81064" w:rsidRDefault="00D63001" w:rsidP="00782D8A">
            <w:pPr>
              <w:pStyle w:val="Tabletext"/>
              <w:jc w:val="center"/>
              <w:rPr>
                <w:sz w:val="18"/>
                <w:szCs w:val="18"/>
                <w:lang w:val="ru-RU"/>
              </w:rPr>
            </w:pPr>
            <w:proofErr w:type="gramStart"/>
            <w:r w:rsidRPr="00D81064">
              <w:rPr>
                <w:sz w:val="18"/>
                <w:szCs w:val="18"/>
                <w:lang w:val="ru-RU"/>
              </w:rPr>
              <w:t>2024−2025</w:t>
            </w:r>
            <w:proofErr w:type="gramEnd"/>
          </w:p>
        </w:tc>
        <w:tc>
          <w:tcPr>
            <w:tcW w:w="1086" w:type="dxa"/>
            <w:tcBorders>
              <w:top w:val="nil"/>
              <w:left w:val="nil"/>
              <w:bottom w:val="single" w:sz="4" w:space="0" w:color="auto"/>
              <w:right w:val="single" w:sz="4" w:space="0" w:color="auto"/>
            </w:tcBorders>
            <w:shd w:val="clear" w:color="auto" w:fill="FFFFFF" w:themeFill="background1"/>
            <w:noWrap/>
            <w:hideMark/>
          </w:tcPr>
          <w:p w14:paraId="0670C9DE" w14:textId="77777777" w:rsidR="00D63001" w:rsidRPr="00D81064" w:rsidRDefault="00D63001" w:rsidP="00B55BD8">
            <w:pPr>
              <w:pStyle w:val="Tabletext"/>
              <w:ind w:right="57"/>
              <w:jc w:val="right"/>
              <w:rPr>
                <w:sz w:val="18"/>
                <w:szCs w:val="18"/>
                <w:lang w:val="ru-RU"/>
              </w:rPr>
            </w:pPr>
            <w:r w:rsidRPr="00D81064">
              <w:rPr>
                <w:sz w:val="18"/>
                <w:szCs w:val="18"/>
                <w:lang w:val="ru-RU"/>
              </w:rPr>
              <w:t>0,00</w:t>
            </w:r>
          </w:p>
        </w:tc>
        <w:tc>
          <w:tcPr>
            <w:tcW w:w="1087" w:type="dxa"/>
            <w:tcBorders>
              <w:top w:val="nil"/>
              <w:left w:val="nil"/>
              <w:bottom w:val="single" w:sz="4" w:space="0" w:color="auto"/>
              <w:right w:val="single" w:sz="4" w:space="0" w:color="auto"/>
            </w:tcBorders>
            <w:shd w:val="clear" w:color="auto" w:fill="FFFFFF" w:themeFill="background1"/>
            <w:noWrap/>
            <w:hideMark/>
          </w:tcPr>
          <w:p w14:paraId="2FFCF509" w14:textId="77777777" w:rsidR="00D63001" w:rsidRPr="00D81064" w:rsidRDefault="00D63001" w:rsidP="00B55BD8">
            <w:pPr>
              <w:pStyle w:val="Tabletext"/>
              <w:ind w:right="57"/>
              <w:jc w:val="right"/>
              <w:rPr>
                <w:sz w:val="18"/>
                <w:szCs w:val="18"/>
                <w:lang w:val="ru-RU"/>
              </w:rPr>
            </w:pPr>
            <w:r w:rsidRPr="00D81064">
              <w:rPr>
                <w:sz w:val="18"/>
                <w:szCs w:val="18"/>
                <w:lang w:val="ru-RU"/>
              </w:rPr>
              <w:t>65 137,00</w:t>
            </w:r>
          </w:p>
        </w:tc>
        <w:tc>
          <w:tcPr>
            <w:tcW w:w="1087" w:type="dxa"/>
            <w:tcBorders>
              <w:top w:val="nil"/>
              <w:left w:val="nil"/>
              <w:bottom w:val="single" w:sz="4" w:space="0" w:color="auto"/>
              <w:right w:val="single" w:sz="4" w:space="0" w:color="auto"/>
            </w:tcBorders>
            <w:shd w:val="clear" w:color="auto" w:fill="FFFFFF" w:themeFill="background1"/>
            <w:noWrap/>
            <w:hideMark/>
          </w:tcPr>
          <w:p w14:paraId="16511444" w14:textId="77777777" w:rsidR="00D63001" w:rsidRPr="00D81064" w:rsidRDefault="00D63001" w:rsidP="00B55BD8">
            <w:pPr>
              <w:pStyle w:val="Tabletext"/>
              <w:ind w:right="57"/>
              <w:jc w:val="right"/>
              <w:rPr>
                <w:sz w:val="18"/>
                <w:szCs w:val="18"/>
                <w:lang w:val="ru-RU"/>
              </w:rPr>
            </w:pPr>
            <w:r w:rsidRPr="00D81064">
              <w:rPr>
                <w:sz w:val="18"/>
                <w:szCs w:val="18"/>
                <w:lang w:val="ru-RU"/>
              </w:rPr>
              <w:t>65 137,00</w:t>
            </w:r>
          </w:p>
        </w:tc>
      </w:tr>
      <w:tr w:rsidR="00D63001" w:rsidRPr="00D81064" w14:paraId="3AD172D1" w14:textId="77777777" w:rsidTr="00782D8A">
        <w:tc>
          <w:tcPr>
            <w:tcW w:w="1124" w:type="dxa"/>
            <w:tcBorders>
              <w:top w:val="nil"/>
              <w:left w:val="single" w:sz="4" w:space="0" w:color="auto"/>
              <w:bottom w:val="single" w:sz="4" w:space="0" w:color="auto"/>
              <w:right w:val="single" w:sz="4" w:space="0" w:color="auto"/>
            </w:tcBorders>
            <w:shd w:val="clear" w:color="auto" w:fill="FFFFFF" w:themeFill="background1"/>
          </w:tcPr>
          <w:p w14:paraId="290D5754" w14:textId="77777777" w:rsidR="00D63001" w:rsidRPr="00D81064" w:rsidRDefault="00D63001" w:rsidP="00782D8A">
            <w:pPr>
              <w:pStyle w:val="Tabletext"/>
              <w:jc w:val="center"/>
              <w:rPr>
                <w:sz w:val="18"/>
                <w:szCs w:val="18"/>
                <w:lang w:val="ru-RU"/>
              </w:rPr>
            </w:pPr>
            <w:r w:rsidRPr="00D81064">
              <w:rPr>
                <w:sz w:val="18"/>
                <w:szCs w:val="18"/>
                <w:lang w:val="ru-RU"/>
              </w:rPr>
              <w:t>195</w:t>
            </w:r>
          </w:p>
        </w:tc>
        <w:tc>
          <w:tcPr>
            <w:tcW w:w="1418" w:type="dxa"/>
            <w:tcBorders>
              <w:top w:val="nil"/>
              <w:left w:val="single" w:sz="4" w:space="0" w:color="auto"/>
              <w:bottom w:val="single" w:sz="4" w:space="0" w:color="auto"/>
              <w:right w:val="single" w:sz="4" w:space="0" w:color="auto"/>
            </w:tcBorders>
            <w:shd w:val="clear" w:color="auto" w:fill="FFFFFF" w:themeFill="background1"/>
            <w:noWrap/>
            <w:hideMark/>
          </w:tcPr>
          <w:p w14:paraId="7FDBF9F8" w14:textId="77777777" w:rsidR="00D63001" w:rsidRPr="00D81064" w:rsidRDefault="00D63001" w:rsidP="00782D8A">
            <w:pPr>
              <w:pStyle w:val="Tabletext"/>
              <w:rPr>
                <w:sz w:val="18"/>
                <w:szCs w:val="18"/>
                <w:lang w:val="ru-RU"/>
              </w:rPr>
            </w:pPr>
            <w:r w:rsidRPr="00D81064">
              <w:rPr>
                <w:sz w:val="18"/>
                <w:szCs w:val="18"/>
                <w:lang w:val="ru-RU"/>
              </w:rPr>
              <w:t>Пакистан</w:t>
            </w:r>
          </w:p>
        </w:tc>
        <w:tc>
          <w:tcPr>
            <w:tcW w:w="2551" w:type="dxa"/>
            <w:tcBorders>
              <w:top w:val="nil"/>
              <w:left w:val="nil"/>
              <w:bottom w:val="single" w:sz="4" w:space="0" w:color="auto"/>
              <w:right w:val="single" w:sz="4" w:space="0" w:color="auto"/>
            </w:tcBorders>
            <w:shd w:val="clear" w:color="auto" w:fill="FFFFFF" w:themeFill="background1"/>
            <w:hideMark/>
          </w:tcPr>
          <w:p w14:paraId="351191BC" w14:textId="77777777" w:rsidR="00D63001" w:rsidRPr="00D81064" w:rsidRDefault="00D63001" w:rsidP="00782D8A">
            <w:pPr>
              <w:pStyle w:val="Tabletext"/>
              <w:rPr>
                <w:sz w:val="18"/>
                <w:szCs w:val="18"/>
                <w:lang w:val="ru-RU"/>
              </w:rPr>
            </w:pPr>
            <w:r w:rsidRPr="00D81064">
              <w:rPr>
                <w:sz w:val="18"/>
                <w:szCs w:val="18"/>
                <w:lang w:val="ru-RU"/>
              </w:rPr>
              <w:t>Министерство информационных технологий</w:t>
            </w:r>
          </w:p>
        </w:tc>
        <w:tc>
          <w:tcPr>
            <w:tcW w:w="993" w:type="dxa"/>
            <w:tcBorders>
              <w:top w:val="nil"/>
              <w:left w:val="nil"/>
              <w:bottom w:val="single" w:sz="4" w:space="0" w:color="auto"/>
              <w:right w:val="single" w:sz="4" w:space="0" w:color="auto"/>
            </w:tcBorders>
            <w:shd w:val="clear" w:color="auto" w:fill="FFFFFF" w:themeFill="background1"/>
            <w:noWrap/>
            <w:hideMark/>
          </w:tcPr>
          <w:p w14:paraId="7E10AFD6" w14:textId="77777777" w:rsidR="00D63001" w:rsidRPr="00D81064" w:rsidRDefault="00D63001" w:rsidP="00782D8A">
            <w:pPr>
              <w:pStyle w:val="Tabletext"/>
              <w:jc w:val="center"/>
              <w:rPr>
                <w:sz w:val="18"/>
                <w:szCs w:val="18"/>
                <w:lang w:val="ru-RU"/>
              </w:rPr>
            </w:pPr>
            <w:r w:rsidRPr="00D81064">
              <w:rPr>
                <w:sz w:val="18"/>
                <w:szCs w:val="18"/>
                <w:lang w:val="ru-RU"/>
              </w:rPr>
              <w:t>2025</w:t>
            </w:r>
          </w:p>
        </w:tc>
        <w:tc>
          <w:tcPr>
            <w:tcW w:w="1086" w:type="dxa"/>
            <w:tcBorders>
              <w:top w:val="nil"/>
              <w:left w:val="nil"/>
              <w:bottom w:val="single" w:sz="4" w:space="0" w:color="auto"/>
              <w:right w:val="single" w:sz="4" w:space="0" w:color="auto"/>
            </w:tcBorders>
            <w:shd w:val="clear" w:color="auto" w:fill="FFFFFF" w:themeFill="background1"/>
            <w:noWrap/>
            <w:hideMark/>
          </w:tcPr>
          <w:p w14:paraId="61369D13" w14:textId="77777777" w:rsidR="00D63001" w:rsidRPr="00D81064" w:rsidRDefault="00D63001" w:rsidP="00B55BD8">
            <w:pPr>
              <w:pStyle w:val="Tabletext"/>
              <w:ind w:right="57"/>
              <w:jc w:val="right"/>
              <w:rPr>
                <w:sz w:val="18"/>
                <w:szCs w:val="18"/>
                <w:lang w:val="ru-RU"/>
              </w:rPr>
            </w:pPr>
            <w:r w:rsidRPr="00D81064">
              <w:rPr>
                <w:sz w:val="18"/>
                <w:szCs w:val="18"/>
                <w:lang w:val="ru-RU"/>
              </w:rPr>
              <w:t>0,00</w:t>
            </w:r>
          </w:p>
        </w:tc>
        <w:tc>
          <w:tcPr>
            <w:tcW w:w="1087" w:type="dxa"/>
            <w:tcBorders>
              <w:top w:val="nil"/>
              <w:left w:val="nil"/>
              <w:bottom w:val="single" w:sz="4" w:space="0" w:color="auto"/>
              <w:right w:val="single" w:sz="4" w:space="0" w:color="auto"/>
            </w:tcBorders>
            <w:shd w:val="clear" w:color="auto" w:fill="FFFFFF" w:themeFill="background1"/>
            <w:noWrap/>
            <w:hideMark/>
          </w:tcPr>
          <w:p w14:paraId="0734D752" w14:textId="77777777" w:rsidR="00D63001" w:rsidRPr="00D81064" w:rsidRDefault="00D63001" w:rsidP="00B55BD8">
            <w:pPr>
              <w:pStyle w:val="Tabletext"/>
              <w:ind w:right="57"/>
              <w:jc w:val="right"/>
              <w:rPr>
                <w:sz w:val="18"/>
                <w:szCs w:val="18"/>
                <w:lang w:val="ru-RU"/>
              </w:rPr>
            </w:pPr>
            <w:r w:rsidRPr="00D81064">
              <w:rPr>
                <w:sz w:val="18"/>
                <w:szCs w:val="18"/>
                <w:lang w:val="ru-RU"/>
              </w:rPr>
              <w:t>1 972,60</w:t>
            </w:r>
          </w:p>
        </w:tc>
        <w:tc>
          <w:tcPr>
            <w:tcW w:w="1087" w:type="dxa"/>
            <w:tcBorders>
              <w:top w:val="nil"/>
              <w:left w:val="nil"/>
              <w:bottom w:val="single" w:sz="4" w:space="0" w:color="auto"/>
              <w:right w:val="single" w:sz="4" w:space="0" w:color="auto"/>
            </w:tcBorders>
            <w:shd w:val="clear" w:color="auto" w:fill="FFFFFF" w:themeFill="background1"/>
            <w:noWrap/>
            <w:hideMark/>
          </w:tcPr>
          <w:p w14:paraId="11350A1B" w14:textId="77777777" w:rsidR="00D63001" w:rsidRPr="00D81064" w:rsidRDefault="00D63001" w:rsidP="00B55BD8">
            <w:pPr>
              <w:pStyle w:val="Tabletext"/>
              <w:ind w:right="57"/>
              <w:jc w:val="right"/>
              <w:rPr>
                <w:sz w:val="18"/>
                <w:szCs w:val="18"/>
                <w:lang w:val="ru-RU"/>
              </w:rPr>
            </w:pPr>
            <w:r w:rsidRPr="00D81064">
              <w:rPr>
                <w:sz w:val="18"/>
                <w:szCs w:val="18"/>
                <w:lang w:val="ru-RU"/>
              </w:rPr>
              <w:t>1 972,60</w:t>
            </w:r>
          </w:p>
        </w:tc>
      </w:tr>
      <w:tr w:rsidR="00D63001" w:rsidRPr="00D81064" w14:paraId="6ABBC9B1" w14:textId="77777777" w:rsidTr="00782D8A">
        <w:tc>
          <w:tcPr>
            <w:tcW w:w="6086" w:type="dxa"/>
            <w:gridSpan w:val="4"/>
            <w:tcBorders>
              <w:top w:val="single" w:sz="8" w:space="0" w:color="auto"/>
              <w:left w:val="single" w:sz="8" w:space="0" w:color="auto"/>
              <w:bottom w:val="single" w:sz="8" w:space="0" w:color="000000" w:themeColor="text1"/>
              <w:right w:val="single" w:sz="8" w:space="0" w:color="000000" w:themeColor="text1"/>
            </w:tcBorders>
          </w:tcPr>
          <w:p w14:paraId="102EA0EF" w14:textId="77777777" w:rsidR="00D63001" w:rsidRPr="00D81064" w:rsidRDefault="00D63001" w:rsidP="00782D8A">
            <w:pPr>
              <w:pStyle w:val="Tabletext"/>
              <w:jc w:val="center"/>
              <w:rPr>
                <w:b/>
                <w:bCs/>
                <w:i/>
                <w:iCs/>
                <w:sz w:val="18"/>
                <w:szCs w:val="18"/>
                <w:lang w:val="ru-RU"/>
              </w:rPr>
            </w:pPr>
            <w:r w:rsidRPr="00D81064">
              <w:rPr>
                <w:b/>
                <w:bCs/>
                <w:i/>
                <w:iCs/>
                <w:sz w:val="18"/>
                <w:szCs w:val="18"/>
                <w:lang w:val="ru-RU"/>
              </w:rPr>
              <w:t>1</w:t>
            </w:r>
            <w:r w:rsidRPr="00D81064">
              <w:rPr>
                <w:b/>
                <w:bCs/>
                <w:i/>
                <w:iCs/>
                <w:sz w:val="18"/>
                <w:szCs w:val="18"/>
                <w:lang w:val="ru-RU"/>
              </w:rPr>
              <w:tab/>
              <w:t xml:space="preserve">Промежуточный итог </w:t>
            </w:r>
            <w:r w:rsidRPr="00D81064">
              <w:rPr>
                <w:rFonts w:cs="Calibri"/>
                <w:b/>
                <w:bCs/>
                <w:i/>
                <w:iCs/>
                <w:sz w:val="18"/>
                <w:szCs w:val="18"/>
                <w:lang w:val="ru-RU"/>
              </w:rPr>
              <w:t>–</w:t>
            </w:r>
            <w:r w:rsidRPr="00D81064">
              <w:rPr>
                <w:b/>
                <w:bCs/>
                <w:i/>
                <w:iCs/>
                <w:sz w:val="18"/>
                <w:szCs w:val="18"/>
                <w:lang w:val="ru-RU"/>
              </w:rPr>
              <w:t xml:space="preserve"> администрации</w:t>
            </w:r>
          </w:p>
        </w:tc>
        <w:tc>
          <w:tcPr>
            <w:tcW w:w="1086" w:type="dxa"/>
            <w:tcBorders>
              <w:top w:val="single" w:sz="8" w:space="0" w:color="auto"/>
              <w:left w:val="nil"/>
              <w:bottom w:val="single" w:sz="8" w:space="0" w:color="auto"/>
              <w:right w:val="single" w:sz="8" w:space="0" w:color="auto"/>
            </w:tcBorders>
            <w:noWrap/>
            <w:vAlign w:val="center"/>
            <w:hideMark/>
          </w:tcPr>
          <w:p w14:paraId="67E09E9A" w14:textId="77777777" w:rsidR="00D63001" w:rsidRPr="00D81064" w:rsidRDefault="00D63001" w:rsidP="00B55BD8">
            <w:pPr>
              <w:pStyle w:val="Tabletext"/>
              <w:ind w:right="57"/>
              <w:jc w:val="right"/>
              <w:rPr>
                <w:b/>
                <w:bCs/>
                <w:sz w:val="18"/>
                <w:szCs w:val="18"/>
                <w:lang w:val="ru-RU"/>
              </w:rPr>
            </w:pPr>
            <w:r w:rsidRPr="00D81064">
              <w:rPr>
                <w:b/>
                <w:bCs/>
                <w:sz w:val="18"/>
                <w:szCs w:val="18"/>
                <w:lang w:val="ru-RU"/>
              </w:rPr>
              <w:t>0,00</w:t>
            </w:r>
          </w:p>
        </w:tc>
        <w:tc>
          <w:tcPr>
            <w:tcW w:w="1087" w:type="dxa"/>
            <w:tcBorders>
              <w:top w:val="single" w:sz="8" w:space="0" w:color="auto"/>
              <w:left w:val="nil"/>
              <w:bottom w:val="single" w:sz="8" w:space="0" w:color="auto"/>
              <w:right w:val="single" w:sz="8" w:space="0" w:color="auto"/>
            </w:tcBorders>
            <w:noWrap/>
            <w:vAlign w:val="center"/>
            <w:hideMark/>
          </w:tcPr>
          <w:p w14:paraId="2F31797A" w14:textId="77777777" w:rsidR="00D63001" w:rsidRPr="00D81064" w:rsidRDefault="00D63001" w:rsidP="00B55BD8">
            <w:pPr>
              <w:pStyle w:val="Tabletext"/>
              <w:ind w:right="57"/>
              <w:jc w:val="right"/>
              <w:rPr>
                <w:b/>
                <w:bCs/>
                <w:sz w:val="18"/>
                <w:szCs w:val="18"/>
                <w:lang w:val="ru-RU"/>
              </w:rPr>
            </w:pPr>
            <w:r w:rsidRPr="00D81064">
              <w:rPr>
                <w:b/>
                <w:bCs/>
                <w:sz w:val="18"/>
                <w:szCs w:val="18"/>
                <w:lang w:val="ru-RU" w:eastAsia="en-GB"/>
              </w:rPr>
              <w:t>171</w:t>
            </w:r>
            <w:r w:rsidRPr="00D81064">
              <w:rPr>
                <w:sz w:val="18"/>
                <w:szCs w:val="18"/>
                <w:lang w:val="ru-RU" w:eastAsia="en-GB"/>
              </w:rPr>
              <w:t> </w:t>
            </w:r>
            <w:r w:rsidRPr="00D81064">
              <w:rPr>
                <w:b/>
                <w:bCs/>
                <w:sz w:val="18"/>
                <w:szCs w:val="18"/>
                <w:lang w:val="ru-RU" w:eastAsia="en-GB"/>
              </w:rPr>
              <w:t>052,15</w:t>
            </w:r>
          </w:p>
        </w:tc>
        <w:tc>
          <w:tcPr>
            <w:tcW w:w="1087" w:type="dxa"/>
            <w:tcBorders>
              <w:top w:val="single" w:sz="8" w:space="0" w:color="auto"/>
              <w:left w:val="nil"/>
              <w:bottom w:val="single" w:sz="8" w:space="0" w:color="auto"/>
              <w:right w:val="single" w:sz="8" w:space="0" w:color="auto"/>
            </w:tcBorders>
            <w:noWrap/>
            <w:vAlign w:val="center"/>
            <w:hideMark/>
          </w:tcPr>
          <w:p w14:paraId="180DF6A5" w14:textId="77777777" w:rsidR="00D63001" w:rsidRPr="00D81064" w:rsidRDefault="00D63001" w:rsidP="00B55BD8">
            <w:pPr>
              <w:pStyle w:val="Tabletext"/>
              <w:ind w:right="57"/>
              <w:jc w:val="right"/>
              <w:rPr>
                <w:b/>
                <w:bCs/>
                <w:sz w:val="18"/>
                <w:szCs w:val="18"/>
                <w:lang w:val="ru-RU"/>
              </w:rPr>
            </w:pPr>
            <w:r w:rsidRPr="00D81064">
              <w:rPr>
                <w:b/>
                <w:bCs/>
                <w:sz w:val="18"/>
                <w:szCs w:val="18"/>
                <w:lang w:val="ru-RU" w:eastAsia="en-GB"/>
              </w:rPr>
              <w:t>171</w:t>
            </w:r>
            <w:r w:rsidRPr="00D81064">
              <w:rPr>
                <w:sz w:val="18"/>
                <w:szCs w:val="18"/>
                <w:lang w:val="ru-RU" w:eastAsia="en-GB"/>
              </w:rPr>
              <w:t> </w:t>
            </w:r>
            <w:r w:rsidRPr="00D81064">
              <w:rPr>
                <w:b/>
                <w:bCs/>
                <w:sz w:val="18"/>
                <w:szCs w:val="18"/>
                <w:lang w:val="ru-RU" w:eastAsia="en-GB"/>
              </w:rPr>
              <w:t>052,15</w:t>
            </w:r>
          </w:p>
        </w:tc>
      </w:tr>
      <w:tr w:rsidR="00D63001" w:rsidRPr="00D81064" w14:paraId="7EA26C5E" w14:textId="77777777" w:rsidTr="00782D8A">
        <w:tc>
          <w:tcPr>
            <w:tcW w:w="1124" w:type="dxa"/>
            <w:tcBorders>
              <w:top w:val="single" w:sz="4" w:space="0" w:color="auto"/>
              <w:left w:val="single" w:sz="4" w:space="0" w:color="auto"/>
              <w:bottom w:val="single" w:sz="4" w:space="0" w:color="auto"/>
              <w:right w:val="single" w:sz="4" w:space="0" w:color="auto"/>
            </w:tcBorders>
            <w:shd w:val="clear" w:color="auto" w:fill="FFFFFF" w:themeFill="background1"/>
          </w:tcPr>
          <w:p w14:paraId="41357C85" w14:textId="77777777" w:rsidR="00D63001" w:rsidRPr="00D81064" w:rsidRDefault="00D63001" w:rsidP="00782D8A">
            <w:pPr>
              <w:pStyle w:val="Tabletext"/>
              <w:jc w:val="center"/>
              <w:rPr>
                <w:sz w:val="18"/>
                <w:szCs w:val="18"/>
                <w:lang w:val="ru-RU"/>
              </w:rPr>
            </w:pPr>
            <w:r w:rsidRPr="00D81064">
              <w:rPr>
                <w:sz w:val="18"/>
                <w:szCs w:val="18"/>
                <w:lang w:val="ru-RU"/>
              </w:rPr>
              <w:t>62460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F6BF67" w14:textId="77777777" w:rsidR="00D63001" w:rsidRPr="00D81064" w:rsidRDefault="00D63001" w:rsidP="00782D8A">
            <w:pPr>
              <w:pStyle w:val="Tabletext"/>
              <w:rPr>
                <w:sz w:val="18"/>
                <w:szCs w:val="18"/>
                <w:lang w:val="ru-RU"/>
              </w:rPr>
            </w:pPr>
            <w:r w:rsidRPr="00D81064">
              <w:rPr>
                <w:sz w:val="18"/>
                <w:szCs w:val="18"/>
                <w:lang w:val="ru-RU"/>
              </w:rPr>
              <w:t>Камбоджа</w:t>
            </w:r>
          </w:p>
        </w:tc>
        <w:tc>
          <w:tcPr>
            <w:tcW w:w="2551" w:type="dxa"/>
            <w:tcBorders>
              <w:top w:val="single" w:sz="4" w:space="0" w:color="auto"/>
              <w:left w:val="nil"/>
              <w:bottom w:val="single" w:sz="4" w:space="0" w:color="auto"/>
              <w:right w:val="single" w:sz="4" w:space="0" w:color="auto"/>
            </w:tcBorders>
            <w:shd w:val="clear" w:color="auto" w:fill="FFFFFF" w:themeFill="background1"/>
            <w:hideMark/>
          </w:tcPr>
          <w:p w14:paraId="04199808" w14:textId="77777777" w:rsidR="00D63001" w:rsidRPr="00115736" w:rsidRDefault="00D63001" w:rsidP="00782D8A">
            <w:pPr>
              <w:pStyle w:val="Tabletext"/>
              <w:rPr>
                <w:sz w:val="18"/>
                <w:szCs w:val="18"/>
              </w:rPr>
            </w:pPr>
            <w:r w:rsidRPr="00115736">
              <w:rPr>
                <w:sz w:val="18"/>
                <w:szCs w:val="18"/>
              </w:rPr>
              <w:t xml:space="preserve">CHUAN WEI (Cambodia) Co Ltd, </w:t>
            </w:r>
            <w:r w:rsidRPr="00D81064">
              <w:rPr>
                <w:sz w:val="18"/>
                <w:szCs w:val="18"/>
                <w:lang w:val="ru-RU"/>
              </w:rPr>
              <w:t>Пномпень</w:t>
            </w:r>
          </w:p>
        </w:tc>
        <w:tc>
          <w:tcPr>
            <w:tcW w:w="993" w:type="dxa"/>
            <w:tcBorders>
              <w:top w:val="single" w:sz="4" w:space="0" w:color="auto"/>
              <w:left w:val="nil"/>
              <w:bottom w:val="single" w:sz="4" w:space="0" w:color="auto"/>
              <w:right w:val="single" w:sz="4" w:space="0" w:color="auto"/>
            </w:tcBorders>
            <w:shd w:val="clear" w:color="auto" w:fill="FFFFFF" w:themeFill="background1"/>
            <w:hideMark/>
          </w:tcPr>
          <w:p w14:paraId="64EA1491" w14:textId="77777777" w:rsidR="00D63001" w:rsidRPr="00D81064" w:rsidRDefault="00D63001" w:rsidP="00782D8A">
            <w:pPr>
              <w:pStyle w:val="Tabletext"/>
              <w:jc w:val="center"/>
              <w:rPr>
                <w:sz w:val="18"/>
                <w:szCs w:val="18"/>
                <w:lang w:val="ru-RU"/>
              </w:rPr>
            </w:pPr>
            <w:r w:rsidRPr="00D81064">
              <w:rPr>
                <w:sz w:val="18"/>
                <w:szCs w:val="18"/>
                <w:lang w:val="ru-RU"/>
              </w:rPr>
              <w:t>2020</w:t>
            </w:r>
          </w:p>
        </w:tc>
        <w:tc>
          <w:tcPr>
            <w:tcW w:w="1086" w:type="dxa"/>
            <w:tcBorders>
              <w:top w:val="single" w:sz="4" w:space="0" w:color="auto"/>
              <w:left w:val="nil"/>
              <w:bottom w:val="single" w:sz="4" w:space="0" w:color="auto"/>
              <w:right w:val="single" w:sz="4" w:space="0" w:color="auto"/>
            </w:tcBorders>
            <w:shd w:val="clear" w:color="auto" w:fill="FFFFFF" w:themeFill="background1"/>
            <w:hideMark/>
          </w:tcPr>
          <w:p w14:paraId="0323D838" w14:textId="77777777" w:rsidR="00D63001" w:rsidRPr="00D81064" w:rsidRDefault="00D63001" w:rsidP="00B55BD8">
            <w:pPr>
              <w:pStyle w:val="Tabletext"/>
              <w:ind w:right="57"/>
              <w:jc w:val="right"/>
              <w:rPr>
                <w:sz w:val="18"/>
                <w:szCs w:val="18"/>
                <w:lang w:val="ru-RU"/>
              </w:rPr>
            </w:pPr>
            <w:r w:rsidRPr="00D81064">
              <w:rPr>
                <w:sz w:val="18"/>
                <w:szCs w:val="18"/>
                <w:lang w:val="ru-RU"/>
              </w:rPr>
              <w:t>7 950,00</w:t>
            </w:r>
          </w:p>
        </w:tc>
        <w:tc>
          <w:tcPr>
            <w:tcW w:w="1087" w:type="dxa"/>
            <w:tcBorders>
              <w:top w:val="single" w:sz="4" w:space="0" w:color="auto"/>
              <w:left w:val="nil"/>
              <w:bottom w:val="single" w:sz="4" w:space="0" w:color="auto"/>
              <w:right w:val="single" w:sz="4" w:space="0" w:color="auto"/>
            </w:tcBorders>
            <w:shd w:val="clear" w:color="auto" w:fill="FFFFFF" w:themeFill="background1"/>
            <w:noWrap/>
            <w:hideMark/>
          </w:tcPr>
          <w:p w14:paraId="112A9225" w14:textId="77777777" w:rsidR="00D63001" w:rsidRPr="00D81064" w:rsidRDefault="00D63001" w:rsidP="00B55BD8">
            <w:pPr>
              <w:pStyle w:val="Tabletext"/>
              <w:ind w:right="57"/>
              <w:jc w:val="right"/>
              <w:rPr>
                <w:sz w:val="18"/>
                <w:szCs w:val="18"/>
                <w:lang w:val="ru-RU"/>
              </w:rPr>
            </w:pPr>
            <w:r w:rsidRPr="00D81064">
              <w:rPr>
                <w:sz w:val="18"/>
                <w:szCs w:val="18"/>
                <w:lang w:val="ru-RU"/>
              </w:rPr>
              <w:t>2 768,75</w:t>
            </w:r>
          </w:p>
        </w:tc>
        <w:tc>
          <w:tcPr>
            <w:tcW w:w="1087" w:type="dxa"/>
            <w:tcBorders>
              <w:top w:val="single" w:sz="4" w:space="0" w:color="auto"/>
              <w:left w:val="nil"/>
              <w:bottom w:val="single" w:sz="4" w:space="0" w:color="auto"/>
              <w:right w:val="single" w:sz="4" w:space="0" w:color="auto"/>
            </w:tcBorders>
            <w:shd w:val="clear" w:color="auto" w:fill="FFFFFF" w:themeFill="background1"/>
            <w:hideMark/>
          </w:tcPr>
          <w:p w14:paraId="293558F5" w14:textId="77777777" w:rsidR="00D63001" w:rsidRPr="00D81064" w:rsidRDefault="00D63001" w:rsidP="00B55BD8">
            <w:pPr>
              <w:pStyle w:val="Tabletext"/>
              <w:ind w:right="57"/>
              <w:jc w:val="right"/>
              <w:rPr>
                <w:sz w:val="18"/>
                <w:szCs w:val="18"/>
                <w:lang w:val="ru-RU"/>
              </w:rPr>
            </w:pPr>
            <w:r w:rsidRPr="00D81064">
              <w:rPr>
                <w:sz w:val="18"/>
                <w:szCs w:val="18"/>
                <w:lang w:val="ru-RU"/>
              </w:rPr>
              <w:t>10 718,75</w:t>
            </w:r>
          </w:p>
        </w:tc>
      </w:tr>
      <w:tr w:rsidR="00D63001" w:rsidRPr="00D81064" w14:paraId="3D157967" w14:textId="77777777" w:rsidTr="00782D8A">
        <w:tc>
          <w:tcPr>
            <w:tcW w:w="1124" w:type="dxa"/>
            <w:tcBorders>
              <w:top w:val="nil"/>
              <w:left w:val="single" w:sz="4" w:space="0" w:color="auto"/>
              <w:bottom w:val="single" w:sz="4" w:space="0" w:color="auto"/>
              <w:right w:val="single" w:sz="4" w:space="0" w:color="auto"/>
            </w:tcBorders>
            <w:shd w:val="clear" w:color="auto" w:fill="FFFFFF" w:themeFill="background1"/>
          </w:tcPr>
          <w:p w14:paraId="38244949" w14:textId="77777777" w:rsidR="00D63001" w:rsidRPr="00D81064" w:rsidRDefault="00D63001" w:rsidP="00782D8A">
            <w:pPr>
              <w:pStyle w:val="Tabletext"/>
              <w:jc w:val="center"/>
              <w:rPr>
                <w:sz w:val="18"/>
                <w:szCs w:val="18"/>
                <w:lang w:val="ru-RU"/>
              </w:rPr>
            </w:pPr>
            <w:r w:rsidRPr="00D81064">
              <w:rPr>
                <w:sz w:val="18"/>
                <w:szCs w:val="18"/>
                <w:lang w:val="ru-RU"/>
              </w:rPr>
              <w:t>1200173860</w:t>
            </w:r>
          </w:p>
        </w:tc>
        <w:tc>
          <w:tcPr>
            <w:tcW w:w="1418" w:type="dxa"/>
            <w:tcBorders>
              <w:top w:val="nil"/>
              <w:left w:val="single" w:sz="4" w:space="0" w:color="auto"/>
              <w:bottom w:val="single" w:sz="4" w:space="0" w:color="auto"/>
              <w:right w:val="single" w:sz="4" w:space="0" w:color="auto"/>
            </w:tcBorders>
            <w:shd w:val="clear" w:color="auto" w:fill="FFFFFF" w:themeFill="background1"/>
            <w:hideMark/>
          </w:tcPr>
          <w:p w14:paraId="631C482A" w14:textId="77777777" w:rsidR="00D63001" w:rsidRPr="00D81064" w:rsidRDefault="00D63001" w:rsidP="00782D8A">
            <w:pPr>
              <w:pStyle w:val="Tabletext"/>
              <w:rPr>
                <w:sz w:val="18"/>
                <w:szCs w:val="18"/>
                <w:lang w:val="ru-RU"/>
              </w:rPr>
            </w:pPr>
            <w:r w:rsidRPr="00D81064">
              <w:rPr>
                <w:sz w:val="18"/>
                <w:szCs w:val="18"/>
                <w:lang w:val="ru-RU"/>
              </w:rPr>
              <w:t>Китай</w:t>
            </w:r>
          </w:p>
        </w:tc>
        <w:tc>
          <w:tcPr>
            <w:tcW w:w="2551" w:type="dxa"/>
            <w:tcBorders>
              <w:top w:val="nil"/>
              <w:left w:val="nil"/>
              <w:bottom w:val="single" w:sz="4" w:space="0" w:color="auto"/>
              <w:right w:val="single" w:sz="4" w:space="0" w:color="auto"/>
            </w:tcBorders>
            <w:shd w:val="clear" w:color="auto" w:fill="FFFFFF" w:themeFill="background1"/>
            <w:hideMark/>
          </w:tcPr>
          <w:p w14:paraId="4F095A82" w14:textId="77777777" w:rsidR="00D63001" w:rsidRPr="00D81064" w:rsidRDefault="00D63001" w:rsidP="00782D8A">
            <w:pPr>
              <w:pStyle w:val="Tabletext"/>
              <w:rPr>
                <w:sz w:val="18"/>
                <w:szCs w:val="18"/>
                <w:lang w:val="ru-RU"/>
              </w:rPr>
            </w:pPr>
            <w:r w:rsidRPr="00D81064">
              <w:rPr>
                <w:sz w:val="18"/>
                <w:szCs w:val="18"/>
                <w:lang w:val="ru-RU"/>
              </w:rPr>
              <w:t xml:space="preserve">Yong Xin </w:t>
            </w:r>
            <w:proofErr w:type="spellStart"/>
            <w:r w:rsidRPr="00D81064">
              <w:rPr>
                <w:sz w:val="18"/>
                <w:szCs w:val="18"/>
                <w:lang w:val="ru-RU"/>
              </w:rPr>
              <w:t>Hua</w:t>
            </w:r>
            <w:proofErr w:type="spellEnd"/>
            <w:r w:rsidRPr="00D81064">
              <w:rPr>
                <w:sz w:val="18"/>
                <w:szCs w:val="18"/>
                <w:lang w:val="ru-RU"/>
              </w:rPr>
              <w:t xml:space="preserve"> </w:t>
            </w:r>
            <w:proofErr w:type="spellStart"/>
            <w:r w:rsidRPr="00D81064">
              <w:rPr>
                <w:sz w:val="18"/>
                <w:szCs w:val="18"/>
                <w:lang w:val="ru-RU"/>
              </w:rPr>
              <w:t>Yun</w:t>
            </w:r>
            <w:proofErr w:type="spellEnd"/>
            <w:r w:rsidRPr="00D81064">
              <w:rPr>
                <w:sz w:val="18"/>
                <w:szCs w:val="18"/>
                <w:lang w:val="ru-RU"/>
              </w:rPr>
              <w:t xml:space="preserve"> </w:t>
            </w:r>
            <w:proofErr w:type="spellStart"/>
            <w:r w:rsidRPr="00D81064">
              <w:rPr>
                <w:sz w:val="18"/>
                <w:szCs w:val="18"/>
                <w:lang w:val="ru-RU"/>
              </w:rPr>
              <w:t>Cultural</w:t>
            </w:r>
            <w:proofErr w:type="spellEnd"/>
            <w:r w:rsidRPr="00D81064">
              <w:rPr>
                <w:sz w:val="18"/>
                <w:szCs w:val="18"/>
                <w:lang w:val="ru-RU"/>
              </w:rPr>
              <w:t>, Пекин</w:t>
            </w:r>
          </w:p>
        </w:tc>
        <w:tc>
          <w:tcPr>
            <w:tcW w:w="993" w:type="dxa"/>
            <w:tcBorders>
              <w:top w:val="nil"/>
              <w:left w:val="nil"/>
              <w:bottom w:val="single" w:sz="4" w:space="0" w:color="auto"/>
              <w:right w:val="single" w:sz="4" w:space="0" w:color="auto"/>
            </w:tcBorders>
            <w:shd w:val="clear" w:color="auto" w:fill="FFFFFF" w:themeFill="background1"/>
            <w:noWrap/>
            <w:hideMark/>
          </w:tcPr>
          <w:p w14:paraId="34E2129B" w14:textId="77777777" w:rsidR="00D63001" w:rsidRPr="00D81064" w:rsidRDefault="00D63001" w:rsidP="00782D8A">
            <w:pPr>
              <w:pStyle w:val="Tabletext"/>
              <w:jc w:val="center"/>
              <w:rPr>
                <w:sz w:val="18"/>
                <w:szCs w:val="18"/>
                <w:lang w:val="ru-RU"/>
              </w:rPr>
            </w:pPr>
            <w:r w:rsidRPr="00D81064">
              <w:rPr>
                <w:sz w:val="18"/>
                <w:szCs w:val="18"/>
                <w:lang w:val="ru-RU"/>
              </w:rPr>
              <w:t>2020</w:t>
            </w:r>
          </w:p>
        </w:tc>
        <w:tc>
          <w:tcPr>
            <w:tcW w:w="1086" w:type="dxa"/>
            <w:tcBorders>
              <w:top w:val="nil"/>
              <w:left w:val="nil"/>
              <w:bottom w:val="single" w:sz="4" w:space="0" w:color="auto"/>
              <w:right w:val="single" w:sz="4" w:space="0" w:color="auto"/>
            </w:tcBorders>
            <w:shd w:val="clear" w:color="auto" w:fill="FFFFFF" w:themeFill="background1"/>
            <w:hideMark/>
          </w:tcPr>
          <w:p w14:paraId="5FF094EE" w14:textId="77777777" w:rsidR="00D63001" w:rsidRPr="00D81064" w:rsidRDefault="00D63001" w:rsidP="00B55BD8">
            <w:pPr>
              <w:pStyle w:val="Tabletext"/>
              <w:ind w:right="57"/>
              <w:jc w:val="right"/>
              <w:rPr>
                <w:sz w:val="18"/>
                <w:szCs w:val="18"/>
                <w:lang w:val="ru-RU"/>
              </w:rPr>
            </w:pPr>
            <w:r w:rsidRPr="00D81064">
              <w:rPr>
                <w:sz w:val="18"/>
                <w:szCs w:val="18"/>
                <w:lang w:val="ru-RU"/>
              </w:rPr>
              <w:t>31 800,00</w:t>
            </w:r>
          </w:p>
        </w:tc>
        <w:tc>
          <w:tcPr>
            <w:tcW w:w="1087" w:type="dxa"/>
            <w:tcBorders>
              <w:top w:val="nil"/>
              <w:left w:val="nil"/>
              <w:bottom w:val="single" w:sz="4" w:space="0" w:color="auto"/>
              <w:right w:val="single" w:sz="4" w:space="0" w:color="auto"/>
            </w:tcBorders>
            <w:shd w:val="clear" w:color="auto" w:fill="FFFFFF" w:themeFill="background1"/>
            <w:noWrap/>
            <w:hideMark/>
          </w:tcPr>
          <w:p w14:paraId="2B8E5963" w14:textId="77777777" w:rsidR="00D63001" w:rsidRPr="00D81064" w:rsidRDefault="00D63001" w:rsidP="00B55BD8">
            <w:pPr>
              <w:pStyle w:val="Tabletext"/>
              <w:ind w:right="57"/>
              <w:jc w:val="right"/>
              <w:rPr>
                <w:sz w:val="18"/>
                <w:szCs w:val="18"/>
                <w:lang w:val="ru-RU"/>
              </w:rPr>
            </w:pPr>
            <w:r w:rsidRPr="00D81064">
              <w:rPr>
                <w:sz w:val="18"/>
                <w:szCs w:val="18"/>
                <w:lang w:val="ru-RU"/>
              </w:rPr>
              <w:t>11 074,70</w:t>
            </w:r>
          </w:p>
        </w:tc>
        <w:tc>
          <w:tcPr>
            <w:tcW w:w="1087" w:type="dxa"/>
            <w:tcBorders>
              <w:top w:val="nil"/>
              <w:left w:val="nil"/>
              <w:bottom w:val="single" w:sz="4" w:space="0" w:color="auto"/>
              <w:right w:val="single" w:sz="4" w:space="0" w:color="auto"/>
            </w:tcBorders>
            <w:shd w:val="clear" w:color="auto" w:fill="FFFFFF" w:themeFill="background1"/>
            <w:hideMark/>
          </w:tcPr>
          <w:p w14:paraId="0F07E629" w14:textId="77777777" w:rsidR="00D63001" w:rsidRPr="00D81064" w:rsidRDefault="00D63001" w:rsidP="00B55BD8">
            <w:pPr>
              <w:pStyle w:val="Tabletext"/>
              <w:ind w:right="57"/>
              <w:jc w:val="right"/>
              <w:rPr>
                <w:sz w:val="18"/>
                <w:szCs w:val="18"/>
                <w:lang w:val="ru-RU"/>
              </w:rPr>
            </w:pPr>
            <w:r w:rsidRPr="00D81064">
              <w:rPr>
                <w:sz w:val="18"/>
                <w:szCs w:val="18"/>
                <w:lang w:val="ru-RU"/>
              </w:rPr>
              <w:t>42 874,70</w:t>
            </w:r>
          </w:p>
        </w:tc>
      </w:tr>
      <w:tr w:rsidR="00D63001" w:rsidRPr="00D81064" w14:paraId="737991B9" w14:textId="77777777" w:rsidTr="00782D8A">
        <w:tc>
          <w:tcPr>
            <w:tcW w:w="1124" w:type="dxa"/>
            <w:tcBorders>
              <w:top w:val="nil"/>
              <w:left w:val="single" w:sz="4" w:space="0" w:color="auto"/>
              <w:bottom w:val="single" w:sz="4" w:space="0" w:color="auto"/>
              <w:right w:val="single" w:sz="4" w:space="0" w:color="auto"/>
            </w:tcBorders>
            <w:shd w:val="clear" w:color="auto" w:fill="FFFFFF" w:themeFill="background1"/>
          </w:tcPr>
          <w:p w14:paraId="7BDF3B55" w14:textId="77777777" w:rsidR="00D63001" w:rsidRPr="00D81064" w:rsidRDefault="00D63001" w:rsidP="00782D8A">
            <w:pPr>
              <w:pStyle w:val="Tabletext"/>
              <w:jc w:val="center"/>
              <w:rPr>
                <w:sz w:val="18"/>
                <w:szCs w:val="18"/>
                <w:lang w:val="ru-RU"/>
              </w:rPr>
            </w:pPr>
            <w:r w:rsidRPr="00D81064">
              <w:rPr>
                <w:sz w:val="18"/>
                <w:szCs w:val="18"/>
                <w:lang w:val="ru-RU"/>
              </w:rPr>
              <w:t>1200119084</w:t>
            </w:r>
          </w:p>
        </w:tc>
        <w:tc>
          <w:tcPr>
            <w:tcW w:w="1418" w:type="dxa"/>
            <w:tcBorders>
              <w:top w:val="nil"/>
              <w:left w:val="single" w:sz="4" w:space="0" w:color="auto"/>
              <w:bottom w:val="single" w:sz="4" w:space="0" w:color="auto"/>
              <w:right w:val="single" w:sz="4" w:space="0" w:color="auto"/>
            </w:tcBorders>
            <w:shd w:val="clear" w:color="auto" w:fill="FFFFFF" w:themeFill="background1"/>
            <w:noWrap/>
            <w:hideMark/>
          </w:tcPr>
          <w:p w14:paraId="3DF420B1" w14:textId="77777777" w:rsidR="00D63001" w:rsidRPr="00D81064" w:rsidRDefault="00D63001" w:rsidP="00782D8A">
            <w:pPr>
              <w:pStyle w:val="Tabletext"/>
              <w:rPr>
                <w:sz w:val="18"/>
                <w:szCs w:val="18"/>
                <w:lang w:val="ru-RU"/>
              </w:rPr>
            </w:pPr>
            <w:r w:rsidRPr="00D81064">
              <w:rPr>
                <w:sz w:val="18"/>
                <w:szCs w:val="18"/>
                <w:lang w:val="ru-RU"/>
              </w:rPr>
              <w:t>Египет</w:t>
            </w:r>
          </w:p>
        </w:tc>
        <w:tc>
          <w:tcPr>
            <w:tcW w:w="2551" w:type="dxa"/>
            <w:tcBorders>
              <w:top w:val="nil"/>
              <w:left w:val="nil"/>
              <w:bottom w:val="single" w:sz="4" w:space="0" w:color="auto"/>
              <w:right w:val="single" w:sz="4" w:space="0" w:color="auto"/>
            </w:tcBorders>
            <w:shd w:val="clear" w:color="auto" w:fill="FFFFFF" w:themeFill="background1"/>
            <w:hideMark/>
          </w:tcPr>
          <w:p w14:paraId="59970708" w14:textId="77777777" w:rsidR="00D63001" w:rsidRPr="00D81064" w:rsidRDefault="00D63001" w:rsidP="00782D8A">
            <w:pPr>
              <w:pStyle w:val="Tabletext"/>
              <w:rPr>
                <w:sz w:val="18"/>
                <w:szCs w:val="18"/>
                <w:lang w:val="ru-RU"/>
              </w:rPr>
            </w:pPr>
            <w:proofErr w:type="spellStart"/>
            <w:r w:rsidRPr="00D81064">
              <w:rPr>
                <w:sz w:val="18"/>
                <w:szCs w:val="18"/>
                <w:lang w:val="ru-RU"/>
              </w:rPr>
              <w:t>Egypt</w:t>
            </w:r>
            <w:proofErr w:type="spellEnd"/>
            <w:r w:rsidRPr="00D81064">
              <w:rPr>
                <w:sz w:val="18"/>
                <w:szCs w:val="18"/>
                <w:lang w:val="ru-RU"/>
              </w:rPr>
              <w:t xml:space="preserve">-Japan </w:t>
            </w:r>
            <w:proofErr w:type="spellStart"/>
            <w:r w:rsidRPr="00D81064">
              <w:rPr>
                <w:sz w:val="18"/>
                <w:szCs w:val="18"/>
                <w:lang w:val="ru-RU"/>
              </w:rPr>
              <w:t>Uni</w:t>
            </w:r>
            <w:proofErr w:type="spellEnd"/>
            <w:r w:rsidRPr="00D81064">
              <w:rPr>
                <w:sz w:val="18"/>
                <w:szCs w:val="18"/>
                <w:lang w:val="ru-RU"/>
              </w:rPr>
              <w:t xml:space="preserve"> of Science &amp; Tech., Александрия</w:t>
            </w:r>
          </w:p>
        </w:tc>
        <w:tc>
          <w:tcPr>
            <w:tcW w:w="993" w:type="dxa"/>
            <w:tcBorders>
              <w:top w:val="nil"/>
              <w:left w:val="nil"/>
              <w:bottom w:val="single" w:sz="4" w:space="0" w:color="auto"/>
              <w:right w:val="single" w:sz="4" w:space="0" w:color="auto"/>
            </w:tcBorders>
            <w:shd w:val="clear" w:color="auto" w:fill="FFFFFF" w:themeFill="background1"/>
            <w:noWrap/>
            <w:hideMark/>
          </w:tcPr>
          <w:p w14:paraId="11F5AADB" w14:textId="77777777" w:rsidR="00D63001" w:rsidRPr="00D81064" w:rsidRDefault="00D63001" w:rsidP="00782D8A">
            <w:pPr>
              <w:pStyle w:val="Tabletext"/>
              <w:jc w:val="center"/>
              <w:rPr>
                <w:sz w:val="18"/>
                <w:szCs w:val="18"/>
                <w:lang w:val="ru-RU"/>
              </w:rPr>
            </w:pPr>
            <w:r w:rsidRPr="00D81064">
              <w:rPr>
                <w:sz w:val="18"/>
                <w:szCs w:val="18"/>
                <w:lang w:val="ru-RU"/>
              </w:rPr>
              <w:t>2019</w:t>
            </w:r>
          </w:p>
        </w:tc>
        <w:tc>
          <w:tcPr>
            <w:tcW w:w="1086" w:type="dxa"/>
            <w:tcBorders>
              <w:top w:val="nil"/>
              <w:left w:val="nil"/>
              <w:bottom w:val="single" w:sz="4" w:space="0" w:color="auto"/>
              <w:right w:val="single" w:sz="4" w:space="0" w:color="auto"/>
            </w:tcBorders>
            <w:shd w:val="clear" w:color="auto" w:fill="FFFFFF" w:themeFill="background1"/>
            <w:noWrap/>
            <w:hideMark/>
          </w:tcPr>
          <w:p w14:paraId="18A84B15" w14:textId="77777777" w:rsidR="00D63001" w:rsidRPr="00D81064" w:rsidRDefault="00D63001" w:rsidP="00B55BD8">
            <w:pPr>
              <w:pStyle w:val="Tabletext"/>
              <w:ind w:right="57"/>
              <w:jc w:val="right"/>
              <w:rPr>
                <w:sz w:val="18"/>
                <w:szCs w:val="18"/>
                <w:lang w:val="ru-RU"/>
              </w:rPr>
            </w:pPr>
            <w:r w:rsidRPr="00D81064">
              <w:rPr>
                <w:sz w:val="18"/>
                <w:szCs w:val="18"/>
                <w:lang w:val="ru-RU"/>
              </w:rPr>
              <w:t>1 987,50</w:t>
            </w:r>
          </w:p>
        </w:tc>
        <w:tc>
          <w:tcPr>
            <w:tcW w:w="1087" w:type="dxa"/>
            <w:tcBorders>
              <w:top w:val="nil"/>
              <w:left w:val="nil"/>
              <w:bottom w:val="single" w:sz="4" w:space="0" w:color="auto"/>
              <w:right w:val="single" w:sz="4" w:space="0" w:color="auto"/>
            </w:tcBorders>
            <w:shd w:val="clear" w:color="auto" w:fill="FFFFFF" w:themeFill="background1"/>
            <w:noWrap/>
            <w:hideMark/>
          </w:tcPr>
          <w:p w14:paraId="0B552EF6" w14:textId="77777777" w:rsidR="00D63001" w:rsidRPr="00D81064" w:rsidRDefault="00D63001" w:rsidP="00B55BD8">
            <w:pPr>
              <w:pStyle w:val="Tabletext"/>
              <w:ind w:right="57"/>
              <w:jc w:val="right"/>
              <w:rPr>
                <w:sz w:val="18"/>
                <w:szCs w:val="18"/>
                <w:lang w:val="ru-RU"/>
              </w:rPr>
            </w:pPr>
            <w:r w:rsidRPr="00D81064">
              <w:rPr>
                <w:sz w:val="18"/>
                <w:szCs w:val="18"/>
                <w:lang w:val="ru-RU"/>
              </w:rPr>
              <w:t>937,50</w:t>
            </w:r>
          </w:p>
        </w:tc>
        <w:tc>
          <w:tcPr>
            <w:tcW w:w="1087" w:type="dxa"/>
            <w:tcBorders>
              <w:top w:val="nil"/>
              <w:left w:val="nil"/>
              <w:bottom w:val="single" w:sz="4" w:space="0" w:color="auto"/>
              <w:right w:val="single" w:sz="4" w:space="0" w:color="auto"/>
            </w:tcBorders>
            <w:shd w:val="clear" w:color="auto" w:fill="FFFFFF" w:themeFill="background1"/>
            <w:noWrap/>
            <w:hideMark/>
          </w:tcPr>
          <w:p w14:paraId="5DF74E09" w14:textId="77777777" w:rsidR="00D63001" w:rsidRPr="00D81064" w:rsidRDefault="00D63001" w:rsidP="00B55BD8">
            <w:pPr>
              <w:pStyle w:val="Tabletext"/>
              <w:ind w:right="57"/>
              <w:jc w:val="right"/>
              <w:rPr>
                <w:sz w:val="18"/>
                <w:szCs w:val="18"/>
                <w:lang w:val="ru-RU"/>
              </w:rPr>
            </w:pPr>
            <w:r w:rsidRPr="00D81064">
              <w:rPr>
                <w:sz w:val="18"/>
                <w:szCs w:val="18"/>
                <w:lang w:val="ru-RU"/>
              </w:rPr>
              <w:t>2 925,00</w:t>
            </w:r>
          </w:p>
        </w:tc>
      </w:tr>
      <w:tr w:rsidR="00D63001" w:rsidRPr="00D81064" w14:paraId="14B599F1" w14:textId="77777777" w:rsidTr="00782D8A">
        <w:tc>
          <w:tcPr>
            <w:tcW w:w="1124" w:type="dxa"/>
            <w:tcBorders>
              <w:top w:val="nil"/>
              <w:left w:val="single" w:sz="4" w:space="0" w:color="auto"/>
              <w:bottom w:val="single" w:sz="4" w:space="0" w:color="auto"/>
              <w:right w:val="single" w:sz="4" w:space="0" w:color="auto"/>
            </w:tcBorders>
            <w:shd w:val="clear" w:color="auto" w:fill="FFFFFF" w:themeFill="background1"/>
          </w:tcPr>
          <w:p w14:paraId="19D859F9" w14:textId="77777777" w:rsidR="00D63001" w:rsidRPr="00D81064" w:rsidRDefault="00D63001" w:rsidP="00782D8A">
            <w:pPr>
              <w:pStyle w:val="Tabletext"/>
              <w:jc w:val="center"/>
              <w:rPr>
                <w:sz w:val="18"/>
                <w:szCs w:val="18"/>
                <w:lang w:val="ru-RU"/>
              </w:rPr>
            </w:pPr>
            <w:r w:rsidRPr="00D81064">
              <w:rPr>
                <w:sz w:val="18"/>
                <w:szCs w:val="18"/>
                <w:lang w:val="ru-RU"/>
              </w:rPr>
              <w:t>51559</w:t>
            </w:r>
          </w:p>
        </w:tc>
        <w:tc>
          <w:tcPr>
            <w:tcW w:w="1418" w:type="dxa"/>
            <w:tcBorders>
              <w:top w:val="nil"/>
              <w:left w:val="single" w:sz="4" w:space="0" w:color="auto"/>
              <w:bottom w:val="single" w:sz="4" w:space="0" w:color="auto"/>
              <w:right w:val="single" w:sz="4" w:space="0" w:color="auto"/>
            </w:tcBorders>
            <w:shd w:val="clear" w:color="auto" w:fill="FFFFFF" w:themeFill="background1"/>
            <w:noWrap/>
            <w:hideMark/>
          </w:tcPr>
          <w:p w14:paraId="1C00715D" w14:textId="77777777" w:rsidR="00D63001" w:rsidRPr="00D81064" w:rsidRDefault="00D63001" w:rsidP="00782D8A">
            <w:pPr>
              <w:pStyle w:val="Tabletext"/>
              <w:rPr>
                <w:sz w:val="18"/>
                <w:szCs w:val="18"/>
                <w:lang w:val="ru-RU"/>
              </w:rPr>
            </w:pPr>
            <w:r w:rsidRPr="00D81064">
              <w:rPr>
                <w:sz w:val="18"/>
                <w:szCs w:val="18"/>
                <w:lang w:val="ru-RU"/>
              </w:rPr>
              <w:t>Египет</w:t>
            </w:r>
          </w:p>
        </w:tc>
        <w:tc>
          <w:tcPr>
            <w:tcW w:w="2551" w:type="dxa"/>
            <w:tcBorders>
              <w:top w:val="nil"/>
              <w:left w:val="nil"/>
              <w:bottom w:val="single" w:sz="4" w:space="0" w:color="auto"/>
              <w:right w:val="single" w:sz="4" w:space="0" w:color="auto"/>
            </w:tcBorders>
            <w:shd w:val="clear" w:color="auto" w:fill="FFFFFF" w:themeFill="background1"/>
            <w:hideMark/>
          </w:tcPr>
          <w:p w14:paraId="5809B056" w14:textId="77777777" w:rsidR="00D63001" w:rsidRPr="00D81064" w:rsidRDefault="00D63001" w:rsidP="00782D8A">
            <w:pPr>
              <w:pStyle w:val="Tabletext"/>
              <w:rPr>
                <w:sz w:val="18"/>
                <w:szCs w:val="18"/>
                <w:lang w:val="ru-RU"/>
              </w:rPr>
            </w:pPr>
            <w:r w:rsidRPr="00D81064">
              <w:rPr>
                <w:sz w:val="18"/>
                <w:szCs w:val="18"/>
                <w:lang w:val="ru-RU"/>
              </w:rPr>
              <w:t xml:space="preserve">Orange </w:t>
            </w:r>
            <w:proofErr w:type="spellStart"/>
            <w:r w:rsidRPr="00D81064">
              <w:rPr>
                <w:sz w:val="18"/>
                <w:szCs w:val="18"/>
                <w:lang w:val="ru-RU"/>
              </w:rPr>
              <w:t>Egypt</w:t>
            </w:r>
            <w:proofErr w:type="spellEnd"/>
            <w:r w:rsidRPr="00D81064">
              <w:rPr>
                <w:sz w:val="18"/>
                <w:szCs w:val="18"/>
                <w:lang w:val="ru-RU"/>
              </w:rPr>
              <w:t>, Каир</w:t>
            </w:r>
          </w:p>
        </w:tc>
        <w:tc>
          <w:tcPr>
            <w:tcW w:w="993" w:type="dxa"/>
            <w:tcBorders>
              <w:top w:val="nil"/>
              <w:left w:val="nil"/>
              <w:bottom w:val="single" w:sz="4" w:space="0" w:color="auto"/>
              <w:right w:val="single" w:sz="4" w:space="0" w:color="auto"/>
            </w:tcBorders>
            <w:shd w:val="clear" w:color="auto" w:fill="FFFFFF" w:themeFill="background1"/>
            <w:noWrap/>
            <w:hideMark/>
          </w:tcPr>
          <w:p w14:paraId="06BEABE3" w14:textId="77777777" w:rsidR="00D63001" w:rsidRPr="00D81064" w:rsidRDefault="00D63001" w:rsidP="00782D8A">
            <w:pPr>
              <w:pStyle w:val="Tabletext"/>
              <w:jc w:val="center"/>
              <w:rPr>
                <w:sz w:val="18"/>
                <w:szCs w:val="18"/>
                <w:lang w:val="ru-RU"/>
              </w:rPr>
            </w:pPr>
            <w:proofErr w:type="gramStart"/>
            <w:r w:rsidRPr="00D81064">
              <w:rPr>
                <w:sz w:val="18"/>
                <w:szCs w:val="18"/>
                <w:lang w:val="ru-RU"/>
              </w:rPr>
              <w:t>2018−2019</w:t>
            </w:r>
            <w:proofErr w:type="gramEnd"/>
          </w:p>
        </w:tc>
        <w:tc>
          <w:tcPr>
            <w:tcW w:w="1086" w:type="dxa"/>
            <w:tcBorders>
              <w:top w:val="nil"/>
              <w:left w:val="nil"/>
              <w:bottom w:val="single" w:sz="4" w:space="0" w:color="auto"/>
              <w:right w:val="single" w:sz="4" w:space="0" w:color="auto"/>
            </w:tcBorders>
            <w:shd w:val="clear" w:color="auto" w:fill="FFFFFF" w:themeFill="background1"/>
            <w:noWrap/>
            <w:hideMark/>
          </w:tcPr>
          <w:p w14:paraId="5BD4D25E" w14:textId="77777777" w:rsidR="00D63001" w:rsidRPr="00D81064" w:rsidRDefault="00D63001" w:rsidP="00B55BD8">
            <w:pPr>
              <w:pStyle w:val="Tabletext"/>
              <w:ind w:right="57"/>
              <w:jc w:val="right"/>
              <w:rPr>
                <w:sz w:val="18"/>
                <w:szCs w:val="18"/>
                <w:lang w:val="ru-RU"/>
              </w:rPr>
            </w:pPr>
            <w:r w:rsidRPr="00D81064">
              <w:rPr>
                <w:sz w:val="18"/>
                <w:szCs w:val="18"/>
                <w:lang w:val="ru-RU"/>
              </w:rPr>
              <w:t>1 987,50</w:t>
            </w:r>
          </w:p>
        </w:tc>
        <w:tc>
          <w:tcPr>
            <w:tcW w:w="1087" w:type="dxa"/>
            <w:tcBorders>
              <w:top w:val="nil"/>
              <w:left w:val="nil"/>
              <w:bottom w:val="single" w:sz="4" w:space="0" w:color="auto"/>
              <w:right w:val="single" w:sz="4" w:space="0" w:color="auto"/>
            </w:tcBorders>
            <w:shd w:val="clear" w:color="auto" w:fill="FFFFFF" w:themeFill="background1"/>
            <w:noWrap/>
            <w:hideMark/>
          </w:tcPr>
          <w:p w14:paraId="0E97551D" w14:textId="77777777" w:rsidR="00D63001" w:rsidRPr="00D81064" w:rsidRDefault="00D63001" w:rsidP="00B55BD8">
            <w:pPr>
              <w:pStyle w:val="Tabletext"/>
              <w:ind w:right="57"/>
              <w:jc w:val="right"/>
              <w:rPr>
                <w:sz w:val="18"/>
                <w:szCs w:val="18"/>
                <w:lang w:val="ru-RU"/>
              </w:rPr>
            </w:pPr>
            <w:r w:rsidRPr="00D81064">
              <w:rPr>
                <w:sz w:val="18"/>
                <w:szCs w:val="18"/>
                <w:lang w:val="ru-RU"/>
              </w:rPr>
              <w:t>1 011,35</w:t>
            </w:r>
          </w:p>
        </w:tc>
        <w:tc>
          <w:tcPr>
            <w:tcW w:w="1087" w:type="dxa"/>
            <w:tcBorders>
              <w:top w:val="nil"/>
              <w:left w:val="nil"/>
              <w:bottom w:val="single" w:sz="4" w:space="0" w:color="auto"/>
              <w:right w:val="single" w:sz="4" w:space="0" w:color="auto"/>
            </w:tcBorders>
            <w:shd w:val="clear" w:color="auto" w:fill="FFFFFF" w:themeFill="background1"/>
            <w:noWrap/>
            <w:hideMark/>
          </w:tcPr>
          <w:p w14:paraId="5EA901C4" w14:textId="77777777" w:rsidR="00D63001" w:rsidRPr="00D81064" w:rsidRDefault="00D63001" w:rsidP="00B55BD8">
            <w:pPr>
              <w:pStyle w:val="Tabletext"/>
              <w:ind w:right="57"/>
              <w:jc w:val="right"/>
              <w:rPr>
                <w:sz w:val="18"/>
                <w:szCs w:val="18"/>
                <w:lang w:val="ru-RU"/>
              </w:rPr>
            </w:pPr>
            <w:r w:rsidRPr="00D81064">
              <w:rPr>
                <w:sz w:val="18"/>
                <w:szCs w:val="18"/>
                <w:lang w:val="ru-RU"/>
              </w:rPr>
              <w:t>2 998,85</w:t>
            </w:r>
          </w:p>
        </w:tc>
      </w:tr>
      <w:tr w:rsidR="00D63001" w:rsidRPr="00D81064" w14:paraId="1FD5671C" w14:textId="77777777" w:rsidTr="00782D8A">
        <w:tc>
          <w:tcPr>
            <w:tcW w:w="1124" w:type="dxa"/>
            <w:tcBorders>
              <w:top w:val="nil"/>
              <w:left w:val="single" w:sz="4" w:space="0" w:color="auto"/>
              <w:bottom w:val="single" w:sz="4" w:space="0" w:color="auto"/>
              <w:right w:val="single" w:sz="4" w:space="0" w:color="auto"/>
            </w:tcBorders>
            <w:shd w:val="clear" w:color="auto" w:fill="FFFFFF" w:themeFill="background1"/>
          </w:tcPr>
          <w:p w14:paraId="15DF6EF2" w14:textId="77777777" w:rsidR="00D63001" w:rsidRPr="00D81064" w:rsidRDefault="00D63001" w:rsidP="00782D8A">
            <w:pPr>
              <w:pStyle w:val="Tabletext"/>
              <w:jc w:val="center"/>
              <w:rPr>
                <w:sz w:val="18"/>
                <w:szCs w:val="18"/>
                <w:lang w:val="ru-RU"/>
              </w:rPr>
            </w:pPr>
            <w:r w:rsidRPr="00D81064">
              <w:rPr>
                <w:sz w:val="18"/>
                <w:szCs w:val="18"/>
                <w:lang w:val="ru-RU"/>
              </w:rPr>
              <w:t>1200174479</w:t>
            </w:r>
          </w:p>
        </w:tc>
        <w:tc>
          <w:tcPr>
            <w:tcW w:w="1418" w:type="dxa"/>
            <w:tcBorders>
              <w:top w:val="nil"/>
              <w:left w:val="single" w:sz="4" w:space="0" w:color="auto"/>
              <w:bottom w:val="single" w:sz="4" w:space="0" w:color="auto"/>
              <w:right w:val="single" w:sz="4" w:space="0" w:color="auto"/>
            </w:tcBorders>
            <w:shd w:val="clear" w:color="auto" w:fill="FFFFFF" w:themeFill="background1"/>
            <w:noWrap/>
            <w:hideMark/>
          </w:tcPr>
          <w:p w14:paraId="37AFFCD3" w14:textId="77777777" w:rsidR="00D63001" w:rsidRPr="00D81064" w:rsidRDefault="00D63001" w:rsidP="00782D8A">
            <w:pPr>
              <w:pStyle w:val="Tabletext"/>
              <w:rPr>
                <w:sz w:val="18"/>
                <w:szCs w:val="18"/>
                <w:lang w:val="ru-RU"/>
              </w:rPr>
            </w:pPr>
            <w:r w:rsidRPr="00D81064">
              <w:rPr>
                <w:sz w:val="18"/>
                <w:szCs w:val="18"/>
                <w:lang w:val="ru-RU"/>
              </w:rPr>
              <w:t>Эстония</w:t>
            </w:r>
          </w:p>
        </w:tc>
        <w:tc>
          <w:tcPr>
            <w:tcW w:w="2551" w:type="dxa"/>
            <w:tcBorders>
              <w:top w:val="nil"/>
              <w:left w:val="nil"/>
              <w:bottom w:val="single" w:sz="4" w:space="0" w:color="auto"/>
              <w:right w:val="single" w:sz="4" w:space="0" w:color="auto"/>
            </w:tcBorders>
            <w:shd w:val="clear" w:color="auto" w:fill="FFFFFF" w:themeFill="background1"/>
            <w:hideMark/>
          </w:tcPr>
          <w:p w14:paraId="75830C5B" w14:textId="77777777" w:rsidR="00D63001" w:rsidRPr="00D81064" w:rsidRDefault="00D63001" w:rsidP="00782D8A">
            <w:pPr>
              <w:pStyle w:val="Tabletext"/>
              <w:rPr>
                <w:sz w:val="18"/>
                <w:szCs w:val="18"/>
                <w:lang w:val="ru-RU"/>
              </w:rPr>
            </w:pPr>
            <w:proofErr w:type="spellStart"/>
            <w:r w:rsidRPr="00D81064">
              <w:rPr>
                <w:sz w:val="18"/>
                <w:szCs w:val="18"/>
                <w:lang w:val="ru-RU"/>
              </w:rPr>
              <w:t>Clementvale</w:t>
            </w:r>
            <w:proofErr w:type="spellEnd"/>
            <w:r w:rsidRPr="00D81064">
              <w:rPr>
                <w:sz w:val="18"/>
                <w:szCs w:val="18"/>
                <w:lang w:val="ru-RU"/>
              </w:rPr>
              <w:t xml:space="preserve"> Baltic, Таллин</w:t>
            </w:r>
          </w:p>
        </w:tc>
        <w:tc>
          <w:tcPr>
            <w:tcW w:w="993" w:type="dxa"/>
            <w:tcBorders>
              <w:top w:val="nil"/>
              <w:left w:val="nil"/>
              <w:bottom w:val="single" w:sz="4" w:space="0" w:color="auto"/>
              <w:right w:val="single" w:sz="4" w:space="0" w:color="auto"/>
            </w:tcBorders>
            <w:shd w:val="clear" w:color="auto" w:fill="FFFFFF" w:themeFill="background1"/>
            <w:noWrap/>
            <w:hideMark/>
          </w:tcPr>
          <w:p w14:paraId="3F7DF9DE" w14:textId="77777777" w:rsidR="00D63001" w:rsidRPr="00D81064" w:rsidRDefault="00D63001" w:rsidP="00782D8A">
            <w:pPr>
              <w:pStyle w:val="Tabletext"/>
              <w:jc w:val="center"/>
              <w:rPr>
                <w:sz w:val="18"/>
                <w:szCs w:val="18"/>
                <w:lang w:val="ru-RU"/>
              </w:rPr>
            </w:pPr>
            <w:r w:rsidRPr="00D81064">
              <w:rPr>
                <w:sz w:val="18"/>
                <w:szCs w:val="18"/>
                <w:lang w:val="ru-RU"/>
              </w:rPr>
              <w:t>2020</w:t>
            </w:r>
          </w:p>
        </w:tc>
        <w:tc>
          <w:tcPr>
            <w:tcW w:w="1086" w:type="dxa"/>
            <w:tcBorders>
              <w:top w:val="nil"/>
              <w:left w:val="nil"/>
              <w:bottom w:val="single" w:sz="4" w:space="0" w:color="auto"/>
              <w:right w:val="single" w:sz="4" w:space="0" w:color="auto"/>
            </w:tcBorders>
            <w:shd w:val="clear" w:color="auto" w:fill="FFFFFF" w:themeFill="background1"/>
            <w:noWrap/>
            <w:hideMark/>
          </w:tcPr>
          <w:p w14:paraId="5EE78866" w14:textId="77777777" w:rsidR="00D63001" w:rsidRPr="00D81064" w:rsidRDefault="00D63001" w:rsidP="00B55BD8">
            <w:pPr>
              <w:pStyle w:val="Tabletext"/>
              <w:ind w:right="57"/>
              <w:jc w:val="right"/>
              <w:rPr>
                <w:sz w:val="18"/>
                <w:szCs w:val="18"/>
                <w:lang w:val="ru-RU"/>
              </w:rPr>
            </w:pPr>
            <w:r w:rsidRPr="00D81064">
              <w:rPr>
                <w:sz w:val="18"/>
                <w:szCs w:val="18"/>
                <w:lang w:val="ru-RU"/>
              </w:rPr>
              <w:t>9 716,84</w:t>
            </w:r>
          </w:p>
        </w:tc>
        <w:tc>
          <w:tcPr>
            <w:tcW w:w="1087" w:type="dxa"/>
            <w:tcBorders>
              <w:top w:val="nil"/>
              <w:left w:val="nil"/>
              <w:bottom w:val="single" w:sz="4" w:space="0" w:color="auto"/>
              <w:right w:val="single" w:sz="4" w:space="0" w:color="auto"/>
            </w:tcBorders>
            <w:shd w:val="clear" w:color="auto" w:fill="FFFFFF" w:themeFill="background1"/>
            <w:noWrap/>
            <w:hideMark/>
          </w:tcPr>
          <w:p w14:paraId="73688738" w14:textId="77777777" w:rsidR="00D63001" w:rsidRPr="00D81064" w:rsidRDefault="00D63001" w:rsidP="00B55BD8">
            <w:pPr>
              <w:pStyle w:val="Tabletext"/>
              <w:ind w:right="57"/>
              <w:jc w:val="right"/>
              <w:rPr>
                <w:sz w:val="18"/>
                <w:szCs w:val="18"/>
                <w:lang w:val="ru-RU"/>
              </w:rPr>
            </w:pPr>
            <w:r w:rsidRPr="00D81064">
              <w:rPr>
                <w:sz w:val="18"/>
                <w:szCs w:val="18"/>
                <w:lang w:val="ru-RU"/>
              </w:rPr>
              <w:t>3 384,10</w:t>
            </w:r>
          </w:p>
        </w:tc>
        <w:tc>
          <w:tcPr>
            <w:tcW w:w="1087" w:type="dxa"/>
            <w:tcBorders>
              <w:top w:val="nil"/>
              <w:left w:val="nil"/>
              <w:bottom w:val="single" w:sz="4" w:space="0" w:color="auto"/>
              <w:right w:val="single" w:sz="4" w:space="0" w:color="auto"/>
            </w:tcBorders>
            <w:shd w:val="clear" w:color="auto" w:fill="FFFFFF" w:themeFill="background1"/>
            <w:noWrap/>
            <w:hideMark/>
          </w:tcPr>
          <w:p w14:paraId="0C186B34" w14:textId="77777777" w:rsidR="00D63001" w:rsidRPr="00D81064" w:rsidRDefault="00D63001" w:rsidP="00B55BD8">
            <w:pPr>
              <w:pStyle w:val="Tabletext"/>
              <w:ind w:right="57"/>
              <w:jc w:val="right"/>
              <w:rPr>
                <w:sz w:val="18"/>
                <w:szCs w:val="18"/>
                <w:lang w:val="ru-RU"/>
              </w:rPr>
            </w:pPr>
            <w:r w:rsidRPr="00D81064">
              <w:rPr>
                <w:sz w:val="18"/>
                <w:szCs w:val="18"/>
                <w:lang w:val="ru-RU"/>
              </w:rPr>
              <w:t>13 100,94</w:t>
            </w:r>
          </w:p>
        </w:tc>
      </w:tr>
      <w:tr w:rsidR="00D63001" w:rsidRPr="00D81064" w14:paraId="30DC7E43" w14:textId="77777777" w:rsidTr="00782D8A">
        <w:tc>
          <w:tcPr>
            <w:tcW w:w="1124" w:type="dxa"/>
            <w:tcBorders>
              <w:top w:val="nil"/>
              <w:left w:val="single" w:sz="4" w:space="0" w:color="auto"/>
              <w:bottom w:val="single" w:sz="4" w:space="0" w:color="auto"/>
              <w:right w:val="single" w:sz="4" w:space="0" w:color="auto"/>
            </w:tcBorders>
            <w:shd w:val="clear" w:color="auto" w:fill="FFFFFF" w:themeFill="background1"/>
          </w:tcPr>
          <w:p w14:paraId="58E16002" w14:textId="77777777" w:rsidR="00D63001" w:rsidRPr="00D81064" w:rsidRDefault="00D63001" w:rsidP="00782D8A">
            <w:pPr>
              <w:pStyle w:val="Tabletext"/>
              <w:jc w:val="center"/>
              <w:rPr>
                <w:sz w:val="18"/>
                <w:szCs w:val="18"/>
                <w:lang w:val="ru-RU"/>
              </w:rPr>
            </w:pPr>
            <w:r w:rsidRPr="00D81064">
              <w:rPr>
                <w:sz w:val="18"/>
                <w:szCs w:val="18"/>
                <w:lang w:val="ru-RU"/>
              </w:rPr>
              <w:t>1200165052</w:t>
            </w:r>
          </w:p>
        </w:tc>
        <w:tc>
          <w:tcPr>
            <w:tcW w:w="1418" w:type="dxa"/>
            <w:tcBorders>
              <w:top w:val="nil"/>
              <w:left w:val="single" w:sz="4" w:space="0" w:color="auto"/>
              <w:bottom w:val="single" w:sz="4" w:space="0" w:color="auto"/>
              <w:right w:val="single" w:sz="4" w:space="0" w:color="auto"/>
            </w:tcBorders>
            <w:shd w:val="clear" w:color="auto" w:fill="FFFFFF" w:themeFill="background1"/>
            <w:noWrap/>
            <w:hideMark/>
          </w:tcPr>
          <w:p w14:paraId="592D0777" w14:textId="77777777" w:rsidR="00D63001" w:rsidRPr="00D81064" w:rsidRDefault="00D63001" w:rsidP="00782D8A">
            <w:pPr>
              <w:pStyle w:val="Tabletext"/>
              <w:rPr>
                <w:sz w:val="18"/>
                <w:szCs w:val="18"/>
                <w:lang w:val="ru-RU"/>
              </w:rPr>
            </w:pPr>
            <w:r w:rsidRPr="00D81064">
              <w:rPr>
                <w:sz w:val="18"/>
                <w:szCs w:val="18"/>
                <w:lang w:val="ru-RU"/>
              </w:rPr>
              <w:t>Индия</w:t>
            </w:r>
          </w:p>
        </w:tc>
        <w:tc>
          <w:tcPr>
            <w:tcW w:w="2551" w:type="dxa"/>
            <w:tcBorders>
              <w:top w:val="nil"/>
              <w:left w:val="nil"/>
              <w:bottom w:val="single" w:sz="4" w:space="0" w:color="auto"/>
              <w:right w:val="single" w:sz="4" w:space="0" w:color="auto"/>
            </w:tcBorders>
            <w:shd w:val="clear" w:color="auto" w:fill="FFFFFF" w:themeFill="background1"/>
            <w:hideMark/>
          </w:tcPr>
          <w:p w14:paraId="2F8438CC" w14:textId="77777777" w:rsidR="00D63001" w:rsidRPr="00115736" w:rsidRDefault="00D63001" w:rsidP="00782D8A">
            <w:pPr>
              <w:pStyle w:val="Tabletext"/>
              <w:rPr>
                <w:sz w:val="18"/>
                <w:szCs w:val="18"/>
              </w:rPr>
            </w:pPr>
            <w:r w:rsidRPr="00115736">
              <w:rPr>
                <w:sz w:val="18"/>
                <w:szCs w:val="18"/>
              </w:rPr>
              <w:t xml:space="preserve">Konkan Railway Corp Ltd, </w:t>
            </w:r>
            <w:r w:rsidRPr="00D81064">
              <w:rPr>
                <w:sz w:val="18"/>
                <w:szCs w:val="18"/>
                <w:lang w:val="ru-RU"/>
              </w:rPr>
              <w:t>Нави</w:t>
            </w:r>
            <w:r w:rsidRPr="00115736">
              <w:rPr>
                <w:sz w:val="18"/>
                <w:szCs w:val="18"/>
              </w:rPr>
              <w:t xml:space="preserve"> </w:t>
            </w:r>
            <w:r w:rsidRPr="00D81064">
              <w:rPr>
                <w:sz w:val="18"/>
                <w:szCs w:val="18"/>
                <w:lang w:val="ru-RU"/>
              </w:rPr>
              <w:t>Мумбаи</w:t>
            </w:r>
          </w:p>
        </w:tc>
        <w:tc>
          <w:tcPr>
            <w:tcW w:w="993" w:type="dxa"/>
            <w:tcBorders>
              <w:top w:val="nil"/>
              <w:left w:val="nil"/>
              <w:bottom w:val="single" w:sz="4" w:space="0" w:color="auto"/>
              <w:right w:val="single" w:sz="4" w:space="0" w:color="auto"/>
            </w:tcBorders>
            <w:shd w:val="clear" w:color="auto" w:fill="FFFFFF" w:themeFill="background1"/>
            <w:noWrap/>
            <w:hideMark/>
          </w:tcPr>
          <w:p w14:paraId="7E83B868" w14:textId="77777777" w:rsidR="00D63001" w:rsidRPr="00D81064" w:rsidRDefault="00D63001" w:rsidP="00782D8A">
            <w:pPr>
              <w:pStyle w:val="Tabletext"/>
              <w:jc w:val="center"/>
              <w:rPr>
                <w:sz w:val="18"/>
                <w:szCs w:val="18"/>
                <w:lang w:val="ru-RU"/>
              </w:rPr>
            </w:pPr>
            <w:r w:rsidRPr="00D81064">
              <w:rPr>
                <w:sz w:val="18"/>
                <w:szCs w:val="18"/>
                <w:lang w:val="ru-RU"/>
              </w:rPr>
              <w:t>2019</w:t>
            </w:r>
          </w:p>
        </w:tc>
        <w:tc>
          <w:tcPr>
            <w:tcW w:w="1086" w:type="dxa"/>
            <w:tcBorders>
              <w:top w:val="nil"/>
              <w:left w:val="nil"/>
              <w:bottom w:val="single" w:sz="4" w:space="0" w:color="auto"/>
              <w:right w:val="single" w:sz="4" w:space="0" w:color="auto"/>
            </w:tcBorders>
            <w:shd w:val="clear" w:color="auto" w:fill="FFFFFF" w:themeFill="background1"/>
            <w:noWrap/>
            <w:hideMark/>
          </w:tcPr>
          <w:p w14:paraId="1E4666DE" w14:textId="77777777" w:rsidR="00D63001" w:rsidRPr="00D81064" w:rsidRDefault="00D63001" w:rsidP="00B55BD8">
            <w:pPr>
              <w:pStyle w:val="Tabletext"/>
              <w:ind w:right="57"/>
              <w:jc w:val="right"/>
              <w:rPr>
                <w:sz w:val="18"/>
                <w:szCs w:val="18"/>
                <w:lang w:val="ru-RU"/>
              </w:rPr>
            </w:pPr>
            <w:r w:rsidRPr="00D81064">
              <w:rPr>
                <w:sz w:val="18"/>
                <w:szCs w:val="18"/>
                <w:lang w:val="ru-RU"/>
              </w:rPr>
              <w:t>1 987,50</w:t>
            </w:r>
          </w:p>
        </w:tc>
        <w:tc>
          <w:tcPr>
            <w:tcW w:w="1087" w:type="dxa"/>
            <w:tcBorders>
              <w:top w:val="nil"/>
              <w:left w:val="nil"/>
              <w:bottom w:val="single" w:sz="4" w:space="0" w:color="auto"/>
              <w:right w:val="single" w:sz="4" w:space="0" w:color="auto"/>
            </w:tcBorders>
            <w:shd w:val="clear" w:color="auto" w:fill="FFFFFF" w:themeFill="background1"/>
            <w:noWrap/>
            <w:hideMark/>
          </w:tcPr>
          <w:p w14:paraId="0DE51A82" w14:textId="77777777" w:rsidR="00D63001" w:rsidRPr="00D81064" w:rsidRDefault="00D63001" w:rsidP="00B55BD8">
            <w:pPr>
              <w:pStyle w:val="Tabletext"/>
              <w:ind w:right="57"/>
              <w:jc w:val="right"/>
              <w:rPr>
                <w:sz w:val="18"/>
                <w:szCs w:val="18"/>
                <w:lang w:val="ru-RU"/>
              </w:rPr>
            </w:pPr>
            <w:r w:rsidRPr="00D81064">
              <w:rPr>
                <w:sz w:val="18"/>
                <w:szCs w:val="18"/>
                <w:lang w:val="ru-RU"/>
              </w:rPr>
              <w:t>−37,35</w:t>
            </w:r>
          </w:p>
        </w:tc>
        <w:tc>
          <w:tcPr>
            <w:tcW w:w="1087" w:type="dxa"/>
            <w:tcBorders>
              <w:top w:val="nil"/>
              <w:left w:val="nil"/>
              <w:bottom w:val="single" w:sz="4" w:space="0" w:color="auto"/>
              <w:right w:val="single" w:sz="4" w:space="0" w:color="auto"/>
            </w:tcBorders>
            <w:shd w:val="clear" w:color="auto" w:fill="FFFFFF" w:themeFill="background1"/>
            <w:noWrap/>
            <w:hideMark/>
          </w:tcPr>
          <w:p w14:paraId="2936A81F" w14:textId="77777777" w:rsidR="00D63001" w:rsidRPr="00D81064" w:rsidRDefault="00D63001" w:rsidP="00B55BD8">
            <w:pPr>
              <w:pStyle w:val="Tabletext"/>
              <w:ind w:right="57"/>
              <w:jc w:val="right"/>
              <w:rPr>
                <w:sz w:val="18"/>
                <w:szCs w:val="18"/>
                <w:lang w:val="ru-RU"/>
              </w:rPr>
            </w:pPr>
            <w:r w:rsidRPr="00D81064">
              <w:rPr>
                <w:sz w:val="18"/>
                <w:szCs w:val="18"/>
                <w:lang w:val="ru-RU"/>
              </w:rPr>
              <w:t>1 950,15</w:t>
            </w:r>
          </w:p>
        </w:tc>
      </w:tr>
      <w:tr w:rsidR="00D63001" w:rsidRPr="00D81064" w14:paraId="2B336E5F" w14:textId="77777777" w:rsidTr="00782D8A">
        <w:tc>
          <w:tcPr>
            <w:tcW w:w="1124" w:type="dxa"/>
            <w:tcBorders>
              <w:top w:val="nil"/>
              <w:left w:val="single" w:sz="4" w:space="0" w:color="auto"/>
              <w:bottom w:val="single" w:sz="4" w:space="0" w:color="auto"/>
              <w:right w:val="single" w:sz="4" w:space="0" w:color="auto"/>
            </w:tcBorders>
            <w:shd w:val="clear" w:color="auto" w:fill="FFFFFF" w:themeFill="background1"/>
          </w:tcPr>
          <w:p w14:paraId="15E49161" w14:textId="77777777" w:rsidR="00D63001" w:rsidRPr="00D81064" w:rsidRDefault="00D63001" w:rsidP="00782D8A">
            <w:pPr>
              <w:pStyle w:val="Tabletext"/>
              <w:jc w:val="center"/>
              <w:rPr>
                <w:sz w:val="18"/>
                <w:szCs w:val="18"/>
                <w:lang w:val="ru-RU"/>
              </w:rPr>
            </w:pPr>
            <w:r w:rsidRPr="00D81064">
              <w:rPr>
                <w:sz w:val="18"/>
                <w:szCs w:val="18"/>
                <w:lang w:val="ru-RU"/>
              </w:rPr>
              <w:t>1200101301</w:t>
            </w:r>
          </w:p>
        </w:tc>
        <w:tc>
          <w:tcPr>
            <w:tcW w:w="1418" w:type="dxa"/>
            <w:tcBorders>
              <w:top w:val="nil"/>
              <w:left w:val="single" w:sz="4" w:space="0" w:color="auto"/>
              <w:bottom w:val="single" w:sz="4" w:space="0" w:color="auto"/>
              <w:right w:val="single" w:sz="4" w:space="0" w:color="auto"/>
            </w:tcBorders>
            <w:shd w:val="clear" w:color="auto" w:fill="FFFFFF" w:themeFill="background1"/>
            <w:noWrap/>
            <w:hideMark/>
          </w:tcPr>
          <w:p w14:paraId="7CAA0330" w14:textId="77777777" w:rsidR="00D63001" w:rsidRPr="00D81064" w:rsidRDefault="00D63001" w:rsidP="00782D8A">
            <w:pPr>
              <w:pStyle w:val="Tabletext"/>
              <w:rPr>
                <w:sz w:val="18"/>
                <w:szCs w:val="18"/>
                <w:lang w:val="ru-RU"/>
              </w:rPr>
            </w:pPr>
            <w:r w:rsidRPr="00D81064">
              <w:rPr>
                <w:sz w:val="18"/>
                <w:szCs w:val="18"/>
                <w:lang w:val="ru-RU"/>
              </w:rPr>
              <w:t>Иран</w:t>
            </w:r>
          </w:p>
        </w:tc>
        <w:tc>
          <w:tcPr>
            <w:tcW w:w="2551" w:type="dxa"/>
            <w:tcBorders>
              <w:top w:val="nil"/>
              <w:left w:val="nil"/>
              <w:bottom w:val="single" w:sz="4" w:space="0" w:color="auto"/>
              <w:right w:val="single" w:sz="4" w:space="0" w:color="auto"/>
            </w:tcBorders>
            <w:shd w:val="clear" w:color="auto" w:fill="FFFFFF" w:themeFill="background1"/>
            <w:hideMark/>
          </w:tcPr>
          <w:p w14:paraId="2149372F" w14:textId="77777777" w:rsidR="00D63001" w:rsidRPr="00115736" w:rsidRDefault="00D63001" w:rsidP="00782D8A">
            <w:pPr>
              <w:pStyle w:val="Tabletext"/>
              <w:rPr>
                <w:sz w:val="18"/>
                <w:szCs w:val="18"/>
              </w:rPr>
            </w:pPr>
            <w:r w:rsidRPr="00115736">
              <w:rPr>
                <w:sz w:val="18"/>
                <w:szCs w:val="18"/>
              </w:rPr>
              <w:t xml:space="preserve">Fac. of Appl Science of P&amp;T, </w:t>
            </w:r>
            <w:r w:rsidRPr="00D81064">
              <w:rPr>
                <w:sz w:val="18"/>
                <w:szCs w:val="18"/>
                <w:lang w:val="ru-RU"/>
              </w:rPr>
              <w:t>Тегеран</w:t>
            </w:r>
          </w:p>
        </w:tc>
        <w:tc>
          <w:tcPr>
            <w:tcW w:w="993" w:type="dxa"/>
            <w:tcBorders>
              <w:top w:val="nil"/>
              <w:left w:val="nil"/>
              <w:bottom w:val="single" w:sz="4" w:space="0" w:color="auto"/>
              <w:right w:val="single" w:sz="4" w:space="0" w:color="auto"/>
            </w:tcBorders>
            <w:shd w:val="clear" w:color="auto" w:fill="FFFFFF" w:themeFill="background1"/>
            <w:noWrap/>
            <w:hideMark/>
          </w:tcPr>
          <w:p w14:paraId="10D6CB89" w14:textId="77777777" w:rsidR="00D63001" w:rsidRPr="00D81064" w:rsidRDefault="00D63001" w:rsidP="00782D8A">
            <w:pPr>
              <w:pStyle w:val="Tabletext"/>
              <w:jc w:val="center"/>
              <w:rPr>
                <w:sz w:val="18"/>
                <w:szCs w:val="18"/>
                <w:lang w:val="ru-RU"/>
              </w:rPr>
            </w:pPr>
            <w:r w:rsidRPr="00D81064">
              <w:rPr>
                <w:sz w:val="18"/>
                <w:szCs w:val="18"/>
                <w:lang w:val="ru-RU"/>
              </w:rPr>
              <w:t>2020</w:t>
            </w:r>
          </w:p>
        </w:tc>
        <w:tc>
          <w:tcPr>
            <w:tcW w:w="1086" w:type="dxa"/>
            <w:tcBorders>
              <w:top w:val="nil"/>
              <w:left w:val="nil"/>
              <w:bottom w:val="single" w:sz="4" w:space="0" w:color="auto"/>
              <w:right w:val="single" w:sz="4" w:space="0" w:color="auto"/>
            </w:tcBorders>
            <w:shd w:val="clear" w:color="auto" w:fill="FFFFFF" w:themeFill="background1"/>
            <w:noWrap/>
            <w:hideMark/>
          </w:tcPr>
          <w:p w14:paraId="1B4B08DC" w14:textId="77777777" w:rsidR="00D63001" w:rsidRPr="00D81064" w:rsidRDefault="00D63001" w:rsidP="00B55BD8">
            <w:pPr>
              <w:pStyle w:val="Tabletext"/>
              <w:ind w:right="57"/>
              <w:jc w:val="right"/>
              <w:rPr>
                <w:sz w:val="18"/>
                <w:szCs w:val="18"/>
                <w:lang w:val="ru-RU"/>
              </w:rPr>
            </w:pPr>
            <w:r w:rsidRPr="00D81064">
              <w:rPr>
                <w:sz w:val="18"/>
                <w:szCs w:val="18"/>
                <w:lang w:val="ru-RU"/>
              </w:rPr>
              <w:t>1 987,50</w:t>
            </w:r>
          </w:p>
        </w:tc>
        <w:tc>
          <w:tcPr>
            <w:tcW w:w="1087" w:type="dxa"/>
            <w:tcBorders>
              <w:top w:val="nil"/>
              <w:left w:val="nil"/>
              <w:bottom w:val="single" w:sz="4" w:space="0" w:color="auto"/>
              <w:right w:val="single" w:sz="4" w:space="0" w:color="auto"/>
            </w:tcBorders>
            <w:shd w:val="clear" w:color="auto" w:fill="FFFFFF" w:themeFill="background1"/>
            <w:noWrap/>
            <w:hideMark/>
          </w:tcPr>
          <w:p w14:paraId="289F9B57" w14:textId="77777777" w:rsidR="00D63001" w:rsidRPr="00D81064" w:rsidRDefault="00D63001" w:rsidP="00B55BD8">
            <w:pPr>
              <w:pStyle w:val="Tabletext"/>
              <w:ind w:right="57"/>
              <w:jc w:val="right"/>
              <w:rPr>
                <w:sz w:val="18"/>
                <w:szCs w:val="18"/>
                <w:lang w:val="ru-RU"/>
              </w:rPr>
            </w:pPr>
            <w:r w:rsidRPr="00D81064">
              <w:rPr>
                <w:sz w:val="18"/>
                <w:szCs w:val="18"/>
                <w:lang w:val="ru-RU"/>
              </w:rPr>
              <w:t>672,25</w:t>
            </w:r>
          </w:p>
        </w:tc>
        <w:tc>
          <w:tcPr>
            <w:tcW w:w="1087" w:type="dxa"/>
            <w:tcBorders>
              <w:top w:val="nil"/>
              <w:left w:val="nil"/>
              <w:bottom w:val="single" w:sz="4" w:space="0" w:color="auto"/>
              <w:right w:val="single" w:sz="4" w:space="0" w:color="auto"/>
            </w:tcBorders>
            <w:shd w:val="clear" w:color="auto" w:fill="FFFFFF" w:themeFill="background1"/>
            <w:noWrap/>
            <w:hideMark/>
          </w:tcPr>
          <w:p w14:paraId="0E173405" w14:textId="77777777" w:rsidR="00D63001" w:rsidRPr="00D81064" w:rsidRDefault="00D63001" w:rsidP="00B55BD8">
            <w:pPr>
              <w:pStyle w:val="Tabletext"/>
              <w:ind w:right="57"/>
              <w:jc w:val="right"/>
              <w:rPr>
                <w:sz w:val="18"/>
                <w:szCs w:val="18"/>
                <w:lang w:val="ru-RU"/>
              </w:rPr>
            </w:pPr>
            <w:r w:rsidRPr="00D81064">
              <w:rPr>
                <w:sz w:val="18"/>
                <w:szCs w:val="18"/>
                <w:lang w:val="ru-RU"/>
              </w:rPr>
              <w:t>2 659,75</w:t>
            </w:r>
          </w:p>
        </w:tc>
      </w:tr>
      <w:tr w:rsidR="00D63001" w:rsidRPr="00D81064" w14:paraId="77DD6677" w14:textId="77777777" w:rsidTr="00782D8A">
        <w:tc>
          <w:tcPr>
            <w:tcW w:w="1124" w:type="dxa"/>
            <w:tcBorders>
              <w:top w:val="nil"/>
              <w:left w:val="single" w:sz="4" w:space="0" w:color="auto"/>
              <w:bottom w:val="single" w:sz="4" w:space="0" w:color="auto"/>
              <w:right w:val="single" w:sz="4" w:space="0" w:color="auto"/>
            </w:tcBorders>
            <w:shd w:val="clear" w:color="auto" w:fill="FFFFFF" w:themeFill="background1"/>
          </w:tcPr>
          <w:p w14:paraId="6F1E0215" w14:textId="77777777" w:rsidR="00D63001" w:rsidRPr="00D81064" w:rsidRDefault="00D63001" w:rsidP="00782D8A">
            <w:pPr>
              <w:pStyle w:val="Tabletext"/>
              <w:jc w:val="center"/>
              <w:rPr>
                <w:sz w:val="18"/>
                <w:szCs w:val="18"/>
                <w:lang w:val="ru-RU"/>
              </w:rPr>
            </w:pPr>
            <w:r w:rsidRPr="00D81064">
              <w:rPr>
                <w:sz w:val="18"/>
                <w:szCs w:val="18"/>
                <w:lang w:val="ru-RU"/>
              </w:rPr>
              <w:t>63074</w:t>
            </w:r>
          </w:p>
        </w:tc>
        <w:tc>
          <w:tcPr>
            <w:tcW w:w="1418" w:type="dxa"/>
            <w:tcBorders>
              <w:top w:val="nil"/>
              <w:left w:val="single" w:sz="4" w:space="0" w:color="auto"/>
              <w:bottom w:val="single" w:sz="4" w:space="0" w:color="auto"/>
              <w:right w:val="single" w:sz="4" w:space="0" w:color="auto"/>
            </w:tcBorders>
            <w:shd w:val="clear" w:color="auto" w:fill="FFFFFF" w:themeFill="background1"/>
            <w:noWrap/>
            <w:hideMark/>
          </w:tcPr>
          <w:p w14:paraId="6D42DC15" w14:textId="77777777" w:rsidR="00D63001" w:rsidRPr="00D81064" w:rsidRDefault="00D63001" w:rsidP="00782D8A">
            <w:pPr>
              <w:pStyle w:val="Tabletext"/>
              <w:rPr>
                <w:sz w:val="18"/>
                <w:szCs w:val="18"/>
                <w:lang w:val="ru-RU"/>
              </w:rPr>
            </w:pPr>
            <w:r w:rsidRPr="00D81064">
              <w:rPr>
                <w:sz w:val="18"/>
                <w:szCs w:val="18"/>
                <w:lang w:val="ru-RU"/>
              </w:rPr>
              <w:t>Иран</w:t>
            </w:r>
          </w:p>
        </w:tc>
        <w:tc>
          <w:tcPr>
            <w:tcW w:w="2551" w:type="dxa"/>
            <w:tcBorders>
              <w:top w:val="nil"/>
              <w:left w:val="nil"/>
              <w:bottom w:val="single" w:sz="4" w:space="0" w:color="auto"/>
              <w:right w:val="single" w:sz="4" w:space="0" w:color="auto"/>
            </w:tcBorders>
            <w:shd w:val="clear" w:color="auto" w:fill="FFFFFF" w:themeFill="background1"/>
            <w:hideMark/>
          </w:tcPr>
          <w:p w14:paraId="39020698" w14:textId="77777777" w:rsidR="00D63001" w:rsidRPr="00D81064" w:rsidRDefault="00D63001" w:rsidP="00782D8A">
            <w:pPr>
              <w:pStyle w:val="Tabletext"/>
              <w:rPr>
                <w:sz w:val="18"/>
                <w:szCs w:val="18"/>
                <w:lang w:val="ru-RU"/>
              </w:rPr>
            </w:pPr>
            <w:proofErr w:type="spellStart"/>
            <w:r w:rsidRPr="00D81064">
              <w:rPr>
                <w:sz w:val="18"/>
                <w:szCs w:val="18"/>
                <w:lang w:val="ru-RU"/>
              </w:rPr>
              <w:t>Iranian</w:t>
            </w:r>
            <w:proofErr w:type="spellEnd"/>
            <w:r w:rsidRPr="00D81064">
              <w:rPr>
                <w:sz w:val="18"/>
                <w:szCs w:val="18"/>
                <w:lang w:val="ru-RU"/>
              </w:rPr>
              <w:t xml:space="preserve"> Net Com &amp; </w:t>
            </w:r>
            <w:proofErr w:type="spellStart"/>
            <w:r w:rsidRPr="00D81064">
              <w:rPr>
                <w:sz w:val="18"/>
                <w:szCs w:val="18"/>
                <w:lang w:val="ru-RU"/>
              </w:rPr>
              <w:t>Elec</w:t>
            </w:r>
            <w:proofErr w:type="spellEnd"/>
            <w:r w:rsidRPr="00D81064">
              <w:rPr>
                <w:sz w:val="18"/>
                <w:szCs w:val="18"/>
                <w:lang w:val="ru-RU"/>
              </w:rPr>
              <w:t xml:space="preserve"> </w:t>
            </w:r>
            <w:proofErr w:type="spellStart"/>
            <w:r w:rsidRPr="00D81064">
              <w:rPr>
                <w:sz w:val="18"/>
                <w:szCs w:val="18"/>
                <w:lang w:val="ru-RU"/>
              </w:rPr>
              <w:t>Servs</w:t>
            </w:r>
            <w:proofErr w:type="spellEnd"/>
            <w:r w:rsidRPr="00D81064">
              <w:rPr>
                <w:sz w:val="18"/>
                <w:szCs w:val="18"/>
                <w:lang w:val="ru-RU"/>
              </w:rPr>
              <w:t xml:space="preserve"> Co, Тегеран</w:t>
            </w:r>
          </w:p>
        </w:tc>
        <w:tc>
          <w:tcPr>
            <w:tcW w:w="993" w:type="dxa"/>
            <w:tcBorders>
              <w:top w:val="nil"/>
              <w:left w:val="nil"/>
              <w:bottom w:val="single" w:sz="4" w:space="0" w:color="auto"/>
              <w:right w:val="single" w:sz="4" w:space="0" w:color="auto"/>
            </w:tcBorders>
            <w:shd w:val="clear" w:color="auto" w:fill="FFFFFF" w:themeFill="background1"/>
            <w:noWrap/>
            <w:hideMark/>
          </w:tcPr>
          <w:p w14:paraId="1DC3BD87" w14:textId="77777777" w:rsidR="00D63001" w:rsidRPr="00D81064" w:rsidRDefault="00D63001" w:rsidP="00782D8A">
            <w:pPr>
              <w:pStyle w:val="Tabletext"/>
              <w:jc w:val="center"/>
              <w:rPr>
                <w:sz w:val="18"/>
                <w:szCs w:val="18"/>
                <w:lang w:val="ru-RU"/>
              </w:rPr>
            </w:pPr>
            <w:r w:rsidRPr="00D81064">
              <w:rPr>
                <w:sz w:val="18"/>
                <w:szCs w:val="18"/>
                <w:lang w:val="ru-RU"/>
              </w:rPr>
              <w:t>2019</w:t>
            </w:r>
          </w:p>
        </w:tc>
        <w:tc>
          <w:tcPr>
            <w:tcW w:w="1086" w:type="dxa"/>
            <w:tcBorders>
              <w:top w:val="nil"/>
              <w:left w:val="nil"/>
              <w:bottom w:val="single" w:sz="4" w:space="0" w:color="auto"/>
              <w:right w:val="single" w:sz="4" w:space="0" w:color="auto"/>
            </w:tcBorders>
            <w:shd w:val="clear" w:color="auto" w:fill="FFFFFF" w:themeFill="background1"/>
            <w:noWrap/>
            <w:hideMark/>
          </w:tcPr>
          <w:p w14:paraId="794AA261" w14:textId="77777777" w:rsidR="00D63001" w:rsidRPr="00D81064" w:rsidRDefault="00D63001" w:rsidP="00B55BD8">
            <w:pPr>
              <w:pStyle w:val="Tabletext"/>
              <w:ind w:right="57"/>
              <w:jc w:val="right"/>
              <w:rPr>
                <w:sz w:val="18"/>
                <w:szCs w:val="18"/>
                <w:lang w:val="ru-RU"/>
              </w:rPr>
            </w:pPr>
            <w:r w:rsidRPr="00D81064">
              <w:rPr>
                <w:sz w:val="18"/>
                <w:szCs w:val="18"/>
                <w:lang w:val="ru-RU"/>
              </w:rPr>
              <w:t>1 987,50</w:t>
            </w:r>
          </w:p>
        </w:tc>
        <w:tc>
          <w:tcPr>
            <w:tcW w:w="1087" w:type="dxa"/>
            <w:tcBorders>
              <w:top w:val="nil"/>
              <w:left w:val="nil"/>
              <w:bottom w:val="single" w:sz="4" w:space="0" w:color="auto"/>
              <w:right w:val="single" w:sz="4" w:space="0" w:color="auto"/>
            </w:tcBorders>
            <w:shd w:val="clear" w:color="auto" w:fill="FFFFFF" w:themeFill="background1"/>
            <w:noWrap/>
            <w:hideMark/>
          </w:tcPr>
          <w:p w14:paraId="3F44683D" w14:textId="77777777" w:rsidR="00D63001" w:rsidRPr="00D81064" w:rsidRDefault="00D63001" w:rsidP="00B55BD8">
            <w:pPr>
              <w:pStyle w:val="Tabletext"/>
              <w:ind w:right="57"/>
              <w:jc w:val="right"/>
              <w:rPr>
                <w:sz w:val="18"/>
                <w:szCs w:val="18"/>
                <w:lang w:val="ru-RU"/>
              </w:rPr>
            </w:pPr>
            <w:r w:rsidRPr="00D81064">
              <w:rPr>
                <w:sz w:val="18"/>
                <w:szCs w:val="18"/>
                <w:lang w:val="ru-RU"/>
              </w:rPr>
              <w:t>937,50</w:t>
            </w:r>
          </w:p>
        </w:tc>
        <w:tc>
          <w:tcPr>
            <w:tcW w:w="1087" w:type="dxa"/>
            <w:tcBorders>
              <w:top w:val="nil"/>
              <w:left w:val="nil"/>
              <w:bottom w:val="single" w:sz="4" w:space="0" w:color="auto"/>
              <w:right w:val="single" w:sz="4" w:space="0" w:color="auto"/>
            </w:tcBorders>
            <w:shd w:val="clear" w:color="auto" w:fill="FFFFFF" w:themeFill="background1"/>
            <w:noWrap/>
            <w:hideMark/>
          </w:tcPr>
          <w:p w14:paraId="3E5FAF85" w14:textId="77777777" w:rsidR="00D63001" w:rsidRPr="00D81064" w:rsidRDefault="00D63001" w:rsidP="00B55BD8">
            <w:pPr>
              <w:pStyle w:val="Tabletext"/>
              <w:ind w:right="57"/>
              <w:jc w:val="right"/>
              <w:rPr>
                <w:sz w:val="18"/>
                <w:szCs w:val="18"/>
                <w:lang w:val="ru-RU"/>
              </w:rPr>
            </w:pPr>
            <w:r w:rsidRPr="00D81064">
              <w:rPr>
                <w:sz w:val="18"/>
                <w:szCs w:val="18"/>
                <w:lang w:val="ru-RU"/>
              </w:rPr>
              <w:t>2 925,00</w:t>
            </w:r>
          </w:p>
        </w:tc>
      </w:tr>
      <w:tr w:rsidR="00D63001" w:rsidRPr="00D81064" w14:paraId="77F32434" w14:textId="77777777" w:rsidTr="00782D8A">
        <w:tc>
          <w:tcPr>
            <w:tcW w:w="1124" w:type="dxa"/>
            <w:tcBorders>
              <w:top w:val="nil"/>
              <w:left w:val="single" w:sz="4" w:space="0" w:color="auto"/>
              <w:bottom w:val="single" w:sz="4" w:space="0" w:color="auto"/>
              <w:right w:val="single" w:sz="4" w:space="0" w:color="auto"/>
            </w:tcBorders>
            <w:shd w:val="clear" w:color="auto" w:fill="FFFFFF" w:themeFill="background1"/>
          </w:tcPr>
          <w:p w14:paraId="03B0EBAE" w14:textId="77777777" w:rsidR="00D63001" w:rsidRPr="00D81064" w:rsidRDefault="00D63001" w:rsidP="00782D8A">
            <w:pPr>
              <w:pStyle w:val="Tabletext"/>
              <w:jc w:val="center"/>
              <w:rPr>
                <w:sz w:val="18"/>
                <w:szCs w:val="18"/>
                <w:lang w:val="ru-RU"/>
              </w:rPr>
            </w:pPr>
            <w:r w:rsidRPr="00D81064">
              <w:rPr>
                <w:sz w:val="18"/>
                <w:szCs w:val="18"/>
                <w:lang w:val="ru-RU"/>
              </w:rPr>
              <w:t>1200101813</w:t>
            </w:r>
          </w:p>
        </w:tc>
        <w:tc>
          <w:tcPr>
            <w:tcW w:w="1418" w:type="dxa"/>
            <w:tcBorders>
              <w:top w:val="nil"/>
              <w:left w:val="single" w:sz="4" w:space="0" w:color="auto"/>
              <w:bottom w:val="single" w:sz="4" w:space="0" w:color="auto"/>
              <w:right w:val="single" w:sz="4" w:space="0" w:color="auto"/>
            </w:tcBorders>
            <w:shd w:val="clear" w:color="auto" w:fill="FFFFFF" w:themeFill="background1"/>
            <w:noWrap/>
            <w:hideMark/>
          </w:tcPr>
          <w:p w14:paraId="354E1CD9" w14:textId="77777777" w:rsidR="00D63001" w:rsidRPr="00D81064" w:rsidRDefault="00D63001" w:rsidP="00782D8A">
            <w:pPr>
              <w:pStyle w:val="Tabletext"/>
              <w:rPr>
                <w:sz w:val="18"/>
                <w:szCs w:val="18"/>
                <w:lang w:val="ru-RU"/>
              </w:rPr>
            </w:pPr>
            <w:r w:rsidRPr="00D81064">
              <w:rPr>
                <w:sz w:val="18"/>
                <w:szCs w:val="18"/>
                <w:lang w:val="ru-RU"/>
              </w:rPr>
              <w:t>Иран</w:t>
            </w:r>
          </w:p>
        </w:tc>
        <w:tc>
          <w:tcPr>
            <w:tcW w:w="2551" w:type="dxa"/>
            <w:tcBorders>
              <w:top w:val="nil"/>
              <w:left w:val="nil"/>
              <w:bottom w:val="single" w:sz="4" w:space="0" w:color="auto"/>
              <w:right w:val="single" w:sz="4" w:space="0" w:color="auto"/>
            </w:tcBorders>
            <w:shd w:val="clear" w:color="auto" w:fill="FFFFFF" w:themeFill="background1"/>
            <w:hideMark/>
          </w:tcPr>
          <w:p w14:paraId="10B571DF" w14:textId="77777777" w:rsidR="00D63001" w:rsidRPr="00D81064" w:rsidRDefault="00D63001" w:rsidP="00782D8A">
            <w:pPr>
              <w:pStyle w:val="Tabletext"/>
              <w:rPr>
                <w:sz w:val="18"/>
                <w:szCs w:val="18"/>
                <w:lang w:val="ru-RU"/>
              </w:rPr>
            </w:pPr>
            <w:proofErr w:type="spellStart"/>
            <w:r w:rsidRPr="00D81064">
              <w:rPr>
                <w:sz w:val="18"/>
                <w:szCs w:val="18"/>
                <w:lang w:val="ru-RU"/>
              </w:rPr>
              <w:t>Monenco</w:t>
            </w:r>
            <w:proofErr w:type="spellEnd"/>
            <w:r w:rsidRPr="00D81064">
              <w:rPr>
                <w:sz w:val="18"/>
                <w:szCs w:val="18"/>
                <w:lang w:val="ru-RU"/>
              </w:rPr>
              <w:t xml:space="preserve"> Iran, Тегеран</w:t>
            </w:r>
          </w:p>
        </w:tc>
        <w:tc>
          <w:tcPr>
            <w:tcW w:w="993" w:type="dxa"/>
            <w:tcBorders>
              <w:top w:val="nil"/>
              <w:left w:val="nil"/>
              <w:bottom w:val="single" w:sz="4" w:space="0" w:color="auto"/>
              <w:right w:val="single" w:sz="4" w:space="0" w:color="auto"/>
            </w:tcBorders>
            <w:shd w:val="clear" w:color="auto" w:fill="FFFFFF" w:themeFill="background1"/>
            <w:noWrap/>
            <w:hideMark/>
          </w:tcPr>
          <w:p w14:paraId="1BDE44F7" w14:textId="77777777" w:rsidR="00D63001" w:rsidRPr="00D81064" w:rsidRDefault="00D63001" w:rsidP="00782D8A">
            <w:pPr>
              <w:pStyle w:val="Tabletext"/>
              <w:jc w:val="center"/>
              <w:rPr>
                <w:sz w:val="18"/>
                <w:szCs w:val="18"/>
                <w:lang w:val="ru-RU"/>
              </w:rPr>
            </w:pPr>
            <w:r w:rsidRPr="00D81064">
              <w:rPr>
                <w:sz w:val="18"/>
                <w:szCs w:val="18"/>
                <w:lang w:val="ru-RU"/>
              </w:rPr>
              <w:t>2020</w:t>
            </w:r>
          </w:p>
        </w:tc>
        <w:tc>
          <w:tcPr>
            <w:tcW w:w="1086" w:type="dxa"/>
            <w:tcBorders>
              <w:top w:val="nil"/>
              <w:left w:val="nil"/>
              <w:bottom w:val="single" w:sz="4" w:space="0" w:color="auto"/>
              <w:right w:val="single" w:sz="4" w:space="0" w:color="auto"/>
            </w:tcBorders>
            <w:shd w:val="clear" w:color="auto" w:fill="FFFFFF" w:themeFill="background1"/>
            <w:noWrap/>
            <w:hideMark/>
          </w:tcPr>
          <w:p w14:paraId="3908801D" w14:textId="77777777" w:rsidR="00D63001" w:rsidRPr="00D81064" w:rsidRDefault="00D63001" w:rsidP="00B55BD8">
            <w:pPr>
              <w:pStyle w:val="Tabletext"/>
              <w:ind w:right="57"/>
              <w:jc w:val="right"/>
              <w:rPr>
                <w:sz w:val="18"/>
                <w:szCs w:val="18"/>
                <w:lang w:val="ru-RU"/>
              </w:rPr>
            </w:pPr>
            <w:r w:rsidRPr="00D81064">
              <w:rPr>
                <w:sz w:val="18"/>
                <w:szCs w:val="18"/>
                <w:lang w:val="ru-RU"/>
              </w:rPr>
              <w:t>1 987,50</w:t>
            </w:r>
          </w:p>
        </w:tc>
        <w:tc>
          <w:tcPr>
            <w:tcW w:w="1087" w:type="dxa"/>
            <w:tcBorders>
              <w:top w:val="nil"/>
              <w:left w:val="nil"/>
              <w:bottom w:val="single" w:sz="4" w:space="0" w:color="auto"/>
              <w:right w:val="single" w:sz="4" w:space="0" w:color="auto"/>
            </w:tcBorders>
            <w:shd w:val="clear" w:color="auto" w:fill="FFFFFF" w:themeFill="background1"/>
            <w:noWrap/>
            <w:hideMark/>
          </w:tcPr>
          <w:p w14:paraId="16279DD9" w14:textId="77777777" w:rsidR="00D63001" w:rsidRPr="00D81064" w:rsidRDefault="00D63001" w:rsidP="00B55BD8">
            <w:pPr>
              <w:pStyle w:val="Tabletext"/>
              <w:ind w:right="57"/>
              <w:jc w:val="right"/>
              <w:rPr>
                <w:sz w:val="18"/>
                <w:szCs w:val="18"/>
                <w:lang w:val="ru-RU"/>
              </w:rPr>
            </w:pPr>
            <w:r w:rsidRPr="00D81064">
              <w:rPr>
                <w:sz w:val="18"/>
                <w:szCs w:val="18"/>
                <w:lang w:val="ru-RU"/>
              </w:rPr>
              <w:t>672,25</w:t>
            </w:r>
          </w:p>
        </w:tc>
        <w:tc>
          <w:tcPr>
            <w:tcW w:w="1087" w:type="dxa"/>
            <w:tcBorders>
              <w:top w:val="nil"/>
              <w:left w:val="nil"/>
              <w:bottom w:val="single" w:sz="4" w:space="0" w:color="auto"/>
              <w:right w:val="single" w:sz="4" w:space="0" w:color="auto"/>
            </w:tcBorders>
            <w:shd w:val="clear" w:color="auto" w:fill="FFFFFF" w:themeFill="background1"/>
            <w:noWrap/>
            <w:hideMark/>
          </w:tcPr>
          <w:p w14:paraId="08DF41FC" w14:textId="77777777" w:rsidR="00D63001" w:rsidRPr="00D81064" w:rsidRDefault="00D63001" w:rsidP="00B55BD8">
            <w:pPr>
              <w:pStyle w:val="Tabletext"/>
              <w:ind w:right="57"/>
              <w:jc w:val="right"/>
              <w:rPr>
                <w:sz w:val="18"/>
                <w:szCs w:val="18"/>
                <w:lang w:val="ru-RU"/>
              </w:rPr>
            </w:pPr>
            <w:r w:rsidRPr="00D81064">
              <w:rPr>
                <w:sz w:val="18"/>
                <w:szCs w:val="18"/>
                <w:lang w:val="ru-RU"/>
              </w:rPr>
              <w:t>2 659,75</w:t>
            </w:r>
          </w:p>
        </w:tc>
      </w:tr>
      <w:tr w:rsidR="00D63001" w:rsidRPr="00D81064" w14:paraId="2B70D0FD" w14:textId="77777777" w:rsidTr="00782D8A">
        <w:tc>
          <w:tcPr>
            <w:tcW w:w="1124" w:type="dxa"/>
            <w:tcBorders>
              <w:top w:val="nil"/>
              <w:left w:val="single" w:sz="4" w:space="0" w:color="auto"/>
              <w:bottom w:val="single" w:sz="4" w:space="0" w:color="auto"/>
              <w:right w:val="single" w:sz="4" w:space="0" w:color="auto"/>
            </w:tcBorders>
            <w:shd w:val="clear" w:color="auto" w:fill="FFFFFF" w:themeFill="background1"/>
          </w:tcPr>
          <w:p w14:paraId="45C0DFEB" w14:textId="77777777" w:rsidR="00D63001" w:rsidRPr="00D81064" w:rsidRDefault="00D63001" w:rsidP="00782D8A">
            <w:pPr>
              <w:pStyle w:val="Tabletext"/>
              <w:jc w:val="center"/>
              <w:rPr>
                <w:sz w:val="18"/>
                <w:szCs w:val="18"/>
                <w:lang w:val="ru-RU"/>
              </w:rPr>
            </w:pPr>
            <w:r w:rsidRPr="00D81064">
              <w:rPr>
                <w:sz w:val="18"/>
                <w:szCs w:val="18"/>
                <w:lang w:val="ru-RU"/>
              </w:rPr>
              <w:t>1200175394</w:t>
            </w:r>
          </w:p>
        </w:tc>
        <w:tc>
          <w:tcPr>
            <w:tcW w:w="1418" w:type="dxa"/>
            <w:tcBorders>
              <w:top w:val="nil"/>
              <w:left w:val="single" w:sz="4" w:space="0" w:color="auto"/>
              <w:bottom w:val="single" w:sz="4" w:space="0" w:color="auto"/>
              <w:right w:val="single" w:sz="4" w:space="0" w:color="auto"/>
            </w:tcBorders>
            <w:shd w:val="clear" w:color="auto" w:fill="FFFFFF" w:themeFill="background1"/>
            <w:noWrap/>
            <w:hideMark/>
          </w:tcPr>
          <w:p w14:paraId="135B0C1F" w14:textId="77777777" w:rsidR="00D63001" w:rsidRPr="00D81064" w:rsidRDefault="00D63001" w:rsidP="00782D8A">
            <w:pPr>
              <w:pStyle w:val="Tabletext"/>
              <w:rPr>
                <w:sz w:val="18"/>
                <w:szCs w:val="18"/>
                <w:lang w:val="ru-RU"/>
              </w:rPr>
            </w:pPr>
            <w:r w:rsidRPr="00D81064">
              <w:rPr>
                <w:sz w:val="18"/>
                <w:szCs w:val="18"/>
                <w:lang w:val="ru-RU"/>
              </w:rPr>
              <w:t>Израиль</w:t>
            </w:r>
          </w:p>
        </w:tc>
        <w:tc>
          <w:tcPr>
            <w:tcW w:w="2551" w:type="dxa"/>
            <w:tcBorders>
              <w:top w:val="nil"/>
              <w:left w:val="nil"/>
              <w:bottom w:val="single" w:sz="4" w:space="0" w:color="auto"/>
              <w:right w:val="single" w:sz="4" w:space="0" w:color="auto"/>
            </w:tcBorders>
            <w:shd w:val="clear" w:color="auto" w:fill="FFFFFF" w:themeFill="background1"/>
            <w:hideMark/>
          </w:tcPr>
          <w:p w14:paraId="26ECBB42" w14:textId="77777777" w:rsidR="00D63001" w:rsidRPr="00D81064" w:rsidRDefault="00D63001" w:rsidP="00782D8A">
            <w:pPr>
              <w:pStyle w:val="Tabletext"/>
              <w:rPr>
                <w:sz w:val="18"/>
                <w:szCs w:val="18"/>
                <w:lang w:val="ru-RU"/>
              </w:rPr>
            </w:pPr>
            <w:proofErr w:type="spellStart"/>
            <w:r w:rsidRPr="00D81064">
              <w:rPr>
                <w:sz w:val="18"/>
                <w:szCs w:val="18"/>
                <w:lang w:val="ru-RU"/>
              </w:rPr>
              <w:t>JpU</w:t>
            </w:r>
            <w:proofErr w:type="spellEnd"/>
            <w:r w:rsidRPr="00D81064">
              <w:rPr>
                <w:sz w:val="18"/>
                <w:szCs w:val="18"/>
                <w:lang w:val="ru-RU"/>
              </w:rPr>
              <w:t xml:space="preserve"> </w:t>
            </w:r>
            <w:proofErr w:type="spellStart"/>
            <w:r w:rsidRPr="00D81064">
              <w:rPr>
                <w:sz w:val="18"/>
                <w:szCs w:val="18"/>
                <w:lang w:val="ru-RU"/>
              </w:rPr>
              <w:t>Io</w:t>
            </w:r>
            <w:proofErr w:type="spellEnd"/>
            <w:r w:rsidRPr="00D81064">
              <w:rPr>
                <w:sz w:val="18"/>
                <w:szCs w:val="18"/>
                <w:lang w:val="ru-RU"/>
              </w:rPr>
              <w:t xml:space="preserve"> Ltd, Петах-Тиква</w:t>
            </w:r>
          </w:p>
        </w:tc>
        <w:tc>
          <w:tcPr>
            <w:tcW w:w="993" w:type="dxa"/>
            <w:tcBorders>
              <w:top w:val="nil"/>
              <w:left w:val="nil"/>
              <w:bottom w:val="single" w:sz="4" w:space="0" w:color="auto"/>
              <w:right w:val="single" w:sz="4" w:space="0" w:color="auto"/>
            </w:tcBorders>
            <w:shd w:val="clear" w:color="auto" w:fill="FFFFFF" w:themeFill="background1"/>
            <w:noWrap/>
            <w:hideMark/>
          </w:tcPr>
          <w:p w14:paraId="62D89D14" w14:textId="77777777" w:rsidR="00D63001" w:rsidRPr="00D81064" w:rsidRDefault="00D63001" w:rsidP="00782D8A">
            <w:pPr>
              <w:pStyle w:val="Tabletext"/>
              <w:jc w:val="center"/>
              <w:rPr>
                <w:sz w:val="18"/>
                <w:szCs w:val="18"/>
                <w:lang w:val="ru-RU"/>
              </w:rPr>
            </w:pPr>
            <w:r w:rsidRPr="00D81064">
              <w:rPr>
                <w:sz w:val="18"/>
                <w:szCs w:val="18"/>
                <w:lang w:val="ru-RU"/>
              </w:rPr>
              <w:t>2019</w:t>
            </w:r>
          </w:p>
        </w:tc>
        <w:tc>
          <w:tcPr>
            <w:tcW w:w="1086" w:type="dxa"/>
            <w:tcBorders>
              <w:top w:val="nil"/>
              <w:left w:val="nil"/>
              <w:bottom w:val="single" w:sz="4" w:space="0" w:color="auto"/>
              <w:right w:val="single" w:sz="4" w:space="0" w:color="auto"/>
            </w:tcBorders>
            <w:shd w:val="clear" w:color="auto" w:fill="FFFFFF" w:themeFill="background1"/>
            <w:noWrap/>
            <w:hideMark/>
          </w:tcPr>
          <w:p w14:paraId="2B0EFAC2" w14:textId="77777777" w:rsidR="00D63001" w:rsidRPr="00D81064" w:rsidRDefault="00D63001" w:rsidP="00B55BD8">
            <w:pPr>
              <w:pStyle w:val="Tabletext"/>
              <w:ind w:right="57"/>
              <w:jc w:val="right"/>
              <w:rPr>
                <w:sz w:val="18"/>
                <w:szCs w:val="18"/>
                <w:lang w:val="ru-RU"/>
              </w:rPr>
            </w:pPr>
            <w:r w:rsidRPr="00D81064">
              <w:rPr>
                <w:sz w:val="18"/>
                <w:szCs w:val="18"/>
                <w:lang w:val="ru-RU"/>
              </w:rPr>
              <w:t>3 533,33</w:t>
            </w:r>
          </w:p>
        </w:tc>
        <w:tc>
          <w:tcPr>
            <w:tcW w:w="1087" w:type="dxa"/>
            <w:tcBorders>
              <w:top w:val="nil"/>
              <w:left w:val="nil"/>
              <w:bottom w:val="single" w:sz="4" w:space="0" w:color="auto"/>
              <w:right w:val="single" w:sz="4" w:space="0" w:color="auto"/>
            </w:tcBorders>
            <w:shd w:val="clear" w:color="auto" w:fill="FFFFFF" w:themeFill="background1"/>
            <w:noWrap/>
            <w:hideMark/>
          </w:tcPr>
          <w:p w14:paraId="78B6ACEE" w14:textId="77777777" w:rsidR="00D63001" w:rsidRPr="00D81064" w:rsidRDefault="00D63001" w:rsidP="00B55BD8">
            <w:pPr>
              <w:pStyle w:val="Tabletext"/>
              <w:ind w:right="57"/>
              <w:jc w:val="right"/>
              <w:rPr>
                <w:sz w:val="18"/>
                <w:szCs w:val="18"/>
                <w:lang w:val="ru-RU"/>
              </w:rPr>
            </w:pPr>
            <w:r w:rsidRPr="00D81064">
              <w:rPr>
                <w:sz w:val="18"/>
                <w:szCs w:val="18"/>
                <w:lang w:val="ru-RU"/>
              </w:rPr>
              <w:t>1 666,75</w:t>
            </w:r>
          </w:p>
        </w:tc>
        <w:tc>
          <w:tcPr>
            <w:tcW w:w="1087" w:type="dxa"/>
            <w:tcBorders>
              <w:top w:val="nil"/>
              <w:left w:val="nil"/>
              <w:bottom w:val="single" w:sz="4" w:space="0" w:color="auto"/>
              <w:right w:val="single" w:sz="4" w:space="0" w:color="auto"/>
            </w:tcBorders>
            <w:shd w:val="clear" w:color="auto" w:fill="FFFFFF" w:themeFill="background1"/>
            <w:noWrap/>
            <w:hideMark/>
          </w:tcPr>
          <w:p w14:paraId="1315191B" w14:textId="77777777" w:rsidR="00D63001" w:rsidRPr="00D81064" w:rsidRDefault="00D63001" w:rsidP="00B55BD8">
            <w:pPr>
              <w:pStyle w:val="Tabletext"/>
              <w:ind w:right="57"/>
              <w:jc w:val="right"/>
              <w:rPr>
                <w:sz w:val="18"/>
                <w:szCs w:val="18"/>
                <w:lang w:val="ru-RU"/>
              </w:rPr>
            </w:pPr>
            <w:r w:rsidRPr="00D81064">
              <w:rPr>
                <w:sz w:val="18"/>
                <w:szCs w:val="18"/>
                <w:lang w:val="ru-RU"/>
              </w:rPr>
              <w:t>5 200,08</w:t>
            </w:r>
          </w:p>
        </w:tc>
      </w:tr>
      <w:tr w:rsidR="00D63001" w:rsidRPr="00D81064" w14:paraId="67875F3A" w14:textId="77777777" w:rsidTr="00782D8A">
        <w:tc>
          <w:tcPr>
            <w:tcW w:w="1124" w:type="dxa"/>
            <w:tcBorders>
              <w:top w:val="nil"/>
              <w:left w:val="single" w:sz="4" w:space="0" w:color="auto"/>
              <w:bottom w:val="single" w:sz="4" w:space="0" w:color="auto"/>
              <w:right w:val="single" w:sz="4" w:space="0" w:color="auto"/>
            </w:tcBorders>
            <w:shd w:val="clear" w:color="auto" w:fill="FFFFFF" w:themeFill="background1"/>
          </w:tcPr>
          <w:p w14:paraId="220E4BE2" w14:textId="77777777" w:rsidR="00D63001" w:rsidRPr="00D81064" w:rsidRDefault="00D63001" w:rsidP="00782D8A">
            <w:pPr>
              <w:pStyle w:val="Tabletext"/>
              <w:jc w:val="center"/>
              <w:rPr>
                <w:sz w:val="18"/>
                <w:szCs w:val="18"/>
                <w:lang w:val="ru-RU"/>
              </w:rPr>
            </w:pPr>
            <w:r w:rsidRPr="00D81064">
              <w:rPr>
                <w:sz w:val="18"/>
                <w:szCs w:val="18"/>
                <w:lang w:val="ru-RU"/>
              </w:rPr>
              <w:t>62772</w:t>
            </w:r>
          </w:p>
        </w:tc>
        <w:tc>
          <w:tcPr>
            <w:tcW w:w="1418" w:type="dxa"/>
            <w:tcBorders>
              <w:top w:val="nil"/>
              <w:left w:val="single" w:sz="4" w:space="0" w:color="auto"/>
              <w:bottom w:val="single" w:sz="4" w:space="0" w:color="auto"/>
              <w:right w:val="single" w:sz="4" w:space="0" w:color="auto"/>
            </w:tcBorders>
            <w:shd w:val="clear" w:color="auto" w:fill="FFFFFF" w:themeFill="background1"/>
            <w:noWrap/>
            <w:hideMark/>
          </w:tcPr>
          <w:p w14:paraId="1981EC01" w14:textId="77777777" w:rsidR="00D63001" w:rsidRPr="00D81064" w:rsidRDefault="00D63001" w:rsidP="00782D8A">
            <w:pPr>
              <w:pStyle w:val="Tabletext"/>
              <w:rPr>
                <w:sz w:val="18"/>
                <w:szCs w:val="18"/>
                <w:lang w:val="ru-RU"/>
              </w:rPr>
            </w:pPr>
            <w:r w:rsidRPr="00D81064">
              <w:rPr>
                <w:sz w:val="18"/>
                <w:szCs w:val="18"/>
                <w:lang w:val="ru-RU"/>
              </w:rPr>
              <w:t>Израиль</w:t>
            </w:r>
          </w:p>
        </w:tc>
        <w:tc>
          <w:tcPr>
            <w:tcW w:w="2551" w:type="dxa"/>
            <w:tcBorders>
              <w:top w:val="nil"/>
              <w:left w:val="nil"/>
              <w:bottom w:val="single" w:sz="4" w:space="0" w:color="auto"/>
              <w:right w:val="single" w:sz="4" w:space="0" w:color="auto"/>
            </w:tcBorders>
            <w:shd w:val="clear" w:color="auto" w:fill="FFFFFF" w:themeFill="background1"/>
            <w:hideMark/>
          </w:tcPr>
          <w:p w14:paraId="2847A01B" w14:textId="77777777" w:rsidR="00D63001" w:rsidRPr="00D81064" w:rsidRDefault="00D63001" w:rsidP="00782D8A">
            <w:pPr>
              <w:pStyle w:val="Tabletext"/>
              <w:rPr>
                <w:sz w:val="18"/>
                <w:szCs w:val="18"/>
                <w:lang w:val="ru-RU"/>
              </w:rPr>
            </w:pPr>
            <w:proofErr w:type="spellStart"/>
            <w:r w:rsidRPr="00D81064">
              <w:rPr>
                <w:sz w:val="18"/>
                <w:szCs w:val="18"/>
                <w:lang w:val="ru-RU"/>
              </w:rPr>
              <w:t>Sckipio</w:t>
            </w:r>
            <w:proofErr w:type="spellEnd"/>
            <w:r w:rsidRPr="00D81064">
              <w:rPr>
                <w:sz w:val="18"/>
                <w:szCs w:val="18"/>
                <w:lang w:val="ru-RU"/>
              </w:rPr>
              <w:t xml:space="preserve"> Tech, Рамат-Ган</w:t>
            </w:r>
          </w:p>
        </w:tc>
        <w:tc>
          <w:tcPr>
            <w:tcW w:w="993" w:type="dxa"/>
            <w:tcBorders>
              <w:top w:val="nil"/>
              <w:left w:val="nil"/>
              <w:bottom w:val="single" w:sz="4" w:space="0" w:color="auto"/>
              <w:right w:val="single" w:sz="4" w:space="0" w:color="auto"/>
            </w:tcBorders>
            <w:shd w:val="clear" w:color="auto" w:fill="FFFFFF" w:themeFill="background1"/>
            <w:noWrap/>
            <w:hideMark/>
          </w:tcPr>
          <w:p w14:paraId="5ED5F90F" w14:textId="77777777" w:rsidR="00D63001" w:rsidRPr="00D81064" w:rsidRDefault="00D63001" w:rsidP="00782D8A">
            <w:pPr>
              <w:pStyle w:val="Tabletext"/>
              <w:jc w:val="center"/>
              <w:rPr>
                <w:sz w:val="18"/>
                <w:szCs w:val="18"/>
                <w:lang w:val="ru-RU"/>
              </w:rPr>
            </w:pPr>
            <w:r w:rsidRPr="00D81064">
              <w:rPr>
                <w:sz w:val="18"/>
                <w:szCs w:val="18"/>
                <w:lang w:val="ru-RU"/>
              </w:rPr>
              <w:t>2020</w:t>
            </w:r>
          </w:p>
        </w:tc>
        <w:tc>
          <w:tcPr>
            <w:tcW w:w="1086" w:type="dxa"/>
            <w:tcBorders>
              <w:top w:val="nil"/>
              <w:left w:val="nil"/>
              <w:bottom w:val="single" w:sz="4" w:space="0" w:color="auto"/>
              <w:right w:val="single" w:sz="4" w:space="0" w:color="auto"/>
            </w:tcBorders>
            <w:shd w:val="clear" w:color="auto" w:fill="FFFFFF" w:themeFill="background1"/>
            <w:noWrap/>
            <w:hideMark/>
          </w:tcPr>
          <w:p w14:paraId="51C098B4" w14:textId="77777777" w:rsidR="00D63001" w:rsidRPr="00D81064" w:rsidRDefault="00D63001" w:rsidP="00B55BD8">
            <w:pPr>
              <w:pStyle w:val="Tabletext"/>
              <w:ind w:right="57"/>
              <w:jc w:val="right"/>
              <w:rPr>
                <w:sz w:val="18"/>
                <w:szCs w:val="18"/>
                <w:lang w:val="ru-RU"/>
              </w:rPr>
            </w:pPr>
            <w:r w:rsidRPr="00D81064">
              <w:rPr>
                <w:sz w:val="18"/>
                <w:szCs w:val="18"/>
                <w:lang w:val="ru-RU"/>
              </w:rPr>
              <w:t>10 600,00</w:t>
            </w:r>
          </w:p>
        </w:tc>
        <w:tc>
          <w:tcPr>
            <w:tcW w:w="1087" w:type="dxa"/>
            <w:tcBorders>
              <w:top w:val="nil"/>
              <w:left w:val="nil"/>
              <w:bottom w:val="single" w:sz="4" w:space="0" w:color="auto"/>
              <w:right w:val="single" w:sz="4" w:space="0" w:color="auto"/>
            </w:tcBorders>
            <w:shd w:val="clear" w:color="auto" w:fill="FFFFFF" w:themeFill="background1"/>
            <w:noWrap/>
            <w:hideMark/>
          </w:tcPr>
          <w:p w14:paraId="64AF0C94" w14:textId="77777777" w:rsidR="00D63001" w:rsidRPr="00D81064" w:rsidRDefault="00D63001" w:rsidP="00B55BD8">
            <w:pPr>
              <w:pStyle w:val="Tabletext"/>
              <w:ind w:right="57"/>
              <w:jc w:val="right"/>
              <w:rPr>
                <w:sz w:val="18"/>
                <w:szCs w:val="18"/>
                <w:lang w:val="ru-RU"/>
              </w:rPr>
            </w:pPr>
            <w:r w:rsidRPr="00D81064">
              <w:rPr>
                <w:sz w:val="18"/>
                <w:szCs w:val="18"/>
                <w:lang w:val="ru-RU"/>
              </w:rPr>
              <w:t>720,25</w:t>
            </w:r>
          </w:p>
        </w:tc>
        <w:tc>
          <w:tcPr>
            <w:tcW w:w="1087" w:type="dxa"/>
            <w:tcBorders>
              <w:top w:val="nil"/>
              <w:left w:val="nil"/>
              <w:bottom w:val="single" w:sz="4" w:space="0" w:color="auto"/>
              <w:right w:val="single" w:sz="4" w:space="0" w:color="auto"/>
            </w:tcBorders>
            <w:shd w:val="clear" w:color="auto" w:fill="FFFFFF" w:themeFill="background1"/>
            <w:noWrap/>
            <w:hideMark/>
          </w:tcPr>
          <w:p w14:paraId="2A8265C7" w14:textId="77777777" w:rsidR="00D63001" w:rsidRPr="00D81064" w:rsidRDefault="00D63001" w:rsidP="00B55BD8">
            <w:pPr>
              <w:pStyle w:val="Tabletext"/>
              <w:ind w:right="57"/>
              <w:jc w:val="right"/>
              <w:rPr>
                <w:sz w:val="18"/>
                <w:szCs w:val="18"/>
                <w:lang w:val="ru-RU"/>
              </w:rPr>
            </w:pPr>
            <w:r w:rsidRPr="00D81064">
              <w:rPr>
                <w:sz w:val="18"/>
                <w:szCs w:val="18"/>
                <w:lang w:val="ru-RU"/>
              </w:rPr>
              <w:t>11 320,25</w:t>
            </w:r>
          </w:p>
        </w:tc>
      </w:tr>
      <w:tr w:rsidR="00D63001" w:rsidRPr="00D81064" w14:paraId="69BF0904" w14:textId="77777777" w:rsidTr="00B55BD8">
        <w:tc>
          <w:tcPr>
            <w:tcW w:w="1124" w:type="dxa"/>
            <w:tcBorders>
              <w:top w:val="nil"/>
              <w:left w:val="single" w:sz="4" w:space="0" w:color="auto"/>
              <w:bottom w:val="single" w:sz="4" w:space="0" w:color="000000"/>
              <w:right w:val="single" w:sz="4" w:space="0" w:color="auto"/>
            </w:tcBorders>
            <w:shd w:val="clear" w:color="auto" w:fill="FFFFFF" w:themeFill="background1"/>
          </w:tcPr>
          <w:p w14:paraId="4F5D2F67" w14:textId="77777777" w:rsidR="00D63001" w:rsidRPr="00D81064" w:rsidRDefault="00D63001" w:rsidP="00782D8A">
            <w:pPr>
              <w:pStyle w:val="Tabletext"/>
              <w:jc w:val="center"/>
              <w:rPr>
                <w:sz w:val="18"/>
                <w:szCs w:val="18"/>
                <w:lang w:val="ru-RU"/>
              </w:rPr>
            </w:pPr>
            <w:r w:rsidRPr="00D81064">
              <w:rPr>
                <w:sz w:val="18"/>
                <w:szCs w:val="18"/>
                <w:lang w:val="ru-RU"/>
              </w:rPr>
              <w:t>1200162990</w:t>
            </w:r>
          </w:p>
        </w:tc>
        <w:tc>
          <w:tcPr>
            <w:tcW w:w="1418" w:type="dxa"/>
            <w:tcBorders>
              <w:top w:val="nil"/>
              <w:left w:val="single" w:sz="4" w:space="0" w:color="auto"/>
              <w:bottom w:val="single" w:sz="4" w:space="0" w:color="000000"/>
              <w:right w:val="single" w:sz="4" w:space="0" w:color="auto"/>
            </w:tcBorders>
            <w:shd w:val="clear" w:color="auto" w:fill="FFFFFF" w:themeFill="background1"/>
            <w:noWrap/>
            <w:hideMark/>
          </w:tcPr>
          <w:p w14:paraId="44F05B82" w14:textId="77777777" w:rsidR="00D63001" w:rsidRPr="00D81064" w:rsidRDefault="00D63001" w:rsidP="00782D8A">
            <w:pPr>
              <w:pStyle w:val="Tabletext"/>
              <w:rPr>
                <w:sz w:val="18"/>
                <w:szCs w:val="18"/>
                <w:lang w:val="ru-RU"/>
              </w:rPr>
            </w:pPr>
            <w:r w:rsidRPr="00D81064">
              <w:rPr>
                <w:sz w:val="18"/>
                <w:szCs w:val="18"/>
                <w:lang w:val="ru-RU"/>
              </w:rPr>
              <w:t>Корея</w:t>
            </w:r>
          </w:p>
        </w:tc>
        <w:tc>
          <w:tcPr>
            <w:tcW w:w="2551" w:type="dxa"/>
            <w:tcBorders>
              <w:top w:val="nil"/>
              <w:left w:val="nil"/>
              <w:bottom w:val="single" w:sz="4" w:space="0" w:color="000000"/>
              <w:right w:val="single" w:sz="4" w:space="0" w:color="auto"/>
            </w:tcBorders>
            <w:shd w:val="clear" w:color="auto" w:fill="FFFFFF" w:themeFill="background1"/>
            <w:hideMark/>
          </w:tcPr>
          <w:p w14:paraId="53F362F1" w14:textId="77777777" w:rsidR="00D63001" w:rsidRPr="00115736" w:rsidRDefault="00D63001" w:rsidP="00782D8A">
            <w:pPr>
              <w:pStyle w:val="Tabletext"/>
              <w:rPr>
                <w:sz w:val="18"/>
                <w:szCs w:val="18"/>
              </w:rPr>
            </w:pPr>
            <w:r w:rsidRPr="00115736">
              <w:rPr>
                <w:sz w:val="18"/>
                <w:szCs w:val="18"/>
              </w:rPr>
              <w:t xml:space="preserve">Grad School Seoul Nat. Uni, </w:t>
            </w:r>
            <w:r w:rsidRPr="00D81064">
              <w:rPr>
                <w:sz w:val="18"/>
                <w:szCs w:val="18"/>
                <w:lang w:val="ru-RU"/>
              </w:rPr>
              <w:t>Сеул</w:t>
            </w:r>
          </w:p>
        </w:tc>
        <w:tc>
          <w:tcPr>
            <w:tcW w:w="993" w:type="dxa"/>
            <w:tcBorders>
              <w:top w:val="nil"/>
              <w:left w:val="nil"/>
              <w:bottom w:val="single" w:sz="4" w:space="0" w:color="000000"/>
              <w:right w:val="single" w:sz="4" w:space="0" w:color="auto"/>
            </w:tcBorders>
            <w:shd w:val="clear" w:color="auto" w:fill="FFFFFF" w:themeFill="background1"/>
            <w:noWrap/>
            <w:hideMark/>
          </w:tcPr>
          <w:p w14:paraId="3B2793CA" w14:textId="77777777" w:rsidR="00D63001" w:rsidRPr="00D81064" w:rsidRDefault="00D63001" w:rsidP="00782D8A">
            <w:pPr>
              <w:pStyle w:val="Tabletext"/>
              <w:jc w:val="center"/>
              <w:rPr>
                <w:sz w:val="18"/>
                <w:szCs w:val="18"/>
                <w:lang w:val="ru-RU"/>
              </w:rPr>
            </w:pPr>
            <w:r w:rsidRPr="00D81064">
              <w:rPr>
                <w:sz w:val="18"/>
                <w:szCs w:val="18"/>
                <w:lang w:val="ru-RU"/>
              </w:rPr>
              <w:t>2019</w:t>
            </w:r>
          </w:p>
        </w:tc>
        <w:tc>
          <w:tcPr>
            <w:tcW w:w="1086" w:type="dxa"/>
            <w:tcBorders>
              <w:top w:val="nil"/>
              <w:left w:val="nil"/>
              <w:bottom w:val="single" w:sz="4" w:space="0" w:color="000000"/>
              <w:right w:val="single" w:sz="4" w:space="0" w:color="auto"/>
            </w:tcBorders>
            <w:shd w:val="clear" w:color="auto" w:fill="FFFFFF" w:themeFill="background1"/>
            <w:noWrap/>
            <w:hideMark/>
          </w:tcPr>
          <w:p w14:paraId="785D76DC" w14:textId="77777777" w:rsidR="00D63001" w:rsidRPr="00D81064" w:rsidRDefault="00D63001" w:rsidP="00B55BD8">
            <w:pPr>
              <w:pStyle w:val="Tabletext"/>
              <w:ind w:right="57"/>
              <w:jc w:val="right"/>
              <w:rPr>
                <w:sz w:val="18"/>
                <w:szCs w:val="18"/>
                <w:lang w:val="ru-RU"/>
              </w:rPr>
            </w:pPr>
            <w:r w:rsidRPr="00D81064">
              <w:rPr>
                <w:sz w:val="18"/>
                <w:szCs w:val="18"/>
                <w:lang w:val="ru-RU"/>
              </w:rPr>
              <w:t>1 987,50</w:t>
            </w:r>
          </w:p>
        </w:tc>
        <w:tc>
          <w:tcPr>
            <w:tcW w:w="1087" w:type="dxa"/>
            <w:tcBorders>
              <w:top w:val="nil"/>
              <w:left w:val="nil"/>
              <w:bottom w:val="single" w:sz="4" w:space="0" w:color="000000"/>
              <w:right w:val="single" w:sz="4" w:space="0" w:color="auto"/>
            </w:tcBorders>
            <w:shd w:val="clear" w:color="auto" w:fill="FFFFFF" w:themeFill="background1"/>
            <w:noWrap/>
            <w:hideMark/>
          </w:tcPr>
          <w:p w14:paraId="34A5C4E4" w14:textId="77777777" w:rsidR="00D63001" w:rsidRPr="00D81064" w:rsidRDefault="00D63001" w:rsidP="00B55BD8">
            <w:pPr>
              <w:pStyle w:val="Tabletext"/>
              <w:ind w:right="57"/>
              <w:jc w:val="right"/>
              <w:rPr>
                <w:sz w:val="18"/>
                <w:szCs w:val="18"/>
                <w:lang w:val="ru-RU"/>
              </w:rPr>
            </w:pPr>
            <w:r w:rsidRPr="00D81064">
              <w:rPr>
                <w:sz w:val="18"/>
                <w:szCs w:val="18"/>
                <w:lang w:val="ru-RU"/>
              </w:rPr>
              <w:t>937,50</w:t>
            </w:r>
          </w:p>
        </w:tc>
        <w:tc>
          <w:tcPr>
            <w:tcW w:w="1087" w:type="dxa"/>
            <w:tcBorders>
              <w:top w:val="nil"/>
              <w:left w:val="nil"/>
              <w:bottom w:val="single" w:sz="4" w:space="0" w:color="000000"/>
              <w:right w:val="single" w:sz="4" w:space="0" w:color="auto"/>
            </w:tcBorders>
            <w:shd w:val="clear" w:color="auto" w:fill="FFFFFF" w:themeFill="background1"/>
            <w:noWrap/>
            <w:hideMark/>
          </w:tcPr>
          <w:p w14:paraId="567F391E" w14:textId="77777777" w:rsidR="00D63001" w:rsidRPr="00D81064" w:rsidRDefault="00D63001" w:rsidP="00B55BD8">
            <w:pPr>
              <w:pStyle w:val="Tabletext"/>
              <w:ind w:right="57"/>
              <w:jc w:val="right"/>
              <w:rPr>
                <w:sz w:val="18"/>
                <w:szCs w:val="18"/>
                <w:lang w:val="ru-RU"/>
              </w:rPr>
            </w:pPr>
            <w:r w:rsidRPr="00D81064">
              <w:rPr>
                <w:sz w:val="18"/>
                <w:szCs w:val="18"/>
                <w:lang w:val="ru-RU"/>
              </w:rPr>
              <w:t>2 925,00</w:t>
            </w:r>
          </w:p>
        </w:tc>
      </w:tr>
      <w:tr w:rsidR="00D63001" w:rsidRPr="00D81064" w14:paraId="4FC9823F" w14:textId="77777777" w:rsidTr="00B55BD8">
        <w:tc>
          <w:tcPr>
            <w:tcW w:w="1124" w:type="dxa"/>
            <w:tcBorders>
              <w:top w:val="single" w:sz="4" w:space="0" w:color="000000"/>
              <w:left w:val="single" w:sz="4" w:space="0" w:color="auto"/>
              <w:bottom w:val="single" w:sz="4" w:space="0" w:color="auto"/>
              <w:right w:val="single" w:sz="4" w:space="0" w:color="auto"/>
            </w:tcBorders>
            <w:shd w:val="clear" w:color="auto" w:fill="FFFFFF" w:themeFill="background1"/>
          </w:tcPr>
          <w:p w14:paraId="60C9C57A" w14:textId="77777777" w:rsidR="00D63001" w:rsidRPr="00D81064" w:rsidRDefault="00D63001" w:rsidP="00782D8A">
            <w:pPr>
              <w:pStyle w:val="Tabletext"/>
              <w:jc w:val="center"/>
              <w:rPr>
                <w:sz w:val="18"/>
                <w:szCs w:val="18"/>
                <w:lang w:val="ru-RU"/>
              </w:rPr>
            </w:pPr>
            <w:r w:rsidRPr="00D81064">
              <w:rPr>
                <w:sz w:val="18"/>
                <w:szCs w:val="18"/>
                <w:lang w:val="ru-RU"/>
              </w:rPr>
              <w:lastRenderedPageBreak/>
              <w:t>1200193072</w:t>
            </w:r>
          </w:p>
        </w:tc>
        <w:tc>
          <w:tcPr>
            <w:tcW w:w="1418" w:type="dxa"/>
            <w:tcBorders>
              <w:top w:val="single" w:sz="4" w:space="0" w:color="000000"/>
              <w:left w:val="single" w:sz="4" w:space="0" w:color="auto"/>
              <w:bottom w:val="single" w:sz="4" w:space="0" w:color="auto"/>
              <w:right w:val="single" w:sz="4" w:space="0" w:color="auto"/>
            </w:tcBorders>
            <w:shd w:val="clear" w:color="auto" w:fill="FFFFFF" w:themeFill="background1"/>
            <w:noWrap/>
            <w:hideMark/>
          </w:tcPr>
          <w:p w14:paraId="37A9D028" w14:textId="77777777" w:rsidR="00D63001" w:rsidRPr="00D81064" w:rsidRDefault="00D63001" w:rsidP="00782D8A">
            <w:pPr>
              <w:pStyle w:val="Tabletext"/>
              <w:rPr>
                <w:sz w:val="18"/>
                <w:szCs w:val="18"/>
                <w:lang w:val="ru-RU"/>
              </w:rPr>
            </w:pPr>
            <w:r w:rsidRPr="00D81064">
              <w:rPr>
                <w:sz w:val="18"/>
                <w:szCs w:val="18"/>
                <w:lang w:val="ru-RU"/>
              </w:rPr>
              <w:t>Корея</w:t>
            </w:r>
          </w:p>
        </w:tc>
        <w:tc>
          <w:tcPr>
            <w:tcW w:w="2551" w:type="dxa"/>
            <w:tcBorders>
              <w:top w:val="single" w:sz="4" w:space="0" w:color="000000"/>
              <w:left w:val="nil"/>
              <w:bottom w:val="single" w:sz="4" w:space="0" w:color="auto"/>
              <w:right w:val="single" w:sz="4" w:space="0" w:color="auto"/>
            </w:tcBorders>
            <w:shd w:val="clear" w:color="auto" w:fill="FFFFFF" w:themeFill="background1"/>
            <w:hideMark/>
          </w:tcPr>
          <w:p w14:paraId="08A36B85" w14:textId="77777777" w:rsidR="00D63001" w:rsidRPr="00D81064" w:rsidRDefault="00D63001" w:rsidP="00782D8A">
            <w:pPr>
              <w:pStyle w:val="Tabletext"/>
              <w:rPr>
                <w:sz w:val="18"/>
                <w:szCs w:val="18"/>
                <w:lang w:val="ru-RU"/>
              </w:rPr>
            </w:pPr>
            <w:r w:rsidRPr="00D81064">
              <w:rPr>
                <w:sz w:val="18"/>
                <w:szCs w:val="18"/>
                <w:lang w:val="ru-RU"/>
              </w:rPr>
              <w:t>Smart Quantum Comm ITRC, Сеул</w:t>
            </w:r>
          </w:p>
        </w:tc>
        <w:tc>
          <w:tcPr>
            <w:tcW w:w="993" w:type="dxa"/>
            <w:tcBorders>
              <w:top w:val="single" w:sz="4" w:space="0" w:color="000000"/>
              <w:left w:val="nil"/>
              <w:bottom w:val="single" w:sz="4" w:space="0" w:color="auto"/>
              <w:right w:val="single" w:sz="4" w:space="0" w:color="auto"/>
            </w:tcBorders>
            <w:shd w:val="clear" w:color="auto" w:fill="FFFFFF" w:themeFill="background1"/>
            <w:noWrap/>
            <w:hideMark/>
          </w:tcPr>
          <w:p w14:paraId="006090C2" w14:textId="77777777" w:rsidR="00D63001" w:rsidRPr="00D81064" w:rsidRDefault="00D63001" w:rsidP="00782D8A">
            <w:pPr>
              <w:pStyle w:val="Tabletext"/>
              <w:jc w:val="center"/>
              <w:rPr>
                <w:sz w:val="18"/>
                <w:szCs w:val="18"/>
                <w:lang w:val="ru-RU"/>
              </w:rPr>
            </w:pPr>
            <w:r w:rsidRPr="00D81064">
              <w:rPr>
                <w:sz w:val="18"/>
                <w:szCs w:val="18"/>
                <w:lang w:val="ru-RU"/>
              </w:rPr>
              <w:t>2020</w:t>
            </w:r>
          </w:p>
        </w:tc>
        <w:tc>
          <w:tcPr>
            <w:tcW w:w="1086" w:type="dxa"/>
            <w:tcBorders>
              <w:top w:val="single" w:sz="4" w:space="0" w:color="000000"/>
              <w:left w:val="nil"/>
              <w:bottom w:val="single" w:sz="4" w:space="0" w:color="auto"/>
              <w:right w:val="single" w:sz="4" w:space="0" w:color="auto"/>
            </w:tcBorders>
            <w:shd w:val="clear" w:color="auto" w:fill="FFFFFF" w:themeFill="background1"/>
            <w:noWrap/>
            <w:hideMark/>
          </w:tcPr>
          <w:p w14:paraId="139E01E0" w14:textId="77777777" w:rsidR="00D63001" w:rsidRPr="00D81064" w:rsidRDefault="00D63001" w:rsidP="00B55BD8">
            <w:pPr>
              <w:pStyle w:val="Tabletext"/>
              <w:ind w:right="57"/>
              <w:jc w:val="right"/>
              <w:rPr>
                <w:sz w:val="18"/>
                <w:szCs w:val="18"/>
                <w:lang w:val="ru-RU"/>
              </w:rPr>
            </w:pPr>
            <w:r w:rsidRPr="00D81064">
              <w:rPr>
                <w:sz w:val="18"/>
                <w:szCs w:val="18"/>
                <w:lang w:val="ru-RU"/>
              </w:rPr>
              <w:t>1 821,88</w:t>
            </w:r>
          </w:p>
        </w:tc>
        <w:tc>
          <w:tcPr>
            <w:tcW w:w="1087" w:type="dxa"/>
            <w:tcBorders>
              <w:top w:val="single" w:sz="4" w:space="0" w:color="000000"/>
              <w:left w:val="nil"/>
              <w:bottom w:val="single" w:sz="4" w:space="0" w:color="auto"/>
              <w:right w:val="single" w:sz="4" w:space="0" w:color="auto"/>
            </w:tcBorders>
            <w:shd w:val="clear" w:color="auto" w:fill="FFFFFF" w:themeFill="background1"/>
            <w:noWrap/>
            <w:hideMark/>
          </w:tcPr>
          <w:p w14:paraId="2FBAA5F9" w14:textId="77777777" w:rsidR="00D63001" w:rsidRPr="00D81064" w:rsidRDefault="00D63001" w:rsidP="00B55BD8">
            <w:pPr>
              <w:pStyle w:val="Tabletext"/>
              <w:ind w:right="57"/>
              <w:jc w:val="right"/>
              <w:rPr>
                <w:sz w:val="18"/>
                <w:szCs w:val="18"/>
                <w:lang w:val="ru-RU"/>
              </w:rPr>
            </w:pPr>
            <w:r w:rsidRPr="00D81064">
              <w:rPr>
                <w:sz w:val="18"/>
                <w:szCs w:val="18"/>
                <w:lang w:val="ru-RU"/>
              </w:rPr>
              <w:t>616,15</w:t>
            </w:r>
          </w:p>
        </w:tc>
        <w:tc>
          <w:tcPr>
            <w:tcW w:w="1087" w:type="dxa"/>
            <w:tcBorders>
              <w:top w:val="single" w:sz="4" w:space="0" w:color="000000"/>
              <w:left w:val="nil"/>
              <w:bottom w:val="single" w:sz="4" w:space="0" w:color="auto"/>
              <w:right w:val="single" w:sz="4" w:space="0" w:color="auto"/>
            </w:tcBorders>
            <w:shd w:val="clear" w:color="auto" w:fill="FFFFFF" w:themeFill="background1"/>
            <w:noWrap/>
            <w:hideMark/>
          </w:tcPr>
          <w:p w14:paraId="267E2120" w14:textId="77777777" w:rsidR="00D63001" w:rsidRPr="00D81064" w:rsidRDefault="00D63001" w:rsidP="00B55BD8">
            <w:pPr>
              <w:pStyle w:val="Tabletext"/>
              <w:ind w:right="57"/>
              <w:jc w:val="right"/>
              <w:rPr>
                <w:sz w:val="18"/>
                <w:szCs w:val="18"/>
                <w:lang w:val="ru-RU"/>
              </w:rPr>
            </w:pPr>
            <w:r w:rsidRPr="00D81064">
              <w:rPr>
                <w:sz w:val="18"/>
                <w:szCs w:val="18"/>
                <w:lang w:val="ru-RU"/>
              </w:rPr>
              <w:t>2 438,03</w:t>
            </w:r>
          </w:p>
        </w:tc>
      </w:tr>
      <w:tr w:rsidR="00D63001" w:rsidRPr="00D81064" w14:paraId="705AA770" w14:textId="77777777" w:rsidTr="00782D8A">
        <w:tc>
          <w:tcPr>
            <w:tcW w:w="1124" w:type="dxa"/>
            <w:tcBorders>
              <w:top w:val="nil"/>
              <w:left w:val="single" w:sz="4" w:space="0" w:color="auto"/>
              <w:bottom w:val="single" w:sz="4" w:space="0" w:color="auto"/>
              <w:right w:val="single" w:sz="4" w:space="0" w:color="auto"/>
            </w:tcBorders>
            <w:shd w:val="clear" w:color="auto" w:fill="FFFFFF" w:themeFill="background1"/>
          </w:tcPr>
          <w:p w14:paraId="00967884" w14:textId="77777777" w:rsidR="00D63001" w:rsidRPr="00D81064" w:rsidRDefault="00D63001" w:rsidP="00782D8A">
            <w:pPr>
              <w:pStyle w:val="Tabletext"/>
              <w:jc w:val="center"/>
              <w:rPr>
                <w:sz w:val="18"/>
                <w:szCs w:val="18"/>
                <w:lang w:val="ru-RU"/>
              </w:rPr>
            </w:pPr>
            <w:r w:rsidRPr="00D81064">
              <w:rPr>
                <w:sz w:val="18"/>
                <w:szCs w:val="18"/>
                <w:lang w:val="ru-RU"/>
              </w:rPr>
              <w:t>60858</w:t>
            </w:r>
          </w:p>
        </w:tc>
        <w:tc>
          <w:tcPr>
            <w:tcW w:w="1418" w:type="dxa"/>
            <w:tcBorders>
              <w:top w:val="nil"/>
              <w:left w:val="single" w:sz="4" w:space="0" w:color="auto"/>
              <w:bottom w:val="single" w:sz="4" w:space="0" w:color="auto"/>
              <w:right w:val="single" w:sz="4" w:space="0" w:color="auto"/>
            </w:tcBorders>
            <w:shd w:val="clear" w:color="auto" w:fill="FFFFFF" w:themeFill="background1"/>
            <w:hideMark/>
          </w:tcPr>
          <w:p w14:paraId="279A1A53" w14:textId="77777777" w:rsidR="00D63001" w:rsidRPr="00D81064" w:rsidRDefault="00D63001" w:rsidP="00782D8A">
            <w:pPr>
              <w:pStyle w:val="Tabletext"/>
              <w:rPr>
                <w:sz w:val="18"/>
                <w:szCs w:val="18"/>
                <w:lang w:val="ru-RU"/>
              </w:rPr>
            </w:pPr>
            <w:r w:rsidRPr="00D81064">
              <w:rPr>
                <w:sz w:val="18"/>
                <w:szCs w:val="18"/>
                <w:lang w:val="ru-RU"/>
              </w:rPr>
              <w:t>Кыргызстан</w:t>
            </w:r>
          </w:p>
        </w:tc>
        <w:tc>
          <w:tcPr>
            <w:tcW w:w="2551" w:type="dxa"/>
            <w:tcBorders>
              <w:top w:val="nil"/>
              <w:left w:val="nil"/>
              <w:bottom w:val="single" w:sz="4" w:space="0" w:color="auto"/>
              <w:right w:val="single" w:sz="4" w:space="0" w:color="auto"/>
            </w:tcBorders>
            <w:shd w:val="clear" w:color="auto" w:fill="FFFFFF" w:themeFill="background1"/>
            <w:hideMark/>
          </w:tcPr>
          <w:p w14:paraId="5DF0A8BC" w14:textId="77777777" w:rsidR="00D63001" w:rsidRPr="00D81064" w:rsidRDefault="00D63001" w:rsidP="00782D8A">
            <w:pPr>
              <w:pStyle w:val="Tabletext"/>
              <w:rPr>
                <w:sz w:val="18"/>
                <w:szCs w:val="18"/>
                <w:lang w:val="ru-RU"/>
              </w:rPr>
            </w:pPr>
            <w:proofErr w:type="spellStart"/>
            <w:r w:rsidRPr="00D81064">
              <w:rPr>
                <w:sz w:val="18"/>
                <w:szCs w:val="18"/>
                <w:lang w:val="ru-RU"/>
              </w:rPr>
              <w:t>Kyrgyztelecom</w:t>
            </w:r>
            <w:proofErr w:type="spellEnd"/>
            <w:r w:rsidRPr="00D81064">
              <w:rPr>
                <w:sz w:val="18"/>
                <w:szCs w:val="18"/>
                <w:lang w:val="ru-RU"/>
              </w:rPr>
              <w:t xml:space="preserve"> OJSC, Бишкек</w:t>
            </w:r>
          </w:p>
        </w:tc>
        <w:tc>
          <w:tcPr>
            <w:tcW w:w="993" w:type="dxa"/>
            <w:tcBorders>
              <w:top w:val="nil"/>
              <w:left w:val="nil"/>
              <w:bottom w:val="single" w:sz="4" w:space="0" w:color="auto"/>
              <w:right w:val="single" w:sz="4" w:space="0" w:color="auto"/>
            </w:tcBorders>
            <w:shd w:val="clear" w:color="auto" w:fill="FFFFFF" w:themeFill="background1"/>
            <w:hideMark/>
          </w:tcPr>
          <w:p w14:paraId="74861DAE" w14:textId="77777777" w:rsidR="00D63001" w:rsidRPr="00D81064" w:rsidRDefault="00D63001" w:rsidP="00782D8A">
            <w:pPr>
              <w:pStyle w:val="Tabletext"/>
              <w:jc w:val="center"/>
              <w:rPr>
                <w:sz w:val="18"/>
                <w:szCs w:val="18"/>
                <w:lang w:val="ru-RU"/>
              </w:rPr>
            </w:pPr>
            <w:proofErr w:type="gramStart"/>
            <w:r w:rsidRPr="00D81064">
              <w:rPr>
                <w:sz w:val="18"/>
                <w:szCs w:val="18"/>
                <w:lang w:val="ru-RU"/>
              </w:rPr>
              <w:t>2016−2017</w:t>
            </w:r>
            <w:proofErr w:type="gramEnd"/>
          </w:p>
        </w:tc>
        <w:tc>
          <w:tcPr>
            <w:tcW w:w="1086" w:type="dxa"/>
            <w:tcBorders>
              <w:top w:val="nil"/>
              <w:left w:val="nil"/>
              <w:bottom w:val="single" w:sz="4" w:space="0" w:color="auto"/>
              <w:right w:val="single" w:sz="4" w:space="0" w:color="auto"/>
            </w:tcBorders>
            <w:shd w:val="clear" w:color="auto" w:fill="FFFFFF" w:themeFill="background1"/>
            <w:hideMark/>
          </w:tcPr>
          <w:p w14:paraId="582D9B96" w14:textId="77777777" w:rsidR="00D63001" w:rsidRPr="00D81064" w:rsidRDefault="00D63001" w:rsidP="00B55BD8">
            <w:pPr>
              <w:pStyle w:val="Tabletext"/>
              <w:ind w:right="57"/>
              <w:jc w:val="right"/>
              <w:rPr>
                <w:sz w:val="18"/>
                <w:szCs w:val="18"/>
                <w:lang w:val="ru-RU"/>
              </w:rPr>
            </w:pPr>
            <w:r w:rsidRPr="00D81064">
              <w:rPr>
                <w:sz w:val="18"/>
                <w:szCs w:val="18"/>
                <w:lang w:val="ru-RU"/>
              </w:rPr>
              <w:t>5 631,25</w:t>
            </w:r>
          </w:p>
        </w:tc>
        <w:tc>
          <w:tcPr>
            <w:tcW w:w="1087" w:type="dxa"/>
            <w:tcBorders>
              <w:top w:val="nil"/>
              <w:left w:val="nil"/>
              <w:bottom w:val="single" w:sz="4" w:space="0" w:color="auto"/>
              <w:right w:val="single" w:sz="4" w:space="0" w:color="auto"/>
            </w:tcBorders>
            <w:shd w:val="clear" w:color="auto" w:fill="FFFFFF" w:themeFill="background1"/>
            <w:noWrap/>
            <w:hideMark/>
          </w:tcPr>
          <w:p w14:paraId="68B6C19A" w14:textId="77777777" w:rsidR="00D63001" w:rsidRPr="00D81064" w:rsidRDefault="00D63001" w:rsidP="00B55BD8">
            <w:pPr>
              <w:pStyle w:val="Tabletext"/>
              <w:ind w:right="57"/>
              <w:jc w:val="right"/>
              <w:rPr>
                <w:sz w:val="18"/>
                <w:szCs w:val="18"/>
                <w:lang w:val="ru-RU"/>
              </w:rPr>
            </w:pPr>
            <w:r w:rsidRPr="00D81064">
              <w:rPr>
                <w:sz w:val="18"/>
                <w:szCs w:val="18"/>
                <w:lang w:val="ru-RU"/>
              </w:rPr>
              <w:t>4 075,10</w:t>
            </w:r>
          </w:p>
        </w:tc>
        <w:tc>
          <w:tcPr>
            <w:tcW w:w="1087" w:type="dxa"/>
            <w:tcBorders>
              <w:top w:val="nil"/>
              <w:left w:val="nil"/>
              <w:bottom w:val="single" w:sz="4" w:space="0" w:color="auto"/>
              <w:right w:val="single" w:sz="4" w:space="0" w:color="auto"/>
            </w:tcBorders>
            <w:shd w:val="clear" w:color="auto" w:fill="FFFFFF" w:themeFill="background1"/>
            <w:hideMark/>
          </w:tcPr>
          <w:p w14:paraId="462E114E" w14:textId="77777777" w:rsidR="00D63001" w:rsidRPr="00D81064" w:rsidRDefault="00D63001" w:rsidP="00B55BD8">
            <w:pPr>
              <w:pStyle w:val="Tabletext"/>
              <w:ind w:right="57"/>
              <w:jc w:val="right"/>
              <w:rPr>
                <w:sz w:val="18"/>
                <w:szCs w:val="18"/>
                <w:lang w:val="ru-RU"/>
              </w:rPr>
            </w:pPr>
            <w:r w:rsidRPr="00D81064">
              <w:rPr>
                <w:sz w:val="18"/>
                <w:szCs w:val="18"/>
                <w:lang w:val="ru-RU"/>
              </w:rPr>
              <w:t>9 706,35</w:t>
            </w:r>
          </w:p>
        </w:tc>
      </w:tr>
      <w:tr w:rsidR="00D63001" w:rsidRPr="00D81064" w14:paraId="47166E2E" w14:textId="77777777" w:rsidTr="00782D8A">
        <w:tc>
          <w:tcPr>
            <w:tcW w:w="1124" w:type="dxa"/>
            <w:tcBorders>
              <w:top w:val="nil"/>
              <w:left w:val="single" w:sz="4" w:space="0" w:color="auto"/>
              <w:bottom w:val="single" w:sz="4" w:space="0" w:color="auto"/>
              <w:right w:val="single" w:sz="4" w:space="0" w:color="auto"/>
            </w:tcBorders>
            <w:shd w:val="clear" w:color="auto" w:fill="FFFFFF" w:themeFill="background1"/>
          </w:tcPr>
          <w:p w14:paraId="60D6662D" w14:textId="77777777" w:rsidR="00D63001" w:rsidRPr="00D81064" w:rsidRDefault="00D63001" w:rsidP="00782D8A">
            <w:pPr>
              <w:pStyle w:val="Tabletext"/>
              <w:jc w:val="center"/>
              <w:rPr>
                <w:sz w:val="18"/>
                <w:szCs w:val="18"/>
                <w:lang w:val="ru-RU"/>
              </w:rPr>
            </w:pPr>
            <w:r w:rsidRPr="00D81064">
              <w:rPr>
                <w:sz w:val="18"/>
                <w:szCs w:val="18"/>
                <w:lang w:val="ru-RU"/>
              </w:rPr>
              <w:t>63466</w:t>
            </w:r>
          </w:p>
        </w:tc>
        <w:tc>
          <w:tcPr>
            <w:tcW w:w="1418" w:type="dxa"/>
            <w:tcBorders>
              <w:top w:val="nil"/>
              <w:left w:val="single" w:sz="4" w:space="0" w:color="auto"/>
              <w:bottom w:val="single" w:sz="4" w:space="0" w:color="auto"/>
              <w:right w:val="single" w:sz="4" w:space="0" w:color="auto"/>
            </w:tcBorders>
            <w:shd w:val="clear" w:color="auto" w:fill="FFFFFF" w:themeFill="background1"/>
            <w:noWrap/>
            <w:hideMark/>
          </w:tcPr>
          <w:p w14:paraId="1C1ABB2B" w14:textId="77777777" w:rsidR="00D63001" w:rsidRPr="00D81064" w:rsidRDefault="00D63001" w:rsidP="00782D8A">
            <w:pPr>
              <w:pStyle w:val="Tabletext"/>
              <w:rPr>
                <w:sz w:val="18"/>
                <w:szCs w:val="18"/>
                <w:lang w:val="ru-RU"/>
              </w:rPr>
            </w:pPr>
            <w:r w:rsidRPr="00D81064">
              <w:rPr>
                <w:sz w:val="18"/>
                <w:szCs w:val="18"/>
                <w:lang w:val="ru-RU"/>
              </w:rPr>
              <w:t>Папуа-Новая Гвинея</w:t>
            </w:r>
          </w:p>
        </w:tc>
        <w:tc>
          <w:tcPr>
            <w:tcW w:w="2551" w:type="dxa"/>
            <w:tcBorders>
              <w:top w:val="nil"/>
              <w:left w:val="nil"/>
              <w:bottom w:val="single" w:sz="4" w:space="0" w:color="auto"/>
              <w:right w:val="single" w:sz="4" w:space="0" w:color="auto"/>
            </w:tcBorders>
            <w:shd w:val="clear" w:color="auto" w:fill="FFFFFF" w:themeFill="background1"/>
            <w:hideMark/>
          </w:tcPr>
          <w:p w14:paraId="488B2CE6" w14:textId="77777777" w:rsidR="00D63001" w:rsidRPr="00115736" w:rsidRDefault="00D63001" w:rsidP="00782D8A">
            <w:pPr>
              <w:pStyle w:val="Tabletext"/>
              <w:rPr>
                <w:sz w:val="18"/>
                <w:szCs w:val="18"/>
              </w:rPr>
            </w:pPr>
            <w:r w:rsidRPr="00115736">
              <w:rPr>
                <w:sz w:val="18"/>
                <w:szCs w:val="18"/>
              </w:rPr>
              <w:t xml:space="preserve">Awal Telecom Corp Ltd, </w:t>
            </w:r>
            <w:r w:rsidRPr="00D81064">
              <w:rPr>
                <w:sz w:val="18"/>
                <w:szCs w:val="18"/>
                <w:lang w:val="ru-RU"/>
              </w:rPr>
              <w:t>Порт</w:t>
            </w:r>
            <w:r w:rsidRPr="00115736">
              <w:rPr>
                <w:sz w:val="18"/>
                <w:szCs w:val="18"/>
              </w:rPr>
              <w:noBreakHyphen/>
            </w:r>
            <w:r w:rsidRPr="00D81064">
              <w:rPr>
                <w:sz w:val="18"/>
                <w:szCs w:val="18"/>
                <w:lang w:val="ru-RU"/>
              </w:rPr>
              <w:t>Морсби</w:t>
            </w:r>
          </w:p>
        </w:tc>
        <w:tc>
          <w:tcPr>
            <w:tcW w:w="993" w:type="dxa"/>
            <w:tcBorders>
              <w:top w:val="nil"/>
              <w:left w:val="nil"/>
              <w:bottom w:val="single" w:sz="4" w:space="0" w:color="auto"/>
              <w:right w:val="single" w:sz="4" w:space="0" w:color="auto"/>
            </w:tcBorders>
            <w:shd w:val="clear" w:color="auto" w:fill="FFFFFF" w:themeFill="background1"/>
            <w:noWrap/>
            <w:hideMark/>
          </w:tcPr>
          <w:p w14:paraId="1E4649F3" w14:textId="77777777" w:rsidR="00D63001" w:rsidRPr="00D81064" w:rsidRDefault="00D63001" w:rsidP="00782D8A">
            <w:pPr>
              <w:pStyle w:val="Tabletext"/>
              <w:jc w:val="center"/>
              <w:rPr>
                <w:sz w:val="18"/>
                <w:szCs w:val="18"/>
                <w:lang w:val="ru-RU"/>
              </w:rPr>
            </w:pPr>
            <w:proofErr w:type="gramStart"/>
            <w:r w:rsidRPr="00D81064">
              <w:rPr>
                <w:sz w:val="18"/>
                <w:szCs w:val="18"/>
                <w:lang w:val="ru-RU"/>
              </w:rPr>
              <w:t>2017−2020</w:t>
            </w:r>
            <w:proofErr w:type="gramEnd"/>
          </w:p>
        </w:tc>
        <w:tc>
          <w:tcPr>
            <w:tcW w:w="1086" w:type="dxa"/>
            <w:tcBorders>
              <w:top w:val="nil"/>
              <w:left w:val="nil"/>
              <w:bottom w:val="single" w:sz="4" w:space="0" w:color="auto"/>
              <w:right w:val="single" w:sz="4" w:space="0" w:color="auto"/>
            </w:tcBorders>
            <w:shd w:val="clear" w:color="auto" w:fill="FFFFFF" w:themeFill="background1"/>
            <w:noWrap/>
            <w:hideMark/>
          </w:tcPr>
          <w:p w14:paraId="098FB351" w14:textId="77777777" w:rsidR="00D63001" w:rsidRPr="00D81064" w:rsidRDefault="00D63001" w:rsidP="00B55BD8">
            <w:pPr>
              <w:pStyle w:val="Tabletext"/>
              <w:ind w:right="57"/>
              <w:jc w:val="right"/>
              <w:rPr>
                <w:sz w:val="18"/>
                <w:szCs w:val="18"/>
                <w:lang w:val="ru-RU"/>
              </w:rPr>
            </w:pPr>
            <w:r w:rsidRPr="00D81064">
              <w:rPr>
                <w:sz w:val="18"/>
                <w:szCs w:val="18"/>
                <w:lang w:val="ru-RU"/>
              </w:rPr>
              <w:t>3 975,00</w:t>
            </w:r>
          </w:p>
        </w:tc>
        <w:tc>
          <w:tcPr>
            <w:tcW w:w="1087" w:type="dxa"/>
            <w:tcBorders>
              <w:top w:val="nil"/>
              <w:left w:val="nil"/>
              <w:bottom w:val="single" w:sz="4" w:space="0" w:color="auto"/>
              <w:right w:val="single" w:sz="4" w:space="0" w:color="auto"/>
            </w:tcBorders>
            <w:shd w:val="clear" w:color="auto" w:fill="FFFFFF" w:themeFill="background1"/>
            <w:noWrap/>
            <w:hideMark/>
          </w:tcPr>
          <w:p w14:paraId="68DEDB34" w14:textId="77777777" w:rsidR="00D63001" w:rsidRPr="00D81064" w:rsidRDefault="00D63001" w:rsidP="00B55BD8">
            <w:pPr>
              <w:pStyle w:val="Tabletext"/>
              <w:ind w:right="57"/>
              <w:jc w:val="right"/>
              <w:rPr>
                <w:sz w:val="18"/>
                <w:szCs w:val="18"/>
                <w:lang w:val="ru-RU"/>
              </w:rPr>
            </w:pPr>
            <w:r w:rsidRPr="00D81064">
              <w:rPr>
                <w:sz w:val="18"/>
                <w:szCs w:val="18"/>
                <w:lang w:val="ru-RU"/>
              </w:rPr>
              <w:t>1 680,59</w:t>
            </w:r>
          </w:p>
        </w:tc>
        <w:tc>
          <w:tcPr>
            <w:tcW w:w="1087" w:type="dxa"/>
            <w:tcBorders>
              <w:top w:val="nil"/>
              <w:left w:val="nil"/>
              <w:bottom w:val="single" w:sz="4" w:space="0" w:color="auto"/>
              <w:right w:val="single" w:sz="4" w:space="0" w:color="auto"/>
            </w:tcBorders>
            <w:shd w:val="clear" w:color="auto" w:fill="FFFFFF" w:themeFill="background1"/>
            <w:noWrap/>
            <w:hideMark/>
          </w:tcPr>
          <w:p w14:paraId="488C3D3F" w14:textId="77777777" w:rsidR="00D63001" w:rsidRPr="00D81064" w:rsidRDefault="00D63001" w:rsidP="00B55BD8">
            <w:pPr>
              <w:pStyle w:val="Tabletext"/>
              <w:ind w:right="57"/>
              <w:jc w:val="right"/>
              <w:rPr>
                <w:sz w:val="18"/>
                <w:szCs w:val="18"/>
                <w:lang w:val="ru-RU"/>
              </w:rPr>
            </w:pPr>
            <w:r w:rsidRPr="00D81064">
              <w:rPr>
                <w:sz w:val="18"/>
                <w:szCs w:val="18"/>
                <w:lang w:val="ru-RU"/>
              </w:rPr>
              <w:t>5 655,59</w:t>
            </w:r>
          </w:p>
        </w:tc>
      </w:tr>
      <w:tr w:rsidR="00D63001" w:rsidRPr="00D81064" w14:paraId="4B9E0F5C" w14:textId="77777777" w:rsidTr="00782D8A">
        <w:tc>
          <w:tcPr>
            <w:tcW w:w="1124" w:type="dxa"/>
            <w:tcBorders>
              <w:top w:val="nil"/>
              <w:left w:val="single" w:sz="4" w:space="0" w:color="auto"/>
              <w:bottom w:val="single" w:sz="4" w:space="0" w:color="auto"/>
              <w:right w:val="single" w:sz="4" w:space="0" w:color="auto"/>
            </w:tcBorders>
            <w:shd w:val="clear" w:color="auto" w:fill="FFFFFF" w:themeFill="background1"/>
          </w:tcPr>
          <w:p w14:paraId="428DC1D0" w14:textId="77777777" w:rsidR="00D63001" w:rsidRPr="00D81064" w:rsidRDefault="00D63001" w:rsidP="00782D8A">
            <w:pPr>
              <w:pStyle w:val="Tabletext"/>
              <w:jc w:val="center"/>
              <w:rPr>
                <w:sz w:val="18"/>
                <w:szCs w:val="18"/>
                <w:lang w:val="ru-RU"/>
              </w:rPr>
            </w:pPr>
            <w:r w:rsidRPr="00D81064">
              <w:rPr>
                <w:sz w:val="18"/>
                <w:szCs w:val="18"/>
                <w:lang w:val="ru-RU"/>
              </w:rPr>
              <w:t>1200039028</w:t>
            </w:r>
          </w:p>
        </w:tc>
        <w:tc>
          <w:tcPr>
            <w:tcW w:w="1418" w:type="dxa"/>
            <w:tcBorders>
              <w:top w:val="nil"/>
              <w:left w:val="single" w:sz="4" w:space="0" w:color="auto"/>
              <w:bottom w:val="single" w:sz="4" w:space="0" w:color="auto"/>
              <w:right w:val="single" w:sz="4" w:space="0" w:color="auto"/>
            </w:tcBorders>
            <w:shd w:val="clear" w:color="auto" w:fill="FFFFFF" w:themeFill="background1"/>
            <w:hideMark/>
          </w:tcPr>
          <w:p w14:paraId="53512001" w14:textId="77777777" w:rsidR="00D63001" w:rsidRPr="00D81064" w:rsidRDefault="00D63001" w:rsidP="00782D8A">
            <w:pPr>
              <w:pStyle w:val="Tabletext"/>
              <w:rPr>
                <w:sz w:val="18"/>
                <w:szCs w:val="18"/>
                <w:lang w:val="ru-RU"/>
              </w:rPr>
            </w:pPr>
            <w:r w:rsidRPr="00D81064">
              <w:rPr>
                <w:sz w:val="18"/>
                <w:szCs w:val="18"/>
                <w:lang w:val="ru-RU"/>
              </w:rPr>
              <w:t>Сан-Томе и Принсипи</w:t>
            </w:r>
          </w:p>
        </w:tc>
        <w:tc>
          <w:tcPr>
            <w:tcW w:w="2551" w:type="dxa"/>
            <w:tcBorders>
              <w:top w:val="nil"/>
              <w:left w:val="nil"/>
              <w:bottom w:val="single" w:sz="4" w:space="0" w:color="auto"/>
              <w:right w:val="single" w:sz="4" w:space="0" w:color="auto"/>
            </w:tcBorders>
            <w:shd w:val="clear" w:color="auto" w:fill="FFFFFF" w:themeFill="background1"/>
            <w:hideMark/>
          </w:tcPr>
          <w:p w14:paraId="6A459F3A" w14:textId="77777777" w:rsidR="00D63001" w:rsidRPr="00D81064" w:rsidRDefault="00D63001" w:rsidP="00782D8A">
            <w:pPr>
              <w:pStyle w:val="Tabletext"/>
              <w:rPr>
                <w:sz w:val="18"/>
                <w:szCs w:val="18"/>
                <w:lang w:val="ru-RU"/>
              </w:rPr>
            </w:pPr>
            <w:proofErr w:type="spellStart"/>
            <w:r w:rsidRPr="00D81064">
              <w:rPr>
                <w:sz w:val="18"/>
                <w:szCs w:val="18"/>
                <w:lang w:val="ru-RU"/>
              </w:rPr>
              <w:t>Unitel</w:t>
            </w:r>
            <w:proofErr w:type="spellEnd"/>
            <w:r w:rsidRPr="00D81064">
              <w:rPr>
                <w:sz w:val="18"/>
                <w:szCs w:val="18"/>
                <w:lang w:val="ru-RU"/>
              </w:rPr>
              <w:t xml:space="preserve"> STP, Сан-Томе</w:t>
            </w:r>
          </w:p>
        </w:tc>
        <w:tc>
          <w:tcPr>
            <w:tcW w:w="993" w:type="dxa"/>
            <w:tcBorders>
              <w:top w:val="nil"/>
              <w:left w:val="nil"/>
              <w:bottom w:val="single" w:sz="4" w:space="0" w:color="auto"/>
              <w:right w:val="single" w:sz="4" w:space="0" w:color="auto"/>
            </w:tcBorders>
            <w:shd w:val="clear" w:color="auto" w:fill="FFFFFF" w:themeFill="background1"/>
            <w:hideMark/>
          </w:tcPr>
          <w:p w14:paraId="0BFA5E3F" w14:textId="77777777" w:rsidR="00D63001" w:rsidRPr="00D81064" w:rsidRDefault="00D63001" w:rsidP="00782D8A">
            <w:pPr>
              <w:pStyle w:val="Tabletext"/>
              <w:jc w:val="center"/>
              <w:rPr>
                <w:sz w:val="18"/>
                <w:szCs w:val="18"/>
                <w:lang w:val="ru-RU"/>
              </w:rPr>
            </w:pPr>
            <w:r w:rsidRPr="00D81064">
              <w:rPr>
                <w:sz w:val="18"/>
                <w:szCs w:val="18"/>
                <w:lang w:val="ru-RU"/>
              </w:rPr>
              <w:t>2020</w:t>
            </w:r>
          </w:p>
        </w:tc>
        <w:tc>
          <w:tcPr>
            <w:tcW w:w="1086" w:type="dxa"/>
            <w:tcBorders>
              <w:top w:val="nil"/>
              <w:left w:val="nil"/>
              <w:bottom w:val="single" w:sz="4" w:space="0" w:color="auto"/>
              <w:right w:val="single" w:sz="4" w:space="0" w:color="auto"/>
            </w:tcBorders>
            <w:shd w:val="clear" w:color="auto" w:fill="FFFFFF" w:themeFill="background1"/>
            <w:hideMark/>
          </w:tcPr>
          <w:p w14:paraId="1EFE5920" w14:textId="77777777" w:rsidR="00D63001" w:rsidRPr="00D81064" w:rsidRDefault="00D63001" w:rsidP="00B55BD8">
            <w:pPr>
              <w:pStyle w:val="Tabletext"/>
              <w:ind w:right="57"/>
              <w:jc w:val="right"/>
              <w:rPr>
                <w:sz w:val="18"/>
                <w:szCs w:val="18"/>
                <w:lang w:val="ru-RU"/>
              </w:rPr>
            </w:pPr>
            <w:r w:rsidRPr="00D81064">
              <w:rPr>
                <w:sz w:val="18"/>
                <w:szCs w:val="18"/>
                <w:lang w:val="ru-RU"/>
              </w:rPr>
              <w:t>3 975,00</w:t>
            </w:r>
          </w:p>
        </w:tc>
        <w:tc>
          <w:tcPr>
            <w:tcW w:w="1087" w:type="dxa"/>
            <w:tcBorders>
              <w:top w:val="nil"/>
              <w:left w:val="nil"/>
              <w:bottom w:val="single" w:sz="4" w:space="0" w:color="auto"/>
              <w:right w:val="single" w:sz="4" w:space="0" w:color="auto"/>
            </w:tcBorders>
            <w:shd w:val="clear" w:color="auto" w:fill="FFFFFF" w:themeFill="background1"/>
            <w:noWrap/>
            <w:hideMark/>
          </w:tcPr>
          <w:p w14:paraId="1EADE9FB" w14:textId="77777777" w:rsidR="00D63001" w:rsidRPr="00D81064" w:rsidRDefault="00D63001" w:rsidP="00B55BD8">
            <w:pPr>
              <w:pStyle w:val="Tabletext"/>
              <w:ind w:right="57"/>
              <w:jc w:val="right"/>
              <w:rPr>
                <w:sz w:val="18"/>
                <w:szCs w:val="18"/>
                <w:lang w:val="ru-RU"/>
              </w:rPr>
            </w:pPr>
            <w:r w:rsidRPr="00D81064">
              <w:rPr>
                <w:sz w:val="18"/>
                <w:szCs w:val="18"/>
                <w:lang w:val="ru-RU"/>
              </w:rPr>
              <w:t>1 344,45</w:t>
            </w:r>
          </w:p>
        </w:tc>
        <w:tc>
          <w:tcPr>
            <w:tcW w:w="1087" w:type="dxa"/>
            <w:tcBorders>
              <w:top w:val="nil"/>
              <w:left w:val="nil"/>
              <w:bottom w:val="single" w:sz="4" w:space="0" w:color="auto"/>
              <w:right w:val="single" w:sz="4" w:space="0" w:color="auto"/>
            </w:tcBorders>
            <w:shd w:val="clear" w:color="auto" w:fill="FFFFFF" w:themeFill="background1"/>
            <w:hideMark/>
          </w:tcPr>
          <w:p w14:paraId="10F6155B" w14:textId="77777777" w:rsidR="00D63001" w:rsidRPr="00D81064" w:rsidRDefault="00D63001" w:rsidP="00B55BD8">
            <w:pPr>
              <w:pStyle w:val="Tabletext"/>
              <w:ind w:right="57"/>
              <w:jc w:val="right"/>
              <w:rPr>
                <w:sz w:val="18"/>
                <w:szCs w:val="18"/>
                <w:lang w:val="ru-RU"/>
              </w:rPr>
            </w:pPr>
            <w:r w:rsidRPr="00D81064">
              <w:rPr>
                <w:sz w:val="18"/>
                <w:szCs w:val="18"/>
                <w:lang w:val="ru-RU"/>
              </w:rPr>
              <w:t>5 319,45</w:t>
            </w:r>
          </w:p>
        </w:tc>
      </w:tr>
      <w:tr w:rsidR="00D63001" w:rsidRPr="00D81064" w14:paraId="2E457D4C" w14:textId="77777777" w:rsidTr="00782D8A">
        <w:tc>
          <w:tcPr>
            <w:tcW w:w="1124" w:type="dxa"/>
            <w:tcBorders>
              <w:top w:val="nil"/>
              <w:left w:val="single" w:sz="4" w:space="0" w:color="auto"/>
              <w:bottom w:val="single" w:sz="4" w:space="0" w:color="auto"/>
              <w:right w:val="single" w:sz="4" w:space="0" w:color="auto"/>
            </w:tcBorders>
            <w:shd w:val="clear" w:color="auto" w:fill="FFFFFF" w:themeFill="background1"/>
          </w:tcPr>
          <w:p w14:paraId="09C02B52" w14:textId="77777777" w:rsidR="00D63001" w:rsidRPr="00D81064" w:rsidRDefault="00D63001" w:rsidP="00782D8A">
            <w:pPr>
              <w:pStyle w:val="Tabletext"/>
              <w:jc w:val="center"/>
              <w:rPr>
                <w:sz w:val="18"/>
                <w:szCs w:val="18"/>
                <w:lang w:val="ru-RU"/>
              </w:rPr>
            </w:pPr>
            <w:r w:rsidRPr="00D81064">
              <w:rPr>
                <w:sz w:val="18"/>
                <w:szCs w:val="18"/>
                <w:lang w:val="ru-RU"/>
              </w:rPr>
              <w:t>1200163575</w:t>
            </w:r>
          </w:p>
        </w:tc>
        <w:tc>
          <w:tcPr>
            <w:tcW w:w="1418" w:type="dxa"/>
            <w:tcBorders>
              <w:top w:val="nil"/>
              <w:left w:val="single" w:sz="4" w:space="0" w:color="auto"/>
              <w:bottom w:val="single" w:sz="4" w:space="0" w:color="auto"/>
              <w:right w:val="single" w:sz="4" w:space="0" w:color="auto"/>
            </w:tcBorders>
            <w:shd w:val="clear" w:color="auto" w:fill="FFFFFF" w:themeFill="background1"/>
            <w:hideMark/>
          </w:tcPr>
          <w:p w14:paraId="2C4A95AC" w14:textId="77777777" w:rsidR="00D63001" w:rsidRPr="00D81064" w:rsidRDefault="00D63001" w:rsidP="00782D8A">
            <w:pPr>
              <w:pStyle w:val="Tabletext"/>
              <w:rPr>
                <w:sz w:val="18"/>
                <w:szCs w:val="18"/>
                <w:lang w:val="ru-RU"/>
              </w:rPr>
            </w:pPr>
            <w:r w:rsidRPr="00D81064">
              <w:rPr>
                <w:sz w:val="18"/>
                <w:szCs w:val="18"/>
                <w:lang w:val="ru-RU"/>
              </w:rPr>
              <w:t>Швейцария</w:t>
            </w:r>
          </w:p>
        </w:tc>
        <w:tc>
          <w:tcPr>
            <w:tcW w:w="2551" w:type="dxa"/>
            <w:tcBorders>
              <w:top w:val="nil"/>
              <w:left w:val="nil"/>
              <w:bottom w:val="single" w:sz="4" w:space="0" w:color="auto"/>
              <w:right w:val="single" w:sz="4" w:space="0" w:color="auto"/>
            </w:tcBorders>
            <w:shd w:val="clear" w:color="auto" w:fill="FFFFFF" w:themeFill="background1"/>
            <w:hideMark/>
          </w:tcPr>
          <w:p w14:paraId="445CB9C1" w14:textId="77777777" w:rsidR="00D63001" w:rsidRPr="00D81064" w:rsidRDefault="00D63001" w:rsidP="00782D8A">
            <w:pPr>
              <w:pStyle w:val="Tabletext"/>
              <w:rPr>
                <w:sz w:val="18"/>
                <w:szCs w:val="18"/>
                <w:lang w:val="ru-RU"/>
              </w:rPr>
            </w:pPr>
            <w:proofErr w:type="spellStart"/>
            <w:r w:rsidRPr="00D81064">
              <w:rPr>
                <w:sz w:val="18"/>
                <w:szCs w:val="18"/>
                <w:lang w:val="ru-RU"/>
              </w:rPr>
              <w:t>Astrocast</w:t>
            </w:r>
            <w:proofErr w:type="spellEnd"/>
            <w:r w:rsidRPr="00D81064">
              <w:rPr>
                <w:sz w:val="18"/>
                <w:szCs w:val="18"/>
                <w:lang w:val="ru-RU"/>
              </w:rPr>
              <w:t xml:space="preserve"> SA, </w:t>
            </w:r>
            <w:proofErr w:type="spellStart"/>
            <w:r w:rsidRPr="00D81064">
              <w:rPr>
                <w:sz w:val="18"/>
                <w:szCs w:val="18"/>
                <w:lang w:val="ru-RU"/>
              </w:rPr>
              <w:t>Шаванн</w:t>
            </w:r>
            <w:proofErr w:type="spellEnd"/>
            <w:r w:rsidRPr="00D81064">
              <w:rPr>
                <w:sz w:val="18"/>
                <w:szCs w:val="18"/>
                <w:lang w:val="ru-RU"/>
              </w:rPr>
              <w:noBreakHyphen/>
              <w:t>пре</w:t>
            </w:r>
            <w:r w:rsidRPr="00D81064">
              <w:rPr>
                <w:sz w:val="18"/>
                <w:szCs w:val="18"/>
                <w:lang w:val="ru-RU"/>
              </w:rPr>
              <w:noBreakHyphen/>
              <w:t>Ренан</w:t>
            </w:r>
          </w:p>
        </w:tc>
        <w:tc>
          <w:tcPr>
            <w:tcW w:w="993" w:type="dxa"/>
            <w:tcBorders>
              <w:top w:val="nil"/>
              <w:left w:val="nil"/>
              <w:bottom w:val="single" w:sz="4" w:space="0" w:color="auto"/>
              <w:right w:val="single" w:sz="4" w:space="0" w:color="auto"/>
            </w:tcBorders>
            <w:shd w:val="clear" w:color="auto" w:fill="FFFFFF" w:themeFill="background1"/>
            <w:hideMark/>
          </w:tcPr>
          <w:p w14:paraId="344F0BE3" w14:textId="77777777" w:rsidR="00D63001" w:rsidRPr="00D81064" w:rsidRDefault="00D63001" w:rsidP="00782D8A">
            <w:pPr>
              <w:pStyle w:val="Tabletext"/>
              <w:jc w:val="center"/>
              <w:rPr>
                <w:sz w:val="18"/>
                <w:szCs w:val="18"/>
                <w:lang w:val="ru-RU"/>
              </w:rPr>
            </w:pPr>
            <w:r w:rsidRPr="00D81064">
              <w:rPr>
                <w:sz w:val="18"/>
                <w:szCs w:val="18"/>
                <w:lang w:val="ru-RU"/>
              </w:rPr>
              <w:t>2023</w:t>
            </w:r>
          </w:p>
        </w:tc>
        <w:tc>
          <w:tcPr>
            <w:tcW w:w="1086" w:type="dxa"/>
            <w:tcBorders>
              <w:top w:val="nil"/>
              <w:left w:val="nil"/>
              <w:bottom w:val="single" w:sz="4" w:space="0" w:color="auto"/>
              <w:right w:val="single" w:sz="4" w:space="0" w:color="auto"/>
            </w:tcBorders>
            <w:shd w:val="clear" w:color="auto" w:fill="FFFFFF" w:themeFill="background1"/>
            <w:hideMark/>
          </w:tcPr>
          <w:p w14:paraId="5787D715" w14:textId="77777777" w:rsidR="00D63001" w:rsidRPr="00D81064" w:rsidRDefault="00D63001" w:rsidP="00B55BD8">
            <w:pPr>
              <w:pStyle w:val="Tabletext"/>
              <w:ind w:right="57"/>
              <w:jc w:val="right"/>
              <w:rPr>
                <w:sz w:val="18"/>
                <w:szCs w:val="18"/>
                <w:lang w:val="ru-RU"/>
              </w:rPr>
            </w:pPr>
            <w:r w:rsidRPr="00D81064">
              <w:rPr>
                <w:sz w:val="18"/>
                <w:szCs w:val="18"/>
                <w:lang w:val="ru-RU"/>
              </w:rPr>
              <w:t>3 975,00</w:t>
            </w:r>
          </w:p>
        </w:tc>
        <w:tc>
          <w:tcPr>
            <w:tcW w:w="1087" w:type="dxa"/>
            <w:tcBorders>
              <w:top w:val="nil"/>
              <w:left w:val="nil"/>
              <w:bottom w:val="single" w:sz="4" w:space="0" w:color="auto"/>
              <w:right w:val="single" w:sz="4" w:space="0" w:color="auto"/>
            </w:tcBorders>
            <w:shd w:val="clear" w:color="auto" w:fill="FFFFFF" w:themeFill="background1"/>
            <w:noWrap/>
            <w:hideMark/>
          </w:tcPr>
          <w:p w14:paraId="115335BF" w14:textId="77777777" w:rsidR="00D63001" w:rsidRPr="00D81064" w:rsidRDefault="00D63001" w:rsidP="00B55BD8">
            <w:pPr>
              <w:pStyle w:val="Tabletext"/>
              <w:ind w:right="57"/>
              <w:jc w:val="right"/>
              <w:rPr>
                <w:sz w:val="18"/>
                <w:szCs w:val="18"/>
                <w:lang w:val="ru-RU"/>
              </w:rPr>
            </w:pPr>
            <w:r w:rsidRPr="00D81064">
              <w:rPr>
                <w:sz w:val="18"/>
                <w:szCs w:val="18"/>
                <w:lang w:val="ru-RU"/>
              </w:rPr>
              <w:t>658,80</w:t>
            </w:r>
          </w:p>
        </w:tc>
        <w:tc>
          <w:tcPr>
            <w:tcW w:w="1087" w:type="dxa"/>
            <w:tcBorders>
              <w:top w:val="nil"/>
              <w:left w:val="nil"/>
              <w:bottom w:val="single" w:sz="4" w:space="0" w:color="auto"/>
              <w:right w:val="single" w:sz="4" w:space="0" w:color="auto"/>
            </w:tcBorders>
            <w:shd w:val="clear" w:color="auto" w:fill="FFFFFF" w:themeFill="background1"/>
            <w:hideMark/>
          </w:tcPr>
          <w:p w14:paraId="40419031" w14:textId="77777777" w:rsidR="00D63001" w:rsidRPr="00D81064" w:rsidRDefault="00D63001" w:rsidP="00B55BD8">
            <w:pPr>
              <w:pStyle w:val="Tabletext"/>
              <w:ind w:right="57"/>
              <w:jc w:val="right"/>
              <w:rPr>
                <w:sz w:val="18"/>
                <w:szCs w:val="18"/>
                <w:lang w:val="ru-RU"/>
              </w:rPr>
            </w:pPr>
            <w:r w:rsidRPr="00D81064">
              <w:rPr>
                <w:sz w:val="18"/>
                <w:szCs w:val="18"/>
                <w:lang w:val="ru-RU"/>
              </w:rPr>
              <w:t>4 633,80</w:t>
            </w:r>
          </w:p>
        </w:tc>
      </w:tr>
      <w:tr w:rsidR="00D63001" w:rsidRPr="00D81064" w14:paraId="235D4B08" w14:textId="77777777" w:rsidTr="00782D8A">
        <w:tc>
          <w:tcPr>
            <w:tcW w:w="1124" w:type="dxa"/>
            <w:tcBorders>
              <w:top w:val="nil"/>
              <w:left w:val="single" w:sz="4" w:space="0" w:color="auto"/>
              <w:bottom w:val="single" w:sz="4" w:space="0" w:color="auto"/>
              <w:right w:val="single" w:sz="4" w:space="0" w:color="auto"/>
            </w:tcBorders>
            <w:shd w:val="clear" w:color="auto" w:fill="FFFFFF" w:themeFill="background1"/>
          </w:tcPr>
          <w:p w14:paraId="3AE489C0" w14:textId="77777777" w:rsidR="00D63001" w:rsidRPr="00D81064" w:rsidRDefault="00D63001" w:rsidP="00782D8A">
            <w:pPr>
              <w:pStyle w:val="Tabletext"/>
              <w:jc w:val="center"/>
              <w:rPr>
                <w:sz w:val="18"/>
                <w:szCs w:val="18"/>
                <w:lang w:val="ru-RU"/>
              </w:rPr>
            </w:pPr>
            <w:r w:rsidRPr="00D81064">
              <w:rPr>
                <w:sz w:val="18"/>
                <w:szCs w:val="18"/>
                <w:lang w:val="ru-RU"/>
              </w:rPr>
              <w:t>1200011303</w:t>
            </w:r>
          </w:p>
        </w:tc>
        <w:tc>
          <w:tcPr>
            <w:tcW w:w="1418" w:type="dxa"/>
            <w:tcBorders>
              <w:top w:val="nil"/>
              <w:left w:val="single" w:sz="4" w:space="0" w:color="auto"/>
              <w:bottom w:val="single" w:sz="4" w:space="0" w:color="auto"/>
              <w:right w:val="single" w:sz="4" w:space="0" w:color="auto"/>
            </w:tcBorders>
            <w:shd w:val="clear" w:color="auto" w:fill="FFFFFF" w:themeFill="background1"/>
            <w:hideMark/>
          </w:tcPr>
          <w:p w14:paraId="6C856CFB" w14:textId="77777777" w:rsidR="00D63001" w:rsidRPr="00D81064" w:rsidRDefault="00D63001" w:rsidP="00782D8A">
            <w:pPr>
              <w:pStyle w:val="Tabletext"/>
              <w:rPr>
                <w:sz w:val="18"/>
                <w:szCs w:val="18"/>
                <w:lang w:val="ru-RU"/>
              </w:rPr>
            </w:pPr>
            <w:r w:rsidRPr="00D81064">
              <w:rPr>
                <w:sz w:val="18"/>
                <w:szCs w:val="18"/>
                <w:lang w:val="ru-RU"/>
              </w:rPr>
              <w:t>Швейцария</w:t>
            </w:r>
          </w:p>
        </w:tc>
        <w:tc>
          <w:tcPr>
            <w:tcW w:w="2551" w:type="dxa"/>
            <w:tcBorders>
              <w:top w:val="nil"/>
              <w:left w:val="nil"/>
              <w:bottom w:val="single" w:sz="4" w:space="0" w:color="auto"/>
              <w:right w:val="single" w:sz="4" w:space="0" w:color="auto"/>
            </w:tcBorders>
            <w:shd w:val="clear" w:color="auto" w:fill="FFFFFF" w:themeFill="background1"/>
            <w:hideMark/>
          </w:tcPr>
          <w:p w14:paraId="55B2B80B" w14:textId="77777777" w:rsidR="00D63001" w:rsidRPr="00115736" w:rsidRDefault="00D63001" w:rsidP="00782D8A">
            <w:pPr>
              <w:pStyle w:val="Tabletext"/>
              <w:rPr>
                <w:sz w:val="18"/>
                <w:szCs w:val="18"/>
              </w:rPr>
            </w:pPr>
            <w:r w:rsidRPr="00115736">
              <w:rPr>
                <w:sz w:val="18"/>
                <w:szCs w:val="18"/>
              </w:rPr>
              <w:t xml:space="preserve">High-Tech Bridge SA, </w:t>
            </w:r>
            <w:r w:rsidRPr="00D81064">
              <w:rPr>
                <w:sz w:val="18"/>
                <w:szCs w:val="18"/>
                <w:lang w:val="ru-RU"/>
              </w:rPr>
              <w:t>Женева</w:t>
            </w:r>
          </w:p>
        </w:tc>
        <w:tc>
          <w:tcPr>
            <w:tcW w:w="993" w:type="dxa"/>
            <w:tcBorders>
              <w:top w:val="nil"/>
              <w:left w:val="nil"/>
              <w:bottom w:val="single" w:sz="4" w:space="0" w:color="auto"/>
              <w:right w:val="single" w:sz="4" w:space="0" w:color="auto"/>
            </w:tcBorders>
            <w:shd w:val="clear" w:color="auto" w:fill="FFFFFF" w:themeFill="background1"/>
            <w:noWrap/>
            <w:hideMark/>
          </w:tcPr>
          <w:p w14:paraId="444B5656" w14:textId="77777777" w:rsidR="00D63001" w:rsidRPr="00D81064" w:rsidRDefault="00D63001" w:rsidP="00782D8A">
            <w:pPr>
              <w:pStyle w:val="Tabletext"/>
              <w:jc w:val="center"/>
              <w:rPr>
                <w:sz w:val="18"/>
                <w:szCs w:val="18"/>
                <w:lang w:val="ru-RU"/>
              </w:rPr>
            </w:pPr>
            <w:r w:rsidRPr="00D81064">
              <w:rPr>
                <w:sz w:val="18"/>
                <w:szCs w:val="18"/>
                <w:lang w:val="ru-RU"/>
              </w:rPr>
              <w:t>2020</w:t>
            </w:r>
          </w:p>
        </w:tc>
        <w:tc>
          <w:tcPr>
            <w:tcW w:w="1086" w:type="dxa"/>
            <w:tcBorders>
              <w:top w:val="nil"/>
              <w:left w:val="nil"/>
              <w:bottom w:val="single" w:sz="4" w:space="0" w:color="auto"/>
              <w:right w:val="single" w:sz="4" w:space="0" w:color="auto"/>
            </w:tcBorders>
            <w:shd w:val="clear" w:color="auto" w:fill="FFFFFF" w:themeFill="background1"/>
            <w:hideMark/>
          </w:tcPr>
          <w:p w14:paraId="193C0101" w14:textId="77777777" w:rsidR="00D63001" w:rsidRPr="00D81064" w:rsidRDefault="00D63001" w:rsidP="00B55BD8">
            <w:pPr>
              <w:pStyle w:val="Tabletext"/>
              <w:ind w:right="57"/>
              <w:jc w:val="right"/>
              <w:rPr>
                <w:sz w:val="18"/>
                <w:szCs w:val="18"/>
                <w:lang w:val="ru-RU"/>
              </w:rPr>
            </w:pPr>
            <w:r w:rsidRPr="00D81064">
              <w:rPr>
                <w:sz w:val="18"/>
                <w:szCs w:val="18"/>
                <w:lang w:val="ru-RU"/>
              </w:rPr>
              <w:t>3 975,00</w:t>
            </w:r>
          </w:p>
        </w:tc>
        <w:tc>
          <w:tcPr>
            <w:tcW w:w="1087" w:type="dxa"/>
            <w:tcBorders>
              <w:top w:val="nil"/>
              <w:left w:val="nil"/>
              <w:bottom w:val="single" w:sz="4" w:space="0" w:color="auto"/>
              <w:right w:val="single" w:sz="4" w:space="0" w:color="auto"/>
            </w:tcBorders>
            <w:shd w:val="clear" w:color="auto" w:fill="FFFFFF" w:themeFill="background1"/>
            <w:noWrap/>
            <w:hideMark/>
          </w:tcPr>
          <w:p w14:paraId="2DFF3C16" w14:textId="77777777" w:rsidR="00D63001" w:rsidRPr="00D81064" w:rsidRDefault="00D63001" w:rsidP="00B55BD8">
            <w:pPr>
              <w:pStyle w:val="Tabletext"/>
              <w:ind w:right="57"/>
              <w:jc w:val="right"/>
              <w:rPr>
                <w:sz w:val="18"/>
                <w:szCs w:val="18"/>
                <w:lang w:val="ru-RU"/>
              </w:rPr>
            </w:pPr>
            <w:r w:rsidRPr="00D81064">
              <w:rPr>
                <w:sz w:val="18"/>
                <w:szCs w:val="18"/>
                <w:lang w:val="ru-RU"/>
              </w:rPr>
              <w:t>1 344,45</w:t>
            </w:r>
          </w:p>
        </w:tc>
        <w:tc>
          <w:tcPr>
            <w:tcW w:w="1087" w:type="dxa"/>
            <w:tcBorders>
              <w:top w:val="nil"/>
              <w:left w:val="nil"/>
              <w:bottom w:val="single" w:sz="4" w:space="0" w:color="auto"/>
              <w:right w:val="single" w:sz="4" w:space="0" w:color="auto"/>
            </w:tcBorders>
            <w:shd w:val="clear" w:color="auto" w:fill="FFFFFF" w:themeFill="background1"/>
            <w:hideMark/>
          </w:tcPr>
          <w:p w14:paraId="33B0DEBA" w14:textId="77777777" w:rsidR="00D63001" w:rsidRPr="00D81064" w:rsidRDefault="00D63001" w:rsidP="00B55BD8">
            <w:pPr>
              <w:pStyle w:val="Tabletext"/>
              <w:ind w:right="57"/>
              <w:jc w:val="right"/>
              <w:rPr>
                <w:sz w:val="18"/>
                <w:szCs w:val="18"/>
                <w:lang w:val="ru-RU"/>
              </w:rPr>
            </w:pPr>
            <w:r w:rsidRPr="00D81064">
              <w:rPr>
                <w:sz w:val="18"/>
                <w:szCs w:val="18"/>
                <w:lang w:val="ru-RU"/>
              </w:rPr>
              <w:t>5 319,45</w:t>
            </w:r>
          </w:p>
        </w:tc>
      </w:tr>
      <w:tr w:rsidR="00D63001" w:rsidRPr="00D81064" w14:paraId="509E0861" w14:textId="77777777" w:rsidTr="00782D8A">
        <w:tc>
          <w:tcPr>
            <w:tcW w:w="1124" w:type="dxa"/>
            <w:tcBorders>
              <w:top w:val="single" w:sz="4" w:space="0" w:color="auto"/>
              <w:left w:val="single" w:sz="4" w:space="0" w:color="auto"/>
              <w:bottom w:val="single" w:sz="4" w:space="0" w:color="auto"/>
              <w:right w:val="single" w:sz="4" w:space="0" w:color="auto"/>
            </w:tcBorders>
            <w:shd w:val="clear" w:color="auto" w:fill="FFFFFF" w:themeFill="background1"/>
          </w:tcPr>
          <w:p w14:paraId="4D1433FE" w14:textId="77777777" w:rsidR="00D63001" w:rsidRPr="00D81064" w:rsidRDefault="00D63001" w:rsidP="00782D8A">
            <w:pPr>
              <w:pStyle w:val="Tabletext"/>
              <w:jc w:val="center"/>
              <w:rPr>
                <w:sz w:val="18"/>
                <w:szCs w:val="18"/>
                <w:lang w:val="ru-RU"/>
              </w:rPr>
            </w:pPr>
            <w:r w:rsidRPr="00D81064">
              <w:rPr>
                <w:sz w:val="18"/>
                <w:szCs w:val="18"/>
                <w:lang w:val="ru-RU"/>
              </w:rPr>
              <w:t>1200034986</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B1B790F" w14:textId="77777777" w:rsidR="00D63001" w:rsidRPr="00D81064" w:rsidRDefault="00D63001" w:rsidP="00782D8A">
            <w:pPr>
              <w:pStyle w:val="Tabletext"/>
              <w:rPr>
                <w:sz w:val="18"/>
                <w:szCs w:val="18"/>
                <w:lang w:val="ru-RU"/>
              </w:rPr>
            </w:pPr>
            <w:r w:rsidRPr="00D81064">
              <w:rPr>
                <w:sz w:val="18"/>
                <w:szCs w:val="18"/>
                <w:lang w:val="ru-RU"/>
              </w:rPr>
              <w:t>Танзания</w:t>
            </w:r>
          </w:p>
        </w:tc>
        <w:tc>
          <w:tcPr>
            <w:tcW w:w="2551" w:type="dxa"/>
            <w:tcBorders>
              <w:top w:val="single" w:sz="4" w:space="0" w:color="auto"/>
              <w:left w:val="nil"/>
              <w:bottom w:val="single" w:sz="4" w:space="0" w:color="auto"/>
              <w:right w:val="single" w:sz="4" w:space="0" w:color="auto"/>
            </w:tcBorders>
            <w:shd w:val="clear" w:color="auto" w:fill="FFFFFF" w:themeFill="background1"/>
            <w:hideMark/>
          </w:tcPr>
          <w:p w14:paraId="07FFE981" w14:textId="77777777" w:rsidR="00D63001" w:rsidRPr="00115736" w:rsidRDefault="00D63001" w:rsidP="00782D8A">
            <w:pPr>
              <w:pStyle w:val="Tabletext"/>
              <w:rPr>
                <w:sz w:val="18"/>
                <w:szCs w:val="18"/>
              </w:rPr>
            </w:pPr>
            <w:r w:rsidRPr="00115736">
              <w:rPr>
                <w:sz w:val="18"/>
                <w:szCs w:val="18"/>
              </w:rPr>
              <w:t xml:space="preserve">The Uni of Dodoma, </w:t>
            </w:r>
            <w:r w:rsidRPr="00D81064">
              <w:rPr>
                <w:sz w:val="18"/>
                <w:szCs w:val="18"/>
                <w:lang w:val="ru-RU"/>
              </w:rPr>
              <w:t>Додома</w:t>
            </w:r>
          </w:p>
        </w:tc>
        <w:tc>
          <w:tcPr>
            <w:tcW w:w="993" w:type="dxa"/>
            <w:tcBorders>
              <w:top w:val="single" w:sz="4" w:space="0" w:color="auto"/>
              <w:left w:val="nil"/>
              <w:bottom w:val="single" w:sz="4" w:space="0" w:color="auto"/>
              <w:right w:val="single" w:sz="4" w:space="0" w:color="auto"/>
            </w:tcBorders>
            <w:shd w:val="clear" w:color="auto" w:fill="FFFFFF" w:themeFill="background1"/>
            <w:noWrap/>
            <w:hideMark/>
          </w:tcPr>
          <w:p w14:paraId="7FAD9E0D" w14:textId="77777777" w:rsidR="00D63001" w:rsidRPr="00D81064" w:rsidRDefault="00D63001" w:rsidP="00782D8A">
            <w:pPr>
              <w:pStyle w:val="Tabletext"/>
              <w:jc w:val="center"/>
              <w:rPr>
                <w:sz w:val="18"/>
                <w:szCs w:val="18"/>
                <w:lang w:val="ru-RU"/>
              </w:rPr>
            </w:pPr>
            <w:r w:rsidRPr="00D81064">
              <w:rPr>
                <w:sz w:val="18"/>
                <w:szCs w:val="18"/>
                <w:lang w:val="ru-RU"/>
              </w:rPr>
              <w:t>2020</w:t>
            </w:r>
          </w:p>
        </w:tc>
        <w:tc>
          <w:tcPr>
            <w:tcW w:w="1086" w:type="dxa"/>
            <w:tcBorders>
              <w:top w:val="single" w:sz="4" w:space="0" w:color="auto"/>
              <w:left w:val="nil"/>
              <w:bottom w:val="single" w:sz="4" w:space="0" w:color="auto"/>
              <w:right w:val="single" w:sz="4" w:space="0" w:color="auto"/>
            </w:tcBorders>
            <w:shd w:val="clear" w:color="auto" w:fill="FFFFFF" w:themeFill="background1"/>
            <w:hideMark/>
          </w:tcPr>
          <w:p w14:paraId="42954EA9" w14:textId="77777777" w:rsidR="00D63001" w:rsidRPr="00D81064" w:rsidRDefault="00D63001" w:rsidP="00B55BD8">
            <w:pPr>
              <w:pStyle w:val="Tabletext"/>
              <w:ind w:right="57"/>
              <w:jc w:val="right"/>
              <w:rPr>
                <w:sz w:val="18"/>
                <w:szCs w:val="18"/>
                <w:lang w:val="ru-RU"/>
              </w:rPr>
            </w:pPr>
            <w:r w:rsidRPr="00D81064">
              <w:rPr>
                <w:sz w:val="18"/>
                <w:szCs w:val="18"/>
                <w:lang w:val="ru-RU"/>
              </w:rPr>
              <w:t>1 821,88</w:t>
            </w:r>
          </w:p>
        </w:tc>
        <w:tc>
          <w:tcPr>
            <w:tcW w:w="1087" w:type="dxa"/>
            <w:tcBorders>
              <w:top w:val="single" w:sz="4" w:space="0" w:color="auto"/>
              <w:left w:val="nil"/>
              <w:bottom w:val="single" w:sz="4" w:space="0" w:color="auto"/>
              <w:right w:val="single" w:sz="4" w:space="0" w:color="auto"/>
            </w:tcBorders>
            <w:shd w:val="clear" w:color="auto" w:fill="FFFFFF" w:themeFill="background1"/>
            <w:noWrap/>
            <w:hideMark/>
          </w:tcPr>
          <w:p w14:paraId="74F77FA2" w14:textId="77777777" w:rsidR="00D63001" w:rsidRPr="00D81064" w:rsidRDefault="00D63001" w:rsidP="00B55BD8">
            <w:pPr>
              <w:pStyle w:val="Tabletext"/>
              <w:ind w:right="57"/>
              <w:jc w:val="right"/>
              <w:rPr>
                <w:sz w:val="18"/>
                <w:szCs w:val="18"/>
                <w:lang w:val="ru-RU"/>
              </w:rPr>
            </w:pPr>
            <w:r w:rsidRPr="00D81064">
              <w:rPr>
                <w:sz w:val="18"/>
                <w:szCs w:val="18"/>
                <w:lang w:val="ru-RU"/>
              </w:rPr>
              <w:t>616,15</w:t>
            </w:r>
          </w:p>
        </w:tc>
        <w:tc>
          <w:tcPr>
            <w:tcW w:w="1087" w:type="dxa"/>
            <w:tcBorders>
              <w:top w:val="single" w:sz="4" w:space="0" w:color="auto"/>
              <w:left w:val="nil"/>
              <w:bottom w:val="single" w:sz="4" w:space="0" w:color="auto"/>
              <w:right w:val="single" w:sz="4" w:space="0" w:color="auto"/>
            </w:tcBorders>
            <w:shd w:val="clear" w:color="auto" w:fill="FFFFFF" w:themeFill="background1"/>
            <w:hideMark/>
          </w:tcPr>
          <w:p w14:paraId="55E86CAD" w14:textId="77777777" w:rsidR="00D63001" w:rsidRPr="00D81064" w:rsidRDefault="00D63001" w:rsidP="00B55BD8">
            <w:pPr>
              <w:pStyle w:val="Tabletext"/>
              <w:ind w:right="57"/>
              <w:jc w:val="right"/>
              <w:rPr>
                <w:sz w:val="18"/>
                <w:szCs w:val="18"/>
                <w:lang w:val="ru-RU"/>
              </w:rPr>
            </w:pPr>
            <w:r w:rsidRPr="00D81064">
              <w:rPr>
                <w:sz w:val="18"/>
                <w:szCs w:val="18"/>
                <w:lang w:val="ru-RU"/>
              </w:rPr>
              <w:t>2 438,03</w:t>
            </w:r>
          </w:p>
        </w:tc>
      </w:tr>
      <w:tr w:rsidR="00D63001" w:rsidRPr="00D81064" w14:paraId="6E732DBF" w14:textId="77777777" w:rsidTr="00782D8A">
        <w:tc>
          <w:tcPr>
            <w:tcW w:w="1124" w:type="dxa"/>
            <w:tcBorders>
              <w:top w:val="nil"/>
              <w:left w:val="single" w:sz="4" w:space="0" w:color="auto"/>
              <w:bottom w:val="single" w:sz="4" w:space="0" w:color="auto"/>
              <w:right w:val="single" w:sz="4" w:space="0" w:color="auto"/>
            </w:tcBorders>
            <w:shd w:val="clear" w:color="auto" w:fill="FFFFFF" w:themeFill="background1"/>
          </w:tcPr>
          <w:p w14:paraId="59B461C8" w14:textId="77777777" w:rsidR="00D63001" w:rsidRPr="00D81064" w:rsidRDefault="00D63001" w:rsidP="00782D8A">
            <w:pPr>
              <w:pStyle w:val="Tabletext"/>
              <w:jc w:val="center"/>
              <w:rPr>
                <w:sz w:val="18"/>
                <w:szCs w:val="18"/>
                <w:lang w:val="ru-RU"/>
              </w:rPr>
            </w:pPr>
            <w:r w:rsidRPr="00D81064">
              <w:rPr>
                <w:sz w:val="18"/>
                <w:szCs w:val="18"/>
                <w:lang w:val="ru-RU"/>
              </w:rPr>
              <w:t>27682</w:t>
            </w:r>
          </w:p>
        </w:tc>
        <w:tc>
          <w:tcPr>
            <w:tcW w:w="1418" w:type="dxa"/>
            <w:tcBorders>
              <w:top w:val="nil"/>
              <w:left w:val="single" w:sz="4" w:space="0" w:color="auto"/>
              <w:bottom w:val="single" w:sz="4" w:space="0" w:color="auto"/>
              <w:right w:val="single" w:sz="4" w:space="0" w:color="auto"/>
            </w:tcBorders>
            <w:shd w:val="clear" w:color="auto" w:fill="FFFFFF" w:themeFill="background1"/>
            <w:hideMark/>
          </w:tcPr>
          <w:p w14:paraId="781808C0" w14:textId="77777777" w:rsidR="00D63001" w:rsidRPr="00D81064" w:rsidRDefault="00D63001" w:rsidP="00782D8A">
            <w:pPr>
              <w:pStyle w:val="Tabletext"/>
              <w:rPr>
                <w:sz w:val="18"/>
                <w:szCs w:val="18"/>
                <w:lang w:val="ru-RU"/>
              </w:rPr>
            </w:pPr>
            <w:r w:rsidRPr="00D81064">
              <w:rPr>
                <w:sz w:val="18"/>
                <w:szCs w:val="18"/>
                <w:lang w:val="ru-RU"/>
              </w:rPr>
              <w:t>Тунис</w:t>
            </w:r>
          </w:p>
        </w:tc>
        <w:tc>
          <w:tcPr>
            <w:tcW w:w="2551" w:type="dxa"/>
            <w:tcBorders>
              <w:top w:val="nil"/>
              <w:left w:val="nil"/>
              <w:bottom w:val="single" w:sz="4" w:space="0" w:color="auto"/>
              <w:right w:val="single" w:sz="4" w:space="0" w:color="auto"/>
            </w:tcBorders>
            <w:shd w:val="clear" w:color="auto" w:fill="FFFFFF" w:themeFill="background1"/>
            <w:hideMark/>
          </w:tcPr>
          <w:p w14:paraId="4D149873" w14:textId="77777777" w:rsidR="00D63001" w:rsidRPr="00115736" w:rsidRDefault="00D63001" w:rsidP="00782D8A">
            <w:pPr>
              <w:pStyle w:val="Tabletext"/>
              <w:rPr>
                <w:sz w:val="18"/>
                <w:szCs w:val="18"/>
                <w:lang w:val="fr-CH"/>
              </w:rPr>
            </w:pPr>
            <w:r w:rsidRPr="00115736">
              <w:rPr>
                <w:sz w:val="18"/>
                <w:szCs w:val="18"/>
                <w:lang w:val="fr-CH"/>
              </w:rPr>
              <w:t xml:space="preserve">Agence Tunisienne d'Internet (ATI), </w:t>
            </w:r>
            <w:r w:rsidRPr="00D81064">
              <w:rPr>
                <w:sz w:val="18"/>
                <w:szCs w:val="18"/>
                <w:lang w:val="ru-RU"/>
              </w:rPr>
              <w:t>Тунис</w:t>
            </w:r>
          </w:p>
        </w:tc>
        <w:tc>
          <w:tcPr>
            <w:tcW w:w="993" w:type="dxa"/>
            <w:tcBorders>
              <w:top w:val="nil"/>
              <w:left w:val="nil"/>
              <w:bottom w:val="single" w:sz="4" w:space="0" w:color="auto"/>
              <w:right w:val="single" w:sz="4" w:space="0" w:color="auto"/>
            </w:tcBorders>
            <w:shd w:val="clear" w:color="auto" w:fill="FFFFFF" w:themeFill="background1"/>
            <w:noWrap/>
            <w:hideMark/>
          </w:tcPr>
          <w:p w14:paraId="2A29406E" w14:textId="77777777" w:rsidR="00D63001" w:rsidRPr="00D81064" w:rsidRDefault="00D63001" w:rsidP="00782D8A">
            <w:pPr>
              <w:pStyle w:val="Tabletext"/>
              <w:jc w:val="center"/>
              <w:rPr>
                <w:sz w:val="18"/>
                <w:szCs w:val="18"/>
                <w:lang w:val="ru-RU"/>
              </w:rPr>
            </w:pPr>
            <w:proofErr w:type="gramStart"/>
            <w:r w:rsidRPr="00D81064">
              <w:rPr>
                <w:sz w:val="18"/>
                <w:szCs w:val="18"/>
                <w:lang w:val="ru-RU"/>
              </w:rPr>
              <w:t>2018−2019</w:t>
            </w:r>
            <w:proofErr w:type="gramEnd"/>
          </w:p>
        </w:tc>
        <w:tc>
          <w:tcPr>
            <w:tcW w:w="1086" w:type="dxa"/>
            <w:tcBorders>
              <w:top w:val="nil"/>
              <w:left w:val="nil"/>
              <w:bottom w:val="single" w:sz="4" w:space="0" w:color="auto"/>
              <w:right w:val="single" w:sz="4" w:space="0" w:color="auto"/>
            </w:tcBorders>
            <w:shd w:val="clear" w:color="auto" w:fill="FFFFFF" w:themeFill="background1"/>
            <w:hideMark/>
          </w:tcPr>
          <w:p w14:paraId="0B998ED6" w14:textId="77777777" w:rsidR="00D63001" w:rsidRPr="00D81064" w:rsidRDefault="00D63001" w:rsidP="00B55BD8">
            <w:pPr>
              <w:pStyle w:val="Tabletext"/>
              <w:ind w:right="57"/>
              <w:jc w:val="right"/>
              <w:rPr>
                <w:sz w:val="18"/>
                <w:szCs w:val="18"/>
                <w:lang w:val="ru-RU"/>
              </w:rPr>
            </w:pPr>
            <w:r w:rsidRPr="00D81064">
              <w:rPr>
                <w:sz w:val="18"/>
                <w:szCs w:val="18"/>
                <w:lang w:val="ru-RU"/>
              </w:rPr>
              <w:t>12 810,00</w:t>
            </w:r>
          </w:p>
        </w:tc>
        <w:tc>
          <w:tcPr>
            <w:tcW w:w="1087" w:type="dxa"/>
            <w:tcBorders>
              <w:top w:val="nil"/>
              <w:left w:val="nil"/>
              <w:bottom w:val="single" w:sz="4" w:space="0" w:color="auto"/>
              <w:right w:val="single" w:sz="4" w:space="0" w:color="auto"/>
            </w:tcBorders>
            <w:shd w:val="clear" w:color="auto" w:fill="FFFFFF" w:themeFill="background1"/>
            <w:noWrap/>
            <w:hideMark/>
          </w:tcPr>
          <w:p w14:paraId="1D09572D" w14:textId="77777777" w:rsidR="00D63001" w:rsidRPr="00D81064" w:rsidRDefault="00D63001" w:rsidP="00B55BD8">
            <w:pPr>
              <w:pStyle w:val="Tabletext"/>
              <w:ind w:right="57"/>
              <w:jc w:val="right"/>
              <w:rPr>
                <w:sz w:val="18"/>
                <w:szCs w:val="18"/>
                <w:lang w:val="ru-RU"/>
              </w:rPr>
            </w:pPr>
            <w:r w:rsidRPr="00D81064">
              <w:rPr>
                <w:sz w:val="18"/>
                <w:szCs w:val="18"/>
                <w:lang w:val="ru-RU"/>
              </w:rPr>
              <w:t>6 450,10</w:t>
            </w:r>
          </w:p>
        </w:tc>
        <w:tc>
          <w:tcPr>
            <w:tcW w:w="1087" w:type="dxa"/>
            <w:tcBorders>
              <w:top w:val="nil"/>
              <w:left w:val="nil"/>
              <w:bottom w:val="single" w:sz="4" w:space="0" w:color="auto"/>
              <w:right w:val="single" w:sz="4" w:space="0" w:color="auto"/>
            </w:tcBorders>
            <w:shd w:val="clear" w:color="auto" w:fill="FFFFFF" w:themeFill="background1"/>
            <w:hideMark/>
          </w:tcPr>
          <w:p w14:paraId="0A620C01" w14:textId="77777777" w:rsidR="00D63001" w:rsidRPr="00D81064" w:rsidRDefault="00D63001" w:rsidP="00B55BD8">
            <w:pPr>
              <w:pStyle w:val="Tabletext"/>
              <w:ind w:right="57"/>
              <w:jc w:val="right"/>
              <w:rPr>
                <w:sz w:val="18"/>
                <w:szCs w:val="18"/>
                <w:lang w:val="ru-RU"/>
              </w:rPr>
            </w:pPr>
            <w:r w:rsidRPr="00D81064">
              <w:rPr>
                <w:sz w:val="18"/>
                <w:szCs w:val="18"/>
                <w:lang w:val="ru-RU"/>
              </w:rPr>
              <w:t>19 260,10</w:t>
            </w:r>
          </w:p>
        </w:tc>
      </w:tr>
      <w:tr w:rsidR="00D63001" w:rsidRPr="00D81064" w14:paraId="16E64586" w14:textId="77777777" w:rsidTr="00782D8A">
        <w:tc>
          <w:tcPr>
            <w:tcW w:w="1124" w:type="dxa"/>
            <w:tcBorders>
              <w:top w:val="single" w:sz="4" w:space="0" w:color="auto"/>
              <w:left w:val="single" w:sz="4" w:space="0" w:color="auto"/>
              <w:bottom w:val="single" w:sz="4" w:space="0" w:color="auto"/>
              <w:right w:val="single" w:sz="4" w:space="0" w:color="auto"/>
            </w:tcBorders>
            <w:shd w:val="clear" w:color="auto" w:fill="FFFFFF" w:themeFill="background1"/>
          </w:tcPr>
          <w:p w14:paraId="53AED8BE" w14:textId="77777777" w:rsidR="00D63001" w:rsidRPr="00D81064" w:rsidRDefault="00D63001" w:rsidP="00782D8A">
            <w:pPr>
              <w:pStyle w:val="Tabletext"/>
              <w:jc w:val="center"/>
              <w:rPr>
                <w:sz w:val="18"/>
                <w:szCs w:val="18"/>
                <w:lang w:val="ru-RU"/>
              </w:rPr>
            </w:pPr>
            <w:r w:rsidRPr="00D81064">
              <w:rPr>
                <w:sz w:val="18"/>
                <w:szCs w:val="18"/>
                <w:lang w:val="ru-RU"/>
              </w:rPr>
              <w:t>63179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BDE1A3" w14:textId="77777777" w:rsidR="00D63001" w:rsidRPr="00D81064" w:rsidRDefault="00D63001" w:rsidP="00782D8A">
            <w:pPr>
              <w:pStyle w:val="Tabletext"/>
              <w:rPr>
                <w:sz w:val="18"/>
                <w:szCs w:val="18"/>
                <w:lang w:val="ru-RU"/>
              </w:rPr>
            </w:pPr>
            <w:r w:rsidRPr="00D81064">
              <w:rPr>
                <w:sz w:val="18"/>
                <w:szCs w:val="18"/>
                <w:lang w:val="ru-RU"/>
              </w:rPr>
              <w:t>Объединенные Арабские Эмираты</w:t>
            </w:r>
          </w:p>
        </w:tc>
        <w:tc>
          <w:tcPr>
            <w:tcW w:w="2551" w:type="dxa"/>
            <w:tcBorders>
              <w:top w:val="single" w:sz="4" w:space="0" w:color="auto"/>
              <w:left w:val="nil"/>
              <w:bottom w:val="single" w:sz="4" w:space="0" w:color="auto"/>
              <w:right w:val="single" w:sz="4" w:space="0" w:color="auto"/>
            </w:tcBorders>
            <w:shd w:val="clear" w:color="auto" w:fill="FFFFFF" w:themeFill="background1"/>
            <w:hideMark/>
          </w:tcPr>
          <w:p w14:paraId="10862AA5" w14:textId="77777777" w:rsidR="00D63001" w:rsidRPr="00D81064" w:rsidRDefault="00D63001" w:rsidP="00782D8A">
            <w:pPr>
              <w:pStyle w:val="Tabletext"/>
              <w:rPr>
                <w:sz w:val="18"/>
                <w:szCs w:val="18"/>
                <w:lang w:val="ru-RU"/>
              </w:rPr>
            </w:pPr>
            <w:proofErr w:type="spellStart"/>
            <w:r w:rsidRPr="00D81064">
              <w:rPr>
                <w:sz w:val="18"/>
                <w:szCs w:val="18"/>
                <w:lang w:val="ru-RU"/>
              </w:rPr>
              <w:t>Teralight</w:t>
            </w:r>
            <w:proofErr w:type="spellEnd"/>
            <w:r w:rsidRPr="00D81064">
              <w:rPr>
                <w:sz w:val="18"/>
                <w:szCs w:val="18"/>
                <w:lang w:val="ru-RU"/>
              </w:rPr>
              <w:t xml:space="preserve"> FZ LLC, Дубай</w:t>
            </w:r>
          </w:p>
        </w:tc>
        <w:tc>
          <w:tcPr>
            <w:tcW w:w="993" w:type="dxa"/>
            <w:tcBorders>
              <w:top w:val="single" w:sz="4" w:space="0" w:color="auto"/>
              <w:left w:val="nil"/>
              <w:bottom w:val="single" w:sz="4" w:space="0" w:color="auto"/>
              <w:right w:val="single" w:sz="4" w:space="0" w:color="auto"/>
            </w:tcBorders>
            <w:shd w:val="clear" w:color="auto" w:fill="FFFFFF" w:themeFill="background1"/>
            <w:noWrap/>
            <w:hideMark/>
          </w:tcPr>
          <w:p w14:paraId="061EBC4F" w14:textId="77777777" w:rsidR="00D63001" w:rsidRPr="00D81064" w:rsidRDefault="00D63001" w:rsidP="00782D8A">
            <w:pPr>
              <w:pStyle w:val="Tabletext"/>
              <w:jc w:val="center"/>
              <w:rPr>
                <w:sz w:val="18"/>
                <w:szCs w:val="18"/>
                <w:lang w:val="ru-RU"/>
              </w:rPr>
            </w:pPr>
            <w:r w:rsidRPr="00D81064">
              <w:rPr>
                <w:sz w:val="18"/>
                <w:szCs w:val="18"/>
                <w:lang w:val="ru-RU"/>
              </w:rPr>
              <w:t>2016</w:t>
            </w:r>
          </w:p>
        </w:tc>
        <w:tc>
          <w:tcPr>
            <w:tcW w:w="1086" w:type="dxa"/>
            <w:tcBorders>
              <w:top w:val="single" w:sz="4" w:space="0" w:color="auto"/>
              <w:left w:val="nil"/>
              <w:bottom w:val="single" w:sz="4" w:space="0" w:color="auto"/>
              <w:right w:val="single" w:sz="4" w:space="0" w:color="auto"/>
            </w:tcBorders>
            <w:shd w:val="clear" w:color="auto" w:fill="FFFFFF" w:themeFill="background1"/>
            <w:hideMark/>
          </w:tcPr>
          <w:p w14:paraId="642AD74C" w14:textId="77777777" w:rsidR="00D63001" w:rsidRPr="00D81064" w:rsidRDefault="00D63001" w:rsidP="00B55BD8">
            <w:pPr>
              <w:pStyle w:val="Tabletext"/>
              <w:ind w:right="57"/>
              <w:jc w:val="right"/>
              <w:rPr>
                <w:sz w:val="18"/>
                <w:szCs w:val="18"/>
                <w:lang w:val="ru-RU"/>
              </w:rPr>
            </w:pPr>
            <w:r w:rsidRPr="00D81064">
              <w:rPr>
                <w:sz w:val="18"/>
                <w:szCs w:val="18"/>
                <w:lang w:val="ru-RU"/>
              </w:rPr>
              <w:t>3 975,00</w:t>
            </w:r>
          </w:p>
        </w:tc>
        <w:tc>
          <w:tcPr>
            <w:tcW w:w="1087" w:type="dxa"/>
            <w:tcBorders>
              <w:top w:val="single" w:sz="4" w:space="0" w:color="auto"/>
              <w:left w:val="nil"/>
              <w:bottom w:val="single" w:sz="4" w:space="0" w:color="auto"/>
              <w:right w:val="single" w:sz="4" w:space="0" w:color="auto"/>
            </w:tcBorders>
            <w:shd w:val="clear" w:color="auto" w:fill="FFFFFF" w:themeFill="background1"/>
            <w:noWrap/>
            <w:hideMark/>
          </w:tcPr>
          <w:p w14:paraId="5A926C14" w14:textId="77777777" w:rsidR="00D63001" w:rsidRPr="00D81064" w:rsidRDefault="00D63001" w:rsidP="00B55BD8">
            <w:pPr>
              <w:pStyle w:val="Tabletext"/>
              <w:ind w:right="57"/>
              <w:jc w:val="right"/>
              <w:rPr>
                <w:sz w:val="18"/>
                <w:szCs w:val="18"/>
                <w:lang w:val="ru-RU"/>
              </w:rPr>
            </w:pPr>
            <w:r w:rsidRPr="00D81064">
              <w:rPr>
                <w:sz w:val="18"/>
                <w:szCs w:val="18"/>
                <w:lang w:val="ru-RU"/>
              </w:rPr>
              <w:t>2 992,55</w:t>
            </w:r>
          </w:p>
        </w:tc>
        <w:tc>
          <w:tcPr>
            <w:tcW w:w="1087" w:type="dxa"/>
            <w:tcBorders>
              <w:top w:val="single" w:sz="4" w:space="0" w:color="auto"/>
              <w:left w:val="nil"/>
              <w:bottom w:val="single" w:sz="4" w:space="0" w:color="auto"/>
              <w:right w:val="single" w:sz="4" w:space="0" w:color="auto"/>
            </w:tcBorders>
            <w:shd w:val="clear" w:color="auto" w:fill="FFFFFF" w:themeFill="background1"/>
            <w:hideMark/>
          </w:tcPr>
          <w:p w14:paraId="3E492391" w14:textId="77777777" w:rsidR="00D63001" w:rsidRPr="00D81064" w:rsidRDefault="00D63001" w:rsidP="00B55BD8">
            <w:pPr>
              <w:pStyle w:val="Tabletext"/>
              <w:ind w:right="57"/>
              <w:jc w:val="right"/>
              <w:rPr>
                <w:sz w:val="18"/>
                <w:szCs w:val="18"/>
                <w:lang w:val="ru-RU"/>
              </w:rPr>
            </w:pPr>
            <w:r w:rsidRPr="00D81064">
              <w:rPr>
                <w:sz w:val="18"/>
                <w:szCs w:val="18"/>
                <w:lang w:val="ru-RU"/>
              </w:rPr>
              <w:t>6 967,55</w:t>
            </w:r>
          </w:p>
        </w:tc>
      </w:tr>
      <w:tr w:rsidR="00D63001" w:rsidRPr="00D81064" w14:paraId="2100A68C" w14:textId="77777777" w:rsidTr="00782D8A">
        <w:tc>
          <w:tcPr>
            <w:tcW w:w="1124" w:type="dxa"/>
            <w:tcBorders>
              <w:top w:val="nil"/>
              <w:left w:val="single" w:sz="4" w:space="0" w:color="auto"/>
              <w:bottom w:val="single" w:sz="4" w:space="0" w:color="auto"/>
              <w:right w:val="single" w:sz="4" w:space="0" w:color="auto"/>
            </w:tcBorders>
            <w:shd w:val="clear" w:color="auto" w:fill="FFFFFF" w:themeFill="background1"/>
          </w:tcPr>
          <w:p w14:paraId="1B05E2F9" w14:textId="77777777" w:rsidR="00D63001" w:rsidRPr="00D81064" w:rsidRDefault="00D63001" w:rsidP="00782D8A">
            <w:pPr>
              <w:pStyle w:val="Tabletext"/>
              <w:jc w:val="center"/>
              <w:rPr>
                <w:sz w:val="18"/>
                <w:szCs w:val="18"/>
                <w:lang w:val="ru-RU"/>
              </w:rPr>
            </w:pPr>
            <w:r w:rsidRPr="00D81064">
              <w:rPr>
                <w:sz w:val="18"/>
                <w:szCs w:val="18"/>
                <w:lang w:val="ru-RU"/>
              </w:rPr>
              <w:t>1200029784</w:t>
            </w:r>
          </w:p>
        </w:tc>
        <w:tc>
          <w:tcPr>
            <w:tcW w:w="1418" w:type="dxa"/>
            <w:tcBorders>
              <w:top w:val="nil"/>
              <w:left w:val="single" w:sz="4" w:space="0" w:color="auto"/>
              <w:bottom w:val="single" w:sz="4" w:space="0" w:color="auto"/>
              <w:right w:val="single" w:sz="4" w:space="0" w:color="auto"/>
            </w:tcBorders>
            <w:shd w:val="clear" w:color="auto" w:fill="FFFFFF" w:themeFill="background1"/>
            <w:noWrap/>
            <w:hideMark/>
          </w:tcPr>
          <w:p w14:paraId="4BE13443" w14:textId="77777777" w:rsidR="00D63001" w:rsidRPr="00D81064" w:rsidRDefault="00D63001" w:rsidP="00782D8A">
            <w:pPr>
              <w:pStyle w:val="Tabletext"/>
              <w:rPr>
                <w:sz w:val="18"/>
                <w:szCs w:val="18"/>
                <w:lang w:val="ru-RU"/>
              </w:rPr>
            </w:pPr>
            <w:r w:rsidRPr="00D81064">
              <w:rPr>
                <w:sz w:val="18"/>
                <w:szCs w:val="18"/>
                <w:lang w:val="ru-RU"/>
              </w:rPr>
              <w:t>Соединенное Королевство</w:t>
            </w:r>
          </w:p>
        </w:tc>
        <w:tc>
          <w:tcPr>
            <w:tcW w:w="2551" w:type="dxa"/>
            <w:tcBorders>
              <w:top w:val="nil"/>
              <w:left w:val="nil"/>
              <w:bottom w:val="single" w:sz="4" w:space="0" w:color="auto"/>
              <w:right w:val="single" w:sz="4" w:space="0" w:color="auto"/>
            </w:tcBorders>
            <w:shd w:val="clear" w:color="auto" w:fill="FFFFFF" w:themeFill="background1"/>
            <w:hideMark/>
          </w:tcPr>
          <w:p w14:paraId="199EC4F6" w14:textId="77777777" w:rsidR="00D63001" w:rsidRPr="00D81064" w:rsidRDefault="00D63001" w:rsidP="00782D8A">
            <w:pPr>
              <w:pStyle w:val="Tabletext"/>
              <w:rPr>
                <w:sz w:val="18"/>
                <w:szCs w:val="18"/>
                <w:lang w:val="ru-RU"/>
              </w:rPr>
            </w:pPr>
            <w:r w:rsidRPr="00D81064">
              <w:rPr>
                <w:sz w:val="18"/>
                <w:szCs w:val="18"/>
                <w:lang w:val="ru-RU"/>
              </w:rPr>
              <w:t xml:space="preserve">PTGI International Carrier (ранее – </w:t>
            </w:r>
            <w:proofErr w:type="spellStart"/>
            <w:r w:rsidRPr="00D81064">
              <w:rPr>
                <w:sz w:val="18"/>
                <w:szCs w:val="18"/>
                <w:lang w:val="ru-RU"/>
              </w:rPr>
              <w:t>Primus</w:t>
            </w:r>
            <w:proofErr w:type="spellEnd"/>
            <w:r w:rsidRPr="00D81064">
              <w:rPr>
                <w:sz w:val="18"/>
                <w:szCs w:val="18"/>
                <w:lang w:val="ru-RU"/>
              </w:rPr>
              <w:t xml:space="preserve"> Telecommunications Ltd.), Лондон</w:t>
            </w:r>
          </w:p>
        </w:tc>
        <w:tc>
          <w:tcPr>
            <w:tcW w:w="993" w:type="dxa"/>
            <w:tcBorders>
              <w:top w:val="nil"/>
              <w:left w:val="nil"/>
              <w:bottom w:val="single" w:sz="4" w:space="0" w:color="auto"/>
              <w:right w:val="single" w:sz="4" w:space="0" w:color="auto"/>
            </w:tcBorders>
            <w:shd w:val="clear" w:color="auto" w:fill="FFFFFF" w:themeFill="background1"/>
            <w:noWrap/>
            <w:hideMark/>
          </w:tcPr>
          <w:p w14:paraId="7AF6C3F1" w14:textId="77777777" w:rsidR="00D63001" w:rsidRPr="00D81064" w:rsidRDefault="00D63001" w:rsidP="00782D8A">
            <w:pPr>
              <w:pStyle w:val="Tabletext"/>
              <w:jc w:val="center"/>
              <w:rPr>
                <w:sz w:val="18"/>
                <w:szCs w:val="18"/>
                <w:lang w:val="ru-RU"/>
              </w:rPr>
            </w:pPr>
            <w:proofErr w:type="gramStart"/>
            <w:r w:rsidRPr="00D81064">
              <w:rPr>
                <w:sz w:val="18"/>
                <w:szCs w:val="18"/>
                <w:lang w:val="ru-RU"/>
              </w:rPr>
              <w:t>2018−2024</w:t>
            </w:r>
            <w:proofErr w:type="gramEnd"/>
          </w:p>
        </w:tc>
        <w:tc>
          <w:tcPr>
            <w:tcW w:w="1086" w:type="dxa"/>
            <w:tcBorders>
              <w:top w:val="nil"/>
              <w:left w:val="nil"/>
              <w:bottom w:val="single" w:sz="4" w:space="0" w:color="auto"/>
              <w:right w:val="single" w:sz="4" w:space="0" w:color="auto"/>
            </w:tcBorders>
            <w:shd w:val="clear" w:color="auto" w:fill="FFFFFF" w:themeFill="background1"/>
            <w:noWrap/>
            <w:hideMark/>
          </w:tcPr>
          <w:p w14:paraId="67C7E5B1" w14:textId="77777777" w:rsidR="00D63001" w:rsidRPr="00D81064" w:rsidRDefault="00D63001" w:rsidP="00B55BD8">
            <w:pPr>
              <w:pStyle w:val="Tabletext"/>
              <w:ind w:right="57"/>
              <w:jc w:val="right"/>
              <w:rPr>
                <w:sz w:val="18"/>
                <w:szCs w:val="18"/>
                <w:lang w:val="ru-RU"/>
              </w:rPr>
            </w:pPr>
            <w:r w:rsidRPr="00D81064">
              <w:rPr>
                <w:sz w:val="18"/>
                <w:szCs w:val="18"/>
                <w:lang w:val="ru-RU"/>
              </w:rPr>
              <w:t>2 100,00</w:t>
            </w:r>
          </w:p>
        </w:tc>
        <w:tc>
          <w:tcPr>
            <w:tcW w:w="1087" w:type="dxa"/>
            <w:tcBorders>
              <w:top w:val="nil"/>
              <w:left w:val="nil"/>
              <w:bottom w:val="single" w:sz="4" w:space="0" w:color="auto"/>
              <w:right w:val="single" w:sz="4" w:space="0" w:color="auto"/>
            </w:tcBorders>
            <w:shd w:val="clear" w:color="auto" w:fill="FFFFFF" w:themeFill="background1"/>
            <w:noWrap/>
            <w:hideMark/>
          </w:tcPr>
          <w:p w14:paraId="7AC39BED" w14:textId="77777777" w:rsidR="00D63001" w:rsidRPr="00D81064" w:rsidRDefault="00D63001" w:rsidP="00B55BD8">
            <w:pPr>
              <w:pStyle w:val="Tabletext"/>
              <w:ind w:right="57"/>
              <w:jc w:val="right"/>
              <w:rPr>
                <w:sz w:val="18"/>
                <w:szCs w:val="18"/>
                <w:lang w:val="ru-RU"/>
              </w:rPr>
            </w:pPr>
            <w:r w:rsidRPr="00D81064">
              <w:rPr>
                <w:sz w:val="18"/>
                <w:szCs w:val="18"/>
                <w:lang w:val="ru-RU"/>
              </w:rPr>
              <w:t>0,00</w:t>
            </w:r>
          </w:p>
        </w:tc>
        <w:tc>
          <w:tcPr>
            <w:tcW w:w="1087" w:type="dxa"/>
            <w:tcBorders>
              <w:top w:val="nil"/>
              <w:left w:val="nil"/>
              <w:bottom w:val="single" w:sz="4" w:space="0" w:color="auto"/>
              <w:right w:val="single" w:sz="4" w:space="0" w:color="auto"/>
            </w:tcBorders>
            <w:shd w:val="clear" w:color="auto" w:fill="FFFFFF" w:themeFill="background1"/>
            <w:noWrap/>
            <w:hideMark/>
          </w:tcPr>
          <w:p w14:paraId="3D41D121" w14:textId="77777777" w:rsidR="00D63001" w:rsidRPr="00D81064" w:rsidRDefault="00D63001" w:rsidP="00B55BD8">
            <w:pPr>
              <w:pStyle w:val="Tabletext"/>
              <w:ind w:right="57"/>
              <w:jc w:val="right"/>
              <w:rPr>
                <w:sz w:val="18"/>
                <w:szCs w:val="18"/>
                <w:lang w:val="ru-RU"/>
              </w:rPr>
            </w:pPr>
            <w:r w:rsidRPr="00D81064">
              <w:rPr>
                <w:sz w:val="18"/>
                <w:szCs w:val="18"/>
                <w:lang w:val="ru-RU"/>
              </w:rPr>
              <w:t>2 100,00</w:t>
            </w:r>
          </w:p>
        </w:tc>
      </w:tr>
      <w:tr w:rsidR="00D63001" w:rsidRPr="00D81064" w14:paraId="5D27AEDD" w14:textId="77777777" w:rsidTr="00782D8A">
        <w:tc>
          <w:tcPr>
            <w:tcW w:w="1124" w:type="dxa"/>
            <w:tcBorders>
              <w:top w:val="nil"/>
              <w:left w:val="single" w:sz="4" w:space="0" w:color="auto"/>
              <w:bottom w:val="single" w:sz="4" w:space="0" w:color="auto"/>
              <w:right w:val="single" w:sz="4" w:space="0" w:color="auto"/>
            </w:tcBorders>
            <w:shd w:val="clear" w:color="auto" w:fill="FFFFFF" w:themeFill="background1"/>
          </w:tcPr>
          <w:p w14:paraId="31020E3F" w14:textId="77777777" w:rsidR="00D63001" w:rsidRPr="00D81064" w:rsidRDefault="00D63001" w:rsidP="00782D8A">
            <w:pPr>
              <w:pStyle w:val="Tabletext"/>
              <w:jc w:val="center"/>
              <w:rPr>
                <w:sz w:val="18"/>
                <w:szCs w:val="18"/>
                <w:lang w:val="ru-RU"/>
              </w:rPr>
            </w:pPr>
            <w:r w:rsidRPr="00D81064">
              <w:rPr>
                <w:sz w:val="18"/>
                <w:szCs w:val="18"/>
                <w:lang w:val="ru-RU"/>
              </w:rPr>
              <w:t>1200195690</w:t>
            </w:r>
          </w:p>
        </w:tc>
        <w:tc>
          <w:tcPr>
            <w:tcW w:w="1418" w:type="dxa"/>
            <w:tcBorders>
              <w:top w:val="nil"/>
              <w:left w:val="single" w:sz="4" w:space="0" w:color="auto"/>
              <w:bottom w:val="single" w:sz="4" w:space="0" w:color="auto"/>
              <w:right w:val="single" w:sz="4" w:space="0" w:color="auto"/>
            </w:tcBorders>
            <w:shd w:val="clear" w:color="auto" w:fill="FFFFFF" w:themeFill="background1"/>
            <w:hideMark/>
          </w:tcPr>
          <w:p w14:paraId="36E94202" w14:textId="77777777" w:rsidR="00D63001" w:rsidRPr="00D81064" w:rsidRDefault="00D63001" w:rsidP="00782D8A">
            <w:pPr>
              <w:pStyle w:val="Tabletext"/>
              <w:rPr>
                <w:sz w:val="18"/>
                <w:szCs w:val="18"/>
                <w:lang w:val="ru-RU"/>
              </w:rPr>
            </w:pPr>
            <w:r w:rsidRPr="00D81064">
              <w:rPr>
                <w:sz w:val="18"/>
                <w:szCs w:val="18"/>
                <w:lang w:val="ru-RU"/>
              </w:rPr>
              <w:t>Соединенные Штаты</w:t>
            </w:r>
          </w:p>
        </w:tc>
        <w:tc>
          <w:tcPr>
            <w:tcW w:w="2551" w:type="dxa"/>
            <w:tcBorders>
              <w:top w:val="nil"/>
              <w:left w:val="nil"/>
              <w:bottom w:val="single" w:sz="4" w:space="0" w:color="auto"/>
              <w:right w:val="single" w:sz="4" w:space="0" w:color="auto"/>
            </w:tcBorders>
            <w:shd w:val="clear" w:color="auto" w:fill="FFFFFF" w:themeFill="background1"/>
            <w:hideMark/>
          </w:tcPr>
          <w:p w14:paraId="2D960644" w14:textId="77777777" w:rsidR="00D63001" w:rsidRPr="00115736" w:rsidRDefault="00D63001" w:rsidP="00782D8A">
            <w:pPr>
              <w:pStyle w:val="Tabletext"/>
              <w:rPr>
                <w:sz w:val="18"/>
                <w:szCs w:val="18"/>
              </w:rPr>
            </w:pPr>
            <w:proofErr w:type="spellStart"/>
            <w:r w:rsidRPr="00115736">
              <w:rPr>
                <w:sz w:val="18"/>
                <w:szCs w:val="18"/>
              </w:rPr>
              <w:t>Aumovio</w:t>
            </w:r>
            <w:proofErr w:type="spellEnd"/>
            <w:r w:rsidRPr="00115736">
              <w:rPr>
                <w:sz w:val="18"/>
                <w:szCs w:val="18"/>
              </w:rPr>
              <w:t xml:space="preserve"> Systems Inc. (</w:t>
            </w:r>
            <w:r w:rsidRPr="00D81064">
              <w:rPr>
                <w:sz w:val="18"/>
                <w:szCs w:val="18"/>
                <w:lang w:val="ru-RU"/>
              </w:rPr>
              <w:t>ранее</w:t>
            </w:r>
            <w:r w:rsidRPr="00115736">
              <w:rPr>
                <w:sz w:val="18"/>
                <w:szCs w:val="18"/>
              </w:rPr>
              <w:t xml:space="preserve"> – Continental Automotive Systems Inc.), </w:t>
            </w:r>
            <w:r w:rsidRPr="00D81064">
              <w:rPr>
                <w:sz w:val="18"/>
                <w:szCs w:val="18"/>
                <w:lang w:val="ru-RU"/>
              </w:rPr>
              <w:t>Дир</w:t>
            </w:r>
            <w:r w:rsidRPr="00115736">
              <w:rPr>
                <w:sz w:val="18"/>
                <w:szCs w:val="18"/>
              </w:rPr>
              <w:t>-</w:t>
            </w:r>
            <w:r w:rsidRPr="00D81064">
              <w:rPr>
                <w:sz w:val="18"/>
                <w:szCs w:val="18"/>
                <w:lang w:val="ru-RU"/>
              </w:rPr>
              <w:t>Парк</w:t>
            </w:r>
          </w:p>
        </w:tc>
        <w:tc>
          <w:tcPr>
            <w:tcW w:w="993" w:type="dxa"/>
            <w:tcBorders>
              <w:top w:val="nil"/>
              <w:left w:val="nil"/>
              <w:bottom w:val="single" w:sz="4" w:space="0" w:color="auto"/>
              <w:right w:val="single" w:sz="4" w:space="0" w:color="auto"/>
            </w:tcBorders>
            <w:shd w:val="clear" w:color="auto" w:fill="FFFFFF" w:themeFill="background1"/>
            <w:noWrap/>
            <w:hideMark/>
          </w:tcPr>
          <w:p w14:paraId="6F7B39BD" w14:textId="77777777" w:rsidR="00D63001" w:rsidRPr="00D81064" w:rsidRDefault="00D63001" w:rsidP="00782D8A">
            <w:pPr>
              <w:pStyle w:val="Tabletext"/>
              <w:jc w:val="center"/>
              <w:rPr>
                <w:sz w:val="18"/>
                <w:szCs w:val="18"/>
                <w:lang w:val="ru-RU"/>
              </w:rPr>
            </w:pPr>
            <w:r w:rsidRPr="00D81064">
              <w:rPr>
                <w:sz w:val="18"/>
                <w:szCs w:val="18"/>
                <w:lang w:val="ru-RU"/>
              </w:rPr>
              <w:t>2020</w:t>
            </w:r>
          </w:p>
        </w:tc>
        <w:tc>
          <w:tcPr>
            <w:tcW w:w="1086" w:type="dxa"/>
            <w:tcBorders>
              <w:top w:val="nil"/>
              <w:left w:val="nil"/>
              <w:bottom w:val="single" w:sz="4" w:space="0" w:color="auto"/>
              <w:right w:val="single" w:sz="4" w:space="0" w:color="auto"/>
            </w:tcBorders>
            <w:shd w:val="clear" w:color="auto" w:fill="FFFFFF" w:themeFill="background1"/>
            <w:hideMark/>
          </w:tcPr>
          <w:p w14:paraId="6562FC19" w14:textId="77777777" w:rsidR="00D63001" w:rsidRPr="00D81064" w:rsidRDefault="00D63001" w:rsidP="00B55BD8">
            <w:pPr>
              <w:pStyle w:val="Tabletext"/>
              <w:ind w:right="57"/>
              <w:jc w:val="right"/>
              <w:rPr>
                <w:sz w:val="18"/>
                <w:szCs w:val="18"/>
                <w:lang w:val="ru-RU"/>
              </w:rPr>
            </w:pPr>
            <w:r w:rsidRPr="00D81064">
              <w:rPr>
                <w:sz w:val="18"/>
                <w:szCs w:val="18"/>
                <w:lang w:val="ru-RU"/>
              </w:rPr>
              <w:t>6 183,33</w:t>
            </w:r>
          </w:p>
        </w:tc>
        <w:tc>
          <w:tcPr>
            <w:tcW w:w="1087" w:type="dxa"/>
            <w:tcBorders>
              <w:top w:val="nil"/>
              <w:left w:val="nil"/>
              <w:bottom w:val="single" w:sz="4" w:space="0" w:color="auto"/>
              <w:right w:val="single" w:sz="4" w:space="0" w:color="auto"/>
            </w:tcBorders>
            <w:shd w:val="clear" w:color="auto" w:fill="FFFFFF" w:themeFill="background1"/>
            <w:noWrap/>
            <w:hideMark/>
          </w:tcPr>
          <w:p w14:paraId="216E2F6A" w14:textId="77777777" w:rsidR="00D63001" w:rsidRPr="00D81064" w:rsidRDefault="00D63001" w:rsidP="00B55BD8">
            <w:pPr>
              <w:pStyle w:val="Tabletext"/>
              <w:ind w:right="57"/>
              <w:jc w:val="right"/>
              <w:rPr>
                <w:sz w:val="18"/>
                <w:szCs w:val="18"/>
                <w:lang w:val="ru-RU"/>
              </w:rPr>
            </w:pPr>
            <w:r w:rsidRPr="00D81064">
              <w:rPr>
                <w:sz w:val="18"/>
                <w:szCs w:val="18"/>
                <w:lang w:val="ru-RU"/>
              </w:rPr>
              <w:t>2 091,35</w:t>
            </w:r>
          </w:p>
        </w:tc>
        <w:tc>
          <w:tcPr>
            <w:tcW w:w="1087" w:type="dxa"/>
            <w:tcBorders>
              <w:top w:val="nil"/>
              <w:left w:val="nil"/>
              <w:bottom w:val="single" w:sz="4" w:space="0" w:color="auto"/>
              <w:right w:val="single" w:sz="4" w:space="0" w:color="auto"/>
            </w:tcBorders>
            <w:shd w:val="clear" w:color="auto" w:fill="FFFFFF" w:themeFill="background1"/>
            <w:hideMark/>
          </w:tcPr>
          <w:p w14:paraId="1B1DB14E" w14:textId="77777777" w:rsidR="00D63001" w:rsidRPr="00D81064" w:rsidRDefault="00D63001" w:rsidP="00B55BD8">
            <w:pPr>
              <w:pStyle w:val="Tabletext"/>
              <w:ind w:right="57"/>
              <w:jc w:val="right"/>
              <w:rPr>
                <w:sz w:val="18"/>
                <w:szCs w:val="18"/>
                <w:lang w:val="ru-RU"/>
              </w:rPr>
            </w:pPr>
            <w:r w:rsidRPr="00D81064">
              <w:rPr>
                <w:sz w:val="18"/>
                <w:szCs w:val="18"/>
                <w:lang w:val="ru-RU"/>
              </w:rPr>
              <w:t>8 274,68</w:t>
            </w:r>
          </w:p>
        </w:tc>
      </w:tr>
      <w:tr w:rsidR="00D63001" w:rsidRPr="00D81064" w14:paraId="3011207F" w14:textId="77777777" w:rsidTr="00782D8A">
        <w:tc>
          <w:tcPr>
            <w:tcW w:w="1124" w:type="dxa"/>
            <w:tcBorders>
              <w:top w:val="nil"/>
              <w:left w:val="single" w:sz="4" w:space="0" w:color="auto"/>
              <w:bottom w:val="single" w:sz="4" w:space="0" w:color="auto"/>
              <w:right w:val="single" w:sz="4" w:space="0" w:color="auto"/>
            </w:tcBorders>
            <w:shd w:val="clear" w:color="auto" w:fill="FFFFFF" w:themeFill="background1"/>
          </w:tcPr>
          <w:p w14:paraId="566C3099" w14:textId="77777777" w:rsidR="00D63001" w:rsidRPr="00D81064" w:rsidRDefault="00D63001" w:rsidP="00782D8A">
            <w:pPr>
              <w:pStyle w:val="Tabletext"/>
              <w:jc w:val="center"/>
              <w:rPr>
                <w:sz w:val="18"/>
                <w:szCs w:val="18"/>
                <w:lang w:val="ru-RU"/>
              </w:rPr>
            </w:pPr>
            <w:r w:rsidRPr="00D81064">
              <w:rPr>
                <w:sz w:val="18"/>
                <w:szCs w:val="18"/>
                <w:lang w:val="ru-RU"/>
              </w:rPr>
              <w:t>1200114222</w:t>
            </w:r>
          </w:p>
        </w:tc>
        <w:tc>
          <w:tcPr>
            <w:tcW w:w="1418" w:type="dxa"/>
            <w:tcBorders>
              <w:top w:val="nil"/>
              <w:left w:val="single" w:sz="4" w:space="0" w:color="auto"/>
              <w:bottom w:val="single" w:sz="4" w:space="0" w:color="auto"/>
              <w:right w:val="single" w:sz="4" w:space="0" w:color="auto"/>
            </w:tcBorders>
            <w:shd w:val="clear" w:color="auto" w:fill="FFFFFF" w:themeFill="background1"/>
            <w:hideMark/>
          </w:tcPr>
          <w:p w14:paraId="0F912F08" w14:textId="77777777" w:rsidR="00D63001" w:rsidRPr="00D81064" w:rsidRDefault="00D63001" w:rsidP="00782D8A">
            <w:pPr>
              <w:pStyle w:val="Tabletext"/>
              <w:rPr>
                <w:sz w:val="18"/>
                <w:szCs w:val="18"/>
                <w:lang w:val="ru-RU"/>
              </w:rPr>
            </w:pPr>
            <w:r w:rsidRPr="00D81064">
              <w:rPr>
                <w:sz w:val="18"/>
                <w:szCs w:val="18"/>
                <w:lang w:val="ru-RU"/>
              </w:rPr>
              <w:t>Соединенные Штаты</w:t>
            </w:r>
          </w:p>
        </w:tc>
        <w:tc>
          <w:tcPr>
            <w:tcW w:w="2551" w:type="dxa"/>
            <w:tcBorders>
              <w:top w:val="nil"/>
              <w:left w:val="nil"/>
              <w:bottom w:val="single" w:sz="4" w:space="0" w:color="auto"/>
              <w:right w:val="single" w:sz="4" w:space="0" w:color="auto"/>
            </w:tcBorders>
            <w:shd w:val="clear" w:color="auto" w:fill="FFFFFF" w:themeFill="background1"/>
            <w:hideMark/>
          </w:tcPr>
          <w:p w14:paraId="4FC60A64" w14:textId="77777777" w:rsidR="00D63001" w:rsidRPr="00D81064" w:rsidRDefault="00D63001" w:rsidP="00782D8A">
            <w:pPr>
              <w:pStyle w:val="Tabletext"/>
              <w:rPr>
                <w:sz w:val="18"/>
                <w:szCs w:val="18"/>
                <w:lang w:val="ru-RU"/>
              </w:rPr>
            </w:pPr>
            <w:proofErr w:type="spellStart"/>
            <w:r w:rsidRPr="00D81064">
              <w:rPr>
                <w:sz w:val="18"/>
                <w:szCs w:val="18"/>
                <w:lang w:val="ru-RU"/>
              </w:rPr>
              <w:t>eCurrency</w:t>
            </w:r>
            <w:proofErr w:type="spellEnd"/>
            <w:r w:rsidRPr="00D81064">
              <w:rPr>
                <w:sz w:val="18"/>
                <w:szCs w:val="18"/>
                <w:lang w:val="ru-RU"/>
              </w:rPr>
              <w:t>, Окленд</w:t>
            </w:r>
          </w:p>
        </w:tc>
        <w:tc>
          <w:tcPr>
            <w:tcW w:w="993" w:type="dxa"/>
            <w:tcBorders>
              <w:top w:val="nil"/>
              <w:left w:val="nil"/>
              <w:bottom w:val="single" w:sz="4" w:space="0" w:color="auto"/>
              <w:right w:val="single" w:sz="4" w:space="0" w:color="auto"/>
            </w:tcBorders>
            <w:shd w:val="clear" w:color="auto" w:fill="FFFFFF" w:themeFill="background1"/>
            <w:noWrap/>
            <w:hideMark/>
          </w:tcPr>
          <w:p w14:paraId="7B8978EA" w14:textId="77777777" w:rsidR="00D63001" w:rsidRPr="00D81064" w:rsidRDefault="00D63001" w:rsidP="00782D8A">
            <w:pPr>
              <w:pStyle w:val="Tabletext"/>
              <w:jc w:val="center"/>
              <w:rPr>
                <w:sz w:val="18"/>
                <w:szCs w:val="18"/>
                <w:lang w:val="ru-RU"/>
              </w:rPr>
            </w:pPr>
            <w:r w:rsidRPr="00D81064">
              <w:rPr>
                <w:sz w:val="18"/>
                <w:szCs w:val="18"/>
                <w:lang w:val="ru-RU"/>
              </w:rPr>
              <w:t>2019</w:t>
            </w:r>
          </w:p>
        </w:tc>
        <w:tc>
          <w:tcPr>
            <w:tcW w:w="1086" w:type="dxa"/>
            <w:tcBorders>
              <w:top w:val="nil"/>
              <w:left w:val="nil"/>
              <w:bottom w:val="single" w:sz="4" w:space="0" w:color="auto"/>
              <w:right w:val="single" w:sz="4" w:space="0" w:color="auto"/>
            </w:tcBorders>
            <w:shd w:val="clear" w:color="auto" w:fill="FFFFFF" w:themeFill="background1"/>
            <w:noWrap/>
            <w:hideMark/>
          </w:tcPr>
          <w:p w14:paraId="63F099FF" w14:textId="77777777" w:rsidR="00D63001" w:rsidRPr="00D81064" w:rsidRDefault="00D63001" w:rsidP="00B55BD8">
            <w:pPr>
              <w:pStyle w:val="Tabletext"/>
              <w:ind w:right="57"/>
              <w:jc w:val="right"/>
              <w:rPr>
                <w:sz w:val="18"/>
                <w:szCs w:val="18"/>
                <w:lang w:val="ru-RU"/>
              </w:rPr>
            </w:pPr>
            <w:r w:rsidRPr="00D81064">
              <w:rPr>
                <w:sz w:val="18"/>
                <w:szCs w:val="18"/>
                <w:lang w:val="ru-RU"/>
              </w:rPr>
              <w:t>31 800,00</w:t>
            </w:r>
          </w:p>
        </w:tc>
        <w:tc>
          <w:tcPr>
            <w:tcW w:w="1087" w:type="dxa"/>
            <w:tcBorders>
              <w:top w:val="nil"/>
              <w:left w:val="nil"/>
              <w:bottom w:val="single" w:sz="4" w:space="0" w:color="auto"/>
              <w:right w:val="single" w:sz="4" w:space="0" w:color="auto"/>
            </w:tcBorders>
            <w:shd w:val="clear" w:color="auto" w:fill="FFFFFF" w:themeFill="background1"/>
            <w:noWrap/>
            <w:hideMark/>
          </w:tcPr>
          <w:p w14:paraId="2050C88B" w14:textId="77777777" w:rsidR="00D63001" w:rsidRPr="00D81064" w:rsidRDefault="00D63001" w:rsidP="00B55BD8">
            <w:pPr>
              <w:pStyle w:val="Tabletext"/>
              <w:ind w:right="57"/>
              <w:jc w:val="right"/>
              <w:rPr>
                <w:sz w:val="18"/>
                <w:szCs w:val="18"/>
                <w:lang w:val="ru-RU"/>
              </w:rPr>
            </w:pPr>
            <w:r w:rsidRPr="00D81064">
              <w:rPr>
                <w:sz w:val="18"/>
                <w:szCs w:val="18"/>
                <w:lang w:val="ru-RU"/>
              </w:rPr>
              <w:t>15 087,90</w:t>
            </w:r>
          </w:p>
        </w:tc>
        <w:tc>
          <w:tcPr>
            <w:tcW w:w="1087" w:type="dxa"/>
            <w:tcBorders>
              <w:top w:val="nil"/>
              <w:left w:val="nil"/>
              <w:bottom w:val="single" w:sz="4" w:space="0" w:color="auto"/>
              <w:right w:val="single" w:sz="4" w:space="0" w:color="auto"/>
            </w:tcBorders>
            <w:shd w:val="clear" w:color="auto" w:fill="FFFFFF" w:themeFill="background1"/>
            <w:hideMark/>
          </w:tcPr>
          <w:p w14:paraId="562A4E77" w14:textId="77777777" w:rsidR="00D63001" w:rsidRPr="00D81064" w:rsidRDefault="00D63001" w:rsidP="00B55BD8">
            <w:pPr>
              <w:pStyle w:val="Tabletext"/>
              <w:ind w:right="57"/>
              <w:jc w:val="right"/>
              <w:rPr>
                <w:sz w:val="18"/>
                <w:szCs w:val="18"/>
                <w:lang w:val="ru-RU"/>
              </w:rPr>
            </w:pPr>
            <w:r w:rsidRPr="00D81064">
              <w:rPr>
                <w:sz w:val="18"/>
                <w:szCs w:val="18"/>
                <w:lang w:val="ru-RU"/>
              </w:rPr>
              <w:t>46 887,90</w:t>
            </w:r>
          </w:p>
        </w:tc>
      </w:tr>
      <w:tr w:rsidR="00D63001" w:rsidRPr="00D81064" w14:paraId="585A5D7D" w14:textId="77777777" w:rsidTr="00782D8A">
        <w:tc>
          <w:tcPr>
            <w:tcW w:w="1124" w:type="dxa"/>
            <w:tcBorders>
              <w:top w:val="nil"/>
              <w:left w:val="single" w:sz="4" w:space="0" w:color="auto"/>
              <w:bottom w:val="single" w:sz="4" w:space="0" w:color="auto"/>
              <w:right w:val="single" w:sz="4" w:space="0" w:color="auto"/>
            </w:tcBorders>
            <w:shd w:val="clear" w:color="auto" w:fill="FFFFFF" w:themeFill="background1"/>
          </w:tcPr>
          <w:p w14:paraId="1C1865E1" w14:textId="77777777" w:rsidR="00D63001" w:rsidRPr="00D81064" w:rsidRDefault="00D63001" w:rsidP="00782D8A">
            <w:pPr>
              <w:pStyle w:val="Tabletext"/>
              <w:jc w:val="center"/>
              <w:rPr>
                <w:sz w:val="18"/>
                <w:szCs w:val="18"/>
                <w:lang w:val="ru-RU"/>
              </w:rPr>
            </w:pPr>
            <w:r w:rsidRPr="00D81064">
              <w:rPr>
                <w:sz w:val="18"/>
                <w:szCs w:val="18"/>
                <w:lang w:val="ru-RU"/>
              </w:rPr>
              <w:t>56563</w:t>
            </w:r>
          </w:p>
        </w:tc>
        <w:tc>
          <w:tcPr>
            <w:tcW w:w="1418" w:type="dxa"/>
            <w:tcBorders>
              <w:top w:val="nil"/>
              <w:left w:val="single" w:sz="4" w:space="0" w:color="auto"/>
              <w:bottom w:val="single" w:sz="4" w:space="0" w:color="auto"/>
              <w:right w:val="single" w:sz="4" w:space="0" w:color="auto"/>
            </w:tcBorders>
            <w:shd w:val="clear" w:color="auto" w:fill="FFFFFF" w:themeFill="background1"/>
            <w:hideMark/>
          </w:tcPr>
          <w:p w14:paraId="6F0935FD" w14:textId="77777777" w:rsidR="00D63001" w:rsidRPr="00D81064" w:rsidRDefault="00D63001" w:rsidP="00782D8A">
            <w:pPr>
              <w:pStyle w:val="Tabletext"/>
              <w:rPr>
                <w:sz w:val="18"/>
                <w:szCs w:val="18"/>
                <w:lang w:val="ru-RU"/>
              </w:rPr>
            </w:pPr>
            <w:r w:rsidRPr="00D81064">
              <w:rPr>
                <w:sz w:val="18"/>
                <w:szCs w:val="18"/>
                <w:lang w:val="ru-RU"/>
              </w:rPr>
              <w:t>Соединенные Штаты</w:t>
            </w:r>
          </w:p>
        </w:tc>
        <w:tc>
          <w:tcPr>
            <w:tcW w:w="2551" w:type="dxa"/>
            <w:tcBorders>
              <w:top w:val="nil"/>
              <w:left w:val="nil"/>
              <w:bottom w:val="single" w:sz="4" w:space="0" w:color="auto"/>
              <w:right w:val="single" w:sz="4" w:space="0" w:color="auto"/>
            </w:tcBorders>
            <w:shd w:val="clear" w:color="auto" w:fill="FFFFFF" w:themeFill="background1"/>
            <w:hideMark/>
          </w:tcPr>
          <w:p w14:paraId="4F690F2A" w14:textId="77777777" w:rsidR="00D63001" w:rsidRPr="00D81064" w:rsidRDefault="00D63001" w:rsidP="00782D8A">
            <w:pPr>
              <w:pStyle w:val="Tabletext"/>
              <w:rPr>
                <w:sz w:val="18"/>
                <w:szCs w:val="18"/>
                <w:lang w:val="ru-RU"/>
              </w:rPr>
            </w:pPr>
            <w:proofErr w:type="spellStart"/>
            <w:r w:rsidRPr="00D81064">
              <w:rPr>
                <w:sz w:val="18"/>
                <w:szCs w:val="18"/>
                <w:lang w:val="ru-RU"/>
              </w:rPr>
              <w:t>Oration</w:t>
            </w:r>
            <w:proofErr w:type="spellEnd"/>
            <w:r w:rsidRPr="00D81064">
              <w:rPr>
                <w:sz w:val="18"/>
                <w:szCs w:val="18"/>
                <w:lang w:val="ru-RU"/>
              </w:rPr>
              <w:t xml:space="preserve"> Technologies Inc, Омаха</w:t>
            </w:r>
          </w:p>
        </w:tc>
        <w:tc>
          <w:tcPr>
            <w:tcW w:w="993" w:type="dxa"/>
            <w:tcBorders>
              <w:top w:val="nil"/>
              <w:left w:val="nil"/>
              <w:bottom w:val="single" w:sz="4" w:space="0" w:color="auto"/>
              <w:right w:val="single" w:sz="4" w:space="0" w:color="auto"/>
            </w:tcBorders>
            <w:shd w:val="clear" w:color="auto" w:fill="FFFFFF" w:themeFill="background1"/>
            <w:noWrap/>
            <w:hideMark/>
          </w:tcPr>
          <w:p w14:paraId="0C779999" w14:textId="77777777" w:rsidR="00D63001" w:rsidRPr="00D81064" w:rsidRDefault="00D63001" w:rsidP="00782D8A">
            <w:pPr>
              <w:pStyle w:val="Tabletext"/>
              <w:jc w:val="center"/>
              <w:rPr>
                <w:sz w:val="18"/>
                <w:szCs w:val="18"/>
                <w:lang w:val="ru-RU"/>
              </w:rPr>
            </w:pPr>
            <w:r w:rsidRPr="00D81064">
              <w:rPr>
                <w:sz w:val="18"/>
                <w:szCs w:val="18"/>
                <w:lang w:val="ru-RU"/>
              </w:rPr>
              <w:t>2020</w:t>
            </w:r>
          </w:p>
        </w:tc>
        <w:tc>
          <w:tcPr>
            <w:tcW w:w="1086" w:type="dxa"/>
            <w:tcBorders>
              <w:top w:val="nil"/>
              <w:left w:val="nil"/>
              <w:bottom w:val="single" w:sz="4" w:space="0" w:color="auto"/>
              <w:right w:val="single" w:sz="4" w:space="0" w:color="auto"/>
            </w:tcBorders>
            <w:shd w:val="clear" w:color="auto" w:fill="FFFFFF" w:themeFill="background1"/>
            <w:noWrap/>
            <w:hideMark/>
          </w:tcPr>
          <w:p w14:paraId="634C462A" w14:textId="77777777" w:rsidR="00D63001" w:rsidRPr="00D81064" w:rsidRDefault="00D63001" w:rsidP="00B55BD8">
            <w:pPr>
              <w:pStyle w:val="Tabletext"/>
              <w:ind w:right="57"/>
              <w:jc w:val="right"/>
              <w:rPr>
                <w:sz w:val="18"/>
                <w:szCs w:val="18"/>
                <w:lang w:val="ru-RU"/>
              </w:rPr>
            </w:pPr>
            <w:r w:rsidRPr="00D81064">
              <w:rPr>
                <w:sz w:val="18"/>
                <w:szCs w:val="18"/>
                <w:lang w:val="ru-RU"/>
              </w:rPr>
              <w:t>10 600,00</w:t>
            </w:r>
          </w:p>
        </w:tc>
        <w:tc>
          <w:tcPr>
            <w:tcW w:w="1087" w:type="dxa"/>
            <w:tcBorders>
              <w:top w:val="nil"/>
              <w:left w:val="nil"/>
              <w:bottom w:val="single" w:sz="4" w:space="0" w:color="auto"/>
              <w:right w:val="single" w:sz="4" w:space="0" w:color="auto"/>
            </w:tcBorders>
            <w:shd w:val="clear" w:color="auto" w:fill="FFFFFF" w:themeFill="background1"/>
            <w:noWrap/>
            <w:hideMark/>
          </w:tcPr>
          <w:p w14:paraId="002CB352" w14:textId="77777777" w:rsidR="00D63001" w:rsidRPr="00D81064" w:rsidRDefault="00D63001" w:rsidP="00B55BD8">
            <w:pPr>
              <w:pStyle w:val="Tabletext"/>
              <w:ind w:right="57"/>
              <w:jc w:val="right"/>
              <w:rPr>
                <w:sz w:val="18"/>
                <w:szCs w:val="18"/>
                <w:lang w:val="ru-RU"/>
              </w:rPr>
            </w:pPr>
            <w:r w:rsidRPr="00D81064">
              <w:rPr>
                <w:sz w:val="18"/>
                <w:szCs w:val="18"/>
                <w:lang w:val="ru-RU"/>
              </w:rPr>
              <w:t>3 691,50</w:t>
            </w:r>
          </w:p>
        </w:tc>
        <w:tc>
          <w:tcPr>
            <w:tcW w:w="1087" w:type="dxa"/>
            <w:tcBorders>
              <w:top w:val="nil"/>
              <w:left w:val="nil"/>
              <w:bottom w:val="single" w:sz="4" w:space="0" w:color="auto"/>
              <w:right w:val="single" w:sz="4" w:space="0" w:color="auto"/>
            </w:tcBorders>
            <w:shd w:val="clear" w:color="auto" w:fill="FFFFFF" w:themeFill="background1"/>
            <w:hideMark/>
          </w:tcPr>
          <w:p w14:paraId="4DE80025" w14:textId="77777777" w:rsidR="00D63001" w:rsidRPr="00D81064" w:rsidRDefault="00D63001" w:rsidP="00B55BD8">
            <w:pPr>
              <w:pStyle w:val="Tabletext"/>
              <w:ind w:right="57"/>
              <w:jc w:val="right"/>
              <w:rPr>
                <w:sz w:val="18"/>
                <w:szCs w:val="18"/>
                <w:lang w:val="ru-RU"/>
              </w:rPr>
            </w:pPr>
            <w:r w:rsidRPr="00D81064">
              <w:rPr>
                <w:sz w:val="18"/>
                <w:szCs w:val="18"/>
                <w:lang w:val="ru-RU"/>
              </w:rPr>
              <w:t>14 291,50</w:t>
            </w:r>
          </w:p>
        </w:tc>
      </w:tr>
      <w:tr w:rsidR="00D63001" w:rsidRPr="00D81064" w14:paraId="74F260BF" w14:textId="77777777" w:rsidTr="00782D8A">
        <w:tc>
          <w:tcPr>
            <w:tcW w:w="1124" w:type="dxa"/>
            <w:tcBorders>
              <w:top w:val="nil"/>
              <w:left w:val="single" w:sz="4" w:space="0" w:color="auto"/>
              <w:bottom w:val="single" w:sz="4" w:space="0" w:color="auto"/>
              <w:right w:val="single" w:sz="4" w:space="0" w:color="auto"/>
            </w:tcBorders>
            <w:shd w:val="clear" w:color="auto" w:fill="FFFFFF" w:themeFill="background1"/>
          </w:tcPr>
          <w:p w14:paraId="1DC168AB" w14:textId="77777777" w:rsidR="00D63001" w:rsidRPr="00D81064" w:rsidRDefault="00D63001" w:rsidP="00782D8A">
            <w:pPr>
              <w:pStyle w:val="Tabletext"/>
              <w:jc w:val="center"/>
              <w:rPr>
                <w:sz w:val="18"/>
                <w:szCs w:val="18"/>
                <w:lang w:val="ru-RU"/>
              </w:rPr>
            </w:pPr>
            <w:r w:rsidRPr="00D81064">
              <w:rPr>
                <w:sz w:val="18"/>
                <w:szCs w:val="18"/>
                <w:lang w:val="ru-RU"/>
              </w:rPr>
              <w:t>57874</w:t>
            </w:r>
          </w:p>
        </w:tc>
        <w:tc>
          <w:tcPr>
            <w:tcW w:w="1418" w:type="dxa"/>
            <w:tcBorders>
              <w:top w:val="nil"/>
              <w:left w:val="single" w:sz="4" w:space="0" w:color="auto"/>
              <w:bottom w:val="single" w:sz="4" w:space="0" w:color="auto"/>
              <w:right w:val="single" w:sz="4" w:space="0" w:color="auto"/>
            </w:tcBorders>
            <w:shd w:val="clear" w:color="auto" w:fill="FFFFFF" w:themeFill="background1"/>
            <w:hideMark/>
          </w:tcPr>
          <w:p w14:paraId="1FD91CF3" w14:textId="77777777" w:rsidR="00D63001" w:rsidRPr="00D81064" w:rsidRDefault="00D63001" w:rsidP="00782D8A">
            <w:pPr>
              <w:pStyle w:val="Tabletext"/>
              <w:rPr>
                <w:sz w:val="18"/>
                <w:szCs w:val="18"/>
                <w:lang w:val="ru-RU"/>
              </w:rPr>
            </w:pPr>
            <w:r w:rsidRPr="00D81064">
              <w:rPr>
                <w:sz w:val="18"/>
                <w:szCs w:val="18"/>
                <w:lang w:val="ru-RU"/>
              </w:rPr>
              <w:t>Соединенные Штаты</w:t>
            </w:r>
          </w:p>
        </w:tc>
        <w:tc>
          <w:tcPr>
            <w:tcW w:w="2551" w:type="dxa"/>
            <w:tcBorders>
              <w:top w:val="nil"/>
              <w:left w:val="nil"/>
              <w:bottom w:val="single" w:sz="4" w:space="0" w:color="auto"/>
              <w:right w:val="single" w:sz="4" w:space="0" w:color="auto"/>
            </w:tcBorders>
            <w:shd w:val="clear" w:color="auto" w:fill="FFFFFF" w:themeFill="background1"/>
            <w:hideMark/>
          </w:tcPr>
          <w:p w14:paraId="67384BED" w14:textId="77777777" w:rsidR="00D63001" w:rsidRPr="00115736" w:rsidRDefault="00D63001" w:rsidP="00782D8A">
            <w:pPr>
              <w:pStyle w:val="Tabletext"/>
              <w:rPr>
                <w:sz w:val="18"/>
                <w:szCs w:val="18"/>
              </w:rPr>
            </w:pPr>
            <w:r w:rsidRPr="00115736">
              <w:rPr>
                <w:sz w:val="18"/>
                <w:szCs w:val="18"/>
              </w:rPr>
              <w:t xml:space="preserve">Space Systems Loral, </w:t>
            </w:r>
            <w:r w:rsidRPr="00D81064">
              <w:rPr>
                <w:sz w:val="18"/>
                <w:szCs w:val="18"/>
                <w:lang w:val="ru-RU"/>
              </w:rPr>
              <w:t>Пало</w:t>
            </w:r>
            <w:r w:rsidRPr="00115736">
              <w:rPr>
                <w:sz w:val="18"/>
                <w:szCs w:val="18"/>
              </w:rPr>
              <w:t>-</w:t>
            </w:r>
            <w:proofErr w:type="spellStart"/>
            <w:r w:rsidRPr="00D81064">
              <w:rPr>
                <w:sz w:val="18"/>
                <w:szCs w:val="18"/>
                <w:lang w:val="ru-RU"/>
              </w:rPr>
              <w:t>Алто</w:t>
            </w:r>
            <w:proofErr w:type="spellEnd"/>
          </w:p>
        </w:tc>
        <w:tc>
          <w:tcPr>
            <w:tcW w:w="993" w:type="dxa"/>
            <w:tcBorders>
              <w:top w:val="nil"/>
              <w:left w:val="nil"/>
              <w:bottom w:val="single" w:sz="4" w:space="0" w:color="auto"/>
              <w:right w:val="single" w:sz="4" w:space="0" w:color="auto"/>
            </w:tcBorders>
            <w:shd w:val="clear" w:color="auto" w:fill="FFFFFF" w:themeFill="background1"/>
            <w:noWrap/>
            <w:hideMark/>
          </w:tcPr>
          <w:p w14:paraId="75C59F08" w14:textId="77777777" w:rsidR="00D63001" w:rsidRPr="00D81064" w:rsidRDefault="00D63001" w:rsidP="00782D8A">
            <w:pPr>
              <w:pStyle w:val="Tabletext"/>
              <w:jc w:val="center"/>
              <w:rPr>
                <w:sz w:val="18"/>
                <w:szCs w:val="18"/>
                <w:lang w:val="ru-RU"/>
              </w:rPr>
            </w:pPr>
            <w:r w:rsidRPr="00D81064">
              <w:rPr>
                <w:sz w:val="18"/>
                <w:szCs w:val="18"/>
                <w:lang w:val="ru-RU"/>
              </w:rPr>
              <w:t>2019</w:t>
            </w:r>
          </w:p>
        </w:tc>
        <w:tc>
          <w:tcPr>
            <w:tcW w:w="1086" w:type="dxa"/>
            <w:tcBorders>
              <w:top w:val="nil"/>
              <w:left w:val="nil"/>
              <w:bottom w:val="single" w:sz="4" w:space="0" w:color="auto"/>
              <w:right w:val="single" w:sz="4" w:space="0" w:color="auto"/>
            </w:tcBorders>
            <w:shd w:val="clear" w:color="auto" w:fill="FFFFFF" w:themeFill="background1"/>
            <w:noWrap/>
            <w:hideMark/>
          </w:tcPr>
          <w:p w14:paraId="3972F13D" w14:textId="77777777" w:rsidR="00D63001" w:rsidRPr="00D81064" w:rsidRDefault="00D63001" w:rsidP="00B55BD8">
            <w:pPr>
              <w:pStyle w:val="Tabletext"/>
              <w:ind w:right="57"/>
              <w:jc w:val="right"/>
              <w:rPr>
                <w:sz w:val="18"/>
                <w:szCs w:val="18"/>
                <w:lang w:val="ru-RU"/>
              </w:rPr>
            </w:pPr>
            <w:r w:rsidRPr="00D81064">
              <w:rPr>
                <w:sz w:val="18"/>
                <w:szCs w:val="18"/>
                <w:lang w:val="ru-RU"/>
              </w:rPr>
              <w:t>10 600,00</w:t>
            </w:r>
          </w:p>
        </w:tc>
        <w:tc>
          <w:tcPr>
            <w:tcW w:w="1087" w:type="dxa"/>
            <w:tcBorders>
              <w:top w:val="nil"/>
              <w:left w:val="nil"/>
              <w:bottom w:val="single" w:sz="4" w:space="0" w:color="auto"/>
              <w:right w:val="single" w:sz="4" w:space="0" w:color="auto"/>
            </w:tcBorders>
            <w:shd w:val="clear" w:color="auto" w:fill="FFFFFF" w:themeFill="background1"/>
            <w:noWrap/>
            <w:hideMark/>
          </w:tcPr>
          <w:p w14:paraId="099D8A67" w14:textId="77777777" w:rsidR="00D63001" w:rsidRPr="00D81064" w:rsidRDefault="00D63001" w:rsidP="00B55BD8">
            <w:pPr>
              <w:pStyle w:val="Tabletext"/>
              <w:ind w:right="57"/>
              <w:jc w:val="right"/>
              <w:rPr>
                <w:sz w:val="18"/>
                <w:szCs w:val="18"/>
                <w:lang w:val="ru-RU"/>
              </w:rPr>
            </w:pPr>
            <w:r w:rsidRPr="00D81064">
              <w:rPr>
                <w:sz w:val="18"/>
                <w:szCs w:val="18"/>
                <w:lang w:val="ru-RU"/>
              </w:rPr>
              <w:t>5 000,20</w:t>
            </w:r>
          </w:p>
        </w:tc>
        <w:tc>
          <w:tcPr>
            <w:tcW w:w="1087" w:type="dxa"/>
            <w:tcBorders>
              <w:top w:val="nil"/>
              <w:left w:val="nil"/>
              <w:bottom w:val="single" w:sz="4" w:space="0" w:color="auto"/>
              <w:right w:val="single" w:sz="4" w:space="0" w:color="auto"/>
            </w:tcBorders>
            <w:shd w:val="clear" w:color="auto" w:fill="FFFFFF" w:themeFill="background1"/>
            <w:hideMark/>
          </w:tcPr>
          <w:p w14:paraId="7BD351B4" w14:textId="77777777" w:rsidR="00D63001" w:rsidRPr="00D81064" w:rsidRDefault="00D63001" w:rsidP="00B55BD8">
            <w:pPr>
              <w:pStyle w:val="Tabletext"/>
              <w:ind w:right="57"/>
              <w:jc w:val="right"/>
              <w:rPr>
                <w:sz w:val="18"/>
                <w:szCs w:val="18"/>
                <w:lang w:val="ru-RU"/>
              </w:rPr>
            </w:pPr>
            <w:r w:rsidRPr="00D81064">
              <w:rPr>
                <w:sz w:val="18"/>
                <w:szCs w:val="18"/>
                <w:lang w:val="ru-RU"/>
              </w:rPr>
              <w:t>15 600,20</w:t>
            </w:r>
          </w:p>
        </w:tc>
      </w:tr>
      <w:tr w:rsidR="00D63001" w:rsidRPr="00D81064" w14:paraId="4A4BA684" w14:textId="77777777" w:rsidTr="00782D8A">
        <w:tc>
          <w:tcPr>
            <w:tcW w:w="1124" w:type="dxa"/>
            <w:tcBorders>
              <w:top w:val="nil"/>
              <w:left w:val="single" w:sz="4" w:space="0" w:color="auto"/>
              <w:bottom w:val="single" w:sz="4" w:space="0" w:color="auto"/>
              <w:right w:val="single" w:sz="4" w:space="0" w:color="auto"/>
            </w:tcBorders>
            <w:shd w:val="clear" w:color="auto" w:fill="FFFFFF" w:themeFill="background1"/>
          </w:tcPr>
          <w:p w14:paraId="1176710E" w14:textId="77777777" w:rsidR="00D63001" w:rsidRPr="00D81064" w:rsidRDefault="00D63001" w:rsidP="00782D8A">
            <w:pPr>
              <w:pStyle w:val="Tabletext"/>
              <w:jc w:val="center"/>
              <w:rPr>
                <w:sz w:val="18"/>
                <w:szCs w:val="18"/>
                <w:lang w:val="ru-RU"/>
              </w:rPr>
            </w:pPr>
            <w:r w:rsidRPr="00D81064">
              <w:rPr>
                <w:sz w:val="18"/>
                <w:szCs w:val="18"/>
                <w:lang w:val="ru-RU"/>
              </w:rPr>
              <w:t>59145</w:t>
            </w:r>
          </w:p>
        </w:tc>
        <w:tc>
          <w:tcPr>
            <w:tcW w:w="1418" w:type="dxa"/>
            <w:tcBorders>
              <w:top w:val="nil"/>
              <w:left w:val="single" w:sz="4" w:space="0" w:color="auto"/>
              <w:bottom w:val="single" w:sz="4" w:space="0" w:color="auto"/>
              <w:right w:val="single" w:sz="4" w:space="0" w:color="auto"/>
            </w:tcBorders>
            <w:shd w:val="clear" w:color="auto" w:fill="FFFFFF" w:themeFill="background1"/>
            <w:hideMark/>
          </w:tcPr>
          <w:p w14:paraId="07DBEEB2" w14:textId="77777777" w:rsidR="00D63001" w:rsidRPr="00D81064" w:rsidRDefault="00D63001" w:rsidP="00782D8A">
            <w:pPr>
              <w:pStyle w:val="Tabletext"/>
              <w:rPr>
                <w:sz w:val="18"/>
                <w:szCs w:val="18"/>
                <w:lang w:val="ru-RU"/>
              </w:rPr>
            </w:pPr>
            <w:r w:rsidRPr="00D81064">
              <w:rPr>
                <w:sz w:val="18"/>
                <w:szCs w:val="18"/>
                <w:lang w:val="ru-RU"/>
              </w:rPr>
              <w:t>Соединенные Штаты</w:t>
            </w:r>
          </w:p>
        </w:tc>
        <w:tc>
          <w:tcPr>
            <w:tcW w:w="2551" w:type="dxa"/>
            <w:tcBorders>
              <w:top w:val="nil"/>
              <w:left w:val="nil"/>
              <w:bottom w:val="single" w:sz="4" w:space="0" w:color="auto"/>
              <w:right w:val="single" w:sz="4" w:space="0" w:color="auto"/>
            </w:tcBorders>
            <w:shd w:val="clear" w:color="auto" w:fill="FFFFFF" w:themeFill="background1"/>
            <w:hideMark/>
          </w:tcPr>
          <w:p w14:paraId="1B60D684" w14:textId="77777777" w:rsidR="00D63001" w:rsidRPr="00D81064" w:rsidRDefault="00D63001" w:rsidP="00782D8A">
            <w:pPr>
              <w:pStyle w:val="Tabletext"/>
              <w:rPr>
                <w:sz w:val="18"/>
                <w:szCs w:val="18"/>
                <w:lang w:val="ru-RU"/>
              </w:rPr>
            </w:pPr>
            <w:proofErr w:type="spellStart"/>
            <w:r w:rsidRPr="00D81064">
              <w:rPr>
                <w:sz w:val="18"/>
                <w:szCs w:val="18"/>
                <w:lang w:val="ru-RU"/>
              </w:rPr>
              <w:t>Tektronix</w:t>
            </w:r>
            <w:proofErr w:type="spellEnd"/>
            <w:r w:rsidRPr="00D81064">
              <w:rPr>
                <w:sz w:val="18"/>
                <w:szCs w:val="18"/>
                <w:lang w:val="ru-RU"/>
              </w:rPr>
              <w:t xml:space="preserve"> Inc, Бивертон</w:t>
            </w:r>
          </w:p>
        </w:tc>
        <w:tc>
          <w:tcPr>
            <w:tcW w:w="993" w:type="dxa"/>
            <w:tcBorders>
              <w:top w:val="nil"/>
              <w:left w:val="nil"/>
              <w:bottom w:val="single" w:sz="4" w:space="0" w:color="auto"/>
              <w:right w:val="single" w:sz="4" w:space="0" w:color="auto"/>
            </w:tcBorders>
            <w:shd w:val="clear" w:color="auto" w:fill="FFFFFF" w:themeFill="background1"/>
            <w:noWrap/>
            <w:hideMark/>
          </w:tcPr>
          <w:p w14:paraId="6D12541A" w14:textId="77777777" w:rsidR="00D63001" w:rsidRPr="00D81064" w:rsidRDefault="00D63001" w:rsidP="00782D8A">
            <w:pPr>
              <w:pStyle w:val="Tabletext"/>
              <w:jc w:val="center"/>
              <w:rPr>
                <w:sz w:val="18"/>
                <w:szCs w:val="18"/>
                <w:lang w:val="ru-RU"/>
              </w:rPr>
            </w:pPr>
            <w:proofErr w:type="gramStart"/>
            <w:r w:rsidRPr="00D81064">
              <w:rPr>
                <w:sz w:val="18"/>
                <w:szCs w:val="18"/>
                <w:lang w:val="ru-RU"/>
              </w:rPr>
              <w:t>2017−2019</w:t>
            </w:r>
            <w:proofErr w:type="gramEnd"/>
          </w:p>
        </w:tc>
        <w:tc>
          <w:tcPr>
            <w:tcW w:w="1086" w:type="dxa"/>
            <w:tcBorders>
              <w:top w:val="nil"/>
              <w:left w:val="nil"/>
              <w:bottom w:val="single" w:sz="4" w:space="0" w:color="auto"/>
              <w:right w:val="single" w:sz="4" w:space="0" w:color="auto"/>
            </w:tcBorders>
            <w:shd w:val="clear" w:color="auto" w:fill="FFFFFF" w:themeFill="background1"/>
            <w:noWrap/>
            <w:hideMark/>
          </w:tcPr>
          <w:p w14:paraId="73315497" w14:textId="77777777" w:rsidR="00D63001" w:rsidRPr="00D81064" w:rsidRDefault="00D63001" w:rsidP="00B55BD8">
            <w:pPr>
              <w:pStyle w:val="Tabletext"/>
              <w:ind w:right="57"/>
              <w:jc w:val="right"/>
              <w:rPr>
                <w:sz w:val="18"/>
                <w:szCs w:val="18"/>
                <w:lang w:val="ru-RU"/>
              </w:rPr>
            </w:pPr>
            <w:r w:rsidRPr="00D81064">
              <w:rPr>
                <w:sz w:val="18"/>
                <w:szCs w:val="18"/>
                <w:lang w:val="ru-RU"/>
              </w:rPr>
              <w:t>10 600,00</w:t>
            </w:r>
          </w:p>
        </w:tc>
        <w:tc>
          <w:tcPr>
            <w:tcW w:w="1087" w:type="dxa"/>
            <w:tcBorders>
              <w:top w:val="nil"/>
              <w:left w:val="nil"/>
              <w:bottom w:val="single" w:sz="4" w:space="0" w:color="auto"/>
              <w:right w:val="single" w:sz="4" w:space="0" w:color="auto"/>
            </w:tcBorders>
            <w:shd w:val="clear" w:color="auto" w:fill="FFFFFF" w:themeFill="background1"/>
            <w:noWrap/>
            <w:hideMark/>
          </w:tcPr>
          <w:p w14:paraId="46871B78" w14:textId="77777777" w:rsidR="00D63001" w:rsidRPr="00D81064" w:rsidRDefault="00D63001" w:rsidP="00B55BD8">
            <w:pPr>
              <w:pStyle w:val="Tabletext"/>
              <w:ind w:right="57"/>
              <w:jc w:val="right"/>
              <w:rPr>
                <w:sz w:val="18"/>
                <w:szCs w:val="18"/>
                <w:lang w:val="ru-RU"/>
              </w:rPr>
            </w:pPr>
            <w:r w:rsidRPr="00D81064">
              <w:rPr>
                <w:sz w:val="18"/>
                <w:szCs w:val="18"/>
                <w:lang w:val="ru-RU"/>
              </w:rPr>
              <w:t>5 623,80</w:t>
            </w:r>
          </w:p>
        </w:tc>
        <w:tc>
          <w:tcPr>
            <w:tcW w:w="1087" w:type="dxa"/>
            <w:tcBorders>
              <w:top w:val="nil"/>
              <w:left w:val="nil"/>
              <w:bottom w:val="single" w:sz="4" w:space="0" w:color="auto"/>
              <w:right w:val="single" w:sz="4" w:space="0" w:color="auto"/>
            </w:tcBorders>
            <w:shd w:val="clear" w:color="auto" w:fill="FFFFFF" w:themeFill="background1"/>
            <w:hideMark/>
          </w:tcPr>
          <w:p w14:paraId="483592C0" w14:textId="77777777" w:rsidR="00D63001" w:rsidRPr="00D81064" w:rsidRDefault="00D63001" w:rsidP="00B55BD8">
            <w:pPr>
              <w:pStyle w:val="Tabletext"/>
              <w:ind w:right="57"/>
              <w:jc w:val="right"/>
              <w:rPr>
                <w:sz w:val="18"/>
                <w:szCs w:val="18"/>
                <w:lang w:val="ru-RU"/>
              </w:rPr>
            </w:pPr>
            <w:r w:rsidRPr="00D81064">
              <w:rPr>
                <w:sz w:val="18"/>
                <w:szCs w:val="18"/>
                <w:lang w:val="ru-RU"/>
              </w:rPr>
              <w:t>16 223,80</w:t>
            </w:r>
          </w:p>
        </w:tc>
      </w:tr>
      <w:tr w:rsidR="00D63001" w:rsidRPr="00D81064" w14:paraId="565606AD" w14:textId="77777777" w:rsidTr="00782D8A">
        <w:tc>
          <w:tcPr>
            <w:tcW w:w="1124" w:type="dxa"/>
            <w:tcBorders>
              <w:top w:val="nil"/>
              <w:left w:val="single" w:sz="4" w:space="0" w:color="auto"/>
              <w:bottom w:val="single" w:sz="4" w:space="0" w:color="auto"/>
              <w:right w:val="single" w:sz="4" w:space="0" w:color="auto"/>
            </w:tcBorders>
            <w:shd w:val="clear" w:color="auto" w:fill="FFFFFF" w:themeFill="background1"/>
          </w:tcPr>
          <w:p w14:paraId="533FFCD4" w14:textId="77777777" w:rsidR="00D63001" w:rsidRPr="00D81064" w:rsidRDefault="00D63001" w:rsidP="00782D8A">
            <w:pPr>
              <w:pStyle w:val="Tabletext"/>
              <w:jc w:val="center"/>
              <w:rPr>
                <w:sz w:val="18"/>
                <w:szCs w:val="18"/>
                <w:lang w:val="ru-RU"/>
              </w:rPr>
            </w:pPr>
            <w:r w:rsidRPr="00D81064">
              <w:rPr>
                <w:sz w:val="18"/>
                <w:szCs w:val="18"/>
                <w:lang w:val="ru-RU"/>
              </w:rPr>
              <w:t>1200173056</w:t>
            </w:r>
          </w:p>
        </w:tc>
        <w:tc>
          <w:tcPr>
            <w:tcW w:w="1418" w:type="dxa"/>
            <w:tcBorders>
              <w:top w:val="nil"/>
              <w:left w:val="single" w:sz="4" w:space="0" w:color="auto"/>
              <w:bottom w:val="single" w:sz="4" w:space="0" w:color="auto"/>
              <w:right w:val="single" w:sz="4" w:space="0" w:color="auto"/>
            </w:tcBorders>
            <w:shd w:val="clear" w:color="auto" w:fill="FFFFFF" w:themeFill="background1"/>
            <w:hideMark/>
          </w:tcPr>
          <w:p w14:paraId="58D339EA" w14:textId="77777777" w:rsidR="00D63001" w:rsidRPr="00D81064" w:rsidRDefault="00D63001" w:rsidP="00782D8A">
            <w:pPr>
              <w:pStyle w:val="Tabletext"/>
              <w:rPr>
                <w:sz w:val="18"/>
                <w:szCs w:val="18"/>
                <w:lang w:val="ru-RU"/>
              </w:rPr>
            </w:pPr>
            <w:r w:rsidRPr="00D81064">
              <w:rPr>
                <w:sz w:val="18"/>
                <w:szCs w:val="18"/>
                <w:lang w:val="ru-RU"/>
              </w:rPr>
              <w:t>Соединенные Штаты</w:t>
            </w:r>
          </w:p>
        </w:tc>
        <w:tc>
          <w:tcPr>
            <w:tcW w:w="2551" w:type="dxa"/>
            <w:tcBorders>
              <w:top w:val="nil"/>
              <w:left w:val="nil"/>
              <w:bottom w:val="single" w:sz="4" w:space="0" w:color="auto"/>
              <w:right w:val="single" w:sz="4" w:space="0" w:color="auto"/>
            </w:tcBorders>
            <w:shd w:val="clear" w:color="auto" w:fill="FFFFFF" w:themeFill="background1"/>
            <w:hideMark/>
          </w:tcPr>
          <w:p w14:paraId="3A61AB3D" w14:textId="77777777" w:rsidR="00D63001" w:rsidRPr="00115736" w:rsidRDefault="00D63001" w:rsidP="00782D8A">
            <w:pPr>
              <w:pStyle w:val="Tabletext"/>
              <w:rPr>
                <w:sz w:val="18"/>
                <w:szCs w:val="18"/>
              </w:rPr>
            </w:pPr>
            <w:r w:rsidRPr="00115736">
              <w:rPr>
                <w:sz w:val="18"/>
                <w:szCs w:val="18"/>
              </w:rPr>
              <w:t xml:space="preserve">Toda Network Corporation, </w:t>
            </w:r>
            <w:r w:rsidRPr="00D81064">
              <w:rPr>
                <w:sz w:val="18"/>
                <w:szCs w:val="18"/>
                <w:lang w:val="ru-RU"/>
              </w:rPr>
              <w:t>Сан</w:t>
            </w:r>
            <w:r w:rsidRPr="00115736">
              <w:rPr>
                <w:rFonts w:ascii="Cambria Math" w:hAnsi="Cambria Math"/>
                <w:sz w:val="18"/>
                <w:szCs w:val="18"/>
              </w:rPr>
              <w:t>‑</w:t>
            </w:r>
            <w:r w:rsidRPr="00D81064">
              <w:rPr>
                <w:sz w:val="18"/>
                <w:szCs w:val="18"/>
                <w:lang w:val="ru-RU"/>
              </w:rPr>
              <w:t>Франциско</w:t>
            </w:r>
          </w:p>
        </w:tc>
        <w:tc>
          <w:tcPr>
            <w:tcW w:w="993" w:type="dxa"/>
            <w:tcBorders>
              <w:top w:val="nil"/>
              <w:left w:val="nil"/>
              <w:bottom w:val="single" w:sz="4" w:space="0" w:color="auto"/>
              <w:right w:val="single" w:sz="4" w:space="0" w:color="auto"/>
            </w:tcBorders>
            <w:shd w:val="clear" w:color="auto" w:fill="FFFFFF" w:themeFill="background1"/>
            <w:noWrap/>
            <w:hideMark/>
          </w:tcPr>
          <w:p w14:paraId="4FF305D8" w14:textId="77777777" w:rsidR="00D63001" w:rsidRPr="00D81064" w:rsidRDefault="00D63001" w:rsidP="00782D8A">
            <w:pPr>
              <w:pStyle w:val="Tabletext"/>
              <w:jc w:val="center"/>
              <w:rPr>
                <w:sz w:val="18"/>
                <w:szCs w:val="18"/>
                <w:lang w:val="ru-RU"/>
              </w:rPr>
            </w:pPr>
            <w:r w:rsidRPr="00D81064">
              <w:rPr>
                <w:sz w:val="18"/>
                <w:szCs w:val="18"/>
                <w:lang w:val="ru-RU"/>
              </w:rPr>
              <w:t>2019</w:t>
            </w:r>
          </w:p>
        </w:tc>
        <w:tc>
          <w:tcPr>
            <w:tcW w:w="1086" w:type="dxa"/>
            <w:tcBorders>
              <w:top w:val="nil"/>
              <w:left w:val="nil"/>
              <w:bottom w:val="single" w:sz="4" w:space="0" w:color="auto"/>
              <w:right w:val="single" w:sz="4" w:space="0" w:color="auto"/>
            </w:tcBorders>
            <w:shd w:val="clear" w:color="auto" w:fill="FFFFFF" w:themeFill="background1"/>
            <w:noWrap/>
            <w:hideMark/>
          </w:tcPr>
          <w:p w14:paraId="393422A2" w14:textId="77777777" w:rsidR="00D63001" w:rsidRPr="00D81064" w:rsidRDefault="00D63001" w:rsidP="00B55BD8">
            <w:pPr>
              <w:pStyle w:val="Tabletext"/>
              <w:ind w:right="57"/>
              <w:jc w:val="right"/>
              <w:rPr>
                <w:sz w:val="18"/>
                <w:szCs w:val="18"/>
                <w:lang w:val="ru-RU"/>
              </w:rPr>
            </w:pPr>
            <w:r w:rsidRPr="00D81064">
              <w:rPr>
                <w:sz w:val="18"/>
                <w:szCs w:val="18"/>
                <w:lang w:val="ru-RU"/>
              </w:rPr>
              <w:t>5 300,00</w:t>
            </w:r>
          </w:p>
        </w:tc>
        <w:tc>
          <w:tcPr>
            <w:tcW w:w="1087" w:type="dxa"/>
            <w:tcBorders>
              <w:top w:val="nil"/>
              <w:left w:val="nil"/>
              <w:bottom w:val="single" w:sz="4" w:space="0" w:color="auto"/>
              <w:right w:val="single" w:sz="4" w:space="0" w:color="auto"/>
            </w:tcBorders>
            <w:shd w:val="clear" w:color="auto" w:fill="FFFFFF" w:themeFill="background1"/>
            <w:noWrap/>
            <w:hideMark/>
          </w:tcPr>
          <w:p w14:paraId="202181A9" w14:textId="77777777" w:rsidR="00D63001" w:rsidRPr="00D81064" w:rsidRDefault="00D63001" w:rsidP="00B55BD8">
            <w:pPr>
              <w:pStyle w:val="Tabletext"/>
              <w:ind w:right="57"/>
              <w:jc w:val="right"/>
              <w:rPr>
                <w:sz w:val="18"/>
                <w:szCs w:val="18"/>
                <w:lang w:val="ru-RU"/>
              </w:rPr>
            </w:pPr>
            <w:r w:rsidRPr="00D81064">
              <w:rPr>
                <w:sz w:val="18"/>
                <w:szCs w:val="18"/>
                <w:lang w:val="ru-RU"/>
              </w:rPr>
              <w:t>2 500,05</w:t>
            </w:r>
          </w:p>
        </w:tc>
        <w:tc>
          <w:tcPr>
            <w:tcW w:w="1087" w:type="dxa"/>
            <w:tcBorders>
              <w:top w:val="nil"/>
              <w:left w:val="nil"/>
              <w:bottom w:val="single" w:sz="4" w:space="0" w:color="auto"/>
              <w:right w:val="single" w:sz="4" w:space="0" w:color="auto"/>
            </w:tcBorders>
            <w:shd w:val="clear" w:color="auto" w:fill="FFFFFF" w:themeFill="background1"/>
            <w:hideMark/>
          </w:tcPr>
          <w:p w14:paraId="4077FDF2" w14:textId="77777777" w:rsidR="00D63001" w:rsidRPr="00D81064" w:rsidRDefault="00D63001" w:rsidP="00B55BD8">
            <w:pPr>
              <w:pStyle w:val="Tabletext"/>
              <w:ind w:right="57"/>
              <w:jc w:val="right"/>
              <w:rPr>
                <w:sz w:val="18"/>
                <w:szCs w:val="18"/>
                <w:lang w:val="ru-RU"/>
              </w:rPr>
            </w:pPr>
            <w:r w:rsidRPr="00D81064">
              <w:rPr>
                <w:sz w:val="18"/>
                <w:szCs w:val="18"/>
                <w:lang w:val="ru-RU"/>
              </w:rPr>
              <w:t>7 800,05</w:t>
            </w:r>
          </w:p>
        </w:tc>
      </w:tr>
      <w:tr w:rsidR="00D63001" w:rsidRPr="00D81064" w14:paraId="678A9C8D" w14:textId="77777777" w:rsidTr="00782D8A">
        <w:tc>
          <w:tcPr>
            <w:tcW w:w="1124" w:type="dxa"/>
            <w:tcBorders>
              <w:top w:val="nil"/>
              <w:left w:val="single" w:sz="4" w:space="0" w:color="auto"/>
              <w:bottom w:val="single" w:sz="4" w:space="0" w:color="auto"/>
              <w:right w:val="single" w:sz="4" w:space="0" w:color="auto"/>
            </w:tcBorders>
            <w:shd w:val="clear" w:color="auto" w:fill="FFFFFF" w:themeFill="background1"/>
          </w:tcPr>
          <w:p w14:paraId="3D4B0BEA" w14:textId="77777777" w:rsidR="00D63001" w:rsidRPr="00D81064" w:rsidRDefault="00D63001" w:rsidP="00782D8A">
            <w:pPr>
              <w:pStyle w:val="Tabletext"/>
              <w:jc w:val="center"/>
              <w:rPr>
                <w:sz w:val="18"/>
                <w:szCs w:val="18"/>
                <w:lang w:val="ru-RU"/>
              </w:rPr>
            </w:pPr>
            <w:r w:rsidRPr="00D81064">
              <w:rPr>
                <w:sz w:val="18"/>
                <w:szCs w:val="18"/>
                <w:lang w:val="ru-RU"/>
              </w:rPr>
              <w:t>4710</w:t>
            </w:r>
          </w:p>
        </w:tc>
        <w:tc>
          <w:tcPr>
            <w:tcW w:w="1418" w:type="dxa"/>
            <w:tcBorders>
              <w:top w:val="nil"/>
              <w:left w:val="single" w:sz="4" w:space="0" w:color="auto"/>
              <w:bottom w:val="single" w:sz="4" w:space="0" w:color="auto"/>
              <w:right w:val="single" w:sz="4" w:space="0" w:color="auto"/>
            </w:tcBorders>
            <w:shd w:val="clear" w:color="auto" w:fill="FFFFFF" w:themeFill="background1"/>
            <w:hideMark/>
          </w:tcPr>
          <w:p w14:paraId="0314ED86" w14:textId="77777777" w:rsidR="00D63001" w:rsidRPr="00D81064" w:rsidRDefault="00D63001" w:rsidP="00782D8A">
            <w:pPr>
              <w:pStyle w:val="Tabletext"/>
              <w:rPr>
                <w:sz w:val="18"/>
                <w:szCs w:val="18"/>
                <w:lang w:val="ru-RU"/>
              </w:rPr>
            </w:pPr>
            <w:r w:rsidRPr="00D81064">
              <w:rPr>
                <w:sz w:val="18"/>
                <w:szCs w:val="18"/>
                <w:lang w:val="ru-RU"/>
              </w:rPr>
              <w:t>Венесуэла</w:t>
            </w:r>
          </w:p>
        </w:tc>
        <w:tc>
          <w:tcPr>
            <w:tcW w:w="2551" w:type="dxa"/>
            <w:tcBorders>
              <w:top w:val="nil"/>
              <w:left w:val="nil"/>
              <w:bottom w:val="single" w:sz="4" w:space="0" w:color="auto"/>
              <w:right w:val="single" w:sz="4" w:space="0" w:color="auto"/>
            </w:tcBorders>
            <w:shd w:val="clear" w:color="auto" w:fill="FFFFFF" w:themeFill="background1"/>
            <w:hideMark/>
          </w:tcPr>
          <w:p w14:paraId="54E8D52A" w14:textId="77777777" w:rsidR="00D63001" w:rsidRPr="00D81064" w:rsidRDefault="00D63001" w:rsidP="00782D8A">
            <w:pPr>
              <w:pStyle w:val="Tabletext"/>
              <w:rPr>
                <w:sz w:val="18"/>
                <w:szCs w:val="18"/>
                <w:lang w:val="ru-RU"/>
              </w:rPr>
            </w:pPr>
            <w:r w:rsidRPr="00D81064">
              <w:rPr>
                <w:sz w:val="18"/>
                <w:szCs w:val="18"/>
                <w:lang w:val="ru-RU"/>
              </w:rPr>
              <w:t>CANTV, Каракас</w:t>
            </w:r>
          </w:p>
        </w:tc>
        <w:tc>
          <w:tcPr>
            <w:tcW w:w="993" w:type="dxa"/>
            <w:tcBorders>
              <w:top w:val="nil"/>
              <w:left w:val="nil"/>
              <w:bottom w:val="single" w:sz="4" w:space="0" w:color="auto"/>
              <w:right w:val="single" w:sz="4" w:space="0" w:color="auto"/>
            </w:tcBorders>
            <w:shd w:val="clear" w:color="auto" w:fill="FFFFFF" w:themeFill="background1"/>
            <w:noWrap/>
            <w:hideMark/>
          </w:tcPr>
          <w:p w14:paraId="0346A1E7" w14:textId="77777777" w:rsidR="00D63001" w:rsidRPr="00D81064" w:rsidRDefault="00D63001" w:rsidP="00782D8A">
            <w:pPr>
              <w:pStyle w:val="Tabletext"/>
              <w:jc w:val="center"/>
              <w:rPr>
                <w:sz w:val="18"/>
                <w:szCs w:val="18"/>
                <w:lang w:val="ru-RU"/>
              </w:rPr>
            </w:pPr>
            <w:proofErr w:type="gramStart"/>
            <w:r w:rsidRPr="00D81064">
              <w:rPr>
                <w:sz w:val="18"/>
                <w:szCs w:val="18"/>
                <w:lang w:val="ru-RU"/>
              </w:rPr>
              <w:t>2018−2019</w:t>
            </w:r>
            <w:proofErr w:type="gramEnd"/>
          </w:p>
        </w:tc>
        <w:tc>
          <w:tcPr>
            <w:tcW w:w="1086" w:type="dxa"/>
            <w:tcBorders>
              <w:top w:val="nil"/>
              <w:left w:val="nil"/>
              <w:bottom w:val="single" w:sz="4" w:space="0" w:color="auto"/>
              <w:right w:val="single" w:sz="4" w:space="0" w:color="auto"/>
            </w:tcBorders>
            <w:shd w:val="clear" w:color="auto" w:fill="FFFFFF" w:themeFill="background1"/>
            <w:noWrap/>
            <w:hideMark/>
          </w:tcPr>
          <w:p w14:paraId="47BDC5C7" w14:textId="77777777" w:rsidR="00D63001" w:rsidRPr="00D81064" w:rsidRDefault="00D63001" w:rsidP="00B55BD8">
            <w:pPr>
              <w:pStyle w:val="Tabletext"/>
              <w:ind w:right="57"/>
              <w:jc w:val="right"/>
              <w:rPr>
                <w:sz w:val="18"/>
                <w:szCs w:val="18"/>
                <w:lang w:val="ru-RU"/>
              </w:rPr>
            </w:pPr>
            <w:r w:rsidRPr="00D81064">
              <w:rPr>
                <w:sz w:val="18"/>
                <w:szCs w:val="18"/>
                <w:lang w:val="ru-RU"/>
              </w:rPr>
              <w:t>79 500,00</w:t>
            </w:r>
          </w:p>
        </w:tc>
        <w:tc>
          <w:tcPr>
            <w:tcW w:w="1087" w:type="dxa"/>
            <w:tcBorders>
              <w:top w:val="nil"/>
              <w:left w:val="nil"/>
              <w:bottom w:val="single" w:sz="4" w:space="0" w:color="auto"/>
              <w:right w:val="single" w:sz="4" w:space="0" w:color="auto"/>
            </w:tcBorders>
            <w:shd w:val="clear" w:color="auto" w:fill="FFFFFF" w:themeFill="background1"/>
            <w:noWrap/>
            <w:hideMark/>
          </w:tcPr>
          <w:p w14:paraId="5659393D" w14:textId="77777777" w:rsidR="00D63001" w:rsidRPr="00D81064" w:rsidRDefault="00D63001" w:rsidP="00B55BD8">
            <w:pPr>
              <w:pStyle w:val="Tabletext"/>
              <w:ind w:right="57"/>
              <w:jc w:val="right"/>
              <w:rPr>
                <w:sz w:val="18"/>
                <w:szCs w:val="18"/>
                <w:lang w:val="ru-RU"/>
              </w:rPr>
            </w:pPr>
            <w:r w:rsidRPr="00D81064">
              <w:rPr>
                <w:sz w:val="18"/>
                <w:szCs w:val="18"/>
                <w:lang w:val="ru-RU"/>
              </w:rPr>
              <w:t>38 163,75</w:t>
            </w:r>
          </w:p>
        </w:tc>
        <w:tc>
          <w:tcPr>
            <w:tcW w:w="1087" w:type="dxa"/>
            <w:tcBorders>
              <w:top w:val="nil"/>
              <w:left w:val="nil"/>
              <w:bottom w:val="single" w:sz="4" w:space="0" w:color="auto"/>
              <w:right w:val="single" w:sz="4" w:space="0" w:color="auto"/>
            </w:tcBorders>
            <w:shd w:val="clear" w:color="auto" w:fill="FFFFFF" w:themeFill="background1"/>
            <w:hideMark/>
          </w:tcPr>
          <w:p w14:paraId="37F5B0C1" w14:textId="77777777" w:rsidR="00D63001" w:rsidRPr="00D81064" w:rsidRDefault="00D63001" w:rsidP="00B55BD8">
            <w:pPr>
              <w:pStyle w:val="Tabletext"/>
              <w:ind w:right="57"/>
              <w:jc w:val="right"/>
              <w:rPr>
                <w:sz w:val="18"/>
                <w:szCs w:val="18"/>
                <w:lang w:val="ru-RU"/>
              </w:rPr>
            </w:pPr>
            <w:r w:rsidRPr="00D81064">
              <w:rPr>
                <w:sz w:val="18"/>
                <w:szCs w:val="18"/>
                <w:lang w:val="ru-RU"/>
              </w:rPr>
              <w:t>117 663,75</w:t>
            </w:r>
          </w:p>
        </w:tc>
      </w:tr>
      <w:tr w:rsidR="00D63001" w:rsidRPr="00D81064" w14:paraId="209CC57E" w14:textId="77777777" w:rsidTr="00782D8A">
        <w:tc>
          <w:tcPr>
            <w:tcW w:w="1124" w:type="dxa"/>
            <w:tcBorders>
              <w:top w:val="nil"/>
              <w:left w:val="single" w:sz="4" w:space="0" w:color="auto"/>
              <w:bottom w:val="single" w:sz="4" w:space="0" w:color="auto"/>
              <w:right w:val="single" w:sz="4" w:space="0" w:color="auto"/>
            </w:tcBorders>
            <w:shd w:val="clear" w:color="auto" w:fill="FFFFFF" w:themeFill="background1"/>
          </w:tcPr>
          <w:p w14:paraId="4BA4AF27" w14:textId="77777777" w:rsidR="00D63001" w:rsidRPr="00D81064" w:rsidRDefault="00D63001" w:rsidP="00782D8A">
            <w:pPr>
              <w:pStyle w:val="Tabletext"/>
              <w:jc w:val="center"/>
              <w:rPr>
                <w:sz w:val="18"/>
                <w:szCs w:val="18"/>
                <w:lang w:val="ru-RU"/>
              </w:rPr>
            </w:pPr>
            <w:r w:rsidRPr="00D81064">
              <w:rPr>
                <w:sz w:val="18"/>
                <w:szCs w:val="18"/>
                <w:lang w:val="ru-RU"/>
              </w:rPr>
              <w:t>1200161323</w:t>
            </w:r>
          </w:p>
        </w:tc>
        <w:tc>
          <w:tcPr>
            <w:tcW w:w="1418" w:type="dxa"/>
            <w:tcBorders>
              <w:top w:val="nil"/>
              <w:left w:val="single" w:sz="4" w:space="0" w:color="auto"/>
              <w:bottom w:val="single" w:sz="4" w:space="0" w:color="auto"/>
              <w:right w:val="single" w:sz="4" w:space="0" w:color="auto"/>
            </w:tcBorders>
            <w:shd w:val="clear" w:color="auto" w:fill="FFFFFF" w:themeFill="background1"/>
            <w:hideMark/>
          </w:tcPr>
          <w:p w14:paraId="07E05485" w14:textId="77777777" w:rsidR="00D63001" w:rsidRPr="00D81064" w:rsidRDefault="00D63001" w:rsidP="00782D8A">
            <w:pPr>
              <w:pStyle w:val="Tabletext"/>
              <w:ind w:right="-57"/>
              <w:rPr>
                <w:sz w:val="18"/>
                <w:szCs w:val="18"/>
                <w:lang w:val="ru-RU"/>
              </w:rPr>
            </w:pPr>
            <w:r w:rsidRPr="00D81064">
              <w:rPr>
                <w:sz w:val="18"/>
                <w:szCs w:val="18"/>
                <w:lang w:val="ru-RU"/>
              </w:rPr>
              <w:t>Резолюция 99 (</w:t>
            </w:r>
            <w:proofErr w:type="spellStart"/>
            <w:r w:rsidRPr="00D81064">
              <w:rPr>
                <w:sz w:val="18"/>
                <w:szCs w:val="18"/>
                <w:lang w:val="ru-RU"/>
              </w:rPr>
              <w:t>Пересм</w:t>
            </w:r>
            <w:proofErr w:type="spellEnd"/>
            <w:r w:rsidRPr="00D81064">
              <w:rPr>
                <w:sz w:val="18"/>
                <w:szCs w:val="18"/>
                <w:lang w:val="ru-RU"/>
              </w:rPr>
              <w:t>. Дубай, 2018 г.) − Палестина</w:t>
            </w:r>
          </w:p>
        </w:tc>
        <w:tc>
          <w:tcPr>
            <w:tcW w:w="2551" w:type="dxa"/>
            <w:tcBorders>
              <w:top w:val="nil"/>
              <w:left w:val="nil"/>
              <w:bottom w:val="single" w:sz="4" w:space="0" w:color="auto"/>
              <w:right w:val="single" w:sz="4" w:space="0" w:color="auto"/>
            </w:tcBorders>
            <w:shd w:val="clear" w:color="auto" w:fill="FFFFFF" w:themeFill="background1"/>
            <w:hideMark/>
          </w:tcPr>
          <w:p w14:paraId="441734A1" w14:textId="77777777" w:rsidR="00D63001" w:rsidRPr="00D81064" w:rsidRDefault="00D63001" w:rsidP="00782D8A">
            <w:pPr>
              <w:pStyle w:val="Tabletext"/>
              <w:rPr>
                <w:sz w:val="18"/>
                <w:szCs w:val="18"/>
                <w:lang w:val="ru-RU"/>
              </w:rPr>
            </w:pPr>
            <w:r w:rsidRPr="00D81064">
              <w:rPr>
                <w:sz w:val="18"/>
                <w:szCs w:val="18"/>
                <w:lang w:val="ru-RU"/>
              </w:rPr>
              <w:t xml:space="preserve">Палестинский технический университет, </w:t>
            </w:r>
            <w:proofErr w:type="spellStart"/>
            <w:r w:rsidRPr="00D81064">
              <w:rPr>
                <w:sz w:val="18"/>
                <w:szCs w:val="18"/>
                <w:lang w:val="ru-RU"/>
              </w:rPr>
              <w:t>Тулькарм</w:t>
            </w:r>
            <w:proofErr w:type="spellEnd"/>
          </w:p>
        </w:tc>
        <w:tc>
          <w:tcPr>
            <w:tcW w:w="993" w:type="dxa"/>
            <w:tcBorders>
              <w:top w:val="nil"/>
              <w:left w:val="nil"/>
              <w:bottom w:val="single" w:sz="4" w:space="0" w:color="auto"/>
              <w:right w:val="single" w:sz="4" w:space="0" w:color="auto"/>
            </w:tcBorders>
            <w:shd w:val="clear" w:color="auto" w:fill="FFFFFF" w:themeFill="background1"/>
            <w:noWrap/>
            <w:hideMark/>
          </w:tcPr>
          <w:p w14:paraId="494AD4D0" w14:textId="77777777" w:rsidR="00D63001" w:rsidRPr="00D81064" w:rsidRDefault="00D63001" w:rsidP="00782D8A">
            <w:pPr>
              <w:pStyle w:val="Tabletext"/>
              <w:jc w:val="center"/>
              <w:rPr>
                <w:sz w:val="18"/>
                <w:szCs w:val="18"/>
                <w:lang w:val="ru-RU"/>
              </w:rPr>
            </w:pPr>
            <w:r w:rsidRPr="00D81064">
              <w:rPr>
                <w:sz w:val="18"/>
                <w:szCs w:val="18"/>
                <w:lang w:val="ru-RU"/>
              </w:rPr>
              <w:t>2019</w:t>
            </w:r>
          </w:p>
        </w:tc>
        <w:tc>
          <w:tcPr>
            <w:tcW w:w="1086" w:type="dxa"/>
            <w:tcBorders>
              <w:top w:val="nil"/>
              <w:left w:val="nil"/>
              <w:bottom w:val="single" w:sz="4" w:space="0" w:color="auto"/>
              <w:right w:val="single" w:sz="4" w:space="0" w:color="auto"/>
            </w:tcBorders>
            <w:shd w:val="clear" w:color="auto" w:fill="FFFFFF" w:themeFill="background1"/>
            <w:noWrap/>
            <w:hideMark/>
          </w:tcPr>
          <w:p w14:paraId="56D2FE9C" w14:textId="77777777" w:rsidR="00D63001" w:rsidRPr="00D81064" w:rsidRDefault="00D63001" w:rsidP="00B55BD8">
            <w:pPr>
              <w:pStyle w:val="Tabletext"/>
              <w:ind w:right="57"/>
              <w:jc w:val="right"/>
              <w:rPr>
                <w:sz w:val="18"/>
                <w:szCs w:val="18"/>
                <w:lang w:val="ru-RU"/>
              </w:rPr>
            </w:pPr>
            <w:r w:rsidRPr="00D81064">
              <w:rPr>
                <w:sz w:val="18"/>
                <w:szCs w:val="18"/>
                <w:lang w:val="ru-RU"/>
              </w:rPr>
              <w:t>1 987,50</w:t>
            </w:r>
          </w:p>
        </w:tc>
        <w:tc>
          <w:tcPr>
            <w:tcW w:w="1087" w:type="dxa"/>
            <w:tcBorders>
              <w:top w:val="nil"/>
              <w:left w:val="nil"/>
              <w:bottom w:val="single" w:sz="4" w:space="0" w:color="auto"/>
              <w:right w:val="single" w:sz="4" w:space="0" w:color="auto"/>
            </w:tcBorders>
            <w:shd w:val="clear" w:color="auto" w:fill="FFFFFF" w:themeFill="background1"/>
            <w:noWrap/>
            <w:hideMark/>
          </w:tcPr>
          <w:p w14:paraId="777E98B6" w14:textId="77777777" w:rsidR="00D63001" w:rsidRPr="00D81064" w:rsidRDefault="00D63001" w:rsidP="00B55BD8">
            <w:pPr>
              <w:pStyle w:val="Tabletext"/>
              <w:ind w:right="57"/>
              <w:jc w:val="right"/>
              <w:rPr>
                <w:sz w:val="18"/>
                <w:szCs w:val="18"/>
                <w:lang w:val="ru-RU"/>
              </w:rPr>
            </w:pPr>
            <w:r w:rsidRPr="00D81064">
              <w:rPr>
                <w:sz w:val="18"/>
                <w:szCs w:val="18"/>
                <w:lang w:val="ru-RU"/>
              </w:rPr>
              <w:t>937,50</w:t>
            </w:r>
          </w:p>
        </w:tc>
        <w:tc>
          <w:tcPr>
            <w:tcW w:w="1087" w:type="dxa"/>
            <w:tcBorders>
              <w:top w:val="nil"/>
              <w:left w:val="nil"/>
              <w:bottom w:val="single" w:sz="4" w:space="0" w:color="auto"/>
              <w:right w:val="single" w:sz="4" w:space="0" w:color="auto"/>
            </w:tcBorders>
            <w:shd w:val="clear" w:color="auto" w:fill="FFFFFF" w:themeFill="background1"/>
            <w:hideMark/>
          </w:tcPr>
          <w:p w14:paraId="4EB5697D" w14:textId="77777777" w:rsidR="00D63001" w:rsidRPr="00D81064" w:rsidRDefault="00D63001" w:rsidP="00B55BD8">
            <w:pPr>
              <w:pStyle w:val="Tabletext"/>
              <w:ind w:right="57"/>
              <w:jc w:val="right"/>
              <w:rPr>
                <w:sz w:val="18"/>
                <w:szCs w:val="18"/>
                <w:lang w:val="ru-RU"/>
              </w:rPr>
            </w:pPr>
            <w:r w:rsidRPr="00D81064">
              <w:rPr>
                <w:sz w:val="18"/>
                <w:szCs w:val="18"/>
                <w:lang w:val="ru-RU"/>
              </w:rPr>
              <w:t>2 925,00</w:t>
            </w:r>
          </w:p>
        </w:tc>
      </w:tr>
      <w:tr w:rsidR="00D63001" w:rsidRPr="00D81064" w14:paraId="6AAC55F6" w14:textId="77777777" w:rsidTr="00782D8A">
        <w:tc>
          <w:tcPr>
            <w:tcW w:w="6086" w:type="dxa"/>
            <w:gridSpan w:val="4"/>
            <w:tcBorders>
              <w:top w:val="single" w:sz="8" w:space="0" w:color="auto"/>
              <w:left w:val="single" w:sz="8" w:space="0" w:color="auto"/>
              <w:bottom w:val="single" w:sz="8" w:space="0" w:color="auto"/>
              <w:right w:val="single" w:sz="8" w:space="0" w:color="000000" w:themeColor="text1"/>
            </w:tcBorders>
          </w:tcPr>
          <w:p w14:paraId="39512786" w14:textId="77777777" w:rsidR="00D63001" w:rsidRPr="00D81064" w:rsidRDefault="00D63001" w:rsidP="00782D8A">
            <w:pPr>
              <w:pStyle w:val="Tabletext"/>
              <w:jc w:val="center"/>
              <w:rPr>
                <w:b/>
                <w:bCs/>
                <w:i/>
                <w:iCs/>
                <w:sz w:val="18"/>
                <w:szCs w:val="18"/>
                <w:lang w:val="ru-RU"/>
              </w:rPr>
            </w:pPr>
            <w:r w:rsidRPr="00D81064">
              <w:rPr>
                <w:b/>
                <w:bCs/>
                <w:i/>
                <w:iCs/>
                <w:sz w:val="18"/>
                <w:szCs w:val="18"/>
                <w:lang w:val="ru-RU"/>
              </w:rPr>
              <w:t>2</w:t>
            </w:r>
            <w:r w:rsidRPr="00D81064">
              <w:rPr>
                <w:b/>
                <w:bCs/>
                <w:i/>
                <w:iCs/>
                <w:sz w:val="18"/>
                <w:szCs w:val="18"/>
                <w:lang w:val="ru-RU"/>
              </w:rPr>
              <w:tab/>
              <w:t xml:space="preserve">Промежуточный итог </w:t>
            </w:r>
            <w:r w:rsidRPr="00D81064">
              <w:rPr>
                <w:rFonts w:cs="Calibri"/>
                <w:b/>
                <w:bCs/>
                <w:i/>
                <w:iCs/>
                <w:sz w:val="18"/>
                <w:szCs w:val="18"/>
                <w:lang w:val="ru-RU"/>
              </w:rPr>
              <w:t>–</w:t>
            </w:r>
            <w:r w:rsidRPr="00D81064">
              <w:rPr>
                <w:b/>
                <w:bCs/>
                <w:i/>
                <w:iCs/>
                <w:sz w:val="18"/>
                <w:szCs w:val="18"/>
                <w:lang w:val="ru-RU"/>
              </w:rPr>
              <w:t xml:space="preserve"> Члены Секторов и иные объединения</w:t>
            </w:r>
          </w:p>
        </w:tc>
        <w:tc>
          <w:tcPr>
            <w:tcW w:w="1086" w:type="dxa"/>
            <w:tcBorders>
              <w:top w:val="single" w:sz="8" w:space="0" w:color="auto"/>
              <w:left w:val="nil"/>
              <w:bottom w:val="single" w:sz="8" w:space="0" w:color="auto"/>
              <w:right w:val="single" w:sz="8" w:space="0" w:color="auto"/>
            </w:tcBorders>
            <w:noWrap/>
            <w:vAlign w:val="center"/>
            <w:hideMark/>
          </w:tcPr>
          <w:p w14:paraId="796614B8" w14:textId="77777777" w:rsidR="00D63001" w:rsidRPr="00D81064" w:rsidRDefault="00D63001" w:rsidP="00B55BD8">
            <w:pPr>
              <w:pStyle w:val="Tabletext"/>
              <w:ind w:right="57"/>
              <w:jc w:val="right"/>
              <w:rPr>
                <w:b/>
                <w:bCs/>
                <w:sz w:val="18"/>
                <w:szCs w:val="18"/>
                <w:lang w:val="ru-RU"/>
              </w:rPr>
            </w:pPr>
            <w:r w:rsidRPr="00D81064">
              <w:rPr>
                <w:b/>
                <w:bCs/>
                <w:sz w:val="18"/>
                <w:szCs w:val="18"/>
                <w:lang w:val="ru-RU"/>
              </w:rPr>
              <w:t>278 143,51</w:t>
            </w:r>
          </w:p>
        </w:tc>
        <w:tc>
          <w:tcPr>
            <w:tcW w:w="1087" w:type="dxa"/>
            <w:tcBorders>
              <w:top w:val="single" w:sz="8" w:space="0" w:color="auto"/>
              <w:left w:val="nil"/>
              <w:bottom w:val="single" w:sz="8" w:space="0" w:color="auto"/>
              <w:right w:val="single" w:sz="8" w:space="0" w:color="auto"/>
            </w:tcBorders>
            <w:noWrap/>
            <w:vAlign w:val="center"/>
            <w:hideMark/>
          </w:tcPr>
          <w:p w14:paraId="5C35DD44" w14:textId="77777777" w:rsidR="00D63001" w:rsidRPr="00D81064" w:rsidRDefault="00D63001" w:rsidP="00B55BD8">
            <w:pPr>
              <w:pStyle w:val="Tabletext"/>
              <w:ind w:right="57"/>
              <w:jc w:val="right"/>
              <w:rPr>
                <w:b/>
                <w:bCs/>
                <w:sz w:val="18"/>
                <w:szCs w:val="18"/>
                <w:lang w:val="ru-RU"/>
              </w:rPr>
            </w:pPr>
            <w:r w:rsidRPr="00D81064">
              <w:rPr>
                <w:b/>
                <w:bCs/>
                <w:sz w:val="18"/>
                <w:szCs w:val="18"/>
                <w:lang w:val="ru-RU"/>
              </w:rPr>
              <w:t>117 619,94</w:t>
            </w:r>
          </w:p>
        </w:tc>
        <w:tc>
          <w:tcPr>
            <w:tcW w:w="1087" w:type="dxa"/>
            <w:tcBorders>
              <w:top w:val="single" w:sz="8" w:space="0" w:color="auto"/>
              <w:left w:val="nil"/>
              <w:bottom w:val="single" w:sz="8" w:space="0" w:color="auto"/>
              <w:right w:val="single" w:sz="8" w:space="0" w:color="auto"/>
            </w:tcBorders>
            <w:noWrap/>
            <w:vAlign w:val="center"/>
            <w:hideMark/>
          </w:tcPr>
          <w:p w14:paraId="19764E73" w14:textId="77777777" w:rsidR="00D63001" w:rsidRPr="00D81064" w:rsidRDefault="00D63001" w:rsidP="00B55BD8">
            <w:pPr>
              <w:pStyle w:val="Tabletext"/>
              <w:ind w:right="57"/>
              <w:jc w:val="right"/>
              <w:rPr>
                <w:b/>
                <w:bCs/>
                <w:sz w:val="18"/>
                <w:szCs w:val="18"/>
                <w:lang w:val="ru-RU"/>
              </w:rPr>
            </w:pPr>
            <w:r w:rsidRPr="00D81064">
              <w:rPr>
                <w:b/>
                <w:bCs/>
                <w:sz w:val="18"/>
                <w:szCs w:val="18"/>
                <w:lang w:val="ru-RU"/>
              </w:rPr>
              <w:t>395 763,45</w:t>
            </w:r>
          </w:p>
        </w:tc>
      </w:tr>
      <w:tr w:rsidR="00D63001" w:rsidRPr="00D81064" w14:paraId="45F61652" w14:textId="77777777" w:rsidTr="00782D8A">
        <w:tc>
          <w:tcPr>
            <w:tcW w:w="6086" w:type="dxa"/>
            <w:gridSpan w:val="4"/>
            <w:tcBorders>
              <w:top w:val="nil"/>
              <w:left w:val="single" w:sz="8" w:space="0" w:color="auto"/>
              <w:bottom w:val="single" w:sz="8" w:space="0" w:color="auto"/>
              <w:right w:val="single" w:sz="4" w:space="0" w:color="auto"/>
            </w:tcBorders>
          </w:tcPr>
          <w:p w14:paraId="706AA371" w14:textId="77777777" w:rsidR="00D63001" w:rsidRPr="00D81064" w:rsidRDefault="00D63001" w:rsidP="00782D8A">
            <w:pPr>
              <w:pStyle w:val="Tabletext"/>
              <w:rPr>
                <w:b/>
                <w:bCs/>
                <w:sz w:val="18"/>
                <w:szCs w:val="18"/>
                <w:lang w:val="ru-RU"/>
              </w:rPr>
            </w:pPr>
            <w:r w:rsidRPr="00D81064">
              <w:rPr>
                <w:b/>
                <w:bCs/>
                <w:sz w:val="18"/>
                <w:szCs w:val="18"/>
                <w:lang w:val="ru-RU"/>
              </w:rPr>
              <w:t>Общий итог</w:t>
            </w:r>
          </w:p>
        </w:tc>
        <w:tc>
          <w:tcPr>
            <w:tcW w:w="1086" w:type="dxa"/>
            <w:tcBorders>
              <w:top w:val="nil"/>
              <w:left w:val="single" w:sz="8" w:space="0" w:color="auto"/>
              <w:bottom w:val="single" w:sz="8" w:space="0" w:color="auto"/>
              <w:right w:val="single" w:sz="8" w:space="0" w:color="auto"/>
            </w:tcBorders>
            <w:noWrap/>
            <w:vAlign w:val="center"/>
            <w:hideMark/>
          </w:tcPr>
          <w:p w14:paraId="460D2787" w14:textId="77777777" w:rsidR="00D63001" w:rsidRPr="00D81064" w:rsidRDefault="00D63001" w:rsidP="00B55BD8">
            <w:pPr>
              <w:pStyle w:val="Tabletext"/>
              <w:ind w:right="57"/>
              <w:jc w:val="right"/>
              <w:rPr>
                <w:b/>
                <w:bCs/>
                <w:sz w:val="18"/>
                <w:szCs w:val="18"/>
                <w:lang w:val="ru-RU"/>
              </w:rPr>
            </w:pPr>
            <w:r w:rsidRPr="00D81064">
              <w:rPr>
                <w:b/>
                <w:bCs/>
                <w:sz w:val="18"/>
                <w:szCs w:val="18"/>
                <w:lang w:val="ru-RU"/>
              </w:rPr>
              <w:t>278 143,51</w:t>
            </w:r>
          </w:p>
        </w:tc>
        <w:tc>
          <w:tcPr>
            <w:tcW w:w="1087" w:type="dxa"/>
            <w:tcBorders>
              <w:top w:val="nil"/>
              <w:left w:val="nil"/>
              <w:bottom w:val="single" w:sz="8" w:space="0" w:color="auto"/>
              <w:right w:val="single" w:sz="8" w:space="0" w:color="auto"/>
            </w:tcBorders>
            <w:noWrap/>
            <w:vAlign w:val="center"/>
            <w:hideMark/>
          </w:tcPr>
          <w:p w14:paraId="01B23B17" w14:textId="77777777" w:rsidR="00D63001" w:rsidRPr="00D81064" w:rsidRDefault="00D63001" w:rsidP="00B55BD8">
            <w:pPr>
              <w:pStyle w:val="Tabletext"/>
              <w:ind w:right="57"/>
              <w:jc w:val="right"/>
              <w:rPr>
                <w:b/>
                <w:bCs/>
                <w:sz w:val="18"/>
                <w:szCs w:val="18"/>
                <w:lang w:val="ru-RU"/>
              </w:rPr>
            </w:pPr>
            <w:r w:rsidRPr="00D81064">
              <w:rPr>
                <w:b/>
                <w:bCs/>
                <w:sz w:val="18"/>
                <w:szCs w:val="18"/>
                <w:lang w:val="ru-RU" w:eastAsia="en-GB"/>
              </w:rPr>
              <w:t>288 672,09</w:t>
            </w:r>
          </w:p>
        </w:tc>
        <w:tc>
          <w:tcPr>
            <w:tcW w:w="1087" w:type="dxa"/>
            <w:tcBorders>
              <w:top w:val="nil"/>
              <w:left w:val="nil"/>
              <w:bottom w:val="single" w:sz="8" w:space="0" w:color="auto"/>
              <w:right w:val="single" w:sz="8" w:space="0" w:color="auto"/>
            </w:tcBorders>
            <w:noWrap/>
            <w:vAlign w:val="center"/>
            <w:hideMark/>
          </w:tcPr>
          <w:p w14:paraId="2D919B0D" w14:textId="77777777" w:rsidR="00D63001" w:rsidRPr="00D81064" w:rsidRDefault="00D63001" w:rsidP="00B55BD8">
            <w:pPr>
              <w:pStyle w:val="Tabletext"/>
              <w:ind w:right="57"/>
              <w:jc w:val="right"/>
              <w:rPr>
                <w:b/>
                <w:bCs/>
                <w:sz w:val="18"/>
                <w:szCs w:val="18"/>
                <w:lang w:val="ru-RU"/>
              </w:rPr>
            </w:pPr>
            <w:r w:rsidRPr="00D81064">
              <w:rPr>
                <w:b/>
                <w:bCs/>
                <w:sz w:val="18"/>
                <w:szCs w:val="18"/>
                <w:lang w:val="ru-RU" w:eastAsia="en-GB"/>
              </w:rPr>
              <w:t>566 815,60</w:t>
            </w:r>
          </w:p>
        </w:tc>
      </w:tr>
    </w:tbl>
    <w:p w14:paraId="2258EBE6" w14:textId="77777777" w:rsidR="00D63001" w:rsidRPr="00D81064" w:rsidRDefault="00D63001" w:rsidP="00D63001">
      <w:pPr>
        <w:rPr>
          <w:lang w:val="ru-RU"/>
        </w:rPr>
      </w:pPr>
      <w:r w:rsidRPr="00D81064">
        <w:rPr>
          <w:lang w:val="ru-RU"/>
        </w:rPr>
        <w:br w:type="page"/>
      </w:r>
    </w:p>
    <w:p w14:paraId="5A5A81EF" w14:textId="59B59E13" w:rsidR="00A231E3" w:rsidRPr="00D81064" w:rsidRDefault="00A231E3" w:rsidP="00A231E3">
      <w:pPr>
        <w:pStyle w:val="AnnexNo"/>
        <w:rPr>
          <w:lang w:val="ru-RU"/>
        </w:rPr>
      </w:pPr>
      <w:bookmarkStart w:id="14" w:name="AnnexC"/>
      <w:r w:rsidRPr="00D81064">
        <w:rPr>
          <w:lang w:val="ru-RU"/>
        </w:rPr>
        <w:lastRenderedPageBreak/>
        <w:t xml:space="preserve">ПРИЛОЖЕНИЕ </w:t>
      </w:r>
      <w:r w:rsidR="00AC4239" w:rsidRPr="00D81064">
        <w:rPr>
          <w:lang w:val="ru-RU"/>
        </w:rPr>
        <w:t>C</w:t>
      </w:r>
      <w:bookmarkEnd w:id="14"/>
    </w:p>
    <w:p w14:paraId="5D37A63C" w14:textId="648839D0" w:rsidR="00A231E3" w:rsidRPr="00D81064" w:rsidRDefault="00A231E3" w:rsidP="00A231E3">
      <w:pPr>
        <w:pStyle w:val="ResNo"/>
        <w:rPr>
          <w:lang w:val="ru-RU"/>
        </w:rPr>
      </w:pPr>
      <w:r w:rsidRPr="00D81064">
        <w:rPr>
          <w:lang w:val="ru-RU"/>
        </w:rPr>
        <w:t>ПРОЕКТ</w:t>
      </w:r>
      <w:r w:rsidR="00DE4FF1" w:rsidRPr="00D81064">
        <w:rPr>
          <w:lang w:val="ru-RU"/>
        </w:rPr>
        <w:t xml:space="preserve"> нового</w:t>
      </w:r>
      <w:r w:rsidRPr="00D81064">
        <w:rPr>
          <w:lang w:val="ru-RU"/>
        </w:rPr>
        <w:t xml:space="preserve"> РЕШЕНИЯ […]</w:t>
      </w:r>
    </w:p>
    <w:p w14:paraId="3AF121AA" w14:textId="77777777" w:rsidR="00A231E3" w:rsidRPr="00D81064" w:rsidRDefault="00A231E3" w:rsidP="00A231E3">
      <w:pPr>
        <w:pStyle w:val="Restitle"/>
        <w:rPr>
          <w:lang w:val="ru-RU"/>
        </w:rPr>
      </w:pPr>
      <w:bookmarkStart w:id="15" w:name="OLE_LINK9"/>
      <w:bookmarkStart w:id="16" w:name="OLE_LINK10"/>
      <w:r w:rsidRPr="00D81064">
        <w:rPr>
          <w:lang w:val="ru-RU"/>
        </w:rPr>
        <w:t xml:space="preserve">Обязательства по медицинскому страхованию </w:t>
      </w:r>
      <w:r w:rsidRPr="00D81064">
        <w:rPr>
          <w:lang w:val="ru-RU"/>
        </w:rPr>
        <w:br/>
        <w:t>после выхода в отставку (АСХИ)</w:t>
      </w:r>
    </w:p>
    <w:bookmarkEnd w:id="15"/>
    <w:bookmarkEnd w:id="16"/>
    <w:p w14:paraId="4FA556BE" w14:textId="77777777" w:rsidR="00A231E3" w:rsidRPr="00D81064" w:rsidRDefault="00A231E3" w:rsidP="00A231E3">
      <w:pPr>
        <w:pStyle w:val="Normalaftertitle"/>
        <w:rPr>
          <w:lang w:val="ru-RU"/>
        </w:rPr>
      </w:pPr>
      <w:r w:rsidRPr="00D81064">
        <w:rPr>
          <w:lang w:val="ru-RU"/>
        </w:rPr>
        <w:t>Совет МСЭ,</w:t>
      </w:r>
    </w:p>
    <w:p w14:paraId="14FD84A7" w14:textId="77777777" w:rsidR="00A231E3" w:rsidRPr="00D81064" w:rsidRDefault="00A231E3" w:rsidP="00A231E3">
      <w:pPr>
        <w:pStyle w:val="Call"/>
        <w:rPr>
          <w:lang w:val="ru-RU"/>
        </w:rPr>
      </w:pPr>
      <w:r w:rsidRPr="00D81064">
        <w:rPr>
          <w:lang w:val="ru-RU"/>
        </w:rPr>
        <w:t>рассмотрев</w:t>
      </w:r>
    </w:p>
    <w:p w14:paraId="5CD6B509" w14:textId="77777777" w:rsidR="00A231E3" w:rsidRPr="00D81064" w:rsidRDefault="00A231E3" w:rsidP="00A231E3">
      <w:pPr>
        <w:rPr>
          <w:lang w:val="ru-RU"/>
        </w:rPr>
      </w:pPr>
      <w:r w:rsidRPr="00D81064">
        <w:rPr>
          <w:lang w:val="ru-RU"/>
        </w:rPr>
        <w:t xml:space="preserve">Документ </w:t>
      </w:r>
      <w:hyperlink r:id="rId258" w:history="1">
        <w:r w:rsidRPr="00D81064">
          <w:rPr>
            <w:rStyle w:val="Hyperlink"/>
            <w:lang w:val="ru-RU"/>
          </w:rPr>
          <w:t>C26/46</w:t>
        </w:r>
      </w:hyperlink>
      <w:r w:rsidRPr="00D81064">
        <w:rPr>
          <w:lang w:val="ru-RU"/>
        </w:rPr>
        <w:t>,</w:t>
      </w:r>
      <w:hyperlink r:id="rId259" w:history="1"/>
    </w:p>
    <w:p w14:paraId="33EC0737" w14:textId="77777777" w:rsidR="00A231E3" w:rsidRPr="00D81064" w:rsidRDefault="00A231E3" w:rsidP="00A231E3">
      <w:pPr>
        <w:pStyle w:val="Call"/>
        <w:rPr>
          <w:lang w:val="ru-RU"/>
        </w:rPr>
      </w:pPr>
      <w:r w:rsidRPr="00D81064">
        <w:rPr>
          <w:lang w:val="ru-RU"/>
        </w:rPr>
        <w:t>учитывая</w:t>
      </w:r>
    </w:p>
    <w:p w14:paraId="00DDA6DF" w14:textId="77777777" w:rsidR="00A231E3" w:rsidRPr="00D81064" w:rsidRDefault="00A231E3" w:rsidP="00A231E3">
      <w:pPr>
        <w:rPr>
          <w:lang w:val="ru-RU"/>
        </w:rPr>
      </w:pPr>
      <w:r w:rsidRPr="00D81064">
        <w:rPr>
          <w:lang w:val="ru-RU"/>
        </w:rPr>
        <w:t>Решение 5 (</w:t>
      </w:r>
      <w:proofErr w:type="spellStart"/>
      <w:r w:rsidRPr="00D81064">
        <w:rPr>
          <w:lang w:val="ru-RU"/>
        </w:rPr>
        <w:t>Пересм</w:t>
      </w:r>
      <w:proofErr w:type="spellEnd"/>
      <w:r w:rsidRPr="00D81064">
        <w:rPr>
          <w:lang w:val="ru-RU"/>
        </w:rPr>
        <w:t>. Бухарест, 2022 г.) Полномочной конференции, принятое после тщательного рассмотрения рекомендаций рабочей группы ООН по АСХИ (учрежденной в соответствии с резолюцией A/RES/68/244 Генеральной Ассамблеи), и во исполнение рекомендаций ОИГ и IMAC,</w:t>
      </w:r>
    </w:p>
    <w:p w14:paraId="52575CFA" w14:textId="77777777" w:rsidR="00A231E3" w:rsidRPr="00D81064" w:rsidRDefault="00A231E3" w:rsidP="00A231E3">
      <w:pPr>
        <w:pStyle w:val="Call"/>
        <w:rPr>
          <w:lang w:val="ru-RU"/>
        </w:rPr>
      </w:pPr>
      <w:r w:rsidRPr="00D81064">
        <w:rPr>
          <w:lang w:val="ru-RU"/>
        </w:rPr>
        <w:t>принимая во внимание</w:t>
      </w:r>
    </w:p>
    <w:p w14:paraId="7C96C3DA" w14:textId="77777777" w:rsidR="00A231E3" w:rsidRPr="00D81064" w:rsidRDefault="00A231E3" w:rsidP="00A231E3">
      <w:pPr>
        <w:rPr>
          <w:lang w:val="ru-RU"/>
        </w:rPr>
      </w:pPr>
      <w:r w:rsidRPr="00D81064">
        <w:rPr>
          <w:lang w:val="ru-RU"/>
        </w:rPr>
        <w:t xml:space="preserve">Статью 25 </w:t>
      </w:r>
      <w:hyperlink r:id="rId260" w:history="1">
        <w:r w:rsidRPr="00D81064">
          <w:rPr>
            <w:rStyle w:val="Hyperlink"/>
            <w:lang w:val="ru-RU"/>
          </w:rPr>
          <w:t>Финансового регламента</w:t>
        </w:r>
      </w:hyperlink>
      <w:r w:rsidRPr="00D81064">
        <w:rPr>
          <w:lang w:val="ru-RU"/>
        </w:rPr>
        <w:t>,</w:t>
      </w:r>
      <w:hyperlink r:id="rId261" w:history="1"/>
    </w:p>
    <w:p w14:paraId="3EE4701E" w14:textId="77777777" w:rsidR="00A231E3" w:rsidRPr="00D81064" w:rsidRDefault="00A231E3" w:rsidP="00A231E3">
      <w:pPr>
        <w:pStyle w:val="Call"/>
        <w:rPr>
          <w:lang w:val="ru-RU"/>
        </w:rPr>
      </w:pPr>
      <w:r w:rsidRPr="00D81064">
        <w:rPr>
          <w:lang w:val="ru-RU"/>
        </w:rPr>
        <w:t>решает</w:t>
      </w:r>
    </w:p>
    <w:p w14:paraId="5CADF45B" w14:textId="77777777" w:rsidR="00A231E3" w:rsidRPr="00D81064" w:rsidRDefault="00A231E3" w:rsidP="00A231E3">
      <w:pPr>
        <w:rPr>
          <w:lang w:val="ru-RU"/>
        </w:rPr>
      </w:pPr>
      <w:r w:rsidRPr="00D81064">
        <w:rPr>
          <w:lang w:val="ru-RU"/>
        </w:rPr>
        <w:t>в соответствии с уже выполняемыми мерами ввести дополнительную меру финансирования, предполагающую, что в дальнейшем в бюджет будет заложено 5,35 процента базового оклада нового персонала, принятого на работу с 1 января 2026 года,</w:t>
      </w:r>
    </w:p>
    <w:p w14:paraId="18842F83" w14:textId="77777777" w:rsidR="00A231E3" w:rsidRPr="00D81064" w:rsidRDefault="00A231E3" w:rsidP="00A231E3">
      <w:pPr>
        <w:pStyle w:val="Call"/>
        <w:rPr>
          <w:lang w:val="ru-RU"/>
        </w:rPr>
      </w:pPr>
      <w:r w:rsidRPr="00D81064">
        <w:rPr>
          <w:lang w:val="ru-RU"/>
        </w:rPr>
        <w:t>поручает Генеральному секретарю</w:t>
      </w:r>
    </w:p>
    <w:p w14:paraId="221F7003" w14:textId="77777777" w:rsidR="00A231E3" w:rsidRPr="00D81064" w:rsidRDefault="00A231E3" w:rsidP="00A231E3">
      <w:pPr>
        <w:rPr>
          <w:lang w:val="ru-RU"/>
        </w:rPr>
      </w:pPr>
      <w:r w:rsidRPr="00D81064">
        <w:rPr>
          <w:lang w:val="ru-RU"/>
        </w:rPr>
        <w:t>продолжать ежегодно представлять Совету отчет о пополнении фонда АСХИ.</w:t>
      </w:r>
    </w:p>
    <w:p w14:paraId="7328A7A1" w14:textId="77777777" w:rsidR="00A231E3" w:rsidRPr="00D81064" w:rsidRDefault="00A231E3" w:rsidP="00A231E3">
      <w:pPr>
        <w:tabs>
          <w:tab w:val="clear" w:pos="794"/>
          <w:tab w:val="clear" w:pos="1191"/>
          <w:tab w:val="clear" w:pos="1588"/>
          <w:tab w:val="clear" w:pos="1985"/>
        </w:tabs>
        <w:overflowPunct/>
        <w:autoSpaceDE/>
        <w:autoSpaceDN/>
        <w:adjustRightInd/>
        <w:spacing w:before="0"/>
        <w:textAlignment w:val="auto"/>
        <w:rPr>
          <w:lang w:val="ru-RU"/>
        </w:rPr>
      </w:pPr>
      <w:r w:rsidRPr="00D81064">
        <w:rPr>
          <w:lang w:val="ru-RU"/>
        </w:rPr>
        <w:br w:type="page"/>
      </w:r>
    </w:p>
    <w:p w14:paraId="79B3C16C" w14:textId="2D2BAFD1" w:rsidR="00A231E3" w:rsidRPr="00D81064" w:rsidRDefault="00A231E3" w:rsidP="00A231E3">
      <w:pPr>
        <w:pStyle w:val="AnnexNo"/>
        <w:rPr>
          <w:lang w:val="ru-RU"/>
        </w:rPr>
      </w:pPr>
      <w:bookmarkStart w:id="17" w:name="Annex"/>
      <w:bookmarkStart w:id="18" w:name="AnnexD"/>
      <w:r w:rsidRPr="00D81064">
        <w:rPr>
          <w:lang w:val="ru-RU"/>
        </w:rPr>
        <w:lastRenderedPageBreak/>
        <w:t>Приложение</w:t>
      </w:r>
      <w:bookmarkEnd w:id="17"/>
      <w:r w:rsidRPr="00D81064">
        <w:rPr>
          <w:lang w:val="ru-RU"/>
        </w:rPr>
        <w:t xml:space="preserve"> </w:t>
      </w:r>
      <w:r w:rsidR="00AC4239" w:rsidRPr="00D81064">
        <w:rPr>
          <w:lang w:val="ru-RU"/>
        </w:rPr>
        <w:t>D</w:t>
      </w:r>
      <w:bookmarkEnd w:id="18"/>
    </w:p>
    <w:p w14:paraId="08270A0D" w14:textId="77777777" w:rsidR="002E74E1" w:rsidRPr="00D81064" w:rsidRDefault="002E74E1" w:rsidP="002E74E1">
      <w:pPr>
        <w:pStyle w:val="ResNo"/>
        <w:rPr>
          <w:lang w:val="ru-RU"/>
        </w:rPr>
      </w:pPr>
      <w:r w:rsidRPr="00D81064">
        <w:rPr>
          <w:lang w:val="ru-RU"/>
        </w:rPr>
        <w:t>ПРОЕКТ НОВОЙ РЕЗОЛЮЦИИ [...]</w:t>
      </w:r>
    </w:p>
    <w:p w14:paraId="5CB94281" w14:textId="786E5DC1" w:rsidR="002E74E1" w:rsidRPr="00D81064" w:rsidRDefault="002E74E1" w:rsidP="002E74E1">
      <w:pPr>
        <w:pStyle w:val="Restitle"/>
        <w:rPr>
          <w:lang w:val="ru-RU"/>
        </w:rPr>
      </w:pPr>
      <w:r w:rsidRPr="00D81064">
        <w:rPr>
          <w:lang w:val="ru-RU"/>
        </w:rPr>
        <w:t>Распределение средств, сэкономленных при исполнении бюджета на 2025 год</w:t>
      </w:r>
    </w:p>
    <w:p w14:paraId="4A392807" w14:textId="77777777" w:rsidR="002E74E1" w:rsidRPr="00D81064" w:rsidRDefault="002E74E1" w:rsidP="002E74E1">
      <w:pPr>
        <w:pStyle w:val="Normalaftertitle"/>
        <w:rPr>
          <w:lang w:val="ru-RU"/>
        </w:rPr>
      </w:pPr>
      <w:r w:rsidRPr="00D81064">
        <w:rPr>
          <w:lang w:val="ru-RU"/>
        </w:rPr>
        <w:t>Совет МСЭ,</w:t>
      </w:r>
    </w:p>
    <w:p w14:paraId="0DC1743B" w14:textId="77777777" w:rsidR="002E74E1" w:rsidRPr="00D81064" w:rsidRDefault="002E74E1" w:rsidP="002E74E1">
      <w:pPr>
        <w:pStyle w:val="Call"/>
        <w:rPr>
          <w:lang w:val="ru-RU"/>
        </w:rPr>
      </w:pPr>
      <w:r w:rsidRPr="00D81064">
        <w:rPr>
          <w:lang w:val="ru-RU"/>
        </w:rPr>
        <w:t>принимая во внимание</w:t>
      </w:r>
    </w:p>
    <w:p w14:paraId="5194AD2F" w14:textId="77777777" w:rsidR="002E74E1" w:rsidRPr="00D81064" w:rsidRDefault="002E74E1" w:rsidP="002E74E1">
      <w:pPr>
        <w:rPr>
          <w:lang w:val="ru-RU"/>
        </w:rPr>
      </w:pPr>
      <w:r w:rsidRPr="00D81064">
        <w:rPr>
          <w:rFonts w:cs="Calibri"/>
          <w:i/>
          <w:iCs/>
          <w:lang w:val="ru-RU"/>
        </w:rPr>
        <w:t>a)</w:t>
      </w:r>
      <w:r w:rsidRPr="00D81064">
        <w:rPr>
          <w:rFonts w:cs="Calibri"/>
          <w:i/>
          <w:iCs/>
          <w:lang w:val="ru-RU"/>
        </w:rPr>
        <w:tab/>
      </w:r>
      <w:r w:rsidRPr="00D81064">
        <w:rPr>
          <w:lang w:val="ru-RU"/>
        </w:rPr>
        <w:t>экономию средств, достигнутую при исполнении бюджета на 2025 год, в объеме 11,44 </w:t>
      </w:r>
      <w:proofErr w:type="gramStart"/>
      <w:r w:rsidRPr="00D81064">
        <w:rPr>
          <w:lang w:val="ru-RU"/>
        </w:rPr>
        <w:t>млн.</w:t>
      </w:r>
      <w:proofErr w:type="gramEnd"/>
      <w:r w:rsidRPr="00D81064">
        <w:rPr>
          <w:lang w:val="ru-RU"/>
        </w:rPr>
        <w:t> швейцарских франков;</w:t>
      </w:r>
    </w:p>
    <w:p w14:paraId="4FC4D54A" w14:textId="77777777" w:rsidR="002E74E1" w:rsidRPr="00D81064" w:rsidRDefault="002E74E1" w:rsidP="002E74E1">
      <w:pPr>
        <w:rPr>
          <w:lang w:val="ru-RU"/>
        </w:rPr>
      </w:pPr>
      <w:r w:rsidRPr="00D81064">
        <w:rPr>
          <w:rFonts w:cs="Calibri"/>
          <w:i/>
          <w:iCs/>
          <w:szCs w:val="24"/>
          <w:lang w:val="ru-RU"/>
        </w:rPr>
        <w:t>b)</w:t>
      </w:r>
      <w:r w:rsidRPr="00D81064">
        <w:rPr>
          <w:rFonts w:cs="Calibri"/>
          <w:i/>
          <w:iCs/>
          <w:szCs w:val="24"/>
          <w:lang w:val="ru-RU"/>
        </w:rPr>
        <w:tab/>
      </w:r>
      <w:r w:rsidRPr="00D81064">
        <w:rPr>
          <w:rFonts w:cs="Calibri"/>
          <w:szCs w:val="24"/>
          <w:lang w:val="ru-RU"/>
        </w:rPr>
        <w:t xml:space="preserve">Документ </w:t>
      </w:r>
      <w:hyperlink r:id="rId262" w:history="1">
        <w:r w:rsidRPr="00D81064">
          <w:rPr>
            <w:rStyle w:val="Hyperlink"/>
            <w:rFonts w:cs="Calibri"/>
            <w:szCs w:val="24"/>
            <w:lang w:val="ru-RU"/>
          </w:rPr>
          <w:t>C26/42(Rev.2)</w:t>
        </w:r>
      </w:hyperlink>
      <w:r w:rsidRPr="00D81064">
        <w:rPr>
          <w:lang w:val="ru-RU"/>
        </w:rPr>
        <w:t>,</w:t>
      </w:r>
    </w:p>
    <w:p w14:paraId="4D376354" w14:textId="77777777" w:rsidR="002E74E1" w:rsidRPr="00D81064" w:rsidRDefault="002E74E1" w:rsidP="002E74E1">
      <w:pPr>
        <w:pStyle w:val="Call"/>
        <w:rPr>
          <w:lang w:val="ru-RU"/>
        </w:rPr>
      </w:pPr>
      <w:r w:rsidRPr="00D81064">
        <w:rPr>
          <w:lang w:val="ru-RU"/>
        </w:rPr>
        <w:t>решает</w:t>
      </w:r>
    </w:p>
    <w:p w14:paraId="60EA797C" w14:textId="77777777" w:rsidR="002E74E1" w:rsidRPr="00D81064" w:rsidRDefault="002E74E1" w:rsidP="002E74E1">
      <w:pPr>
        <w:rPr>
          <w:lang w:val="ru-RU"/>
        </w:rPr>
      </w:pPr>
      <w:r w:rsidRPr="00D81064">
        <w:rPr>
          <w:lang w:val="ru-RU"/>
        </w:rPr>
        <w:t>1</w:t>
      </w:r>
      <w:r w:rsidRPr="00D81064">
        <w:rPr>
          <w:lang w:val="ru-RU"/>
        </w:rPr>
        <w:tab/>
        <w:t>распределить сэкономленные средства следующим образом:</w:t>
      </w:r>
    </w:p>
    <w:p w14:paraId="1E438070" w14:textId="77777777" w:rsidR="002E74E1" w:rsidRPr="00D81064" w:rsidRDefault="002E74E1" w:rsidP="002E74E1">
      <w:pPr>
        <w:pStyle w:val="enumlev1"/>
        <w:rPr>
          <w:lang w:val="ru-RU"/>
        </w:rPr>
      </w:pPr>
      <w:r w:rsidRPr="00D81064">
        <w:rPr>
          <w:lang w:val="ru-RU"/>
        </w:rPr>
        <w:t>–</w:t>
      </w:r>
      <w:r w:rsidRPr="00D81064">
        <w:rPr>
          <w:lang w:val="ru-RU"/>
        </w:rPr>
        <w:tab/>
        <w:t xml:space="preserve">финансирование ранее утвержденной Советом инициативы – Программы "Молодые специалисты" (1,2 </w:t>
      </w:r>
      <w:proofErr w:type="gramStart"/>
      <w:r w:rsidRPr="00D81064">
        <w:rPr>
          <w:lang w:val="ru-RU"/>
        </w:rPr>
        <w:t>млн.</w:t>
      </w:r>
      <w:proofErr w:type="gramEnd"/>
      <w:r w:rsidRPr="00D81064">
        <w:rPr>
          <w:lang w:val="ru-RU"/>
        </w:rPr>
        <w:t xml:space="preserve"> швейцарских франков); и</w:t>
      </w:r>
    </w:p>
    <w:p w14:paraId="1EA2FBDE" w14:textId="77777777" w:rsidR="002E74E1" w:rsidRPr="00D81064" w:rsidRDefault="002E74E1" w:rsidP="002E74E1">
      <w:pPr>
        <w:pStyle w:val="enumlev1"/>
        <w:rPr>
          <w:lang w:val="ru-RU"/>
        </w:rPr>
      </w:pPr>
      <w:r w:rsidRPr="00D81064">
        <w:rPr>
          <w:lang w:val="ru-RU"/>
        </w:rPr>
        <w:t>–</w:t>
      </w:r>
      <w:r w:rsidRPr="00D81064">
        <w:rPr>
          <w:lang w:val="ru-RU"/>
        </w:rPr>
        <w:tab/>
        <w:t xml:space="preserve">другие предлагаемые </w:t>
      </w:r>
      <w:r w:rsidRPr="00D81064">
        <w:rPr>
          <w:bCs/>
          <w:lang w:val="ru-RU"/>
        </w:rPr>
        <w:t>ассигнования</w:t>
      </w:r>
      <w:r w:rsidRPr="00D81064">
        <w:rPr>
          <w:lang w:val="ru-RU"/>
        </w:rPr>
        <w:t xml:space="preserve">: </w:t>
      </w:r>
    </w:p>
    <w:p w14:paraId="6DA52972" w14:textId="77777777" w:rsidR="002E74E1" w:rsidRPr="00D81064" w:rsidRDefault="002E74E1" w:rsidP="002E74E1">
      <w:pPr>
        <w:pStyle w:val="enumlev2"/>
        <w:rPr>
          <w:lang w:val="ru-RU"/>
        </w:rPr>
      </w:pPr>
      <w:r w:rsidRPr="00D81064">
        <w:rPr>
          <w:lang w:val="ru-RU"/>
        </w:rPr>
        <w:t>•</w:t>
      </w:r>
      <w:r w:rsidRPr="00D81064">
        <w:rPr>
          <w:lang w:val="ru-RU"/>
        </w:rPr>
        <w:tab/>
        <w:t>согласованное прекращение службы (2,5 </w:t>
      </w:r>
      <w:proofErr w:type="gramStart"/>
      <w:r w:rsidRPr="00D81064">
        <w:rPr>
          <w:lang w:val="ru-RU"/>
        </w:rPr>
        <w:t>млн.</w:t>
      </w:r>
      <w:proofErr w:type="gramEnd"/>
      <w:r w:rsidRPr="00D81064">
        <w:rPr>
          <w:lang w:val="ru-RU"/>
        </w:rPr>
        <w:t> швейцарских франков);</w:t>
      </w:r>
    </w:p>
    <w:p w14:paraId="7433E449" w14:textId="459158C1" w:rsidR="002E74E1" w:rsidRPr="00D81064" w:rsidRDefault="002E74E1" w:rsidP="002E74E1">
      <w:pPr>
        <w:pStyle w:val="enumlev2"/>
        <w:rPr>
          <w:lang w:val="ru-RU"/>
        </w:rPr>
      </w:pPr>
      <w:r w:rsidRPr="00D81064">
        <w:rPr>
          <w:lang w:val="ru-RU"/>
        </w:rPr>
        <w:t>•</w:t>
      </w:r>
      <w:r w:rsidRPr="00D81064">
        <w:rPr>
          <w:lang w:val="ru-RU"/>
        </w:rPr>
        <w:tab/>
        <w:t>ликвидация накопившегося объема невыполненной работы по обработке заявок на регистрацию спутниковых сетей (1 </w:t>
      </w:r>
      <w:proofErr w:type="gramStart"/>
      <w:r w:rsidRPr="00D81064">
        <w:rPr>
          <w:lang w:val="ru-RU"/>
        </w:rPr>
        <w:t>млн.</w:t>
      </w:r>
      <w:proofErr w:type="gramEnd"/>
      <w:r w:rsidRPr="00D81064">
        <w:rPr>
          <w:lang w:val="ru-RU"/>
        </w:rPr>
        <w:t> швейцарских франков);</w:t>
      </w:r>
    </w:p>
    <w:p w14:paraId="05C9B7B0" w14:textId="27BF5103" w:rsidR="002E74E1" w:rsidRPr="00D81064" w:rsidRDefault="002E74E1" w:rsidP="002E74E1">
      <w:pPr>
        <w:pStyle w:val="enumlev2"/>
        <w:rPr>
          <w:lang w:val="ru-RU"/>
        </w:rPr>
      </w:pPr>
      <w:r w:rsidRPr="00D81064">
        <w:rPr>
          <w:lang w:val="ru-RU"/>
        </w:rPr>
        <w:t>•</w:t>
      </w:r>
      <w:r w:rsidRPr="00D81064">
        <w:rPr>
          <w:lang w:val="ru-RU"/>
        </w:rPr>
        <w:tab/>
        <w:t xml:space="preserve">базовые системы для заявок на регистрацию спутниковых сетей и возможности модернизации (1,3 </w:t>
      </w:r>
      <w:proofErr w:type="gramStart"/>
      <w:r w:rsidRPr="00D81064">
        <w:rPr>
          <w:lang w:val="ru-RU"/>
        </w:rPr>
        <w:t>млн.</w:t>
      </w:r>
      <w:proofErr w:type="gramEnd"/>
      <w:r w:rsidRPr="00D81064">
        <w:rPr>
          <w:lang w:val="ru-RU"/>
        </w:rPr>
        <w:t xml:space="preserve"> швейцарских франков);</w:t>
      </w:r>
    </w:p>
    <w:p w14:paraId="26989575" w14:textId="499C07AB" w:rsidR="002E74E1" w:rsidRPr="00D81064" w:rsidRDefault="002E74E1" w:rsidP="002E74E1">
      <w:pPr>
        <w:pStyle w:val="enumlev2"/>
        <w:rPr>
          <w:lang w:val="ru-RU"/>
        </w:rPr>
      </w:pPr>
      <w:r w:rsidRPr="00D81064">
        <w:rPr>
          <w:lang w:val="ru-RU"/>
        </w:rPr>
        <w:t>•</w:t>
      </w:r>
      <w:r w:rsidRPr="00D81064">
        <w:rPr>
          <w:lang w:val="ru-RU"/>
        </w:rPr>
        <w:tab/>
        <w:t>модернизация корпоративных систем (1,44 </w:t>
      </w:r>
      <w:proofErr w:type="gramStart"/>
      <w:r w:rsidRPr="00D81064">
        <w:rPr>
          <w:lang w:val="ru-RU"/>
        </w:rPr>
        <w:t>млн.</w:t>
      </w:r>
      <w:proofErr w:type="gramEnd"/>
      <w:r w:rsidRPr="00D81064">
        <w:rPr>
          <w:lang w:val="ru-RU"/>
        </w:rPr>
        <w:t> швейцарских франков);</w:t>
      </w:r>
    </w:p>
    <w:p w14:paraId="46AA7E06" w14:textId="46F8FAA2" w:rsidR="002E74E1" w:rsidRPr="00D81064" w:rsidRDefault="002E74E1" w:rsidP="002E74E1">
      <w:pPr>
        <w:pStyle w:val="enumlev2"/>
        <w:rPr>
          <w:lang w:val="ru-RU"/>
        </w:rPr>
      </w:pPr>
      <w:r w:rsidRPr="00D81064">
        <w:rPr>
          <w:lang w:val="ru-RU"/>
        </w:rPr>
        <w:t>•</w:t>
      </w:r>
      <w:r w:rsidRPr="00D81064">
        <w:rPr>
          <w:lang w:val="ru-RU"/>
        </w:rPr>
        <w:tab/>
        <w:t>меры по обеспечению непрерывности деятельности (1,5 </w:t>
      </w:r>
      <w:proofErr w:type="gramStart"/>
      <w:r w:rsidRPr="00D81064">
        <w:rPr>
          <w:lang w:val="ru-RU"/>
        </w:rPr>
        <w:t>млн.</w:t>
      </w:r>
      <w:proofErr w:type="gramEnd"/>
      <w:r w:rsidRPr="00D81064">
        <w:rPr>
          <w:lang w:val="ru-RU"/>
        </w:rPr>
        <w:t> швейцарских франков);</w:t>
      </w:r>
    </w:p>
    <w:p w14:paraId="15B181D3" w14:textId="765571BB" w:rsidR="002E74E1" w:rsidRPr="00D81064" w:rsidRDefault="002E74E1" w:rsidP="002E74E1">
      <w:pPr>
        <w:pStyle w:val="enumlev2"/>
        <w:rPr>
          <w:lang w:val="ru-RU"/>
        </w:rPr>
      </w:pPr>
      <w:r w:rsidRPr="00D81064">
        <w:rPr>
          <w:lang w:val="ru-RU"/>
        </w:rPr>
        <w:t>•</w:t>
      </w:r>
      <w:r w:rsidRPr="00D81064">
        <w:rPr>
          <w:lang w:val="ru-RU"/>
        </w:rPr>
        <w:tab/>
        <w:t>региональные инициативы (1,3 </w:t>
      </w:r>
      <w:proofErr w:type="gramStart"/>
      <w:r w:rsidRPr="00D81064">
        <w:rPr>
          <w:lang w:val="ru-RU"/>
        </w:rPr>
        <w:t>млн.</w:t>
      </w:r>
      <w:proofErr w:type="gramEnd"/>
      <w:r w:rsidRPr="00D81064">
        <w:rPr>
          <w:lang w:val="ru-RU"/>
        </w:rPr>
        <w:t> швейцарских франков);</w:t>
      </w:r>
    </w:p>
    <w:p w14:paraId="55CE46BB" w14:textId="69D7C745" w:rsidR="002E74E1" w:rsidRPr="00D81064" w:rsidRDefault="002E74E1" w:rsidP="002E74E1">
      <w:pPr>
        <w:pStyle w:val="enumlev2"/>
        <w:rPr>
          <w:lang w:val="ru-RU"/>
        </w:rPr>
      </w:pPr>
      <w:r w:rsidRPr="00D81064">
        <w:rPr>
          <w:lang w:val="ru-RU"/>
        </w:rPr>
        <w:t>•</w:t>
      </w:r>
      <w:r w:rsidRPr="00D81064">
        <w:rPr>
          <w:lang w:val="ru-RU"/>
        </w:rPr>
        <w:tab/>
        <w:t xml:space="preserve">18 консультантов (SSA) и сотрудников по проектам, работающих по краткосрочным контрактам, для инициативы "ИИ во благо" в </w:t>
      </w:r>
      <w:proofErr w:type="gramStart"/>
      <w:r w:rsidRPr="00D81064">
        <w:rPr>
          <w:lang w:val="ru-RU"/>
        </w:rPr>
        <w:t>2026−2027</w:t>
      </w:r>
      <w:proofErr w:type="gramEnd"/>
      <w:r w:rsidRPr="00D81064">
        <w:rPr>
          <w:lang w:val="ru-RU"/>
        </w:rPr>
        <w:t xml:space="preserve"> годах (1,0 </w:t>
      </w:r>
      <w:proofErr w:type="gramStart"/>
      <w:r w:rsidRPr="00D81064">
        <w:rPr>
          <w:lang w:val="ru-RU"/>
        </w:rPr>
        <w:t>млн.</w:t>
      </w:r>
      <w:proofErr w:type="gramEnd"/>
      <w:r w:rsidRPr="00D81064">
        <w:rPr>
          <w:lang w:val="ru-RU"/>
        </w:rPr>
        <w:t> швейцарских франков);</w:t>
      </w:r>
    </w:p>
    <w:p w14:paraId="657C4DEC" w14:textId="77777777" w:rsidR="002E74E1" w:rsidRPr="00D81064" w:rsidRDefault="002E74E1" w:rsidP="002E74E1">
      <w:pPr>
        <w:pStyle w:val="enumlev2"/>
        <w:rPr>
          <w:lang w:val="ru-RU"/>
        </w:rPr>
      </w:pPr>
      <w:r w:rsidRPr="00D81064">
        <w:rPr>
          <w:lang w:val="ru-RU"/>
        </w:rPr>
        <w:t>•</w:t>
      </w:r>
      <w:r w:rsidRPr="00D81064">
        <w:rPr>
          <w:lang w:val="ru-RU"/>
        </w:rPr>
        <w:tab/>
        <w:t>перевод средств на Резервный счет МСЭ (0,2 </w:t>
      </w:r>
      <w:proofErr w:type="gramStart"/>
      <w:r w:rsidRPr="00D81064">
        <w:rPr>
          <w:lang w:val="ru-RU"/>
        </w:rPr>
        <w:t>млн.</w:t>
      </w:r>
      <w:proofErr w:type="gramEnd"/>
      <w:r w:rsidRPr="00D81064">
        <w:rPr>
          <w:lang w:val="ru-RU"/>
        </w:rPr>
        <w:t> швейцарских франков);</w:t>
      </w:r>
    </w:p>
    <w:p w14:paraId="6CC63657" w14:textId="77777777" w:rsidR="002E74E1" w:rsidRPr="00D81064" w:rsidRDefault="002E74E1" w:rsidP="002E74E1">
      <w:pPr>
        <w:rPr>
          <w:lang w:val="ru-RU"/>
        </w:rPr>
      </w:pPr>
      <w:r w:rsidRPr="00D81064">
        <w:rPr>
          <w:lang w:val="ru-RU"/>
        </w:rPr>
        <w:t>2</w:t>
      </w:r>
      <w:r w:rsidRPr="00D81064">
        <w:rPr>
          <w:lang w:val="ru-RU"/>
        </w:rPr>
        <w:tab/>
        <w:t>перевести на Резервный счет МСЭ все средства, не израсходованные до конца 2029 года, за исключением средств на базовые системы для заявок на регистрацию спутниковых сетей и возможности модернизации, а таже на обеспечение непрерывности деятельности,</w:t>
      </w:r>
    </w:p>
    <w:p w14:paraId="0B1F9F1F" w14:textId="77777777" w:rsidR="002E74E1" w:rsidRPr="00D81064" w:rsidRDefault="002E74E1" w:rsidP="002E74E1">
      <w:pPr>
        <w:pStyle w:val="Call"/>
        <w:rPr>
          <w:lang w:val="ru-RU"/>
        </w:rPr>
      </w:pPr>
      <w:r w:rsidRPr="00D81064">
        <w:rPr>
          <w:lang w:val="ru-RU"/>
        </w:rPr>
        <w:t>поручает Генеральному секретарю</w:t>
      </w:r>
    </w:p>
    <w:p w14:paraId="572810F2" w14:textId="77777777" w:rsidR="002E74E1" w:rsidRPr="00D81064" w:rsidRDefault="002E74E1" w:rsidP="002E74E1">
      <w:pPr>
        <w:rPr>
          <w:lang w:val="ru-RU"/>
        </w:rPr>
      </w:pPr>
      <w:r w:rsidRPr="00D81064">
        <w:rPr>
          <w:lang w:val="ru-RU"/>
        </w:rPr>
        <w:t>1</w:t>
      </w:r>
      <w:r w:rsidRPr="00D81064">
        <w:rPr>
          <w:lang w:val="ru-RU"/>
        </w:rPr>
        <w:tab/>
        <w:t>представить Полномочной конференции 2026 года отчет с подробным описанием финансовых и операционных перспектив инициативы "ИИ во благо" и связанных с ней инициатив, финансируемых из внешних источников (например, конкурсы машинного обучения, Коалиция по навыкам в области ИИ и конкурс стартапов в области ИИ), включая все вклады в натуральной форме, внебюджетные и добровольные взносы, с рекомендациями по устойчивому развитию этой платформы;</w:t>
      </w:r>
    </w:p>
    <w:p w14:paraId="371F05F5" w14:textId="77777777" w:rsidR="002E74E1" w:rsidRPr="00D81064" w:rsidRDefault="002E74E1" w:rsidP="002E74E1">
      <w:pPr>
        <w:rPr>
          <w:lang w:val="ru-RU"/>
        </w:rPr>
      </w:pPr>
      <w:r w:rsidRPr="00D81064">
        <w:rPr>
          <w:lang w:val="ru-RU"/>
        </w:rPr>
        <w:t>2</w:t>
      </w:r>
      <w:r w:rsidRPr="00D81064">
        <w:rPr>
          <w:lang w:val="ru-RU"/>
        </w:rPr>
        <w:tab/>
        <w:t>представлять Совету отчеты о реализации сэкономленных средств бюджета, в том числе о достигнутой эффективности, а также об анализе окупаемости инвестиций/описаниях добавленной ценности инвестиций, осуществленных в рамках этих бюджетных ассигнований;</w:t>
      </w:r>
    </w:p>
    <w:p w14:paraId="3C344D03" w14:textId="77777777" w:rsidR="002E74E1" w:rsidRPr="00D81064" w:rsidRDefault="002E74E1" w:rsidP="002E74E1">
      <w:pPr>
        <w:rPr>
          <w:lang w:val="ru-RU"/>
        </w:rPr>
      </w:pPr>
      <w:r w:rsidRPr="00D81064">
        <w:rPr>
          <w:lang w:val="ru-RU"/>
        </w:rPr>
        <w:lastRenderedPageBreak/>
        <w:t>3</w:t>
      </w:r>
      <w:r w:rsidRPr="00D81064">
        <w:rPr>
          <w:lang w:val="ru-RU"/>
        </w:rPr>
        <w:tab/>
        <w:t>представить Совету отчет о выполнении новой программы добровольного прекращения службы, о плане реорганизации Генерального секретариата и трех Бюро, если таковой имеется, с указанием количества сотрудников, департаментов и классов должностей сотрудников, добровольно уволившихся в соответствии с этой программой.</w:t>
      </w:r>
    </w:p>
    <w:p w14:paraId="45102F1B" w14:textId="0FFD90C7" w:rsidR="00DE4FF1" w:rsidRPr="00D81064" w:rsidRDefault="00DE4FF1" w:rsidP="002E74E1">
      <w:pPr>
        <w:rPr>
          <w:lang w:val="ru-RU"/>
        </w:rPr>
      </w:pPr>
      <w:r w:rsidRPr="00D81064">
        <w:rPr>
          <w:lang w:val="ru-RU"/>
        </w:rPr>
        <w:br w:type="page"/>
      </w:r>
    </w:p>
    <w:p w14:paraId="6D53F04F" w14:textId="77777777" w:rsidR="00DE4FF1" w:rsidRPr="00D81064" w:rsidRDefault="00DE4FF1" w:rsidP="00DE4FF1">
      <w:pPr>
        <w:pStyle w:val="AnnexNo"/>
        <w:rPr>
          <w:lang w:val="ru-RU"/>
        </w:rPr>
      </w:pPr>
      <w:bookmarkStart w:id="19" w:name="AnnexE"/>
      <w:r w:rsidRPr="00D81064">
        <w:rPr>
          <w:lang w:val="ru-RU"/>
        </w:rPr>
        <w:lastRenderedPageBreak/>
        <w:t>ПРИЛОЖЕНИЕ e</w:t>
      </w:r>
      <w:bookmarkEnd w:id="19"/>
    </w:p>
    <w:p w14:paraId="001048D8" w14:textId="3C644265" w:rsidR="00A231E3" w:rsidRPr="00D81064" w:rsidRDefault="00A231E3" w:rsidP="00A231E3">
      <w:pPr>
        <w:pStyle w:val="ResNo"/>
        <w:rPr>
          <w:lang w:val="ru-RU"/>
        </w:rPr>
      </w:pPr>
      <w:r w:rsidRPr="00D81064">
        <w:rPr>
          <w:lang w:val="ru-RU"/>
        </w:rPr>
        <w:t xml:space="preserve">ПРОЕКТ </w:t>
      </w:r>
      <w:r w:rsidR="00DE4FF1" w:rsidRPr="00D81064">
        <w:rPr>
          <w:lang w:val="ru-RU"/>
        </w:rPr>
        <w:t xml:space="preserve">новой </w:t>
      </w:r>
      <w:r w:rsidRPr="00D81064">
        <w:rPr>
          <w:lang w:val="ru-RU"/>
        </w:rPr>
        <w:t>РЕЗОЛЮЦИИ [...]</w:t>
      </w:r>
    </w:p>
    <w:p w14:paraId="0BC73CA5" w14:textId="77777777" w:rsidR="00A231E3" w:rsidRPr="00D81064" w:rsidRDefault="00A231E3" w:rsidP="00A231E3">
      <w:pPr>
        <w:pStyle w:val="Restitle"/>
        <w:rPr>
          <w:lang w:val="ru-RU"/>
        </w:rPr>
      </w:pPr>
      <w:bookmarkStart w:id="20" w:name="_Toc209795216"/>
      <w:r w:rsidRPr="00D81064">
        <w:rPr>
          <w:lang w:val="ru-RU"/>
        </w:rPr>
        <w:t>Условия службы избираемых должностных лиц МСЭ</w:t>
      </w:r>
      <w:bookmarkEnd w:id="20"/>
    </w:p>
    <w:p w14:paraId="756E45EE" w14:textId="77777777" w:rsidR="00A231E3" w:rsidRPr="00D81064" w:rsidRDefault="00A231E3" w:rsidP="00A231E3">
      <w:pPr>
        <w:pStyle w:val="Normalaftertitle"/>
        <w:rPr>
          <w:lang w:val="ru-RU"/>
        </w:rPr>
      </w:pPr>
      <w:r w:rsidRPr="00D81064">
        <w:rPr>
          <w:lang w:val="ru-RU"/>
        </w:rPr>
        <w:t>Совет МСЭ,</w:t>
      </w:r>
    </w:p>
    <w:p w14:paraId="227DA79A" w14:textId="77777777" w:rsidR="00A231E3" w:rsidRPr="00D81064" w:rsidRDefault="00A231E3" w:rsidP="00A231E3">
      <w:pPr>
        <w:pStyle w:val="Call"/>
        <w:rPr>
          <w:lang w:val="ru-RU"/>
        </w:rPr>
      </w:pPr>
      <w:r w:rsidRPr="00D81064">
        <w:rPr>
          <w:lang w:val="ru-RU"/>
        </w:rPr>
        <w:t>напоминая</w:t>
      </w:r>
    </w:p>
    <w:p w14:paraId="49939530" w14:textId="77777777" w:rsidR="00A231E3" w:rsidRPr="00D81064" w:rsidRDefault="00A231E3" w:rsidP="00A231E3">
      <w:pPr>
        <w:rPr>
          <w:lang w:val="ru-RU"/>
        </w:rPr>
      </w:pPr>
      <w:r w:rsidRPr="00D81064">
        <w:rPr>
          <w:lang w:val="ru-RU"/>
        </w:rPr>
        <w:t>о Резолюции 46 (Киото, 1994 г.) Полномочной конференции,</w:t>
      </w:r>
    </w:p>
    <w:p w14:paraId="3DCF2EE6" w14:textId="77777777" w:rsidR="00A231E3" w:rsidRPr="00D81064" w:rsidRDefault="00A231E3" w:rsidP="00A231E3">
      <w:pPr>
        <w:pStyle w:val="Call"/>
        <w:rPr>
          <w:lang w:val="ru-RU"/>
        </w:rPr>
      </w:pPr>
      <w:r w:rsidRPr="00D81064">
        <w:rPr>
          <w:lang w:val="ru-RU"/>
        </w:rPr>
        <w:t>принимая во внимание</w:t>
      </w:r>
    </w:p>
    <w:p w14:paraId="50470CF0" w14:textId="77777777" w:rsidR="00A231E3" w:rsidRPr="00D81064" w:rsidRDefault="00A231E3" w:rsidP="00A231E3">
      <w:pPr>
        <w:rPr>
          <w:lang w:val="ru-RU"/>
        </w:rPr>
      </w:pPr>
      <w:r w:rsidRPr="00D81064">
        <w:rPr>
          <w:lang w:val="ru-RU"/>
        </w:rPr>
        <w:t>отчет Генерального секретаря о мерах, принятых в рамках общей системы Организации Объединенных Наций в соответствии с резолюцией 80/236 Генеральной Ассамблеи Организации Объединенных Наций в отношении условий службы,</w:t>
      </w:r>
    </w:p>
    <w:p w14:paraId="50C835CB" w14:textId="77777777" w:rsidR="00A231E3" w:rsidRPr="00D81064" w:rsidRDefault="00A231E3" w:rsidP="00A231E3">
      <w:pPr>
        <w:pStyle w:val="Call"/>
        <w:rPr>
          <w:lang w:val="ru-RU"/>
        </w:rPr>
      </w:pPr>
      <w:r w:rsidRPr="00D81064">
        <w:rPr>
          <w:lang w:val="ru-RU"/>
        </w:rPr>
        <w:t>решает</w:t>
      </w:r>
    </w:p>
    <w:p w14:paraId="2BC48816" w14:textId="77777777" w:rsidR="00A231E3" w:rsidRPr="00D81064" w:rsidRDefault="00A231E3" w:rsidP="00A231E3">
      <w:pPr>
        <w:spacing w:after="120"/>
        <w:rPr>
          <w:lang w:val="ru-RU"/>
        </w:rPr>
      </w:pPr>
      <w:r w:rsidRPr="00D81064">
        <w:rPr>
          <w:lang w:val="ru-RU"/>
        </w:rPr>
        <w:t>утвердить следующие оклады с 1 января 2026 года и засчитываемое для пенсии вознаграждение с 1 февраля 2026 года для избираемых должностных лиц МСЭ: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5"/>
        <w:gridCol w:w="2075"/>
        <w:gridCol w:w="2075"/>
        <w:gridCol w:w="2076"/>
      </w:tblGrid>
      <w:tr w:rsidR="00A231E3" w:rsidRPr="00D81064" w14:paraId="71C15095" w14:textId="77777777" w:rsidTr="008B29D3">
        <w:trPr>
          <w:jc w:val="center"/>
        </w:trPr>
        <w:tc>
          <w:tcPr>
            <w:tcW w:w="2835" w:type="dxa"/>
            <w:tcBorders>
              <w:top w:val="nil"/>
              <w:left w:val="nil"/>
              <w:bottom w:val="nil"/>
              <w:right w:val="single" w:sz="4" w:space="0" w:color="auto"/>
            </w:tcBorders>
            <w:tcMar>
              <w:top w:w="0" w:type="dxa"/>
              <w:left w:w="108" w:type="dxa"/>
              <w:bottom w:w="0" w:type="dxa"/>
              <w:right w:w="108" w:type="dxa"/>
            </w:tcMar>
          </w:tcPr>
          <w:p w14:paraId="2DA57794" w14:textId="77777777" w:rsidR="00A231E3" w:rsidRPr="00D81064" w:rsidRDefault="00A231E3" w:rsidP="00C60A51">
            <w:pPr>
              <w:pStyle w:val="Tablehead"/>
              <w:rPr>
                <w:lang w:val="ru-RU"/>
              </w:rPr>
            </w:pPr>
          </w:p>
        </w:tc>
        <w:tc>
          <w:tcPr>
            <w:tcW w:w="6226" w:type="dxa"/>
            <w:gridSpan w:val="3"/>
            <w:tcBorders>
              <w:left w:val="single" w:sz="4" w:space="0" w:color="auto"/>
            </w:tcBorders>
            <w:tcMar>
              <w:top w:w="0" w:type="dxa"/>
              <w:left w:w="108" w:type="dxa"/>
              <w:bottom w:w="0" w:type="dxa"/>
              <w:right w:w="108" w:type="dxa"/>
            </w:tcMar>
            <w:hideMark/>
          </w:tcPr>
          <w:p w14:paraId="3FE93C76" w14:textId="77777777" w:rsidR="00A231E3" w:rsidRPr="00D81064" w:rsidRDefault="00A231E3" w:rsidP="00C60A51">
            <w:pPr>
              <w:pStyle w:val="Tablehead"/>
              <w:rPr>
                <w:lang w:val="ru-RU"/>
              </w:rPr>
            </w:pPr>
            <w:r w:rsidRPr="00D81064">
              <w:rPr>
                <w:lang w:val="ru-RU"/>
              </w:rPr>
              <w:t>Долл. США в год</w:t>
            </w:r>
          </w:p>
        </w:tc>
      </w:tr>
      <w:tr w:rsidR="00A231E3" w:rsidRPr="00115736" w14:paraId="24EBFCAA" w14:textId="77777777" w:rsidTr="008B29D3">
        <w:trPr>
          <w:jc w:val="center"/>
        </w:trPr>
        <w:tc>
          <w:tcPr>
            <w:tcW w:w="2835" w:type="dxa"/>
            <w:tcBorders>
              <w:top w:val="nil"/>
              <w:left w:val="nil"/>
              <w:bottom w:val="single" w:sz="4" w:space="0" w:color="auto"/>
              <w:right w:val="single" w:sz="4" w:space="0" w:color="auto"/>
            </w:tcBorders>
            <w:tcMar>
              <w:top w:w="0" w:type="dxa"/>
              <w:left w:w="108" w:type="dxa"/>
              <w:bottom w:w="0" w:type="dxa"/>
              <w:right w:w="108" w:type="dxa"/>
            </w:tcMar>
          </w:tcPr>
          <w:p w14:paraId="203D5C8A" w14:textId="77777777" w:rsidR="00A231E3" w:rsidRPr="00D81064" w:rsidRDefault="00A231E3" w:rsidP="00C60A51">
            <w:pPr>
              <w:pStyle w:val="Tablehead"/>
              <w:rPr>
                <w:lang w:val="ru-RU"/>
              </w:rPr>
            </w:pPr>
          </w:p>
        </w:tc>
        <w:tc>
          <w:tcPr>
            <w:tcW w:w="2075" w:type="dxa"/>
            <w:tcBorders>
              <w:left w:val="single" w:sz="4" w:space="0" w:color="auto"/>
            </w:tcBorders>
            <w:tcMar>
              <w:top w:w="0" w:type="dxa"/>
              <w:left w:w="108" w:type="dxa"/>
              <w:bottom w:w="0" w:type="dxa"/>
              <w:right w:w="108" w:type="dxa"/>
            </w:tcMar>
            <w:vAlign w:val="center"/>
            <w:hideMark/>
          </w:tcPr>
          <w:p w14:paraId="6D13F013" w14:textId="77777777" w:rsidR="00A231E3" w:rsidRPr="00D81064" w:rsidRDefault="00A231E3" w:rsidP="00C60A51">
            <w:pPr>
              <w:pStyle w:val="Tablehead"/>
              <w:rPr>
                <w:lang w:val="ru-RU"/>
              </w:rPr>
            </w:pPr>
            <w:r w:rsidRPr="00D81064">
              <w:rPr>
                <w:bCs/>
                <w:lang w:val="ru-RU"/>
              </w:rPr>
              <w:t xml:space="preserve">Валовой оклад </w:t>
            </w:r>
            <w:r w:rsidRPr="00D81064">
              <w:rPr>
                <w:bCs/>
                <w:lang w:val="ru-RU"/>
              </w:rPr>
              <w:br/>
              <w:t>(1 января 2026 г.)</w:t>
            </w:r>
          </w:p>
        </w:tc>
        <w:tc>
          <w:tcPr>
            <w:tcW w:w="2075" w:type="dxa"/>
            <w:tcMar>
              <w:top w:w="0" w:type="dxa"/>
              <w:left w:w="108" w:type="dxa"/>
              <w:bottom w:w="0" w:type="dxa"/>
              <w:right w:w="108" w:type="dxa"/>
            </w:tcMar>
            <w:vAlign w:val="center"/>
            <w:hideMark/>
          </w:tcPr>
          <w:p w14:paraId="30EDEFDB" w14:textId="77777777" w:rsidR="00A231E3" w:rsidRPr="00D81064" w:rsidRDefault="00A231E3" w:rsidP="00C60A51">
            <w:pPr>
              <w:pStyle w:val="Tablehead"/>
              <w:rPr>
                <w:lang w:val="ru-RU"/>
              </w:rPr>
            </w:pPr>
            <w:r w:rsidRPr="00D81064">
              <w:rPr>
                <w:bCs/>
                <w:lang w:val="ru-RU"/>
              </w:rPr>
              <w:t xml:space="preserve">Чистый оклад </w:t>
            </w:r>
            <w:r w:rsidRPr="00D81064">
              <w:rPr>
                <w:bCs/>
                <w:lang w:val="ru-RU"/>
              </w:rPr>
              <w:br/>
              <w:t>(1 января 2026 г.)</w:t>
            </w:r>
          </w:p>
        </w:tc>
        <w:tc>
          <w:tcPr>
            <w:tcW w:w="2076" w:type="dxa"/>
            <w:vAlign w:val="center"/>
            <w:hideMark/>
          </w:tcPr>
          <w:p w14:paraId="33176E37" w14:textId="77777777" w:rsidR="00A231E3" w:rsidRPr="00D81064" w:rsidRDefault="00A231E3" w:rsidP="00C60A51">
            <w:pPr>
              <w:pStyle w:val="Tablehead"/>
              <w:rPr>
                <w:lang w:val="ru-RU"/>
              </w:rPr>
            </w:pPr>
            <w:r w:rsidRPr="00D81064">
              <w:rPr>
                <w:lang w:val="ru-RU"/>
              </w:rPr>
              <w:t>Засчитываемое для пенсии вознаграждение</w:t>
            </w:r>
            <w:r w:rsidRPr="00D81064">
              <w:rPr>
                <w:lang w:val="ru-RU"/>
              </w:rPr>
              <w:br/>
            </w:r>
            <w:r w:rsidRPr="00D81064">
              <w:rPr>
                <w:bCs/>
                <w:lang w:val="ru-RU"/>
              </w:rPr>
              <w:t>(1 февраля 2026 г.)</w:t>
            </w:r>
          </w:p>
        </w:tc>
      </w:tr>
      <w:tr w:rsidR="00A231E3" w:rsidRPr="00D81064" w14:paraId="594D1ED8" w14:textId="77777777" w:rsidTr="008B29D3">
        <w:trPr>
          <w:jc w:val="center"/>
        </w:trPr>
        <w:tc>
          <w:tcPr>
            <w:tcW w:w="2835" w:type="dxa"/>
            <w:tcBorders>
              <w:top w:val="single" w:sz="4" w:space="0" w:color="auto"/>
            </w:tcBorders>
            <w:tcMar>
              <w:top w:w="0" w:type="dxa"/>
              <w:left w:w="108" w:type="dxa"/>
              <w:bottom w:w="0" w:type="dxa"/>
              <w:right w:w="108" w:type="dxa"/>
            </w:tcMar>
            <w:hideMark/>
          </w:tcPr>
          <w:p w14:paraId="0C48C094" w14:textId="77777777" w:rsidR="00A231E3" w:rsidRPr="00D81064" w:rsidRDefault="00A231E3" w:rsidP="00C60A51">
            <w:pPr>
              <w:pStyle w:val="Tabletext"/>
              <w:rPr>
                <w:lang w:val="ru-RU"/>
              </w:rPr>
            </w:pPr>
            <w:r w:rsidRPr="00D81064">
              <w:rPr>
                <w:lang w:val="ru-RU"/>
              </w:rPr>
              <w:t>Генеральный секретарь</w:t>
            </w:r>
          </w:p>
        </w:tc>
        <w:tc>
          <w:tcPr>
            <w:tcW w:w="2075" w:type="dxa"/>
            <w:tcMar>
              <w:top w:w="0" w:type="dxa"/>
              <w:left w:w="108" w:type="dxa"/>
              <w:bottom w:w="0" w:type="dxa"/>
              <w:right w:w="108" w:type="dxa"/>
            </w:tcMar>
            <w:vAlign w:val="center"/>
            <w:hideMark/>
          </w:tcPr>
          <w:p w14:paraId="5E10B7CB" w14:textId="77777777" w:rsidR="00A231E3" w:rsidRPr="00D81064" w:rsidRDefault="00A231E3" w:rsidP="008B29D3">
            <w:pPr>
              <w:pStyle w:val="Tabletext"/>
              <w:jc w:val="center"/>
              <w:rPr>
                <w:lang w:val="ru-RU"/>
              </w:rPr>
            </w:pPr>
            <w:r w:rsidRPr="00D81064">
              <w:rPr>
                <w:lang w:val="ru-RU"/>
              </w:rPr>
              <w:t>288 867</w:t>
            </w:r>
          </w:p>
        </w:tc>
        <w:tc>
          <w:tcPr>
            <w:tcW w:w="2075" w:type="dxa"/>
            <w:tcMar>
              <w:top w:w="0" w:type="dxa"/>
              <w:left w:w="108" w:type="dxa"/>
              <w:bottom w:w="0" w:type="dxa"/>
              <w:right w:w="108" w:type="dxa"/>
            </w:tcMar>
            <w:vAlign w:val="center"/>
            <w:hideMark/>
          </w:tcPr>
          <w:p w14:paraId="4267D245" w14:textId="77777777" w:rsidR="00A231E3" w:rsidRPr="00D81064" w:rsidRDefault="00A231E3" w:rsidP="008B29D3">
            <w:pPr>
              <w:pStyle w:val="Tabletext"/>
              <w:jc w:val="center"/>
              <w:rPr>
                <w:lang w:val="ru-RU"/>
              </w:rPr>
            </w:pPr>
            <w:r w:rsidRPr="00D81064">
              <w:rPr>
                <w:lang w:val="ru-RU"/>
              </w:rPr>
              <w:t>206 152</w:t>
            </w:r>
          </w:p>
        </w:tc>
        <w:tc>
          <w:tcPr>
            <w:tcW w:w="2076" w:type="dxa"/>
            <w:vAlign w:val="center"/>
          </w:tcPr>
          <w:p w14:paraId="23FA6DA5" w14:textId="77777777" w:rsidR="00A231E3" w:rsidRPr="00D81064" w:rsidRDefault="00A231E3" w:rsidP="008B29D3">
            <w:pPr>
              <w:pStyle w:val="Tabletext"/>
              <w:jc w:val="center"/>
              <w:rPr>
                <w:lang w:val="ru-RU"/>
              </w:rPr>
            </w:pPr>
            <w:r w:rsidRPr="00D81064">
              <w:rPr>
                <w:lang w:val="ru-RU"/>
              </w:rPr>
              <w:t>473 439</w:t>
            </w:r>
          </w:p>
        </w:tc>
      </w:tr>
      <w:tr w:rsidR="00A231E3" w:rsidRPr="00D81064" w14:paraId="429B1774" w14:textId="77777777" w:rsidTr="008B29D3">
        <w:trPr>
          <w:jc w:val="center"/>
        </w:trPr>
        <w:tc>
          <w:tcPr>
            <w:tcW w:w="2835" w:type="dxa"/>
            <w:tcMar>
              <w:top w:w="0" w:type="dxa"/>
              <w:left w:w="108" w:type="dxa"/>
              <w:bottom w:w="0" w:type="dxa"/>
              <w:right w:w="108" w:type="dxa"/>
            </w:tcMar>
            <w:hideMark/>
          </w:tcPr>
          <w:p w14:paraId="7EA51E61" w14:textId="77777777" w:rsidR="00A231E3" w:rsidRPr="00D81064" w:rsidRDefault="00A231E3" w:rsidP="00C60A51">
            <w:pPr>
              <w:pStyle w:val="Tabletext"/>
              <w:rPr>
                <w:lang w:val="ru-RU"/>
              </w:rPr>
            </w:pPr>
            <w:r w:rsidRPr="00D81064">
              <w:rPr>
                <w:lang w:val="ru-RU"/>
              </w:rPr>
              <w:t>Заместитель Генерального секретаря и Директора Бюро</w:t>
            </w:r>
          </w:p>
        </w:tc>
        <w:tc>
          <w:tcPr>
            <w:tcW w:w="2075" w:type="dxa"/>
            <w:tcMar>
              <w:top w:w="0" w:type="dxa"/>
              <w:left w:w="108" w:type="dxa"/>
              <w:bottom w:w="0" w:type="dxa"/>
              <w:right w:w="108" w:type="dxa"/>
            </w:tcMar>
            <w:vAlign w:val="center"/>
            <w:hideMark/>
          </w:tcPr>
          <w:p w14:paraId="1F8B6E3E" w14:textId="77777777" w:rsidR="00A231E3" w:rsidRPr="00D81064" w:rsidRDefault="00A231E3" w:rsidP="008B29D3">
            <w:pPr>
              <w:pStyle w:val="Tabletext"/>
              <w:jc w:val="center"/>
              <w:rPr>
                <w:lang w:val="ru-RU"/>
              </w:rPr>
            </w:pPr>
            <w:r w:rsidRPr="00D81064">
              <w:rPr>
                <w:lang w:val="ru-RU"/>
              </w:rPr>
              <w:t>263 226</w:t>
            </w:r>
          </w:p>
        </w:tc>
        <w:tc>
          <w:tcPr>
            <w:tcW w:w="2075" w:type="dxa"/>
            <w:tcMar>
              <w:top w:w="0" w:type="dxa"/>
              <w:left w:w="108" w:type="dxa"/>
              <w:bottom w:w="0" w:type="dxa"/>
              <w:right w:w="108" w:type="dxa"/>
            </w:tcMar>
            <w:vAlign w:val="center"/>
            <w:hideMark/>
          </w:tcPr>
          <w:p w14:paraId="431115DE" w14:textId="77777777" w:rsidR="00A231E3" w:rsidRPr="00D81064" w:rsidRDefault="00A231E3" w:rsidP="008B29D3">
            <w:pPr>
              <w:pStyle w:val="Tabletext"/>
              <w:jc w:val="center"/>
              <w:rPr>
                <w:lang w:val="ru-RU"/>
              </w:rPr>
            </w:pPr>
            <w:r w:rsidRPr="00D81064">
              <w:rPr>
                <w:lang w:val="ru-RU"/>
              </w:rPr>
              <w:t>189 229</w:t>
            </w:r>
          </w:p>
        </w:tc>
        <w:tc>
          <w:tcPr>
            <w:tcW w:w="2076" w:type="dxa"/>
            <w:vAlign w:val="center"/>
          </w:tcPr>
          <w:p w14:paraId="0180BB38" w14:textId="77777777" w:rsidR="00A231E3" w:rsidRPr="00D81064" w:rsidRDefault="00A231E3" w:rsidP="008B29D3">
            <w:pPr>
              <w:pStyle w:val="Tabletext"/>
              <w:jc w:val="center"/>
              <w:rPr>
                <w:lang w:val="ru-RU"/>
              </w:rPr>
            </w:pPr>
            <w:r w:rsidRPr="00D81064">
              <w:rPr>
                <w:lang w:val="ru-RU"/>
              </w:rPr>
              <w:t>439 098</w:t>
            </w:r>
          </w:p>
        </w:tc>
      </w:tr>
    </w:tbl>
    <w:p w14:paraId="6CC3CAE7" w14:textId="77777777" w:rsidR="00DE4FF1" w:rsidRPr="00D81064" w:rsidRDefault="00DE4FF1" w:rsidP="00DE4FF1">
      <w:pPr>
        <w:spacing w:before="720"/>
        <w:jc w:val="center"/>
        <w:rPr>
          <w:lang w:val="ru-RU"/>
        </w:rPr>
      </w:pPr>
      <w:r w:rsidRPr="00D81064">
        <w:rPr>
          <w:lang w:val="ru-RU"/>
        </w:rPr>
        <w:t>______________</w:t>
      </w:r>
    </w:p>
    <w:sectPr w:rsidR="00DE4FF1" w:rsidRPr="00D81064" w:rsidSect="00796BD3">
      <w:footerReference w:type="default" r:id="rId263"/>
      <w:headerReference w:type="first" r:id="rId264"/>
      <w:footerReference w:type="first" r:id="rId265"/>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87E9E" w14:textId="77777777" w:rsidR="0093621B" w:rsidRDefault="0093621B">
      <w:r>
        <w:separator/>
      </w:r>
    </w:p>
  </w:endnote>
  <w:endnote w:type="continuationSeparator" w:id="0">
    <w:p w14:paraId="1CA46925" w14:textId="77777777" w:rsidR="0093621B" w:rsidRDefault="00936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672F8A" w:rsidRPr="00784011" w14:paraId="7B05F889" w14:textId="77777777" w:rsidTr="00E31DCE">
      <w:trPr>
        <w:jc w:val="center"/>
      </w:trPr>
      <w:tc>
        <w:tcPr>
          <w:tcW w:w="1803" w:type="dxa"/>
          <w:vAlign w:val="center"/>
        </w:tcPr>
        <w:p w14:paraId="477C2538" w14:textId="4DC81528" w:rsidR="00672F8A" w:rsidRDefault="00345D2A" w:rsidP="00672F8A">
          <w:pPr>
            <w:pStyle w:val="Header"/>
            <w:jc w:val="left"/>
            <w:rPr>
              <w:noProof/>
            </w:rPr>
          </w:pPr>
          <w:r>
            <w:rPr>
              <w:noProof/>
            </w:rPr>
            <w:t xml:space="preserve">gDoc </w:t>
          </w:r>
          <w:r w:rsidR="002D3947" w:rsidRPr="002D3947">
            <w:rPr>
              <w:noProof/>
            </w:rPr>
            <w:t>2601168</w:t>
          </w:r>
        </w:p>
      </w:tc>
      <w:tc>
        <w:tcPr>
          <w:tcW w:w="8261" w:type="dxa"/>
        </w:tcPr>
        <w:p w14:paraId="00ACAA18" w14:textId="6D354A4D" w:rsidR="00672F8A" w:rsidRPr="00E06FD5" w:rsidRDefault="00672F8A" w:rsidP="00C462C5">
          <w:pPr>
            <w:pStyle w:val="Header"/>
            <w:tabs>
              <w:tab w:val="left" w:pos="6448"/>
              <w:tab w:val="right" w:pos="8505"/>
              <w:tab w:val="right" w:pos="9639"/>
            </w:tabs>
            <w:jc w:val="left"/>
            <w:rPr>
              <w:rFonts w:ascii="Arial" w:hAnsi="Arial" w:cs="Arial"/>
              <w:b/>
              <w:bCs/>
              <w:szCs w:val="18"/>
            </w:rPr>
          </w:pPr>
          <w:r>
            <w:rPr>
              <w:bCs/>
            </w:rPr>
            <w:tab/>
          </w:r>
          <w:r w:rsidRPr="00623AE3">
            <w:rPr>
              <w:bCs/>
            </w:rPr>
            <w:t>C</w:t>
          </w:r>
          <w:r>
            <w:rPr>
              <w:bCs/>
            </w:rPr>
            <w:t>2</w:t>
          </w:r>
          <w:r w:rsidR="00BE00DD">
            <w:rPr>
              <w:bCs/>
            </w:rPr>
            <w:t>6</w:t>
          </w:r>
          <w:r w:rsidRPr="00623AE3">
            <w:rPr>
              <w:bCs/>
            </w:rPr>
            <w:t>/</w:t>
          </w:r>
          <w:r w:rsidR="002D3947">
            <w:rPr>
              <w:bCs/>
              <w:lang w:val="ru-RU"/>
            </w:rPr>
            <w:t>116</w:t>
          </w:r>
          <w:r w:rsidRPr="00623AE3">
            <w:rPr>
              <w:bCs/>
            </w:rPr>
            <w:t>-</w:t>
          </w:r>
          <w:r w:rsidR="00165D06">
            <w:rPr>
              <w:bCs/>
            </w:rPr>
            <w:t>R</w:t>
          </w:r>
          <w:r>
            <w:rPr>
              <w:bCs/>
            </w:rPr>
            <w:tab/>
          </w:r>
          <w:r>
            <w:fldChar w:fldCharType="begin"/>
          </w:r>
          <w:r>
            <w:instrText>PAGE</w:instrText>
          </w:r>
          <w:r>
            <w:fldChar w:fldCharType="separate"/>
          </w:r>
          <w:r>
            <w:t>1</w:t>
          </w:r>
          <w:r>
            <w:rPr>
              <w:noProof/>
            </w:rPr>
            <w:fldChar w:fldCharType="end"/>
          </w:r>
        </w:p>
      </w:tc>
    </w:tr>
  </w:tbl>
  <w:p w14:paraId="2F1CAB37" w14:textId="77777777" w:rsidR="000E568E" w:rsidRPr="00672F8A" w:rsidRDefault="000E568E" w:rsidP="00672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672F8A" w:rsidRPr="00784011" w14:paraId="0AA1B1A3" w14:textId="77777777" w:rsidTr="00E31DCE">
      <w:trPr>
        <w:jc w:val="center"/>
      </w:trPr>
      <w:tc>
        <w:tcPr>
          <w:tcW w:w="1803" w:type="dxa"/>
          <w:vAlign w:val="center"/>
        </w:tcPr>
        <w:p w14:paraId="50289880" w14:textId="77777777" w:rsidR="00672F8A" w:rsidRDefault="00D631AA" w:rsidP="00672F8A">
          <w:pPr>
            <w:pStyle w:val="Header"/>
            <w:jc w:val="left"/>
            <w:rPr>
              <w:noProof/>
            </w:rPr>
          </w:pPr>
          <w:hyperlink r:id="rId1" w:anchor="/ru" w:history="1">
            <w:r w:rsidRPr="00BE00DD">
              <w:rPr>
                <w:rStyle w:val="Hyperlink"/>
                <w:szCs w:val="14"/>
              </w:rPr>
              <w:t>council.itu.int/202</w:t>
            </w:r>
            <w:r w:rsidR="00BE00DD" w:rsidRPr="00BE00DD">
              <w:rPr>
                <w:rStyle w:val="Hyperlink"/>
                <w:szCs w:val="14"/>
              </w:rPr>
              <w:t>6</w:t>
            </w:r>
          </w:hyperlink>
          <w:r w:rsidR="00BE00DD">
            <w:rPr>
              <w:color w:val="0563C1"/>
              <w:szCs w:val="14"/>
            </w:rPr>
            <w:t xml:space="preserve"> </w:t>
          </w:r>
        </w:p>
      </w:tc>
      <w:tc>
        <w:tcPr>
          <w:tcW w:w="8261" w:type="dxa"/>
        </w:tcPr>
        <w:p w14:paraId="406F5877" w14:textId="70095094" w:rsidR="00672F8A" w:rsidRPr="00E06FD5" w:rsidRDefault="00672F8A" w:rsidP="00C462C5">
          <w:pPr>
            <w:pStyle w:val="Header"/>
            <w:tabs>
              <w:tab w:val="left" w:pos="6448"/>
              <w:tab w:val="right" w:pos="8505"/>
              <w:tab w:val="right" w:pos="9639"/>
            </w:tabs>
            <w:jc w:val="left"/>
            <w:rPr>
              <w:rFonts w:ascii="Arial" w:hAnsi="Arial" w:cs="Arial"/>
              <w:b/>
              <w:bCs/>
              <w:szCs w:val="18"/>
            </w:rPr>
          </w:pPr>
          <w:r>
            <w:rPr>
              <w:bCs/>
            </w:rPr>
            <w:tab/>
          </w:r>
          <w:r w:rsidRPr="00623AE3">
            <w:rPr>
              <w:bCs/>
            </w:rPr>
            <w:t>C</w:t>
          </w:r>
          <w:r>
            <w:rPr>
              <w:bCs/>
            </w:rPr>
            <w:t>2</w:t>
          </w:r>
          <w:r w:rsidR="00BE00DD">
            <w:rPr>
              <w:bCs/>
            </w:rPr>
            <w:t>6</w:t>
          </w:r>
          <w:r w:rsidRPr="00623AE3">
            <w:rPr>
              <w:bCs/>
            </w:rPr>
            <w:t>/</w:t>
          </w:r>
          <w:r w:rsidR="002D3947">
            <w:rPr>
              <w:bCs/>
              <w:lang w:val="ru-RU"/>
            </w:rPr>
            <w:t>116</w:t>
          </w:r>
          <w:r w:rsidRPr="00623AE3">
            <w:rPr>
              <w:bCs/>
            </w:rPr>
            <w:t>-</w:t>
          </w:r>
          <w:r>
            <w:rPr>
              <w:bCs/>
            </w:rPr>
            <w:t>R</w:t>
          </w:r>
          <w:r>
            <w:rPr>
              <w:bCs/>
            </w:rPr>
            <w:tab/>
          </w:r>
          <w:r>
            <w:fldChar w:fldCharType="begin"/>
          </w:r>
          <w:r>
            <w:instrText>PAGE</w:instrText>
          </w:r>
          <w:r>
            <w:fldChar w:fldCharType="separate"/>
          </w:r>
          <w:r>
            <w:t>1</w:t>
          </w:r>
          <w:r>
            <w:rPr>
              <w:noProof/>
            </w:rPr>
            <w:fldChar w:fldCharType="end"/>
          </w:r>
        </w:p>
      </w:tc>
    </w:tr>
  </w:tbl>
  <w:p w14:paraId="78287CF9" w14:textId="77777777" w:rsidR="000E568E" w:rsidRPr="00672F8A" w:rsidRDefault="000E568E" w:rsidP="00672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90FF9" w14:textId="77777777" w:rsidR="0093621B" w:rsidRDefault="0093621B">
      <w:r>
        <w:t>____________________</w:t>
      </w:r>
    </w:p>
  </w:footnote>
  <w:footnote w:type="continuationSeparator" w:id="0">
    <w:p w14:paraId="3C145834" w14:textId="77777777" w:rsidR="0093621B" w:rsidRDefault="009362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F93EE" w14:textId="77777777" w:rsidR="0014229E" w:rsidRPr="007E5FC4" w:rsidRDefault="00244C39" w:rsidP="00A74304">
    <w:pPr>
      <w:pStyle w:val="Header"/>
      <w:spacing w:before="60"/>
      <w:ind w:left="113"/>
      <w:jc w:val="left"/>
    </w:pPr>
    <w:r>
      <w:rPr>
        <w:noProof/>
      </w:rPr>
      <w:drawing>
        <wp:inline distT="0" distB="0" distL="0" distR="0" wp14:anchorId="1A62512A" wp14:editId="48D08642">
          <wp:extent cx="3992140" cy="720000"/>
          <wp:effectExtent l="0" t="0" r="0" b="0"/>
          <wp:docPr id="5012727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72706" name="Picture 501272706"/>
                  <pic:cNvPicPr/>
                </pic:nvPicPr>
                <pic:blipFill>
                  <a:blip r:embed="rId1">
                    <a:extLst>
                      <a:ext uri="{28A0092B-C50C-407E-A947-70E740481C1C}">
                        <a14:useLocalDpi xmlns:a14="http://schemas.microsoft.com/office/drawing/2010/main" val="0"/>
                      </a:ext>
                    </a:extLst>
                  </a:blip>
                  <a:stretch>
                    <a:fillRect/>
                  </a:stretch>
                </pic:blipFill>
                <pic:spPr>
                  <a:xfrm>
                    <a:off x="0" y="0"/>
                    <a:ext cx="3992140"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034693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860"/>
    <w:rsid w:val="00005BE0"/>
    <w:rsid w:val="00017C1F"/>
    <w:rsid w:val="0002183E"/>
    <w:rsid w:val="00021BB4"/>
    <w:rsid w:val="0003480C"/>
    <w:rsid w:val="00035EE3"/>
    <w:rsid w:val="0003737E"/>
    <w:rsid w:val="00054FFD"/>
    <w:rsid w:val="000569B4"/>
    <w:rsid w:val="0006007D"/>
    <w:rsid w:val="00064F52"/>
    <w:rsid w:val="00080E82"/>
    <w:rsid w:val="00085D8B"/>
    <w:rsid w:val="0008700D"/>
    <w:rsid w:val="000934DD"/>
    <w:rsid w:val="000A10CA"/>
    <w:rsid w:val="000A1765"/>
    <w:rsid w:val="000B2DE7"/>
    <w:rsid w:val="000B4E93"/>
    <w:rsid w:val="000D45EC"/>
    <w:rsid w:val="000E4DF3"/>
    <w:rsid w:val="000E568E"/>
    <w:rsid w:val="000E6C3F"/>
    <w:rsid w:val="000E6F88"/>
    <w:rsid w:val="0011317D"/>
    <w:rsid w:val="00115736"/>
    <w:rsid w:val="00131947"/>
    <w:rsid w:val="0014229E"/>
    <w:rsid w:val="0014734F"/>
    <w:rsid w:val="00156890"/>
    <w:rsid w:val="0015710D"/>
    <w:rsid w:val="00163A32"/>
    <w:rsid w:val="00165D06"/>
    <w:rsid w:val="001704CD"/>
    <w:rsid w:val="00192B41"/>
    <w:rsid w:val="001A2C26"/>
    <w:rsid w:val="001B24D8"/>
    <w:rsid w:val="001B7B09"/>
    <w:rsid w:val="001C42DB"/>
    <w:rsid w:val="001D3B2D"/>
    <w:rsid w:val="001D5C90"/>
    <w:rsid w:val="001E6719"/>
    <w:rsid w:val="001E7F50"/>
    <w:rsid w:val="001F051B"/>
    <w:rsid w:val="00206178"/>
    <w:rsid w:val="00207F31"/>
    <w:rsid w:val="00212D70"/>
    <w:rsid w:val="00221F27"/>
    <w:rsid w:val="002252F3"/>
    <w:rsid w:val="00225368"/>
    <w:rsid w:val="00227FF0"/>
    <w:rsid w:val="00230A8C"/>
    <w:rsid w:val="00244C39"/>
    <w:rsid w:val="00245B7D"/>
    <w:rsid w:val="00263248"/>
    <w:rsid w:val="00265407"/>
    <w:rsid w:val="00267E7D"/>
    <w:rsid w:val="002759CF"/>
    <w:rsid w:val="00276F05"/>
    <w:rsid w:val="00277DEA"/>
    <w:rsid w:val="00281713"/>
    <w:rsid w:val="00283F60"/>
    <w:rsid w:val="00291EB6"/>
    <w:rsid w:val="002B31D8"/>
    <w:rsid w:val="002C3F32"/>
    <w:rsid w:val="002D2F57"/>
    <w:rsid w:val="002D3947"/>
    <w:rsid w:val="002D48C5"/>
    <w:rsid w:val="002E66FD"/>
    <w:rsid w:val="002E74E1"/>
    <w:rsid w:val="003042C7"/>
    <w:rsid w:val="00306165"/>
    <w:rsid w:val="0030752A"/>
    <w:rsid w:val="00315527"/>
    <w:rsid w:val="0033025A"/>
    <w:rsid w:val="00330678"/>
    <w:rsid w:val="00345D2A"/>
    <w:rsid w:val="00361CC5"/>
    <w:rsid w:val="00371A68"/>
    <w:rsid w:val="00373264"/>
    <w:rsid w:val="00381936"/>
    <w:rsid w:val="003935CB"/>
    <w:rsid w:val="003A1F6A"/>
    <w:rsid w:val="003D3105"/>
    <w:rsid w:val="003D32A1"/>
    <w:rsid w:val="003E30A4"/>
    <w:rsid w:val="003F099E"/>
    <w:rsid w:val="003F235E"/>
    <w:rsid w:val="00401FD7"/>
    <w:rsid w:val="004023E0"/>
    <w:rsid w:val="00403DD8"/>
    <w:rsid w:val="004070A0"/>
    <w:rsid w:val="00421781"/>
    <w:rsid w:val="00425CA7"/>
    <w:rsid w:val="00431318"/>
    <w:rsid w:val="00442515"/>
    <w:rsid w:val="00455636"/>
    <w:rsid w:val="0045686C"/>
    <w:rsid w:val="00465C35"/>
    <w:rsid w:val="00481869"/>
    <w:rsid w:val="004918C4"/>
    <w:rsid w:val="00497703"/>
    <w:rsid w:val="004A0374"/>
    <w:rsid w:val="004A45B5"/>
    <w:rsid w:val="004B40D2"/>
    <w:rsid w:val="004D0129"/>
    <w:rsid w:val="004E1E5F"/>
    <w:rsid w:val="004F7486"/>
    <w:rsid w:val="00510860"/>
    <w:rsid w:val="00515795"/>
    <w:rsid w:val="00527E2B"/>
    <w:rsid w:val="00527F5E"/>
    <w:rsid w:val="00541BB4"/>
    <w:rsid w:val="00550A92"/>
    <w:rsid w:val="00552BE2"/>
    <w:rsid w:val="005738A6"/>
    <w:rsid w:val="00592044"/>
    <w:rsid w:val="00593E6D"/>
    <w:rsid w:val="005A64D5"/>
    <w:rsid w:val="005B24DF"/>
    <w:rsid w:val="005B3DEC"/>
    <w:rsid w:val="005C1CBE"/>
    <w:rsid w:val="005D2FCB"/>
    <w:rsid w:val="005D4E0D"/>
    <w:rsid w:val="005D69E3"/>
    <w:rsid w:val="005F68EC"/>
    <w:rsid w:val="005F6F9D"/>
    <w:rsid w:val="00601994"/>
    <w:rsid w:val="00636F79"/>
    <w:rsid w:val="006546B4"/>
    <w:rsid w:val="00660449"/>
    <w:rsid w:val="006622E4"/>
    <w:rsid w:val="00672F8A"/>
    <w:rsid w:val="006C1508"/>
    <w:rsid w:val="006E2D42"/>
    <w:rsid w:val="006E70B5"/>
    <w:rsid w:val="00700E56"/>
    <w:rsid w:val="00703676"/>
    <w:rsid w:val="00707304"/>
    <w:rsid w:val="00712028"/>
    <w:rsid w:val="00726326"/>
    <w:rsid w:val="00732269"/>
    <w:rsid w:val="00741278"/>
    <w:rsid w:val="00746FEA"/>
    <w:rsid w:val="00762555"/>
    <w:rsid w:val="0077110E"/>
    <w:rsid w:val="0077354A"/>
    <w:rsid w:val="0078108A"/>
    <w:rsid w:val="00784980"/>
    <w:rsid w:val="00785ABD"/>
    <w:rsid w:val="00796BD3"/>
    <w:rsid w:val="007A277C"/>
    <w:rsid w:val="007A2DD4"/>
    <w:rsid w:val="007A3D38"/>
    <w:rsid w:val="007A7008"/>
    <w:rsid w:val="007C0D72"/>
    <w:rsid w:val="007C3A87"/>
    <w:rsid w:val="007C6049"/>
    <w:rsid w:val="007D29A7"/>
    <w:rsid w:val="007D38B5"/>
    <w:rsid w:val="007E5FC4"/>
    <w:rsid w:val="007E7EA0"/>
    <w:rsid w:val="00807255"/>
    <w:rsid w:val="0081023E"/>
    <w:rsid w:val="008173AA"/>
    <w:rsid w:val="00823CC7"/>
    <w:rsid w:val="008331FB"/>
    <w:rsid w:val="00840A14"/>
    <w:rsid w:val="00842A96"/>
    <w:rsid w:val="0084546D"/>
    <w:rsid w:val="00847EE3"/>
    <w:rsid w:val="00856AFA"/>
    <w:rsid w:val="00886DBD"/>
    <w:rsid w:val="0088780A"/>
    <w:rsid w:val="008A0CCA"/>
    <w:rsid w:val="008B29D3"/>
    <w:rsid w:val="008B4D8A"/>
    <w:rsid w:val="008B62B4"/>
    <w:rsid w:val="008B7542"/>
    <w:rsid w:val="008D0E1A"/>
    <w:rsid w:val="008D2D7B"/>
    <w:rsid w:val="008E0737"/>
    <w:rsid w:val="008F1A7E"/>
    <w:rsid w:val="008F36BA"/>
    <w:rsid w:val="008F7958"/>
    <w:rsid w:val="008F7C2C"/>
    <w:rsid w:val="00901946"/>
    <w:rsid w:val="0093621B"/>
    <w:rsid w:val="00940E96"/>
    <w:rsid w:val="00950A82"/>
    <w:rsid w:val="009956D8"/>
    <w:rsid w:val="00997CB4"/>
    <w:rsid w:val="009A76A8"/>
    <w:rsid w:val="009B0BAE"/>
    <w:rsid w:val="009B2CEA"/>
    <w:rsid w:val="009B5A3A"/>
    <w:rsid w:val="009C1C89"/>
    <w:rsid w:val="009C366B"/>
    <w:rsid w:val="009C3E18"/>
    <w:rsid w:val="009F3448"/>
    <w:rsid w:val="009F495A"/>
    <w:rsid w:val="009F4BFD"/>
    <w:rsid w:val="00A01CF9"/>
    <w:rsid w:val="00A01F4F"/>
    <w:rsid w:val="00A109AF"/>
    <w:rsid w:val="00A11F48"/>
    <w:rsid w:val="00A14A1E"/>
    <w:rsid w:val="00A20B63"/>
    <w:rsid w:val="00A231E3"/>
    <w:rsid w:val="00A3481C"/>
    <w:rsid w:val="00A34988"/>
    <w:rsid w:val="00A405F9"/>
    <w:rsid w:val="00A461B7"/>
    <w:rsid w:val="00A504A0"/>
    <w:rsid w:val="00A54C84"/>
    <w:rsid w:val="00A564FE"/>
    <w:rsid w:val="00A71773"/>
    <w:rsid w:val="00A74304"/>
    <w:rsid w:val="00AA64E8"/>
    <w:rsid w:val="00AB2E1E"/>
    <w:rsid w:val="00AC3268"/>
    <w:rsid w:val="00AC4239"/>
    <w:rsid w:val="00AE2C85"/>
    <w:rsid w:val="00B0107F"/>
    <w:rsid w:val="00B05DC3"/>
    <w:rsid w:val="00B05DEF"/>
    <w:rsid w:val="00B12A37"/>
    <w:rsid w:val="00B15B7E"/>
    <w:rsid w:val="00B31145"/>
    <w:rsid w:val="00B33847"/>
    <w:rsid w:val="00B35917"/>
    <w:rsid w:val="00B41837"/>
    <w:rsid w:val="00B4638B"/>
    <w:rsid w:val="00B55BD8"/>
    <w:rsid w:val="00B63EF2"/>
    <w:rsid w:val="00B6544A"/>
    <w:rsid w:val="00B70B92"/>
    <w:rsid w:val="00B94D56"/>
    <w:rsid w:val="00B96558"/>
    <w:rsid w:val="00BA7D89"/>
    <w:rsid w:val="00BB140E"/>
    <w:rsid w:val="00BC0D39"/>
    <w:rsid w:val="00BC7BC0"/>
    <w:rsid w:val="00BD57B7"/>
    <w:rsid w:val="00BE00DD"/>
    <w:rsid w:val="00BE4193"/>
    <w:rsid w:val="00BE63E2"/>
    <w:rsid w:val="00BF6E83"/>
    <w:rsid w:val="00C0791D"/>
    <w:rsid w:val="00C161C0"/>
    <w:rsid w:val="00C27ABC"/>
    <w:rsid w:val="00C440ED"/>
    <w:rsid w:val="00C462C5"/>
    <w:rsid w:val="00C47E53"/>
    <w:rsid w:val="00C501A9"/>
    <w:rsid w:val="00C538C9"/>
    <w:rsid w:val="00C64228"/>
    <w:rsid w:val="00C83CE4"/>
    <w:rsid w:val="00C86443"/>
    <w:rsid w:val="00C86679"/>
    <w:rsid w:val="00C95B1C"/>
    <w:rsid w:val="00CA1998"/>
    <w:rsid w:val="00CC0ABC"/>
    <w:rsid w:val="00CC666E"/>
    <w:rsid w:val="00CD2009"/>
    <w:rsid w:val="00CE5ABB"/>
    <w:rsid w:val="00CF0F9E"/>
    <w:rsid w:val="00CF473E"/>
    <w:rsid w:val="00CF629C"/>
    <w:rsid w:val="00D17718"/>
    <w:rsid w:val="00D239F1"/>
    <w:rsid w:val="00D25FC2"/>
    <w:rsid w:val="00D444D7"/>
    <w:rsid w:val="00D5091F"/>
    <w:rsid w:val="00D63001"/>
    <w:rsid w:val="00D631AA"/>
    <w:rsid w:val="00D7625B"/>
    <w:rsid w:val="00D81064"/>
    <w:rsid w:val="00D913B1"/>
    <w:rsid w:val="00D92EEA"/>
    <w:rsid w:val="00DA1D08"/>
    <w:rsid w:val="00DA4740"/>
    <w:rsid w:val="00DA5D4E"/>
    <w:rsid w:val="00DA770A"/>
    <w:rsid w:val="00DB2625"/>
    <w:rsid w:val="00DC76AF"/>
    <w:rsid w:val="00DC7DF5"/>
    <w:rsid w:val="00DD2F88"/>
    <w:rsid w:val="00DD3092"/>
    <w:rsid w:val="00DE4FF1"/>
    <w:rsid w:val="00E05752"/>
    <w:rsid w:val="00E176BA"/>
    <w:rsid w:val="00E423EC"/>
    <w:rsid w:val="00E42AAD"/>
    <w:rsid w:val="00E55121"/>
    <w:rsid w:val="00E60BB7"/>
    <w:rsid w:val="00E62E0E"/>
    <w:rsid w:val="00E669EA"/>
    <w:rsid w:val="00E71E4C"/>
    <w:rsid w:val="00E73E68"/>
    <w:rsid w:val="00EA67A5"/>
    <w:rsid w:val="00EB4FCB"/>
    <w:rsid w:val="00EC5320"/>
    <w:rsid w:val="00EC6BC5"/>
    <w:rsid w:val="00EF4A4A"/>
    <w:rsid w:val="00F1101E"/>
    <w:rsid w:val="00F1107A"/>
    <w:rsid w:val="00F20129"/>
    <w:rsid w:val="00F26372"/>
    <w:rsid w:val="00F26593"/>
    <w:rsid w:val="00F348D0"/>
    <w:rsid w:val="00F35898"/>
    <w:rsid w:val="00F5225B"/>
    <w:rsid w:val="00F53A11"/>
    <w:rsid w:val="00F6495B"/>
    <w:rsid w:val="00F74DF7"/>
    <w:rsid w:val="00F94F9E"/>
    <w:rsid w:val="00F97E0B"/>
    <w:rsid w:val="00FA2FA1"/>
    <w:rsid w:val="00FB0A5A"/>
    <w:rsid w:val="00FB0A64"/>
    <w:rsid w:val="00FC59E8"/>
    <w:rsid w:val="00FD209D"/>
    <w:rsid w:val="00FD6969"/>
    <w:rsid w:val="00FD7EB0"/>
    <w:rsid w:val="00FE57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A55CC7"/>
  <w15:docId w15:val="{AF1B9B95-815D-4E91-B224-886FADC60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495A"/>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2"/>
      <w:lang w:val="en-GB" w:eastAsia="en-US"/>
    </w:rPr>
  </w:style>
  <w:style w:type="paragraph" w:styleId="Heading1">
    <w:name w:val="heading 1"/>
    <w:basedOn w:val="Normal"/>
    <w:next w:val="Normal"/>
    <w:link w:val="Heading1Char"/>
    <w:qFormat/>
    <w:rsid w:val="009F495A"/>
    <w:pPr>
      <w:keepNext/>
      <w:keepLines/>
      <w:spacing w:before="360"/>
      <w:ind w:left="794" w:hanging="794"/>
      <w:outlineLvl w:val="0"/>
    </w:pPr>
    <w:rPr>
      <w:b/>
      <w:sz w:val="26"/>
    </w:rPr>
  </w:style>
  <w:style w:type="paragraph" w:styleId="Heading2">
    <w:name w:val="heading 2"/>
    <w:basedOn w:val="Heading1"/>
    <w:next w:val="Normal"/>
    <w:qFormat/>
    <w:rsid w:val="00227FF0"/>
    <w:pPr>
      <w:spacing w:before="320"/>
      <w:outlineLvl w:val="1"/>
    </w:pPr>
    <w:rPr>
      <w:sz w:val="22"/>
    </w:rPr>
  </w:style>
  <w:style w:type="paragraph" w:styleId="Heading3">
    <w:name w:val="heading 3"/>
    <w:basedOn w:val="Heading1"/>
    <w:next w:val="Normal"/>
    <w:qFormat/>
    <w:rsid w:val="00762555"/>
    <w:pPr>
      <w:spacing w:before="200"/>
      <w:ind w:left="0" w:firstLine="0"/>
      <w:outlineLvl w:val="2"/>
    </w:pPr>
    <w:rPr>
      <w:rFonts w:asciiTheme="minorHAnsi" w:hAnsiTheme="minorHAnsi"/>
      <w:sz w:val="22"/>
    </w:rPr>
  </w:style>
  <w:style w:type="paragraph" w:styleId="Heading4">
    <w:name w:val="heading 4"/>
    <w:basedOn w:val="Heading3"/>
    <w:next w:val="Normal"/>
    <w:qFormat/>
    <w:rsid w:val="00227FF0"/>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227FF0"/>
    <w:pPr>
      <w:outlineLvl w:val="4"/>
    </w:pPr>
  </w:style>
  <w:style w:type="paragraph" w:styleId="Heading6">
    <w:name w:val="heading 6"/>
    <w:basedOn w:val="Heading4"/>
    <w:next w:val="Normal"/>
    <w:qFormat/>
    <w:rsid w:val="00227FF0"/>
    <w:pPr>
      <w:outlineLvl w:val="5"/>
    </w:pPr>
  </w:style>
  <w:style w:type="paragraph" w:styleId="Heading7">
    <w:name w:val="heading 7"/>
    <w:basedOn w:val="Heading6"/>
    <w:next w:val="Normal"/>
    <w:qFormat/>
    <w:rsid w:val="00227FF0"/>
    <w:pPr>
      <w:outlineLvl w:val="6"/>
    </w:pPr>
  </w:style>
  <w:style w:type="paragraph" w:styleId="Heading8">
    <w:name w:val="heading 8"/>
    <w:basedOn w:val="Heading6"/>
    <w:next w:val="Normal"/>
    <w:qFormat/>
    <w:rsid w:val="00227FF0"/>
    <w:pPr>
      <w:outlineLvl w:val="7"/>
    </w:pPr>
  </w:style>
  <w:style w:type="paragraph" w:styleId="Heading9">
    <w:name w:val="heading 9"/>
    <w:basedOn w:val="Heading6"/>
    <w:next w:val="Normal"/>
    <w:qFormat/>
    <w:rsid w:val="00227FF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A405F9"/>
  </w:style>
  <w:style w:type="paragraph" w:styleId="TOC4">
    <w:name w:val="toc 4"/>
    <w:basedOn w:val="TOC1"/>
    <w:next w:val="Normal"/>
    <w:rsid w:val="00A405F9"/>
  </w:style>
  <w:style w:type="paragraph" w:styleId="TOC3">
    <w:name w:val="toc 3"/>
    <w:basedOn w:val="TOC1"/>
    <w:next w:val="Normal"/>
    <w:rsid w:val="00A405F9"/>
  </w:style>
  <w:style w:type="paragraph" w:styleId="TOC2">
    <w:name w:val="toc 2"/>
    <w:basedOn w:val="TOC1"/>
    <w:next w:val="Normal"/>
    <w:rsid w:val="00A405F9"/>
    <w:pPr>
      <w:spacing w:before="160"/>
    </w:pPr>
  </w:style>
  <w:style w:type="paragraph" w:styleId="TOC1">
    <w:name w:val="toc 1"/>
    <w:basedOn w:val="Normal"/>
    <w:rsid w:val="00A405F9"/>
    <w:pPr>
      <w:tabs>
        <w:tab w:val="clear" w:pos="794"/>
        <w:tab w:val="clear" w:pos="1191"/>
        <w:tab w:val="clear" w:pos="1588"/>
        <w:tab w:val="clear" w:pos="1985"/>
        <w:tab w:val="left" w:pos="964"/>
        <w:tab w:val="left" w:leader="dot" w:pos="7938"/>
        <w:tab w:val="right" w:pos="9072"/>
      </w:tabs>
      <w:spacing w:before="200"/>
      <w:ind w:left="964" w:hanging="964"/>
    </w:pPr>
    <w:rPr>
      <w:sz w:val="24"/>
      <w:lang w:val="fr-FR"/>
    </w:rPr>
  </w:style>
  <w:style w:type="paragraph" w:styleId="TOC7">
    <w:name w:val="toc 7"/>
    <w:basedOn w:val="TOC6"/>
    <w:next w:val="Normal"/>
    <w:rsid w:val="00A405F9"/>
  </w:style>
  <w:style w:type="paragraph" w:styleId="TOC6">
    <w:name w:val="toc 6"/>
    <w:basedOn w:val="TOC5"/>
    <w:next w:val="Normal"/>
    <w:rsid w:val="00A405F9"/>
  </w:style>
  <w:style w:type="paragraph" w:styleId="TOC5">
    <w:name w:val="toc 5"/>
    <w:basedOn w:val="TOC4"/>
    <w:next w:val="Normal"/>
    <w:rsid w:val="00A405F9"/>
    <w:rPr>
      <w:lang w:val="fr-CH"/>
    </w:rPr>
  </w:style>
  <w:style w:type="paragraph" w:styleId="Index7">
    <w:name w:val="index 7"/>
    <w:basedOn w:val="Normal"/>
    <w:next w:val="Normal"/>
    <w:rsid w:val="00227FF0"/>
    <w:pPr>
      <w:ind w:left="1698"/>
    </w:pPr>
  </w:style>
  <w:style w:type="paragraph" w:styleId="Index6">
    <w:name w:val="index 6"/>
    <w:basedOn w:val="Normal"/>
    <w:next w:val="Normal"/>
    <w:rsid w:val="00227FF0"/>
    <w:pPr>
      <w:ind w:left="1415"/>
    </w:pPr>
  </w:style>
  <w:style w:type="paragraph" w:styleId="Index5">
    <w:name w:val="index 5"/>
    <w:basedOn w:val="Normal"/>
    <w:next w:val="Normal"/>
    <w:rsid w:val="00227FF0"/>
    <w:pPr>
      <w:ind w:left="1132"/>
    </w:pPr>
  </w:style>
  <w:style w:type="paragraph" w:styleId="Index4">
    <w:name w:val="index 4"/>
    <w:basedOn w:val="Normal"/>
    <w:next w:val="Normal"/>
    <w:rsid w:val="00227FF0"/>
    <w:pPr>
      <w:ind w:left="849"/>
    </w:pPr>
  </w:style>
  <w:style w:type="paragraph" w:styleId="Index3">
    <w:name w:val="index 3"/>
    <w:basedOn w:val="Normal"/>
    <w:next w:val="Normal"/>
    <w:rsid w:val="00227FF0"/>
    <w:pPr>
      <w:ind w:left="566"/>
    </w:pPr>
  </w:style>
  <w:style w:type="paragraph" w:styleId="Index2">
    <w:name w:val="index 2"/>
    <w:basedOn w:val="Normal"/>
    <w:next w:val="Normal"/>
    <w:rsid w:val="00227FF0"/>
    <w:pPr>
      <w:ind w:left="283"/>
    </w:pPr>
  </w:style>
  <w:style w:type="paragraph" w:styleId="Index1">
    <w:name w:val="index 1"/>
    <w:basedOn w:val="Normal"/>
    <w:next w:val="Normal"/>
    <w:rsid w:val="00227FF0"/>
  </w:style>
  <w:style w:type="character" w:styleId="LineNumber">
    <w:name w:val="line number"/>
    <w:basedOn w:val="DefaultParagraphFont"/>
    <w:rsid w:val="00227FF0"/>
  </w:style>
  <w:style w:type="paragraph" w:styleId="IndexHeading">
    <w:name w:val="index heading"/>
    <w:basedOn w:val="Normal"/>
    <w:next w:val="Index1"/>
    <w:rsid w:val="00227FF0"/>
  </w:style>
  <w:style w:type="paragraph" w:styleId="Footer">
    <w:name w:val="footer"/>
    <w:basedOn w:val="Normal"/>
    <w:rsid w:val="00227FF0"/>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227FF0"/>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rsid w:val="00227FF0"/>
    <w:rPr>
      <w:position w:val="6"/>
      <w:sz w:val="16"/>
    </w:rPr>
  </w:style>
  <w:style w:type="paragraph" w:styleId="FootnoteText">
    <w:name w:val="footnote text"/>
    <w:basedOn w:val="Normal"/>
    <w:rsid w:val="0015710D"/>
    <w:pPr>
      <w:keepLines/>
      <w:tabs>
        <w:tab w:val="left" w:pos="255"/>
      </w:tabs>
      <w:spacing w:before="60"/>
      <w:ind w:left="284" w:hanging="284"/>
    </w:pPr>
    <w:rPr>
      <w:sz w:val="20"/>
    </w:rPr>
  </w:style>
  <w:style w:type="paragraph" w:styleId="NormalIndent">
    <w:name w:val="Normal Indent"/>
    <w:basedOn w:val="Normal"/>
    <w:rsid w:val="00227FF0"/>
    <w:pPr>
      <w:ind w:left="794"/>
    </w:pPr>
  </w:style>
  <w:style w:type="paragraph" w:customStyle="1" w:styleId="enumlev1">
    <w:name w:val="enumlev1"/>
    <w:basedOn w:val="Normal"/>
    <w:rsid w:val="00227FF0"/>
    <w:pPr>
      <w:tabs>
        <w:tab w:val="left" w:pos="2608"/>
        <w:tab w:val="left" w:pos="3345"/>
      </w:tabs>
      <w:spacing w:before="80"/>
      <w:ind w:left="794" w:hanging="794"/>
    </w:pPr>
  </w:style>
  <w:style w:type="paragraph" w:customStyle="1" w:styleId="enumlev2">
    <w:name w:val="enumlev2"/>
    <w:basedOn w:val="enumlev1"/>
    <w:rsid w:val="00227FF0"/>
    <w:pPr>
      <w:ind w:left="1191" w:hanging="397"/>
    </w:pPr>
  </w:style>
  <w:style w:type="paragraph" w:customStyle="1" w:styleId="enumlev3">
    <w:name w:val="enumlev3"/>
    <w:basedOn w:val="enumlev2"/>
    <w:rsid w:val="00227FF0"/>
    <w:pPr>
      <w:ind w:left="1588"/>
    </w:pPr>
  </w:style>
  <w:style w:type="paragraph" w:customStyle="1" w:styleId="Normalaftertitle">
    <w:name w:val="Normal after title"/>
    <w:basedOn w:val="Normal"/>
    <w:next w:val="Normal"/>
    <w:rsid w:val="00227FF0"/>
    <w:pPr>
      <w:spacing w:before="320"/>
    </w:pPr>
  </w:style>
  <w:style w:type="paragraph" w:customStyle="1" w:styleId="Equation">
    <w:name w:val="Equation"/>
    <w:basedOn w:val="Normal"/>
    <w:rsid w:val="00227FF0"/>
    <w:pPr>
      <w:tabs>
        <w:tab w:val="clear" w:pos="1191"/>
        <w:tab w:val="clear" w:pos="1588"/>
        <w:tab w:val="clear" w:pos="1985"/>
        <w:tab w:val="center" w:pos="4820"/>
        <w:tab w:val="right" w:pos="9639"/>
      </w:tabs>
    </w:pPr>
  </w:style>
  <w:style w:type="paragraph" w:customStyle="1" w:styleId="Head">
    <w:name w:val="Head"/>
    <w:basedOn w:val="Normal"/>
    <w:rsid w:val="00227FF0"/>
    <w:pPr>
      <w:tabs>
        <w:tab w:val="left" w:pos="6663"/>
      </w:tabs>
      <w:overflowPunct/>
      <w:autoSpaceDE/>
      <w:autoSpaceDN/>
      <w:adjustRightInd/>
      <w:spacing w:before="0"/>
      <w:textAlignment w:val="auto"/>
    </w:pPr>
  </w:style>
  <w:style w:type="paragraph" w:customStyle="1" w:styleId="toc0">
    <w:name w:val="toc 0"/>
    <w:basedOn w:val="Normal"/>
    <w:next w:val="TOC1"/>
    <w:rsid w:val="00A405F9"/>
    <w:pPr>
      <w:tabs>
        <w:tab w:val="clear" w:pos="794"/>
        <w:tab w:val="clear" w:pos="1191"/>
        <w:tab w:val="clear" w:pos="1588"/>
        <w:tab w:val="clear" w:pos="1985"/>
        <w:tab w:val="right" w:pos="9781"/>
      </w:tabs>
    </w:pPr>
    <w:rPr>
      <w:b/>
      <w:sz w:val="24"/>
      <w:lang w:val="fr-FR"/>
    </w:rPr>
  </w:style>
  <w:style w:type="paragraph" w:styleId="List">
    <w:name w:val="List"/>
    <w:basedOn w:val="Normal"/>
    <w:rsid w:val="00227FF0"/>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227FF0"/>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227FF0"/>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A405F9"/>
    <w:pPr>
      <w:framePr w:hSpace="181" w:wrap="around" w:vAnchor="page" w:hAnchor="page" w:x="1589" w:y="2314"/>
      <w:spacing w:before="480"/>
      <w:suppressOverlap/>
    </w:pPr>
    <w:rPr>
      <w:rFonts w:cstheme="minorHAnsi"/>
      <w:b/>
      <w:sz w:val="32"/>
      <w:szCs w:val="32"/>
      <w:lang w:val="ru-RU"/>
    </w:rPr>
  </w:style>
  <w:style w:type="paragraph" w:customStyle="1" w:styleId="meeting">
    <w:name w:val="meeting"/>
    <w:basedOn w:val="Head"/>
    <w:next w:val="Head"/>
    <w:rsid w:val="00227FF0"/>
    <w:pPr>
      <w:tabs>
        <w:tab w:val="left" w:pos="7371"/>
      </w:tabs>
      <w:spacing w:after="567"/>
    </w:pPr>
  </w:style>
  <w:style w:type="paragraph" w:customStyle="1" w:styleId="Subject">
    <w:name w:val="Subject"/>
    <w:basedOn w:val="Normal"/>
    <w:next w:val="Source"/>
    <w:rsid w:val="00227FF0"/>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227FF0"/>
  </w:style>
  <w:style w:type="paragraph" w:customStyle="1" w:styleId="Data">
    <w:name w:val="Data"/>
    <w:basedOn w:val="Subject"/>
    <w:next w:val="Subject"/>
    <w:rsid w:val="00227FF0"/>
  </w:style>
  <w:style w:type="paragraph" w:customStyle="1" w:styleId="Reasons">
    <w:name w:val="Reasons"/>
    <w:basedOn w:val="Normal"/>
    <w:qFormat/>
    <w:rsid w:val="00227FF0"/>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BE00DD"/>
    <w:rPr>
      <w:color w:val="4F81BD" w:themeColor="accent1"/>
      <w:u w:val="single"/>
    </w:rPr>
  </w:style>
  <w:style w:type="paragraph" w:customStyle="1" w:styleId="FirstFooter">
    <w:name w:val="FirstFooter"/>
    <w:basedOn w:val="Footer"/>
    <w:rsid w:val="00227FF0"/>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227FF0"/>
    <w:pPr>
      <w:tabs>
        <w:tab w:val="clear" w:pos="794"/>
        <w:tab w:val="clear" w:pos="1191"/>
        <w:tab w:val="clear" w:pos="1588"/>
        <w:tab w:val="clear" w:pos="1985"/>
      </w:tabs>
      <w:spacing w:before="80"/>
    </w:pPr>
  </w:style>
  <w:style w:type="paragraph" w:styleId="TOC9">
    <w:name w:val="toc 9"/>
    <w:basedOn w:val="Normal"/>
    <w:next w:val="Normal"/>
    <w:rsid w:val="00A405F9"/>
    <w:pPr>
      <w:tabs>
        <w:tab w:val="clear" w:pos="794"/>
        <w:tab w:val="clear" w:pos="1191"/>
        <w:tab w:val="clear" w:pos="1588"/>
        <w:tab w:val="clear" w:pos="1985"/>
        <w:tab w:val="right" w:leader="dot" w:pos="9645"/>
      </w:tabs>
      <w:ind w:left="1920"/>
    </w:pPr>
    <w:rPr>
      <w:sz w:val="24"/>
      <w:lang w:val="fr-FR"/>
    </w:rPr>
  </w:style>
  <w:style w:type="paragraph" w:customStyle="1" w:styleId="Headingb">
    <w:name w:val="Heading_b"/>
    <w:basedOn w:val="Heading3"/>
    <w:next w:val="Normal"/>
    <w:rsid w:val="00762555"/>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rFonts w:ascii="Calibri" w:hAnsi="Calibri"/>
    </w:rPr>
  </w:style>
  <w:style w:type="character" w:styleId="FollowedHyperlink">
    <w:name w:val="FollowedHyperlink"/>
    <w:basedOn w:val="DefaultParagraphFont"/>
    <w:rsid w:val="00227FF0"/>
    <w:rPr>
      <w:color w:val="800080"/>
      <w:u w:val="single"/>
    </w:rPr>
  </w:style>
  <w:style w:type="paragraph" w:customStyle="1" w:styleId="Title1">
    <w:name w:val="Title 1"/>
    <w:basedOn w:val="Source"/>
    <w:next w:val="Title2"/>
    <w:rsid w:val="00227FF0"/>
    <w:pPr>
      <w:framePr w:wrap="around"/>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227FF0"/>
    <w:pPr>
      <w:framePr w:wrap="around"/>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227FF0"/>
    <w:pPr>
      <w:framePr w:wrap="around"/>
      <w:spacing w:before="240"/>
    </w:pPr>
    <w:rPr>
      <w:caps w:val="0"/>
    </w:rPr>
  </w:style>
  <w:style w:type="paragraph" w:customStyle="1" w:styleId="Title4">
    <w:name w:val="Title 4"/>
    <w:basedOn w:val="Title3"/>
    <w:next w:val="Heading1"/>
    <w:rsid w:val="00227FF0"/>
    <w:pPr>
      <w:framePr w:wrap="around"/>
    </w:pPr>
    <w:rPr>
      <w:b/>
    </w:rPr>
  </w:style>
  <w:style w:type="paragraph" w:customStyle="1" w:styleId="dnum">
    <w:name w:val="dnum"/>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qFormat/>
    <w:rsid w:val="00227FF0"/>
    <w:pPr>
      <w:keepNext/>
      <w:keepLines/>
      <w:spacing w:before="480" w:after="80"/>
      <w:jc w:val="center"/>
    </w:pPr>
    <w:rPr>
      <w:caps/>
      <w:sz w:val="26"/>
    </w:rPr>
  </w:style>
  <w:style w:type="paragraph" w:customStyle="1" w:styleId="Annextitle">
    <w:name w:val="Annex_title"/>
    <w:basedOn w:val="Normal"/>
    <w:next w:val="Annexref"/>
    <w:rsid w:val="001E6719"/>
    <w:pPr>
      <w:keepNext/>
      <w:keepLines/>
      <w:spacing w:before="240" w:after="280"/>
      <w:jc w:val="center"/>
    </w:pPr>
    <w:rPr>
      <w:b/>
      <w:sz w:val="26"/>
    </w:rPr>
  </w:style>
  <w:style w:type="paragraph" w:customStyle="1" w:styleId="Annexref">
    <w:name w:val="Annex_ref"/>
    <w:basedOn w:val="Normal"/>
    <w:next w:val="Normalaftertitle"/>
    <w:rsid w:val="00227FF0"/>
    <w:pPr>
      <w:keepNext/>
      <w:keepLines/>
      <w:spacing w:after="280"/>
      <w:jc w:val="center"/>
    </w:pPr>
  </w:style>
  <w:style w:type="paragraph" w:customStyle="1" w:styleId="AppendixNo">
    <w:name w:val="Appendix_No"/>
    <w:basedOn w:val="AnnexNo"/>
    <w:next w:val="Appendixtitle"/>
    <w:rsid w:val="00227FF0"/>
  </w:style>
  <w:style w:type="paragraph" w:customStyle="1" w:styleId="Appendixtitle">
    <w:name w:val="Appendix_title"/>
    <w:basedOn w:val="Annextitle"/>
    <w:next w:val="Appendixref"/>
    <w:rsid w:val="00227FF0"/>
  </w:style>
  <w:style w:type="paragraph" w:customStyle="1" w:styleId="Appendixref">
    <w:name w:val="Appendix_ref"/>
    <w:basedOn w:val="Annexref"/>
    <w:next w:val="Normalaftertitle"/>
    <w:rsid w:val="00227FF0"/>
  </w:style>
  <w:style w:type="paragraph" w:customStyle="1" w:styleId="Call">
    <w:name w:val="Call"/>
    <w:basedOn w:val="Normal"/>
    <w:next w:val="Normal"/>
    <w:qFormat/>
    <w:rsid w:val="00227FF0"/>
    <w:pPr>
      <w:keepNext/>
      <w:keepLines/>
      <w:spacing w:before="160"/>
      <w:ind w:left="794"/>
    </w:pPr>
    <w:rPr>
      <w:i/>
    </w:rPr>
  </w:style>
  <w:style w:type="character" w:styleId="EndnoteReference">
    <w:name w:val="endnote reference"/>
    <w:basedOn w:val="DefaultParagraphFont"/>
    <w:rsid w:val="00227FF0"/>
    <w:rPr>
      <w:vertAlign w:val="superscript"/>
    </w:rPr>
  </w:style>
  <w:style w:type="paragraph" w:customStyle="1" w:styleId="Equationlegend">
    <w:name w:val="Equation_legend"/>
    <w:basedOn w:val="Normal"/>
    <w:rsid w:val="00227FF0"/>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A405F9"/>
    <w:pPr>
      <w:spacing w:after="240"/>
      <w:jc w:val="center"/>
    </w:pPr>
  </w:style>
  <w:style w:type="paragraph" w:customStyle="1" w:styleId="Figuretitle">
    <w:name w:val="Figure_title"/>
    <w:basedOn w:val="Tabletitle"/>
    <w:next w:val="Figure"/>
    <w:rsid w:val="00A405F9"/>
    <w:pPr>
      <w:spacing w:before="120"/>
    </w:pPr>
  </w:style>
  <w:style w:type="paragraph" w:customStyle="1" w:styleId="Tabletitle">
    <w:name w:val="Table_title"/>
    <w:basedOn w:val="TableNo"/>
    <w:next w:val="Tabletext"/>
    <w:rsid w:val="00A405F9"/>
    <w:pPr>
      <w:spacing w:before="0"/>
    </w:pPr>
    <w:rPr>
      <w:b/>
      <w:caps w:val="0"/>
    </w:rPr>
  </w:style>
  <w:style w:type="paragraph" w:customStyle="1" w:styleId="TableNo">
    <w:name w:val="Table_No"/>
    <w:basedOn w:val="Normal"/>
    <w:next w:val="Tabletitle"/>
    <w:rsid w:val="00A405F9"/>
    <w:pPr>
      <w:keepNext/>
      <w:keepLines/>
      <w:spacing w:before="480" w:after="120"/>
      <w:jc w:val="center"/>
    </w:pPr>
    <w:rPr>
      <w:caps/>
    </w:rPr>
  </w:style>
  <w:style w:type="paragraph" w:customStyle="1" w:styleId="Tabletext">
    <w:name w:val="Table_text"/>
    <w:basedOn w:val="Normal"/>
    <w:rsid w:val="00A405F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0"/>
    </w:rPr>
  </w:style>
  <w:style w:type="paragraph" w:customStyle="1" w:styleId="Figurelegend">
    <w:name w:val="Figure_legend"/>
    <w:basedOn w:val="Normal"/>
    <w:next w:val="Normal"/>
    <w:rsid w:val="00A405F9"/>
    <w:pPr>
      <w:tabs>
        <w:tab w:val="clear" w:pos="794"/>
        <w:tab w:val="clear" w:pos="1191"/>
        <w:tab w:val="clear" w:pos="1588"/>
        <w:tab w:val="clear" w:pos="1985"/>
      </w:tabs>
      <w:spacing w:before="20" w:after="240"/>
    </w:pPr>
    <w:rPr>
      <w:sz w:val="18"/>
    </w:rPr>
  </w:style>
  <w:style w:type="paragraph" w:customStyle="1" w:styleId="FigureNo">
    <w:name w:val="Figure_No"/>
    <w:basedOn w:val="TableNo"/>
    <w:next w:val="Figuretitle"/>
    <w:rsid w:val="00A405F9"/>
    <w:rPr>
      <w:caps w:val="0"/>
    </w:rPr>
  </w:style>
  <w:style w:type="paragraph" w:customStyle="1" w:styleId="Figurewithouttitle">
    <w:name w:val="Figure_without_title"/>
    <w:basedOn w:val="Figure"/>
    <w:next w:val="Normal"/>
    <w:rsid w:val="00A405F9"/>
  </w:style>
  <w:style w:type="paragraph" w:customStyle="1" w:styleId="Headingi">
    <w:name w:val="Heading_i"/>
    <w:basedOn w:val="Heading3"/>
    <w:next w:val="Normal"/>
    <w:rsid w:val="00762555"/>
    <w:pPr>
      <w:spacing w:before="160"/>
    </w:pPr>
    <w:rPr>
      <w:b w:val="0"/>
      <w:i/>
    </w:rPr>
  </w:style>
  <w:style w:type="character" w:styleId="PageNumber">
    <w:name w:val="page number"/>
    <w:basedOn w:val="DefaultParagraphFont"/>
    <w:rsid w:val="001E6719"/>
    <w:rPr>
      <w:rFonts w:ascii="Calibri" w:hAnsi="Calibri"/>
    </w:rPr>
  </w:style>
  <w:style w:type="paragraph" w:customStyle="1" w:styleId="PartNo">
    <w:name w:val="Part_No"/>
    <w:basedOn w:val="AnnexNo"/>
    <w:next w:val="Parttitle"/>
    <w:rsid w:val="00227FF0"/>
  </w:style>
  <w:style w:type="paragraph" w:customStyle="1" w:styleId="Parttitle">
    <w:name w:val="Part_title"/>
    <w:basedOn w:val="Annextitle"/>
    <w:next w:val="Partref"/>
    <w:rsid w:val="00227FF0"/>
  </w:style>
  <w:style w:type="paragraph" w:customStyle="1" w:styleId="Partref">
    <w:name w:val="Part_ref"/>
    <w:basedOn w:val="Annexref"/>
    <w:next w:val="Normalaftertitle"/>
    <w:rsid w:val="00227FF0"/>
  </w:style>
  <w:style w:type="paragraph" w:customStyle="1" w:styleId="RecNo">
    <w:name w:val="Rec_No"/>
    <w:basedOn w:val="Normal"/>
    <w:next w:val="Rectitle"/>
    <w:rsid w:val="00227FF0"/>
    <w:pPr>
      <w:keepNext/>
      <w:keepLines/>
      <w:spacing w:before="480"/>
      <w:jc w:val="center"/>
    </w:pPr>
    <w:rPr>
      <w:caps/>
      <w:sz w:val="26"/>
    </w:rPr>
  </w:style>
  <w:style w:type="paragraph" w:customStyle="1" w:styleId="Rectitle">
    <w:name w:val="Rec_title"/>
    <w:basedOn w:val="RecNo"/>
    <w:next w:val="Recref"/>
    <w:rsid w:val="001E6719"/>
    <w:pPr>
      <w:spacing w:before="240"/>
    </w:pPr>
    <w:rPr>
      <w:b/>
      <w:caps w:val="0"/>
    </w:rPr>
  </w:style>
  <w:style w:type="paragraph" w:customStyle="1" w:styleId="Recref">
    <w:name w:val="Rec_ref"/>
    <w:basedOn w:val="Rectitle"/>
    <w:next w:val="Recdate"/>
    <w:rsid w:val="00227FF0"/>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227FF0"/>
    <w:pPr>
      <w:jc w:val="right"/>
    </w:pPr>
    <w:rPr>
      <w:sz w:val="22"/>
    </w:rPr>
  </w:style>
  <w:style w:type="paragraph" w:customStyle="1" w:styleId="Questiondate">
    <w:name w:val="Question_date"/>
    <w:basedOn w:val="Recdate"/>
    <w:next w:val="Normalaftertitle"/>
    <w:rsid w:val="00227FF0"/>
  </w:style>
  <w:style w:type="paragraph" w:customStyle="1" w:styleId="QuestionNo">
    <w:name w:val="Question_No"/>
    <w:basedOn w:val="RecNo"/>
    <w:next w:val="Questiontitle"/>
    <w:rsid w:val="00227FF0"/>
  </w:style>
  <w:style w:type="paragraph" w:customStyle="1" w:styleId="Questionref">
    <w:name w:val="Question_ref"/>
    <w:basedOn w:val="Recref"/>
    <w:next w:val="Questiondate"/>
    <w:rsid w:val="00227FF0"/>
  </w:style>
  <w:style w:type="paragraph" w:customStyle="1" w:styleId="Questiontitle">
    <w:name w:val="Question_title"/>
    <w:basedOn w:val="Rectitle"/>
    <w:next w:val="Questionref"/>
    <w:rsid w:val="001E6719"/>
  </w:style>
  <w:style w:type="paragraph" w:customStyle="1" w:styleId="Reftext">
    <w:name w:val="Ref_text"/>
    <w:basedOn w:val="Normal"/>
    <w:rsid w:val="00227FF0"/>
    <w:pPr>
      <w:ind w:left="794" w:hanging="794"/>
    </w:pPr>
  </w:style>
  <w:style w:type="paragraph" w:customStyle="1" w:styleId="Reftitle">
    <w:name w:val="Ref_title"/>
    <w:basedOn w:val="Normal"/>
    <w:next w:val="Reftext"/>
    <w:rsid w:val="00227FF0"/>
    <w:pPr>
      <w:spacing w:before="480"/>
      <w:jc w:val="center"/>
    </w:pPr>
    <w:rPr>
      <w:caps/>
    </w:rPr>
  </w:style>
  <w:style w:type="paragraph" w:customStyle="1" w:styleId="Repdate">
    <w:name w:val="Rep_date"/>
    <w:basedOn w:val="Recdate"/>
    <w:next w:val="Normalaftertitle"/>
    <w:rsid w:val="00227FF0"/>
  </w:style>
  <w:style w:type="paragraph" w:customStyle="1" w:styleId="RepNo">
    <w:name w:val="Rep_No"/>
    <w:basedOn w:val="RecNo"/>
    <w:next w:val="Reptitle"/>
    <w:rsid w:val="00227FF0"/>
  </w:style>
  <w:style w:type="paragraph" w:customStyle="1" w:styleId="Reptitle">
    <w:name w:val="Rep_title"/>
    <w:basedOn w:val="Rectitle"/>
    <w:next w:val="Repref"/>
    <w:rsid w:val="00227FF0"/>
  </w:style>
  <w:style w:type="paragraph" w:customStyle="1" w:styleId="Repref">
    <w:name w:val="Rep_ref"/>
    <w:basedOn w:val="Recref"/>
    <w:next w:val="Repdate"/>
    <w:rsid w:val="00227FF0"/>
  </w:style>
  <w:style w:type="paragraph" w:customStyle="1" w:styleId="Resdate">
    <w:name w:val="Res_date"/>
    <w:basedOn w:val="Recdate"/>
    <w:next w:val="Normalaftertitle"/>
    <w:rsid w:val="00227FF0"/>
  </w:style>
  <w:style w:type="paragraph" w:customStyle="1" w:styleId="ResNo">
    <w:name w:val="Res_No"/>
    <w:basedOn w:val="RecNo"/>
    <w:next w:val="Restitle"/>
    <w:rsid w:val="00227FF0"/>
  </w:style>
  <w:style w:type="paragraph" w:customStyle="1" w:styleId="Restitle">
    <w:name w:val="Res_title"/>
    <w:basedOn w:val="Rectitle"/>
    <w:next w:val="Resref"/>
    <w:rsid w:val="00227FF0"/>
  </w:style>
  <w:style w:type="paragraph" w:customStyle="1" w:styleId="Resref">
    <w:name w:val="Res_ref"/>
    <w:basedOn w:val="Recref"/>
    <w:next w:val="Resdate"/>
    <w:rsid w:val="00227FF0"/>
  </w:style>
  <w:style w:type="paragraph" w:customStyle="1" w:styleId="SectionNo">
    <w:name w:val="Section_No"/>
    <w:basedOn w:val="AnnexNo"/>
    <w:next w:val="Sectiontitle"/>
    <w:rsid w:val="00227FF0"/>
  </w:style>
  <w:style w:type="paragraph" w:customStyle="1" w:styleId="Sectiontitle">
    <w:name w:val="Section_title"/>
    <w:basedOn w:val="Normal"/>
    <w:next w:val="Normalaftertitle"/>
    <w:rsid w:val="00227FF0"/>
    <w:rPr>
      <w:sz w:val="26"/>
    </w:rPr>
  </w:style>
  <w:style w:type="paragraph" w:customStyle="1" w:styleId="SpecialFooter">
    <w:name w:val="Special Footer"/>
    <w:basedOn w:val="Footer"/>
    <w:rsid w:val="00227FF0"/>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227FF0"/>
    <w:pPr>
      <w:keepNext/>
      <w:spacing w:before="80" w:after="80"/>
      <w:jc w:val="center"/>
    </w:pPr>
    <w:rPr>
      <w:b/>
    </w:rPr>
  </w:style>
  <w:style w:type="paragraph" w:customStyle="1" w:styleId="Tablelegend">
    <w:name w:val="Table_legend"/>
    <w:basedOn w:val="Tabletext"/>
    <w:rsid w:val="00A405F9"/>
    <w:rPr>
      <w:sz w:val="18"/>
    </w:rPr>
  </w:style>
  <w:style w:type="paragraph" w:customStyle="1" w:styleId="Tableref">
    <w:name w:val="Table_ref"/>
    <w:basedOn w:val="Normal"/>
    <w:next w:val="Tabletitle"/>
    <w:rsid w:val="00A405F9"/>
    <w:pPr>
      <w:keepNext/>
      <w:keepLines/>
      <w:jc w:val="center"/>
    </w:pPr>
  </w:style>
  <w:style w:type="paragraph" w:customStyle="1" w:styleId="Artheading">
    <w:name w:val="Art_heading"/>
    <w:basedOn w:val="Normal"/>
    <w:next w:val="Normalaftertitle"/>
    <w:rsid w:val="00227FF0"/>
    <w:pPr>
      <w:spacing w:before="480"/>
      <w:jc w:val="center"/>
    </w:pPr>
    <w:rPr>
      <w:rFonts w:ascii="Times New Roman Bold" w:hAnsi="Times New Roman Bold"/>
      <w:b/>
      <w:sz w:val="26"/>
    </w:rPr>
  </w:style>
  <w:style w:type="paragraph" w:customStyle="1" w:styleId="ArtNo">
    <w:name w:val="Art_No"/>
    <w:basedOn w:val="Normal"/>
    <w:next w:val="Normal"/>
    <w:rsid w:val="00227FF0"/>
    <w:pPr>
      <w:keepNext/>
      <w:keepLines/>
      <w:spacing w:before="480"/>
      <w:jc w:val="center"/>
    </w:pPr>
    <w:rPr>
      <w:caps/>
      <w:sz w:val="26"/>
    </w:rPr>
  </w:style>
  <w:style w:type="paragraph" w:customStyle="1" w:styleId="Arttitle">
    <w:name w:val="Art_title"/>
    <w:basedOn w:val="Normal"/>
    <w:next w:val="Normalaftertitle"/>
    <w:rsid w:val="00227FF0"/>
    <w:pPr>
      <w:keepNext/>
      <w:keepLines/>
      <w:spacing w:before="240"/>
      <w:jc w:val="center"/>
    </w:pPr>
    <w:rPr>
      <w:b/>
      <w:sz w:val="26"/>
    </w:rPr>
  </w:style>
  <w:style w:type="paragraph" w:customStyle="1" w:styleId="ChapNo">
    <w:name w:val="Chap_No"/>
    <w:basedOn w:val="ArtNo"/>
    <w:next w:val="Chaptitle"/>
    <w:rsid w:val="001E6719"/>
    <w:rPr>
      <w:b/>
    </w:rPr>
  </w:style>
  <w:style w:type="paragraph" w:customStyle="1" w:styleId="Chaptitle">
    <w:name w:val="Chap_title"/>
    <w:basedOn w:val="Arttitle"/>
    <w:next w:val="Normalaftertitle"/>
    <w:rsid w:val="00227FF0"/>
  </w:style>
  <w:style w:type="character" w:customStyle="1" w:styleId="HeaderChar">
    <w:name w:val="Header Char"/>
    <w:basedOn w:val="DefaultParagraphFont"/>
    <w:link w:val="Header"/>
    <w:uiPriority w:val="99"/>
    <w:rsid w:val="00796BD3"/>
    <w:rPr>
      <w:rFonts w:ascii="Calibri" w:hAnsi="Calibri"/>
      <w:sz w:val="18"/>
      <w:lang w:val="fr-FR" w:eastAsia="en-US"/>
    </w:rPr>
  </w:style>
  <w:style w:type="table" w:styleId="TableGrid">
    <w:name w:val="Table Grid"/>
    <w:basedOn w:val="TableNormal"/>
    <w:uiPriority w:val="39"/>
    <w:rsid w:val="00796BD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
    <w:name w:val="Sub_title"/>
    <w:basedOn w:val="Title1"/>
    <w:qFormat/>
    <w:rsid w:val="00796BD3"/>
    <w:pPr>
      <w:framePr w:hSpace="180" w:wrap="around" w:vAnchor="margin" w:hAnchor="text" w:x="1821" w:y="2317"/>
      <w:spacing w:before="120" w:after="160"/>
    </w:pPr>
    <w:rPr>
      <w:caps w:val="0"/>
      <w:sz w:val="34"/>
    </w:rPr>
  </w:style>
  <w:style w:type="character" w:styleId="PlaceholderText">
    <w:name w:val="Placeholder Text"/>
    <w:basedOn w:val="DefaultParagraphFont"/>
    <w:uiPriority w:val="99"/>
    <w:semiHidden/>
    <w:rsid w:val="00D631AA"/>
    <w:rPr>
      <w:color w:val="666666"/>
    </w:rPr>
  </w:style>
  <w:style w:type="character" w:styleId="UnresolvedMention">
    <w:name w:val="Unresolved Mention"/>
    <w:basedOn w:val="DefaultParagraphFont"/>
    <w:uiPriority w:val="99"/>
    <w:semiHidden/>
    <w:unhideWhenUsed/>
    <w:rsid w:val="00BE00DD"/>
    <w:rPr>
      <w:color w:val="605E5C"/>
      <w:shd w:val="clear" w:color="auto" w:fill="E1DFDD"/>
    </w:rPr>
  </w:style>
  <w:style w:type="character" w:customStyle="1" w:styleId="Heading1Char">
    <w:name w:val="Heading 1 Char"/>
    <w:basedOn w:val="DefaultParagraphFont"/>
    <w:link w:val="Heading1"/>
    <w:rsid w:val="009F495A"/>
    <w:rPr>
      <w:rFonts w:ascii="Calibri" w:hAnsi="Calibri"/>
      <w:b/>
      <w:sz w:val="26"/>
      <w:lang w:val="en-GB" w:eastAsia="en-US"/>
    </w:rPr>
  </w:style>
  <w:style w:type="paragraph" w:styleId="Revision">
    <w:name w:val="Revision"/>
    <w:hidden/>
    <w:uiPriority w:val="99"/>
    <w:semiHidden/>
    <w:rsid w:val="00C86443"/>
    <w:rPr>
      <w:rFonts w:ascii="Calibri" w:hAnsi="Calibri"/>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102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itu.int/md/S26-CL-C-0034/en" TargetMode="External"/><Relationship Id="rId21" Type="http://schemas.openxmlformats.org/officeDocument/2006/relationships/hyperlink" Target="https://www.itu.int/md/S26-CL-C-0053/en" TargetMode="External"/><Relationship Id="rId63" Type="http://schemas.openxmlformats.org/officeDocument/2006/relationships/hyperlink" Target="https://www.itu.int/md/S26-CL-C-0072/en" TargetMode="External"/><Relationship Id="rId159" Type="http://schemas.openxmlformats.org/officeDocument/2006/relationships/hyperlink" Target="https://www.itu.int/md/S26-CL-C-0106/en" TargetMode="External"/><Relationship Id="rId170" Type="http://schemas.openxmlformats.org/officeDocument/2006/relationships/hyperlink" Target="https://www.itu.int/md/S26-CL-C-0071/en" TargetMode="External"/><Relationship Id="rId226" Type="http://schemas.openxmlformats.org/officeDocument/2006/relationships/hyperlink" Target="https://www.itu.int/md/S26-CL-INF-0023/en" TargetMode="External"/><Relationship Id="rId107" Type="http://schemas.openxmlformats.org/officeDocument/2006/relationships/hyperlink" Target="https://www.itu.int/md/S26-CL-C-0084/en" TargetMode="External"/><Relationship Id="rId11" Type="http://schemas.openxmlformats.org/officeDocument/2006/relationships/hyperlink" Target="https://www.itu.int/md/S26-CL-INF-0002/en" TargetMode="External"/><Relationship Id="rId32" Type="http://schemas.openxmlformats.org/officeDocument/2006/relationships/hyperlink" Target="https://www.itu.int/md/S26-CL-C-0009/en" TargetMode="External"/><Relationship Id="rId53" Type="http://schemas.openxmlformats.org/officeDocument/2006/relationships/hyperlink" Target="https://www.itu.int/md/S26-CL-260428-TD-0005/en" TargetMode="External"/><Relationship Id="rId74" Type="http://schemas.openxmlformats.org/officeDocument/2006/relationships/hyperlink" Target="https://www.itu.int/md/S26-CL-C-0038/en" TargetMode="External"/><Relationship Id="rId128" Type="http://schemas.openxmlformats.org/officeDocument/2006/relationships/hyperlink" Target="https://www.itu.int/md/S26-CL-C-0032/en" TargetMode="External"/><Relationship Id="rId149" Type="http://schemas.openxmlformats.org/officeDocument/2006/relationships/hyperlink" Target="https://www.itu.int/md/S26-CL-C-0065/en" TargetMode="External"/><Relationship Id="rId5" Type="http://schemas.openxmlformats.org/officeDocument/2006/relationships/webSettings" Target="webSettings.xml"/><Relationship Id="rId95" Type="http://schemas.openxmlformats.org/officeDocument/2006/relationships/hyperlink" Target="https://www.itu.int/md/S26-CL-C-0042/en" TargetMode="External"/><Relationship Id="rId160" Type="http://schemas.openxmlformats.org/officeDocument/2006/relationships/hyperlink" Target="https://www.itu.int/md/S26-CL-C-0070/en" TargetMode="External"/><Relationship Id="rId181" Type="http://schemas.openxmlformats.org/officeDocument/2006/relationships/hyperlink" Target="https://www.itu.int/md/S26-CL-INF-0027/en" TargetMode="External"/><Relationship Id="rId216" Type="http://schemas.openxmlformats.org/officeDocument/2006/relationships/hyperlink" Target="https://www.unjiu.org/sites/www.unjiu.org/files/jiu_rep_2025_2_r.pdf" TargetMode="External"/><Relationship Id="rId237" Type="http://schemas.openxmlformats.org/officeDocument/2006/relationships/hyperlink" Target="https://www.itu.int/md/S26-CL-C-0067/en" TargetMode="External"/><Relationship Id="rId258" Type="http://schemas.openxmlformats.org/officeDocument/2006/relationships/hyperlink" Target="https://www.itu.int/md/S26-CL-C-0046/en" TargetMode="External"/><Relationship Id="rId22" Type="http://schemas.openxmlformats.org/officeDocument/2006/relationships/hyperlink" Target="https://www.itu.int/md/S26-CL-C-0111/en" TargetMode="External"/><Relationship Id="rId43" Type="http://schemas.openxmlformats.org/officeDocument/2006/relationships/hyperlink" Target="https://www.itu.int/md/S26-CL-C-0043/en" TargetMode="External"/><Relationship Id="rId64" Type="http://schemas.openxmlformats.org/officeDocument/2006/relationships/hyperlink" Target="https://www.itu.int/md/S26-CL-C-0100/en" TargetMode="External"/><Relationship Id="rId118" Type="http://schemas.openxmlformats.org/officeDocument/2006/relationships/hyperlink" Target="https://www.itu.int/md/S24-CL-C-0031/en" TargetMode="External"/><Relationship Id="rId139" Type="http://schemas.openxmlformats.org/officeDocument/2006/relationships/hyperlink" Target="https://www.itu.int/md/S26-CL-C-0048/en" TargetMode="External"/><Relationship Id="rId85" Type="http://schemas.openxmlformats.org/officeDocument/2006/relationships/hyperlink" Target="https://www.itu.int/md/S26-CL-C-0020/en" TargetMode="External"/><Relationship Id="rId150" Type="http://schemas.openxmlformats.org/officeDocument/2006/relationships/hyperlink" Target="https://www.itu.int/md/S26-CL-C-0105/en" TargetMode="External"/><Relationship Id="rId171" Type="http://schemas.openxmlformats.org/officeDocument/2006/relationships/hyperlink" Target="https://www.itu.int/md/S26-CL-C-0071/en" TargetMode="External"/><Relationship Id="rId192" Type="http://schemas.openxmlformats.org/officeDocument/2006/relationships/hyperlink" Target="https://www.itu.int/md/S26-CL-INF-0028/en" TargetMode="External"/><Relationship Id="rId206" Type="http://schemas.openxmlformats.org/officeDocument/2006/relationships/hyperlink" Target="https://www.itu.int/md/S26-CL-C-0092/en" TargetMode="External"/><Relationship Id="rId227" Type="http://schemas.openxmlformats.org/officeDocument/2006/relationships/hyperlink" Target="https://www.itu.int/md/S26-CL-INF-0017/en" TargetMode="External"/><Relationship Id="rId248" Type="http://schemas.openxmlformats.org/officeDocument/2006/relationships/hyperlink" Target="https://www.itu.int/md/S26-CL-C-0089/en" TargetMode="External"/><Relationship Id="rId12" Type="http://schemas.openxmlformats.org/officeDocument/2006/relationships/hyperlink" Target="https://www.itu.int/md/S26-CL-C-0050/en" TargetMode="External"/><Relationship Id="rId33" Type="http://schemas.openxmlformats.org/officeDocument/2006/relationships/hyperlink" Target="https://www.itu.int/md/S26-CL-C-0009/en" TargetMode="External"/><Relationship Id="rId108" Type="http://schemas.openxmlformats.org/officeDocument/2006/relationships/hyperlink" Target="https://www.itu.int/md/S26-CL-C-0096/en" TargetMode="External"/><Relationship Id="rId129" Type="http://schemas.openxmlformats.org/officeDocument/2006/relationships/hyperlink" Target="https://www.itu.int/md/S26-CL-C-0080/en" TargetMode="External"/><Relationship Id="rId54" Type="http://schemas.openxmlformats.org/officeDocument/2006/relationships/hyperlink" Target="https://www.itu.int/md/S26-CL-C-0054/en" TargetMode="External"/><Relationship Id="rId75" Type="http://schemas.openxmlformats.org/officeDocument/2006/relationships/hyperlink" Target="https://www.itu.int/md/S26-CL-C-0038/en" TargetMode="External"/><Relationship Id="rId96" Type="http://schemas.openxmlformats.org/officeDocument/2006/relationships/hyperlink" Target="https://www.itu.int/md/S26-CL-C-0016/en" TargetMode="External"/><Relationship Id="rId140" Type="http://schemas.openxmlformats.org/officeDocument/2006/relationships/hyperlink" Target="https://www.itu.int/md/S26-CL-C-0007/en" TargetMode="External"/><Relationship Id="rId161" Type="http://schemas.openxmlformats.org/officeDocument/2006/relationships/hyperlink" Target="https://www.itu.int/md/S26-CL-C-0070/en" TargetMode="External"/><Relationship Id="rId182" Type="http://schemas.openxmlformats.org/officeDocument/2006/relationships/hyperlink" Target="https://www.itu.int/md/S26-CL-C-0044/en" TargetMode="External"/><Relationship Id="rId217" Type="http://schemas.openxmlformats.org/officeDocument/2006/relationships/hyperlink" Target="https://www.unjiu.org/sites/www.unjiu.org/files/jiu_rep_2025_4_english.pdf" TargetMode="External"/><Relationship Id="rId6" Type="http://schemas.openxmlformats.org/officeDocument/2006/relationships/footnotes" Target="footnotes.xml"/><Relationship Id="rId238" Type="http://schemas.openxmlformats.org/officeDocument/2006/relationships/hyperlink" Target="https://www.itu.int/md/S26-CL-C-0067/en" TargetMode="External"/><Relationship Id="rId259" Type="http://schemas.openxmlformats.org/officeDocument/2006/relationships/hyperlink" Target="https://www.itu.int/md/S25-CL-C-0042/en" TargetMode="External"/><Relationship Id="rId23" Type="http://schemas.openxmlformats.org/officeDocument/2006/relationships/hyperlink" Target="https://www.itu.int/md/S26-CL-C-0111/en" TargetMode="External"/><Relationship Id="rId119" Type="http://schemas.openxmlformats.org/officeDocument/2006/relationships/hyperlink" Target="https://www.itu.int/md/S26-CL-260428-TD-0006/en" TargetMode="External"/><Relationship Id="rId44" Type="http://schemas.openxmlformats.org/officeDocument/2006/relationships/hyperlink" Target="https://www.itu.int/md/S26-CL-C-0109/en" TargetMode="External"/><Relationship Id="rId65" Type="http://schemas.openxmlformats.org/officeDocument/2006/relationships/hyperlink" Target="https://www.itu.int/md/S26-CL-C-0073/en" TargetMode="External"/><Relationship Id="rId86" Type="http://schemas.openxmlformats.org/officeDocument/2006/relationships/hyperlink" Target="https://www.itu.int/md/S26-CL-C-0020/en" TargetMode="External"/><Relationship Id="rId130" Type="http://schemas.openxmlformats.org/officeDocument/2006/relationships/hyperlink" Target="https://www.itu.int/md/S26-CL-C-0081/en" TargetMode="External"/><Relationship Id="rId151" Type="http://schemas.openxmlformats.org/officeDocument/2006/relationships/hyperlink" Target="https://www.itu.int/md/S26-CL-C-0105/en" TargetMode="External"/><Relationship Id="rId172" Type="http://schemas.openxmlformats.org/officeDocument/2006/relationships/hyperlink" Target="https://www.itu.int/md/S25-CL-C-0095/en" TargetMode="External"/><Relationship Id="rId193" Type="http://schemas.openxmlformats.org/officeDocument/2006/relationships/hyperlink" Target="https://www.itu.int/md/S26-CL-C-0039/en" TargetMode="External"/><Relationship Id="rId207" Type="http://schemas.openxmlformats.org/officeDocument/2006/relationships/hyperlink" Target="https://www.itu.int/md/S26-CL-C-0092/en" TargetMode="External"/><Relationship Id="rId228" Type="http://schemas.openxmlformats.org/officeDocument/2006/relationships/hyperlink" Target="https://www.itu.int/md/S26-CL-C-0049/en" TargetMode="External"/><Relationship Id="rId249" Type="http://schemas.openxmlformats.org/officeDocument/2006/relationships/hyperlink" Target="https://www.itu.int/md/S26-CL-C-0088/en" TargetMode="External"/><Relationship Id="rId13" Type="http://schemas.openxmlformats.org/officeDocument/2006/relationships/hyperlink" Target="https://www.itu.int/md/S26-CL-C-0050/en" TargetMode="External"/><Relationship Id="rId109" Type="http://schemas.openxmlformats.org/officeDocument/2006/relationships/hyperlink" Target="https://www.itu.int/md/S26-CL-C-0098/en" TargetMode="External"/><Relationship Id="rId260" Type="http://schemas.openxmlformats.org/officeDocument/2006/relationships/hyperlink" Target="https://www.itu.int/ru/council/Pages/Financial-Regulations.aspx" TargetMode="External"/><Relationship Id="rId34" Type="http://schemas.openxmlformats.org/officeDocument/2006/relationships/hyperlink" Target="https://www.itu.int/md/S26-CL-C-0043/en" TargetMode="External"/><Relationship Id="rId55" Type="http://schemas.openxmlformats.org/officeDocument/2006/relationships/hyperlink" Target="https://www.itu.int/md/S26-CL-260428-TD-0005/en" TargetMode="External"/><Relationship Id="rId76" Type="http://schemas.openxmlformats.org/officeDocument/2006/relationships/hyperlink" Target="https://www.itu.int/md/S26-CL-C-0046/en" TargetMode="External"/><Relationship Id="rId97" Type="http://schemas.openxmlformats.org/officeDocument/2006/relationships/hyperlink" Target="https://www.itu.int/md/S26-CL-C-0019/en" TargetMode="External"/><Relationship Id="rId120" Type="http://schemas.openxmlformats.org/officeDocument/2006/relationships/hyperlink" Target="https://www.itu.int/md/S26-CL-C-0042/en" TargetMode="External"/><Relationship Id="rId141" Type="http://schemas.openxmlformats.org/officeDocument/2006/relationships/hyperlink" Target="https://www.itu.int/md/S26-CL-C-0048/en" TargetMode="External"/><Relationship Id="rId7" Type="http://schemas.openxmlformats.org/officeDocument/2006/relationships/endnotes" Target="endnotes.xml"/><Relationship Id="rId162" Type="http://schemas.openxmlformats.org/officeDocument/2006/relationships/hyperlink" Target="https://www.itu.int/md/S26-CL-C-0102/en" TargetMode="External"/><Relationship Id="rId183" Type="http://schemas.openxmlformats.org/officeDocument/2006/relationships/hyperlink" Target="https://www.itu.int/md/S26-CL-C-0044/en" TargetMode="External"/><Relationship Id="rId218" Type="http://schemas.openxmlformats.org/officeDocument/2006/relationships/hyperlink" Target="https://www.unjiu.org/sites/www.unjiu.org/files/jiu_rep_2025_3_english.pdf" TargetMode="External"/><Relationship Id="rId239" Type="http://schemas.openxmlformats.org/officeDocument/2006/relationships/hyperlink" Target="https://www.itu.int/md/S26-CL-C-0067/en" TargetMode="External"/><Relationship Id="rId250" Type="http://schemas.openxmlformats.org/officeDocument/2006/relationships/hyperlink" Target="https://www.itu.int/md/S26-CL-C-0088/en" TargetMode="External"/><Relationship Id="rId24" Type="http://schemas.openxmlformats.org/officeDocument/2006/relationships/hyperlink" Target="https://www.itu.int/md/S26-CL-C-0034/en" TargetMode="External"/><Relationship Id="rId45" Type="http://schemas.openxmlformats.org/officeDocument/2006/relationships/hyperlink" Target="https://www.itu.int/md/S26-CL-C-0109/en" TargetMode="External"/><Relationship Id="rId66" Type="http://schemas.openxmlformats.org/officeDocument/2006/relationships/hyperlink" Target="https://www.itu.int/md/S26-CL-INF-0014/en" TargetMode="External"/><Relationship Id="rId87" Type="http://schemas.openxmlformats.org/officeDocument/2006/relationships/hyperlink" Target="https://www.itu.int/md/S26-CL-C-0016/en" TargetMode="External"/><Relationship Id="rId110" Type="http://schemas.openxmlformats.org/officeDocument/2006/relationships/hyperlink" Target="https://www.itu.int/md/S26-CL-C-0090/en" TargetMode="External"/><Relationship Id="rId131" Type="http://schemas.openxmlformats.org/officeDocument/2006/relationships/hyperlink" Target="https://www.itu.int/md/S26-CL-C-0091/en" TargetMode="External"/><Relationship Id="rId152" Type="http://schemas.openxmlformats.org/officeDocument/2006/relationships/hyperlink" Target="https://www.itu.int/md/S26-CL-C-0106/en" TargetMode="External"/><Relationship Id="rId173" Type="http://schemas.openxmlformats.org/officeDocument/2006/relationships/hyperlink" Target="https://www.itu.int/md/S26-SG-CIR-0011/en" TargetMode="External"/><Relationship Id="rId194" Type="http://schemas.openxmlformats.org/officeDocument/2006/relationships/hyperlink" Target="https://www.itu.int/md/S26-CL-C-0045/en" TargetMode="External"/><Relationship Id="rId208" Type="http://schemas.openxmlformats.org/officeDocument/2006/relationships/hyperlink" Target="https://www.itu.int/md/S26-CL-C-0036/en" TargetMode="External"/><Relationship Id="rId229" Type="http://schemas.openxmlformats.org/officeDocument/2006/relationships/hyperlink" Target="https://www.itu.int/md/S26-CL-C-0049/en" TargetMode="External"/><Relationship Id="rId240" Type="http://schemas.openxmlformats.org/officeDocument/2006/relationships/hyperlink" Target="https://www.itu.int/md/S26-CL-C-0062/en" TargetMode="External"/><Relationship Id="rId261" Type="http://schemas.openxmlformats.org/officeDocument/2006/relationships/hyperlink" Target="https://www.itu.int/en/council/Pages/Financial-Regulations.aspx" TargetMode="External"/><Relationship Id="rId14" Type="http://schemas.openxmlformats.org/officeDocument/2006/relationships/hyperlink" Target="https://www.itu.int/md/S26-CWGFHR22-C-0033/en" TargetMode="External"/><Relationship Id="rId35" Type="http://schemas.openxmlformats.org/officeDocument/2006/relationships/hyperlink" Target="https://www.itu.int/md/S26-CL-C-0043/en" TargetMode="External"/><Relationship Id="rId56" Type="http://schemas.openxmlformats.org/officeDocument/2006/relationships/hyperlink" Target="https://www.itu.int/md/S26-CL-C-0072/en" TargetMode="External"/><Relationship Id="rId77" Type="http://schemas.openxmlformats.org/officeDocument/2006/relationships/hyperlink" Target="https://www.itu.int/md/S26-CL-C-0046/en" TargetMode="External"/><Relationship Id="rId100" Type="http://schemas.openxmlformats.org/officeDocument/2006/relationships/hyperlink" Target="https://www.itu.int/md/S26-CL-C-0084/en" TargetMode="External"/><Relationship Id="rId8" Type="http://schemas.openxmlformats.org/officeDocument/2006/relationships/hyperlink" Target="https://www.itu.int/md/S26-CL-INF-0026/en" TargetMode="External"/><Relationship Id="rId98" Type="http://schemas.openxmlformats.org/officeDocument/2006/relationships/hyperlink" Target="https://www.itu.int/md/S26-CL-C-0019/en" TargetMode="External"/><Relationship Id="rId121" Type="http://schemas.openxmlformats.org/officeDocument/2006/relationships/hyperlink" Target="https://www.itu.int/md/S26-CL-260428-TD-0006/en" TargetMode="External"/><Relationship Id="rId142" Type="http://schemas.openxmlformats.org/officeDocument/2006/relationships/hyperlink" Target="https://www.itu.int/md/S26-CL-C-0007/en" TargetMode="External"/><Relationship Id="rId163" Type="http://schemas.openxmlformats.org/officeDocument/2006/relationships/hyperlink" Target="https://www.itu.int/md/S26-CL-C-0102/en" TargetMode="External"/><Relationship Id="rId184" Type="http://schemas.openxmlformats.org/officeDocument/2006/relationships/hyperlink" Target="https://www.itu.int/md/S26-CL-INF-0005/en" TargetMode="External"/><Relationship Id="rId219" Type="http://schemas.openxmlformats.org/officeDocument/2006/relationships/hyperlink" Target="https://www.unjiu.org/sites/www.unjiu.org/files/jiu_rep_2025_2.pdf" TargetMode="External"/><Relationship Id="rId230" Type="http://schemas.openxmlformats.org/officeDocument/2006/relationships/hyperlink" Target="https://www.itu.int/md/S26-CL-C-0066/en" TargetMode="External"/><Relationship Id="rId251" Type="http://schemas.openxmlformats.org/officeDocument/2006/relationships/hyperlink" Target="https://www.itu.int/md/S26-CL-C-0027/en" TargetMode="External"/><Relationship Id="rId25" Type="http://schemas.openxmlformats.org/officeDocument/2006/relationships/hyperlink" Target="https://www.itu.int/md/S26-CL-C-0034/en" TargetMode="External"/><Relationship Id="rId46" Type="http://schemas.openxmlformats.org/officeDocument/2006/relationships/hyperlink" Target="https://www.itu.int/md/S26-CL-C-0103/en" TargetMode="External"/><Relationship Id="rId67" Type="http://schemas.openxmlformats.org/officeDocument/2006/relationships/hyperlink" Target="https://www.itu.int/md/S25-SG-CIR-0036/en" TargetMode="External"/><Relationship Id="rId88" Type="http://schemas.openxmlformats.org/officeDocument/2006/relationships/hyperlink" Target="https://www.itu.int/md/S26-CL-C-0016/en" TargetMode="External"/><Relationship Id="rId111" Type="http://schemas.openxmlformats.org/officeDocument/2006/relationships/hyperlink" Target="https://www.itu.int/md/S26-CL-C-0084/en" TargetMode="External"/><Relationship Id="rId132" Type="http://schemas.openxmlformats.org/officeDocument/2006/relationships/hyperlink" Target="https://www.itu.int/md/S26-CL-C-0032/en" TargetMode="External"/><Relationship Id="rId153" Type="http://schemas.openxmlformats.org/officeDocument/2006/relationships/hyperlink" Target="https://www.itu.int/md/S26-CL-C-0106/en" TargetMode="External"/><Relationship Id="rId174" Type="http://schemas.openxmlformats.org/officeDocument/2006/relationships/hyperlink" Target="https://www.itu.int/md/S26-CL-C-0071/en" TargetMode="External"/><Relationship Id="rId195" Type="http://schemas.openxmlformats.org/officeDocument/2006/relationships/hyperlink" Target="https://www.itu.int/md/S26-CL-C-0045/en" TargetMode="External"/><Relationship Id="rId209" Type="http://schemas.openxmlformats.org/officeDocument/2006/relationships/hyperlink" Target="https://www.itu.int/md/S26-CL-C-0036/en" TargetMode="External"/><Relationship Id="rId220" Type="http://schemas.openxmlformats.org/officeDocument/2006/relationships/hyperlink" Target="https://www.itu.int/md/S26-CL-C-0057/en" TargetMode="External"/><Relationship Id="rId241" Type="http://schemas.openxmlformats.org/officeDocument/2006/relationships/hyperlink" Target="https://www.itu.int/md/S26-CL-C-0062/en" TargetMode="External"/><Relationship Id="rId15" Type="http://schemas.openxmlformats.org/officeDocument/2006/relationships/hyperlink" Target="https://www.itu.int/md/S26-CWGFHR22-C-0033/en" TargetMode="External"/><Relationship Id="rId36" Type="http://schemas.openxmlformats.org/officeDocument/2006/relationships/hyperlink" Target="https://www.itu.int/md/S26-CL-C-0109/en" TargetMode="External"/><Relationship Id="rId57" Type="http://schemas.openxmlformats.org/officeDocument/2006/relationships/hyperlink" Target="https://www.itu.int/md/S26-CL-C-0072/en" TargetMode="External"/><Relationship Id="rId262" Type="http://schemas.openxmlformats.org/officeDocument/2006/relationships/hyperlink" Target="https://www.itu.int/md/S26-CL-C-0042/en" TargetMode="External"/><Relationship Id="rId78" Type="http://schemas.openxmlformats.org/officeDocument/2006/relationships/hyperlink" Target="https://www.itu.int/md/S24-CL-C-0022/en" TargetMode="External"/><Relationship Id="rId99" Type="http://schemas.openxmlformats.org/officeDocument/2006/relationships/hyperlink" Target="https://www.itu.int/md/S26-CL-C-0084/en" TargetMode="External"/><Relationship Id="rId101" Type="http://schemas.openxmlformats.org/officeDocument/2006/relationships/hyperlink" Target="https://www.itu.int/md/S26-CL-C-0096/en" TargetMode="External"/><Relationship Id="rId122" Type="http://schemas.openxmlformats.org/officeDocument/2006/relationships/hyperlink" Target="https://www.itu.int/md/S26-CL-C-0112/en" TargetMode="External"/><Relationship Id="rId143" Type="http://schemas.openxmlformats.org/officeDocument/2006/relationships/hyperlink" Target="https://www.itu.int/md/S26-CL-C-0048/en" TargetMode="External"/><Relationship Id="rId164" Type="http://schemas.openxmlformats.org/officeDocument/2006/relationships/hyperlink" Target="https://www.itu.int/md/S26-CL-INF-0004/en" TargetMode="External"/><Relationship Id="rId185" Type="http://schemas.openxmlformats.org/officeDocument/2006/relationships/hyperlink" Target="https://www.itu.int/md/S26-CL-INF-0005/en" TargetMode="External"/><Relationship Id="rId9" Type="http://schemas.openxmlformats.org/officeDocument/2006/relationships/hyperlink" Target="https://www.itu.int/md/S26-CL-INF-0026/en" TargetMode="External"/><Relationship Id="rId210" Type="http://schemas.openxmlformats.org/officeDocument/2006/relationships/hyperlink" Target="https://www.itu.int/md/S26-CL-C-0036/en" TargetMode="External"/><Relationship Id="rId26" Type="http://schemas.openxmlformats.org/officeDocument/2006/relationships/hyperlink" Target="https://www.itu.int/md/S26-CL-C-0042/en" TargetMode="External"/><Relationship Id="rId231" Type="http://schemas.openxmlformats.org/officeDocument/2006/relationships/hyperlink" Target="https://www.itu.int/md/S26-CL-C-0066/en" TargetMode="External"/><Relationship Id="rId252" Type="http://schemas.openxmlformats.org/officeDocument/2006/relationships/hyperlink" Target="https://www.itu.int/md/S26-CL-C-0089/en" TargetMode="External"/><Relationship Id="rId47" Type="http://schemas.openxmlformats.org/officeDocument/2006/relationships/hyperlink" Target="https://www.itu.int/md/S26-CL-C-0103/en" TargetMode="External"/><Relationship Id="rId68" Type="http://schemas.openxmlformats.org/officeDocument/2006/relationships/hyperlink" Target="https://www.itu.int/md/S26-CL-C-0073/en" TargetMode="External"/><Relationship Id="rId89" Type="http://schemas.openxmlformats.org/officeDocument/2006/relationships/hyperlink" Target="https://www.itu.int/md/S26-CL-C-0107/en" TargetMode="External"/><Relationship Id="rId112" Type="http://schemas.openxmlformats.org/officeDocument/2006/relationships/hyperlink" Target="https://www.itu.int/md/S26-CL-C-0096/en" TargetMode="External"/><Relationship Id="rId133" Type="http://schemas.openxmlformats.org/officeDocument/2006/relationships/hyperlink" Target="https://www.itu.int/md/S26-CL-C-0080/en" TargetMode="External"/><Relationship Id="rId154" Type="http://schemas.openxmlformats.org/officeDocument/2006/relationships/hyperlink" Target="https://www.itu.int/md/S26-CL-C-0065/en" TargetMode="External"/><Relationship Id="rId175" Type="http://schemas.openxmlformats.org/officeDocument/2006/relationships/hyperlink" Target="https://www.itu.int/md/S26-CL-C-0014/en" TargetMode="External"/><Relationship Id="rId196" Type="http://schemas.openxmlformats.org/officeDocument/2006/relationships/hyperlink" Target="https://www.itu.int/md/S26-CL-C-0045/en" TargetMode="External"/><Relationship Id="rId200" Type="http://schemas.openxmlformats.org/officeDocument/2006/relationships/hyperlink" Target="https://www.itu.int/md/S26-CL-C-0110/en" TargetMode="External"/><Relationship Id="rId16" Type="http://schemas.openxmlformats.org/officeDocument/2006/relationships/hyperlink" Target="https://www.itu.int/md/S26-CL-C-0050/en" TargetMode="External"/><Relationship Id="rId221" Type="http://schemas.openxmlformats.org/officeDocument/2006/relationships/hyperlink" Target="https://www.itu.int/md/S26-CL-C-0057/en" TargetMode="External"/><Relationship Id="rId242" Type="http://schemas.openxmlformats.org/officeDocument/2006/relationships/hyperlink" Target="https://www.itu.int/md/S26-CL-INF-0006/en" TargetMode="External"/><Relationship Id="rId263" Type="http://schemas.openxmlformats.org/officeDocument/2006/relationships/footer" Target="footer1.xml"/><Relationship Id="rId37" Type="http://schemas.openxmlformats.org/officeDocument/2006/relationships/hyperlink" Target="https://www.itu.int/md/S26-CL-C-0109/en" TargetMode="External"/><Relationship Id="rId58" Type="http://schemas.openxmlformats.org/officeDocument/2006/relationships/hyperlink" Target="https://www.itu.int/md/S26-CL-C-0100/en" TargetMode="External"/><Relationship Id="rId79" Type="http://schemas.openxmlformats.org/officeDocument/2006/relationships/hyperlink" Target="https://www.itu.int/md/S25-CL-C-0046/en" TargetMode="External"/><Relationship Id="rId102" Type="http://schemas.openxmlformats.org/officeDocument/2006/relationships/hyperlink" Target="https://www.itu.int/md/S26-CL-C-0096/en" TargetMode="External"/><Relationship Id="rId123" Type="http://schemas.openxmlformats.org/officeDocument/2006/relationships/hyperlink" Target="https://www.itu.int/md/S26-CL-C-0112/en" TargetMode="External"/><Relationship Id="rId144" Type="http://schemas.openxmlformats.org/officeDocument/2006/relationships/hyperlink" Target="https://www.itu.int/md/S26-CL-C-0063/en" TargetMode="External"/><Relationship Id="rId90" Type="http://schemas.openxmlformats.org/officeDocument/2006/relationships/hyperlink" Target="https://www.itu.int/md/S26-CL-C-0107/en" TargetMode="External"/><Relationship Id="rId165" Type="http://schemas.openxmlformats.org/officeDocument/2006/relationships/hyperlink" Target="https://www.itu.int/md/S26-CL-INF-0004/en" TargetMode="External"/><Relationship Id="rId186" Type="http://schemas.openxmlformats.org/officeDocument/2006/relationships/hyperlink" Target="https://www.itu.int/md/S26-CL-INF-0023/en" TargetMode="External"/><Relationship Id="rId211" Type="http://schemas.openxmlformats.org/officeDocument/2006/relationships/hyperlink" Target="https://www.itu.int/md/S26-CL-C-0036/en" TargetMode="External"/><Relationship Id="rId232" Type="http://schemas.openxmlformats.org/officeDocument/2006/relationships/hyperlink" Target="https://www.itu.int/md/S26-CL-C-0050/en" TargetMode="External"/><Relationship Id="rId253" Type="http://schemas.openxmlformats.org/officeDocument/2006/relationships/hyperlink" Target="https://www.itu.int/md/S26-CL-C-0088/en" TargetMode="External"/><Relationship Id="rId27" Type="http://schemas.openxmlformats.org/officeDocument/2006/relationships/hyperlink" Target="https://www.itu.int/md/S26-CL-C-0042/en" TargetMode="External"/><Relationship Id="rId48" Type="http://schemas.openxmlformats.org/officeDocument/2006/relationships/hyperlink" Target="https://www.itu.int/md/S26-CL-C-0047/en" TargetMode="External"/><Relationship Id="rId69" Type="http://schemas.openxmlformats.org/officeDocument/2006/relationships/hyperlink" Target="https://www.itu.int/md/S26-CL-INF-0014/en" TargetMode="External"/><Relationship Id="rId113" Type="http://schemas.openxmlformats.org/officeDocument/2006/relationships/hyperlink" Target="https://www.itu.int/md/S26-CL-C-0098/en" TargetMode="External"/><Relationship Id="rId134" Type="http://schemas.openxmlformats.org/officeDocument/2006/relationships/hyperlink" Target="https://www.itu.int/md/S26-CL-C-0081/en" TargetMode="External"/><Relationship Id="rId80" Type="http://schemas.openxmlformats.org/officeDocument/2006/relationships/hyperlink" Target="https://www.itu.int/md/S25-CL-C-0046/en" TargetMode="External"/><Relationship Id="rId155" Type="http://schemas.openxmlformats.org/officeDocument/2006/relationships/hyperlink" Target="https://www.itu.int/md/S26-CL-C-0105/en" TargetMode="External"/><Relationship Id="rId176" Type="http://schemas.openxmlformats.org/officeDocument/2006/relationships/hyperlink" Target="https://www.itu.int/md/S26-CL-INF-0027/en" TargetMode="External"/><Relationship Id="rId197" Type="http://schemas.openxmlformats.org/officeDocument/2006/relationships/hyperlink" Target="https://www.itu.int/md/S26-CL-C-0045/en" TargetMode="External"/><Relationship Id="rId201" Type="http://schemas.openxmlformats.org/officeDocument/2006/relationships/hyperlink" Target="https://www.itu.int/md/S26-CL-C-0110/en" TargetMode="External"/><Relationship Id="rId222" Type="http://schemas.openxmlformats.org/officeDocument/2006/relationships/hyperlink" Target="https://www.itu.int/md/S26-CL-C-0049/en" TargetMode="External"/><Relationship Id="rId243" Type="http://schemas.openxmlformats.org/officeDocument/2006/relationships/hyperlink" Target="https://www.itu.int/md/S26-CL-C-0062/en" TargetMode="External"/><Relationship Id="rId264" Type="http://schemas.openxmlformats.org/officeDocument/2006/relationships/header" Target="header1.xml"/><Relationship Id="rId17" Type="http://schemas.openxmlformats.org/officeDocument/2006/relationships/hyperlink" Target="https://www.itu.int/md/S26-CL-C-0050/en" TargetMode="External"/><Relationship Id="rId38" Type="http://schemas.openxmlformats.org/officeDocument/2006/relationships/hyperlink" Target="https://www.itu.int/md/S26-CL-C-0103/en" TargetMode="External"/><Relationship Id="rId59" Type="http://schemas.openxmlformats.org/officeDocument/2006/relationships/hyperlink" Target="https://www.itu.int/md/S26-CL-C-0100/en" TargetMode="External"/><Relationship Id="rId103" Type="http://schemas.openxmlformats.org/officeDocument/2006/relationships/hyperlink" Target="https://www.itu.int/md/S26-CL-C-0098/en" TargetMode="External"/><Relationship Id="rId124" Type="http://schemas.openxmlformats.org/officeDocument/2006/relationships/hyperlink" Target="https://www.itu.int/md/S26-CL-C-0032/en" TargetMode="External"/><Relationship Id="rId70" Type="http://schemas.openxmlformats.org/officeDocument/2006/relationships/hyperlink" Target="https://www.itu.int/md/S26-CL-C-0011/en" TargetMode="External"/><Relationship Id="rId91" Type="http://schemas.openxmlformats.org/officeDocument/2006/relationships/hyperlink" Target="https://www.itu.int/md/S26-CL-C-0075/en" TargetMode="External"/><Relationship Id="rId145" Type="http://schemas.openxmlformats.org/officeDocument/2006/relationships/hyperlink" Target="https://www.itu.int/md/S26-CL-C-0063/en" TargetMode="External"/><Relationship Id="rId166" Type="http://schemas.openxmlformats.org/officeDocument/2006/relationships/hyperlink" Target="https://www.itu.int/md/S26-CL-C-0070/en" TargetMode="External"/><Relationship Id="rId187" Type="http://schemas.openxmlformats.org/officeDocument/2006/relationships/hyperlink" Target="https://www.itu.int/md/S26-CL-INF-0023/en" TargetMode="External"/><Relationship Id="rId1" Type="http://schemas.openxmlformats.org/officeDocument/2006/relationships/customXml" Target="../customXml/item1.xml"/><Relationship Id="rId212" Type="http://schemas.openxmlformats.org/officeDocument/2006/relationships/hyperlink" Target="https://www.itu.int/md/S26-CL-C-0057/en" TargetMode="External"/><Relationship Id="rId233" Type="http://schemas.openxmlformats.org/officeDocument/2006/relationships/hyperlink" Target="https://www.itu.int/md/S26-CL-C-0050/en" TargetMode="External"/><Relationship Id="rId254" Type="http://schemas.openxmlformats.org/officeDocument/2006/relationships/hyperlink" Target="https://www.itu.int/md/S26-CL-C-0110/en" TargetMode="External"/><Relationship Id="rId28" Type="http://schemas.openxmlformats.org/officeDocument/2006/relationships/hyperlink" Target="https://www.itu.int/md/S26-CL-C-0034/en" TargetMode="External"/><Relationship Id="rId49" Type="http://schemas.openxmlformats.org/officeDocument/2006/relationships/hyperlink" Target="https://www.itu.int/md/S26-CL-C-0047/en" TargetMode="External"/><Relationship Id="rId114" Type="http://schemas.openxmlformats.org/officeDocument/2006/relationships/hyperlink" Target="https://www.itu.int/md/S26-CL-C-0090/en" TargetMode="External"/><Relationship Id="rId60" Type="http://schemas.openxmlformats.org/officeDocument/2006/relationships/hyperlink" Target="https://www.itu.int/md/S26-CL-C-0100/en" TargetMode="External"/><Relationship Id="rId81" Type="http://schemas.openxmlformats.org/officeDocument/2006/relationships/hyperlink" Target="https://www.itu.int/md/S26-CL-C-0056/en" TargetMode="External"/><Relationship Id="rId135" Type="http://schemas.openxmlformats.org/officeDocument/2006/relationships/hyperlink" Target="https://www.itu.int/md/S26-CL-C-0091/en" TargetMode="External"/><Relationship Id="rId156" Type="http://schemas.openxmlformats.org/officeDocument/2006/relationships/hyperlink" Target="https://www.itu.int/md/S26-CL-C-0106/en" TargetMode="External"/><Relationship Id="rId177" Type="http://schemas.openxmlformats.org/officeDocument/2006/relationships/hyperlink" Target="https://www.itu.int/md/S26-CL-C-0014/en" TargetMode="External"/><Relationship Id="rId198" Type="http://schemas.openxmlformats.org/officeDocument/2006/relationships/hyperlink" Target="https://www.itu.int/md/S26-CL-C-0045/en" TargetMode="External"/><Relationship Id="rId202" Type="http://schemas.openxmlformats.org/officeDocument/2006/relationships/hyperlink" Target="https://www.itu.int/md/S26-CL-C-0110/en" TargetMode="External"/><Relationship Id="rId223" Type="http://schemas.openxmlformats.org/officeDocument/2006/relationships/hyperlink" Target="https://www.itu.int/md/S26-CL-C-0049/en" TargetMode="External"/><Relationship Id="rId244" Type="http://schemas.openxmlformats.org/officeDocument/2006/relationships/hyperlink" Target="https://www.itu.int/md/S26-CL-C-0062/en" TargetMode="External"/><Relationship Id="rId18" Type="http://schemas.openxmlformats.org/officeDocument/2006/relationships/hyperlink" Target="https://www.itu.int/md/S26-CL-C-0053/en" TargetMode="External"/><Relationship Id="rId39" Type="http://schemas.openxmlformats.org/officeDocument/2006/relationships/hyperlink" Target="https://www.itu.int/md/S26-CL-C-0103/en" TargetMode="External"/><Relationship Id="rId265" Type="http://schemas.openxmlformats.org/officeDocument/2006/relationships/footer" Target="footer2.xml"/><Relationship Id="rId50" Type="http://schemas.openxmlformats.org/officeDocument/2006/relationships/hyperlink" Target="https://www.itu.int/md/S10-CL-C-0067/en" TargetMode="External"/><Relationship Id="rId104" Type="http://schemas.openxmlformats.org/officeDocument/2006/relationships/hyperlink" Target="https://www.itu.int/md/S26-CL-C-0098/en" TargetMode="External"/><Relationship Id="rId125" Type="http://schemas.openxmlformats.org/officeDocument/2006/relationships/hyperlink" Target="https://www.itu.int/md/S26-CL-C-0032/en" TargetMode="External"/><Relationship Id="rId146" Type="http://schemas.openxmlformats.org/officeDocument/2006/relationships/hyperlink" Target="https://www.itu.int/md/S26-CL-C-0063/en" TargetMode="External"/><Relationship Id="rId167" Type="http://schemas.openxmlformats.org/officeDocument/2006/relationships/hyperlink" Target="https://www.itu.int/md/S26-CL-C-0102/en" TargetMode="External"/><Relationship Id="rId188" Type="http://schemas.openxmlformats.org/officeDocument/2006/relationships/hyperlink" Target="https://www.itu.int/md/S26-CL-C-0022/en" TargetMode="External"/><Relationship Id="rId71" Type="http://schemas.openxmlformats.org/officeDocument/2006/relationships/hyperlink" Target="https://www.itu.int/md/S26-CL-C-0011/en" TargetMode="External"/><Relationship Id="rId92" Type="http://schemas.openxmlformats.org/officeDocument/2006/relationships/hyperlink" Target="https://www.itu.int/md/S26-CL-C-0075/en" TargetMode="External"/><Relationship Id="rId213" Type="http://schemas.openxmlformats.org/officeDocument/2006/relationships/hyperlink" Target="https://www.itu.int/md/S26-CL-C-0057/en" TargetMode="External"/><Relationship Id="rId234" Type="http://schemas.openxmlformats.org/officeDocument/2006/relationships/hyperlink" Target="https://www.itu.int/md/S26-CL-C-0066/en" TargetMode="External"/><Relationship Id="rId2" Type="http://schemas.openxmlformats.org/officeDocument/2006/relationships/numbering" Target="numbering.xml"/><Relationship Id="rId29" Type="http://schemas.openxmlformats.org/officeDocument/2006/relationships/hyperlink" Target="https://www.itu.int/md/S26-CL-C-0034/en" TargetMode="External"/><Relationship Id="rId255" Type="http://schemas.openxmlformats.org/officeDocument/2006/relationships/hyperlink" Target="https://www.itu.int/md/S26-CL-C-0054/en" TargetMode="External"/><Relationship Id="rId40" Type="http://schemas.openxmlformats.org/officeDocument/2006/relationships/hyperlink" Target="https://www.itu.int/md/S26-CL-C-0042/en" TargetMode="External"/><Relationship Id="rId115" Type="http://schemas.openxmlformats.org/officeDocument/2006/relationships/hyperlink" Target="https://www.itu.int/md/S26-CL-C-0042/en" TargetMode="External"/><Relationship Id="rId136" Type="http://schemas.openxmlformats.org/officeDocument/2006/relationships/hyperlink" Target="https://www.itu.int/md/S26-CL-C-0007/en" TargetMode="External"/><Relationship Id="rId157" Type="http://schemas.openxmlformats.org/officeDocument/2006/relationships/hyperlink" Target="https://www.itu.int/md/S26-CL-C-0065/en" TargetMode="External"/><Relationship Id="rId178" Type="http://schemas.openxmlformats.org/officeDocument/2006/relationships/hyperlink" Target="https://www.itu.int/md/S26-CL-INF-0027/en" TargetMode="External"/><Relationship Id="rId61" Type="http://schemas.openxmlformats.org/officeDocument/2006/relationships/hyperlink" Target="https://www.itu.int/md/S26-CL-C-0072/en" TargetMode="External"/><Relationship Id="rId82" Type="http://schemas.openxmlformats.org/officeDocument/2006/relationships/hyperlink" Target="https://www.itu.int/md/S26-CL-C-0056/en" TargetMode="External"/><Relationship Id="rId199" Type="http://schemas.openxmlformats.org/officeDocument/2006/relationships/hyperlink" Target="https://www.itu.int/md/S26-CL-C-0110/en" TargetMode="External"/><Relationship Id="rId203" Type="http://schemas.openxmlformats.org/officeDocument/2006/relationships/hyperlink" Target="https://www.itu.int/md/S26-CL-C-0022/en" TargetMode="External"/><Relationship Id="rId19" Type="http://schemas.openxmlformats.org/officeDocument/2006/relationships/hyperlink" Target="https://www.itu.int/md/S26-CL-C-0053/en" TargetMode="External"/><Relationship Id="rId224" Type="http://schemas.openxmlformats.org/officeDocument/2006/relationships/hyperlink" Target="https://www.itu.int/md/S26-CL-INF-0023/en" TargetMode="External"/><Relationship Id="rId245" Type="http://schemas.openxmlformats.org/officeDocument/2006/relationships/hyperlink" Target="https://www.itu.int/md/S26-CL-C-0027/en" TargetMode="External"/><Relationship Id="rId266" Type="http://schemas.openxmlformats.org/officeDocument/2006/relationships/fontTable" Target="fontTable.xml"/><Relationship Id="rId30" Type="http://schemas.openxmlformats.org/officeDocument/2006/relationships/hyperlink" Target="https://www.itu.int/md/S26-CL-C-0009/en" TargetMode="External"/><Relationship Id="rId105" Type="http://schemas.openxmlformats.org/officeDocument/2006/relationships/hyperlink" Target="https://www.itu.int/md/S26-CL-C-0090/en" TargetMode="External"/><Relationship Id="rId126" Type="http://schemas.openxmlformats.org/officeDocument/2006/relationships/hyperlink" Target="https://www.itu.int/md/S26-CL-C-0112/en" TargetMode="External"/><Relationship Id="rId147" Type="http://schemas.openxmlformats.org/officeDocument/2006/relationships/hyperlink" Target="https://www.itu.int/md/S26-CL-C-0063/en" TargetMode="External"/><Relationship Id="rId168" Type="http://schemas.openxmlformats.org/officeDocument/2006/relationships/hyperlink" Target="https://www.itu.int/md/S26-CL-C-0070/en" TargetMode="External"/><Relationship Id="rId51" Type="http://schemas.openxmlformats.org/officeDocument/2006/relationships/hyperlink" Target="https://www.itu.int/md/S10-CL-C-0067/en" TargetMode="External"/><Relationship Id="rId72" Type="http://schemas.openxmlformats.org/officeDocument/2006/relationships/hyperlink" Target="https://www.itu.int/md/S26-CL-C-0011/en" TargetMode="External"/><Relationship Id="rId93" Type="http://schemas.openxmlformats.org/officeDocument/2006/relationships/hyperlink" Target="https://www.itu.int/md/S26-CL-C-0016/en" TargetMode="External"/><Relationship Id="rId189" Type="http://schemas.openxmlformats.org/officeDocument/2006/relationships/hyperlink" Target="https://www.itu.int/md/S26-CL-C-0022/en" TargetMode="External"/><Relationship Id="rId3" Type="http://schemas.openxmlformats.org/officeDocument/2006/relationships/styles" Target="styles.xml"/><Relationship Id="rId214" Type="http://schemas.openxmlformats.org/officeDocument/2006/relationships/hyperlink" Target="https://www.unjiu.org/sites/www.unjiu.org/files/jiu_rep_2025_4_russian.pdf" TargetMode="External"/><Relationship Id="rId235" Type="http://schemas.openxmlformats.org/officeDocument/2006/relationships/hyperlink" Target="https://www.itu.int/md/S26-CL-C-0023/en" TargetMode="External"/><Relationship Id="rId256" Type="http://schemas.openxmlformats.org/officeDocument/2006/relationships/hyperlink" Target="https://www.itu.int/md/S26-CL-260428-TD-0005/en" TargetMode="External"/><Relationship Id="rId116" Type="http://schemas.openxmlformats.org/officeDocument/2006/relationships/hyperlink" Target="https://www.itu.int/md/S26-CL-C-0042/en" TargetMode="External"/><Relationship Id="rId137" Type="http://schemas.openxmlformats.org/officeDocument/2006/relationships/hyperlink" Target="https://www.itu.int/md/S26-CL-C-0007/en" TargetMode="External"/><Relationship Id="rId158" Type="http://schemas.openxmlformats.org/officeDocument/2006/relationships/hyperlink" Target="https://www.itu.int/md/S26-CL-C-0105/en" TargetMode="External"/><Relationship Id="rId20" Type="http://schemas.openxmlformats.org/officeDocument/2006/relationships/hyperlink" Target="https://www.itu.int/md/S26-CL-C-0053/en" TargetMode="External"/><Relationship Id="rId41" Type="http://schemas.openxmlformats.org/officeDocument/2006/relationships/hyperlink" Target="https://www.itu.int/md/S26-CL-C-0042/en" TargetMode="External"/><Relationship Id="rId62" Type="http://schemas.openxmlformats.org/officeDocument/2006/relationships/hyperlink" Target="https://www.itu.int/md/S26-CL-C-0100/en" TargetMode="External"/><Relationship Id="rId83" Type="http://schemas.openxmlformats.org/officeDocument/2006/relationships/hyperlink" Target="https://www.itu.int/md/S26-CL-C-0056/en" TargetMode="External"/><Relationship Id="rId179" Type="http://schemas.openxmlformats.org/officeDocument/2006/relationships/hyperlink" Target="https://docs.un.org/ru/JIU/REP/2025/2" TargetMode="External"/><Relationship Id="rId190" Type="http://schemas.openxmlformats.org/officeDocument/2006/relationships/hyperlink" Target="https://www.itu.int/md/S26-CL-C-0044/en" TargetMode="External"/><Relationship Id="rId204" Type="http://schemas.openxmlformats.org/officeDocument/2006/relationships/hyperlink" Target="https://www.itu.int/md/S26-CL-C-0022/en" TargetMode="External"/><Relationship Id="rId225" Type="http://schemas.openxmlformats.org/officeDocument/2006/relationships/hyperlink" Target="https://www.itu.int/md/S26-CL-INF-0017/en" TargetMode="External"/><Relationship Id="rId246" Type="http://schemas.openxmlformats.org/officeDocument/2006/relationships/hyperlink" Target="https://www.itu.int/md/S26-CL-C-0027/en" TargetMode="External"/><Relationship Id="rId267" Type="http://schemas.openxmlformats.org/officeDocument/2006/relationships/theme" Target="theme/theme1.xml"/><Relationship Id="rId106" Type="http://schemas.openxmlformats.org/officeDocument/2006/relationships/hyperlink" Target="https://www.itu.int/md/S26-CL-C-0090/en" TargetMode="External"/><Relationship Id="rId127" Type="http://schemas.openxmlformats.org/officeDocument/2006/relationships/hyperlink" Target="https://www.itu.int/md/S26-CL-C-0112/en" TargetMode="External"/><Relationship Id="rId10" Type="http://schemas.openxmlformats.org/officeDocument/2006/relationships/hyperlink" Target="https://www.itu.int/md/S26-CL-INF-0002/en" TargetMode="External"/><Relationship Id="rId31" Type="http://schemas.openxmlformats.org/officeDocument/2006/relationships/hyperlink" Target="https://www.itu.int/md/S26-CL-C-0009/en" TargetMode="External"/><Relationship Id="rId52" Type="http://schemas.openxmlformats.org/officeDocument/2006/relationships/hyperlink" Target="https://www.itu.int/md/S26-CL-C-0054/en" TargetMode="External"/><Relationship Id="rId73" Type="http://schemas.openxmlformats.org/officeDocument/2006/relationships/hyperlink" Target="https://www.itu.int/md/S26-CL-C-0011/en" TargetMode="External"/><Relationship Id="rId94" Type="http://schemas.openxmlformats.org/officeDocument/2006/relationships/hyperlink" Target="https://www.itu.int/md/S26-CL-C-0075/en" TargetMode="External"/><Relationship Id="rId148" Type="http://schemas.openxmlformats.org/officeDocument/2006/relationships/hyperlink" Target="https://www.itu.int/md/S26-CL-C-0065/en" TargetMode="External"/><Relationship Id="rId169" Type="http://schemas.openxmlformats.org/officeDocument/2006/relationships/hyperlink" Target="https://www.itu.int/md/S26-CL-C-0102/en" TargetMode="External"/><Relationship Id="rId4" Type="http://schemas.openxmlformats.org/officeDocument/2006/relationships/settings" Target="settings.xml"/><Relationship Id="rId180" Type="http://schemas.openxmlformats.org/officeDocument/2006/relationships/hyperlink" Target="https://www.itu.int/md/S26-CL-C-0014/en" TargetMode="External"/><Relationship Id="rId215" Type="http://schemas.openxmlformats.org/officeDocument/2006/relationships/hyperlink" Target="https://www.unjiu.org/sites/www.unjiu.org/files/jiu_rep_2025_3_russian.pdf" TargetMode="External"/><Relationship Id="rId236" Type="http://schemas.openxmlformats.org/officeDocument/2006/relationships/hyperlink" Target="https://www.itu.int/md/S26-CL-C-0023/en" TargetMode="External"/><Relationship Id="rId257" Type="http://schemas.openxmlformats.org/officeDocument/2006/relationships/hyperlink" Target="https://www.itu.int/md/S26-CL-C-0011/en" TargetMode="External"/><Relationship Id="rId42" Type="http://schemas.openxmlformats.org/officeDocument/2006/relationships/hyperlink" Target="https://www.itu.int/md/S26-CL-C-0043/en" TargetMode="External"/><Relationship Id="rId84" Type="http://schemas.openxmlformats.org/officeDocument/2006/relationships/hyperlink" Target="https://www.itu.int/md/S26-CL-C-0056/en" TargetMode="External"/><Relationship Id="rId138" Type="http://schemas.openxmlformats.org/officeDocument/2006/relationships/hyperlink" Target="https://www.itu.int/md/S26-CL-C-0048/en" TargetMode="External"/><Relationship Id="rId191" Type="http://schemas.openxmlformats.org/officeDocument/2006/relationships/hyperlink" Target="https://www.itu.int/md/S26-CL-C-0039/en" TargetMode="External"/><Relationship Id="rId205" Type="http://schemas.openxmlformats.org/officeDocument/2006/relationships/hyperlink" Target="https://www.itu.int/md/S26-CL-C-0039/en" TargetMode="External"/><Relationship Id="rId247" Type="http://schemas.openxmlformats.org/officeDocument/2006/relationships/hyperlink" Target="https://www.itu.int/md/S26-CL-C-0089/e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R%20-%20ITU\GS\PR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53D42-40BB-4C06-91D4-F12FDBB78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PR_Council26</Template>
  <TotalTime>5</TotalTime>
  <Pages>78</Pages>
  <Words>34494</Words>
  <Characters>242152</Characters>
  <Application>Microsoft Office Word</Application>
  <DocSecurity>0</DocSecurity>
  <Lines>3969</Lines>
  <Paragraphs>1017</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275629</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by the Chair of the Standing Committee on Administration and Management</dc:title>
  <dc:subject>ITU Council 2026</dc:subject>
  <dc:creator/>
  <cp:keywords>C26; C2026; Council 2026; PP26</cp:keywords>
  <dc:description/>
  <cp:lastModifiedBy>GBS</cp:lastModifiedBy>
  <cp:revision>3</cp:revision>
  <cp:lastPrinted>2006-03-28T16:12:00Z</cp:lastPrinted>
  <dcterms:created xsi:type="dcterms:W3CDTF">2026-05-15T10:31:00Z</dcterms:created>
  <dcterms:modified xsi:type="dcterms:W3CDTF">2026-05-15T10:43:00Z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Документ C05/xx-R</vt:lpwstr>
  </property>
  <property fmtid="{D5CDD505-2E9C-101B-9397-08002B2CF9AE}" pid="3" name="Docdate">
    <vt:lpwstr>Дата</vt:lpwstr>
  </property>
  <property fmtid="{D5CDD505-2E9C-101B-9397-08002B2CF9AE}" pid="4" name="Docorlang">
    <vt:lpwstr>Оригинал: английский</vt:lpwstr>
  </property>
  <property fmtid="{D5CDD505-2E9C-101B-9397-08002B2CF9AE}" pid="5" name="Docbluepink">
    <vt:lpwstr/>
  </property>
  <property fmtid="{D5CDD505-2E9C-101B-9397-08002B2CF9AE}" pid="6" name="Docdest">
    <vt:lpwstr/>
  </property>
  <property fmtid="{D5CDD505-2E9C-101B-9397-08002B2CF9AE}" pid="7" name="Docauthor">
    <vt:lpwstr>Отчет [Записка] Генерального секретаря</vt:lpwstr>
  </property>
  <property fmtid="{D5CDD505-2E9C-101B-9397-08002B2CF9AE}" pid="8" name="GrammarlyDocumentId">
    <vt:lpwstr>9788a1e2cff90a8b0a0b89c964e56f6e6a612f9769bc84c067c7d1a91603ee22</vt:lpwstr>
  </property>
</Properties>
</file>