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386F72" w14:paraId="73B999A3" w14:textId="77777777" w:rsidTr="00796BDB">
        <w:trPr>
          <w:cantSplit/>
          <w:trHeight w:val="23"/>
        </w:trPr>
        <w:tc>
          <w:tcPr>
            <w:tcW w:w="3969" w:type="dxa"/>
            <w:vMerge w:val="restart"/>
            <w:tcMar>
              <w:left w:w="0" w:type="dxa"/>
            </w:tcMar>
          </w:tcPr>
          <w:p w14:paraId="56B7857D" w14:textId="5EDD9BEB" w:rsidR="00D72F49" w:rsidRPr="00386F72" w:rsidRDefault="00D72F49" w:rsidP="00796BDB">
            <w:pPr>
              <w:tabs>
                <w:tab w:val="left" w:pos="851"/>
              </w:tabs>
              <w:spacing w:before="0" w:line="240" w:lineRule="atLeast"/>
              <w:rPr>
                <w:b/>
              </w:rPr>
            </w:pPr>
          </w:p>
        </w:tc>
        <w:tc>
          <w:tcPr>
            <w:tcW w:w="5245" w:type="dxa"/>
          </w:tcPr>
          <w:p w14:paraId="5988E4AD" w14:textId="210B77F7" w:rsidR="00D72F49" w:rsidRPr="00386F72" w:rsidRDefault="00D72F49" w:rsidP="00796BDB">
            <w:pPr>
              <w:tabs>
                <w:tab w:val="left" w:pos="851"/>
              </w:tabs>
              <w:spacing w:before="0" w:line="240" w:lineRule="atLeast"/>
              <w:jc w:val="right"/>
              <w:rPr>
                <w:b/>
              </w:rPr>
            </w:pPr>
            <w:r w:rsidRPr="00386F72">
              <w:rPr>
                <w:b/>
              </w:rPr>
              <w:t>Document C2</w:t>
            </w:r>
            <w:r w:rsidR="00E4448E" w:rsidRPr="00386F72">
              <w:rPr>
                <w:b/>
              </w:rPr>
              <w:t>6</w:t>
            </w:r>
            <w:r w:rsidRPr="00386F72">
              <w:rPr>
                <w:b/>
              </w:rPr>
              <w:t>/</w:t>
            </w:r>
            <w:r w:rsidR="00D92A79" w:rsidRPr="00386F72">
              <w:rPr>
                <w:b/>
              </w:rPr>
              <w:t>116</w:t>
            </w:r>
            <w:r w:rsidRPr="00386F72">
              <w:rPr>
                <w:b/>
              </w:rPr>
              <w:t>-F</w:t>
            </w:r>
          </w:p>
        </w:tc>
      </w:tr>
      <w:tr w:rsidR="00D72F49" w:rsidRPr="00386F72" w14:paraId="2A8A5E33" w14:textId="77777777" w:rsidTr="00796BDB">
        <w:trPr>
          <w:cantSplit/>
        </w:trPr>
        <w:tc>
          <w:tcPr>
            <w:tcW w:w="3969" w:type="dxa"/>
            <w:vMerge/>
          </w:tcPr>
          <w:p w14:paraId="3247E56C" w14:textId="77777777" w:rsidR="00D72F49" w:rsidRPr="00386F72" w:rsidRDefault="00D72F49" w:rsidP="00796BDB">
            <w:pPr>
              <w:tabs>
                <w:tab w:val="left" w:pos="851"/>
              </w:tabs>
              <w:spacing w:line="240" w:lineRule="atLeast"/>
              <w:rPr>
                <w:b/>
              </w:rPr>
            </w:pPr>
          </w:p>
        </w:tc>
        <w:tc>
          <w:tcPr>
            <w:tcW w:w="5245" w:type="dxa"/>
          </w:tcPr>
          <w:p w14:paraId="0B392698" w14:textId="71F684C2" w:rsidR="00D72F49" w:rsidRPr="00386F72" w:rsidRDefault="002C37A1" w:rsidP="00796BDB">
            <w:pPr>
              <w:tabs>
                <w:tab w:val="left" w:pos="851"/>
              </w:tabs>
              <w:spacing w:before="0"/>
              <w:jc w:val="right"/>
              <w:rPr>
                <w:b/>
              </w:rPr>
            </w:pPr>
            <w:r w:rsidRPr="00386F72">
              <w:rPr>
                <w:b/>
              </w:rPr>
              <w:t>8</w:t>
            </w:r>
            <w:r w:rsidR="00D92A79" w:rsidRPr="00386F72">
              <w:rPr>
                <w:b/>
              </w:rPr>
              <w:t xml:space="preserve"> mai 2026</w:t>
            </w:r>
          </w:p>
        </w:tc>
      </w:tr>
      <w:tr w:rsidR="00D72F49" w:rsidRPr="00386F72" w14:paraId="28EFA146" w14:textId="77777777" w:rsidTr="00796BDB">
        <w:trPr>
          <w:cantSplit/>
          <w:trHeight w:val="23"/>
        </w:trPr>
        <w:tc>
          <w:tcPr>
            <w:tcW w:w="3969" w:type="dxa"/>
            <w:vMerge/>
          </w:tcPr>
          <w:p w14:paraId="194CA139" w14:textId="77777777" w:rsidR="00D72F49" w:rsidRPr="00386F72" w:rsidRDefault="00D72F49" w:rsidP="00796BDB">
            <w:pPr>
              <w:tabs>
                <w:tab w:val="left" w:pos="851"/>
              </w:tabs>
              <w:spacing w:line="240" w:lineRule="atLeast"/>
              <w:rPr>
                <w:b/>
              </w:rPr>
            </w:pPr>
          </w:p>
        </w:tc>
        <w:tc>
          <w:tcPr>
            <w:tcW w:w="5245" w:type="dxa"/>
          </w:tcPr>
          <w:p w14:paraId="2BD1C141" w14:textId="77777777" w:rsidR="00D72F49" w:rsidRPr="00386F72" w:rsidRDefault="00D72F49" w:rsidP="00796BDB">
            <w:pPr>
              <w:tabs>
                <w:tab w:val="left" w:pos="851"/>
              </w:tabs>
              <w:spacing w:before="0" w:line="240" w:lineRule="atLeast"/>
              <w:jc w:val="right"/>
              <w:rPr>
                <w:b/>
              </w:rPr>
            </w:pPr>
            <w:r w:rsidRPr="00386F72">
              <w:rPr>
                <w:b/>
              </w:rPr>
              <w:t>Original: anglais</w:t>
            </w:r>
          </w:p>
        </w:tc>
      </w:tr>
      <w:tr w:rsidR="00D72F49" w:rsidRPr="00386F72" w14:paraId="47222DF5" w14:textId="77777777" w:rsidTr="00796BDB">
        <w:trPr>
          <w:cantSplit/>
          <w:trHeight w:val="23"/>
        </w:trPr>
        <w:tc>
          <w:tcPr>
            <w:tcW w:w="3969" w:type="dxa"/>
          </w:tcPr>
          <w:p w14:paraId="0C0AB8EC" w14:textId="77777777" w:rsidR="00D72F49" w:rsidRPr="00386F72" w:rsidRDefault="00D72F49" w:rsidP="00796BDB">
            <w:pPr>
              <w:tabs>
                <w:tab w:val="left" w:pos="851"/>
              </w:tabs>
              <w:spacing w:line="240" w:lineRule="atLeast"/>
              <w:rPr>
                <w:b/>
              </w:rPr>
            </w:pPr>
          </w:p>
        </w:tc>
        <w:tc>
          <w:tcPr>
            <w:tcW w:w="5245" w:type="dxa"/>
          </w:tcPr>
          <w:p w14:paraId="1264FBF2" w14:textId="77777777" w:rsidR="00D72F49" w:rsidRPr="00386F72" w:rsidRDefault="00D72F49" w:rsidP="00796BDB">
            <w:pPr>
              <w:tabs>
                <w:tab w:val="left" w:pos="851"/>
              </w:tabs>
              <w:spacing w:before="0" w:line="240" w:lineRule="atLeast"/>
              <w:jc w:val="right"/>
              <w:rPr>
                <w:b/>
              </w:rPr>
            </w:pPr>
          </w:p>
        </w:tc>
      </w:tr>
    </w:tbl>
    <w:p w14:paraId="530DB43D" w14:textId="6D8227BB" w:rsidR="00D92A79" w:rsidRPr="00386F72" w:rsidRDefault="00D92A79" w:rsidP="00D92A79">
      <w:pPr>
        <w:pStyle w:val="Title1"/>
        <w:rPr>
          <w:sz w:val="28"/>
        </w:rPr>
      </w:pPr>
      <w:r w:rsidRPr="00386F72">
        <w:rPr>
          <w:sz w:val="28"/>
        </w:rPr>
        <w:t>RAPPORT DE LA PRÉSIDENTE DE LA COMMISSION PERMANENTE</w:t>
      </w:r>
      <w:r w:rsidRPr="00386F72">
        <w:rPr>
          <w:sz w:val="28"/>
        </w:rPr>
        <w:br/>
        <w:t>DE L'ADMINISTRATION ET DE LA GESTION</w:t>
      </w:r>
    </w:p>
    <w:p w14:paraId="07093E0B" w14:textId="2036A414" w:rsidR="00D92A79" w:rsidRPr="00386F72" w:rsidRDefault="00D92A79" w:rsidP="00D92A79">
      <w:pPr>
        <w:pStyle w:val="Normalaftertitle"/>
        <w:rPr>
          <w:rFonts w:eastAsia="SimSun"/>
        </w:rPr>
      </w:pPr>
      <w:r w:rsidRPr="00386F72">
        <w:t xml:space="preserve">La Commission permanente de l'administration et de la gestion a tenu </w:t>
      </w:r>
      <w:r w:rsidR="002C37A1" w:rsidRPr="00386F72">
        <w:t>10</w:t>
      </w:r>
      <w:r w:rsidRPr="00386F72">
        <w:t xml:space="preserve"> séances au cours desquelles elle a analysé et examiné </w:t>
      </w:r>
      <w:r w:rsidR="002C37A1" w:rsidRPr="00386F72">
        <w:t>90</w:t>
      </w:r>
      <w:r w:rsidRPr="00386F72">
        <w:t xml:space="preserve"> documents, dont </w:t>
      </w:r>
      <w:r w:rsidR="00BF77EB" w:rsidRPr="00386F72">
        <w:t>31</w:t>
      </w:r>
      <w:r w:rsidRPr="00386F72">
        <w:t xml:space="preserve"> documents d'information (INF)</w:t>
      </w:r>
      <w:r w:rsidR="001E6871" w:rsidRPr="00386F72">
        <w:t xml:space="preserve"> et</w:t>
      </w:r>
      <w:r w:rsidRPr="00386F72">
        <w:t xml:space="preserve"> </w:t>
      </w:r>
      <w:r w:rsidR="00BF77EB" w:rsidRPr="00386F72">
        <w:t>2</w:t>
      </w:r>
      <w:r w:rsidRPr="00386F72">
        <w:t xml:space="preserve"> documents temporaires (DT). La Commission recommande au Conseil d'adopter </w:t>
      </w:r>
      <w:r w:rsidR="00F120FA" w:rsidRPr="005C6A26">
        <w:t>3</w:t>
      </w:r>
      <w:r w:rsidR="00F120FA" w:rsidRPr="00386F72">
        <w:t> </w:t>
      </w:r>
      <w:r w:rsidRPr="00386F72">
        <w:t xml:space="preserve">Résolutions et </w:t>
      </w:r>
      <w:r w:rsidR="00F120FA" w:rsidRPr="005C6A26">
        <w:t>2</w:t>
      </w:r>
      <w:r w:rsidRPr="00386F72">
        <w:t xml:space="preserve"> Décisions reproduites en annexe au présent rapport.</w:t>
      </w:r>
    </w:p>
    <w:p w14:paraId="089DF175" w14:textId="3642A3AD" w:rsidR="00D92A79" w:rsidRPr="00386F72" w:rsidRDefault="00D92A79" w:rsidP="00D92A79">
      <w:pPr>
        <w:pStyle w:val="Heading1"/>
      </w:pPr>
      <w:r w:rsidRPr="00386F72">
        <w:rPr>
          <w:bCs/>
        </w:rPr>
        <w:t>1</w:t>
      </w:r>
      <w:r w:rsidRPr="00386F72">
        <w:tab/>
      </w:r>
      <w:r w:rsidRPr="00386F72">
        <w:rPr>
          <w:bCs/>
        </w:rPr>
        <w:t>Déclaration du Conseil du personnel (</w:t>
      </w:r>
      <w:hyperlink r:id="rId8" w:history="1">
        <w:r w:rsidRPr="00386F72">
          <w:rPr>
            <w:rStyle w:val="Hyperlink"/>
            <w:rFonts w:eastAsia="Times New Roman" w:cs="Times New Roman"/>
            <w:bCs/>
            <w:szCs w:val="20"/>
          </w:rPr>
          <w:t>Document C26/INF/26</w:t>
        </w:r>
      </w:hyperlink>
      <w:r w:rsidRPr="00386F72">
        <w:rPr>
          <w:bCs/>
        </w:rPr>
        <w:t>)</w:t>
      </w:r>
      <w:hyperlink r:id="rId9" w:history="1"/>
    </w:p>
    <w:p w14:paraId="2E44D798" w14:textId="77777777" w:rsidR="00D92A79" w:rsidRPr="00386F72" w:rsidRDefault="00D92A79" w:rsidP="00D92A79">
      <w:pPr>
        <w:rPr>
          <w:rFonts w:eastAsia="Calibri" w:cs="Calibri"/>
        </w:rPr>
      </w:pPr>
      <w:r w:rsidRPr="00386F72">
        <w:t>1.1</w:t>
      </w:r>
      <w:r w:rsidRPr="00386F72">
        <w:tab/>
        <w:t>Conformément à la Résolution 51 (Rév. Minneapolis, 1998) de la Conférence de plénipotentiaires, M. Onder Cetinkaya, Président du Conseil du personnel de l'UIT, a présenté une déclaration, reproduite dans le Document C26/INF/26.</w:t>
      </w:r>
    </w:p>
    <w:p w14:paraId="220F9DA4" w14:textId="44A0AD64" w:rsidR="00D92A79" w:rsidRPr="00386F72" w:rsidRDefault="00D92A79" w:rsidP="00D92A79">
      <w:pPr>
        <w:rPr>
          <w:rFonts w:eastAsia="Calibri" w:cs="Calibri"/>
        </w:rPr>
      </w:pPr>
      <w:r w:rsidRPr="00386F72">
        <w:t>1.2</w:t>
      </w:r>
      <w:r w:rsidRPr="00386F72">
        <w:tab/>
        <w:t>La Secrétaire générale a salué le dialogue constructif qu</w:t>
      </w:r>
      <w:r w:rsidR="00DD1361" w:rsidRPr="00386F72">
        <w:t>'</w:t>
      </w:r>
      <w:r w:rsidRPr="00386F72">
        <w:t>entretient le Conseil du personnel avec la direction de l</w:t>
      </w:r>
      <w:r w:rsidR="00DD1361" w:rsidRPr="00386F72">
        <w:t>'</w:t>
      </w:r>
      <w:r w:rsidRPr="00386F72">
        <w:t>UIT et les États Membres, ainsi que l</w:t>
      </w:r>
      <w:r w:rsidR="00DD1361" w:rsidRPr="00386F72">
        <w:t>'</w:t>
      </w:r>
      <w:r w:rsidRPr="00386F72">
        <w:t>ouverture et la franchise dont il faisait preuve pour travailler ensemble au renforcement de l</w:t>
      </w:r>
      <w:r w:rsidR="00DD1361" w:rsidRPr="00386F72">
        <w:t>'</w:t>
      </w:r>
      <w:r w:rsidRPr="00386F72">
        <w:t>Union. Le personnel est le plus grand atout de l</w:t>
      </w:r>
      <w:r w:rsidR="00DD1361" w:rsidRPr="00386F72">
        <w:t>'</w:t>
      </w:r>
      <w:r w:rsidRPr="00386F72">
        <w:t>UIT, surtout lorsque l</w:t>
      </w:r>
      <w:r w:rsidR="00DD1361" w:rsidRPr="00386F72">
        <w:t>'</w:t>
      </w:r>
      <w:r w:rsidRPr="00386F72">
        <w:t>Union est très sollicitée. Le bien</w:t>
      </w:r>
      <w:r w:rsidR="00DD1361" w:rsidRPr="00386F72">
        <w:noBreakHyphen/>
      </w:r>
      <w:r w:rsidRPr="00386F72">
        <w:t>être et la mobilisation du personnel demeurent une priorité absolue pour la direction de l</w:t>
      </w:r>
      <w:r w:rsidR="00DD1361" w:rsidRPr="00386F72">
        <w:t>'</w:t>
      </w:r>
      <w:r w:rsidRPr="00386F72">
        <w:t>UIT. Des mesures étaient en cours pour renforcer la santé mentale et le bien-être du personnel et instaurer une culture organisationnelle solidaire, transparente et de responsabilisation.</w:t>
      </w:r>
    </w:p>
    <w:p w14:paraId="4C1F51A0" w14:textId="69545EEA" w:rsidR="00D92A79" w:rsidRPr="00386F72" w:rsidRDefault="00D92A79" w:rsidP="00D92A79">
      <w:pPr>
        <w:rPr>
          <w:rFonts w:eastAsia="Calibri"/>
        </w:rPr>
      </w:pPr>
      <w:r w:rsidRPr="00386F72">
        <w:t>1.3</w:t>
      </w:r>
      <w:r w:rsidRPr="00386F72">
        <w:tab/>
        <w:t>Les conseillers ont salué la déclaration du Président du Conseil du personnel et ont reconnu le rôle clé du personnel dans la réforme de l'organisation, la résolution des difficultés et la satisfaction des attentes des États Membres. Un conseiller a suggéré que les progrès accomplis dans la mise en œuvre des initiatives entreprises en réponse à l</w:t>
      </w:r>
      <w:r w:rsidR="00DD1361" w:rsidRPr="00386F72">
        <w:t>'</w:t>
      </w:r>
      <w:r w:rsidRPr="00386F72">
        <w:t>enquête sur la motivation du personnel soient répertoriés sur le tableau de bord numérique de l</w:t>
      </w:r>
      <w:r w:rsidR="00DD1361" w:rsidRPr="00386F72">
        <w:t>'</w:t>
      </w:r>
      <w:r w:rsidRPr="00386F72">
        <w:t>UIT destiné au personnel et aux États Membres, afin de permettre un suivi continu. Un autre conseiller a demandé si le Conseil du personnel s'investissait dans le système de justice interne, si le Conseil du personnel disposait de ressources suffisantes et s</w:t>
      </w:r>
      <w:r w:rsidR="00DD1361" w:rsidRPr="00386F72">
        <w:t>'</w:t>
      </w:r>
      <w:r w:rsidRPr="00386F72">
        <w:t>il existait des règlements internes pour protéger les représentants du personnel contre toute discrimination et tout traitement préjudiciable.</w:t>
      </w:r>
    </w:p>
    <w:p w14:paraId="688B580A" w14:textId="5B7061B4" w:rsidR="00D92A79" w:rsidRPr="00386F72" w:rsidRDefault="00D92A79" w:rsidP="00D92A79">
      <w:pPr>
        <w:rPr>
          <w:rFonts w:eastAsia="Calibri" w:cs="Calibri"/>
        </w:rPr>
      </w:pPr>
      <w:r w:rsidRPr="00386F72">
        <w:t>1.4</w:t>
      </w:r>
      <w:r w:rsidRPr="00386F72">
        <w:tab/>
        <w:t>Le Président du Conseil du personnel de l</w:t>
      </w:r>
      <w:r w:rsidR="00DD1361" w:rsidRPr="00386F72">
        <w:t>'</w:t>
      </w:r>
      <w:r w:rsidRPr="00386F72">
        <w:t>UIT, répondant aux observations des conseillers, a expliqué que le Conseil du personnel avait contribué à l</w:t>
      </w:r>
      <w:r w:rsidR="00DD1361" w:rsidRPr="00386F72">
        <w:t>'</w:t>
      </w:r>
      <w:r w:rsidRPr="00386F72">
        <w:t>examen des ordres de service sur le système de justice interne au fil des ans et que nombre des vues qu'il avait formulées avaient été prises en compte. L</w:t>
      </w:r>
      <w:r w:rsidR="00DD1361" w:rsidRPr="00386F72">
        <w:t>'</w:t>
      </w:r>
      <w:r w:rsidRPr="00386F72">
        <w:t>augmentation du nombre d</w:t>
      </w:r>
      <w:r w:rsidR="00DD1361" w:rsidRPr="00386F72">
        <w:t>'</w:t>
      </w:r>
      <w:r w:rsidRPr="00386F72">
        <w:t>enquêtes pourrait s</w:t>
      </w:r>
      <w:r w:rsidR="00DD1361" w:rsidRPr="00386F72">
        <w:t>'</w:t>
      </w:r>
      <w:r w:rsidRPr="00386F72">
        <w:t xml:space="preserve">expliquer par la création récente de la fonction de contrôle interne. Le Conseil du personnel avait exprimé une position claire sur le règlement des conflits, à savoir que, </w:t>
      </w:r>
      <w:r w:rsidRPr="00386F72">
        <w:lastRenderedPageBreak/>
        <w:t>lorsqu</w:t>
      </w:r>
      <w:r w:rsidR="00DD1361" w:rsidRPr="00386F72">
        <w:t>'</w:t>
      </w:r>
      <w:r w:rsidRPr="00386F72">
        <w:t>il recevait des communications émanant de différents fonctionnaires souhaitant obtenir des conseils, il veillait à les orienter vers les canaux appropriés. La création de la fonction d'ombudsman a été particulièrement importante. Les difficultés rencontrées par le personnel hors siège sont nombreuses et multiples. Les 2</w:t>
      </w:r>
      <w:r w:rsidR="003C349A" w:rsidRPr="00386F72">
        <w:t>0</w:t>
      </w:r>
      <w:r w:rsidRPr="00386F72">
        <w:t> membres du Conseil du personnel, issus de l</w:t>
      </w:r>
      <w:r w:rsidR="00DD1361" w:rsidRPr="00386F72">
        <w:t>'</w:t>
      </w:r>
      <w:r w:rsidRPr="00386F72">
        <w:t>ensemble de l</w:t>
      </w:r>
      <w:r w:rsidR="00DD1361" w:rsidRPr="00386F72">
        <w:t>'</w:t>
      </w:r>
      <w:r w:rsidRPr="00386F72">
        <w:t>Union, se sont efforcés de tirer parti des connaissances et de l</w:t>
      </w:r>
      <w:r w:rsidR="00DD1361" w:rsidRPr="00386F72">
        <w:t>'</w:t>
      </w:r>
      <w:r w:rsidRPr="00386F72">
        <w:t>expérience des membres du personnel, quels que soient leur grade et leur lieu d</w:t>
      </w:r>
      <w:r w:rsidR="00DD1361" w:rsidRPr="00386F72">
        <w:t>'</w:t>
      </w:r>
      <w:r w:rsidRPr="00386F72">
        <w:t>affectation, pour faire en sorte que le Conseil du personnel soit véritablement représentatif de tous. Enfin, la disponibilité des ressources était cruciale. Les décisions prises dans l</w:t>
      </w:r>
      <w:r w:rsidR="00DD1361" w:rsidRPr="00386F72">
        <w:t>'</w:t>
      </w:r>
      <w:r w:rsidRPr="00386F72">
        <w:t>ensemble du système international, en particulier par l</w:t>
      </w:r>
      <w:r w:rsidR="00DD1361" w:rsidRPr="00386F72">
        <w:t>'</w:t>
      </w:r>
      <w:r w:rsidRPr="00386F72">
        <w:t>Assemblée générale des Nations Unies, ont eu une incidence directe sur le personnel de l</w:t>
      </w:r>
      <w:r w:rsidR="00DD1361" w:rsidRPr="00386F72">
        <w:t>'</w:t>
      </w:r>
      <w:r w:rsidRPr="00386F72">
        <w:t>UIT. L</w:t>
      </w:r>
      <w:r w:rsidR="00DD1361" w:rsidRPr="00386F72">
        <w:t>'</w:t>
      </w:r>
      <w:r w:rsidRPr="00386F72">
        <w:t xml:space="preserve">appui en nature apporté au Conseil du personnel </w:t>
      </w:r>
      <w:r w:rsidR="001A40E8" w:rsidRPr="00386F72">
        <w:t>avait été mis en place</w:t>
      </w:r>
      <w:r w:rsidRPr="00386F72">
        <w:t>, mais un financement était toujours nécessaire. La Secrétaire générale avait décidé d'accorder des crédits budgétaires en vue d'accroître les activités du Conseil du personnel, crédits qui allaient être versés.</w:t>
      </w:r>
    </w:p>
    <w:p w14:paraId="44BD6D92" w14:textId="200DAEB1" w:rsidR="00D92A79" w:rsidRPr="00386F72" w:rsidRDefault="00D92A79" w:rsidP="00D92A79">
      <w:pPr>
        <w:rPr>
          <w:rFonts w:eastAsia="Calibri" w:cs="Calibri"/>
        </w:rPr>
      </w:pPr>
      <w:r w:rsidRPr="00386F72">
        <w:t>1.5</w:t>
      </w:r>
      <w:r w:rsidRPr="00386F72">
        <w:tab/>
        <w:t>La Secrétaire générale a ajouté que les résultats et le suivi de l</w:t>
      </w:r>
      <w:r w:rsidR="00DD1361" w:rsidRPr="00386F72">
        <w:t>'</w:t>
      </w:r>
      <w:r w:rsidRPr="00386F72">
        <w:t xml:space="preserve">enquête sur la motivation du personnel étaient présentés dans le </w:t>
      </w:r>
      <w:hyperlink r:id="rId10" w:history="1">
        <w:r w:rsidRPr="00386F72">
          <w:rPr>
            <w:rStyle w:val="Hyperlink"/>
            <w:rFonts w:eastAsia="Times New Roman" w:cs="Times New Roman"/>
            <w:szCs w:val="20"/>
          </w:rPr>
          <w:t>Document </w:t>
        </w:r>
        <w:r w:rsidRPr="00386F72">
          <w:rPr>
            <w:rStyle w:val="Hyperlink"/>
          </w:rPr>
          <w:t>C26/INF/2</w:t>
        </w:r>
      </w:hyperlink>
      <w:r w:rsidRPr="00386F72">
        <w:t>. Le Conseil du personnel a été inclus dans le processus de recrutement du nouvel ombudsman. Le mandat a été défini sur la base de ceux du Bureau des services d'ombudsman et de médiation des Nations Unies.</w:t>
      </w:r>
    </w:p>
    <w:p w14:paraId="32215022" w14:textId="76C7D4A1" w:rsidR="00D92A79" w:rsidRPr="00386F72" w:rsidRDefault="00D92A79" w:rsidP="00D92A79">
      <w:pPr>
        <w:rPr>
          <w:rFonts w:eastAsia="Calibri" w:cs="Calibri"/>
        </w:rPr>
      </w:pPr>
      <w:r w:rsidRPr="00386F72">
        <w:t>1.6</w:t>
      </w:r>
      <w:r w:rsidRPr="00386F72">
        <w:tab/>
        <w:t>L'Ombudsman s</w:t>
      </w:r>
      <w:r w:rsidR="00DD1361" w:rsidRPr="00386F72">
        <w:t>'</w:t>
      </w:r>
      <w:r w:rsidRPr="00386F72">
        <w:t>est présentée et a indiqué qu</w:t>
      </w:r>
      <w:r w:rsidR="00DD1361" w:rsidRPr="00386F72">
        <w:t>'</w:t>
      </w:r>
      <w:r w:rsidRPr="00386F72">
        <w:t>elle avait pris ses fonctions en janvier</w:t>
      </w:r>
      <w:r w:rsidR="00DD1361" w:rsidRPr="00386F72">
        <w:t> </w:t>
      </w:r>
      <w:r w:rsidRPr="00386F72">
        <w:t>2026, conformément à l</w:t>
      </w:r>
      <w:r w:rsidR="00DD1361" w:rsidRPr="00386F72">
        <w:t>'</w:t>
      </w:r>
      <w:r w:rsidRPr="00386F72">
        <w:t>Ordre de service N° 25/18, et qu</w:t>
      </w:r>
      <w:r w:rsidR="00DD1361" w:rsidRPr="00386F72">
        <w:t>'</w:t>
      </w:r>
      <w:r w:rsidRPr="00386F72">
        <w:t>elle était chargée, en vertu de son mandat, de fournir au personnel des services de règlement des différends indépendants, confidentiels, neutres et accessibles. Elle collaborait avec le personnel et les autres parties prenantes de l</w:t>
      </w:r>
      <w:r w:rsidR="00DD1361" w:rsidRPr="00386F72">
        <w:t>'</w:t>
      </w:r>
      <w:r w:rsidRPr="00386F72">
        <w:t>UIT pour promouvoir un cadre de travail harmonieux.</w:t>
      </w:r>
    </w:p>
    <w:p w14:paraId="430BF6E0" w14:textId="77777777" w:rsidR="00D92A79" w:rsidRPr="00386F72" w:rsidRDefault="00D92A79" w:rsidP="00D92A79">
      <w:pPr>
        <w:rPr>
          <w:rFonts w:eastAsia="Calibri" w:cs="Calibri"/>
        </w:rPr>
      </w:pPr>
      <w:r w:rsidRPr="00386F72">
        <w:t>1.7</w:t>
      </w:r>
      <w:r w:rsidRPr="00386F72">
        <w:tab/>
        <w:t xml:space="preserve">La Commission </w:t>
      </w:r>
      <w:r w:rsidRPr="00386F72">
        <w:rPr>
          <w:b/>
          <w:bCs/>
        </w:rPr>
        <w:t>a pris note</w:t>
      </w:r>
      <w:r w:rsidRPr="00386F72">
        <w:t xml:space="preserve"> de la déclaration du Président du Conseil du personnel.</w:t>
      </w:r>
    </w:p>
    <w:p w14:paraId="3D0AD700" w14:textId="34D43489" w:rsidR="00D92A79" w:rsidRPr="00386F72" w:rsidRDefault="00D92A79" w:rsidP="00D92A79">
      <w:pPr>
        <w:pStyle w:val="Heading1"/>
        <w:rPr>
          <w:szCs w:val="28"/>
        </w:rPr>
      </w:pPr>
      <w:r w:rsidRPr="00386F72">
        <w:rPr>
          <w:bCs/>
        </w:rPr>
        <w:t>2</w:t>
      </w:r>
      <w:r w:rsidRPr="00386F72">
        <w:tab/>
      </w:r>
      <w:r w:rsidRPr="00386F72">
        <w:rPr>
          <w:bCs/>
        </w:rPr>
        <w:t>Rapport de la Présidente du Groupe de travail du Conseil sur les ressources financières et les ressources humaines (</w:t>
      </w:r>
      <w:hyperlink r:id="rId11" w:history="1">
        <w:r w:rsidRPr="00FC08C1">
          <w:rPr>
            <w:rStyle w:val="Hyperlink"/>
            <w:rFonts w:eastAsia="Times New Roman" w:cs="Times New Roman"/>
            <w:bCs/>
            <w:szCs w:val="20"/>
          </w:rPr>
          <w:t>Document</w:t>
        </w:r>
        <w:r w:rsidR="00FC08C1">
          <w:rPr>
            <w:rStyle w:val="Hyperlink"/>
            <w:rFonts w:eastAsia="Times New Roman" w:cs="Times New Roman"/>
            <w:bCs/>
            <w:szCs w:val="20"/>
          </w:rPr>
          <w:t>s</w:t>
        </w:r>
        <w:r w:rsidR="00F262EF" w:rsidRPr="00500B78">
          <w:rPr>
            <w:rStyle w:val="Hyperlink"/>
            <w:rFonts w:eastAsia="Times New Roman" w:cs="Calibri"/>
            <w:szCs w:val="28"/>
          </w:rPr>
          <w:t xml:space="preserve"> C26/50</w:t>
        </w:r>
      </w:hyperlink>
      <w:r w:rsidRPr="00FC08C1">
        <w:rPr>
          <w:bCs/>
        </w:rPr>
        <w:t xml:space="preserve"> </w:t>
      </w:r>
      <w:r w:rsidR="00F262EF" w:rsidRPr="00FC08C1">
        <w:rPr>
          <w:bCs/>
        </w:rPr>
        <w:t xml:space="preserve">et </w:t>
      </w:r>
      <w:hyperlink r:id="rId12" w:history="1">
        <w:r w:rsidRPr="00FC08C1">
          <w:rPr>
            <w:rStyle w:val="Hyperlink"/>
            <w:bCs/>
          </w:rPr>
          <w:t>C26/50</w:t>
        </w:r>
        <w:r w:rsidR="00F262EF" w:rsidRPr="00FC08C1">
          <w:rPr>
            <w:rStyle w:val="Hyperlink"/>
            <w:bCs/>
          </w:rPr>
          <w:t>(Rév.1)</w:t>
        </w:r>
      </w:hyperlink>
      <w:r w:rsidRPr="00386F72">
        <w:rPr>
          <w:bCs/>
        </w:rPr>
        <w:t>)</w:t>
      </w:r>
      <w:hyperlink r:id="rId13" w:history="1"/>
    </w:p>
    <w:p w14:paraId="63E6FCDB" w14:textId="1E062107" w:rsidR="00D92A79" w:rsidRPr="00386F72" w:rsidRDefault="00D92A79" w:rsidP="00D92A79">
      <w:r w:rsidRPr="00386F72">
        <w:t>2.1</w:t>
      </w:r>
      <w:r w:rsidRPr="00386F72">
        <w:tab/>
        <w:t>La Présidente du Groupe de travail du Conseil sur les ressources financières et les ressources humaines (GTC-FHR) a présenté le rapport figurant dans le Document C26/50, qui contient les recommandations issues des réunions du GTC-FHR tenues depuis la session de</w:t>
      </w:r>
      <w:r w:rsidR="00A75750" w:rsidRPr="00386F72">
        <w:t> </w:t>
      </w:r>
      <w:r w:rsidRPr="00386F72">
        <w:t>2025 du Conseil. Toutefois, le GTC-FHR n</w:t>
      </w:r>
      <w:r w:rsidR="00DD1361" w:rsidRPr="00386F72">
        <w:t>'</w:t>
      </w:r>
      <w:r w:rsidRPr="00386F72">
        <w:t>a pas été en mesure de parvenir à une conclusion concernant le recouvrement des coûts pour le traitement des fiches de notification des réseaux à satellite. Malgré tous les efforts déployés pour parvenir à un consensus, il n</w:t>
      </w:r>
      <w:r w:rsidR="00DD1361" w:rsidRPr="00386F72">
        <w:t>'</w:t>
      </w:r>
      <w:r w:rsidRPr="00386F72">
        <w:t>a pas été possible de progresser en ce qui concerne l</w:t>
      </w:r>
      <w:r w:rsidR="00DD1361" w:rsidRPr="00386F72">
        <w:t>'</w:t>
      </w:r>
      <w:r w:rsidRPr="00386F72">
        <w:t>élaboration d</w:t>
      </w:r>
      <w:r w:rsidR="00DD1361" w:rsidRPr="00386F72">
        <w:t>'</w:t>
      </w:r>
      <w:r w:rsidRPr="00386F72">
        <w:t>une méthode en raison de divergences quant à l</w:t>
      </w:r>
      <w:r w:rsidR="00DD1361" w:rsidRPr="00386F72">
        <w:t>'</w:t>
      </w:r>
      <w:r w:rsidRPr="00386F72">
        <w:t>interprétation de la Résolution 91 (Rév.</w:t>
      </w:r>
      <w:r w:rsidR="00A75750" w:rsidRPr="00386F72">
        <w:t> </w:t>
      </w:r>
      <w:r w:rsidRPr="00386F72">
        <w:t>Guadalajara, 2010) de la Conférence de plénipotentiaires. Le GTC-FHR a donc recommandé que la question soit transmise à la Conférence de plénipotentiaires pour qu</w:t>
      </w:r>
      <w:r w:rsidR="00DD1361" w:rsidRPr="00386F72">
        <w:t>'</w:t>
      </w:r>
      <w:r w:rsidRPr="00386F72">
        <w:t>elle l</w:t>
      </w:r>
      <w:r w:rsidR="00DD1361" w:rsidRPr="00386F72">
        <w:t>'</w:t>
      </w:r>
      <w:r w:rsidRPr="00386F72">
        <w:t>examine plus avant. Des discussions animées ont eu lieu, et se poursuivront, sur l</w:t>
      </w:r>
      <w:r w:rsidR="00DD1361" w:rsidRPr="00386F72">
        <w:t>'</w:t>
      </w:r>
      <w:r w:rsidRPr="00386F72">
        <w:t>unité contributive. Dans l'avenir, les discussions pourraient également porter sur les contributions des Membres de Secteur et des Associés.</w:t>
      </w:r>
    </w:p>
    <w:p w14:paraId="2F7F3FF1" w14:textId="52690FE0" w:rsidR="00D92A79" w:rsidRPr="00386F72" w:rsidRDefault="00D92A79" w:rsidP="00A75750">
      <w:pPr>
        <w:keepNext/>
        <w:keepLines/>
      </w:pPr>
      <w:r w:rsidRPr="00386F72">
        <w:lastRenderedPageBreak/>
        <w:t>2.2</w:t>
      </w:r>
      <w:r w:rsidRPr="00386F72">
        <w:tab/>
        <w:t>Au cours des discussions qui ont suivi, plusieurs conseillers ont souligné l</w:t>
      </w:r>
      <w:r w:rsidR="00DD1361" w:rsidRPr="00386F72">
        <w:t>'</w:t>
      </w:r>
      <w:r w:rsidRPr="00386F72">
        <w:t>importance des travaux du GTC-FHR et se sont déclarés favorables à la poursuite de ses activités. Compte tenu de l</w:t>
      </w:r>
      <w:r w:rsidR="00DD1361" w:rsidRPr="00386F72">
        <w:t>'</w:t>
      </w:r>
      <w:r w:rsidRPr="00386F72">
        <w:t>importance de la charge de travail et de la durée limitée des réunions, deux conseillers ont proposé de renforcer le GTC-FHR, notamment par la création d</w:t>
      </w:r>
      <w:r w:rsidR="00DD1361" w:rsidRPr="00386F72">
        <w:t>'</w:t>
      </w:r>
      <w:r w:rsidRPr="00386F72">
        <w:t>un groupe de travail par correspondance permanent.</w:t>
      </w:r>
    </w:p>
    <w:p w14:paraId="3FC4C6FC" w14:textId="0AECB70F" w:rsidR="00D92A79" w:rsidRPr="00386F72" w:rsidRDefault="00D92A79" w:rsidP="00D92A79">
      <w:r w:rsidRPr="00386F72">
        <w:t>2.3</w:t>
      </w:r>
      <w:r w:rsidRPr="00386F72">
        <w:tab/>
        <w:t>S</w:t>
      </w:r>
      <w:r w:rsidR="00DD1361" w:rsidRPr="00386F72">
        <w:t>'</w:t>
      </w:r>
      <w:r w:rsidRPr="00386F72">
        <w:t>agissant du recouvrement des coûts pour le traitement des fiches de notification des réseaux à satellite, plusieurs conseillers ont appuyé la contribution soumise par plusieurs pays au GTC-FHR concernant la franchise de droit annuelle actuellement accordée (</w:t>
      </w:r>
      <w:hyperlink r:id="rId14" w:history="1">
        <w:r w:rsidRPr="00386F72">
          <w:rPr>
            <w:rStyle w:val="Hyperlink"/>
            <w:rFonts w:eastAsia="Times New Roman" w:cs="Times New Roman"/>
            <w:szCs w:val="20"/>
          </w:rPr>
          <w:t>Document </w:t>
        </w:r>
        <w:r w:rsidRPr="00386F72">
          <w:rPr>
            <w:rStyle w:val="Hyperlink"/>
          </w:rPr>
          <w:t>CWG-FHR-22/33</w:t>
        </w:r>
      </w:hyperlink>
      <w:r w:rsidRPr="00386F72">
        <w:t>). Le régime de franchise revêt une importance particulière pour les pays en développement. Les besoins et l</w:t>
      </w:r>
      <w:r w:rsidR="00DD1361" w:rsidRPr="00386F72">
        <w:t>'</w:t>
      </w:r>
      <w:r w:rsidRPr="00386F72">
        <w:t>accès équitable des pays en développement doivent être pris en compte quelle que soit l'approche qui sera finalement adoptée. Une conseillère a déclaré que les réseaux pouvant faire l'objet du traitement en franchise de droit devraient être limités, par exemple pour servir des projets satellitaires régionaux. Actuellement, les pays en développement utilisent souvent la franchise de droit qui leur est accordée pour aider les pays développés.</w:t>
      </w:r>
    </w:p>
    <w:p w14:paraId="7B12817E" w14:textId="02D22567" w:rsidR="00D92A79" w:rsidRPr="00386F72" w:rsidRDefault="00D92A79" w:rsidP="00D92A79">
      <w:r w:rsidRPr="00386F72">
        <w:t>2.4</w:t>
      </w:r>
      <w:r w:rsidRPr="00386F72">
        <w:tab/>
        <w:t>Plusieurs conseillers ont pris la parole sur la question de l</w:t>
      </w:r>
      <w:r w:rsidR="00DD1361" w:rsidRPr="00386F72">
        <w:t>'</w:t>
      </w:r>
      <w:r w:rsidRPr="00386F72">
        <w:t>article 34 de la Convention de l</w:t>
      </w:r>
      <w:r w:rsidR="00DD1361" w:rsidRPr="00386F72">
        <w:t>'</w:t>
      </w:r>
      <w:r w:rsidRPr="00386F72">
        <w:t>UIT et sur les efforts visant à élaborer une méthode d</w:t>
      </w:r>
      <w:r w:rsidR="00DD1361" w:rsidRPr="00386F72">
        <w:t>'</w:t>
      </w:r>
      <w:r w:rsidRPr="00386F72">
        <w:t>estimation des incidences financières des propositions faites lors des conférences et assemblées. Un conseiller, soulignant la complexité de la question, a indiqué que la méthode adoptée, quelle qu'elle soit, devrait améliorer la transparence sans occasionner de charge administrative inutile. Étant donné que les propositions faisaient souvent l</w:t>
      </w:r>
      <w:r w:rsidR="00DD1361" w:rsidRPr="00386F72">
        <w:t>'</w:t>
      </w:r>
      <w:r w:rsidRPr="00386F72">
        <w:t xml:space="preserve">objet de modifications importantes, les estimations des coûts </w:t>
      </w:r>
      <w:r w:rsidRPr="00386F72">
        <w:rPr>
          <w:i/>
          <w:iCs/>
        </w:rPr>
        <w:t>a priori</w:t>
      </w:r>
      <w:r w:rsidRPr="00386F72">
        <w:t xml:space="preserve"> risquaient de ne pas constituer une base fiable pour la prise de décisions. Un autre conseiller a insisté sur la nécessité d</w:t>
      </w:r>
      <w:r w:rsidR="00DD1361" w:rsidRPr="00386F72">
        <w:t>'</w:t>
      </w:r>
      <w:r w:rsidRPr="00386F72">
        <w:t>une approche souple, sachant que les estimations de coûts pouvaient s</w:t>
      </w:r>
      <w:r w:rsidR="00DD1361" w:rsidRPr="00386F72">
        <w:t>'</w:t>
      </w:r>
      <w:r w:rsidRPr="00386F72">
        <w:t>avérer plus difficiles pour certaines conférences, telles que les conférences mondiales des radiocommunications (CMR). D</w:t>
      </w:r>
      <w:r w:rsidR="00DD1361" w:rsidRPr="00386F72">
        <w:t>'</w:t>
      </w:r>
      <w:r w:rsidRPr="00386F72">
        <w:t>autres conseillers ont indiqué que les estimations des coûts étaient utiles pour aider à comprendre les incidences potentielles sur les coûts, se sont dits favorables à la poursuite des travaux sur la question et ont encouragé les États Membres à estimer les coûts financiers des propositions afin de permettre à l</w:t>
      </w:r>
      <w:r w:rsidR="00DD1361" w:rsidRPr="00386F72">
        <w:t>'</w:t>
      </w:r>
      <w:r w:rsidRPr="00386F72">
        <w:t>Union de fonctionner de manière durable.</w:t>
      </w:r>
    </w:p>
    <w:p w14:paraId="0FFEB7B6" w14:textId="6015F095" w:rsidR="00D92A79" w:rsidRPr="00386F72" w:rsidRDefault="00D92A79" w:rsidP="00D92A79">
      <w:r w:rsidRPr="00386F72">
        <w:t>2.5</w:t>
      </w:r>
      <w:r w:rsidRPr="00386F72">
        <w:tab/>
        <w:t>Deux conseillères ont demandé au Secrétariat d</w:t>
      </w:r>
      <w:r w:rsidR="00DD1361" w:rsidRPr="00386F72">
        <w:t>'</w:t>
      </w:r>
      <w:r w:rsidRPr="00386F72">
        <w:t>apporter un appui plus actif aux travaux du GTC-FHR, l</w:t>
      </w:r>
      <w:r w:rsidR="00DD1361" w:rsidRPr="00386F72">
        <w:t>'</w:t>
      </w:r>
      <w:r w:rsidRPr="00386F72">
        <w:t>une d</w:t>
      </w:r>
      <w:r w:rsidR="00DD1361" w:rsidRPr="00386F72">
        <w:t>'</w:t>
      </w:r>
      <w:r w:rsidRPr="00386F72">
        <w:t>elles faisant observer que les progrès sur certaines questions, notamment sur la méthode d</w:t>
      </w:r>
      <w:r w:rsidR="00DD1361" w:rsidRPr="00386F72">
        <w:t>'</w:t>
      </w:r>
      <w:r w:rsidRPr="00386F72">
        <w:t>estimation des coûts, ont été freinés, non pa</w:t>
      </w:r>
      <w:r w:rsidR="00CF204B" w:rsidRPr="00386F72">
        <w:t>r</w:t>
      </w:r>
      <w:r w:rsidRPr="00386F72">
        <w:t xml:space="preserve"> faute de consensus, mais en raison de l</w:t>
      </w:r>
      <w:r w:rsidR="00DD1361" w:rsidRPr="00386F72">
        <w:t>'</w:t>
      </w:r>
      <w:r w:rsidRPr="00386F72">
        <w:t>absence de documents et d</w:t>
      </w:r>
      <w:r w:rsidR="00DD1361" w:rsidRPr="00386F72">
        <w:t>'</w:t>
      </w:r>
      <w:r w:rsidRPr="00386F72">
        <w:t>informations en temps opportun.</w:t>
      </w:r>
    </w:p>
    <w:p w14:paraId="39DA7B30" w14:textId="6CC88561" w:rsidR="00D92A79" w:rsidRPr="00386F72" w:rsidDel="00907B46" w:rsidRDefault="00D92A79" w:rsidP="00D92A79">
      <w:r w:rsidRPr="00386F72">
        <w:t>2.6</w:t>
      </w:r>
      <w:r w:rsidRPr="00386F72">
        <w:tab/>
        <w:t>Un conseiller, faisant remarquer que l</w:t>
      </w:r>
      <w:r w:rsidR="00DD1361" w:rsidRPr="00386F72">
        <w:t>'</w:t>
      </w:r>
      <w:r w:rsidRPr="00386F72">
        <w:t>Union avait accepté le statut du Corps commun d</w:t>
      </w:r>
      <w:r w:rsidR="00DD1361" w:rsidRPr="00386F72">
        <w:t>'</w:t>
      </w:r>
      <w:r w:rsidRPr="00386F72">
        <w:t>inspection (CCI) du système des Nations Unies, tel qu</w:t>
      </w:r>
      <w:r w:rsidR="00DD1361" w:rsidRPr="00386F72">
        <w:t>'</w:t>
      </w:r>
      <w:r w:rsidRPr="00386F72">
        <w:t>il figure dans la Résolution 31/192 de l</w:t>
      </w:r>
      <w:r w:rsidR="00DD1361" w:rsidRPr="00386F72">
        <w:t>'</w:t>
      </w:r>
      <w:r w:rsidRPr="00386F72">
        <w:t>Assemblée générale, a déclaré que la Conférence de plénipotentiaires devrait envisager de retirer ses réserves quant audit statut, comme indiqué dans la Résolution 38 (Nairobi, 1982) de la Conférence de plénipotentiaires, en vertu de laquelle le CCI ne deviendrait pas un organe subsidiaire des organes délibérants de l</w:t>
      </w:r>
      <w:r w:rsidR="00DD1361" w:rsidRPr="00386F72">
        <w:t>'</w:t>
      </w:r>
      <w:r w:rsidRPr="00386F72">
        <w:t>Union ni n</w:t>
      </w:r>
      <w:r w:rsidR="00DD1361" w:rsidRPr="00386F72">
        <w:t>'</w:t>
      </w:r>
      <w:r w:rsidRPr="00386F72">
        <w:t>aurait le pouvoir de mener des investigations sur des questions relatives aux télécommunications. L</w:t>
      </w:r>
      <w:r w:rsidR="00DD1361" w:rsidRPr="00386F72">
        <w:t>'</w:t>
      </w:r>
      <w:r w:rsidRPr="00386F72">
        <w:t>Union tirerait parti des compétences du CCI en matière de contrôle indépendant, qui constituerait alors la troisième</w:t>
      </w:r>
      <w:r w:rsidR="00CF204B" w:rsidRPr="00386F72">
        <w:t> </w:t>
      </w:r>
      <w:r w:rsidRPr="00386F72">
        <w:t>ligne du mécanisme de défense.</w:t>
      </w:r>
    </w:p>
    <w:p w14:paraId="0DB4B183" w14:textId="1764AB8B" w:rsidR="00D92A79" w:rsidRPr="00386F72" w:rsidRDefault="00D92A79" w:rsidP="00D92A79">
      <w:r w:rsidRPr="00386F72">
        <w:t>2.7</w:t>
      </w:r>
      <w:r w:rsidRPr="00386F72">
        <w:tab/>
        <w:t>Par la suite, la Présidente du GTC-FHR a déclaré que, compte tenu des observations formulées au cours des débats, elle avait mis à jour le rapport, qui figurait désormais dans le Document C26/50(Rév.1), en vue d</w:t>
      </w:r>
      <w:r w:rsidR="00DD1361" w:rsidRPr="00386F72">
        <w:t>'</w:t>
      </w:r>
      <w:r w:rsidRPr="00386F72">
        <w:t>en retirer l</w:t>
      </w:r>
      <w:r w:rsidR="00DD1361" w:rsidRPr="00386F72">
        <w:t>'</w:t>
      </w:r>
      <w:r w:rsidRPr="00386F72">
        <w:t xml:space="preserve">Annexe A, afin qu'il soit pris note par le </w:t>
      </w:r>
      <w:r w:rsidRPr="00386F72">
        <w:lastRenderedPageBreak/>
        <w:t>Conseil de toutes les recommandations contenues dans le document. Elle avait également apporté les modifications demandées, notamment au paragraphe 2.5, au terme duquel le Conseil devrait charger le Secrétariat de lire le Code de conduite des Nations Unies avant toutes les réunions, conférences et assemblées et d</w:t>
      </w:r>
      <w:r w:rsidR="00DD1361" w:rsidRPr="00386F72">
        <w:t>'</w:t>
      </w:r>
      <w:r w:rsidRPr="00386F72">
        <w:t>ajouter un lien vers ledit Code sur les sites web des manifestations dans le cadre du processus d</w:t>
      </w:r>
      <w:r w:rsidR="00DD1361" w:rsidRPr="00386F72">
        <w:t>'</w:t>
      </w:r>
      <w:r w:rsidRPr="00386F72">
        <w:t>inscription. S</w:t>
      </w:r>
      <w:r w:rsidR="00DD1361" w:rsidRPr="00386F72">
        <w:t>'</w:t>
      </w:r>
      <w:r w:rsidRPr="00386F72">
        <w:t>agissant du CCI et des réserves formulées par l</w:t>
      </w:r>
      <w:r w:rsidR="00DD1361" w:rsidRPr="00386F72">
        <w:t>'</w:t>
      </w:r>
      <w:r w:rsidRPr="00386F72">
        <w:t>Union concernant son statut, les discussions du GTC-FHR ont porté essentiellement sur la participation du CCI aux sessions du Conseil. Elle a donc recommandé que la question soit examinée plus avant, notamment au regard de la Résolution 57 (Kyoto, 1994) de la Conférence de plénipotentiaires, par le GTC-FHR et la Conférence de plénipotentiaires. Enfin, il serait utile de clarifier le rôle et les responsabilités du Secrétariat vis-à-vis du GTC-FHR afin de tenir compte des attentes concernant les documents et les informations demandés.</w:t>
      </w:r>
    </w:p>
    <w:p w14:paraId="680AB698" w14:textId="77777777" w:rsidR="00D92A79" w:rsidRPr="00386F72" w:rsidRDefault="00D92A79" w:rsidP="00CF204B">
      <w:pPr>
        <w:spacing w:after="120"/>
      </w:pPr>
      <w:r w:rsidRPr="00386F72">
        <w:t>2.8</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CF204B" w:rsidRPr="00386F72" w14:paraId="283125C5" w14:textId="77777777" w:rsidTr="00CF204B">
        <w:tc>
          <w:tcPr>
            <w:tcW w:w="9214" w:type="dxa"/>
          </w:tcPr>
          <w:p w14:paraId="2CF3998C" w14:textId="77777777" w:rsidR="00CF204B" w:rsidRPr="00386F72" w:rsidRDefault="00CF204B" w:rsidP="00CF204B">
            <w:pPr>
              <w:ind w:left="41"/>
            </w:pPr>
            <w:r w:rsidRPr="00386F72">
              <w:t>2.9</w:t>
            </w:r>
            <w:r w:rsidRPr="00386F72">
              <w:tab/>
              <w:t>La Commission recommande au Conseil:</w:t>
            </w:r>
          </w:p>
          <w:p w14:paraId="411723C4" w14:textId="76D92971" w:rsidR="00CF204B" w:rsidRPr="00386F72" w:rsidRDefault="00CF204B" w:rsidP="000E6CD0">
            <w:pPr>
              <w:pStyle w:val="enumlev1"/>
              <w:ind w:hanging="526"/>
            </w:pPr>
            <w:r w:rsidRPr="00386F72">
              <w:t>•</w:t>
            </w:r>
            <w:r w:rsidRPr="00386F72">
              <w:tab/>
              <w:t>de prendre note des travaux du GTC-FHR; et</w:t>
            </w:r>
          </w:p>
          <w:p w14:paraId="0C36AA55" w14:textId="60BE514D" w:rsidR="00CF204B" w:rsidRPr="00386F72" w:rsidRDefault="00CF204B" w:rsidP="000E6CD0">
            <w:pPr>
              <w:pStyle w:val="enumlev1"/>
              <w:spacing w:after="120"/>
              <w:ind w:hanging="526"/>
            </w:pPr>
            <w:r w:rsidRPr="00386F72">
              <w:t>•</w:t>
            </w:r>
            <w:r w:rsidRPr="00386F72">
              <w:tab/>
            </w:r>
            <w:r w:rsidR="005C6A26" w:rsidRPr="005C6A26">
              <w:t xml:space="preserve">d'approuver les recommandations du GTC-FHR figurant dans le </w:t>
            </w:r>
            <w:hyperlink r:id="rId15" w:history="1">
              <w:r w:rsidR="005C6A26" w:rsidRPr="005C6A26">
                <w:rPr>
                  <w:rStyle w:val="Hyperlink"/>
                </w:rPr>
                <w:t>Document C26/50(Rév.1)</w:t>
              </w:r>
            </w:hyperlink>
            <w:r w:rsidR="005C6A26" w:rsidRPr="005C6A26">
              <w:t>.</w:t>
            </w:r>
          </w:p>
        </w:tc>
      </w:tr>
    </w:tbl>
    <w:p w14:paraId="467AE926" w14:textId="53627933" w:rsidR="00C93E2F" w:rsidRPr="00386F72" w:rsidRDefault="00C93E2F" w:rsidP="00C93E2F">
      <w:pPr>
        <w:pStyle w:val="Heading1"/>
        <w:rPr>
          <w:szCs w:val="28"/>
        </w:rPr>
      </w:pPr>
      <w:r w:rsidRPr="00386F72">
        <w:rPr>
          <w:szCs w:val="28"/>
        </w:rPr>
        <w:t>3</w:t>
      </w:r>
      <w:r w:rsidRPr="00386F72">
        <w:rPr>
          <w:szCs w:val="28"/>
        </w:rPr>
        <w:tab/>
        <w:t>Rapport quadriennal du GTC-FHR (</w:t>
      </w:r>
      <w:hyperlink r:id="rId16" w:history="1">
        <w:r w:rsidRPr="00FC08C1">
          <w:rPr>
            <w:rStyle w:val="Hyperlink"/>
            <w:szCs w:val="28"/>
          </w:rPr>
          <w:t>Document</w:t>
        </w:r>
        <w:r w:rsidR="00FC08C1">
          <w:rPr>
            <w:rStyle w:val="Hyperlink"/>
            <w:szCs w:val="28"/>
          </w:rPr>
          <w:t>s</w:t>
        </w:r>
        <w:r w:rsidR="00F262EF" w:rsidRPr="005C6A26">
          <w:rPr>
            <w:rStyle w:val="Hyperlink"/>
            <w:rFonts w:eastAsia="Times New Roman" w:cs="Calibri"/>
            <w:szCs w:val="28"/>
          </w:rPr>
          <w:t xml:space="preserve"> C26/53</w:t>
        </w:r>
      </w:hyperlink>
      <w:r w:rsidRPr="00FC08C1">
        <w:rPr>
          <w:rFonts w:eastAsiaTheme="minorHAnsi" w:cstheme="minorBidi"/>
          <w:szCs w:val="28"/>
        </w:rPr>
        <w:t xml:space="preserve"> </w:t>
      </w:r>
      <w:r w:rsidR="00F262EF" w:rsidRPr="00FC08C1">
        <w:rPr>
          <w:rFonts w:eastAsiaTheme="minorHAnsi" w:cstheme="minorBidi"/>
          <w:szCs w:val="28"/>
        </w:rPr>
        <w:t xml:space="preserve">et </w:t>
      </w:r>
      <w:hyperlink r:id="rId17" w:history="1">
        <w:r w:rsidRPr="00FC08C1">
          <w:rPr>
            <w:rStyle w:val="Hyperlink"/>
            <w:szCs w:val="28"/>
          </w:rPr>
          <w:t>C26/53</w:t>
        </w:r>
        <w:r w:rsidR="00F262EF" w:rsidRPr="00FC08C1">
          <w:rPr>
            <w:rStyle w:val="Hyperlink"/>
            <w:szCs w:val="28"/>
          </w:rPr>
          <w:t>(Rév.1)</w:t>
        </w:r>
      </w:hyperlink>
      <w:r w:rsidRPr="00386F72">
        <w:rPr>
          <w:szCs w:val="28"/>
        </w:rPr>
        <w:t>)</w:t>
      </w:r>
    </w:p>
    <w:p w14:paraId="744F2EFE" w14:textId="77777777" w:rsidR="00C93E2F" w:rsidRPr="00386F72" w:rsidRDefault="00C93E2F" w:rsidP="00C93E2F">
      <w:pPr>
        <w:overflowPunct/>
        <w:autoSpaceDE/>
        <w:autoSpaceDN/>
        <w:adjustRightInd/>
        <w:textAlignment w:val="auto"/>
      </w:pPr>
      <w:r w:rsidRPr="00386F72">
        <w:t>3.1</w:t>
      </w:r>
      <w:r w:rsidRPr="00386F72">
        <w:tab/>
        <w:t>La Présidente du GTC-FHR a présenté le Document C26/53, qui contient un rapport quadriennal sur les activités du GTC-FHR, avec des liens vers les différents rapports soumis par le GTC-FHR au cours de cette période, et donne un certain nombre de recommandations destinées à être examinées par le Conseil puis transmises, selon qu'il conviendra, à la Conférence de plénipotentiaires. Il est notamment recommandé de demander à la Conférence de plénipotentiaires de fournir des orientations sur la mise en œuvre de l'article 34 de la Convention afin de faciliter l'examen des méthodes d'estimation des coûts.</w:t>
      </w:r>
    </w:p>
    <w:p w14:paraId="1CCABE76" w14:textId="77777777" w:rsidR="00C93E2F" w:rsidRPr="00386F72" w:rsidRDefault="00C93E2F" w:rsidP="00C93E2F">
      <w:pPr>
        <w:overflowPunct/>
        <w:autoSpaceDE/>
        <w:autoSpaceDN/>
        <w:adjustRightInd/>
        <w:textAlignment w:val="auto"/>
      </w:pPr>
      <w:r w:rsidRPr="00386F72">
        <w:t>3.2</w:t>
      </w:r>
      <w:r w:rsidRPr="00386F72">
        <w:tab/>
        <w:t>Lors de la discussion qui a suivi, des conseillers ont souligné la charge de travail importante supportée par le GTC-FHR et la diversité des thèmes qu'il a traités au cours de ces quatre années. Ces thèmes étaient les questions administratives et financières, le projet de bâtiment du siège, les fiches de notification des réseaux à satellite, le renforcement de la présence régionale de l'Union et les questions relatives à l'éthique et au contrôle interne. Plusieurs conseillères ont fait savoir qu'elles étaient favorables à la poursuite des activités du GTC-FHR pendant les quatre prochaines années; certains conseillers ont souligné la nécessité de renforcer le GTC-FHR, notamment en actualisant ses méthodes de travail, en lui accordant davantage de temps pour ses réunions et en modifiant la Décision 11 (Rév. Bucarest, 2022) de la Conférence de plénipotentiaires. Ce travail pourrait être fait dans le cadre d'un réexamen des méthodes de travail de tous les groupes de travail du Conseil. Deux conseillers ont réitéré la proposition que soit créé un groupe de travail par correspondance permanent chargé de traiter certaines questions entre deux sessions, ce qui soulagerait le GTC-FHR d'une partie de sa charge. Un conseiller a insisté sur la nécessité de faire appliquer le principe d'inclusion et de surveillance par les États Membres au GTC-FHR et à ses travaux. Une autre conseillère a souligné qu'il était important de disposer de documents transparents, clairs et actualisés élaborés par le Secrétariat pour appuyer les discussions et les décisions du GTC-FHR.</w:t>
      </w:r>
    </w:p>
    <w:p w14:paraId="28F975D5" w14:textId="77777777" w:rsidR="00C93E2F" w:rsidRPr="00386F72" w:rsidRDefault="00C93E2F" w:rsidP="00C93E2F">
      <w:pPr>
        <w:overflowPunct/>
        <w:autoSpaceDE/>
        <w:autoSpaceDN/>
        <w:adjustRightInd/>
        <w:textAlignment w:val="auto"/>
      </w:pPr>
      <w:r w:rsidRPr="00386F72">
        <w:lastRenderedPageBreak/>
        <w:t>3.3</w:t>
      </w:r>
      <w:r w:rsidRPr="00386F72">
        <w:tab/>
        <w:t>Par la suite, la Présidente du GTC-FHR a présenté le Document C26/53(Rév.1), qui contient une version mise à jour du rapport, compte tenu des observations des conseillers.</w:t>
      </w:r>
    </w:p>
    <w:p w14:paraId="052A325E" w14:textId="77777777" w:rsidR="00C93E2F" w:rsidRPr="00386F72" w:rsidRDefault="00C93E2F" w:rsidP="00C93E2F">
      <w:pPr>
        <w:overflowPunct/>
        <w:autoSpaceDE/>
        <w:autoSpaceDN/>
        <w:adjustRightInd/>
        <w:spacing w:after="120"/>
        <w:textAlignment w:val="auto"/>
      </w:pPr>
      <w:r w:rsidRPr="00386F72">
        <w:t>3.4</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C93E2F" w:rsidRPr="00386F72" w14:paraId="209939B6" w14:textId="77777777" w:rsidTr="00051420">
        <w:tc>
          <w:tcPr>
            <w:tcW w:w="9214" w:type="dxa"/>
          </w:tcPr>
          <w:p w14:paraId="3EDAE64A" w14:textId="77777777" w:rsidR="00C93E2F" w:rsidRPr="00386F72" w:rsidRDefault="00C93E2F" w:rsidP="00051420">
            <w:pPr>
              <w:tabs>
                <w:tab w:val="clear" w:pos="567"/>
                <w:tab w:val="left" w:pos="608"/>
              </w:tabs>
              <w:overflowPunct/>
              <w:autoSpaceDE/>
              <w:autoSpaceDN/>
              <w:adjustRightInd/>
              <w:ind w:left="41"/>
              <w:textAlignment w:val="auto"/>
            </w:pPr>
            <w:r w:rsidRPr="00386F72">
              <w:t>3.5</w:t>
            </w:r>
            <w:r w:rsidRPr="00386F72">
              <w:tab/>
              <w:t>La Commission recommande au Conseil:</w:t>
            </w:r>
          </w:p>
          <w:p w14:paraId="6EC169D0" w14:textId="77777777" w:rsidR="00C93E2F" w:rsidRPr="00386F72" w:rsidRDefault="00C93E2F" w:rsidP="00051420">
            <w:pPr>
              <w:tabs>
                <w:tab w:val="clear" w:pos="567"/>
                <w:tab w:val="left" w:pos="608"/>
              </w:tabs>
              <w:overflowPunct/>
              <w:autoSpaceDE/>
              <w:autoSpaceDN/>
              <w:adjustRightInd/>
              <w:spacing w:before="80"/>
              <w:ind w:left="567" w:hanging="526"/>
              <w:textAlignment w:val="auto"/>
            </w:pPr>
            <w:r w:rsidRPr="00386F72">
              <w:t>•</w:t>
            </w:r>
            <w:r w:rsidRPr="00386F72">
              <w:tab/>
              <w:t xml:space="preserve">de prendre note du rapport figurant dans le </w:t>
            </w:r>
            <w:hyperlink r:id="rId18" w:history="1">
              <w:r w:rsidRPr="00386F72">
                <w:rPr>
                  <w:rStyle w:val="Hyperlink"/>
                </w:rPr>
                <w:t>Document C26/53(Rév.1)</w:t>
              </w:r>
            </w:hyperlink>
            <w:r w:rsidRPr="00386F72">
              <w:t>; et</w:t>
            </w:r>
          </w:p>
          <w:p w14:paraId="0D0554F7" w14:textId="77777777" w:rsidR="00C93E2F" w:rsidRPr="00386F72" w:rsidRDefault="00C93E2F" w:rsidP="00051420">
            <w:pPr>
              <w:tabs>
                <w:tab w:val="clear" w:pos="567"/>
                <w:tab w:val="left" w:pos="608"/>
              </w:tabs>
              <w:overflowPunct/>
              <w:autoSpaceDE/>
              <w:autoSpaceDN/>
              <w:adjustRightInd/>
              <w:spacing w:before="80" w:after="120"/>
              <w:ind w:left="567" w:hanging="526"/>
              <w:textAlignment w:val="auto"/>
            </w:pPr>
            <w:r w:rsidRPr="00386F72">
              <w:t>•</w:t>
            </w:r>
            <w:r w:rsidRPr="00386F72">
              <w:tab/>
              <w:t>de soumettre les recommandations qu'il contient à la Conférence de plénipotentiaires, selon qu'il conviendra, en particulier en ce qui concerne la poursuite des activités du GTC-FHR pendant les quatre prochaines années.</w:t>
            </w:r>
          </w:p>
        </w:tc>
      </w:tr>
    </w:tbl>
    <w:p w14:paraId="3147B483" w14:textId="77777777" w:rsidR="00C93E2F" w:rsidRPr="00386F72" w:rsidRDefault="00C93E2F" w:rsidP="00C93E2F">
      <w:pPr>
        <w:pStyle w:val="Heading1"/>
        <w:rPr>
          <w:szCs w:val="28"/>
        </w:rPr>
      </w:pPr>
      <w:r w:rsidRPr="00386F72">
        <w:rPr>
          <w:szCs w:val="28"/>
        </w:rPr>
        <w:t>4</w:t>
      </w:r>
      <w:r w:rsidRPr="00386F72">
        <w:rPr>
          <w:szCs w:val="28"/>
        </w:rPr>
        <w:tab/>
        <w:t>Note de liaison du Groupe consultatif des radiocommunications (</w:t>
      </w:r>
      <w:hyperlink r:id="rId19" w:history="1">
        <w:r w:rsidRPr="00386F72">
          <w:rPr>
            <w:rStyle w:val="Hyperlink"/>
            <w:rFonts w:eastAsia="Times New Roman" w:cs="Times New Roman"/>
            <w:szCs w:val="28"/>
          </w:rPr>
          <w:t>Document C26/111</w:t>
        </w:r>
      </w:hyperlink>
      <w:r w:rsidRPr="00386F72">
        <w:rPr>
          <w:szCs w:val="28"/>
        </w:rPr>
        <w:t>)</w:t>
      </w:r>
    </w:p>
    <w:p w14:paraId="26E4E4AD" w14:textId="37913E99" w:rsidR="00C93E2F" w:rsidRPr="00386F72" w:rsidRDefault="00C93E2F" w:rsidP="00C93E2F">
      <w:pPr>
        <w:overflowPunct/>
        <w:autoSpaceDE/>
        <w:autoSpaceDN/>
        <w:adjustRightInd/>
        <w:textAlignment w:val="auto"/>
      </w:pPr>
      <w:r w:rsidRPr="00386F72">
        <w:t>4.1</w:t>
      </w:r>
      <w:r w:rsidRPr="00386F72">
        <w:tab/>
        <w:t xml:space="preserve">L'Adjointe au Directeur du Bureau des radiocommunications (BR) a présenté le Document C26/111, qui contient la réponse du Groupe consultatif des radiocommunications (GCR) à une note de liaison adressée par le GTC-FHR aux groupes consultatifs des Secteurs et au Groupe de coordination intersectorielle concernant le processus de présentation des estimations des incidences financières des décisions et de résolutions proposées durant les conférences et assemblées de l'UIT. À sa 33ème réunion, le GCR a étudié les difficultés rencontrées pour présenter, dans le contexte des CMR, des estimations en appliquant la méthode d'estimation des coûts proposée et a conclu qu'il serait difficile </w:t>
      </w:r>
      <w:r w:rsidR="00656648" w:rsidRPr="00386F72">
        <w:t xml:space="preserve">à ce stade </w:t>
      </w:r>
      <w:r w:rsidRPr="00386F72">
        <w:t>d'appliquer la méthode proposée pour la CMR-27.</w:t>
      </w:r>
    </w:p>
    <w:p w14:paraId="36258795" w14:textId="77777777" w:rsidR="00C93E2F" w:rsidRPr="00386F72" w:rsidRDefault="00C93E2F" w:rsidP="00C93E2F">
      <w:pPr>
        <w:overflowPunct/>
        <w:autoSpaceDE/>
        <w:autoSpaceDN/>
        <w:adjustRightInd/>
        <w:textAlignment w:val="auto"/>
      </w:pPr>
      <w:r w:rsidRPr="00386F72">
        <w:t>4.2</w:t>
      </w:r>
      <w:r w:rsidRPr="00386F72">
        <w:tab/>
        <w:t>Lors de la discussion qui a suivi, tout en reconnaissant combien il est complexe de calculer les incidences financières des résolutions adoptées par les CMR, certains conseillers ont fait part de leur inquiétude quant au fait que la conformité à l'article 34 pourrait être mise à mal si les incidences financières des résolutions adoptées à la CMR-27 ne pouvaient pas être estimées. La nature complexe des décisions prises lors des CMR ne saurait justifier le non-respect de la Convention. Si des prévisions exactes ne peuvent pas être attendues, une estimation approximative des coûts devrait être possible, et ce d'autant plus que la CMR est une conférence organisée de manière récurrente, dont l'ordre du jour est prévu quatre ans à l'avance et les résultats prévisibles. La note de liaison envoyée par le GCR ne contient aucune information sur les difficultés précises liées au calcul de l'estimation des coûts pour les résolutions et décisions de la CMR; des explications plus détaillées sur la nature de ces difficultés seraient par conséquent appréciées.</w:t>
      </w:r>
    </w:p>
    <w:p w14:paraId="58CF2496" w14:textId="77777777" w:rsidR="00C93E2F" w:rsidRPr="00386F72" w:rsidRDefault="00C93E2F" w:rsidP="00C93E2F">
      <w:pPr>
        <w:overflowPunct/>
        <w:autoSpaceDE/>
        <w:autoSpaceDN/>
        <w:adjustRightInd/>
        <w:textAlignment w:val="auto"/>
      </w:pPr>
      <w:r w:rsidRPr="00386F72">
        <w:t>4.3</w:t>
      </w:r>
      <w:r w:rsidRPr="00386F72">
        <w:tab/>
        <w:t xml:space="preserve">D'autres conseillers ont avancé que le fait que les décisions et résolutions des CMR pouvaient faire l'objet de modifications importantes pendant la conférence signifiait qu'il ne serait pas réaliste d'attendre le même type de calculs anticipés que pour les autres conférences. Il ne s'agissait pas en l'espèce de ne pas faire appliquer l'article 34, mais de savoir comment faire en sorte que ledit article soit respecté, malgré les difficultés rencontrées pour estimer les incidences financières des résolutions et décisions de la CMR. Il convient de déterminer s'il est effectivement approprié d'avoir une méthode générique de calcul des coûts applicable à toutes les réunions et conférences ou si des méthodes de calcul particulières devraient être utilisées pour certaines conférences et assemblées. Dans le cas de la CMR, la méthode de calcul des coûts devrait tenir compte du fait que cette Conférence non seulement approuve de nouvelles activités pour l'Union, mais aussi met fin à des </w:t>
      </w:r>
      <w:r w:rsidRPr="00386F72">
        <w:lastRenderedPageBreak/>
        <w:t>activités obsolètes et les remplace par de nouvelles. Les résultats de la Conférence ne sont donc pas la simple somme des activités pour lesquelles des ressources supplémentaires sont nécessaires. Les ressources de l'Union sont limitées et doivent être gérées correctement; la présentation de la situation budgétaire et financière de l'Union est par conséquent un aspect essentiel pour connaître la disponibilité des fonds et garantir le respect de l'article 34. Une méthode appropriée d'estimation des coûts pour connaître les incidences financières des résolutions et décisions est donc un élément important pour assurer la gestion financière de l'Union et faire en sorte qu'elle s'acquitte de sa mission première. Cette question doit être examinée avec soin et faire encore l'objet de discussions, compte tenu des spécificités de chaque Secteur, et ce travail devrait se poursuivre sous l'égide du GTC-FHR.</w:t>
      </w:r>
    </w:p>
    <w:p w14:paraId="1DBB76F2" w14:textId="00466AEC" w:rsidR="00C93E2F" w:rsidRPr="00386F72" w:rsidRDefault="00C93E2F" w:rsidP="00C93E2F">
      <w:pPr>
        <w:overflowPunct/>
        <w:autoSpaceDE/>
        <w:autoSpaceDN/>
        <w:adjustRightInd/>
        <w:textAlignment w:val="auto"/>
      </w:pPr>
      <w:r w:rsidRPr="00386F72">
        <w:t>4.4</w:t>
      </w:r>
      <w:r w:rsidRPr="00386F72">
        <w:tab/>
        <w:t xml:space="preserve">Le Directeur du BR a expliqué que le GCR avait examiné la méthode que les États Membres et les organisations régionales devaient utiliser pour estimer les coûts liés à leurs propositions avant qu'une conférence ait lieu. Ce travail pourrait être fait, mais la procédure qui en résulterait pour examiner et analyser les combinaisons possibles des incidences de toutes ces propositions aboutirait à une multitude de résultats possibles. Par la suite, lors de la CMR, les décisions et résolutions pourraient faire l'objet de modifications considérables, et les résultats pourraient être très différents par rapport aux coûts estimés. Le GCR avait souhaité mettre en lumière les difficultés et les défis à cet égard. La suggestion était donc d'envisager une manière de procéder différente, afin de faire en sorte que les décisions et résolutions de la conférence puissent être appliquées. </w:t>
      </w:r>
      <w:r w:rsidR="00605D55" w:rsidRPr="00386F72">
        <w:t xml:space="preserve">Il conviendrait d'être attentif à la nature des propositions soumises à la CMR, qui sont, dans de nombreux cas, largement appuyées par le secteur privé, et les </w:t>
      </w:r>
      <w:r w:rsidR="00632E77" w:rsidRPr="00386F72">
        <w:t>restreindre</w:t>
      </w:r>
      <w:r w:rsidR="00605D55" w:rsidRPr="00386F72">
        <w:t xml:space="preserve"> pour des raisons budgétaires nuirait gravement à la confiance du secteur dans l'UIT.</w:t>
      </w:r>
    </w:p>
    <w:p w14:paraId="3BCEDD55" w14:textId="77777777" w:rsidR="00C93E2F" w:rsidRPr="00386F72" w:rsidRDefault="00C93E2F" w:rsidP="00C93E2F">
      <w:pPr>
        <w:overflowPunct/>
        <w:autoSpaceDE/>
        <w:autoSpaceDN/>
        <w:adjustRightInd/>
        <w:spacing w:after="120"/>
        <w:textAlignment w:val="auto"/>
      </w:pPr>
      <w:r w:rsidRPr="00386F72">
        <w:t>4.5</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C93E2F" w:rsidRPr="00386F72" w14:paraId="06F2BC0D" w14:textId="77777777" w:rsidTr="00051420">
        <w:tc>
          <w:tcPr>
            <w:tcW w:w="9208" w:type="dxa"/>
          </w:tcPr>
          <w:p w14:paraId="0A0DE14C" w14:textId="77777777" w:rsidR="00C93E2F" w:rsidRPr="00386F72" w:rsidRDefault="00C93E2F" w:rsidP="00051420">
            <w:pPr>
              <w:tabs>
                <w:tab w:val="clear" w:pos="567"/>
                <w:tab w:val="left" w:pos="608"/>
              </w:tabs>
              <w:overflowPunct/>
              <w:autoSpaceDE/>
              <w:autoSpaceDN/>
              <w:adjustRightInd/>
              <w:ind w:left="608" w:hanging="567"/>
              <w:textAlignment w:val="auto"/>
            </w:pPr>
            <w:r w:rsidRPr="00386F72">
              <w:t>4.6</w:t>
            </w:r>
            <w:r w:rsidRPr="00386F72">
              <w:tab/>
              <w:t>La Commission recommande au Conseil:</w:t>
            </w:r>
          </w:p>
          <w:p w14:paraId="5188C4CD" w14:textId="77777777" w:rsidR="00C93E2F" w:rsidRPr="00386F72" w:rsidRDefault="00C93E2F" w:rsidP="00051420">
            <w:pPr>
              <w:tabs>
                <w:tab w:val="clear" w:pos="567"/>
                <w:tab w:val="left" w:pos="608"/>
              </w:tabs>
              <w:overflowPunct/>
              <w:autoSpaceDE/>
              <w:autoSpaceDN/>
              <w:adjustRightInd/>
              <w:spacing w:before="80" w:after="120"/>
              <w:ind w:left="608" w:hanging="567"/>
              <w:textAlignment w:val="auto"/>
            </w:pPr>
            <w:r w:rsidRPr="00386F72">
              <w:t>•</w:t>
            </w:r>
            <w:r w:rsidRPr="00386F72">
              <w:tab/>
              <w:t>de poursuivre les travaux d'élaboration d'une méthode d'estimation des coûts pour évaluer les incidences financières des propositions de décisions et de résolutions des conférences et assemblées de l'UIT dans le cadre du GTC-FHR.</w:t>
            </w:r>
          </w:p>
        </w:tc>
      </w:tr>
    </w:tbl>
    <w:p w14:paraId="2924EE74" w14:textId="77777777" w:rsidR="00C93E2F" w:rsidRPr="00386F72" w:rsidRDefault="00C93E2F" w:rsidP="00C93E2F">
      <w:pPr>
        <w:pStyle w:val="Heading1"/>
        <w:rPr>
          <w:szCs w:val="28"/>
        </w:rPr>
      </w:pPr>
      <w:r w:rsidRPr="00386F72">
        <w:rPr>
          <w:szCs w:val="28"/>
        </w:rPr>
        <w:t>5</w:t>
      </w:r>
      <w:r w:rsidRPr="00386F72">
        <w:rPr>
          <w:szCs w:val="28"/>
        </w:rPr>
        <w:tab/>
        <w:t>Fonds pour le développement des technologies de l'information et de la communication (</w:t>
      </w:r>
      <w:hyperlink r:id="rId20" w:history="1">
        <w:r w:rsidRPr="00386F72">
          <w:rPr>
            <w:rStyle w:val="Hyperlink"/>
            <w:rFonts w:eastAsia="Times New Roman" w:cs="Times New Roman"/>
            <w:szCs w:val="28"/>
          </w:rPr>
          <w:t>Document C26/34</w:t>
        </w:r>
      </w:hyperlink>
      <w:r w:rsidRPr="00386F72">
        <w:rPr>
          <w:szCs w:val="28"/>
        </w:rPr>
        <w:t>)</w:t>
      </w:r>
    </w:p>
    <w:p w14:paraId="08DCA6AB" w14:textId="29349E0F" w:rsidR="00C93E2F" w:rsidRPr="00386F72" w:rsidRDefault="00C93E2F" w:rsidP="00C93E2F">
      <w:pPr>
        <w:overflowPunct/>
        <w:autoSpaceDE/>
        <w:autoSpaceDN/>
        <w:adjustRightInd/>
        <w:textAlignment w:val="auto"/>
      </w:pPr>
      <w:r w:rsidRPr="00386F72">
        <w:t>5.1</w:t>
      </w:r>
      <w:r w:rsidRPr="00386F72">
        <w:tab/>
      </w:r>
      <w:r w:rsidR="00656648" w:rsidRPr="00386F72">
        <w:t>Un représentant</w:t>
      </w:r>
      <w:r w:rsidRPr="00386F72">
        <w:t xml:space="preserve"> du Bureau de développement des télécommunications (BDT) a présenté le rapport sur la situation du Fonds pour le développement des technologies de l'information et de la communication (FDTIC) (Document C26/34), qui rend compte des principales activités liées à ce Fonds et des projets de développement qu'il a contribué à financer. Le rapport donne la situation financière du Fonds et fournit également des informations sur les financements disponibles au titre du compte de capital du FDTIC et sur les montants liés aux services administratifs et opérationnels qui ont été générés à la fin de 2025. Fin 2025, un excédent de 559 800 CHF avait été généré par rapport au montant de 900 000 CHF budgété pour les services administratifs et opérationnels.</w:t>
      </w:r>
    </w:p>
    <w:p w14:paraId="13F2AF63" w14:textId="2CC271DE" w:rsidR="00C93E2F" w:rsidRPr="00386F72" w:rsidRDefault="00C93E2F" w:rsidP="00C93E2F">
      <w:pPr>
        <w:overflowPunct/>
        <w:autoSpaceDE/>
        <w:autoSpaceDN/>
        <w:adjustRightInd/>
        <w:textAlignment w:val="auto"/>
      </w:pPr>
      <w:r w:rsidRPr="00386F72">
        <w:t>5.2</w:t>
      </w:r>
      <w:r w:rsidRPr="00386F72">
        <w:tab/>
        <w:t xml:space="preserve">Les conseillers ont accueilli avec satisfaction le rapport sur le FDTIC et souligné l'importance de ce Fonds. Ils ont pris note du portefeuille de projets de plus en plus fourni et de la contribution apportée par le Fonds dans des domaines et activités de premier plan, en particulier pour la fourniture d'une infrastructure TIC dans les pays les moins avancés et les </w:t>
      </w:r>
      <w:r w:rsidRPr="00386F72">
        <w:lastRenderedPageBreak/>
        <w:t>zones rurales et isolées. Il était essentiel de garantir des financements durables et prévisibles. Le réapprovisionnement permanent du Fonds et la marche à suivre proposée, en particulier le transfert de l'excédent provenant du recouvrement des coûts liés aux services administratifs et opérationnels sur le compte de capital du FDTIC en vue de le renforcer, ont été appuyés.</w:t>
      </w:r>
    </w:p>
    <w:p w14:paraId="603F2475" w14:textId="07527E23" w:rsidR="00C93E2F" w:rsidRPr="00386F72" w:rsidRDefault="00C93E2F" w:rsidP="00C93E2F">
      <w:pPr>
        <w:overflowPunct/>
        <w:autoSpaceDE/>
        <w:autoSpaceDN/>
        <w:adjustRightInd/>
        <w:textAlignment w:val="auto"/>
      </w:pPr>
      <w:r w:rsidRPr="00386F72">
        <w:t>5.3</w:t>
      </w:r>
      <w:r w:rsidRPr="00386F72">
        <w:tab/>
      </w:r>
      <w:r w:rsidR="00656648" w:rsidRPr="00386F72">
        <w:t>Le représentant</w:t>
      </w:r>
      <w:r w:rsidRPr="00386F72">
        <w:t xml:space="preserve"> du BDT, répondant aux questions posées, a expliqué qu'à la fin de 2025, le solde du compte de capital du FDTIC s'établissait à quelque 2,9 millions CHF, avec des projets toujours en attente de signature pour un montant de 1,4 million CHF. La moitié de ces projets avaient été signés depuis. Compte tenu de cela, et étant entendu que le Conseil approuverait le transfert de l'excédent de 559 800 CHF (voir le </w:t>
      </w:r>
      <w:hyperlink r:id="rId21" w:history="1">
        <w:r w:rsidRPr="00386F72">
          <w:rPr>
            <w:rStyle w:val="Hyperlink"/>
            <w:rFonts w:eastAsia="Times New Roman" w:cs="Times New Roman"/>
            <w:szCs w:val="20"/>
          </w:rPr>
          <w:t>Document C26/42</w:t>
        </w:r>
      </w:hyperlink>
      <w:r w:rsidRPr="00386F72">
        <w:t xml:space="preserve"> et le §</w:t>
      </w:r>
      <w:r w:rsidR="00F120FA" w:rsidRPr="00386F72">
        <w:t xml:space="preserve"> 19</w:t>
      </w:r>
      <w:r w:rsidRPr="00386F72">
        <w:t xml:space="preserve"> ci-dessous), le montant total des financements disponibles serait d'environ 2 millions CHF. En ce qui concerne les audits, les projets financés par le FDTIC sont un sous</w:t>
      </w:r>
      <w:r w:rsidRPr="00386F72">
        <w:noBreakHyphen/>
        <w:t>ensemble de projets du BDT; tous les projets du BDT font l'objet d'audits internes et de vérifications extérieures.</w:t>
      </w:r>
    </w:p>
    <w:p w14:paraId="71667EE2" w14:textId="77777777" w:rsidR="00C93E2F" w:rsidRPr="00386F72" w:rsidRDefault="00C93E2F" w:rsidP="00C93E2F">
      <w:pPr>
        <w:overflowPunct/>
        <w:autoSpaceDE/>
        <w:autoSpaceDN/>
        <w:adjustRightInd/>
        <w:spacing w:after="120"/>
        <w:textAlignment w:val="auto"/>
      </w:pPr>
      <w:r w:rsidRPr="00386F72">
        <w:t>5.4</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C93E2F" w:rsidRPr="00386F72" w14:paraId="3C26026F" w14:textId="77777777" w:rsidTr="00051420">
        <w:tc>
          <w:tcPr>
            <w:tcW w:w="9208" w:type="dxa"/>
          </w:tcPr>
          <w:p w14:paraId="041E90E7" w14:textId="77777777" w:rsidR="00C93E2F" w:rsidRPr="00386F72" w:rsidRDefault="00C93E2F" w:rsidP="00051420">
            <w:pPr>
              <w:keepNext/>
              <w:keepLines/>
              <w:tabs>
                <w:tab w:val="clear" w:pos="567"/>
                <w:tab w:val="left" w:pos="608"/>
              </w:tabs>
              <w:overflowPunct/>
              <w:autoSpaceDE/>
              <w:autoSpaceDN/>
              <w:adjustRightInd/>
              <w:ind w:left="41"/>
              <w:textAlignment w:val="auto"/>
            </w:pPr>
            <w:r w:rsidRPr="00386F72">
              <w:t>5.5</w:t>
            </w:r>
            <w:r w:rsidRPr="00386F72">
              <w:tab/>
              <w:t>La Commission recommande au Conseil:</w:t>
            </w:r>
          </w:p>
          <w:p w14:paraId="23A99781" w14:textId="77777777" w:rsidR="00C93E2F" w:rsidRPr="00386F72" w:rsidRDefault="00C93E2F" w:rsidP="00051420">
            <w:pPr>
              <w:pStyle w:val="enumlev1"/>
              <w:tabs>
                <w:tab w:val="clear" w:pos="567"/>
                <w:tab w:val="left" w:pos="608"/>
              </w:tabs>
              <w:spacing w:after="120"/>
              <w:ind w:hanging="526"/>
            </w:pPr>
            <w:r w:rsidRPr="00386F72">
              <w:t>•</w:t>
            </w:r>
            <w:r w:rsidRPr="00386F72">
              <w:tab/>
              <w:t xml:space="preserve">de prendre note du rapport figurant dans le </w:t>
            </w:r>
            <w:hyperlink r:id="rId22" w:history="1">
              <w:r w:rsidRPr="00386F72">
                <w:rPr>
                  <w:rStyle w:val="Hyperlink"/>
                </w:rPr>
                <w:t>Document C26/34</w:t>
              </w:r>
            </w:hyperlink>
            <w:r w:rsidRPr="00386F72">
              <w:t>.</w:t>
            </w:r>
          </w:p>
        </w:tc>
      </w:tr>
    </w:tbl>
    <w:p w14:paraId="3DAF9421" w14:textId="77777777" w:rsidR="00313A6C" w:rsidRPr="00386F72" w:rsidRDefault="00313A6C" w:rsidP="00313A6C">
      <w:pPr>
        <w:pStyle w:val="Heading1"/>
        <w:rPr>
          <w:rFonts w:cs="Calibri"/>
          <w:szCs w:val="28"/>
        </w:rPr>
      </w:pPr>
      <w:r w:rsidRPr="00386F72">
        <w:rPr>
          <w:rFonts w:cs="Calibri"/>
          <w:szCs w:val="28"/>
        </w:rPr>
        <w:t>6</w:t>
      </w:r>
      <w:r w:rsidRPr="00386F72">
        <w:rPr>
          <w:rFonts w:cs="Calibri"/>
          <w:szCs w:val="28"/>
        </w:rPr>
        <w:tab/>
        <w:t>Examen annuel des produits et des charges dans le cadre de la mise en œuvre du budget 2026, y compris la réduction globale du budget pour la période 2026-2027 (</w:t>
      </w:r>
      <w:hyperlink r:id="rId23" w:history="1">
        <w:r w:rsidRPr="00386F72">
          <w:rPr>
            <w:rStyle w:val="Hyperlink"/>
            <w:rFonts w:eastAsia="Times New Roman" w:cs="Calibri"/>
            <w:szCs w:val="28"/>
          </w:rPr>
          <w:t xml:space="preserve">Document </w:t>
        </w:r>
        <w:r w:rsidRPr="00386F72">
          <w:rPr>
            <w:rStyle w:val="Hyperlink"/>
            <w:rFonts w:cs="Calibri"/>
            <w:szCs w:val="28"/>
          </w:rPr>
          <w:t>C26/9</w:t>
        </w:r>
      </w:hyperlink>
      <w:r w:rsidRPr="00386F72">
        <w:rPr>
          <w:rFonts w:cs="Calibri"/>
          <w:szCs w:val="28"/>
        </w:rPr>
        <w:t>)</w:t>
      </w:r>
      <w:hyperlink r:id="rId24" w:history="1"/>
    </w:p>
    <w:p w14:paraId="13D28A96" w14:textId="77777777" w:rsidR="00313A6C" w:rsidRPr="00386F72" w:rsidRDefault="00313A6C" w:rsidP="00313A6C">
      <w:pPr>
        <w:rPr>
          <w:rFonts w:cs="Calibri"/>
          <w:color w:val="000000"/>
        </w:rPr>
      </w:pPr>
      <w:r w:rsidRPr="00386F72">
        <w:t>6.1</w:t>
      </w:r>
      <w:r w:rsidRPr="00386F72">
        <w:tab/>
        <w:t>Un représentant du Secrétariat général a présenté le Document C26/9, qui expose les principaux éléments de la mise en œuvre du budget pour 2026. Le budget approuvé pour la période 2026-2027 comporte une réduction globale de 6 millions CHF entre le niveau de charges approuvé et les produits prévus. Le Secrétariat a mis en œuvre la réduction de manière ciblée et contrôlée, en s'efforçant clairement de maintenir l'alignement des ressources sur les priorités et l'exécution du mandat. La réduction des contrats d'engagement spécial (SSA) et des voyages officiels pour le personnel de l'UIT a permis de recouvrer 3 millions CHF, ce qui laisse une réduction de 3 millions CHF à réaliser pour 2026</w:t>
      </w:r>
      <w:r w:rsidRPr="00386F72">
        <w:noBreakHyphen/>
        <w:t>2027. Des gains d'efficience sont recherchés grâce à l'utilisation accrue de l'automatisation et des outils numériques conformément au processus de transformation, y compris les technologies de traduction et d'interprétation fondées sur l'intelligence artificielle (IA) pour compléter les services linguistiques existants. Le contrôle interne a été renforcé afin d'améliorer l'établissement de rapports financiers et le contrôle par l'intermédiaire du Comité de coordination. En ce qui concerne les produits, les incertitudes font l'objet d'un suivi pour s'assurer que les risques émergents sont traités en temps opportun. Tout est mis en œuvre pour réduire le budget tout en préservant le mandat premier de l'Union, grâce à une gestion et un cadre financier rigoureux, avec des rapports financiers adressés en toute transparence aux États Membres.</w:t>
      </w:r>
    </w:p>
    <w:p w14:paraId="0F1B52BE" w14:textId="77777777" w:rsidR="00313A6C" w:rsidRPr="00386F72" w:rsidRDefault="00313A6C" w:rsidP="00313A6C">
      <w:r w:rsidRPr="00386F72">
        <w:t>6.2</w:t>
      </w:r>
      <w:r w:rsidRPr="00386F72">
        <w:tab/>
        <w:t>Une présentation est faite sur le nouveau portail du budget-programme et sur les caractéristiques du tableau de bord financier de l'organisation.</w:t>
      </w:r>
    </w:p>
    <w:p w14:paraId="264209FC" w14:textId="77777777" w:rsidR="00313A6C" w:rsidRPr="00386F72" w:rsidRDefault="00313A6C" w:rsidP="00CF7A69">
      <w:pPr>
        <w:keepLines/>
      </w:pPr>
      <w:r w:rsidRPr="00386F72">
        <w:lastRenderedPageBreak/>
        <w:t>6.3</w:t>
      </w:r>
      <w:r w:rsidRPr="00386F72">
        <w:tab/>
        <w:t>Les conseillers ont salué les mesures d'efficience rapides et rigoureuses et l'utilisation réfléchie des ressources, ainsi que le tableau de bord financier de l'institution et la mise en place d'une surveillance financière plus stricte. Les résultats obtenus grâce aux mesures spécifiques de maîtrise des coûts avec la réduction des contrats SSA et des frais de voyage ont été applaudis. Certains conseillers ont estimé que les contrats SSA pouvaient être davantage réduits en limitant le recours à des intervenants extérieurs et en tirant davantage parti des capacités, des compétences et des connaissances institutionnelles du personnel de l'UIT. Le recours aux contrats externes à long terme devrait être réévalué, avec des rapports clairs sur les services contractuels. Les contrats SSA ne doivent être utilisés que pour des activités auxquelles il n'existe pas d'effectifs affectés. Une plus grande transparence est nécessaire dans l'utilisation des contrats de courte durée sans mise en concurrence. Il conviendrait de procéder à une analyse fonctionnelle du personnel par rapport aux activités opérationnelles de l'UIT, afin de recenser et de combler les lacunes aussi efficacement que possible. Il ne doit pas y avoir de double emploi ni de chevauchement des dépenses. Réduire les voyages du personnel ne devrait pas se traduire par une réduction de l'assistance technique fournie aux États Membres et de l'appui fourni aux pays en développement. Il conviendrait d'envisager de rationaliser le nombre important de réunions annuelles auxquelles le personnel et les délégations des États Membres doivent se rendre. Un conseiller a demandé des explications sur l'écart entre la réduction prévue des frais de voyage qui a été présentée et ceux qui ont été publiés plus tôt dans l'année.</w:t>
      </w:r>
    </w:p>
    <w:p w14:paraId="4E85BC8C" w14:textId="77777777" w:rsidR="00313A6C" w:rsidRPr="00386F72" w:rsidRDefault="00313A6C" w:rsidP="00313A6C">
      <w:r w:rsidRPr="00386F72">
        <w:t>6.4</w:t>
      </w:r>
      <w:r w:rsidRPr="00386F72">
        <w:tab/>
        <w:t>Si les conseillers se sont félicités de l'utilisation de l'intelligence artificielle pour accroître l'efficacité et réduire les coûts, en particulier en ce qui concerne les services linguistiques, le fait que l'intelligence artificielle ne soit pas utilisée pour remplacer du personnel mais plutôt pour aider à accomplir certaines tâches a également été salué. L'utilisation de l'IA ne doit pas nuire à la qualité des documents ou des services d'interprétation. Des informations complémentaires ont été demandées sur la manière dont la qualité des résultats générés par l'intelligence artificielle serait suivie, et des questions ont été posées quant à la manière dont les incidences financières globales de l'introduction de l'intelligence artificielle seraient calculées, étant donné que l'introduction d'une nouvelle technologie entraînerait des coûts avant que son utilisation ne commence à générer des économies.</w:t>
      </w:r>
    </w:p>
    <w:p w14:paraId="7B9F22F1" w14:textId="0A6C7759" w:rsidR="00313A6C" w:rsidRPr="00386F72" w:rsidRDefault="00313A6C" w:rsidP="00313A6C">
      <w:r w:rsidRPr="00386F72">
        <w:t>6.5</w:t>
      </w:r>
      <w:r w:rsidRPr="00386F72">
        <w:tab/>
        <w:t xml:space="preserve">Plusieurs </w:t>
      </w:r>
      <w:r w:rsidR="00AB78E5">
        <w:t>c</w:t>
      </w:r>
      <w:r w:rsidRPr="00386F72">
        <w:t xml:space="preserve">onseillers ont souhaité savoir quelles activités n'étaient actuellement pas financées, et ce qui serait fait pour récupérer les 3 millions de CHF restants et sur quelle période; une explication de ce que l'on entend par </w:t>
      </w:r>
      <w:r w:rsidRPr="00386F72">
        <w:rPr>
          <w:rFonts w:cs="Calibri"/>
        </w:rPr>
        <w:t>"</w:t>
      </w:r>
      <w:r w:rsidRPr="00386F72">
        <w:t>ajustements entre les Bureaux et le Secrétariat général</w:t>
      </w:r>
      <w:r w:rsidRPr="00386F72">
        <w:rPr>
          <w:rFonts w:cs="Calibri"/>
        </w:rPr>
        <w:t>"</w:t>
      </w:r>
      <w:r w:rsidRPr="00386F72">
        <w:t xml:space="preserve"> a été demandée. Il serait bon d'en savoir plus sur les points où une action proportionnée serait nécessaire et ceux où on pourrait s'attendre à un </w:t>
      </w:r>
      <w:r w:rsidRPr="00386F72">
        <w:rPr>
          <w:rFonts w:cs="Calibri"/>
        </w:rPr>
        <w:t>"</w:t>
      </w:r>
      <w:r w:rsidRPr="00386F72">
        <w:t>statu quo</w:t>
      </w:r>
      <w:r w:rsidRPr="00386F72">
        <w:rPr>
          <w:rFonts w:cs="Calibri"/>
        </w:rPr>
        <w:t>"</w:t>
      </w:r>
      <w:r w:rsidRPr="00386F72">
        <w:t xml:space="preserve">. Il est essentiel de faire preuve de souplesse pour pouvoir réaffecter les ressources en temps voulu si nécessaire. Si certains conseillers ont relevé l'incidence des fiches de notification des réseaux à satellite sur l'imprévisibilité des produits, d'autres ont mis en garde contre le fait que le recouvrement des coûts pour le traitement des fiches de notification des réseaux à satellite ne devrait pas être comptabilisé comme une recette budgétaire. Il conviendrait de réfléchir à la stratégie d'investissement de l'UIT, en vue de minimiser les fluctuations et l'instabilité des produits. Il conviendrait également d'évaluer les incidences des fluctuations des taux de change. Aucun des ajustements financiers et des mesures de maîtrise des coûts entrepris ne devrait nuire à la capacité de l'Union de s'acquitter de son mandat de base. Les risques et les incidences pratiques de toutes les mesures de maîtrise des coûts doivent être </w:t>
      </w:r>
      <w:r w:rsidRPr="00386F72">
        <w:lastRenderedPageBreak/>
        <w:t>suivis avec attention, et des rapports doivent être régulièrement présentés en toute transparence au Conseil. Les enseignements tirés doivent guider les travaux à venir et être pris en compte dans les prochains cycles budgétaires.</w:t>
      </w:r>
    </w:p>
    <w:p w14:paraId="230C80D2" w14:textId="77777777" w:rsidR="00313A6C" w:rsidRPr="00386F72" w:rsidRDefault="00313A6C" w:rsidP="00313A6C">
      <w:r w:rsidRPr="00386F72">
        <w:t>6.6</w:t>
      </w:r>
      <w:r w:rsidRPr="00386F72">
        <w:tab/>
        <w:t>Un représentant du Secrétariat général a indiqué que la réduction de 6 millions CHF représentait une réduction budgétaire de 2% pour l'exercice biennal 2026-2027, dont la moitié correspondait à la réduction des frais de voyage et de l'utilisation des contrats SSA. D'autres économies proviendraient de la transformation en termes d'effectifs et sur le plan organisationnel. L'intelligence artificielle serait utilisée pour rationaliser les effectifs en vue du traitement des tâches dans l'ensemble de l'Union. Une analyse comparative plus approfondie des incidences financières de l'intelligence artificielle serait abordée dans les rapports présentés à l'avenir. Des efforts sont déployés pour réduire le nombre total de réunions et raccourcir la durée de celles-ci. Les économies sur les frais de voyage présentées dans le présent rapport ne rendent compte que des voyages officiels, alors que des rapports précédents incluent d'autres aspects, d'où l'écart constaté dans les prévisions. Le recouvrement des coûts pour le traitement des fiches de notification des réseaux à satellite n'aurait pas d'incidence sur les flux de produits et ne constitue pas un recouvrement budgétaire.</w:t>
      </w:r>
    </w:p>
    <w:p w14:paraId="31B6C923" w14:textId="77777777" w:rsidR="00313A6C" w:rsidRPr="00386F72" w:rsidRDefault="00313A6C" w:rsidP="00313A6C">
      <w:r w:rsidRPr="00386F72">
        <w:t>6.7</w:t>
      </w:r>
      <w:r w:rsidRPr="00386F72">
        <w:tab/>
        <w:t>La Cheffe du Département de la gestion des ressources humaines (HRMD) a indiqué que ce dernier avait examiné et renforcé le cadre réglementaire régissant le recours à des consultants et à d'autres modalités n'impliquant pas de fonctionnaires. Une nouvelle politique liée à l'emploi de consultants est en cours d'élaboration, politique en vertu de laquelle ces derniers ne pourraient être recrutés que pour des missions à court terme axées sur les résultats et non pour des fonctions assurées par le personnel. Les modalités contractuelles quant à l'utilisation des contrats SSA sont en voie d'être clarifiées, des sessions d'information spécifiques sont en voie d'être organisées à l'intention des cadres sur le processus de recrutement en SSA et les procédures opérationnelles standard sont en cours d'amélioration. L'amélioration de l'analyse des ressources humaines, de l'intégration des données et du suivi systémique permet d'améliorer la visibilité et la surveillance du recrutement de non-fonctionnaires, contribuant ainsi à renforcer la gouvernance et à atténuer les risques, tout en veillant à ce que les contrats SSA correspondent aux besoins organisationnels et aux ressources disponibles. Le recrutement à court terme sans mise en concurrence est régi par le Règlement du personnel de l'UIT et les ordres de service applicables. Ces cas ont une portée limitée et ne sont utilisés que lorsque des besoins opérationnels le justifient. Les recrutements à court terme et le recrutement de non</w:t>
      </w:r>
      <w:r w:rsidRPr="00386F72">
        <w:noBreakHyphen/>
        <w:t>fonctionnaires font l'objet d'examens de conformité, d'audits, de contrôles et de suivi au moyen de mécanismes de gouvernance des ressources humaines établis. La transparence est assurée grâce à des rapports régulièrement adressés au Conseil et aux organes de contrôle, à un meilleur suivi des données et à une analyse renforcée des ressources humaines et à un examen permanent des pratiques en matière de recrutement et de contrats.</w:t>
      </w:r>
    </w:p>
    <w:p w14:paraId="4C4F1D2E" w14:textId="77777777" w:rsidR="00313A6C" w:rsidRPr="00386F72" w:rsidRDefault="00313A6C" w:rsidP="00313A6C">
      <w:r w:rsidRPr="00386F72">
        <w:t>6.8</w:t>
      </w:r>
      <w:r w:rsidRPr="00386F72">
        <w:tab/>
        <w:t xml:space="preserve">Le Vice-Secrétaire général a ajouté que la prudence était la priorité de l'équipe de direction de l'UIT dans sa gestion financière. Une réduction de 6 millions CHF ne représente que 2% du budget de l'UIT. Tout est mis en œuvre, notamment dans le cadre des travaux du Comité de coordination, pour faire en sorte que les charges de l'Union correspondent à ses produits. La réduction des coûts ne signifie pas la réduction des activités ou des programmes, mais plutôt l'assurance d'une gestion plus prudente afin d'optimiser l'efficacité </w:t>
      </w:r>
      <w:r w:rsidRPr="00386F72">
        <w:lastRenderedPageBreak/>
        <w:t>opérationnelle. Le recours à des consultants et à des contrats SSA ne consiste pas à renforcer la capacité en personnel, mais plutôt à apporter, au besoin, un appui extérieur. Il serait financièrement intenable de répondre à ces besoins en ajoutant des postes de fonctionnaire. L'intelligence artificielle permet d'accroître l'efficacité et la productivité du personnel de traduction, plutôt que de réduire ses effectifs. La continuité des activités est une priorité et tout est mis en œuvre pour que les activités opérationnelles couvertes par le budget ordinaire ne soient pas compromises. Il est à espérer que le tableau de bord financier de l'Union améliorera la visibilité, la transparence et la responsabilisation de la gestion financière de l'Union.</w:t>
      </w:r>
    </w:p>
    <w:p w14:paraId="121F42E8" w14:textId="77777777" w:rsidR="00313A6C" w:rsidRPr="00386F72" w:rsidRDefault="00313A6C" w:rsidP="00313A6C">
      <w:pPr>
        <w:spacing w:after="120" w:line="259" w:lineRule="auto"/>
      </w:pPr>
      <w:r w:rsidRPr="00386F72">
        <w:t>6.9</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313A6C" w:rsidRPr="00386F72" w14:paraId="696B5CC8" w14:textId="77777777" w:rsidTr="00051420">
        <w:tc>
          <w:tcPr>
            <w:tcW w:w="9214" w:type="dxa"/>
          </w:tcPr>
          <w:p w14:paraId="545685E9" w14:textId="77777777" w:rsidR="00313A6C" w:rsidRPr="00386F72" w:rsidRDefault="00313A6C" w:rsidP="00051420">
            <w:pPr>
              <w:tabs>
                <w:tab w:val="clear" w:pos="567"/>
                <w:tab w:val="left" w:pos="608"/>
              </w:tabs>
              <w:ind w:left="41"/>
            </w:pPr>
            <w:r w:rsidRPr="00386F72">
              <w:t>6.10</w:t>
            </w:r>
            <w:r w:rsidRPr="00386F72">
              <w:tab/>
              <w:t>La commission recommande au Conseil:</w:t>
            </w:r>
          </w:p>
          <w:p w14:paraId="165C2E5D" w14:textId="77777777" w:rsidR="00313A6C" w:rsidRPr="00386F72" w:rsidRDefault="00313A6C" w:rsidP="00051420">
            <w:pPr>
              <w:pStyle w:val="enumlev1"/>
              <w:spacing w:after="120"/>
              <w:ind w:left="41" w:firstLine="0"/>
            </w:pPr>
            <w:r w:rsidRPr="00386F72">
              <w:t>•</w:t>
            </w:r>
            <w:r w:rsidRPr="00386F72">
              <w:tab/>
              <w:t xml:space="preserve">de prendre note du rapport figurant dans le </w:t>
            </w:r>
            <w:hyperlink r:id="rId25" w:history="1">
              <w:r w:rsidRPr="00386F72">
                <w:rPr>
                  <w:rStyle w:val="Hyperlink"/>
                </w:rPr>
                <w:t>Document C26/9</w:t>
              </w:r>
            </w:hyperlink>
            <w:r w:rsidRPr="00386F72">
              <w:t>.</w:t>
            </w:r>
          </w:p>
        </w:tc>
      </w:tr>
    </w:tbl>
    <w:p w14:paraId="1110F148" w14:textId="77777777" w:rsidR="00F40531" w:rsidRPr="00386F72" w:rsidRDefault="00F40531" w:rsidP="00F40531">
      <w:pPr>
        <w:pStyle w:val="Heading1"/>
        <w:rPr>
          <w:szCs w:val="28"/>
        </w:rPr>
      </w:pPr>
      <w:bookmarkStart w:id="0" w:name="_Hlk133421856"/>
      <w:bookmarkStart w:id="1" w:name="_Hlk133422370"/>
      <w:bookmarkStart w:id="2" w:name="_Hlk133586559"/>
      <w:bookmarkStart w:id="3" w:name="_Hlk133421428"/>
      <w:r w:rsidRPr="00386F72">
        <w:rPr>
          <w:bCs/>
        </w:rPr>
        <w:t>7</w:t>
      </w:r>
      <w:r w:rsidRPr="00386F72">
        <w:tab/>
      </w:r>
      <w:r w:rsidRPr="00386F72">
        <w:rPr>
          <w:bCs/>
        </w:rPr>
        <w:t>Incidences budgétaires annuelles de la suite donnée aux Résolutions de la CMDT-25 (</w:t>
      </w:r>
      <w:hyperlink r:id="rId26" w:history="1">
        <w:r w:rsidRPr="00386F72">
          <w:rPr>
            <w:rStyle w:val="Hyperlink"/>
            <w:rFonts w:eastAsia="Times New Roman" w:cs="Times New Roman"/>
            <w:bCs/>
            <w:szCs w:val="20"/>
          </w:rPr>
          <w:t>Document C26/43</w:t>
        </w:r>
      </w:hyperlink>
      <w:r w:rsidRPr="00386F72">
        <w:rPr>
          <w:bCs/>
        </w:rPr>
        <w:t>)</w:t>
      </w:r>
      <w:hyperlink r:id="rId27" w:history="1"/>
    </w:p>
    <w:p w14:paraId="52050922" w14:textId="77777777" w:rsidR="00F40531" w:rsidRPr="00386F72" w:rsidRDefault="00F40531" w:rsidP="00F40531">
      <w:pPr>
        <w:pStyle w:val="Heading1"/>
        <w:spacing w:before="160"/>
      </w:pPr>
      <w:r w:rsidRPr="00386F72">
        <w:tab/>
        <w:t>Note de liaison sur la proposition visant à allouer des fonds pour appuyer la mise en œuvre des initiatives régionales de la CMDT-25 (</w:t>
      </w:r>
      <w:hyperlink r:id="rId28" w:history="1">
        <w:r w:rsidRPr="00386F72">
          <w:rPr>
            <w:rStyle w:val="Hyperlink"/>
          </w:rPr>
          <w:t>Document C26/109</w:t>
        </w:r>
      </w:hyperlink>
      <w:r w:rsidRPr="00386F72">
        <w:t>)</w:t>
      </w:r>
      <w:hyperlink r:id="rId29" w:history="1"/>
    </w:p>
    <w:p w14:paraId="263C3D1D" w14:textId="77777777" w:rsidR="00F40531" w:rsidRPr="00386F72" w:rsidRDefault="00F40531" w:rsidP="00F40531">
      <w:pPr>
        <w:pStyle w:val="Heading1"/>
        <w:spacing w:before="160"/>
        <w:rPr>
          <w:szCs w:val="28"/>
        </w:rPr>
      </w:pPr>
      <w:r w:rsidRPr="00386F72">
        <w:tab/>
        <w:t>Incidences financières de la mise en œuvre des résultats de la CMDT-25 relatifs au renforcement du rôle des bureaux régionaux de l'UIT dans l'accélération de la transformation numérique et la mise à profit des partenariats (</w:t>
      </w:r>
      <w:hyperlink r:id="rId30" w:history="1">
        <w:r w:rsidRPr="00386F72">
          <w:rPr>
            <w:rStyle w:val="Hyperlink"/>
          </w:rPr>
          <w:t>Document C26/103</w:t>
        </w:r>
      </w:hyperlink>
      <w:r w:rsidRPr="00386F72">
        <w:t>)</w:t>
      </w:r>
      <w:hyperlink r:id="rId31" w:history="1"/>
    </w:p>
    <w:p w14:paraId="70013A41" w14:textId="77777777" w:rsidR="00F40531" w:rsidRPr="00386F72" w:rsidRDefault="00F40531" w:rsidP="00F40531">
      <w:pPr>
        <w:rPr>
          <w:rFonts w:cs="Calibri"/>
        </w:rPr>
      </w:pPr>
      <w:r w:rsidRPr="00386F72">
        <w:t>7.1</w:t>
      </w:r>
      <w:r w:rsidRPr="00386F72">
        <w:tab/>
        <w:t>Le Chef du Département FRMD a remercié l'Administration de l'Azerbaïdjan d'avoir accueilli la Conférence mondiale de développement des télécommunications de 2025 (CMDT-25). Il a ensuite présenté le Document C26/43, qui contient le rapport de la Commission de contrôle budgétaire sur les incidences financières provisoires des Résolutions de la CMDT-25, qui ont été estimées à 4,208 millions CHF au titre des coûts ponctuels et des coûts annuels récurrents pour la période 2026-2029. À la demande du GTC-FHR, le Secrétariat a organisé une séance d'information le 3 mars 2026, afin de donner un aperçu de la méthode utilisée pour calculer les incidences financières des Résolutions.</w:t>
      </w:r>
    </w:p>
    <w:p w14:paraId="7A24BCB5" w14:textId="4C900720" w:rsidR="00F40531" w:rsidRPr="00386F72" w:rsidRDefault="00F40531" w:rsidP="00F40531">
      <w:pPr>
        <w:rPr>
          <w:rFonts w:cs="Calibri"/>
        </w:rPr>
      </w:pPr>
      <w:r w:rsidRPr="00386F72">
        <w:t>7.2</w:t>
      </w:r>
      <w:r w:rsidRPr="00386F72">
        <w:tab/>
        <w:t xml:space="preserve">La Présidente du Groupe consultatif pour le développement des télécommunications (GCDT) a présenté le Document C26/109, qui contient une note de liaison dans laquelle il est demandé au Conseil d'envisager l'affectation des fonds nécessaires, y compris, mais non exclusivement, l'affectation proposée de 1,3 million CHF provenant des économies réalisées dans le cadre de l'exécution du budget 2025 (voir le </w:t>
      </w:r>
      <w:hyperlink r:id="rId32" w:history="1">
        <w:r w:rsidRPr="00386F72">
          <w:rPr>
            <w:rStyle w:val="Hyperlink"/>
            <w:rFonts w:eastAsia="Times New Roman" w:cs="Times New Roman"/>
            <w:szCs w:val="20"/>
          </w:rPr>
          <w:t>Document C26/42</w:t>
        </w:r>
      </w:hyperlink>
      <w:r w:rsidRPr="00386F72">
        <w:t xml:space="preserve"> et </w:t>
      </w:r>
      <w:r w:rsidR="00F120FA" w:rsidRPr="00386F72">
        <w:t>le § 19</w:t>
      </w:r>
      <w:r w:rsidRPr="00386F72">
        <w:t xml:space="preserve"> ci</w:t>
      </w:r>
      <w:r w:rsidRPr="00386F72">
        <w:noBreakHyphen/>
      </w:r>
      <w:r w:rsidR="00F120FA" w:rsidRPr="00386F72">
        <w:t>dessous</w:t>
      </w:r>
      <w:r w:rsidRPr="00386F72">
        <w:t>), afin d'appuyer la mise en œuvre des initiatives régionales de la CMDT-25.</w:t>
      </w:r>
      <w:hyperlink r:id="rId33" w:history="1"/>
    </w:p>
    <w:p w14:paraId="6E685793" w14:textId="77777777" w:rsidR="00F40531" w:rsidRPr="00386F72" w:rsidRDefault="00F40531" w:rsidP="00F40531">
      <w:pPr>
        <w:rPr>
          <w:rFonts w:cs="Calibri"/>
        </w:rPr>
      </w:pPr>
      <w:r w:rsidRPr="00386F72">
        <w:t>7.3</w:t>
      </w:r>
      <w:r w:rsidRPr="00386F72">
        <w:tab/>
        <w:t xml:space="preserve">La conseillère de la République sudafricaine a présenté une contribution soumise par plusieurs pays (Document C26/103), dont cinq pays se sont portés coauteurs et dans laquelle il est demandé au Conseil d'envisager d'affecter sans délai les éventuels excédents budgétaires disponibles en tant que capital de démarrage à effet catalyseur limité dans le temps pour appuyer la mise en œuvre de nouveaux modèles d'exécution, tels que des </w:t>
      </w:r>
      <w:r w:rsidRPr="00386F72">
        <w:lastRenderedPageBreak/>
        <w:t>cadres d'accélération des initiatives régionales, afin de favoriser la transformation numérique, et de donner des instructions concernant la création de mécanismes de financement à effet catalyseur prévisibles.</w:t>
      </w:r>
    </w:p>
    <w:p w14:paraId="33F48AEE" w14:textId="77777777" w:rsidR="00F40531" w:rsidRPr="00386F72" w:rsidRDefault="00F40531" w:rsidP="00F40531">
      <w:pPr>
        <w:rPr>
          <w:rFonts w:cs="Calibri"/>
        </w:rPr>
      </w:pPr>
      <w:r w:rsidRPr="00386F72">
        <w:t>7.4</w:t>
      </w:r>
      <w:r w:rsidRPr="00386F72">
        <w:tab/>
        <w:t>Plusieurs conseillers se sont dit favorables à l'approche de financement proposée pour la mise en œuvre des Résolutions de la CMDT-25, qui comprend la mobilisation du budget ordinaire et des fonds extrabudgétaires provenant de contributions volontaires et du financement de projets. Un conseiller a souligné la nécessité de garantir en permanence la discipline financière et l'établissement de rapports, l'alignement sur les priorités en matière de développement et un appui équitable aux initiatives régionales. Plusieurs conseillers ont préconisé une plus grande transparence sur la méthode utilisée; l'ensemble des ressources nécessaires, y compris le niveau des contributions volontaires prévues; les liens entre les coûts et le contenu des Résolutions; et les critères permettant de déterminer l'affectation des ressources indiquées. Une conseillère a suggéré de présenter les incidences financières des Résolutions en deux parties, à savoir celles qui peuvent être couvertes par les fonds existants et celles qui ne le peuvent pas. Elle a demandé comment le recrutement d'experts proposé serait financé. Certains conseillers ont fait observer que l'on ne pouvait pas s'attendre à ce que les estimations de coûts fournies soient tout à fait exactes; ce fait devrait être pris en compte dans l'élaboration des budgets futurs. La méthode pourrait être encore améliorée en coopération avec les parties prenantes et les partenaires.</w:t>
      </w:r>
    </w:p>
    <w:p w14:paraId="47828EEC" w14:textId="77777777" w:rsidR="00F40531" w:rsidRPr="00386F72" w:rsidRDefault="00F40531" w:rsidP="00F40531">
      <w:pPr>
        <w:rPr>
          <w:rFonts w:cs="Calibri"/>
        </w:rPr>
      </w:pPr>
      <w:r w:rsidRPr="00386F72">
        <w:t>7.5</w:t>
      </w:r>
      <w:r w:rsidRPr="00386F72">
        <w:tab/>
        <w:t>Plusieurs conseillers ont préconisé une coordination intersectorielle plus étroite afin de réduire les doubles emplois, de réaliser des gains d'efficacité, d'optimiser les retombées et de renforcer la collaboration. Un conseiller a noté que les informations fournies portaient uniquement sur l'augmentation des charges; il manque, par exemple, une analyse des économies qui pourraient être réalisées grâce aux efforts de rationalisation. Une autre conseillère a pris note du mandat élargi du BDT et a fait observer que le financement proposé était en-deçà des objectifs et des besoins des États Membres. Elle a suggéré que le Secrétariat procède à un examen complet des mécanismes existants, regroupe les ressources et étudie la possibilité d'accroître les investissements et le capital de démarrage en vue d'attirer des ressources extrabudgétaires. Un conseiller a demandé s'il serait envisagé de hiérarchiser les priorités ou de procéder à une mise en œuvre progressive si les ressources sont limitées; un autre conseiller a suggéré d'accorder la priorité aux domaines de développement à fortes retombées, tels que l'intelligence artificielle, le renforcement des capacités, la résilience face aux catastrophes et l'autonomisation des jeunes.</w:t>
      </w:r>
    </w:p>
    <w:p w14:paraId="76B1D1FE" w14:textId="77777777" w:rsidR="00F40531" w:rsidRPr="00386F72" w:rsidRDefault="00F40531" w:rsidP="00F40531">
      <w:pPr>
        <w:rPr>
          <w:rFonts w:cs="Calibri"/>
        </w:rPr>
      </w:pPr>
      <w:r w:rsidRPr="00386F72">
        <w:t>7.6</w:t>
      </w:r>
      <w:r w:rsidRPr="00386F72">
        <w:tab/>
        <w:t xml:space="preserve">Plusieurs conseillers se sont dits favorables à l'allocation proposée de 1,3 million CHF provenant des économies réalisées en 2025 pour la mise en œuvre des initiatives régionales. En outre, certains ont souscrit à l'allocation des éventuels excédents disponibles en tant que capital d'amorçage à effet catalyseur limité dans le temps pour lancer la couche facilitatrice nécessaire à la mise en œuvre des projets. Ils ont également salué la proposition d'étudier des mécanismes de financement spécialisés prévisibles, basés sur des partenariats et la mobilisation de ressources structurelles pour combler le déficit de financement. Un conseiller a souligné que, bien qu'utile, le capital de démarrage ciblé ne pouvait remplacer un financement prévisible et durable. Un autre a fait valoir qu'une approche pragmatique axée sur les résultats était nécessaire pour attirer des ressources auprès des partenaires et des parties prenantes, renforcer les capacités des pays en développement et faire en sorte que la transformation numérique produise des avantages concrets et inclusifs, en particulier dans la région Afrique. Une autre conseillère a déclaré qu'il était nécessaire de disposer de </w:t>
      </w:r>
      <w:r w:rsidRPr="00386F72">
        <w:lastRenderedPageBreak/>
        <w:t>plus d'informations sur la manière dont les capitaux de démarrage seraient utilisés, car elle a cru comprendre que la mise en œuvre des activités au titre des Résolutions 17 (Rév. Bakou, 2025) et 92 (Bakou, 2025) de la CMDT serait absorbée par le budget ordinaire.</w:t>
      </w:r>
    </w:p>
    <w:p w14:paraId="1ED1EA72" w14:textId="77777777" w:rsidR="00F40531" w:rsidRPr="00386F72" w:rsidRDefault="00F40531" w:rsidP="00F40531">
      <w:pPr>
        <w:rPr>
          <w:rFonts w:cs="Calibri"/>
        </w:rPr>
      </w:pPr>
      <w:r w:rsidRPr="00386F72">
        <w:t>7.7</w:t>
      </w:r>
      <w:r w:rsidRPr="00386F72">
        <w:tab/>
        <w:t>En réponse à des questions concernant la méthode utilisée pour déterminer les incidences financières des Résolutions, les raisons pour lesquelles les estimations de coûts pour seulement six des Résolutions nouvelles ou révisées de la CMDT-25 sont indiquées dans le Document C26/43 et la manière dont ces imputations ont été calculées, le Chef du Département FRMD a expliqué que la méthode s'appliquait de la même manière à tous les Secteurs et aux conférences et assemblées de l'UIT. Il a rappelé que la méthode avait été présentée à plusieurs réunions du GTC-FHR, la dernière ayant eu lieu en janvier 2026. À la réunion de septembre 2025, la Présidente du GTC-FHR a encouragé les États Membres à formuler des observations afin d'améliorer encore les méthodes de calcul, mais aucune observation n'a été reçue. Le Secrétariat accueillera donc favorablement les suggestions des États Membres à cet égard.</w:t>
      </w:r>
    </w:p>
    <w:p w14:paraId="761BE3EA" w14:textId="77777777" w:rsidR="00F40531" w:rsidRPr="00386F72" w:rsidRDefault="00F40531" w:rsidP="00F40531">
      <w:pPr>
        <w:rPr>
          <w:rFonts w:cs="Calibri"/>
        </w:rPr>
      </w:pPr>
      <w:r w:rsidRPr="00386F72">
        <w:t>7.8</w:t>
      </w:r>
      <w:r w:rsidRPr="00386F72">
        <w:tab/>
        <w:t>Le Chef du Département FRMD a précisé que la méthode tenait compte des coûts estimés liés, notamment, au recrutement d'experts pour mettre en œuvre les Résolutions, à l'organisation de formations et à l'octroi de bourses aux participants de pays en développement. De nombreuses Résolutions de la CMDT-25 n'ont pas d'incidences financières, puisqu'elles seront mises en œuvre par le BDT dans le cadre des initiatives régionales. Le Secrétariat a demandé au Conseil d'envisager d'allouer à cette fin un montant de 1,3 million CHF provenant des économies réalisées dans le cadre de l'exécution du budget 2025.</w:t>
      </w:r>
    </w:p>
    <w:p w14:paraId="2703734F" w14:textId="77777777" w:rsidR="00F40531" w:rsidRPr="00386F72" w:rsidRDefault="00F40531" w:rsidP="00F40531">
      <w:pPr>
        <w:rPr>
          <w:rFonts w:cs="Calibri"/>
        </w:rPr>
      </w:pPr>
      <w:r w:rsidRPr="00386F72">
        <w:t>7.9</w:t>
      </w:r>
      <w:r w:rsidRPr="00386F72">
        <w:tab/>
        <w:t>Le Chef du Département FRMD a ajouté que le Document C26/43, qui concerne le rapport de la Commission de contrôle budgétaire à la CMDT, n'appelle aucune mesure particulière de la part du Conseil, si ce n'est de prendre note de son contenu et de fournir des orientations supplémentaires. Un rapport analogue a été présenté au Conseil à sa session de 2025 concernant les incidences financières provisoires de l'Assemblée mondiale de normalisation des télécommunications (AMNT-24).</w:t>
      </w:r>
    </w:p>
    <w:p w14:paraId="4A6B555F" w14:textId="4BE51155" w:rsidR="00F40531" w:rsidRPr="00386F72" w:rsidRDefault="00F40531" w:rsidP="00F40531">
      <w:pPr>
        <w:rPr>
          <w:rFonts w:cs="Calibri"/>
        </w:rPr>
      </w:pPr>
      <w:r w:rsidRPr="00386F72">
        <w:t>7.10</w:t>
      </w:r>
      <w:r w:rsidRPr="00386F72">
        <w:tab/>
      </w:r>
      <w:r w:rsidR="0004384E" w:rsidRPr="00386F72">
        <w:t>Le Directeur du BDT a expliqué en guise de présentation que des projets du BDT d'envergure nationale, régionale et mondiale étaient mis en œuvre</w:t>
      </w:r>
      <w:r w:rsidR="00985CCE" w:rsidRPr="00386F72">
        <w:t>. Les projets nationaux et régionaux sont gérés par des gestionnaires de projet basés dans les bureaux de zone ou dans les bureaux régionaux des régions bénéficiaires, afin de renforcer la présence régionale.</w:t>
      </w:r>
      <w:r w:rsidRPr="00386F72">
        <w:t xml:space="preserve"> </w:t>
      </w:r>
      <w:r w:rsidR="00985CCE" w:rsidRPr="00386F72">
        <w:t>Les projets de portée mondiale sont gérés par des gestionnaires de projet basés au siège à Genève afin de gérer efficacement les projets interrégionaux dans un souci de cohérence.</w:t>
      </w:r>
    </w:p>
    <w:p w14:paraId="12B6F5C8" w14:textId="5121173A" w:rsidR="00F40531" w:rsidRPr="00386F72" w:rsidRDefault="00F40531" w:rsidP="00F40531">
      <w:pPr>
        <w:rPr>
          <w:rFonts w:cs="Calibri"/>
        </w:rPr>
      </w:pPr>
      <w:r w:rsidRPr="00386F72">
        <w:t>7.11</w:t>
      </w:r>
      <w:r w:rsidRPr="00386F72">
        <w:tab/>
      </w:r>
      <w:r w:rsidR="0004384E" w:rsidRPr="00386F72">
        <w:t>En réponse à des questions concernant les incidences financières de la CMDT-25, le Directeur du BDT a précisé que la Commission de contrôle budgétaire de la CMDT-25 avait établi ses estimations, mais que la direction du BDT, à son retour de la CMDT-25</w:t>
      </w:r>
      <w:r w:rsidR="00F154F1" w:rsidRPr="00386F72">
        <w:t xml:space="preserve">, avait évalué les différents projets en cours et les nouveaux projets pour voir si les ressources existantes pouvaient permettre de financer certains des résultats. Les demandes financières formulées par </w:t>
      </w:r>
      <w:r w:rsidR="0004384E" w:rsidRPr="00386F72">
        <w:t xml:space="preserve">la Commission de contrôle budgétaire </w:t>
      </w:r>
      <w:r w:rsidR="00F154F1" w:rsidRPr="00386F72">
        <w:t>concernant les quatre nouvelles résolutions n</w:t>
      </w:r>
      <w:r w:rsidR="003C349A" w:rsidRPr="00386F72">
        <w:t>'</w:t>
      </w:r>
      <w:r w:rsidR="00F154F1" w:rsidRPr="00386F72">
        <w:t>étaient pas nécessaires, étant donné qu</w:t>
      </w:r>
      <w:r w:rsidR="003C349A" w:rsidRPr="00386F72">
        <w:t>'</w:t>
      </w:r>
      <w:r w:rsidR="00F154F1" w:rsidRPr="00386F72">
        <w:t xml:space="preserve">elles pourraient être intégrées </w:t>
      </w:r>
      <w:r w:rsidR="0004384E" w:rsidRPr="00386F72">
        <w:t>au titre de projets existants ou dans les activités du plan opérationnel</w:t>
      </w:r>
      <w:r w:rsidR="00F154F1" w:rsidRPr="00386F72">
        <w:t>. Toutefois, au vu des discussions sur le GCDT communiquées dans une note de liaison au Conseil, les seules ressources nécessaires sont celles destinées au financement des initiatives régionales.</w:t>
      </w:r>
    </w:p>
    <w:p w14:paraId="0FFFAC16" w14:textId="00326530" w:rsidR="00F40531" w:rsidRPr="00386F72" w:rsidRDefault="00F40531" w:rsidP="00F40531">
      <w:pPr>
        <w:rPr>
          <w:rFonts w:cs="Calibri"/>
        </w:rPr>
      </w:pPr>
      <w:r w:rsidRPr="00386F72">
        <w:lastRenderedPageBreak/>
        <w:t>7.12</w:t>
      </w:r>
      <w:r w:rsidRPr="00386F72">
        <w:tab/>
      </w:r>
      <w:r w:rsidR="0004384E" w:rsidRPr="00386F72">
        <w:t>En réponse au commentaire d'un observateur, le Directeur a indiqué qu'étant donné que les résolutions n'étaient pas assorties d'indicateurs fondamentaux de performance, les résultats étaient mesurés à l'aune de ces indicateurs dans les résolutions principales des projets. Les initiatives régionales relèvent de la Résolution 17 (Rév. Bakou, 2025) de la CMDT</w:t>
      </w:r>
      <w:r w:rsidR="001020E4" w:rsidRPr="00386F72">
        <w:t>,</w:t>
      </w:r>
      <w:r w:rsidRPr="00386F72">
        <w:t xml:space="preserve"> qui ne peuvent être mises en œuvre que dans le cadre d'un ensemble de projets. La mise en œuvre des plans opérationnels, des activités, des Résolutions et des projets mondiaux, régionaux et nationaux est inextricablement liée grâce à la gestion axée sur les résultats, qui se concentre sur les incidences, les résultats et les produits attendus; aucune Résolution ne peut être examinée de façon isolée</w:t>
      </w:r>
      <w:r w:rsidR="001020E4" w:rsidRPr="00386F72">
        <w:t>, sans tenir compte des autres travaux</w:t>
      </w:r>
      <w:r w:rsidRPr="00386F72">
        <w:t>. Toutefois, un financement distinct est nécessaire pour la mise en œuvre des initiatives régionales</w:t>
      </w:r>
      <w:r w:rsidR="001020E4" w:rsidRPr="00386F72">
        <w:t xml:space="preserve">. Chaque région a soumis à la CMDT-25 cinq initiatives régionales, qui ont toutes été approuvées par la Conférence. </w:t>
      </w:r>
      <w:r w:rsidR="00B776F7" w:rsidRPr="00386F72">
        <w:t>L</w:t>
      </w:r>
      <w:r w:rsidR="001020E4" w:rsidRPr="00386F72">
        <w:t xml:space="preserve">es initiatives régionales </w:t>
      </w:r>
      <w:r w:rsidRPr="00386F72">
        <w:t>représentent les intérêts et les priorités de chaque région, raison pour laquelle un montant est demandé, comme l'ont noté le GCDT dans sa note de liaison et le Secrétariat dans sa demande d'affectation ciblée de 1,3 million CHF au titre des économies réalisées en 2025</w:t>
      </w:r>
      <w:r w:rsidR="00B776F7" w:rsidRPr="00386F72">
        <w:t xml:space="preserve">, ce qui est conforme à la pratique passée. </w:t>
      </w:r>
      <w:r w:rsidR="0004384E" w:rsidRPr="00386F72">
        <w:t>Après la CMDT-17, le Conseil, à sa session de 2018, avait injecté le même montant sollicité. Après la CMDT-22, le Conseil, à sa session de 2023, a également alloué des fonds pour la mise en œuvre des initiatives régionales</w:t>
      </w:r>
      <w:r w:rsidR="00B776F7" w:rsidRPr="00386F72">
        <w:t>. Le BDT a ainsi pu mobiliser avec succès des ressources extrabudgétaires qui l</w:t>
      </w:r>
      <w:r w:rsidR="003C349A" w:rsidRPr="00386F72">
        <w:t>'</w:t>
      </w:r>
      <w:r w:rsidR="00B776F7" w:rsidRPr="00386F72">
        <w:t>ont aidé à financer des projets efficaces dans toutes les régions.</w:t>
      </w:r>
    </w:p>
    <w:p w14:paraId="5E7984D5" w14:textId="77777777" w:rsidR="00F40531" w:rsidRPr="00386F72" w:rsidRDefault="00F40531" w:rsidP="00F40531">
      <w:pPr>
        <w:spacing w:after="120" w:line="259" w:lineRule="auto"/>
      </w:pPr>
      <w:r w:rsidRPr="00386F72">
        <w:t>7.13</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F40531" w:rsidRPr="00386F72" w14:paraId="248AF931" w14:textId="77777777" w:rsidTr="00051420">
        <w:tc>
          <w:tcPr>
            <w:tcW w:w="9208" w:type="dxa"/>
          </w:tcPr>
          <w:p w14:paraId="76E9CC19" w14:textId="77777777" w:rsidR="00F40531" w:rsidRPr="00386F72" w:rsidRDefault="00F40531" w:rsidP="00051420">
            <w:pPr>
              <w:keepNext/>
              <w:keepLines/>
              <w:tabs>
                <w:tab w:val="clear" w:pos="567"/>
                <w:tab w:val="left" w:pos="608"/>
              </w:tabs>
              <w:overflowPunct/>
              <w:autoSpaceDE/>
              <w:autoSpaceDN/>
              <w:adjustRightInd/>
              <w:ind w:left="608" w:hanging="567"/>
              <w:textAlignment w:val="auto"/>
            </w:pPr>
            <w:r w:rsidRPr="00386F72">
              <w:t>7.14</w:t>
            </w:r>
            <w:r w:rsidRPr="00386F72">
              <w:tab/>
              <w:t>La Commission recommande au Conseil:</w:t>
            </w:r>
          </w:p>
          <w:p w14:paraId="0247CA6E" w14:textId="77777777" w:rsidR="00F40531" w:rsidRPr="00386F72" w:rsidRDefault="00F40531" w:rsidP="00051420">
            <w:pPr>
              <w:pStyle w:val="enumlev1"/>
              <w:tabs>
                <w:tab w:val="clear" w:pos="567"/>
              </w:tabs>
              <w:ind w:left="608"/>
            </w:pPr>
            <w:r w:rsidRPr="00386F72">
              <w:t>•</w:t>
            </w:r>
            <w:r w:rsidRPr="00386F72">
              <w:tab/>
              <w:t xml:space="preserve">de prendre note du rapport figurant dans le </w:t>
            </w:r>
            <w:hyperlink r:id="rId34" w:history="1">
              <w:r w:rsidRPr="00386F72">
                <w:rPr>
                  <w:rStyle w:val="Hyperlink"/>
                  <w:rFonts w:eastAsia="Calibri" w:cs="Calibri"/>
                </w:rPr>
                <w:t>Document C26/43</w:t>
              </w:r>
            </w:hyperlink>
            <w:r w:rsidRPr="00386F72">
              <w:t xml:space="preserve"> et de fournir d'éventuelles orientations supplémentaires;</w:t>
            </w:r>
          </w:p>
          <w:p w14:paraId="172D8E71" w14:textId="77777777" w:rsidR="00F40531" w:rsidRPr="00386F72" w:rsidRDefault="00F40531" w:rsidP="00051420">
            <w:pPr>
              <w:pStyle w:val="enumlev1"/>
              <w:tabs>
                <w:tab w:val="clear" w:pos="567"/>
              </w:tabs>
              <w:ind w:left="608"/>
            </w:pPr>
            <w:r w:rsidRPr="00386F72">
              <w:t>•</w:t>
            </w:r>
            <w:r w:rsidRPr="00386F72">
              <w:tab/>
              <w:t xml:space="preserve">de prendre note de la note de liaison du GCDT figurant dans le </w:t>
            </w:r>
            <w:hyperlink r:id="rId35" w:history="1">
              <w:r w:rsidRPr="00386F72">
                <w:rPr>
                  <w:rStyle w:val="Hyperlink"/>
                  <w:rFonts w:eastAsia="Calibri" w:cs="Calibri"/>
                </w:rPr>
                <w:t>Document C26/109</w:t>
              </w:r>
            </w:hyperlink>
            <w:r w:rsidRPr="00386F72">
              <w:t xml:space="preserve"> et d'envisager d'affecter les fonds nécessaires pour appuyer la mise en œuvre des résultats de la CMDT-25 concernant les initiatives régionales; et</w:t>
            </w:r>
          </w:p>
          <w:p w14:paraId="49BE4C89" w14:textId="3A7683F5" w:rsidR="00F40531" w:rsidRPr="00386F72" w:rsidRDefault="00F40531" w:rsidP="00051420">
            <w:pPr>
              <w:pStyle w:val="enumlev1"/>
              <w:tabs>
                <w:tab w:val="clear" w:pos="567"/>
              </w:tabs>
              <w:spacing w:after="120"/>
              <w:ind w:left="608"/>
            </w:pPr>
            <w:r w:rsidRPr="00386F72">
              <w:t>•</w:t>
            </w:r>
            <w:r w:rsidRPr="00386F72">
              <w:tab/>
              <w:t xml:space="preserve">de prendre note de la contribution soumise par plusieurs pays, figurant dans le </w:t>
            </w:r>
            <w:hyperlink r:id="rId36" w:history="1">
              <w:r w:rsidRPr="00386F72">
                <w:rPr>
                  <w:rStyle w:val="Hyperlink"/>
                  <w:rFonts w:eastAsia="Calibri" w:cs="Calibri"/>
                </w:rPr>
                <w:t>Document C26/103</w:t>
              </w:r>
            </w:hyperlink>
            <w:r w:rsidRPr="00386F72">
              <w:t xml:space="preserve">, et d'envisager d'affecter </w:t>
            </w:r>
            <w:r w:rsidR="00656648" w:rsidRPr="00386F72">
              <w:t>une partie d</w:t>
            </w:r>
            <w:r w:rsidRPr="00386F72">
              <w:t>es éventuels excédents disponibles aux initiatives régionales afin de lancer la mise en œuvre d'activités conformément aux Résolutions pertinentes de la CMDT-25.</w:t>
            </w:r>
          </w:p>
        </w:tc>
      </w:tr>
    </w:tbl>
    <w:p w14:paraId="430C8D21" w14:textId="77777777" w:rsidR="002E0FDC" w:rsidRPr="00386F72" w:rsidRDefault="002E0FDC" w:rsidP="002E0FDC">
      <w:pPr>
        <w:pStyle w:val="Heading1"/>
      </w:pPr>
      <w:r w:rsidRPr="00386F72">
        <w:t>8</w:t>
      </w:r>
      <w:r w:rsidRPr="00386F72">
        <w:tab/>
        <w:t>Unités contributives – Choix de la classe de contribution provisoire (</w:t>
      </w:r>
      <w:hyperlink r:id="rId37" w:history="1">
        <w:r w:rsidRPr="00386F72">
          <w:rPr>
            <w:rStyle w:val="Hyperlink"/>
            <w:rFonts w:eastAsia="Times New Roman" w:cs="Times New Roman"/>
            <w:szCs w:val="20"/>
          </w:rPr>
          <w:t>Document C26/47</w:t>
        </w:r>
      </w:hyperlink>
      <w:r w:rsidRPr="00386F72">
        <w:t>)</w:t>
      </w:r>
    </w:p>
    <w:p w14:paraId="538EF7DD" w14:textId="77777777" w:rsidR="002E0FDC" w:rsidRPr="00386F72" w:rsidRDefault="002E0FDC" w:rsidP="002E0FDC">
      <w:r w:rsidRPr="00386F72">
        <w:t>8.1</w:t>
      </w:r>
      <w:r w:rsidRPr="00386F72">
        <w:tab/>
        <w:t xml:space="preserve">Le Chef du Département FRMD a présenté le Document C26/47, qui vise à informer le Conseil du choix provisoire des États Membres avant la Conférence de plénipotentiaires de 2026 (PP-26), conformément aux 42 réponses reçues à la lettre circulaire de la Secrétaire générale invitant les États Membres à annoncer, avant la fin de l'année calendaire 2025, leur classe de contribution provisoire pour la période 2028-2031. Le document présente également les résultats d'un examen détaillé, effectué par le Secrétariat, de l'application et du respect par les États Membres du cadre de l'UIT applicable à l'unité contributive. Des communications sont actuellement envoyées à certains États Membres afin de clarifier les obligations et de les informer des ajustements à effectuer, s'il y a lieu. L'examen a également permis d'identifier les États Membres soumis à des exceptions </w:t>
      </w:r>
      <w:r w:rsidRPr="00386F72">
        <w:lastRenderedPageBreak/>
        <w:t xml:space="preserve">approuvées par le Conseil et accordées entre 1967 et 2006, dont le niveau actuel de l'unité risque de ne plus correspondre aux critères d'éligibilité énoncés dans le </w:t>
      </w:r>
      <w:hyperlink r:id="rId38" w:history="1">
        <w:r w:rsidRPr="00386F72">
          <w:rPr>
            <w:rStyle w:val="Hyperlink"/>
            <w:rFonts w:eastAsia="Times New Roman" w:cs="Times New Roman"/>
            <w:szCs w:val="20"/>
          </w:rPr>
          <w:t>Document C10/67</w:t>
        </w:r>
      </w:hyperlink>
      <w:r w:rsidRPr="00386F72">
        <w:t xml:space="preserve"> du Conseil.</w:t>
      </w:r>
    </w:p>
    <w:p w14:paraId="2EC7C110" w14:textId="77777777" w:rsidR="002E0FDC" w:rsidRPr="00386F72" w:rsidRDefault="002E0FDC" w:rsidP="002E0FDC">
      <w:r w:rsidRPr="00386F72">
        <w:t>8.2</w:t>
      </w:r>
      <w:r w:rsidRPr="00386F72">
        <w:tab/>
        <w:t>Les conseillers ont accueilli favorablement le rapport et se sont dits favorables aux efforts visant à revoir les critères applicables aux contributions et aux réductions exceptionnelles approuvées par le Conseil, afin d'améliorer la transparence et la cohérence. Les réductions exceptionnelles devraient être limitées dans le temps et réexaminées périodiquement. La soumission de rapports réguliers au Conseil sur la situation des exceptions serait bienvenue, car cela éclairerait et faciliterait la prise de décisions et la réévaluation de ces mesures en temps opportun. L'approche concernant les exceptions doit demeurer souple et axée sur le développement et ne doit pas désavantager les petites économies vulnérables. Plusieurs conseillers ont adressé des mises en garde contre l'ajustement automatique à la hausse des contributions lorsqu'un État Membre sort de la catégorie des pays les moins avancés (PMA), car cela ne se traduit pas nécessairement par une augmentation immédiate de la capacité financière du pays. Les ajustements à la hausse devraient tenir compte de la situation particulière de l'État Membre concerné et garantir la justice et l'équité du système de contribution. Une approche équilibrée sera essentielle pour maintenir la viabilité financière de l'Union, tout en préservant l'inclusion et la capacité des pays en développement à participer efficacement. Un conseiller s'est dit préoccupé par le fait que si peu d'États Membres aient répondu à la lettre demandant des déclarations sur le choix de la classe de contribution provisoire et a indiqué que, bien que le fait que le nombre total d'unités contributives soit resté pratiquement inchangé puisse laisser présager une certaine stabilité, cela peut aussi supposer une réactivité limitée face à l'évolution des réalités économiques.</w:t>
      </w:r>
    </w:p>
    <w:p w14:paraId="40464C3E" w14:textId="77777777" w:rsidR="002E0FDC" w:rsidRPr="00386F72" w:rsidRDefault="002E0FDC" w:rsidP="002E0FDC">
      <w:r w:rsidRPr="00386F72">
        <w:t>8.3</w:t>
      </w:r>
      <w:r w:rsidRPr="00386F72">
        <w:tab/>
        <w:t>Une conseillère a indiqué que les exceptions de longue date n'ayant pas fait l'objet d'un examen avaient affaibli le système de contribution. Les contributions des pays qui sortent de la catégorie des PMA devraient être ajustées immédiatement et aucune exception ne devrait être accordée pour les pays n'ayant pas le statut de PMA. Il devrait être mis fin aux exceptions de longue durée et les États concernés devraient présenter une nouvelle demande de réductions exceptionnelles temporaires en vertu des nouveaux critères, une fois ceux-ci définis.</w:t>
      </w:r>
    </w:p>
    <w:p w14:paraId="63E7C0A9" w14:textId="77777777" w:rsidR="002E0FDC" w:rsidRPr="00386F72" w:rsidRDefault="002E0FDC" w:rsidP="002E0FDC">
      <w:r w:rsidRPr="00386F72">
        <w:t>8.4</w:t>
      </w:r>
      <w:r w:rsidRPr="00386F72">
        <w:tab/>
        <w:t>Le Chef du Département FRMD a expliqué que les critères applicables aux unités contributives étaient fondés sur la Décision 5 (Rév. Bucarest, 2022) de la Conférence de plénipotentiaires. En vertu de celle-ci, la Secrétaire générale avait annoncé que le montant préliminaire de l'unité contributive resterait fixé à 318 000 CHF, et avait envoyé une lettre circulaire à tous les États Membres pour leur demander un décompte provisoire de leurs contributions. L'absence de réponse à cette lettre a été interprétée comme signifiant que l'État Membre concerné souhaitait maintenir son niveau de contribution actuel. Les contributions provisoires de chaque État Membre sont indiquées dans l'Annexe du Document C26/47.</w:t>
      </w:r>
    </w:p>
    <w:p w14:paraId="33E86269" w14:textId="662906AF" w:rsidR="001E6871" w:rsidRPr="00386F72" w:rsidRDefault="001E6871" w:rsidP="001E6871">
      <w:r w:rsidRPr="00386F72">
        <w:t>8.5</w:t>
      </w:r>
      <w:r w:rsidRPr="00386F72">
        <w:tab/>
        <w:t xml:space="preserve">La Commission </w:t>
      </w:r>
      <w:r w:rsidRPr="00386F72">
        <w:rPr>
          <w:b/>
          <w:bCs/>
        </w:rPr>
        <w:t>a félicité</w:t>
      </w:r>
      <w:r w:rsidRPr="00386F72">
        <w:t xml:space="preserve"> le Secrétariat d'avoir procédé à un examen approfondi de la manière dont les États </w:t>
      </w:r>
      <w:r w:rsidR="00E22E11" w:rsidRPr="00386F72">
        <w:t>M</w:t>
      </w:r>
      <w:r w:rsidRPr="00386F72">
        <w:t>embres appliquent et respectent le cadre des unités contributives de l'UIT établi en vertu de la Constitution et de la Convention de l'UIT, ainsi que des résolutions pertinentes du Conseil et de la Conférence de plénipotentiaires.</w:t>
      </w:r>
    </w:p>
    <w:p w14:paraId="4CD700F0" w14:textId="6AD2AA56" w:rsidR="002E0FDC" w:rsidRPr="00386F72" w:rsidRDefault="002E0FDC" w:rsidP="002E0FDC">
      <w:pPr>
        <w:spacing w:after="120"/>
      </w:pPr>
      <w:r w:rsidRPr="00386F72">
        <w:lastRenderedPageBreak/>
        <w:t>8.</w:t>
      </w:r>
      <w:r w:rsidR="00E22E11" w:rsidRPr="00386F72">
        <w:t>6</w:t>
      </w:r>
      <w:r w:rsidRPr="00386F72">
        <w:tab/>
      </w:r>
      <w:r w:rsidR="00E22E11" w:rsidRPr="00386F72">
        <w:t xml:space="preserve">Après avoir examiné le Document C26/47, la Commission </w:t>
      </w:r>
      <w:r w:rsidR="00E22E11" w:rsidRPr="00386F72">
        <w:rPr>
          <w:b/>
          <w:bCs/>
        </w:rPr>
        <w:t>est convenue</w:t>
      </w:r>
      <w:r w:rsidR="00E22E11" w:rsidRPr="00386F72">
        <w:t xml:space="preserve"> de formuler les conclusions suivantes sur cette question:</w:t>
      </w:r>
    </w:p>
    <w:tbl>
      <w:tblPr>
        <w:tblStyle w:val="TableGrid"/>
        <w:tblW w:w="0" w:type="auto"/>
        <w:tblInd w:w="-89" w:type="dxa"/>
        <w:tblLook w:val="04A0" w:firstRow="1" w:lastRow="0" w:firstColumn="1" w:lastColumn="0" w:noHBand="0" w:noVBand="1"/>
      </w:tblPr>
      <w:tblGrid>
        <w:gridCol w:w="9150"/>
      </w:tblGrid>
      <w:tr w:rsidR="002E0FDC" w:rsidRPr="00386F72" w14:paraId="32646219" w14:textId="77777777" w:rsidTr="00955E0C">
        <w:tc>
          <w:tcPr>
            <w:tcW w:w="9150" w:type="dxa"/>
          </w:tcPr>
          <w:p w14:paraId="6F4BE674" w14:textId="2351F6AC" w:rsidR="002E0FDC" w:rsidRPr="00386F72" w:rsidRDefault="00E1216A" w:rsidP="00955E0C">
            <w:r>
              <w:t>8.7</w:t>
            </w:r>
            <w:r>
              <w:tab/>
            </w:r>
            <w:r w:rsidR="00E22E11" w:rsidRPr="00386F72">
              <w:t>La Commission recommande au Conseil de charger la Secrétaire générale</w:t>
            </w:r>
            <w:r w:rsidR="002E0FDC" w:rsidRPr="00386F72">
              <w:t>:</w:t>
            </w:r>
          </w:p>
          <w:p w14:paraId="4DD4E63A" w14:textId="546E1BA2" w:rsidR="002E0FDC" w:rsidRPr="00386F72" w:rsidRDefault="002E0FDC" w:rsidP="00955E0C">
            <w:pPr>
              <w:pStyle w:val="enumlev1"/>
            </w:pPr>
            <w:r w:rsidRPr="00386F72">
              <w:t>•</w:t>
            </w:r>
            <w:r w:rsidRPr="00386F72">
              <w:tab/>
            </w:r>
            <w:r w:rsidR="00E22E11" w:rsidRPr="00386F72">
              <w:t>de faire rapport chaque année au Conseil sur la situation de toutes les exceptions accordées vis-à-vis des classes de contribution, afin de permettre une réévaluation en temps utile pour déterminer si elles ont toujours lieu d'être</w:t>
            </w:r>
            <w:r w:rsidRPr="00386F72">
              <w:t>;</w:t>
            </w:r>
          </w:p>
          <w:p w14:paraId="09FC62BB" w14:textId="63A22C1E" w:rsidR="002E0FDC" w:rsidRPr="00386F72" w:rsidRDefault="002E0FDC" w:rsidP="00FC08C1">
            <w:pPr>
              <w:pStyle w:val="enumlev1"/>
              <w:spacing w:after="120"/>
            </w:pPr>
            <w:r w:rsidRPr="00386F72">
              <w:t>•</w:t>
            </w:r>
            <w:r w:rsidRPr="00386F72">
              <w:tab/>
            </w:r>
            <w:r w:rsidR="00490E65" w:rsidRPr="00386F72">
              <w:t xml:space="preserve">d'élaborer un projet de révision des critères applicables au choix de la classe de contribution, figurant dans le </w:t>
            </w:r>
            <w:hyperlink r:id="rId39" w:history="1">
              <w:r w:rsidR="00490E65" w:rsidRPr="00E1216A">
                <w:rPr>
                  <w:rStyle w:val="Hyperlink"/>
                </w:rPr>
                <w:t xml:space="preserve">Document </w:t>
              </w:r>
              <w:r w:rsidR="00F262EF" w:rsidRPr="00E1216A">
                <w:rPr>
                  <w:rStyle w:val="Hyperlink"/>
                </w:rPr>
                <w:t>C</w:t>
              </w:r>
              <w:r w:rsidR="005C6A26" w:rsidRPr="00E1216A">
                <w:rPr>
                  <w:rStyle w:val="Hyperlink"/>
                </w:rPr>
                <w:t>10</w:t>
              </w:r>
              <w:r w:rsidR="00F262EF" w:rsidRPr="00E1216A">
                <w:rPr>
                  <w:rStyle w:val="Hyperlink"/>
                </w:rPr>
                <w:t>/</w:t>
              </w:r>
              <w:r w:rsidR="00E1216A" w:rsidRPr="00E1216A">
                <w:rPr>
                  <w:rStyle w:val="Hyperlink"/>
                </w:rPr>
                <w:t>6</w:t>
              </w:r>
              <w:r w:rsidR="00F262EF" w:rsidRPr="00E1216A">
                <w:rPr>
                  <w:rStyle w:val="Hyperlink"/>
                </w:rPr>
                <w:t>7</w:t>
              </w:r>
            </w:hyperlink>
            <w:r w:rsidR="00490E65" w:rsidRPr="00386F72">
              <w:t>, afin de s'assurer qu'ils restent pertinents et cohérents, et de soumettre le projet de procédure révisée au Conseil à sa session de 2027</w:t>
            </w:r>
            <w:r w:rsidR="00FC08C1">
              <w:t>.</w:t>
            </w:r>
          </w:p>
        </w:tc>
      </w:tr>
    </w:tbl>
    <w:p w14:paraId="49F22477" w14:textId="0FB6F5CB" w:rsidR="00FB3851" w:rsidRPr="00386F72" w:rsidRDefault="00FB3851" w:rsidP="00FB3851">
      <w:pPr>
        <w:pStyle w:val="Heading1"/>
      </w:pPr>
      <w:r w:rsidRPr="00386F72">
        <w:t>9</w:t>
      </w:r>
      <w:r w:rsidRPr="00386F72">
        <w:tab/>
        <w:t>Parts contributives de l'Équateur aux dépenses de l'Union (</w:t>
      </w:r>
      <w:hyperlink r:id="rId40" w:history="1">
        <w:r w:rsidRPr="00386F72">
          <w:rPr>
            <w:rStyle w:val="Hyperlink"/>
            <w:rFonts w:eastAsia="Times New Roman" w:cs="Times New Roman"/>
            <w:szCs w:val="20"/>
          </w:rPr>
          <w:t>Document</w:t>
        </w:r>
        <w:r w:rsidR="00FC08C1">
          <w:rPr>
            <w:rStyle w:val="Hyperlink"/>
            <w:rFonts w:eastAsia="Times New Roman" w:cs="Times New Roman"/>
            <w:szCs w:val="20"/>
          </w:rPr>
          <w:t>s</w:t>
        </w:r>
        <w:r w:rsidRPr="00386F72">
          <w:rPr>
            <w:rStyle w:val="Hyperlink"/>
            <w:rFonts w:eastAsia="Times New Roman" w:cs="Times New Roman"/>
            <w:szCs w:val="20"/>
          </w:rPr>
          <w:t> C26/54</w:t>
        </w:r>
      </w:hyperlink>
      <w:r w:rsidR="00F262EF" w:rsidRPr="00500B78">
        <w:t xml:space="preserve"> et </w:t>
      </w:r>
      <w:hyperlink r:id="rId41" w:history="1">
        <w:r w:rsidR="00F262EF" w:rsidRPr="00500B78">
          <w:rPr>
            <w:rStyle w:val="Hyperlink"/>
          </w:rPr>
          <w:t>C26/DT/5(Rév.2)</w:t>
        </w:r>
      </w:hyperlink>
      <w:r w:rsidRPr="00386F72">
        <w:t>)</w:t>
      </w:r>
      <w:hyperlink r:id="rId42" w:history="1"/>
    </w:p>
    <w:p w14:paraId="696DD37A" w14:textId="2DD56723" w:rsidR="00FB3851" w:rsidRPr="00386F72" w:rsidRDefault="00FB3851" w:rsidP="00FB3851">
      <w:r w:rsidRPr="00386F72">
        <w:t>9.1</w:t>
      </w:r>
      <w:r w:rsidRPr="00386F72">
        <w:tab/>
        <w:t xml:space="preserve">Le Chef du Département FRMD a présenté le Document C26/54 visant à informer le Conseil d'une lettre de l'Équateur, en date du 12 octobre 2025, dans laquelle l'Équateur demande à participer aux dépenses de l'Union avec une classe contribution réduite (1/8 ou 1/16, ce qui, conformément au </w:t>
      </w:r>
      <w:r w:rsidR="0025479F">
        <w:t>numéro</w:t>
      </w:r>
      <w:r w:rsidR="0025479F" w:rsidRPr="00386F72">
        <w:t> </w:t>
      </w:r>
      <w:r w:rsidRPr="00386F72">
        <w:t>468a de la Convention de l'Union internationale des télécommunications, s'applique aux pays les moins avancés (PMA)). Bien que l'Équateur ne figure pas sur la liste des PMA établie par l'ONU, la lettre indique qu'un conflit armé interne affecte considérablement la capacité économique et financière de l'Équateur, et qu'une telle souplesse permettrait à l'Équateur de continuer à remplir ses obligations financières en tant qu'État Membre, tout en garantissant sa participation active aux travaux de l'Union et au développement des télécommunications mondiales. L'Équateur a réglé toutes ses parts contributives annuelles (y compris celles pour l'année 2026), plus aucun montant n'étant en souffrance. Si le Conseil approuve la demande, la période visée irait du 1er janvier 2028 au 31 décembre 2031. Un passage de la classe de 1/4 d'unité à la classe de 1/8 d'unité se traduirait par une perte de 39 750 CHF pour l'Union, alors qu'un passage de la classe de 1/4</w:t>
      </w:r>
      <w:r w:rsidR="00FC08C1">
        <w:t> </w:t>
      </w:r>
      <w:r w:rsidRPr="00386F72">
        <w:t xml:space="preserve">d'unité à la classe de 1/16 d'unité se traduirait par une perte de 59 </w:t>
      </w:r>
      <w:r w:rsidR="0025479F">
        <w:t>625</w:t>
      </w:r>
      <w:r w:rsidRPr="00386F72">
        <w:t> CHF.</w:t>
      </w:r>
    </w:p>
    <w:p w14:paraId="3556DEE4" w14:textId="4AC83D65" w:rsidR="00FB3851" w:rsidRPr="00386F72" w:rsidRDefault="00FB3851" w:rsidP="00FB3851">
      <w:r w:rsidRPr="00386F72">
        <w:t>9.2</w:t>
      </w:r>
      <w:r w:rsidRPr="00386F72">
        <w:tab/>
      </w:r>
      <w:r w:rsidR="005C6A26" w:rsidRPr="005C6A26">
        <w:t xml:space="preserve">Les conseillers ont approuvé la demande soumise par l'Équateur et ont demandé que leur position soit indiquée dans le rapport. Les </w:t>
      </w:r>
      <w:r w:rsidR="005C6A26">
        <w:t>c</w:t>
      </w:r>
      <w:r w:rsidRPr="00386F72">
        <w:t>onseillers se sont dits préoccupés par la situation en Équateur et sont convenus que des mesures devraient être prises pour permettre au pays de continuer de participer pleinement aux travaux de l'UIT en tant qu'État</w:t>
      </w:r>
      <w:r w:rsidR="00AB78E5">
        <w:t> </w:t>
      </w:r>
      <w:r w:rsidRPr="00386F72">
        <w:t xml:space="preserve">Membre. Une </w:t>
      </w:r>
      <w:r w:rsidR="00AB78E5">
        <w:t>c</w:t>
      </w:r>
      <w:r w:rsidRPr="00386F72">
        <w:t>onseillère a rappelé que toute réduction exceptionnelle ne devait être accordée que temporairement et à titre exceptionnel, et ne devait pas perpétuer ou exacerber les problèmes évoqués dans le Document C26/47.</w:t>
      </w:r>
    </w:p>
    <w:p w14:paraId="60B1960F" w14:textId="3DE6E34B" w:rsidR="00FB3851" w:rsidRPr="00386F72" w:rsidRDefault="00FB3851" w:rsidP="00FB3851">
      <w:r w:rsidRPr="00386F72">
        <w:t>9.3</w:t>
      </w:r>
      <w:r w:rsidRPr="00386F72">
        <w:tab/>
        <w:t xml:space="preserve">À l'issue de consultations informelles, le Secrétariat a élaboré un projet de résolution, contenu dans le </w:t>
      </w:r>
      <w:r w:rsidRPr="00F14025">
        <w:t>Document C26/DT/5(Rév.</w:t>
      </w:r>
      <w:r w:rsidR="00E1216A" w:rsidRPr="00F14025">
        <w:t>1</w:t>
      </w:r>
      <w:r w:rsidRPr="00F14025">
        <w:t>)</w:t>
      </w:r>
      <w:r w:rsidRPr="00386F72">
        <w:t>, qu'il a soumis à l'examen de la Commission.</w:t>
      </w:r>
    </w:p>
    <w:p w14:paraId="17D6B75C" w14:textId="2B172287" w:rsidR="00FB3851" w:rsidRPr="00386F72" w:rsidRDefault="00FB3851" w:rsidP="00FB3851">
      <w:r w:rsidRPr="00386F72">
        <w:t>9.4</w:t>
      </w:r>
      <w:r w:rsidRPr="00386F72">
        <w:tab/>
        <w:t xml:space="preserve">Les </w:t>
      </w:r>
      <w:r w:rsidR="00AB78E5">
        <w:t>c</w:t>
      </w:r>
      <w:r w:rsidRPr="00386F72">
        <w:t xml:space="preserve">onseillers sont convenus que la situation de l'Équateur était temporaire et que la réduction de sa contribution n'aurait pas d'incidence significative sur les finances de l'Union. Dans un esprit de solidarité, ils ont donc décidé d'accéder à la demande de l'Équateur. Une </w:t>
      </w:r>
      <w:r w:rsidR="00AB78E5">
        <w:t>c</w:t>
      </w:r>
      <w:r w:rsidRPr="00386F72">
        <w:t xml:space="preserve">onseillère a proposé d'apporter des modifications au projet de résolution en vue de souligner le caractère temporaire de l'exception et de charger la Secrétaire générale de demander au Gouvernement de l'Équateur de la tenir informée une fois par an de la </w:t>
      </w:r>
      <w:r w:rsidRPr="00386F72">
        <w:lastRenderedPageBreak/>
        <w:t xml:space="preserve">situation de ces circonstances exceptionnelles, et de faire rapport chaque année au Conseil pour permettre de réévaluer en temps utile l'applicabilité de l'exception. D'autres </w:t>
      </w:r>
      <w:r w:rsidR="00AB78E5">
        <w:t>c</w:t>
      </w:r>
      <w:r w:rsidRPr="00386F72">
        <w:t xml:space="preserve">onseillers ont appuyé cette réserve et ont mis en garde contre la création de précédents. Des directives et des critères appropriés devraient être clairement définis concernant les exceptions. La Résolution doit être conforme au mandat du Conseil vis-à-vis des procédures, notamment en ce qui concerne l'évaluation des demandes </w:t>
      </w:r>
      <w:r w:rsidR="001F3FCF" w:rsidRPr="00386F72">
        <w:t>d'exception</w:t>
      </w:r>
      <w:r w:rsidRPr="00386F72">
        <w:t>.</w:t>
      </w:r>
    </w:p>
    <w:p w14:paraId="23450C35" w14:textId="77777777" w:rsidR="00FB3851" w:rsidRPr="00386F72" w:rsidRDefault="00FB3851" w:rsidP="00FB3851">
      <w:pPr>
        <w:spacing w:after="120"/>
      </w:pPr>
      <w:r w:rsidRPr="00386F72">
        <w:t>9.5</w:t>
      </w:r>
      <w:r w:rsidRPr="00386F72">
        <w:tab/>
        <w:t xml:space="preserve">À l'issue de consultations informelles, la Commission </w:t>
      </w:r>
      <w:r w:rsidRPr="00386F72">
        <w:rPr>
          <w:b/>
          <w:bCs/>
        </w:rPr>
        <w:t>est convenue</w:t>
      </w:r>
      <w:r w:rsidRPr="00386F72">
        <w:t xml:space="preserve"> de formuler les conclusions suivantes sur la question:</w:t>
      </w:r>
    </w:p>
    <w:tbl>
      <w:tblPr>
        <w:tblStyle w:val="TableGrid"/>
        <w:tblW w:w="0" w:type="auto"/>
        <w:tblInd w:w="-147" w:type="dxa"/>
        <w:tblLook w:val="04A0" w:firstRow="1" w:lastRow="0" w:firstColumn="1" w:lastColumn="0" w:noHBand="0" w:noVBand="1"/>
      </w:tblPr>
      <w:tblGrid>
        <w:gridCol w:w="9208"/>
      </w:tblGrid>
      <w:tr w:rsidR="00FB3851" w:rsidRPr="00386F72" w14:paraId="008CAA0C" w14:textId="77777777" w:rsidTr="000228FB">
        <w:tc>
          <w:tcPr>
            <w:tcW w:w="9208" w:type="dxa"/>
          </w:tcPr>
          <w:p w14:paraId="2AF2012E" w14:textId="6AE321FC" w:rsidR="00FB3851" w:rsidRDefault="00184DD9" w:rsidP="000228FB">
            <w:pPr>
              <w:ind w:left="41"/>
            </w:pPr>
            <w:r>
              <w:t>9.6</w:t>
            </w:r>
            <w:r>
              <w:tab/>
            </w:r>
            <w:r w:rsidR="00FB3851" w:rsidRPr="00386F72">
              <w:t>La Commission recommande au Conseil:</w:t>
            </w:r>
          </w:p>
          <w:p w14:paraId="5544EE58" w14:textId="655150F3" w:rsidR="00F262EF" w:rsidRPr="00386F72" w:rsidRDefault="00F262EF" w:rsidP="00FC08C1">
            <w:pPr>
              <w:pStyle w:val="enumlev1"/>
            </w:pPr>
            <w:r w:rsidRPr="00386F72">
              <w:t>•</w:t>
            </w:r>
            <w:r w:rsidRPr="00386F72">
              <w:tab/>
            </w:r>
            <w:r>
              <w:t xml:space="preserve">de charger la Secrétaire générale </w:t>
            </w:r>
            <w:r w:rsidRPr="00386F72">
              <w:t>d'élaborer une procédure structurée pour orienter l'approche du Conseil concernant les réductions exceptionnelles, conformément au numéro 165A de la Convention, de telle sorte qu'elles soient limitées dans le temps et qu'elles fassent l'objet d'un examen régulier, et de la présenter au Conseil à sa session de 2027</w:t>
            </w:r>
            <w:r w:rsidR="005C6A26">
              <w:t>; et</w:t>
            </w:r>
          </w:p>
          <w:p w14:paraId="212416D5" w14:textId="17B9A82C" w:rsidR="00FB3851" w:rsidRPr="00386F72" w:rsidRDefault="00FB3851" w:rsidP="00FC08C1">
            <w:pPr>
              <w:pStyle w:val="enumlev1"/>
              <w:spacing w:after="120"/>
            </w:pPr>
            <w:r w:rsidRPr="00386F72">
              <w:t>•</w:t>
            </w:r>
            <w:r w:rsidRPr="00386F72">
              <w:tab/>
              <w:t>d'adopter la Résolution figurant dans l'</w:t>
            </w:r>
            <w:hyperlink w:anchor="ANNEXEA" w:history="1">
              <w:r w:rsidRPr="00386F72">
                <w:rPr>
                  <w:rStyle w:val="Hyperlink"/>
                  <w:b/>
                  <w:bCs/>
                </w:rPr>
                <w:t>Annexe A</w:t>
              </w:r>
            </w:hyperlink>
            <w:r w:rsidRPr="00FC08C1">
              <w:t xml:space="preserve"> </w:t>
            </w:r>
            <w:r w:rsidRPr="00386F72">
              <w:t>ci-jointe.</w:t>
            </w:r>
          </w:p>
        </w:tc>
      </w:tr>
    </w:tbl>
    <w:bookmarkEnd w:id="0"/>
    <w:bookmarkEnd w:id="1"/>
    <w:bookmarkEnd w:id="2"/>
    <w:bookmarkEnd w:id="3"/>
    <w:p w14:paraId="445AB5E0" w14:textId="3AFCE8C0" w:rsidR="00AE6DC0" w:rsidRPr="00386F72" w:rsidRDefault="00AE6DC0" w:rsidP="00AE6DC0">
      <w:pPr>
        <w:pStyle w:val="Heading1"/>
      </w:pPr>
      <w:r w:rsidRPr="00386F72">
        <w:t>10</w:t>
      </w:r>
      <w:r w:rsidRPr="00386F72">
        <w:tab/>
        <w:t>Unité</w:t>
      </w:r>
      <w:r w:rsidR="0059329C" w:rsidRPr="00386F72">
        <w:t>s</w:t>
      </w:r>
      <w:r w:rsidRPr="00386F72">
        <w:t xml:space="preserve"> </w:t>
      </w:r>
      <w:r w:rsidR="0059329C" w:rsidRPr="00386F72">
        <w:t xml:space="preserve">contributives </w:t>
      </w:r>
      <w:r w:rsidRPr="00386F72">
        <w:t>– Méthod</w:t>
      </w:r>
      <w:r w:rsidR="00B20B35" w:rsidRPr="00386F72">
        <w:t>e de réexamen et de révision</w:t>
      </w:r>
      <w:r w:rsidRPr="00386F72">
        <w:t xml:space="preserve"> (</w:t>
      </w:r>
      <w:hyperlink r:id="rId43" w:history="1">
        <w:r w:rsidRPr="00386F72">
          <w:rPr>
            <w:rStyle w:val="Hyperlink"/>
            <w:rFonts w:eastAsia="Times New Roman" w:cs="Times New Roman"/>
            <w:szCs w:val="20"/>
          </w:rPr>
          <w:t>Document</w:t>
        </w:r>
        <w:r w:rsidR="00B20B35" w:rsidRPr="00386F72">
          <w:rPr>
            <w:rStyle w:val="Hyperlink"/>
            <w:rFonts w:eastAsia="Times New Roman" w:cs="Times New Roman"/>
            <w:szCs w:val="20"/>
          </w:rPr>
          <w:t> </w:t>
        </w:r>
        <w:r w:rsidRPr="00386F72">
          <w:rPr>
            <w:rStyle w:val="Hyperlink"/>
            <w:rFonts w:eastAsia="Times New Roman" w:cs="Times New Roman"/>
            <w:szCs w:val="20"/>
          </w:rPr>
          <w:t>C26/72</w:t>
        </w:r>
      </w:hyperlink>
      <w:r w:rsidRPr="00386F72">
        <w:t>)</w:t>
      </w:r>
    </w:p>
    <w:p w14:paraId="6CBE3683" w14:textId="696DB55B" w:rsidR="00AE6DC0" w:rsidRPr="00386F72" w:rsidRDefault="00AE6DC0" w:rsidP="00AE6DC0">
      <w:pPr>
        <w:pStyle w:val="Heading1"/>
        <w:spacing w:before="160"/>
      </w:pPr>
      <w:r w:rsidRPr="00386F72">
        <w:tab/>
        <w:t>Méthode</w:t>
      </w:r>
      <w:r w:rsidR="00B20B35" w:rsidRPr="00386F72">
        <w:t xml:space="preserve"> de réexamen et de révision du montant de l'unité contributive</w:t>
      </w:r>
      <w:r w:rsidRPr="00386F72">
        <w:t xml:space="preserve"> (</w:t>
      </w:r>
      <w:hyperlink r:id="rId44" w:history="1">
        <w:r w:rsidRPr="00386F72">
          <w:rPr>
            <w:rStyle w:val="Hyperlink"/>
            <w:rFonts w:eastAsia="Times New Roman" w:cs="Times New Roman"/>
            <w:szCs w:val="20"/>
          </w:rPr>
          <w:t>Document C26/100</w:t>
        </w:r>
      </w:hyperlink>
      <w:r w:rsidRPr="00386F72">
        <w:t>)</w:t>
      </w:r>
    </w:p>
    <w:p w14:paraId="464CB5D7" w14:textId="1B88759B" w:rsidR="00AE6DC0" w:rsidRPr="00386F72" w:rsidRDefault="00AE6DC0" w:rsidP="00AE6DC0">
      <w:r w:rsidRPr="00386F72">
        <w:t>10.1</w:t>
      </w:r>
      <w:r w:rsidRPr="00386F72">
        <w:tab/>
        <w:t xml:space="preserve">Le Chef du Département FRMD a présenté le rapport figurant dans le Document C26/72 sur la méthode de réexamen et de révision du montant de l'unité contributive. La méthode serait mise en œuvre en vue de la Conférence de plénipotentiaires de 2030 et les éventuels ajustements apportés à l'unité contributive entreraient en vigueur à compter de 2032. Aucune augmentation ne serait proposée à la PP-26; l'Union continuerait de fonctionner dans les limites de son budget actuel, grâce à une discipline renforcée sur le plan financier. Le </w:t>
      </w:r>
      <w:r w:rsidR="00AB78E5">
        <w:t>S</w:t>
      </w:r>
      <w:r w:rsidRPr="00386F72">
        <w:t>ecrétariat a proposé de continuer de suivre de près la situation financière et de mettre en œuvre des mesures pour accroître l'efficacité, mieux cibler et coordonner les activités et améliorer la discipline sur le plan financier. La méthode proposée comporte trois approches prospectives consistant à ajuster le montant de l'unité contributive pour tenir compte de l'inflation; à assujettir la hausse de ce montant à l'amélioration de l'efficacité; et à assujettir les hausses aux coûts supplémentaires associés aux nouveaux mandats approuvés par les membres.</w:t>
      </w:r>
    </w:p>
    <w:p w14:paraId="07E8CEFA" w14:textId="767D2913" w:rsidR="00AE6DC0" w:rsidRPr="00386F72" w:rsidRDefault="00AE6DC0" w:rsidP="00AE6DC0">
      <w:r w:rsidRPr="00386F72">
        <w:t>10.2</w:t>
      </w:r>
      <w:r w:rsidRPr="00386F72">
        <w:tab/>
        <w:t xml:space="preserve">Le conseiller de la République sudafricaine a présenté, au nom de cinq pays, la contribution multipays figurant dans le Document C26/100 et a proposé que le </w:t>
      </w:r>
      <w:r w:rsidR="00AB78E5">
        <w:t>S</w:t>
      </w:r>
      <w:r w:rsidRPr="00386F72">
        <w:t xml:space="preserve">ecrétariat établisse une référence claire pour déterminer ce qui déclencherait une révision du montant de l'unité contributive; il conviendrait de fixer des seuils qui entraîneraient automatiquement un réexamen de ce montant; et il conviendrait d'envisager d'effectuer un travail de suivi annuel et de présenter un aperçu de la situation financière sur une période glissante de 3 à 6 ans, qui comprendrait les produits prévus et les tendances en matière de charges, les incidences des nouveaux mandats en termes de coûts et des analyses des différents scénarios. Pour remédier au flou des mesures d'efficacité, il conviendrait de fixer des objectifs quantifiés. Un tableau de bord de l'adéquation des unités contributives devrait </w:t>
      </w:r>
      <w:r w:rsidRPr="00386F72">
        <w:lastRenderedPageBreak/>
        <w:t>être établi pour assurer un suivi et des évaluations plus systématiques, et ainsi permettre aux États Membres de prendre des décisions éclairées. De telles mesures permettraient d'éviter des pressions financières différées, un affaiblissement de l'exécution du mandat et la nécessité soudaine de procéder à une révision à l'avenir.</w:t>
      </w:r>
    </w:p>
    <w:p w14:paraId="09590672" w14:textId="4D0F2C1C" w:rsidR="00AE6DC0" w:rsidRPr="00386F72" w:rsidRDefault="00AE6DC0" w:rsidP="00AE6DC0">
      <w:r w:rsidRPr="00386F72">
        <w:t>10.3</w:t>
      </w:r>
      <w:r w:rsidRPr="00386F72">
        <w:tab/>
        <w:t xml:space="preserve">Des conseillers se sont félicités de la poursuite de la croissance nominale zéro de l'unité contributive et ont salué les efforts déployés par le </w:t>
      </w:r>
      <w:r w:rsidR="00AB78E5">
        <w:t>S</w:t>
      </w:r>
      <w:r w:rsidRPr="00386F72">
        <w:t>ecrétariat pour assurer la bonne gestion financière de l'Union, qui sont essentiels pour permettre à l'Union de fonctionner dans le cadre budgétaire existant, et pour éviter d'imposer des contraintes financières supplémentaires aux États Membres. Les États Membres étaient manifestement sensibles aux incidences financières des éventuels ajustements, tout en manifestant un intérêt commun pour le maintien de la stabilité et de la prévisibilité. Toute évaluation future du montant de l'unité contributive devrait tenir compte de leur situation.</w:t>
      </w:r>
    </w:p>
    <w:p w14:paraId="5C692FFA" w14:textId="504F6DDB" w:rsidR="002E14DB" w:rsidRPr="00386F72" w:rsidRDefault="002E14DB" w:rsidP="002E14DB">
      <w:r w:rsidRPr="00386F72">
        <w:t>10.4</w:t>
      </w:r>
      <w:r w:rsidRPr="00386F72">
        <w:tab/>
        <w:t>L'UIT est confrontée à une situation de stagnation des produits et d'augmentation des coûts, problème auquel il faut remédier. L'Union ne peut rester passive dans une telle situation. De nombreux conseillers estiment que l'Union devrait continuer de fonctionner dans le cadre budgétaire existant, en resserrant sa gestion financière, en s'attaquant aux doubles emplois au niveau des charges et en hiérarchisant et rationalisant les activités. Les travaux visant à diversifier les sources de produits devraient se poursuivre. La hiérarchisation est essentielle; si l'UIT souhaite entreprendre une nouvelle activité, elle devrait examiner les domaines dans lesquels des réductions pourraient être faites pour libérer les ressources nécessaires. Certains conseillers ont estimé qu'une méthode robuste d'ajustement de l'unité contributive est nécessaire parallèlement aux efforts visant à resserrer la gestion financière, afin de permettre la prévisibilité financière. Les conseillers se félicitent des efforts déployés pour assurer un équilibre entre les mesures d'efficacité et le montant de l'unité contributive. Toute proposition visant à augmenter l'unité contributive devrait être accompagnée d'améliorations claires et mesurables dans la production des résultats.</w:t>
      </w:r>
    </w:p>
    <w:p w14:paraId="4A627FC2" w14:textId="2793B209" w:rsidR="002E14DB" w:rsidRPr="00386F72" w:rsidRDefault="002E14DB" w:rsidP="002E14DB">
      <w:r w:rsidRPr="00386F72">
        <w:t>10.5</w:t>
      </w:r>
      <w:r w:rsidRPr="00386F72">
        <w:tab/>
        <w:t xml:space="preserve">S'agissant des mesures proposées dans la méthode, plusieurs conseillers ont émis des mises en garde contre l'ajustement de l'unité contributive en fonction de l'inflation, qui risque d'entraîner une certaine imprévisibilité concernant les contributions mises en recouvrement. Des éclaircissements supplémentaires sont nécessaires concernant le lien entre les augmentations et les résultats ainsi que concernant les ajustements en fonction des incidences des coûts supplémentaires des nouveaux mandats, qui semblent tous deux vagues et imprévisibles, en particulier compte tenu des difficultés à estimer les incidences financières des résultats des conférences. Des préoccupations ont été soulevées quant au risque que toute augmentation de la valeur de l'unité contributive puisse être compensée par le fait que les administrations ont le droit de réduire leur unité de 15% au maximum, ce qui pourrait se traduire par une réduction de facto du budget. Il convient également de garder à l'esprit que toute augmentation de l'unité contributive affecterait non seulement les États Membres mais aussi les Membres de Secteur et les Associés. Un processus de consultation est donc nécessaire pour faire en sorte que la question soit examinée de façon collective. Une conseillère a mis en garde contre la mise en place de mécanismes susceptibles de déclencher une augmentation de la valeur de l'unité contributive sans décision des États Membres. Un autre </w:t>
      </w:r>
      <w:r w:rsidR="00AB78E5">
        <w:t>c</w:t>
      </w:r>
      <w:r w:rsidRPr="00386F72">
        <w:t>onseiller a suggéré que les ajustements apportés à l'unité contributive soient liés à la situation économique des États Membres, par exemple leur produit intérieur brut ou leur position dans l'indice de développement mondial.</w:t>
      </w:r>
    </w:p>
    <w:p w14:paraId="3FCC0B92" w14:textId="77777777" w:rsidR="002E14DB" w:rsidRPr="00386F72" w:rsidRDefault="002E14DB" w:rsidP="002E14DB">
      <w:r w:rsidRPr="00386F72">
        <w:lastRenderedPageBreak/>
        <w:t>10.6</w:t>
      </w:r>
      <w:r w:rsidRPr="00386F72">
        <w:tab/>
        <w:t>Un débat plus approfondi est nécessaire pour parvenir à un consensus sur le contenu de la méthode et le calendrier de sa mise en œuvre. Une analyse plus détaillée de la situation permettrait au Conseil de prendre une décision éclairée en la matière en temps utile.</w:t>
      </w:r>
    </w:p>
    <w:p w14:paraId="11E4AE91" w14:textId="77777777" w:rsidR="002E14DB" w:rsidRPr="00386F72" w:rsidRDefault="002E14DB" w:rsidP="002E14DB">
      <w:r w:rsidRPr="00386F72">
        <w:t>10.7</w:t>
      </w:r>
      <w:r w:rsidRPr="00386F72">
        <w:tab/>
        <w:t>Les conseillers se sont félicités de la contribution soumise par plusieurs pays, dont les propositions constituent des éléments de réflexion utiles pour la suite des débats. Une méthode plus robuste permettant une meilleure planification financière serait la bienvenue. La définition d'objectifs d'efficacité quantifiables et de perspectives financières pluriannuelles contribuerait grandement à la transparence, à la responsabilisation et à la rigueur technique, ainsi qu'à la stabilité et à la prévisibilité, et faciliterait donc la prise de décisions éclairées et une planification solide. Les propositions figurant dans cette contribution constituent un premier pas satisfaisant pour envisager une approche différente afin de faire face aux contraintes financières et au mandat sans cesse croissant de l'Union.</w:t>
      </w:r>
    </w:p>
    <w:p w14:paraId="0D09B1F1" w14:textId="77777777" w:rsidR="002E14DB" w:rsidRPr="00386F72" w:rsidRDefault="002E14DB" w:rsidP="002E14DB">
      <w:pPr>
        <w:spacing w:after="120"/>
      </w:pPr>
      <w:r w:rsidRPr="00386F72">
        <w:t>10.8</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2E14DB" w:rsidRPr="00386F72" w14:paraId="2A39CF6F" w14:textId="77777777" w:rsidTr="00F02C44">
        <w:tc>
          <w:tcPr>
            <w:tcW w:w="9208" w:type="dxa"/>
          </w:tcPr>
          <w:p w14:paraId="47FC260B" w14:textId="77777777" w:rsidR="002E14DB" w:rsidRPr="00386F72" w:rsidRDefault="002E14DB" w:rsidP="00F02C44">
            <w:pPr>
              <w:ind w:left="33"/>
            </w:pPr>
            <w:r w:rsidRPr="00386F72">
              <w:t>10.9</w:t>
            </w:r>
            <w:r w:rsidRPr="00386F72">
              <w:tab/>
              <w:t>La Commission recommande au Conseil:</w:t>
            </w:r>
          </w:p>
          <w:p w14:paraId="2F4C5661" w14:textId="3F73321C" w:rsidR="002E14DB" w:rsidRPr="00386F72" w:rsidRDefault="002E14DB" w:rsidP="00F02C44">
            <w:pPr>
              <w:pStyle w:val="enumlev1"/>
              <w:ind w:hanging="534"/>
            </w:pPr>
            <w:r w:rsidRPr="00386F72">
              <w:t>•</w:t>
            </w:r>
            <w:r w:rsidRPr="00386F72">
              <w:tab/>
              <w:t xml:space="preserve">d'examiner le rapport figurant dans le </w:t>
            </w:r>
            <w:hyperlink r:id="rId45" w:history="1">
              <w:r w:rsidRPr="00386F72">
                <w:rPr>
                  <w:rStyle w:val="Hyperlink"/>
                </w:rPr>
                <w:t>Document C26/72</w:t>
              </w:r>
            </w:hyperlink>
            <w:r w:rsidRPr="00386F72">
              <w:t xml:space="preserve"> et </w:t>
            </w:r>
            <w:r w:rsidR="005C6A26" w:rsidRPr="005C6A26">
              <w:t xml:space="preserve">de demander au Secrétariat d'étudier plus avant les propositions contenues dans </w:t>
            </w:r>
            <w:r w:rsidRPr="00386F72">
              <w:t xml:space="preserve">la contribution soumise par plusieurs pays figurant dans le </w:t>
            </w:r>
            <w:hyperlink r:id="rId46" w:history="1">
              <w:r w:rsidRPr="00386F72">
                <w:rPr>
                  <w:rStyle w:val="Hyperlink"/>
                </w:rPr>
                <w:t>Document C26/100</w:t>
              </w:r>
            </w:hyperlink>
            <w:r w:rsidRPr="00386F72">
              <w:t>; et</w:t>
            </w:r>
          </w:p>
          <w:p w14:paraId="1E9A8DAC" w14:textId="0046CE72" w:rsidR="002E14DB" w:rsidRPr="00386F72" w:rsidRDefault="002E14DB" w:rsidP="00F02C44">
            <w:pPr>
              <w:pStyle w:val="enumlev1"/>
              <w:spacing w:after="120"/>
              <w:ind w:hanging="534"/>
            </w:pPr>
            <w:r w:rsidRPr="00386F72">
              <w:t>•</w:t>
            </w:r>
            <w:r w:rsidRPr="00386F72">
              <w:tab/>
              <w:t xml:space="preserve">de charger le GTC-FHR de travailler aux côtés du </w:t>
            </w:r>
            <w:r w:rsidR="00AB78E5">
              <w:t>S</w:t>
            </w:r>
            <w:r w:rsidRPr="00386F72">
              <w:t>ecrétariat pour poursuivre l'élaboration de la méthode proposée.</w:t>
            </w:r>
          </w:p>
        </w:tc>
      </w:tr>
    </w:tbl>
    <w:p w14:paraId="6F911814" w14:textId="77777777" w:rsidR="00BC42AC" w:rsidRPr="00386F72" w:rsidRDefault="00BC42AC" w:rsidP="00BC42AC">
      <w:pPr>
        <w:pStyle w:val="Heading1"/>
      </w:pPr>
      <w:r w:rsidRPr="00386F72">
        <w:rPr>
          <w:bCs/>
        </w:rPr>
        <w:t>11</w:t>
      </w:r>
      <w:r w:rsidRPr="00386F72">
        <w:tab/>
        <w:t>Informations actualisées sur la mise en œuvre de la stratégie de mobilisation des ressources de l'UIT (</w:t>
      </w:r>
      <w:hyperlink r:id="rId47" w:history="1">
        <w:r w:rsidRPr="00386F72">
          <w:rPr>
            <w:rStyle w:val="Hyperlink"/>
            <w:rFonts w:eastAsia="Times New Roman" w:cs="Times New Roman"/>
            <w:szCs w:val="20"/>
          </w:rPr>
          <w:t>Documents C26/73</w:t>
        </w:r>
      </w:hyperlink>
      <w:r w:rsidRPr="00386F72">
        <w:t xml:space="preserve"> et </w:t>
      </w:r>
      <w:hyperlink r:id="rId48" w:history="1">
        <w:r w:rsidRPr="00386F72">
          <w:rPr>
            <w:rStyle w:val="Hyperlink"/>
            <w:rFonts w:eastAsia="Times New Roman" w:cs="Times New Roman"/>
            <w:szCs w:val="20"/>
          </w:rPr>
          <w:t>C26/INF/14</w:t>
        </w:r>
      </w:hyperlink>
      <w:r w:rsidRPr="00386F72">
        <w:t>)</w:t>
      </w:r>
      <w:hyperlink r:id="rId49" w:history="1"/>
      <w:hyperlink r:id="rId50" w:history="1"/>
    </w:p>
    <w:p w14:paraId="2C55996C" w14:textId="77777777" w:rsidR="00BC42AC" w:rsidRPr="00386F72" w:rsidRDefault="00BC42AC" w:rsidP="00BC42AC">
      <w:r w:rsidRPr="00386F72">
        <w:t>11.1</w:t>
      </w:r>
      <w:r w:rsidRPr="00386F72">
        <w:tab/>
        <w:t>Une représentante du Secrétariat général a présenté le Document C26/73, qui contient des informations actualisées sur la mise en œuvre de la stratégie de mobilisation des ressources de l'UIT depuis la session de 2025 du Conseil. La stratégie est axée sur trois domaines principaux qui consistent à renforcer la mobilisation des membres; à tirer parti des manifestations, des produits et des services; et à susciter davantage de contributions volontaires. À la suite de la demande formulée par le Conseil à sa session de 2025 concernant l'élaboration d'une feuille de route pour guider la mise en œuvre, un tableau de bord a été élaboré pour suivre les progrès accomplis et améliorer la transparence en ce qui concerne les 24 grandes orientations de la stratégie (voir le Document C26/INF/14).</w:t>
      </w:r>
    </w:p>
    <w:p w14:paraId="6AEB9C46" w14:textId="766BCEE3" w:rsidR="00BC42AC" w:rsidRPr="00386F72" w:rsidRDefault="00BC42AC" w:rsidP="00BC42AC">
      <w:r w:rsidRPr="00386F72">
        <w:t>11.2</w:t>
      </w:r>
      <w:r w:rsidRPr="00386F72">
        <w:tab/>
        <w:t xml:space="preserve">En réponse à des observations et à des questions, l'oratrice a expliqué que, parmi les grandes orientations, la priorité a été donnée à la consolidation des contributions versées par les États Membres sous la forme d'unités contributives et au renforcement de la participation et des produits des Membres de Secteur qui, ensemble, représentent environ 80% du budget ordinaire de l'Union, la feuille de route pour la transformation de l'UIT servant de catalyseur de la mise en œuvre. La hiérarchisation des priorités sera alignée sur le plan stratégique, le plan financier et le plan opérationnel; la mise en œuvre sera menée en étroite collaboration avec l'équipe chargée des ressources financières. Les progrès accomplis concernant toutes les lignes d'action seront affichés dans le tableau de bord qui, comme l'ont demandé certains conseillers, sera actualisé pour inclure une analyse des risques. </w:t>
      </w:r>
      <w:r w:rsidRPr="00386F72">
        <w:lastRenderedPageBreak/>
        <w:t>S'agissant des coordonnateurs, l'oratrice a précisé qu'un groupe intersectoriel chargé de la mobilisation des ressources contribue à la mise en œuvre de la stratégie; des efforts ont été déployés à l'échelle des Secteurs, du Secrétariat général et des bureaux hors siège, ce qui a permis de rationaliser les actions menées.</w:t>
      </w:r>
    </w:p>
    <w:p w14:paraId="6BD713AD" w14:textId="7F0CFF4A" w:rsidR="00BC42AC" w:rsidRPr="00386F72" w:rsidRDefault="00BC42AC" w:rsidP="00BC42AC">
      <w:r w:rsidRPr="00386F72">
        <w:t>11.3</w:t>
      </w:r>
      <w:r w:rsidRPr="00386F72">
        <w:tab/>
        <w:t>En ce qui concerne la demande en faveur de nouveaux supports, tels que des propositions de valeur et des dossiers de pays, destinés à promouvoir l'adhésion à l'UIT, à mobiliser des ressources et à mettre en avant le rôle de l'Union, des présentations relatives à la participation en tant que Membre de Secteur ont été élaborées, ainsi qu'une brochure électronique intitulée "Pourquoi l'UIT compte: Convaincre les investisseurs pour 2028-2031". Les États Membres ont été encouragés à utiliser ces supports pour aider l'Union à mobiliser des ressources et à accroître le nombre de Membres de Secteur, d'Associés et d'établissements universitaires. Il a été pris bonne note de la demande de dossiers de pays et de supports à vocation régionale. Des informations sur les produits et services, y compris les publications, ont été incluses dans le tableau de bord. Enfin, les travaux se poursuivent pour recenser de nouvelles contributions volontaires et améliorer la manière dont elles sont comptabilisées; les progrès accomplis à cet égard seront présentés à de futures sessions du Conseil.</w:t>
      </w:r>
    </w:p>
    <w:p w14:paraId="351AC391" w14:textId="1722CE82" w:rsidR="00BC42AC" w:rsidRPr="00386F72" w:rsidRDefault="00BC42AC" w:rsidP="00BC42AC">
      <w:r w:rsidRPr="00386F72">
        <w:t>11.4</w:t>
      </w:r>
      <w:r w:rsidRPr="00386F72">
        <w:tab/>
        <w:t xml:space="preserve">En ce qui concerne les contributions des États Membres, qui constituent le pilier du financement de l'Union, certains conseillers ont pris note du faible taux de réponse à la </w:t>
      </w:r>
      <w:hyperlink r:id="rId51" w:history="1">
        <w:r w:rsidRPr="00386F72">
          <w:rPr>
            <w:rStyle w:val="Hyperlink"/>
            <w:rFonts w:eastAsia="Times New Roman" w:cs="Times New Roman"/>
            <w:szCs w:val="20"/>
          </w:rPr>
          <w:t>Lettre circulaire CL-25/36</w:t>
        </w:r>
      </w:hyperlink>
      <w:r w:rsidRPr="00386F72">
        <w:t>, dans laquelle les États Membres sont encouragés à augmenter leurs unités contributives, et ont demandé une évaluation de la situation actuelle, y compris en ce qui concerne les États Membres qui n'ont pas encore fourni de réponse. Un</w:t>
      </w:r>
      <w:r w:rsidR="00D23DA6" w:rsidRPr="00386F72">
        <w:t>e</w:t>
      </w:r>
      <w:r w:rsidRPr="00386F72">
        <w:t xml:space="preserve"> conseill</w:t>
      </w:r>
      <w:r w:rsidR="00D23DA6" w:rsidRPr="00386F72">
        <w:t>ère</w:t>
      </w:r>
      <w:r w:rsidRPr="00386F72">
        <w:t xml:space="preserve"> a attiré l'attention sur le fait que certains États Membres ont fait part de leur intention de diminuer le niveau de leur unité contributive. </w:t>
      </w:r>
      <w:r w:rsidR="00D23DA6" w:rsidRPr="00386F72">
        <w:t xml:space="preserve">Des </w:t>
      </w:r>
      <w:r w:rsidRPr="00386F72">
        <w:t>conseill</w:t>
      </w:r>
      <w:r w:rsidR="00D23DA6" w:rsidRPr="00386F72">
        <w:t>ère</w:t>
      </w:r>
      <w:r w:rsidRPr="00386F72">
        <w:t>s ont souligné la nécessité de suivre de près les engagements des États Membres et les efforts collectifs visant à consolider la base de contribution existante, à renforcer la valeur et la pertinence de l'Union et à aider les administrations à respecter leurs engagements nationaux. Un conseiller a fait part de ses inquiétudes quant au fait que l'accent ait été mis uniquement sur l'obtention de contributions des États Membres, alors que le but était de diversifier les sources de produits de l'Union. Il serait utile de disposer d'un calendrier clair pour la mise en œuvre des 24 grandes orientations. Un autre conseiller a souhaité savoir comment le Secrétariat envisageait de susciter davantage de contributions volontaires.</w:t>
      </w:r>
      <w:hyperlink r:id="rId52" w:history="1"/>
    </w:p>
    <w:p w14:paraId="00442EFE" w14:textId="77777777" w:rsidR="00734AB6" w:rsidRPr="00386F72" w:rsidRDefault="00734AB6" w:rsidP="00734AB6">
      <w:r w:rsidRPr="00386F72">
        <w:t>11.5</w:t>
      </w:r>
      <w:r w:rsidRPr="00386F72">
        <w:tab/>
        <w:t>Certains conseillers ont salué les efforts déployés pour élargir la composition des Secteurs, en particulier en ce qui concerne les segments sous-représentés de l'écosystème numérique et les Membres de Secteur, les Associés et les établissements universitaires des États Membres non représentés. L'augmentation du nombre de Membres de Secteur entraînerait non seulement une augmentation des produits, mais aussi permettrait aux membres de l'Union d'avoir accès aux réseaux de connaissances, aux produits, aux services et aux activités de développement de l'UIT.</w:t>
      </w:r>
    </w:p>
    <w:p w14:paraId="52CB73E7" w14:textId="5F689916" w:rsidR="00734AB6" w:rsidRPr="00386F72" w:rsidRDefault="00734AB6" w:rsidP="00734AB6">
      <w:r w:rsidRPr="00386F72">
        <w:t>11.6</w:t>
      </w:r>
      <w:r w:rsidRPr="00386F72">
        <w:tab/>
        <w:t xml:space="preserve">S'agissant de la mise à profit des manifestations, des produits et des services, certains conseillers ont dit qu'il faudrait envisager des activités qui produisent des résultats clairs et visent à renforcer des partenariats ciblés. Des informations sur la façon dont certaines initiatives financées par des fonds extérieurs et certains groupes spécialisés contribuaient à accroître la mobilisation des ressources ont été demandées. Un conseiller a souligné que les groupes et les manifestations des Secteurs, comme les commissions d'études et les ateliers, attirent les acteurs du secteur privé et constituent donc une autre possibilité de mobilisation </w:t>
      </w:r>
      <w:r w:rsidRPr="00386F72">
        <w:lastRenderedPageBreak/>
        <w:t>de ressources pouvant être mise à profit. À cet égard, il serait utile, dans les rapports futurs, d'inclure des informations sur la contribution des Secteurs à la mise en œuvre de la stratégie. On pourrait envisager de lancer d'autres publications phares, compte tenu du succès de l'UIT-R sur ce plan.</w:t>
      </w:r>
    </w:p>
    <w:p w14:paraId="622A5682" w14:textId="77777777" w:rsidR="00734AB6" w:rsidRPr="00386F72" w:rsidRDefault="00734AB6" w:rsidP="00734AB6">
      <w:pPr>
        <w:spacing w:after="120"/>
      </w:pPr>
      <w:r w:rsidRPr="00386F72">
        <w:t>11.7</w:t>
      </w:r>
      <w:r w:rsidRPr="00386F72">
        <w:tab/>
        <w:t xml:space="preserve">La Commission </w:t>
      </w:r>
      <w:r w:rsidRPr="00386F72">
        <w:rPr>
          <w:b/>
          <w:bCs/>
        </w:rPr>
        <w:t>est</w:t>
      </w:r>
      <w:r w:rsidRPr="00386F72">
        <w:t xml:space="preserve"> </w:t>
      </w:r>
      <w:r w:rsidRPr="00386F72">
        <w:rPr>
          <w:b/>
          <w:bCs/>
        </w:rPr>
        <w:t>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734AB6" w:rsidRPr="00386F72" w14:paraId="5BB86FFB" w14:textId="77777777" w:rsidTr="00734AB6">
        <w:tc>
          <w:tcPr>
            <w:tcW w:w="9208" w:type="dxa"/>
          </w:tcPr>
          <w:p w14:paraId="0D45AF8B" w14:textId="77777777" w:rsidR="00734AB6" w:rsidRPr="00386F72" w:rsidRDefault="00734AB6" w:rsidP="008320F5">
            <w:pPr>
              <w:tabs>
                <w:tab w:val="clear" w:pos="567"/>
                <w:tab w:val="left" w:pos="604"/>
              </w:tabs>
              <w:ind w:left="37"/>
            </w:pPr>
            <w:r w:rsidRPr="00386F72">
              <w:t>11.8</w:t>
            </w:r>
            <w:r w:rsidRPr="00386F72">
              <w:tab/>
              <w:t>La Commission recommande au Conseil:</w:t>
            </w:r>
          </w:p>
          <w:p w14:paraId="456C13B4" w14:textId="77777777" w:rsidR="00734AB6" w:rsidRPr="00386F72" w:rsidRDefault="00734AB6" w:rsidP="008320F5">
            <w:pPr>
              <w:pStyle w:val="enumlev1"/>
              <w:tabs>
                <w:tab w:val="clear" w:pos="567"/>
              </w:tabs>
              <w:ind w:hanging="530"/>
            </w:pPr>
            <w:r w:rsidRPr="00386F72">
              <w:t>•</w:t>
            </w:r>
            <w:r w:rsidRPr="00386F72">
              <w:tab/>
              <w:t xml:space="preserve">de prendre note des informations actualisées figurant dans le </w:t>
            </w:r>
            <w:hyperlink r:id="rId53" w:history="1">
              <w:r w:rsidRPr="00386F72">
                <w:rPr>
                  <w:rStyle w:val="Hyperlink"/>
                </w:rPr>
                <w:t>Document C26/73</w:t>
              </w:r>
            </w:hyperlink>
            <w:r w:rsidRPr="00386F72">
              <w:t xml:space="preserve"> et du tableau de bord figurant dans le </w:t>
            </w:r>
            <w:hyperlink r:id="rId54" w:history="1">
              <w:r w:rsidRPr="00386F72">
                <w:rPr>
                  <w:rStyle w:val="Hyperlink"/>
                </w:rPr>
                <w:t>Document C26/INF/14</w:t>
              </w:r>
            </w:hyperlink>
            <w:r w:rsidRPr="00386F72">
              <w:t>; et</w:t>
            </w:r>
          </w:p>
          <w:p w14:paraId="5E3CC0AC" w14:textId="77777777" w:rsidR="00734AB6" w:rsidRPr="00386F72" w:rsidRDefault="00734AB6" w:rsidP="008320F5">
            <w:pPr>
              <w:pStyle w:val="enumlev1"/>
              <w:tabs>
                <w:tab w:val="clear" w:pos="567"/>
              </w:tabs>
              <w:spacing w:after="120"/>
              <w:ind w:hanging="530"/>
            </w:pPr>
            <w:r w:rsidRPr="00386F72">
              <w:t>•</w:t>
            </w:r>
            <w:r w:rsidRPr="00386F72">
              <w:tab/>
              <w:t>de demander au Secrétariat de poursuivre la mise en œuvre de la stratégie de mobilisation des ressources de l'UIT, en tenant compte des retours d'information des États Membres, et de rendre compte au Conseil des progrès accomplis en la matière.</w:t>
            </w:r>
          </w:p>
        </w:tc>
      </w:tr>
    </w:tbl>
    <w:p w14:paraId="081673ED" w14:textId="77777777" w:rsidR="00BC42AC" w:rsidRPr="00386F72" w:rsidRDefault="00BC42AC" w:rsidP="00BC42AC">
      <w:pPr>
        <w:pStyle w:val="Heading1"/>
      </w:pPr>
      <w:r w:rsidRPr="00386F72">
        <w:t>12</w:t>
      </w:r>
      <w:r w:rsidRPr="00386F72">
        <w:tab/>
        <w:t>Arriérés et comptes spéciaux d'arriérés (</w:t>
      </w:r>
      <w:hyperlink r:id="rId55" w:history="1">
        <w:r w:rsidRPr="00386F72">
          <w:rPr>
            <w:rStyle w:val="Hyperlink"/>
            <w:rFonts w:eastAsia="Times New Roman" w:cs="Times New Roman"/>
            <w:bCs/>
            <w:szCs w:val="20"/>
          </w:rPr>
          <w:t>Document C26/11(Rév.1)</w:t>
        </w:r>
      </w:hyperlink>
      <w:r w:rsidRPr="00386F72">
        <w:t>)</w:t>
      </w:r>
    </w:p>
    <w:p w14:paraId="6069F98D" w14:textId="6932152A" w:rsidR="00BC42AC" w:rsidRPr="00386F72" w:rsidRDefault="00BC42AC" w:rsidP="00BC42AC">
      <w:pPr>
        <w:tabs>
          <w:tab w:val="clear" w:pos="567"/>
          <w:tab w:val="left" w:pos="745"/>
        </w:tabs>
        <w:spacing w:after="120"/>
      </w:pPr>
      <w:r w:rsidRPr="00386F72">
        <w:t>12.1</w:t>
      </w:r>
      <w:r w:rsidRPr="00386F72">
        <w:tab/>
        <w:t xml:space="preserve">Le Chef du Département FRMD a présenté le rapport annuel au Conseil (Document C26/11(Rév.1)) sur les mesures prises et les progrès réalisés dans le remboursement des dettes des États Membres, des Membres de Secteur, des Associés et des établissements universitaires, en retard dans leurs paiements ou ayant des comptes spéciaux d'arriérés. Il a indiqué que le total des arriérés et des comptes spéciaux d'arriérés avait diminué de 6% depuis 2018 et s'élevait à 37,3 millions CHF au 31 décembre 2025. Le Conseil est prié d'autoriser la Secrétaire générale à passer par pertes et profits les intérêts moratoires et les créances irrécupérables d'un montant total de 566 815,60 CHF, conformément aux lignes directrices fixées par le Conseil en 1999, par un prélèvement correspondant de la Provision pour comptes débiteurs. Le Chef du Département FRMD a remercié les États Membres qui ont fourni une assistance au </w:t>
      </w:r>
      <w:r w:rsidR="00AB78E5">
        <w:t>S</w:t>
      </w:r>
      <w:r w:rsidRPr="00386F72">
        <w:t>ecrétariat au cours des années précédentes en vue du recouvrement des créances et a encouragé d'autres États Membres à prendre des initiatives analogues.</w:t>
      </w:r>
    </w:p>
    <w:p w14:paraId="5C9787BD" w14:textId="19B331C0" w:rsidR="00BC42AC" w:rsidRPr="00386F72" w:rsidRDefault="00BC42AC" w:rsidP="00BC42AC">
      <w:pPr>
        <w:tabs>
          <w:tab w:val="clear" w:pos="567"/>
          <w:tab w:val="left" w:pos="745"/>
        </w:tabs>
        <w:spacing w:after="120"/>
      </w:pPr>
      <w:r w:rsidRPr="00386F72">
        <w:t>12.2</w:t>
      </w:r>
      <w:r w:rsidRPr="00386F72">
        <w:tab/>
        <w:t xml:space="preserve">En réponse à des questions soulevées par des conseillers, l'orateur a expliqué que le Secrétaire général disposait d'une certaine souplesse pour négocier des accords d'amortissement, conformément aux Résolutions 41 (Rév. Dubaï, 2018) et 152 (Rév. Busan, 2014) de la Conférence de plénipotentiaires. Dans le cas des États Membres, cela consiste notamment à tenir compte de la situation du pays concerné; les lignes directrices établies par le Conseil en 1999 prévoient des plans de paiement à plus long terme pour les pays en développement et les pays les moins avancés. Dans le cas des Membres de Secteur et des Associés, toutefois, si leurs contributions ne sont pas payées dans les délais impartis, ils risquent d'être exclus de la participation aux travaux du Secteur concerné et, à terme, de perdre leur statut de membre de l'Union. Les Membres de Secteur sont tenus de donner un préavis de six mois de leur intention de quitter un Secteur et de payer leur contribution au prorata. Les créances demeurent dans les livres jusqu'à ce que l'Union soit informée de la cessation des activités d'un Membre de Secteur ou d'un Associé, auquel cas la créance devient irrécupérable et des mesures appropriées sont prises, conformément aux normes </w:t>
      </w:r>
      <w:r w:rsidR="00632E77" w:rsidRPr="00386F72">
        <w:t>comptables pour le secteur public international (normes IPSAS)</w:t>
      </w:r>
      <w:r w:rsidRPr="00386F72">
        <w:t>.</w:t>
      </w:r>
    </w:p>
    <w:p w14:paraId="3C3F3E9E" w14:textId="55C62233" w:rsidR="00BC42AC" w:rsidRPr="00386F72" w:rsidRDefault="00BC42AC" w:rsidP="005C6A26">
      <w:pPr>
        <w:keepLines/>
      </w:pPr>
      <w:r w:rsidRPr="00386F72">
        <w:lastRenderedPageBreak/>
        <w:t>12.3</w:t>
      </w:r>
      <w:r w:rsidRPr="00386F72">
        <w:tab/>
        <w:t xml:space="preserve">Les conseillers ont salué les efforts déployés par le </w:t>
      </w:r>
      <w:r w:rsidR="00AB78E5">
        <w:t>S</w:t>
      </w:r>
      <w:r w:rsidRPr="00386F72">
        <w:t xml:space="preserve">ecrétariat pour recouvrer les créances et se sont félicités de l'augmentation du taux de recouvrement, qui s'établit à 21%. Plusieurs conseillers expriment néanmoins exprimé des préoccupations, notamment en ce qui concerne le montant des arriérés, qui a légèrement augmenté par rapport à 2024, et la suppression de plusieurs accords d'amortissement. Certains conseillers ont insisté sur la nécessité de renforcer les mécanismes de remboursement et d'exécution; d'autres ont souligné l'importance de conserver une approche souple, en tenant compte des réalités que connaissent les pays en développement et les pays confrontés à de réelles difficultés. Certains conseillers ont estimé qu'une analyse des problèmes actuels, notamment la mesure dans laquelle les arriérés sont imputables à des Membres de Secteur, des Associés ou des établissements universitaires inactifs ou anciens, ainsi que d'éventuelles recommandations du </w:t>
      </w:r>
      <w:r w:rsidR="00AB78E5">
        <w:t>S</w:t>
      </w:r>
      <w:r w:rsidRPr="00386F72">
        <w:t>ecrétariat, seraient utiles pour mettre en évidence les problèmes systématiques éventuels liés au respect des obligations financières, ainsi que pour déterminer les moyens possibles d'intensifier les efforts concernant les arriérés, les plans d'amortissement et les créances irrécupérables, lesquels pourront être examinés par la Conférence de plénipotentiaires dans le cadre des Résolutions 41 (Rév. Dubaï, 2018) et 152 (Rév. Busan, 2014).</w:t>
      </w:r>
    </w:p>
    <w:p w14:paraId="61520EE2" w14:textId="77777777" w:rsidR="00BC42AC" w:rsidRPr="00386F72" w:rsidRDefault="00BC42AC" w:rsidP="00BC42AC">
      <w:pPr>
        <w:tabs>
          <w:tab w:val="clear" w:pos="567"/>
          <w:tab w:val="left" w:pos="745"/>
        </w:tabs>
        <w:spacing w:after="120"/>
      </w:pPr>
      <w:r w:rsidRPr="00386F72">
        <w:t>12.4</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BC42AC" w:rsidRPr="00386F72" w14:paraId="6D4AC26B" w14:textId="77777777" w:rsidTr="00F11F6D">
        <w:tc>
          <w:tcPr>
            <w:tcW w:w="9214" w:type="dxa"/>
          </w:tcPr>
          <w:p w14:paraId="2411EBFD" w14:textId="77777777" w:rsidR="00BC42AC" w:rsidRPr="00386F72" w:rsidRDefault="00BC42AC" w:rsidP="00F11F6D">
            <w:pPr>
              <w:tabs>
                <w:tab w:val="clear" w:pos="567"/>
                <w:tab w:val="left" w:pos="745"/>
              </w:tabs>
              <w:spacing w:after="120"/>
              <w:ind w:left="41"/>
            </w:pPr>
            <w:r w:rsidRPr="00386F72">
              <w:t>12.5</w:t>
            </w:r>
            <w:r w:rsidRPr="00386F72">
              <w:tab/>
              <w:t>La commission recommande au Conseil:</w:t>
            </w:r>
          </w:p>
          <w:p w14:paraId="5E97145D" w14:textId="77777777" w:rsidR="00BC42AC" w:rsidRPr="00386F72" w:rsidRDefault="00BC42AC" w:rsidP="00F11F6D">
            <w:pPr>
              <w:pStyle w:val="enumlev1"/>
              <w:tabs>
                <w:tab w:val="clear" w:pos="567"/>
              </w:tabs>
              <w:ind w:left="750" w:hanging="709"/>
            </w:pPr>
            <w:r w:rsidRPr="00386F72">
              <w:t>•</w:t>
            </w:r>
            <w:r w:rsidRPr="00386F72">
              <w:tab/>
              <w:t xml:space="preserve">de prendre note du rapport figurant dans le </w:t>
            </w:r>
            <w:hyperlink r:id="rId56" w:history="1">
              <w:r w:rsidRPr="00386F72">
                <w:rPr>
                  <w:rStyle w:val="Hyperlink"/>
                </w:rPr>
                <w:t>Document C26/11(Rév.1)</w:t>
              </w:r>
            </w:hyperlink>
            <w:r w:rsidRPr="00386F72">
              <w:t>;</w:t>
            </w:r>
          </w:p>
          <w:p w14:paraId="64F50A40" w14:textId="619579C0" w:rsidR="00BC42AC" w:rsidRDefault="00BC42AC" w:rsidP="00F11F6D">
            <w:pPr>
              <w:pStyle w:val="enumlev1"/>
              <w:tabs>
                <w:tab w:val="clear" w:pos="567"/>
              </w:tabs>
              <w:ind w:left="750" w:hanging="709"/>
            </w:pPr>
            <w:r w:rsidRPr="00386F72">
              <w:t>•</w:t>
            </w:r>
            <w:r w:rsidRPr="00386F72">
              <w:tab/>
              <w:t>d'autoriser la Secrétaire générale à passer par pertes et profits la somme de 566 815,60 CHF au titre d'intérêts moratoires et de créances irrécupérables;</w:t>
            </w:r>
          </w:p>
          <w:p w14:paraId="6A1F4D66" w14:textId="08386410" w:rsidR="00F77BEB" w:rsidRPr="00386F72" w:rsidRDefault="00F77BEB" w:rsidP="00F11F6D">
            <w:pPr>
              <w:pStyle w:val="enumlev1"/>
              <w:tabs>
                <w:tab w:val="clear" w:pos="567"/>
              </w:tabs>
              <w:ind w:left="750" w:hanging="709"/>
            </w:pPr>
            <w:r w:rsidRPr="00F77BEB">
              <w:t>•</w:t>
            </w:r>
            <w:r>
              <w:tab/>
            </w:r>
            <w:r w:rsidRPr="00F77BEB">
              <w:t>de charger le Secrétariat d'inclure, dans le rapport qu'il soumettra à la Conférence de plénipotentiaires (Doha, 2026) sur la situation des comptes d'arriérés, une analyse des difficultés actuelles, et de formuler des recommandations concernant des solutions pour renforcer l'action menée à cet égard; et</w:t>
            </w:r>
          </w:p>
          <w:p w14:paraId="27972A9E" w14:textId="0B095664" w:rsidR="00BC42AC" w:rsidRPr="00386F72" w:rsidRDefault="00BC42AC" w:rsidP="00F11F6D">
            <w:pPr>
              <w:pStyle w:val="enumlev1"/>
              <w:tabs>
                <w:tab w:val="clear" w:pos="567"/>
              </w:tabs>
              <w:spacing w:after="120"/>
              <w:ind w:left="750" w:hanging="709"/>
            </w:pPr>
            <w:r w:rsidRPr="00386F72">
              <w:t>•</w:t>
            </w:r>
            <w:r w:rsidRPr="00386F72">
              <w:tab/>
              <w:t>d'adopter le projet de décision joint à l'</w:t>
            </w:r>
            <w:hyperlink w:anchor="ANNEXEB" w:history="1">
              <w:r w:rsidRPr="00386F72">
                <w:rPr>
                  <w:rStyle w:val="Hyperlink"/>
                  <w:b/>
                  <w:bCs/>
                </w:rPr>
                <w:t xml:space="preserve">Annexe </w:t>
              </w:r>
              <w:r w:rsidR="00B74EA5" w:rsidRPr="00386F72">
                <w:rPr>
                  <w:rStyle w:val="Hyperlink"/>
                  <w:b/>
                  <w:bCs/>
                </w:rPr>
                <w:t>B</w:t>
              </w:r>
            </w:hyperlink>
            <w:r w:rsidRPr="00386F72">
              <w:t xml:space="preserve"> du présent document.</w:t>
            </w:r>
          </w:p>
        </w:tc>
      </w:tr>
    </w:tbl>
    <w:p w14:paraId="75889DBA" w14:textId="77777777" w:rsidR="008E06C6" w:rsidRPr="00386F72" w:rsidRDefault="008E06C6" w:rsidP="008E06C6">
      <w:pPr>
        <w:pStyle w:val="Heading1"/>
      </w:pPr>
      <w:r w:rsidRPr="00386F72">
        <w:t>13</w:t>
      </w:r>
      <w:r w:rsidRPr="00386F72">
        <w:tab/>
      </w:r>
      <w:r w:rsidRPr="00386F72">
        <w:rPr>
          <w:rFonts w:eastAsiaTheme="minorHAnsi" w:cs="Calibri"/>
          <w:bCs/>
          <w:szCs w:val="28"/>
        </w:rPr>
        <w:t>Rapport d'activité sur la mise en œuvre des Décisions 600 (C17) et 601 (C17) du Conseil (</w:t>
      </w:r>
      <w:hyperlink r:id="rId57" w:history="1">
        <w:r w:rsidRPr="00386F72">
          <w:rPr>
            <w:rStyle w:val="Hyperlink"/>
            <w:rFonts w:cs="Calibri"/>
            <w:bCs/>
            <w:szCs w:val="28"/>
          </w:rPr>
          <w:t>Document C26/38</w:t>
        </w:r>
      </w:hyperlink>
      <w:r w:rsidRPr="00386F72">
        <w:rPr>
          <w:rFonts w:eastAsiaTheme="minorHAnsi" w:cs="Calibri"/>
          <w:bCs/>
          <w:szCs w:val="28"/>
        </w:rPr>
        <w:t>)</w:t>
      </w:r>
    </w:p>
    <w:p w14:paraId="1517ED0C" w14:textId="77777777" w:rsidR="008E06C6" w:rsidRPr="00386F72" w:rsidRDefault="008E06C6" w:rsidP="008E06C6">
      <w:pPr>
        <w:spacing w:after="120"/>
      </w:pPr>
      <w:r w:rsidRPr="00386F72">
        <w:t>13.1</w:t>
      </w:r>
      <w:r w:rsidRPr="00386F72">
        <w:tab/>
        <w:t xml:space="preserve">L'Adjoint au Directeur du Bureau de la normalisation des télécommunications (TSB) a présenté le Document C26/38, qui contient un rapport d'activité sur la mise en œuvre des Décisions 600 (C17) et 601 (C17) du Conseil, concernant respectivement les numéros universels de libre appel international (UIFN) et les numéros d'identification d'entité émettrice (IIN), et une recommandation invitant le Conseil à envisager d'abroger la Décision 601 (C17). Il a expliqué que le cadre des numéros UIFN restait stable, d'actualité et financièrement viable, générant environ 235 000 CHF par an depuis 2018; en revanche, l'utilisation du mécanisme IIN avait connu une baisse continue, les produits annuels moyens étant inférieurs aux coûts de maintenance associés. La Décision 601 avait également été rendue obsolète par les avancées techniques dans le Secteur de la normalisation des télécommunications de l'UIT (UIT-T): les modifications apportées par la Commission d'études 2 de l'UIT-T à la Recommandation UIT-T E.118 avaient eu pour effet de supprimer </w:t>
      </w:r>
      <w:r w:rsidRPr="00386F72">
        <w:lastRenderedPageBreak/>
        <w:t>complètement la fonction d'autorité d'enregistrement des numéros IIN et le cadre de normalisation sous-jacent. Le maintien de la Décision 601 (C17) constituait désormais un fardeau administratif: il ne présentait pas de véritable avantage pour les membres ni ne reflétait les réalités du marché.</w:t>
      </w:r>
    </w:p>
    <w:p w14:paraId="51ED9E3B" w14:textId="77777777" w:rsidR="008E06C6" w:rsidRPr="00386F72" w:rsidRDefault="008E06C6" w:rsidP="008E06C6">
      <w:pPr>
        <w:rPr>
          <w:rFonts w:eastAsia="Calibri" w:cs="Calibri"/>
        </w:rPr>
      </w:pPr>
      <w:r w:rsidRPr="00386F72">
        <w:rPr>
          <w:rFonts w:cs="Calibri"/>
        </w:rPr>
        <w:t>13.2</w:t>
      </w:r>
      <w:r w:rsidRPr="00386F72">
        <w:rPr>
          <w:rFonts w:cs="Calibri"/>
        </w:rPr>
        <w:tab/>
        <w:t>Au cours des débats qui ont suivi, des conseillers et un observateur ont convenu que, compte tenu de la justification proposée, il semblait judicieux d'abroger la Décision 601 (C17). Un conseiller a préconisé de continuer à faire preuve de transparence concernant les effets cumulés de la suppression d'une source de produits; un autre a suggéré que la Commission d'études 2 envisage d'attribuer des ressources de numérotage, en coordination avec les États Membres, les Membres de Secteur, les Associés ou d'autres entités, pour accroître le nombre de membres de l'UIT et contribuer à la viabilité financière de l'Union. Plusieurs conseillers, prenant note du montant des factures non acquittées par les fournisseurs de services UIFN, comme indiqué dans l'Annexe du Document C26/38, ont encouragé le Secrétariat à redoubler d'efforts, en collaboration avec les États Membres, pour recouvrer ces dettes impayées.</w:t>
      </w:r>
    </w:p>
    <w:p w14:paraId="23DC121B" w14:textId="77777777" w:rsidR="008E06C6" w:rsidRPr="00386F72" w:rsidRDefault="008E06C6" w:rsidP="008E06C6">
      <w:pPr>
        <w:spacing w:after="120"/>
        <w:rPr>
          <w:rFonts w:cs="Calibri"/>
        </w:rPr>
      </w:pPr>
      <w:r w:rsidRPr="00386F72">
        <w:rPr>
          <w:rFonts w:cs="Calibri"/>
        </w:rPr>
        <w:t>13.3</w:t>
      </w:r>
      <w:r w:rsidRPr="00386F72">
        <w:rPr>
          <w:rFonts w:cs="Calibri"/>
        </w:rPr>
        <w:tab/>
        <w:t xml:space="preserve">La commission </w:t>
      </w:r>
      <w:r w:rsidRPr="00386F72">
        <w:rPr>
          <w:rFonts w:cs="Calibri"/>
          <w:b/>
          <w:bCs/>
        </w:rPr>
        <w:t>est convenue</w:t>
      </w:r>
      <w:r w:rsidRPr="00386F72">
        <w:rPr>
          <w:rFonts w:cs="Calibri"/>
        </w:rPr>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8E06C6" w:rsidRPr="00386F72" w14:paraId="46C66C76" w14:textId="77777777" w:rsidTr="00306294">
        <w:tc>
          <w:tcPr>
            <w:tcW w:w="9214" w:type="dxa"/>
          </w:tcPr>
          <w:p w14:paraId="4CAF5306" w14:textId="77777777" w:rsidR="008E06C6" w:rsidRPr="00386F72" w:rsidRDefault="008E06C6" w:rsidP="00306294">
            <w:pPr>
              <w:tabs>
                <w:tab w:val="clear" w:pos="567"/>
                <w:tab w:val="left" w:pos="608"/>
              </w:tabs>
              <w:ind w:left="41"/>
            </w:pPr>
            <w:r w:rsidRPr="00386F72">
              <w:t>13.4</w:t>
            </w:r>
            <w:r w:rsidRPr="00386F72">
              <w:tab/>
              <w:t>La commission recommande au Conseil:</w:t>
            </w:r>
          </w:p>
          <w:p w14:paraId="7D10F660" w14:textId="640DCDEF" w:rsidR="008E06C6" w:rsidRPr="00386F72" w:rsidRDefault="008E06C6" w:rsidP="00306294">
            <w:pPr>
              <w:pStyle w:val="enumlev1"/>
              <w:tabs>
                <w:tab w:val="clear" w:pos="567"/>
              </w:tabs>
              <w:ind w:left="608"/>
            </w:pPr>
            <w:r w:rsidRPr="00386F72">
              <w:t>•</w:t>
            </w:r>
            <w:r w:rsidRPr="00386F72">
              <w:tab/>
              <w:t>de prendre note des informations les plus récentes concernant l'état d'application de la Décision 600 (C17) du Conseil relative aux numéros universels de libre appel international;</w:t>
            </w:r>
          </w:p>
          <w:p w14:paraId="3FE9A87F" w14:textId="77777777" w:rsidR="008E06C6" w:rsidRDefault="008E06C6" w:rsidP="00306294">
            <w:pPr>
              <w:pStyle w:val="enumlev1"/>
              <w:tabs>
                <w:tab w:val="clear" w:pos="567"/>
              </w:tabs>
              <w:spacing w:after="120"/>
              <w:ind w:left="608"/>
            </w:pPr>
            <w:r w:rsidRPr="00386F72">
              <w:t>•</w:t>
            </w:r>
            <w:r w:rsidRPr="00386F72">
              <w:tab/>
              <w:t>d'abroger la Décision 601 (C17) du Conseil relative aux numéros d'identification d'entité émettrice</w:t>
            </w:r>
            <w:r w:rsidR="00F77BEB">
              <w:t>; et</w:t>
            </w:r>
          </w:p>
          <w:p w14:paraId="0EC8C1FB" w14:textId="3B4260F3" w:rsidR="00F77BEB" w:rsidRPr="00386F72" w:rsidRDefault="00F77BEB" w:rsidP="00306294">
            <w:pPr>
              <w:pStyle w:val="enumlev1"/>
              <w:tabs>
                <w:tab w:val="clear" w:pos="567"/>
              </w:tabs>
              <w:spacing w:after="120"/>
              <w:ind w:left="608"/>
            </w:pPr>
            <w:r w:rsidRPr="00F77BEB">
              <w:t>•</w:t>
            </w:r>
            <w:r>
              <w:tab/>
            </w:r>
            <w:r w:rsidRPr="00F77BEB">
              <w:t>d'inviter la Commission d'études 2 de l'UIT-T, en coordination avec le Bureau de la normalisation des télécommunications, à examiner les observations formulées par les conseillers ci-dessus.</w:t>
            </w:r>
          </w:p>
        </w:tc>
      </w:tr>
    </w:tbl>
    <w:p w14:paraId="7E7F0104" w14:textId="77777777" w:rsidR="00962459" w:rsidRPr="00386F72" w:rsidRDefault="00962459" w:rsidP="00962459">
      <w:pPr>
        <w:pStyle w:val="Heading1"/>
        <w:tabs>
          <w:tab w:val="clear" w:pos="567"/>
        </w:tabs>
      </w:pPr>
      <w:r w:rsidRPr="00386F72">
        <w:t>14</w:t>
      </w:r>
      <w:r w:rsidRPr="00386F72">
        <w:tab/>
        <w:t>Passifs de l'assurance maladie après la cessation de service (ASHI) (</w:t>
      </w:r>
      <w:hyperlink r:id="rId58" w:history="1">
        <w:r w:rsidRPr="00386F72">
          <w:rPr>
            <w:rStyle w:val="Hyperlink"/>
            <w:rFonts w:eastAsia="Times New Roman" w:cs="Times New Roman"/>
            <w:szCs w:val="20"/>
          </w:rPr>
          <w:t>Document C26/46</w:t>
        </w:r>
      </w:hyperlink>
      <w:r w:rsidRPr="00386F72">
        <w:t>)</w:t>
      </w:r>
    </w:p>
    <w:p w14:paraId="6956F72E" w14:textId="5F0CB554" w:rsidR="00962459" w:rsidRPr="00386F72" w:rsidRDefault="00962459" w:rsidP="00962459">
      <w:r w:rsidRPr="00386F72">
        <w:t>14.1</w:t>
      </w:r>
      <w:r w:rsidRPr="00386F72">
        <w:tab/>
        <w:t>Un représentant du Secrétariat général a présenté le Document C26/46 et a déclaré qu'à la fin de 2025, les passifs de l'assurance maladie après la cessation de service (ASHI) avaient diminué de 37 millions CHF, principalement en raison de l'amélioration des hypothèses financières, y compris une augmentation du taux d'actualisation et une diminution du taux d'inflation des frais médicaux. Ces évolutions positives ont contrebalancé les tendances démographiques légèrement négatives des taux de mortalité et de retraite, bien que les passifs soient restés volatils. Dans le projet de décision reproduit dans l'Annexe A, le Secrétariat demande au Conseil d'approuver l'instauration d'une cotisation correspondant à 5,35% du traitement de tous les fonctionnaires recrutés à compter du 1er janvier 2026; cette mesure a été incluse dans le rapport du Comité consultatif indépendant pour les questions de gestion (CCIG) (voir le</w:t>
      </w:r>
      <w:r w:rsidR="0025479F">
        <w:t>s</w:t>
      </w:r>
      <w:r w:rsidRPr="00386F72">
        <w:t xml:space="preserve"> </w:t>
      </w:r>
      <w:r w:rsidRPr="00FC08C1">
        <w:t>Document</w:t>
      </w:r>
      <w:r w:rsidR="0025479F" w:rsidRPr="00FC08C1">
        <w:t>s C24/22 et</w:t>
      </w:r>
      <w:r w:rsidRPr="00FC08C1">
        <w:t xml:space="preserve"> </w:t>
      </w:r>
      <w:hyperlink r:id="rId59" w:history="1">
        <w:r w:rsidRPr="00FC08C1">
          <w:rPr>
            <w:rStyle w:val="Hyperlink"/>
            <w:rFonts w:eastAsia="Times New Roman" w:cs="Times New Roman"/>
            <w:szCs w:val="20"/>
          </w:rPr>
          <w:t>C25/46</w:t>
        </w:r>
      </w:hyperlink>
      <w:r w:rsidRPr="00386F72">
        <w:t>).</w:t>
      </w:r>
    </w:p>
    <w:p w14:paraId="48558756" w14:textId="77777777" w:rsidR="00962459" w:rsidRPr="00386F72" w:rsidRDefault="00962459" w:rsidP="00962459">
      <w:r w:rsidRPr="00386F72">
        <w:t>14.2</w:t>
      </w:r>
      <w:r w:rsidRPr="00386F72">
        <w:tab/>
        <w:t>Des conseillers ont apporté leur appui au rapport et au projet de décision. Toutefois, un conseiller a demandé des éclaircissements sur le produit annuel attendu de la cotisation de 5,35% et ses incidences prévues sur le taux de financement de l'ASHI, et a demandé si l'UIT avait comparé cette mesure aux pratiques plus larges des Nations Unies.</w:t>
      </w:r>
    </w:p>
    <w:p w14:paraId="1435D01A" w14:textId="77777777" w:rsidR="00962459" w:rsidRPr="00386F72" w:rsidRDefault="00962459" w:rsidP="00962459">
      <w:r w:rsidRPr="00386F72">
        <w:lastRenderedPageBreak/>
        <w:t>14.3</w:t>
      </w:r>
      <w:r w:rsidRPr="00386F72">
        <w:tab/>
        <w:t>La conseillère des États-Unis d'Amérique, tout en appuyant le projet de décision, s'est interrogée sur l'utilité de l'instauration d'une cotisation de 5,35% dans le cycle de planification financière pour 2028-2031 et proposerait de supprimer cette cotisation à l'avenir et de travailler avec les États Membres sur d'autres solutions pour les passifs à long terme de l'ASHI. Les États-Unis n'approuveront pas cette mesure lors des prochains cycles budgétaires et ont demandé qu'un rapport actualisé sur les passifs de l'ASHI soit soumis à la Conférence de plénipotentiaires, afin d'informer les États Membres des recommandations de l'UIT sur la manière de traiter ces passifs.</w:t>
      </w:r>
    </w:p>
    <w:p w14:paraId="6F7D3176" w14:textId="77777777" w:rsidR="00962459" w:rsidRPr="00386F72" w:rsidRDefault="00962459" w:rsidP="00F77BEB">
      <w:r w:rsidRPr="00386F72">
        <w:t>14.4</w:t>
      </w:r>
      <w:r w:rsidRPr="00386F72">
        <w:tab/>
        <w:t>Un conseiller a appelé l'attention des participants sur la recommandation du Vérificateur extérieur des comptes selon laquelle l'UIT devrait revoir l'analyse de rentabilisation initiale qu'elle a menée pour rejoindre l'Assurance mutuelle contre la maladie et les accidents du personnel des Nations Unies (UNSMIS), qui a entraîné un engagement financier important, et faire rapport à une session ultérieure du Conseil. Il serait souhaitable d'envisager d'utiliser des réserves financières pour des activités limitées, telles que la Caisse d'assurance du personnel de l'UIT, pour financer les engagements au titre de l'ASHI.</w:t>
      </w:r>
    </w:p>
    <w:p w14:paraId="30DF68AA" w14:textId="35AB658B" w:rsidR="00962459" w:rsidRPr="00386F72" w:rsidRDefault="00962459" w:rsidP="00962459">
      <w:r w:rsidRPr="00386F72">
        <w:t>14.5</w:t>
      </w:r>
      <w:r w:rsidRPr="00386F72">
        <w:tab/>
        <w:t xml:space="preserve">Le Chef du Département FRMD, en réponse à des questions soulevées par des conseillers, a expliqué que le Groupe de travail des Nations Unies sur l'ASHI avait recommandé au Secrétaire général de l'ONU de veiller à ce que la cotisation de 5,35% soit appliquée; le Secrétaire général de l'Organisation des Nations Unies doit soumettre la recommandation à l'Assemblée générale. Chaque organisation doit prendre des mesures pour mettre en œuvre la cotisation; l'UIT a reçu des recommandations du CCI et du CCIG en ce sens, telles qu'approuvées </w:t>
      </w:r>
      <w:r w:rsidR="0025479F">
        <w:t>aux</w:t>
      </w:r>
      <w:r w:rsidRPr="00386F72">
        <w:t xml:space="preserve"> session</w:t>
      </w:r>
      <w:r w:rsidR="0025479F">
        <w:t>s</w:t>
      </w:r>
      <w:r w:rsidRPr="00386F72">
        <w:t xml:space="preserve"> de </w:t>
      </w:r>
      <w:r w:rsidR="0025479F">
        <w:t xml:space="preserve">2024 et </w:t>
      </w:r>
      <w:r w:rsidRPr="00386F72">
        <w:t>2025 du Conseil. Étant donné que l'UIT participe au Groupe de travail des Nations Unies sur l'ASHI, qui a une vision globale des organisations du système des Nations Unies, il n'est pas nécessaire de mettre en place un mécanisme interne pour examiner les questions liées à l'ASHI, comme l'a suggéré un conseiller.</w:t>
      </w:r>
    </w:p>
    <w:p w14:paraId="05BF11B6" w14:textId="59D133F6" w:rsidR="00962459" w:rsidRPr="00386F72" w:rsidRDefault="00962459" w:rsidP="00962459">
      <w:r w:rsidRPr="00386F72">
        <w:t>14.6</w:t>
      </w:r>
      <w:r w:rsidRPr="00386F72">
        <w:tab/>
        <w:t>En réponse à une question sur l'Article 26 des Statuts de la Caisse commune des pensions du personnel des Nations Unies (CCPPNU), en vertu duquel chaque organisation affiliée paierait la somme nécessaire pour combler le déficit si les actifs de la Caisse étaient insuffisants pour faire face à ses obligations, l'orateur a précisé qu'aucune organisation n'incluait ce passif dans ses rapports financiers</w:t>
      </w:r>
      <w:r w:rsidR="0025479F">
        <w:t xml:space="preserve"> annuels</w:t>
      </w:r>
      <w:r w:rsidRPr="00386F72">
        <w:t xml:space="preserve">. La Caisse est gérée de manière indépendante par rapport aux organisations. </w:t>
      </w:r>
      <w:r w:rsidR="0025479F">
        <w:t xml:space="preserve">Seule l'ASHI est comptabilisée dans la position financière par chaque organisation appartenant au système des Nations Unies. </w:t>
      </w:r>
      <w:r w:rsidRPr="00386F72">
        <w:t>Enfin, il a souligné que l'UIT avait dûment versé sa contribution initiale à l'UNSMIS et jouait un rôle essentiel dans cette entité, faisant preuve de solidarité avec d'autres organisations.</w:t>
      </w:r>
    </w:p>
    <w:p w14:paraId="0E171F54" w14:textId="77777777" w:rsidR="00962459" w:rsidRPr="00386F72" w:rsidRDefault="00962459" w:rsidP="00962459">
      <w:pPr>
        <w:spacing w:after="120"/>
      </w:pPr>
      <w:r w:rsidRPr="00386F72">
        <w:t>14.7</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962459" w:rsidRPr="00386F72" w14:paraId="622558E6" w14:textId="77777777" w:rsidTr="00861395">
        <w:tc>
          <w:tcPr>
            <w:tcW w:w="9208" w:type="dxa"/>
          </w:tcPr>
          <w:p w14:paraId="28199370" w14:textId="77777777" w:rsidR="00962459" w:rsidRPr="00386F72" w:rsidRDefault="00962459" w:rsidP="00861395">
            <w:pPr>
              <w:tabs>
                <w:tab w:val="clear" w:pos="567"/>
                <w:tab w:val="clear" w:pos="1134"/>
                <w:tab w:val="left" w:pos="608"/>
              </w:tabs>
              <w:ind w:left="41"/>
            </w:pPr>
            <w:r w:rsidRPr="00386F72">
              <w:t>14.8</w:t>
            </w:r>
            <w:r w:rsidRPr="00386F72">
              <w:tab/>
              <w:t>La Commission recommande au Conseil:</w:t>
            </w:r>
          </w:p>
          <w:p w14:paraId="60DD78E3" w14:textId="77777777" w:rsidR="00962459" w:rsidRDefault="00962459" w:rsidP="00861395">
            <w:pPr>
              <w:pStyle w:val="enumlev1"/>
              <w:tabs>
                <w:tab w:val="clear" w:pos="567"/>
                <w:tab w:val="clear" w:pos="1134"/>
                <w:tab w:val="left" w:pos="608"/>
              </w:tabs>
              <w:spacing w:after="120"/>
              <w:ind w:left="41" w:firstLine="0"/>
            </w:pPr>
            <w:r w:rsidRPr="00386F72">
              <w:t>•</w:t>
            </w:r>
            <w:r w:rsidRPr="00386F72">
              <w:tab/>
              <w:t xml:space="preserve">d'adopter le projet de décision joint à </w:t>
            </w:r>
            <w:r w:rsidRPr="0040453F">
              <w:t>l'</w:t>
            </w:r>
            <w:hyperlink w:anchor="ANNEXEC" w:history="1">
              <w:r w:rsidRPr="005C6A26">
                <w:rPr>
                  <w:rStyle w:val="Hyperlink"/>
                  <w:b/>
                  <w:bCs/>
                </w:rPr>
                <w:t xml:space="preserve">Annexe </w:t>
              </w:r>
              <w:r w:rsidR="00B74EA5" w:rsidRPr="005C6A26">
                <w:rPr>
                  <w:rStyle w:val="Hyperlink"/>
                  <w:b/>
                  <w:bCs/>
                </w:rPr>
                <w:t>C</w:t>
              </w:r>
            </w:hyperlink>
            <w:r w:rsidRPr="00386F72">
              <w:t xml:space="preserve"> du présent document</w:t>
            </w:r>
            <w:r w:rsidR="00F77BEB">
              <w:t>; et</w:t>
            </w:r>
          </w:p>
          <w:p w14:paraId="7839F2D2" w14:textId="71E0B8A3" w:rsidR="00F77BEB" w:rsidRPr="00F77BEB" w:rsidRDefault="00F77BEB" w:rsidP="00E313AB">
            <w:pPr>
              <w:pStyle w:val="enumlev1"/>
              <w:tabs>
                <w:tab w:val="clear" w:pos="567"/>
              </w:tabs>
              <w:spacing w:after="120"/>
              <w:ind w:left="601"/>
            </w:pPr>
            <w:r w:rsidRPr="00F77BEB">
              <w:t>•</w:t>
            </w:r>
            <w:r w:rsidRPr="00F77BEB">
              <w:tab/>
              <w:t xml:space="preserve">de charger le Secrétariat de fournir un rapport actualisé sur la situation relative au passif de l'ASHI, y compris sur la mise en œuvre des recommandations connexes formulées par le Vérificateur extérieur des comptes, afin d'étayer les discussions sur le </w:t>
            </w:r>
            <w:r>
              <w:t>P</w:t>
            </w:r>
            <w:r w:rsidRPr="00F77BEB">
              <w:t>lan financier pour la période 2028-2031 à la Conférence de plénipotentiaires (Doha, 2026).</w:t>
            </w:r>
          </w:p>
        </w:tc>
      </w:tr>
    </w:tbl>
    <w:p w14:paraId="0CB70CFC" w14:textId="77777777" w:rsidR="008E06C6" w:rsidRPr="00386F72" w:rsidRDefault="008E06C6" w:rsidP="008E06C6">
      <w:pPr>
        <w:pStyle w:val="Heading1"/>
        <w:rPr>
          <w:rFonts w:eastAsiaTheme="minorHAnsi" w:cs="Calibri"/>
          <w:b w:val="0"/>
          <w:bCs/>
          <w:szCs w:val="28"/>
        </w:rPr>
      </w:pPr>
      <w:r w:rsidRPr="00386F72">
        <w:rPr>
          <w:rFonts w:eastAsiaTheme="minorHAnsi" w:cs="Calibri"/>
          <w:bCs/>
          <w:szCs w:val="28"/>
        </w:rPr>
        <w:lastRenderedPageBreak/>
        <w:t>15</w:t>
      </w:r>
      <w:r w:rsidRPr="00386F72">
        <w:rPr>
          <w:rFonts w:eastAsiaTheme="minorHAnsi" w:cs="Calibri"/>
          <w:bCs/>
          <w:szCs w:val="28"/>
        </w:rPr>
        <w:tab/>
        <w:t>Nouvelles demandes d'exonération du paiement de droits pour les organisations ayant un caractère international (</w:t>
      </w:r>
      <w:hyperlink r:id="rId60" w:history="1">
        <w:r w:rsidRPr="00386F72">
          <w:rPr>
            <w:rStyle w:val="Hyperlink"/>
            <w:rFonts w:cs="Calibri"/>
            <w:bCs/>
            <w:szCs w:val="28"/>
          </w:rPr>
          <w:t>Document C26/56</w:t>
        </w:r>
      </w:hyperlink>
      <w:r w:rsidRPr="00386F72">
        <w:rPr>
          <w:rFonts w:eastAsiaTheme="minorHAnsi" w:cs="Calibri"/>
          <w:bCs/>
          <w:szCs w:val="28"/>
        </w:rPr>
        <w:t>)</w:t>
      </w:r>
      <w:hyperlink r:id="rId61" w:history="1"/>
    </w:p>
    <w:p w14:paraId="6579D724" w14:textId="77777777" w:rsidR="008E06C6" w:rsidRPr="00386F72" w:rsidRDefault="008E06C6" w:rsidP="008E06C6">
      <w:pPr>
        <w:rPr>
          <w:rFonts w:eastAsia="Calibri" w:cs="Calibri"/>
        </w:rPr>
      </w:pPr>
      <w:r w:rsidRPr="00386F72">
        <w:rPr>
          <w:rFonts w:cs="Calibri"/>
        </w:rPr>
        <w:t>15.1</w:t>
      </w:r>
      <w:r w:rsidRPr="00386F72">
        <w:rPr>
          <w:rFonts w:cs="Calibri"/>
        </w:rPr>
        <w:tab/>
        <w:t>Une représentante du Secrétariat général a présenté le Document C26/56, qui contient cinq nouvelles demandes d'exonération du paiement de droits pour les Membres de Secteur adressées par des entités et les recommandations de la Secrétaire générale à ce sujet, formulées sur la base des critères et de la procédure applicables établis par le Conseil.</w:t>
      </w:r>
    </w:p>
    <w:p w14:paraId="0E3F77BE" w14:textId="77777777" w:rsidR="008E06C6" w:rsidRPr="00386F72" w:rsidRDefault="008E06C6" w:rsidP="008E06C6">
      <w:pPr>
        <w:rPr>
          <w:rFonts w:eastAsia="Calibri" w:cs="Calibri"/>
        </w:rPr>
      </w:pPr>
      <w:r w:rsidRPr="00386F72">
        <w:rPr>
          <w:rFonts w:cs="Calibri"/>
        </w:rPr>
        <w:t>15.2</w:t>
      </w:r>
      <w:r w:rsidRPr="00386F72">
        <w:rPr>
          <w:rFonts w:cs="Calibri"/>
        </w:rPr>
        <w:tab/>
        <w:t>Le conseiller de l'Inde a accueilli favorablement la recommandation visant à accorder une exonération du paiement de droits à l'Initiative du golfe du Bengale pour la coopération technique et économique multisectorielle (BIMSTEC).</w:t>
      </w:r>
    </w:p>
    <w:p w14:paraId="33E16A93" w14:textId="77777777" w:rsidR="008E06C6" w:rsidRPr="00386F72" w:rsidRDefault="008E06C6" w:rsidP="008E06C6">
      <w:pPr>
        <w:rPr>
          <w:rFonts w:eastAsia="Calibri" w:cs="Calibri"/>
        </w:rPr>
      </w:pPr>
      <w:r w:rsidRPr="00386F72">
        <w:rPr>
          <w:rFonts w:cs="Calibri"/>
        </w:rPr>
        <w:t>15.3</w:t>
      </w:r>
      <w:r w:rsidRPr="00386F72">
        <w:rPr>
          <w:rFonts w:cs="Calibri"/>
        </w:rPr>
        <w:tab/>
        <w:t xml:space="preserve">Plusieurs conseillers ont estimé que les critères d'exonération du paiement de droits existants ne donnaient pas une définition claire de certains concepts essentiels, ce qui se traduisait par une application subjective et incohérente. Ces critères étaient en grande partie qualitatifs et ne s'accompagnaient pas d'indicateurs mesurables, d'exigences en matière de transparence, de mécanismes d'application ni d'un système de suivi ou d'examen périodique. Il demeurait essentiel de faire preuve de cohérence, de transparence et d'équité dans l'application du cadre existant, compte tenu notamment du nombre croissant d'entités exonérées et des incidences financières qui en découlaient. Un conseiller a suggéré de procéder à un examen indépendant des entités exonérées. Le Secrétariat a été encouragé à fournir des orientations sur les autres formes de participation aux travaux de l'UIT qui s'offraient aux organisations ne répondant pas aux critères d'exonération, en particulier celles dont les activités étaient axées sur le développement, comme </w:t>
      </w:r>
      <w:proofErr w:type="spellStart"/>
      <w:r w:rsidRPr="00386F72">
        <w:rPr>
          <w:rFonts w:cs="Calibri"/>
        </w:rPr>
        <w:t>Digihub</w:t>
      </w:r>
      <w:proofErr w:type="spellEnd"/>
      <w:r w:rsidRPr="00386F72">
        <w:rPr>
          <w:rFonts w:cs="Calibri"/>
        </w:rPr>
        <w:t xml:space="preserve"> Africa.</w:t>
      </w:r>
    </w:p>
    <w:p w14:paraId="69C245DE" w14:textId="77777777" w:rsidR="008E06C6" w:rsidRPr="00386F72" w:rsidRDefault="008E06C6" w:rsidP="008E06C6">
      <w:pPr>
        <w:rPr>
          <w:rFonts w:eastAsia="Calibri" w:cs="Calibri"/>
        </w:rPr>
      </w:pPr>
      <w:r w:rsidRPr="00386F72">
        <w:rPr>
          <w:rFonts w:cs="Calibri"/>
        </w:rPr>
        <w:t>15.4</w:t>
      </w:r>
      <w:r w:rsidRPr="00386F72">
        <w:rPr>
          <w:rFonts w:cs="Calibri"/>
        </w:rPr>
        <w:tab/>
        <w:t>En réponse à une question de plusieurs conseillers sur les critères d'exonération du paiement de droits et la réciprocité, la représentante du Secrétariat général a indiqué que les demandes d'exonération faisaient l'objet d'un examen interne, et que les recommandations de la Secrétaire générale à l'intention du Conseil se fondaient sur cet examen et sur l'avis du Directeur du Bureau concerné. Les Secteurs et les bureaux régionaux étaient également consultés.</w:t>
      </w:r>
    </w:p>
    <w:p w14:paraId="5CFF45E4" w14:textId="77777777" w:rsidR="008E06C6" w:rsidRPr="00386F72" w:rsidRDefault="008E06C6" w:rsidP="008E06C6">
      <w:pPr>
        <w:rPr>
          <w:rFonts w:eastAsia="Calibri" w:cs="Calibri"/>
        </w:rPr>
      </w:pPr>
      <w:r w:rsidRPr="00386F72">
        <w:rPr>
          <w:rFonts w:cs="Calibri"/>
        </w:rPr>
        <w:t>15.5</w:t>
      </w:r>
      <w:r w:rsidRPr="00386F72">
        <w:rPr>
          <w:rFonts w:cs="Calibri"/>
        </w:rPr>
        <w:tab/>
        <w:t>La représentante du Secrétariat général a rappelé que les critères d'exonération du paiement de droits avaient déjà été réexaminés. Les organisations dont les demandes d'exonération avaient été approuvées avant l'adoption des critères révisés, à la session de</w:t>
      </w:r>
      <w:r w:rsidRPr="00386F72">
        <w:t> </w:t>
      </w:r>
      <w:r w:rsidRPr="00386F72">
        <w:rPr>
          <w:rFonts w:cs="Calibri"/>
        </w:rPr>
        <w:t>2017 du Conseil, avaient été autorisées par le Conseil à conserver leur exonération. Des informations complémentaires pourraient être fournies concernant les 145 organisations exonérées et la valeur financière de ces exonérations. La liste des entités demandant officiellement une exonération du paiement de droits pour la période 2028-2031 serait soumise au Conseil avant la Conférence de plénipotentiaires de 2026, prévue à Doha (PP</w:t>
      </w:r>
      <w:r w:rsidRPr="00386F72">
        <w:rPr>
          <w:rFonts w:cs="Calibri"/>
        </w:rPr>
        <w:noBreakHyphen/>
        <w:t>26), qui l'examinerait et déciderait des entités qui bénéficieraient d'une exonération. Les organisations non exonérées avaient à leur disposition d'autres moyens de participer aux activités de l'UIT, y compris en acquittant les droits conférant la qualité de membre.</w:t>
      </w:r>
    </w:p>
    <w:p w14:paraId="4829196A" w14:textId="49AE4904" w:rsidR="008E06C6" w:rsidRPr="00386F72" w:rsidRDefault="008E06C6" w:rsidP="008E06C6">
      <w:pPr>
        <w:rPr>
          <w:rFonts w:eastAsia="Calibri" w:cs="Calibri"/>
        </w:rPr>
      </w:pPr>
      <w:r w:rsidRPr="00386F72">
        <w:rPr>
          <w:rFonts w:cs="Calibri"/>
        </w:rPr>
        <w:t>15.6</w:t>
      </w:r>
      <w:r w:rsidRPr="00386F72">
        <w:rPr>
          <w:rFonts w:cs="Calibri"/>
        </w:rPr>
        <w:tab/>
        <w:t xml:space="preserve">S'agissant de la réciprocité, la représentante du Secrétariat général a affirmé que les principaux avantages à être membre de Secteur comprenaient la participation aux travaux des commissions d'études et l'accès aux documents, et que l'UIT s'attendait à </w:t>
      </w:r>
      <w:r w:rsidR="00605D55" w:rsidRPr="00386F72">
        <w:rPr>
          <w:rFonts w:cs="Calibri"/>
        </w:rPr>
        <w:t>un niveau de</w:t>
      </w:r>
      <w:r w:rsidRPr="00386F72">
        <w:rPr>
          <w:rFonts w:cs="Calibri"/>
        </w:rPr>
        <w:t xml:space="preserve"> contributions similaire de la part des organisations exonérées.</w:t>
      </w:r>
    </w:p>
    <w:p w14:paraId="6BC0CC53" w14:textId="77777777" w:rsidR="008E06C6" w:rsidRPr="00386F72" w:rsidRDefault="008E06C6" w:rsidP="00F77BEB">
      <w:pPr>
        <w:keepNext/>
        <w:spacing w:after="120"/>
        <w:rPr>
          <w:rFonts w:cs="Calibri"/>
        </w:rPr>
      </w:pPr>
      <w:r w:rsidRPr="00386F72">
        <w:rPr>
          <w:rFonts w:cs="Calibri"/>
        </w:rPr>
        <w:lastRenderedPageBreak/>
        <w:t>15.7</w:t>
      </w:r>
      <w:r w:rsidRPr="00386F72">
        <w:rPr>
          <w:rFonts w:cs="Calibri"/>
        </w:rPr>
        <w:tab/>
        <w:t xml:space="preserve">La commission </w:t>
      </w:r>
      <w:r w:rsidRPr="00386F72">
        <w:rPr>
          <w:rFonts w:cs="Calibri"/>
          <w:b/>
          <w:bCs/>
        </w:rPr>
        <w:t>est convenue</w:t>
      </w:r>
      <w:r w:rsidRPr="00386F72">
        <w:rPr>
          <w:rFonts w:cs="Calibri"/>
        </w:rPr>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8E06C6" w:rsidRPr="00386F72" w14:paraId="6FE3BC9F" w14:textId="77777777" w:rsidTr="00306294">
        <w:tc>
          <w:tcPr>
            <w:tcW w:w="9214" w:type="dxa"/>
          </w:tcPr>
          <w:p w14:paraId="5E6B7DAB" w14:textId="77777777" w:rsidR="008E06C6" w:rsidRPr="00386F72" w:rsidRDefault="008E06C6" w:rsidP="00306294">
            <w:pPr>
              <w:tabs>
                <w:tab w:val="clear" w:pos="567"/>
                <w:tab w:val="left" w:pos="608"/>
              </w:tabs>
              <w:ind w:left="41"/>
            </w:pPr>
            <w:r w:rsidRPr="00386F72">
              <w:t>15.8</w:t>
            </w:r>
            <w:r w:rsidRPr="00386F72">
              <w:tab/>
              <w:t>La commission recommande au Conseil:</w:t>
            </w:r>
          </w:p>
          <w:p w14:paraId="00D2A08E" w14:textId="77777777" w:rsidR="008E06C6" w:rsidRDefault="008E06C6" w:rsidP="00306294">
            <w:pPr>
              <w:pStyle w:val="enumlev1"/>
              <w:tabs>
                <w:tab w:val="clear" w:pos="567"/>
              </w:tabs>
              <w:spacing w:after="120"/>
              <w:ind w:left="608"/>
            </w:pPr>
            <w:r w:rsidRPr="00386F72">
              <w:t>•</w:t>
            </w:r>
            <w:r w:rsidRPr="00386F72">
              <w:tab/>
              <w:t xml:space="preserve">d'approuver les recommandations de la Secrétaire générale concernant les demandes d'exonération du paiement des contributions des Membres des Secteurs, telles qu'elles figurent dans le </w:t>
            </w:r>
            <w:hyperlink r:id="rId62" w:history="1">
              <w:r w:rsidRPr="00386F72">
                <w:rPr>
                  <w:rStyle w:val="Hyperlink"/>
                  <w:rFonts w:eastAsia="Times New Roman" w:cs="Calibri"/>
                  <w:szCs w:val="20"/>
                </w:rPr>
                <w:t>Document C26/56</w:t>
              </w:r>
            </w:hyperlink>
            <w:r w:rsidR="00F77BEB">
              <w:t>; et</w:t>
            </w:r>
          </w:p>
          <w:p w14:paraId="5CC0EA27" w14:textId="259FC79A" w:rsidR="00F77BEB" w:rsidRPr="00386F72" w:rsidRDefault="00F77BEB" w:rsidP="00306294">
            <w:pPr>
              <w:pStyle w:val="enumlev1"/>
              <w:tabs>
                <w:tab w:val="clear" w:pos="567"/>
              </w:tabs>
              <w:spacing w:after="120"/>
              <w:ind w:left="608"/>
            </w:pPr>
            <w:r w:rsidRPr="00F77BEB">
              <w:t>•</w:t>
            </w:r>
            <w:r>
              <w:tab/>
            </w:r>
            <w:r w:rsidRPr="00F77BEB">
              <w:t>de charger le Secrétariat d'apporter de nouvelles précisions sur les critères et procédures applicables établies par le Conseil, en particulier les conditions que les organisations dont les membres sont des entités à but non lucratif et présentant une demande d'exonération doivent remplir pour que l'Union leur accorde ladite exonération.</w:t>
            </w:r>
          </w:p>
        </w:tc>
      </w:tr>
    </w:tbl>
    <w:p w14:paraId="7D1EE830" w14:textId="77777777" w:rsidR="00734AB6" w:rsidRPr="00386F72" w:rsidRDefault="00734AB6" w:rsidP="00FC08C1">
      <w:pPr>
        <w:pStyle w:val="Heading1"/>
      </w:pPr>
      <w:r w:rsidRPr="00386F72">
        <w:t>16</w:t>
      </w:r>
      <w:r w:rsidRPr="00386F72">
        <w:tab/>
        <w:t>Participation provisoire d'entités s'occupant de questions de télécommunication aux activités de l'UIT (</w:t>
      </w:r>
      <w:hyperlink r:id="rId63" w:history="1">
        <w:r w:rsidRPr="00386F72">
          <w:rPr>
            <w:rStyle w:val="Hyperlink"/>
            <w:rFonts w:eastAsia="Times New Roman" w:cs="Times New Roman"/>
            <w:szCs w:val="20"/>
          </w:rPr>
          <w:t>Document C26/20</w:t>
        </w:r>
      </w:hyperlink>
      <w:r w:rsidRPr="00386F72">
        <w:t>)</w:t>
      </w:r>
    </w:p>
    <w:p w14:paraId="25BE6F9A" w14:textId="4352991B" w:rsidR="00734AB6" w:rsidRPr="00386F72" w:rsidRDefault="00734AB6" w:rsidP="00FC08C1">
      <w:pPr>
        <w:keepNext/>
        <w:keepLines/>
      </w:pPr>
      <w:r w:rsidRPr="00386F72">
        <w:t>16.1</w:t>
      </w:r>
      <w:r w:rsidRPr="00386F72">
        <w:tab/>
        <w:t>Un</w:t>
      </w:r>
      <w:r w:rsidR="00D23DA6" w:rsidRPr="00386F72">
        <w:t>e</w:t>
      </w:r>
      <w:r w:rsidRPr="00386F72">
        <w:t xml:space="preserve"> représentant</w:t>
      </w:r>
      <w:r w:rsidR="00D23DA6" w:rsidRPr="00386F72">
        <w:t>e</w:t>
      </w:r>
      <w:r w:rsidRPr="00386F72">
        <w:t xml:space="preserve"> du Secrétariat général a présenté le Document C26/20, qui rend compte des mesures prises par la Secrétaire générale concernant l'admission d'entités s'occupant de questions de télécommunication (numéro 230 de la Convention de l'UIT) aux activités des Secteurs de l'UIT en qualité de Membres de Secteur ou d'Associés. Chaque entité a été reconnue par l'État Membre dont elle relève et inscrite provisoirement dans la liste des membres, en attendant la confirmation du Conseil.</w:t>
      </w:r>
    </w:p>
    <w:p w14:paraId="15CC2BA8" w14:textId="77777777" w:rsidR="00734AB6" w:rsidRPr="00386F72" w:rsidRDefault="00734AB6" w:rsidP="00734AB6">
      <w:pPr>
        <w:spacing w:after="120"/>
      </w:pPr>
      <w:r w:rsidRPr="00386F72">
        <w:t>16.2</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734AB6" w:rsidRPr="00386F72" w14:paraId="05622E5A" w14:textId="77777777" w:rsidTr="00BC42AC">
        <w:tc>
          <w:tcPr>
            <w:tcW w:w="9208" w:type="dxa"/>
            <w:tcBorders>
              <w:bottom w:val="single" w:sz="4" w:space="0" w:color="auto"/>
            </w:tcBorders>
          </w:tcPr>
          <w:p w14:paraId="54B39529" w14:textId="77777777" w:rsidR="00734AB6" w:rsidRPr="00386F72" w:rsidRDefault="00734AB6" w:rsidP="00734AB6">
            <w:pPr>
              <w:keepNext/>
              <w:tabs>
                <w:tab w:val="clear" w:pos="567"/>
                <w:tab w:val="left" w:pos="604"/>
              </w:tabs>
              <w:ind w:left="40"/>
            </w:pPr>
            <w:r w:rsidRPr="00386F72">
              <w:t>16.3</w:t>
            </w:r>
            <w:r w:rsidRPr="00386F72">
              <w:tab/>
              <w:t>La Commission recommande au Conseil:</w:t>
            </w:r>
          </w:p>
          <w:p w14:paraId="086E2A87" w14:textId="77777777" w:rsidR="00734AB6" w:rsidRPr="00386F72" w:rsidRDefault="00734AB6" w:rsidP="008320F5">
            <w:pPr>
              <w:pStyle w:val="enumlev1"/>
              <w:spacing w:after="120"/>
              <w:ind w:hanging="530"/>
            </w:pPr>
            <w:r w:rsidRPr="00386F72">
              <w:t>•</w:t>
            </w:r>
            <w:r w:rsidRPr="00386F72">
              <w:tab/>
              <w:t xml:space="preserve">de confirmer les mesures prises par la Secrétaire générale concernant l'admission des entités s'occupant de questions de télécommunication énumérées dans l'Annexe du </w:t>
            </w:r>
            <w:hyperlink r:id="rId64" w:history="1">
              <w:r w:rsidRPr="00386F72">
                <w:rPr>
                  <w:rStyle w:val="Hyperlink"/>
                </w:rPr>
                <w:t>Document C26/20</w:t>
              </w:r>
            </w:hyperlink>
            <w:r w:rsidRPr="00386F72">
              <w:t>.</w:t>
            </w:r>
          </w:p>
        </w:tc>
      </w:tr>
    </w:tbl>
    <w:p w14:paraId="4AB0DA30" w14:textId="77777777" w:rsidR="00C15491" w:rsidRPr="00386F72" w:rsidRDefault="00C15491" w:rsidP="00C15491">
      <w:pPr>
        <w:pStyle w:val="Heading1"/>
      </w:pPr>
      <w:r w:rsidRPr="00386F72">
        <w:t>17</w:t>
      </w:r>
      <w:r w:rsidRPr="00386F72">
        <w:tab/>
        <w:t>Recouvrement des coûts pour le traitement des fiches de notification des réseaux à satellite (</w:t>
      </w:r>
      <w:hyperlink r:id="rId65" w:history="1">
        <w:r w:rsidRPr="00386F72">
          <w:rPr>
            <w:rStyle w:val="Hyperlink"/>
            <w:rFonts w:eastAsia="Times New Roman" w:cs="Times New Roman"/>
            <w:szCs w:val="20"/>
          </w:rPr>
          <w:t>Document C26/16</w:t>
        </w:r>
      </w:hyperlink>
      <w:r w:rsidRPr="00386F72">
        <w:t>)</w:t>
      </w:r>
    </w:p>
    <w:p w14:paraId="7DAF44D7" w14:textId="77777777" w:rsidR="00C15491" w:rsidRPr="00386F72" w:rsidRDefault="00C15491" w:rsidP="00C15491">
      <w:pPr>
        <w:pStyle w:val="Heading1"/>
        <w:spacing w:before="160"/>
      </w:pPr>
      <w:r w:rsidRPr="00386F72">
        <w:tab/>
        <w:t>Note sur l'attribution de ressources pour les activités statutaires du Bureau des radiocommunications, y compris le traitement des fiches de notification des réseaux à satellite (</w:t>
      </w:r>
      <w:hyperlink r:id="rId66" w:history="1">
        <w:r w:rsidRPr="00386F72">
          <w:rPr>
            <w:rStyle w:val="Hyperlink"/>
            <w:rFonts w:eastAsia="Times New Roman" w:cs="Times New Roman"/>
            <w:szCs w:val="20"/>
          </w:rPr>
          <w:t>Document C26/107</w:t>
        </w:r>
      </w:hyperlink>
      <w:r w:rsidRPr="00386F72">
        <w:t>)</w:t>
      </w:r>
    </w:p>
    <w:p w14:paraId="47F0F167" w14:textId="77777777" w:rsidR="00C15491" w:rsidRPr="00386F72" w:rsidRDefault="00C15491" w:rsidP="00C15491">
      <w:pPr>
        <w:pStyle w:val="Heading1"/>
        <w:spacing w:before="160"/>
      </w:pPr>
      <w:r w:rsidRPr="00386F72">
        <w:tab/>
        <w:t>Proposition en vue de réduire le retard pris dans le traitement des fiches de notification de réseaux à satellite et de systèmes à satellites par le Département des services spatiaux de l'UIT (</w:t>
      </w:r>
      <w:hyperlink r:id="rId67" w:history="1">
        <w:r w:rsidRPr="00386F72">
          <w:rPr>
            <w:rStyle w:val="Hyperlink"/>
            <w:rFonts w:eastAsia="Times New Roman" w:cs="Times New Roman"/>
            <w:szCs w:val="20"/>
          </w:rPr>
          <w:t>Document C26/75</w:t>
        </w:r>
      </w:hyperlink>
      <w:r w:rsidRPr="00386F72">
        <w:t>)</w:t>
      </w:r>
    </w:p>
    <w:p w14:paraId="0169DBA8" w14:textId="099333BC" w:rsidR="00C15491" w:rsidRPr="00386F72" w:rsidRDefault="00C15491" w:rsidP="00C15491">
      <w:r w:rsidRPr="00386F72">
        <w:t>17.1</w:t>
      </w:r>
      <w:r w:rsidRPr="00386F72">
        <w:tab/>
        <w:t xml:space="preserve">Le Chef du Département des services spatiaux (SSD) a présenté le Document C26/16, qui contient le rapport annuel sur le recouvrement des coûts pour le traitement des fiches de notification des réseaux à satellite, et a attiré l'attention sur la différence entre les montants inscrits au budget pour le recouvrement des coûts et les montants effectivement facturés, qui résulte d'un rééquilibrage entre les soumissions concernant des réseaux à satellite géostationnaire (OSG) et les soumissions concernant des systèmes à satellites non </w:t>
      </w:r>
      <w:r w:rsidRPr="00386F72">
        <w:lastRenderedPageBreak/>
        <w:t>géostationnaires (non OSG), les premiers étant généralement assujettis à des droits plus élevés. La Décision 482 (C01, dernière mod. C25) abordait cette question, mais ses effets ne se feraient sentir qu'à partir de 2026. En outre, conformément aux règles de vérification des comptes, le paiement des factures liées au recouvrement des coûts pour le traitement des fiches de notification des réseaux à satellite n'était intégré dans les produits comptabilisés qu'après la publication des Sections spéciales correspondantes, qui était entravée par le retard accumulé dans le traitement des fiches de notification des réseaux à satellite. Le BR ne disposait pas des ressources nécessaires pour résorber ce retard et ainsi réduire le montant des produits différés, qui s'élevaient à 4 237 520 CHF à la fin de 2025. Enfin, la mise en œuvre de la Résolution 35 (Rév.CMR-23) et de la Résolution 8 (CMR-23) nécessitait d'examiner les caractéristiques du déploiement de chaque satellite d'une constellation, ce qui était faisable lorsque les systèmes ne comportaient qu'un petit nombre de satellites, mais devenait problématique lorsque le nombre de satellites augmentait. En conséquence, le Conseil voudra peut-être charger le GTC-FHR de procéder à une évaluation approfondie des coûts des activités découlant de la Résolution 35 (Rév.CMR-23) et de la Résolution</w:t>
      </w:r>
      <w:r w:rsidR="00F77BEB">
        <w:t> </w:t>
      </w:r>
      <w:r w:rsidRPr="00386F72">
        <w:t>8</w:t>
      </w:r>
      <w:r w:rsidR="00F77BEB">
        <w:t> </w:t>
      </w:r>
      <w:r w:rsidRPr="00386F72">
        <w:t>(CMR-23).</w:t>
      </w:r>
    </w:p>
    <w:p w14:paraId="551C6A56" w14:textId="77777777" w:rsidR="00C15491" w:rsidRPr="00386F72" w:rsidRDefault="00C15491" w:rsidP="00C15491">
      <w:r w:rsidRPr="00386F72">
        <w:t>17.2</w:t>
      </w:r>
      <w:r w:rsidRPr="00386F72">
        <w:tab/>
        <w:t>Le Vice-Président du GCR a présenté le Document C26/107, qui contient une note du GCR sur l'attribution de ressources pour les activités statutaires du BR, y compris le traitement des fiches de notification des réseaux à satellite. Le GCR mesurait les difficultés rencontrées par le Bureau dans le traitement des fiches de notification des réseaux à satellite, qui se traduisaient par un délai de traitement trois fois plus long que le délai réglementaire de quatre mois fixé dans le numéro 9.38 du Règlement des radiocommunications. Il a par ailleurs reconnu que les difficultés auxquelles le Bureau se heurtait ne se limitaient pas au traitement des fiches de notification des réseaux à satellite. Tout en étant conscient des contraintes budgétaires auxquelles l'Union était actuellement confrontée, le GCR a souligné la nécessité pour le BR de disposer de ressources appropriées pour s'acquitter de son mandat statutaire et a invité le Conseil à prendre les mesures nécessaires pour remédier à la situation et permettre au BR d'accomplir efficacement ses tâches, conformément au cadre réglementaire applicable.</w:t>
      </w:r>
    </w:p>
    <w:p w14:paraId="3E2848D3" w14:textId="77777777" w:rsidR="00C15491" w:rsidRPr="00386F72" w:rsidRDefault="00C15491" w:rsidP="00C15491">
      <w:r w:rsidRPr="00386F72">
        <w:t>17.3</w:t>
      </w:r>
      <w:r w:rsidRPr="00386F72">
        <w:tab/>
        <w:t>La conseillère de l'Argentine a présenté le Document C26/75, qui contient une proposition en vue de réduire le retard pris dans le traitement des fiches de notification de réseaux à satellite et de systèmes à satellites en autorisant le renforcement du Département SSD par le recrutement de fonctionnaires de la catégorie professionnelle, à savoir des ingénieurs spécialistes de l'analyse technico-réglementaire des réseaux à satellite et des systèmes à satellites, ainsi que des ingénieurs informaticiens chargés du développement, de la maintenance et de l'optimisation des outils informatiques utilisés pour le traitement et l'analyse des fiches de notification. Une telle approche permettrait de réduire considérablement l'actuel retard pris dans le traitement des fiches de notification de réseaux à satellite et de systèmes à satellites, d'accroître l'efficacité du Département SSD et de garantir la viabilité financière et opérationnelle de l'UIT pour ce qui est des services spatiaux.</w:t>
      </w:r>
    </w:p>
    <w:p w14:paraId="2A7E94F4" w14:textId="790F5666" w:rsidR="00C15491" w:rsidRPr="00386F72" w:rsidRDefault="00C15491" w:rsidP="00C15491">
      <w:r w:rsidRPr="00386F72">
        <w:t>17.4</w:t>
      </w:r>
      <w:r w:rsidRPr="00386F72">
        <w:tab/>
        <w:t xml:space="preserve">Les conseillers ont salué le rapport figurant dans le Document C26/16, qui met en évidence le déséquilibre croissant entre l'évolution des produits et l'imputation des coûts. Ils ont fait part de leur préoccupation quant à l'arriéré et aux retards inédits accumulés dans le traitement des fiches de notification des réseaux à satellite, et quant au fait que le coût du traitement de ces fiches est largement supérieur aux produits générés. Le modèle actuel de </w:t>
      </w:r>
      <w:r w:rsidRPr="00386F72">
        <w:lastRenderedPageBreak/>
        <w:t xml:space="preserve">recouvrement des coûts était mis à rude épreuve, en particulier compte tenu de la croissance rapide des grandes constellations de satellites non géostationnaires. Il fallait donc mettre en place des mécanismes pour garantir que les droits perçus pour le traitement des fiches de notification correspondent exactement au coût du traitement. Tout devrait être mis en </w:t>
      </w:r>
      <w:r w:rsidR="00605D55" w:rsidRPr="00386F72">
        <w:t>œuvre</w:t>
      </w:r>
      <w:r w:rsidRPr="00386F72">
        <w:t xml:space="preserve"> pour éviter que les administrations qui n'exploitent pas leurs propres systèmes à satellites supportent les coûts des procédures réglementaires profitant essentiellement aux opérateurs commerciaux mondiaux. Toute mesure prise concernant le recouvrement des coûts devrait donc s'accompagner de mesures visant à s'attaquer aux causes structurelles de cet arriéré, et il n'appartenait pas aux administrations d'en assumer la charge.</w:t>
      </w:r>
    </w:p>
    <w:p w14:paraId="5525275C" w14:textId="77777777" w:rsidR="00C15491" w:rsidRPr="00386F72" w:rsidRDefault="00C15491" w:rsidP="00F77BEB">
      <w:r w:rsidRPr="00386F72">
        <w:t>17.5</w:t>
      </w:r>
      <w:r w:rsidRPr="00386F72">
        <w:tab/>
        <w:t>En ce qui concerne les produits différés, une conseillère a dit vouloir comprendre quels étaient les problèmes qui en résultaient et s'ils pouvaient être surmontés en interne ou s'ils nécessitaient une intervention des États Membres, soit par l'intermédiaire du Conseil, soit par l'intermédiaire de la Conférence de plénipotentiaires.</w:t>
      </w:r>
    </w:p>
    <w:p w14:paraId="0D63E2A5" w14:textId="77777777" w:rsidR="00C15491" w:rsidRPr="00386F72" w:rsidRDefault="00C15491" w:rsidP="00C15491">
      <w:r w:rsidRPr="00386F72">
        <w:t>17.6</w:t>
      </w:r>
      <w:r w:rsidRPr="00386F72">
        <w:tab/>
        <w:t>Si les conseillers ont convenu qu'une évaluation des coûts des activités induites par la Résolution 35 (Rév.CMR-23) et la Résolution 8 (CMR-23) était nécessaire, certains ont estimé que cette évaluation devrait être effectuée par le GTC-FHR, tandis que d'autres ont dit préférer rouvrir les travaux du Groupe d'experts du Conseil sur la Décision 482, dont les membres avaient une connaissance remarquable du sujet et dont on pouvait tirer parti. De plus, il serait peut-être utile de réviser à nouveau la Décision 482. Une conseillère a indiqué que la Conférence de plénipotentiaires serait la mieux à même de décider, au titre du point de son ordre du jour consacré à la création de groupes de travail et à la portée de leurs travaux, de l'instance qui devrait mener ces évaluations. Celles-ci devraient être coordonnées avec l'élaboration de la nouvelle méthode de recouvrement des coûts pour le traitement des fiches de notification des réseaux à satellite. Un conseiller a demandé quand des données consolidées seraient disponibles pour les premiers mois de 2026, afin de comprendre les incidences de la Décision 482 (C01, dernière mod. C25).</w:t>
      </w:r>
    </w:p>
    <w:p w14:paraId="4BFA8ED6" w14:textId="77777777" w:rsidR="00C15491" w:rsidRPr="00386F72" w:rsidRDefault="00C15491" w:rsidP="00C15491">
      <w:r w:rsidRPr="00386F72">
        <w:t>17.7</w:t>
      </w:r>
      <w:r w:rsidRPr="00386F72">
        <w:tab/>
        <w:t>Compte tenu de ce qui précède, l'imposition d'un gel des recrutements à l'échelle du Secrétariat dans le cadre d'un effort de maîtrise des coûts non différencié semblait inadapté; le BR avait besoin de davantage de ressources humaines et de ressources financières pour pouvoir s'acquitter de son mandat. Il serait donc utile de faire un tour d'horizon des postes actuellement vacants au BR et des moyens de les pourvoir. Une gestion équitable, transparente et durable des ressources des services spatiaux était essentielle. En outre, de nombreux points de l'ordre du jour la CMR-27 seraient consacrés aux satellites, ce qui aurait pour effet d'accroître le volume de travail et les nouvelles activités. Les demandes de renforcement des ressources humaines étaient donc fondées.</w:t>
      </w:r>
    </w:p>
    <w:p w14:paraId="664678BD" w14:textId="77777777" w:rsidR="00C15491" w:rsidRPr="00386F72" w:rsidRDefault="00C15491" w:rsidP="00C15491">
      <w:r w:rsidRPr="00386F72">
        <w:t>17.8</w:t>
      </w:r>
      <w:r w:rsidRPr="00386F72">
        <w:tab/>
        <w:t>Des conseillers ont dit partager les préoccupations relatives à l'arriéré accumulé et ont encouragé le Secrétariat à envisager des stratégies à court terme pour faire en sorte que le BR dispose de ressources suffisantes pour s'acquitter de son mandat et traiter les fiches de notification dans les délais prescrits. Un conseiller s'est interrogé sur l'utilisation, en anglais, de l'expression "</w:t>
      </w:r>
      <w:proofErr w:type="spellStart"/>
      <w:r w:rsidRPr="00386F72">
        <w:t>constitutional</w:t>
      </w:r>
      <w:proofErr w:type="spellEnd"/>
      <w:r w:rsidRPr="00386F72">
        <w:t xml:space="preserve"> </w:t>
      </w:r>
      <w:proofErr w:type="spellStart"/>
      <w:r w:rsidRPr="00386F72">
        <w:t>activities</w:t>
      </w:r>
      <w:proofErr w:type="spellEnd"/>
      <w:r w:rsidRPr="00386F72">
        <w:t>" dans le contexte du Secteur des radiocommunications de l'UIT (UIT-R). Il a dit souhaiter connaître l'origine de cette notion et savoir si elle s'appliquait également aux autres Secteurs.</w:t>
      </w:r>
    </w:p>
    <w:p w14:paraId="3892D210" w14:textId="77777777" w:rsidR="00C15491" w:rsidRPr="00386F72" w:rsidRDefault="00C15491" w:rsidP="00F77BEB">
      <w:pPr>
        <w:keepLines/>
      </w:pPr>
      <w:r w:rsidRPr="00386F72">
        <w:lastRenderedPageBreak/>
        <w:t>17.9</w:t>
      </w:r>
      <w:r w:rsidRPr="00386F72">
        <w:tab/>
        <w:t xml:space="preserve">Plusieurs conseillers ont accueilli favorablement la proposition de l'Argentine et ont convenu de la nécessité de renforcer les équipes du BR et de rationaliser ses processus grâce à un appui logiciel. Les problèmes d'effectifs internes ne constituaient pas un motif légitime pour ne pas respecter le Règlement des radiocommunications. Des mesures devaient donc être prises pour permettre au BR de s'acquitter de son mandat. La notification de grandes constellations de satellites non géostationnaires faisait peser une pression considérable sur le BR. Bien qu'il faille renforcer les ressources humaines, tout nouveau recrutement devrait être conforme à l'orientation de politique générale actualisée sur la rationalisation du recours aux contrats SSA. Un conseiller a suggéré que les coûts liés à l'engagement de spécialistes supplémentaires soient couverts par les montants recouvrés pour le traitement des fiches de notification des réseaux à satellite. Une conseillère a quant à elle fait part de sa préoccupation au sujet de l'augmentation des effectifs. Des mesures temporaires devraient être prises pour résorber l'arriéré, étant donné que l'amélioration de l'efficacité des logiciels et des flux de travail aurait une incidence sur la charge de travail et qu'il ne serait peut-être pas nécessaire d'augmenter les effectifs. Il conviendrait donc d'envisager d'engager du personnel dans le cadre de contrats de courte durée. </w:t>
      </w:r>
    </w:p>
    <w:p w14:paraId="73917CC3" w14:textId="77777777" w:rsidR="00C15491" w:rsidRPr="00386F72" w:rsidRDefault="00C15491" w:rsidP="00C15491">
      <w:pPr>
        <w:tabs>
          <w:tab w:val="clear" w:pos="567"/>
          <w:tab w:val="left" w:pos="709"/>
        </w:tabs>
      </w:pPr>
      <w:r w:rsidRPr="00386F72">
        <w:t>17.10</w:t>
      </w:r>
      <w:r w:rsidRPr="00386F72">
        <w:tab/>
        <w:t>Le Chef du SSD a affirmé qu'en ce qui concerne l'évaluation de la Résolution 35 (Rév.CMR-23) et de la Résolution 8 (CMR-23), le Secrétariat proposait de demander au GTC</w:t>
      </w:r>
      <w:r w:rsidRPr="00386F72">
        <w:noBreakHyphen/>
        <w:t>FHR de mener l'évaluation, étant donné que la tâche était limitée et que la création d'un groupe d'experts entraînerait des coûts. Il appartenait toutefois au Conseil de proroger le mandat de son Groupe d'experts. Si le nombre exact de soumissions enregistrées en 2026 pouvait être fourni à la Conférence de plénipotentiaires, le nombre de soumissions était globalement revenu à un niveau normal, après avoir atteint un pic en décembre 2025. Le retard pris dans le traitement ne concernait qu'un seul type de soumission. Les ressources du Département SSD n'avaient donc pas besoin d'être triplées, il fallait simplement les augmenter de façon à traiter les cas en question. Toutes les autres fiches de notification étaient gérées dans les délais statutaires. En ce qui concerne les ressources requises, il convenait de garder à l'esprit que la mise en place de nouveautés informatiques et de processus d'automatisation permettrait en définitive de réaliser des économies, mais qu'à court terme, elle nécessiterait des investissements. Pour ce qui est des ressources humaines, si le Département SSD avait besoin d'ingénieurs permanents, il serait nécessaire de recruter du personnel sur des périodes de courte durée, allant de deux à trois ans, pour résorber l'arriéré de traitement des fiches de notification.</w:t>
      </w:r>
    </w:p>
    <w:p w14:paraId="2F6C3396" w14:textId="1FEB0B89" w:rsidR="00C15491" w:rsidRPr="00386F72" w:rsidRDefault="00C15491" w:rsidP="00C15491">
      <w:pPr>
        <w:tabs>
          <w:tab w:val="clear" w:pos="567"/>
          <w:tab w:val="left" w:pos="709"/>
        </w:tabs>
      </w:pPr>
      <w:r w:rsidRPr="00386F72">
        <w:t>17.11</w:t>
      </w:r>
      <w:r w:rsidRPr="00386F72">
        <w:tab/>
        <w:t>À propos de la prise en compte du paiement des factures dans les produits comptabilisés, l</w:t>
      </w:r>
      <w:r w:rsidR="00FB70EA" w:rsidRPr="00386F72">
        <w:t>e</w:t>
      </w:r>
      <w:r w:rsidRPr="00386F72">
        <w:t xml:space="preserve"> Chef du Département FRMD a déclaré que, depuis 2010, l'UIT avait adopté le système IPSAS, conformément auquel un produit ne pouvait être comptabilisé que lorsque le service correspondant avait été fourni. Jusqu'à ce que le service soit fourni, le produit n'était pas considéré comme "perdu", mais il était comptabilisé dans les "produits différés". Le produit ne pouvait être comptabilisé qu'une fois le service achevé.</w:t>
      </w:r>
    </w:p>
    <w:p w14:paraId="6503C6F3" w14:textId="0818DA75" w:rsidR="00C15491" w:rsidRPr="00386F72" w:rsidRDefault="00C15491" w:rsidP="00C15491">
      <w:pPr>
        <w:tabs>
          <w:tab w:val="clear" w:pos="567"/>
          <w:tab w:val="left" w:pos="709"/>
        </w:tabs>
      </w:pPr>
      <w:r w:rsidRPr="00386F72">
        <w:t>17.12</w:t>
      </w:r>
      <w:r w:rsidRPr="00386F72">
        <w:tab/>
        <w:t>Le Directeur du BR a remercié les conseillers d'avoir compris qu'il importait que le BR dispose de ressources appropriées pour pouvoir mener ses activités dans le domaine réglementaire. Les activités mentionnées dans la contribution du GCR étaient de nature statutaire ("</w:t>
      </w:r>
      <w:proofErr w:type="spellStart"/>
      <w:r w:rsidRPr="00386F72">
        <w:t>statutory</w:t>
      </w:r>
      <w:proofErr w:type="spellEnd"/>
      <w:r w:rsidRPr="00386F72">
        <w:t>" en anglais, plutôt que "</w:t>
      </w:r>
      <w:proofErr w:type="spellStart"/>
      <w:r w:rsidRPr="00386F72">
        <w:t>constitutional</w:t>
      </w:r>
      <w:proofErr w:type="spellEnd"/>
      <w:r w:rsidRPr="00386F72">
        <w:t xml:space="preserve">"); ces activités étaient obligatoires et devaient être menées dans un délai déterminé. </w:t>
      </w:r>
      <w:r w:rsidR="00632E77" w:rsidRPr="00386F72">
        <w:t>Au vu du Règlement des radiocommunications, le</w:t>
      </w:r>
      <w:r w:rsidRPr="00386F72">
        <w:t xml:space="preserve"> BR était tenu de faire rapport à la CMR lorsque les délais n'étaient pas respectés. Il avait été doté de ressources appropriées pour l'époque des satellites </w:t>
      </w:r>
      <w:r w:rsidRPr="00386F72">
        <w:lastRenderedPageBreak/>
        <w:t>géostationnaires, lorsque chaque fiche de notification se rapportait à un satellite et que le processus d'examen était relativement simple. Lorsque des satellites en orbite terrestre basse avaient été mis en service, des efforts avaient été faits pour traiter les fiches de notification correspondantes. Cependant, des fiches de notification de ce type étaient désormais soumises par dizaines de milliers; en décembre 2025, de</w:t>
      </w:r>
      <w:r w:rsidR="00632E77" w:rsidRPr="00386F72">
        <w:t>s</w:t>
      </w:r>
      <w:r w:rsidRPr="00386F72">
        <w:t xml:space="preserve"> fiches de notification concernant 200 000 satellites avaient été reçues, à la suite de quoi un opérateur concurrent avait déclaré qu'il déposerait </w:t>
      </w:r>
      <w:r w:rsidR="00632E77" w:rsidRPr="00386F72">
        <w:t xml:space="preserve">des fiches </w:t>
      </w:r>
      <w:r w:rsidRPr="00386F72">
        <w:t>concernant un million de satellites. Bien que l'on ne sache pas exactement combien de fiches de notification cela représenterait, ni si les satellites seraient effectivement lancés, le BR était néanmoins tenu de traiter toutes ces fiches. Une solution durable était nécessaire. Toute nouvelle recrue devrait être formée</w:t>
      </w:r>
      <w:r w:rsidR="00632E77" w:rsidRPr="00386F72">
        <w:t xml:space="preserve"> et l'effet de leur recrutement ne serait donc pas immédiat</w:t>
      </w:r>
      <w:r w:rsidRPr="00386F72">
        <w:t>. Les contributions financières des États</w:t>
      </w:r>
      <w:r w:rsidR="00AB78E5">
        <w:t> </w:t>
      </w:r>
      <w:r w:rsidRPr="00386F72">
        <w:t xml:space="preserve">Membres devant permettre d'acquérir des logiciels informatiques seraient donc grandement appréciées. </w:t>
      </w:r>
      <w:r w:rsidR="00632E77" w:rsidRPr="00386F72">
        <w:t>De même, cela ne constituerait pas une solution à court terme, puisque</w:t>
      </w:r>
      <w:r w:rsidRPr="00386F72">
        <w:t xml:space="preserve"> la conception, le développement, la mise à l'essai et le déploiement des logiciels prendraient du temps. Compte tenu de l'augmentation considérable des lancements de satellites, la situation au BR n'avait rien de temporaire. Le BR devait </w:t>
      </w:r>
      <w:r w:rsidR="00632E77" w:rsidRPr="00386F72">
        <w:t xml:space="preserve">donc </w:t>
      </w:r>
      <w:r w:rsidRPr="00386F72">
        <w:t>être doté de ressources appropriées sur le long terme.</w:t>
      </w:r>
    </w:p>
    <w:p w14:paraId="5CF440BA" w14:textId="77777777" w:rsidR="00C15491" w:rsidRPr="00386F72" w:rsidRDefault="00C15491" w:rsidP="00C15491">
      <w:pPr>
        <w:tabs>
          <w:tab w:val="clear" w:pos="567"/>
          <w:tab w:val="left" w:pos="709"/>
        </w:tabs>
        <w:spacing w:after="120"/>
      </w:pPr>
      <w:r w:rsidRPr="00386F72">
        <w:t>17.13</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061"/>
      </w:tblGrid>
      <w:tr w:rsidR="00C15491" w:rsidRPr="00386F72" w14:paraId="731F5824" w14:textId="77777777" w:rsidTr="00CF7A69">
        <w:tc>
          <w:tcPr>
            <w:tcW w:w="9061" w:type="dxa"/>
          </w:tcPr>
          <w:p w14:paraId="2164015B" w14:textId="77777777" w:rsidR="00C15491" w:rsidRPr="00386F72" w:rsidRDefault="00C15491" w:rsidP="00CF7A69">
            <w:pPr>
              <w:tabs>
                <w:tab w:val="clear" w:pos="567"/>
                <w:tab w:val="left" w:pos="709"/>
              </w:tabs>
              <w:ind w:left="38"/>
            </w:pPr>
            <w:r w:rsidRPr="00386F72">
              <w:t>17.14</w:t>
            </w:r>
            <w:r w:rsidRPr="00386F72">
              <w:tab/>
              <w:t xml:space="preserve">La commission recommande au Conseil: </w:t>
            </w:r>
          </w:p>
          <w:p w14:paraId="1494B51C" w14:textId="7D055D10" w:rsidR="00C15491" w:rsidRDefault="00C15491" w:rsidP="00CF7A69">
            <w:pPr>
              <w:pStyle w:val="enumlev1"/>
              <w:tabs>
                <w:tab w:val="clear" w:pos="567"/>
              </w:tabs>
              <w:ind w:left="738" w:hanging="700"/>
            </w:pPr>
            <w:r w:rsidRPr="00386F72">
              <w:t>•</w:t>
            </w:r>
            <w:r w:rsidRPr="00386F72">
              <w:tab/>
              <w:t xml:space="preserve">de prendre note du rapport figurant dans le </w:t>
            </w:r>
            <w:hyperlink r:id="rId68" w:history="1">
              <w:r w:rsidRPr="00386F72">
                <w:rPr>
                  <w:rStyle w:val="Hyperlink"/>
                </w:rPr>
                <w:t>Document C26/16</w:t>
              </w:r>
            </w:hyperlink>
            <w:r w:rsidRPr="00386F72">
              <w:t>;</w:t>
            </w:r>
          </w:p>
          <w:p w14:paraId="388376D4" w14:textId="7522A5F4" w:rsidR="00F77BEB" w:rsidRPr="00386F72" w:rsidRDefault="00F77BEB" w:rsidP="00CF7A69">
            <w:pPr>
              <w:pStyle w:val="enumlev1"/>
              <w:tabs>
                <w:tab w:val="clear" w:pos="567"/>
              </w:tabs>
              <w:ind w:left="738" w:hanging="700"/>
            </w:pPr>
            <w:r w:rsidRPr="00F77BEB">
              <w:t>•</w:t>
            </w:r>
            <w:r>
              <w:tab/>
            </w:r>
            <w:r w:rsidRPr="00F77BEB">
              <w:t xml:space="preserve">d'étudier la contribution figurant dans le </w:t>
            </w:r>
            <w:hyperlink r:id="rId69" w:history="1">
              <w:r w:rsidRPr="009D74A1">
                <w:rPr>
                  <w:rStyle w:val="Hyperlink"/>
                </w:rPr>
                <w:t>Document C26/75</w:t>
              </w:r>
            </w:hyperlink>
            <w:r w:rsidRPr="00F77BEB">
              <w:t>, visant à renforcer les ressources du Département des services spatiaux afin de réduire le retard pris dans le traitement des fiches de notification de réseaux à satellite et de systèmes à satellites, y compris dans le contexte de l'affectation des économies réalisées dans l'exécution du budget en 2025 (</w:t>
            </w:r>
            <w:hyperlink r:id="rId70" w:history="1">
              <w:r w:rsidRPr="009D74A1">
                <w:rPr>
                  <w:rStyle w:val="Hyperlink"/>
                </w:rPr>
                <w:t>Document C26/42(Rév.2)</w:t>
              </w:r>
            </w:hyperlink>
            <w:r w:rsidRPr="00F77BEB">
              <w:t>); et</w:t>
            </w:r>
          </w:p>
          <w:p w14:paraId="27F4BDBA" w14:textId="6A9BDA87" w:rsidR="00C15491" w:rsidRPr="00386F72" w:rsidRDefault="00C15491" w:rsidP="00CF7A69">
            <w:pPr>
              <w:pStyle w:val="enumlev1"/>
              <w:tabs>
                <w:tab w:val="clear" w:pos="567"/>
              </w:tabs>
              <w:spacing w:after="120"/>
              <w:ind w:left="738" w:hanging="700"/>
            </w:pPr>
            <w:r w:rsidRPr="00386F72">
              <w:t>•</w:t>
            </w:r>
            <w:r w:rsidRPr="00386F72">
              <w:tab/>
            </w:r>
            <w:r w:rsidR="00F77BEB" w:rsidRPr="00F77BEB">
              <w:t>de charger le GTC-FHR de procéder à une évaluation des coûts liés à la mise en œuvre de la Résolution 35 (Rév</w:t>
            </w:r>
            <w:r w:rsidR="00F77BEB">
              <w:t>.CMR-</w:t>
            </w:r>
            <w:r w:rsidR="00F77BEB" w:rsidRPr="00F77BEB">
              <w:t>23) et de</w:t>
            </w:r>
            <w:r w:rsidR="00F77BEB">
              <w:t xml:space="preserve"> </w:t>
            </w:r>
            <w:r w:rsidR="00F77BEB" w:rsidRPr="00F77BEB">
              <w:t>la Résolution 8 (CMR-23).</w:t>
            </w:r>
          </w:p>
        </w:tc>
      </w:tr>
    </w:tbl>
    <w:p w14:paraId="42078BB5" w14:textId="77777777" w:rsidR="008E20A4" w:rsidRPr="00386F72" w:rsidRDefault="008E20A4" w:rsidP="008E20A4">
      <w:pPr>
        <w:pStyle w:val="Heading1"/>
      </w:pPr>
      <w:r w:rsidRPr="00386F72">
        <w:lastRenderedPageBreak/>
        <w:t>18</w:t>
      </w:r>
      <w:r w:rsidRPr="00386F72">
        <w:tab/>
        <w:t>Fiches de notification de réseaux à satellite – Projet de méthode (</w:t>
      </w:r>
      <w:hyperlink r:id="rId71" w:history="1">
        <w:r w:rsidRPr="00386F72">
          <w:rPr>
            <w:rStyle w:val="Hyperlink"/>
            <w:rFonts w:eastAsia="Times New Roman" w:cs="Times New Roman"/>
            <w:szCs w:val="20"/>
          </w:rPr>
          <w:t>Document C26/19</w:t>
        </w:r>
      </w:hyperlink>
      <w:r w:rsidRPr="00386F72">
        <w:t>)</w:t>
      </w:r>
    </w:p>
    <w:p w14:paraId="36876EB4" w14:textId="77777777" w:rsidR="008E20A4" w:rsidRPr="00386F72" w:rsidRDefault="008E20A4" w:rsidP="008E20A4">
      <w:pPr>
        <w:pStyle w:val="Heading1"/>
        <w:spacing w:before="160"/>
      </w:pPr>
      <w:r w:rsidRPr="00386F72">
        <w:tab/>
        <w:t>Application de la Décision 482 – Étude de cas sur les coûts indirects associés aux fiches de notification des réseaux à satellite et des systèmes à satellites et cadre méthodologique proposé (</w:t>
      </w:r>
      <w:hyperlink r:id="rId72" w:history="1">
        <w:r w:rsidRPr="00386F72">
          <w:rPr>
            <w:rStyle w:val="Hyperlink"/>
            <w:rFonts w:eastAsia="Times New Roman" w:cs="Times New Roman"/>
            <w:szCs w:val="20"/>
          </w:rPr>
          <w:t>Document C26/84</w:t>
        </w:r>
      </w:hyperlink>
      <w:r w:rsidRPr="00386F72">
        <w:t>)</w:t>
      </w:r>
    </w:p>
    <w:p w14:paraId="04AEC1F7" w14:textId="77777777" w:rsidR="008E20A4" w:rsidRPr="00386F72" w:rsidRDefault="008E20A4" w:rsidP="008E20A4">
      <w:pPr>
        <w:pStyle w:val="Heading1"/>
        <w:spacing w:before="160"/>
      </w:pPr>
      <w:r w:rsidRPr="00386F72">
        <w:tab/>
        <w:t>Observations et propositions concernant le projet de méthode applicable au recouvrement des coûts pour le traitement des fiches de notification des réseaux à satellite (</w:t>
      </w:r>
      <w:hyperlink r:id="rId73" w:history="1">
        <w:r w:rsidRPr="00386F72">
          <w:rPr>
            <w:rStyle w:val="Hyperlink"/>
            <w:rFonts w:eastAsia="Times New Roman" w:cs="Times New Roman"/>
            <w:szCs w:val="20"/>
          </w:rPr>
          <w:t>Document C26/96</w:t>
        </w:r>
      </w:hyperlink>
      <w:r w:rsidRPr="00386F72">
        <w:t>)</w:t>
      </w:r>
    </w:p>
    <w:p w14:paraId="3F53DAA7" w14:textId="77777777" w:rsidR="008E20A4" w:rsidRPr="00386F72" w:rsidRDefault="008E20A4" w:rsidP="008E20A4">
      <w:pPr>
        <w:pStyle w:val="Heading1"/>
        <w:spacing w:before="160"/>
      </w:pPr>
      <w:r w:rsidRPr="00386F72">
        <w:tab/>
        <w:t>Améliorer le recouvrement des coûts pour le traitement des fiches de notification des réseaux à satellite et remédier aux retards de traitement accumulés par le Bureau des radiocommunications (</w:t>
      </w:r>
      <w:hyperlink r:id="rId74" w:history="1">
        <w:r w:rsidRPr="00386F72">
          <w:rPr>
            <w:rStyle w:val="Hyperlink"/>
            <w:rFonts w:eastAsia="Times New Roman" w:cs="Times New Roman"/>
            <w:szCs w:val="20"/>
          </w:rPr>
          <w:t>Document C26/98</w:t>
        </w:r>
      </w:hyperlink>
      <w:r w:rsidRPr="00386F72">
        <w:t>)</w:t>
      </w:r>
    </w:p>
    <w:p w14:paraId="0EF7FBCF" w14:textId="77777777" w:rsidR="008E20A4" w:rsidRPr="00386F72" w:rsidRDefault="008E20A4" w:rsidP="008E20A4">
      <w:pPr>
        <w:pStyle w:val="Heading1"/>
        <w:spacing w:before="160"/>
      </w:pPr>
      <w:r w:rsidRPr="00386F72">
        <w:tab/>
        <w:t>Amélioration du mécanisme de recouvrement des coûts pour le traitement des fiches de notification des réseaux à satellite (</w:t>
      </w:r>
      <w:hyperlink r:id="rId75" w:history="1">
        <w:r w:rsidRPr="00386F72">
          <w:rPr>
            <w:rStyle w:val="Hyperlink"/>
            <w:rFonts w:eastAsia="Times New Roman" w:cs="Times New Roman"/>
            <w:szCs w:val="20"/>
          </w:rPr>
          <w:t>Document C26/90</w:t>
        </w:r>
      </w:hyperlink>
      <w:r w:rsidRPr="00386F72">
        <w:t>)</w:t>
      </w:r>
    </w:p>
    <w:p w14:paraId="5A83DE15" w14:textId="4D693082" w:rsidR="008E20A4" w:rsidRPr="00386F72" w:rsidRDefault="008E20A4" w:rsidP="00412A88">
      <w:r w:rsidRPr="00386F72">
        <w:t>18.1</w:t>
      </w:r>
      <w:r w:rsidRPr="00386F72">
        <w:tab/>
        <w:t>Un représentant du Secrétariat général a présenté le Document C26/19, qui donne un aperçu de la méthode proposée pour le recouvrement des coûts associés au traitement des fiches de notification des réseaux à satellite. Il a expliqué que, à la suite des observations formulées par le GTC-FHR, il n'était plus envisagé de recourir à la méthode proposée d'ajustement à la hausse ou à la baisse, jugée trop complexe. Le Secrétariat général a proposé deux options pour réduire la portée du régime de franchise pour les États Membres: la première option consiste à limiter la franchise à la fiche de notification la moins onéreuse de l'année, tandis que la seconde option vise à limiter le bénéfice de la franchise aux PMA, aux petits États insulaires en développement (PEID), aux pays en développement sans littoral (PDSL) et aux pays dont l'économie est en transition. Enfin, l'orateur a présenté les coûts associés aux coûts directs, c'est-à-dire les coûts directement imputables au traitement des fiches de notification des réseaux à satellite, tels que les charges de personnel et les coûts des systèmes et des logiciels du BR, ainsi que certains coûts d'autres départements; et les coûts indirects, qui comprennent la gestion des installations, les ressources humaines, les activités de contrôle, la formation et le développement, ainsi que les passifs de l'assurance maladie après la cessation de service (ASHI).</w:t>
      </w:r>
    </w:p>
    <w:p w14:paraId="0FEBBA14" w14:textId="7CD3952C" w:rsidR="008E20A4" w:rsidRPr="00386F72" w:rsidRDefault="008E20A4" w:rsidP="00412A88">
      <w:r w:rsidRPr="00386F72">
        <w:t>18.2</w:t>
      </w:r>
      <w:r w:rsidRPr="00386F72">
        <w:tab/>
        <w:t>L</w:t>
      </w:r>
      <w:r w:rsidR="00D23DA6" w:rsidRPr="00386F72">
        <w:t>a</w:t>
      </w:r>
      <w:r w:rsidRPr="00386F72">
        <w:t xml:space="preserve"> conseill</w:t>
      </w:r>
      <w:r w:rsidR="00D23DA6" w:rsidRPr="00386F72">
        <w:t>ère</w:t>
      </w:r>
      <w:r w:rsidRPr="00386F72">
        <w:t xml:space="preserve"> de l'Argentine a présenté la contribution figurant dans le Document C26/84, qui contient une analyse des coûts directs et des coûts indirects associés à l'application de la Décision 482 (C01, dernière mod. C25) du Conseil relative à la mise en œuvre du recouvrement des coûts pour le traitement des fiches de notification des réseaux à satellite, et a proposé de mettre en place un cadre clair et de plafonner les coûts indirects à 30% du total des coûts directs.</w:t>
      </w:r>
    </w:p>
    <w:p w14:paraId="614E3AB3" w14:textId="38E69A96" w:rsidR="008E20A4" w:rsidRPr="00386F72" w:rsidRDefault="008E20A4" w:rsidP="00412A88">
      <w:r w:rsidRPr="00386F72">
        <w:t>18.3</w:t>
      </w:r>
      <w:r w:rsidRPr="00386F72">
        <w:tab/>
        <w:t>L</w:t>
      </w:r>
      <w:r w:rsidR="00D23DA6" w:rsidRPr="00386F72">
        <w:t>a</w:t>
      </w:r>
      <w:r w:rsidRPr="00386F72">
        <w:t xml:space="preserve"> conseill</w:t>
      </w:r>
      <w:r w:rsidR="00D23DA6" w:rsidRPr="00386F72">
        <w:t>ère</w:t>
      </w:r>
      <w:r w:rsidRPr="00386F72">
        <w:t xml:space="preserve"> des États-Unis a présenté la contribution figurant dans le Document C26/96, qui contient des observations et des propositions sur le projet de méthode pour le recouvrement des coûts associés aux fiches de notification des réseaux à satellite. Le traitement des fiches de notification des réseaux à satellite et l'inscription des assignations de fréquence sont les activités statutaires principales du BR; il conviendrait donc de recouvrer un niveau approprié des coûts directs et indirects encourus. Toutefois, </w:t>
      </w:r>
      <w:r w:rsidRPr="00386F72">
        <w:lastRenderedPageBreak/>
        <w:t>avant de pouvoir convenir d'une quelconque méthode de recouvrement des coûts, il faut clarifier la portée prévue du "recouvrement intégral des coûts" dans la Résolution 91 (Rév. Guadalajara, 2010) de la Conférence de plénipotentiaires. De même, il est nécessaire d'examiner plus avant ce que l'on entend par coûts indirects.</w:t>
      </w:r>
    </w:p>
    <w:p w14:paraId="112ED007" w14:textId="77777777" w:rsidR="008E20A4" w:rsidRPr="00386F72" w:rsidRDefault="008E20A4" w:rsidP="00412A88">
      <w:r w:rsidRPr="00386F72">
        <w:t>18.4</w:t>
      </w:r>
      <w:r w:rsidRPr="00386F72">
        <w:tab/>
        <w:t>Le conseiller de l'Arabie saoudite a présenté la contribution soumise par plusieurs pays (Document C26/98), avec l'appui de cinq pays, qui contient plusieurs propositions visant à améliorer le recouvrement des coûts associés aux fiches de notification des réseaux à satellite et à remédier aux retards de traitement accumulés par le BR.</w:t>
      </w:r>
    </w:p>
    <w:p w14:paraId="4BEF5EB4" w14:textId="4542EF85" w:rsidR="008E20A4" w:rsidRPr="00386F72" w:rsidRDefault="008E20A4" w:rsidP="00412A88">
      <w:r w:rsidRPr="00386F72">
        <w:t>18.5</w:t>
      </w:r>
      <w:r w:rsidRPr="00386F72">
        <w:tab/>
        <w:t>Après avoir reçu l'appui d'un</w:t>
      </w:r>
      <w:r w:rsidR="00D23DA6" w:rsidRPr="00386F72">
        <w:t>e</w:t>
      </w:r>
      <w:r w:rsidRPr="00386F72">
        <w:t xml:space="preserve"> conseill</w:t>
      </w:r>
      <w:r w:rsidR="00D23DA6" w:rsidRPr="00386F72">
        <w:t>ère</w:t>
      </w:r>
      <w:r w:rsidRPr="00386F72">
        <w:t>, l'observat</w:t>
      </w:r>
      <w:r w:rsidR="00D23DA6" w:rsidRPr="00386F72">
        <w:t>rice</w:t>
      </w:r>
      <w:r w:rsidRPr="00386F72">
        <w:t xml:space="preserve"> de la Fédération de Russie a présenté la contribution multipays figurant dans le Document C26/90, au nom de trois pays ayant le statut d'observateur. Dans ce document, il est proposé de réviser le mécanisme de recouvrement des coûts afin d'exclure des droits perçus par les opérateurs de satellites les coûts indirects liés au traitement des fiches de notification des réseaux à satellite, qui devraient plutôt être financés sur le budget ordinaire.</w:t>
      </w:r>
    </w:p>
    <w:p w14:paraId="39110824" w14:textId="258C24E6" w:rsidR="008E20A4" w:rsidRPr="00386F72" w:rsidRDefault="008E20A4" w:rsidP="00412A88">
      <w:r w:rsidRPr="00386F72">
        <w:t>18.6</w:t>
      </w:r>
      <w:r w:rsidRPr="00386F72">
        <w:tab/>
        <w:t>Plusieurs conseillers ont accueilli favorablement la méthode de recouvrement des coûts proposée par le Secrétariat, y compris le modèle d'établissement des coûts par activité, y voyant une avancée importante vers plus de transparence, de viabilité et d'équité. Les participants se sont félicités des efforts déployés pour répondre aux préoccupations des membres du GTC-FHR et établir des distinctions claires entre coûts directs et coûts indirects. Il a été relevé que, dans le cadre du système actuel, tous les coûts ne sont pas entièrement recouvrés, ce qui laisse supposer l'existence d'une certaine forme de subvention cachée provenant du budget ordinaire. Certains conseillers ont souligné la nécessité d'adopter une approche équilibrée en matière de recouvrement des coûts, afin d'éviter d'imposer une charge disproportionnée aux pays en développement ou de créer des barrières à l'entrée. Un</w:t>
      </w:r>
      <w:r w:rsidR="00D23DA6" w:rsidRPr="00386F72">
        <w:t>e</w:t>
      </w:r>
      <w:r w:rsidRPr="00386F72">
        <w:t xml:space="preserve"> conseill</w:t>
      </w:r>
      <w:r w:rsidR="00D23DA6" w:rsidRPr="00386F72">
        <w:t>ère</w:t>
      </w:r>
      <w:r w:rsidRPr="00386F72">
        <w:t xml:space="preserve"> a mis l'accent sur l'importance de la prévisibilité et de la stabilité des droits et la nécessité d'adopter des approches différenciées en ce qui concerne les projets de satellites OSG et non OSG. </w:t>
      </w:r>
      <w:r w:rsidR="00D23DA6" w:rsidRPr="00386F72">
        <w:t xml:space="preserve">Des </w:t>
      </w:r>
      <w:r w:rsidRPr="00386F72">
        <w:t>conseill</w:t>
      </w:r>
      <w:r w:rsidR="00D23DA6" w:rsidRPr="00386F72">
        <w:t>ères</w:t>
      </w:r>
      <w:r w:rsidRPr="00386F72">
        <w:t xml:space="preserve"> ont considéré qu'il était raisonnable d'estimer que les coûts indirects représentent 23,7% du total des coûts; un autre conseiller s'est demandé si une valeur inférieure avait été considérée.</w:t>
      </w:r>
    </w:p>
    <w:p w14:paraId="5D72245E" w14:textId="77777777" w:rsidR="008E20A4" w:rsidRPr="00386F72" w:rsidRDefault="008E20A4" w:rsidP="00412A88">
      <w:r w:rsidRPr="00386F72">
        <w:t>18.7</w:t>
      </w:r>
      <w:r w:rsidRPr="00386F72">
        <w:tab/>
        <w:t>Plusieurs conseillers ont attiré l'attention sur le principe du recouvrement intégral des coûts énoncé dans la Résolution 91 (Rév. Guadalajara, 2010) de la Conférence de plénipotentiaires. Certains conseillers se sont prononcés en faveur de l'inclusion, dans ces coûts, des coûts directs et des coûts indirects associés au traitement des fiches de notification des réseaux à satellite. D'autres conseillers et un observateur ont rappelé que les débats du GTC-FHR ont permis de mettre en évidence des interprétations différentes de la Résolution 91 (Rév. Guadalajara, 2010) et du régime de recouvrement des coûts. Il est donc prématuré d'envisager d'approuver la méthode proposée par le Secrétariat. L'approche logique consiste à attendre les discussions et les résultats de la Conférence de plénipotentiaires, qui pourraient inclure une modification de la Résolution 91 (Rév. Guadalajara, 2010), et à poursuivre les délibérations sur ce sujet au sein du GTC-FHR d'ici à la session de 2027 du Conseil.</w:t>
      </w:r>
    </w:p>
    <w:p w14:paraId="7EEA1B70" w14:textId="380F6C84" w:rsidR="008E20A4" w:rsidRPr="00386F72" w:rsidRDefault="008E20A4" w:rsidP="00412A88">
      <w:r w:rsidRPr="00386F72">
        <w:t>18.8</w:t>
      </w:r>
      <w:r w:rsidRPr="00386F72">
        <w:tab/>
        <w:t xml:space="preserve">S'agissant des franchises, plusieurs conseillers ont souligné que le régime constitue un élément essentiel du système et que tous les États Membres ont le même droit de bénéficier d'un niveau adéquat de produits ou de services gratuits. Certains conseillers ont fait part de leurs inquiétudes concernant l'utilisation abusive ou le détournement du régime, les </w:t>
      </w:r>
      <w:r w:rsidRPr="00386F72">
        <w:lastRenderedPageBreak/>
        <w:t>inégalités dans son application et la possibilité de subventions cachées en faveur des entités les plus puissantes. Certains conseillers ont souligné que, sous sa forme actuelle, le régime ne répond pas de manière adéquate aux besoins des pays en développement et n'est pas conforme à l'esprit et à l'intention de la Résolution 91 (Rév. Guadalajara, 2010). Plusieurs conseillers se sont prononcés en faveur de la révision de la Décision 482 (C01, dernière mod. C25); un</w:t>
      </w:r>
      <w:r w:rsidR="00D23DA6" w:rsidRPr="00386F72">
        <w:t>e</w:t>
      </w:r>
      <w:r w:rsidRPr="00386F72">
        <w:t xml:space="preserve"> conseill</w:t>
      </w:r>
      <w:r w:rsidR="00D23DA6" w:rsidRPr="00386F72">
        <w:t>ère</w:t>
      </w:r>
      <w:r w:rsidRPr="00386F72">
        <w:t xml:space="preserve"> a fait remarquer que les modifications les plus récentes, par lesquelles certaines catégories ont été exclues du bénéfice de la franchise, ne sont entrées en vigueur qu'en janvier 2026. Il faut du temps pour mettre en œuvre ces modifications avant d'en apporter d'autres. Certains conseillers se sont opposés à toute modification structurelle ou restriction concernant les franchises. Deux conseill</w:t>
      </w:r>
      <w:r w:rsidR="00D23DA6" w:rsidRPr="00386F72">
        <w:t>ère</w:t>
      </w:r>
      <w:r w:rsidRPr="00386F72">
        <w:t>s ont souligné que les coûts des franchises ne devraient pas être inclus dans les efforts de recouvrement des coûts.</w:t>
      </w:r>
    </w:p>
    <w:p w14:paraId="762B8A1A" w14:textId="66C9845D" w:rsidR="008E20A4" w:rsidRPr="00386F72" w:rsidRDefault="008E20A4" w:rsidP="00412A88">
      <w:r w:rsidRPr="00386F72">
        <w:t>18.9</w:t>
      </w:r>
      <w:r w:rsidRPr="00386F72">
        <w:tab/>
        <w:t>Deux conseillers ont demandé des précisions sur la manière dont les deux options proposées par le Secrétariat pour réformer le régime de franchise de droits intègrent les principes d'égalité d'accès et d'équité, tiennent compte des aspects financiers et technologiques et évitent les utilisations abusives du système. Un conseiller a appuyé la première option, qui consiste à limiter la franchise de droits annuelle des fiches de notification à la fiche la moins onéreuse; deux conseillers ont préféré la seconde option, qui vise à limiter le bénéfice de la franchise aux PMA, aux PEID, aux PDSL et aux pays dont l'économie est en transition. Certains conseillers ont estimé qu'aucune de ces deux options n'était viable. D'autres solutions pourraient être envisagées, par exemple l'application d'une limite maximale pour les fiches de notification bénéficiant de la franchise de droits et la réduction de la fréquence des notifications traitées en franchise de droits. Certains conseillers ont déclaré qu'il était nécessaire d'attendre les résultats de la Conférence de plénipotentiaires de 2026</w:t>
      </w:r>
      <w:r w:rsidR="00463012" w:rsidRPr="00386F72">
        <w:t xml:space="preserve"> (PP-26)</w:t>
      </w:r>
      <w:r w:rsidRPr="00386F72">
        <w:t>. Les travaux sur la question pourraient se poursuivre au sein du GTC-FHR.</w:t>
      </w:r>
    </w:p>
    <w:p w14:paraId="7F5DEF5E" w14:textId="446CFC82" w:rsidR="008E20A4" w:rsidRPr="00386F72" w:rsidRDefault="008E20A4" w:rsidP="00412A88">
      <w:pPr>
        <w:tabs>
          <w:tab w:val="clear" w:pos="567"/>
          <w:tab w:val="left" w:pos="709"/>
        </w:tabs>
      </w:pPr>
      <w:r w:rsidRPr="00386F72">
        <w:t>18.10</w:t>
      </w:r>
      <w:r w:rsidRPr="00386F72">
        <w:tab/>
        <w:t>S'agissant des contributions soumises par plusieurs pays, certains conseillers se sont félicités de la contribution de l'Argentine, mais ont estimé qu'il était nécessaire de poursuivre l'étude du plafonnement proposé pour les coûts indirects. Un conseiller s'est opposé à l'introduction d'un plafond en l'état actuel; il conviendrait de s'attacher en priorité à élaborer et à approuver une méthode de recouvrement des coûts. Deux conseillers ont souscrit aux principales conclusions figurant dans le document présenté par l'Arabie saoudite. Certains conseillers et un observateur ont appuyé la contribution des États-Unis, y compris la proposition visant à exclure les passifs de l'ASHI des coûts indirects; un</w:t>
      </w:r>
      <w:r w:rsidR="00D23DA6" w:rsidRPr="00386F72">
        <w:t>e</w:t>
      </w:r>
      <w:r w:rsidRPr="00386F72">
        <w:t xml:space="preserve"> autre conseill</w:t>
      </w:r>
      <w:r w:rsidR="00D23DA6" w:rsidRPr="00386F72">
        <w:t>ère</w:t>
      </w:r>
      <w:r w:rsidRPr="00386F72">
        <w:t xml:space="preserve"> a souligné que toutes les charges de personnel du BR, y compris les passifs de l'ASHI, devraient être inclus dans les calculs. Deux conseillers, se référant à la contribution présentée par l'observateur de la Fédération de Russie, ont exprimé leur opposition à la proposition visant à transférer les coûts indirects vers le budget ordinaire, même si l'un d'eux a reconnu qu'un rapport complet sur le financement du BR au cours du cycle quadriennal précédent serait utile.</w:t>
      </w:r>
    </w:p>
    <w:p w14:paraId="51B4E6F4" w14:textId="77777777" w:rsidR="008E20A4" w:rsidRPr="00386F72" w:rsidRDefault="008E20A4" w:rsidP="00412A88">
      <w:pPr>
        <w:tabs>
          <w:tab w:val="clear" w:pos="567"/>
          <w:tab w:val="left" w:pos="709"/>
        </w:tabs>
      </w:pPr>
      <w:r w:rsidRPr="00386F72">
        <w:t>18.11</w:t>
      </w:r>
      <w:r w:rsidRPr="00386F72">
        <w:tab/>
        <w:t xml:space="preserve">Un représentant du Secrétariat général a fait observer qu'il semblait y avoir un consensus général sur la méthode, même si celle-ci devait encore être affinée. En réponse à des observations et questions précises, l'orateur a expliqué que toutes les charges de personnel du BR, telles que les charges de retraite et d'assurance maladie, avaient été prises en compte dans les calculs. Le coût indirect des passifs de l'ASHI, par exemple, a été calculé sur la base du nombre de fonctionnaires affectés au traitement des fiches de notification de </w:t>
      </w:r>
      <w:r w:rsidRPr="00386F72">
        <w:lastRenderedPageBreak/>
        <w:t>réseaux à satellite par rapport au nombre total de fonctionnaires de l'Union. En ce qui concerne la proposition de l'Argentine, il serait utile de connaître le modèle utilisé pour calculer le plafond de 30% proposé pour les coûts indirects, même s'il semble raisonnable et conforme au critère fixé dans le Document C26/19. S'agissant du calcul des coûts associés au Département des services informatiques, l'orateur a précisé que les coûts directs comprennent les activités spécifiquement liées au traitement des fiches de notification des réseaux à satellite, tandis que les coûts indirects sont basés sur le nombre de fonctionnaires affectés au traitement des fiches de notification des réseaux à satellite par rapport à l'effectif total de l'UIT, ce qui reflète l'utilisation générale de l'infrastructure informatique par l'ensemble du personnel de l'Union. Des informations relatives à la mise en œuvre des recommandations du CCI concernant les coûts directs et les coûts indirects seront fournies lors des discussions qui auront lieu par la suite.</w:t>
      </w:r>
    </w:p>
    <w:p w14:paraId="240CF795" w14:textId="7479F544" w:rsidR="008E20A4" w:rsidRPr="00386F72" w:rsidRDefault="008E20A4" w:rsidP="00412A88">
      <w:r w:rsidRPr="00386F72">
        <w:t>18.12</w:t>
      </w:r>
      <w:r w:rsidRPr="00386F72">
        <w:tab/>
        <w:t>À la suite de nouvelles observations formulées par des conseillers sur la marche à suivre, le Vice-Secrétaire général a suggéré de charger le GTC-FHR d'examiner plus avant les principaux points de désaccord, à savoir le calcul des coûts indirects et une modification éventuelle du régime de franchise, compte tenu des délibérations et des résultats de la</w:t>
      </w:r>
      <w:r w:rsidR="00351222" w:rsidRPr="00386F72">
        <w:t> </w:t>
      </w:r>
      <w:r w:rsidR="00463012" w:rsidRPr="00386F72">
        <w:t>PP</w:t>
      </w:r>
      <w:r w:rsidR="00351222" w:rsidRPr="00386F72">
        <w:noBreakHyphen/>
      </w:r>
      <w:r w:rsidR="00463012" w:rsidRPr="00386F72">
        <w:t>26</w:t>
      </w:r>
      <w:r w:rsidRPr="00386F72">
        <w:t>, y compris d'éventuelles modifications apportées à la Résolution 91 (Rév.</w:t>
      </w:r>
      <w:r w:rsidR="00351222" w:rsidRPr="00386F72">
        <w:t> </w:t>
      </w:r>
      <w:r w:rsidRPr="00386F72">
        <w:t>Guadalajara, 2010).</w:t>
      </w:r>
    </w:p>
    <w:p w14:paraId="2082D9E9" w14:textId="77777777" w:rsidR="008E20A4" w:rsidRPr="00386F72" w:rsidRDefault="008E20A4" w:rsidP="00412A88">
      <w:pPr>
        <w:tabs>
          <w:tab w:val="clear" w:pos="567"/>
          <w:tab w:val="left" w:pos="709"/>
        </w:tabs>
        <w:spacing w:after="120"/>
      </w:pPr>
      <w:r w:rsidRPr="00386F72">
        <w:t>18.13</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8E20A4" w:rsidRPr="00386F72" w14:paraId="11E93A68" w14:textId="77777777" w:rsidTr="00051420">
        <w:tc>
          <w:tcPr>
            <w:tcW w:w="9214" w:type="dxa"/>
          </w:tcPr>
          <w:p w14:paraId="56EE7DC2" w14:textId="77777777" w:rsidR="008E20A4" w:rsidRPr="00386F72" w:rsidRDefault="008E20A4" w:rsidP="00051420">
            <w:pPr>
              <w:tabs>
                <w:tab w:val="clear" w:pos="567"/>
                <w:tab w:val="left" w:pos="745"/>
              </w:tabs>
              <w:spacing w:after="120" w:line="259" w:lineRule="auto"/>
              <w:ind w:left="41"/>
            </w:pPr>
            <w:r w:rsidRPr="00386F72">
              <w:t>18.14</w:t>
            </w:r>
            <w:r w:rsidRPr="00386F72">
              <w:tab/>
              <w:t>La commission recommande au Conseil:</w:t>
            </w:r>
          </w:p>
          <w:p w14:paraId="7DA72FFF" w14:textId="286B55BA" w:rsidR="008E20A4" w:rsidRPr="00386F72" w:rsidRDefault="008E20A4" w:rsidP="00F77BEB">
            <w:pPr>
              <w:pStyle w:val="enumlev1"/>
              <w:tabs>
                <w:tab w:val="clear" w:pos="567"/>
              </w:tabs>
              <w:spacing w:after="120"/>
              <w:ind w:left="750" w:hanging="709"/>
            </w:pPr>
            <w:r w:rsidRPr="00386F72">
              <w:t>•</w:t>
            </w:r>
            <w:r w:rsidRPr="00386F72">
              <w:tab/>
            </w:r>
            <w:r w:rsidR="00F77BEB">
              <w:t xml:space="preserve">de demander au GTC-FHR </w:t>
            </w:r>
            <w:r w:rsidRPr="00386F72">
              <w:t xml:space="preserve">d'examiner les observations et propositions formulées dans les contributions figurant dans les </w:t>
            </w:r>
            <w:hyperlink r:id="rId76" w:history="1">
              <w:r w:rsidRPr="00386F72">
                <w:rPr>
                  <w:rStyle w:val="Hyperlink"/>
                </w:rPr>
                <w:t>Documents C26/84</w:t>
              </w:r>
            </w:hyperlink>
            <w:r w:rsidRPr="00386F72">
              <w:t xml:space="preserve">, </w:t>
            </w:r>
            <w:hyperlink r:id="rId77" w:history="1">
              <w:r w:rsidRPr="00386F72">
                <w:rPr>
                  <w:rStyle w:val="Hyperlink"/>
                </w:rPr>
                <w:t>C26/96</w:t>
              </w:r>
            </w:hyperlink>
            <w:r w:rsidRPr="00386F72">
              <w:t xml:space="preserve">, </w:t>
            </w:r>
            <w:hyperlink r:id="rId78" w:history="1">
              <w:r w:rsidRPr="00386F72">
                <w:rPr>
                  <w:rStyle w:val="Hyperlink"/>
                </w:rPr>
                <w:t>C26/98</w:t>
              </w:r>
            </w:hyperlink>
            <w:r w:rsidRPr="00386F72">
              <w:t xml:space="preserve"> et</w:t>
            </w:r>
            <w:r w:rsidR="00F77BEB">
              <w:t> </w:t>
            </w:r>
            <w:hyperlink r:id="rId79" w:history="1">
              <w:r w:rsidRPr="00386F72">
                <w:rPr>
                  <w:rStyle w:val="Hyperlink"/>
                </w:rPr>
                <w:t>C26/90</w:t>
              </w:r>
            </w:hyperlink>
            <w:r w:rsidRPr="00386F72">
              <w:t xml:space="preserve"> et</w:t>
            </w:r>
            <w:r w:rsidR="00F77BEB">
              <w:t xml:space="preserve"> </w:t>
            </w:r>
            <w:r w:rsidRPr="00386F72">
              <w:t>de poursuivre ses délibérations sur le calcul des coûts indirects et la modification éventuelle du régime de franchise, en tenant compte des délibérations et des résultats de la Conférence de plénipotentiaires (Doha, 2026), y compris d'éventuelles modifications apportées à la Résolution 91 (Rév. Guadalajara, 2010).</w:t>
            </w:r>
          </w:p>
        </w:tc>
      </w:tr>
    </w:tbl>
    <w:p w14:paraId="3DD3DB94" w14:textId="131FE514" w:rsidR="00483A60" w:rsidRPr="00386F72" w:rsidRDefault="00483A60" w:rsidP="00483A60">
      <w:pPr>
        <w:pStyle w:val="Heading1"/>
      </w:pPr>
      <w:r w:rsidRPr="00386F72">
        <w:t>19</w:t>
      </w:r>
      <w:r w:rsidRPr="00386F72">
        <w:tab/>
        <w:t>Affectation des économies réalisées en 2025 (</w:t>
      </w:r>
      <w:hyperlink r:id="rId80" w:history="1">
        <w:r w:rsidRPr="00D5680F">
          <w:rPr>
            <w:rStyle w:val="Hyperlink"/>
            <w:rFonts w:eastAsia="Times New Roman" w:cs="Times New Roman"/>
            <w:szCs w:val="20"/>
          </w:rPr>
          <w:t>Document</w:t>
        </w:r>
        <w:r w:rsidR="0040453F" w:rsidRPr="00D5680F">
          <w:rPr>
            <w:rStyle w:val="Hyperlink"/>
            <w:rFonts w:eastAsia="Times New Roman" w:cs="Times New Roman"/>
            <w:szCs w:val="20"/>
          </w:rPr>
          <w:t>s</w:t>
        </w:r>
        <w:r w:rsidRPr="00D5680F">
          <w:rPr>
            <w:rStyle w:val="Hyperlink"/>
            <w:rFonts w:eastAsia="Times New Roman" w:cs="Times New Roman"/>
            <w:szCs w:val="20"/>
          </w:rPr>
          <w:t xml:space="preserve"> C26/42(Rév.1)</w:t>
        </w:r>
      </w:hyperlink>
      <w:r w:rsidR="0040453F" w:rsidRPr="005C6A26">
        <w:t xml:space="preserve"> et </w:t>
      </w:r>
      <w:hyperlink r:id="rId81" w:history="1">
        <w:r w:rsidR="0040453F" w:rsidRPr="005C6A26">
          <w:rPr>
            <w:rStyle w:val="Hyperlink"/>
            <w:rFonts w:eastAsia="Times New Roman" w:cs="Times New Roman"/>
            <w:szCs w:val="20"/>
          </w:rPr>
          <w:t>C26/42</w:t>
        </w:r>
        <w:r w:rsidR="00D5680F" w:rsidRPr="005C6A26">
          <w:rPr>
            <w:rStyle w:val="Hyperlink"/>
            <w:rFonts w:eastAsia="Times New Roman" w:cs="Times New Roman"/>
            <w:szCs w:val="20"/>
          </w:rPr>
          <w:t>(</w:t>
        </w:r>
        <w:r w:rsidR="0040453F" w:rsidRPr="005C6A26">
          <w:rPr>
            <w:rStyle w:val="Hyperlink"/>
            <w:rFonts w:eastAsia="Times New Roman" w:cs="Times New Roman"/>
            <w:szCs w:val="20"/>
          </w:rPr>
          <w:t>R</w:t>
        </w:r>
        <w:r w:rsidR="00D5680F" w:rsidRPr="005C6A26">
          <w:rPr>
            <w:rStyle w:val="Hyperlink"/>
            <w:rFonts w:eastAsia="Times New Roman" w:cs="Times New Roman"/>
            <w:szCs w:val="20"/>
          </w:rPr>
          <w:t>é</w:t>
        </w:r>
        <w:r w:rsidR="0040453F" w:rsidRPr="005C6A26">
          <w:rPr>
            <w:rStyle w:val="Hyperlink"/>
            <w:rFonts w:eastAsia="Times New Roman" w:cs="Times New Roman"/>
            <w:szCs w:val="20"/>
          </w:rPr>
          <w:t>v.2</w:t>
        </w:r>
        <w:r w:rsidR="00D5680F" w:rsidRPr="005C6A26">
          <w:rPr>
            <w:rStyle w:val="Hyperlink"/>
            <w:rFonts w:eastAsia="Times New Roman" w:cs="Times New Roman"/>
            <w:szCs w:val="20"/>
          </w:rPr>
          <w:t>)</w:t>
        </w:r>
      </w:hyperlink>
      <w:r w:rsidRPr="00386F72">
        <w:t>)</w:t>
      </w:r>
    </w:p>
    <w:p w14:paraId="039B8380" w14:textId="6653B2EF" w:rsidR="00483A60" w:rsidRPr="00386F72" w:rsidRDefault="00483A60" w:rsidP="00483A60">
      <w:r w:rsidRPr="00386F72">
        <w:t>19.1</w:t>
      </w:r>
      <w:r w:rsidRPr="00386F72">
        <w:tab/>
        <w:t>Le Chef du Département FRMD a présenté le Document C26/42(Rév.1) et a indiqué que des économies de 11,44 millions CHF avaient été réalisées en 2025. Conformément à une proposition de la Secrétaire générale, il a été demandé au Conseil de confirmer l'affectation d'un montant de 559 800 CHF au FDTIC et de 1,2 million CHF au Fonds pour le Programme des jeunes professionnels (YPP) et d'autoriser l'utilisation des 10,24 millions CHF restants pour financer d'autres activités particulières non prévues par le budget ordinaire approuvé, comme indiqué dans le Tableau 1 du document.</w:t>
      </w:r>
    </w:p>
    <w:p w14:paraId="00108AF6" w14:textId="77777777" w:rsidR="00483A60" w:rsidRPr="00386F72" w:rsidRDefault="00483A60" w:rsidP="00483A60">
      <w:r w:rsidRPr="00386F72">
        <w:t>19.2</w:t>
      </w:r>
      <w:r w:rsidRPr="00386F72">
        <w:tab/>
        <w:t xml:space="preserve">Des conseillers ont salué les économies réalisées, félicité le Secrétariat pour sa gestion financière prudente et souligné qu'il importait d'utiliser efficacement les économies conformément aux priorités convenues de l'Union. Étant donné qu'elles étaient, pour la plupart, non récurrentes par nature, elles devraient idéalement être affectées à des priorités stratégiques ponctuelles, plutôt que d'être incluses dans le budget ordinaire de base. Un conseiller, soulignant la nécessité de distinguer clairement les économies dues aux mesures </w:t>
      </w:r>
      <w:r w:rsidRPr="00386F72">
        <w:lastRenderedPageBreak/>
        <w:t>d'efficacité, les recettes comptables récurrentes et les économies liées au calendrier, a demandé quelle proportion des économies totales représentait de véritables gains d'efficacité structurels. Des économies ponctuelles pourraient être utiles à court terme, mais ne devraient pas devenir le principal moyen de financement des activités en cours relevant du mandat. Un autre conseiller a estimé que les économies réalisées résultaient principalement du report des recrutements et de la mise en œuvre, qui ont créé des contraintes pour un certain nombre d'activités essentielles. À l'avenir, des gains d'efficacité devraient être réalisés grâce aux initiatives en cours, telles que la restructuration interne, la transformation numérique et les activités liées au processus de transformation de l'UIT. Le Secrétariat devrait étudier les moyens d'accroître les flux de recettes et rechercher des solutions ciblées de réduction des dépenses. Un observateur, s'interrogeant sur l'approche globale de l'affectation des économies, qui devenait une activité courante, a suggéré d'étudier les bonnes pratiques pertinentes de l'ensemble du système des Nations Unies. L'établissement de priorités dans la répartition des économies contribuerait à renforcer la stabilité financière de l'Union.</w:t>
      </w:r>
    </w:p>
    <w:p w14:paraId="15AFC175" w14:textId="77777777" w:rsidR="00483A60" w:rsidRPr="00386F72" w:rsidRDefault="00483A60" w:rsidP="00483A60">
      <w:r w:rsidRPr="00386F72">
        <w:t>19.3</w:t>
      </w:r>
      <w:r w:rsidRPr="00386F72">
        <w:tab/>
        <w:t>Une conseillère, signalant une contradiction manifeste entre les chiffres donnés pour l'excédent budgétaire total dans divers documents soumis au Conseil, a demandé des éclaircissements sur le montant exact. Un autre conseiller a fait observer que la somme des allocations semblait dépasser de 550 000 CHF le montant total des économies. Une troisième conseillère a demandé pourquoi il existait une telle différence entre la version initiale du Document C26/42 et la Révision 1 dudit document.</w:t>
      </w:r>
    </w:p>
    <w:p w14:paraId="129D60ED" w14:textId="3E575FED" w:rsidR="00483A60" w:rsidRPr="00386F72" w:rsidRDefault="00483A60" w:rsidP="00F77BEB">
      <w:r w:rsidRPr="00386F72">
        <w:t>19.4</w:t>
      </w:r>
      <w:r w:rsidRPr="00386F72">
        <w:tab/>
        <w:t>Les propositions visant à affecter certaines économies à la résorption du retard pris dans le traitement des fiches de notification de réseaux à satellite, qui avait des incidences opérationnelles, réglementaires et financières et appelait une réponse prioritaire, et à moderniser les logiciels et les systèmes du BR étaient particulièrement bienvenues. La résorption de ce retard aurait une incidence directe sur la bonne mise en œuvre des mécanismes de recouvrement des coûts, améliorant ainsi la stabilité financière du système dans son ensemble. Si la proposition visant à affecter une partie des économies à la résolution du problème avec un appui supplémentaire en personnel à court terme a été accueillie favorablement, la nature persistante du problème indiquait qu'une approche plus structurée était également nécessaire. La modernisation des logiciels pertinents du BR contribuerait dans une certaine mesure à remédier à la situation, en garantissant des solutions durables pour renforcer la capacité opérationnelle de l'Union à long terme. Une conseillère a demandé comment le Secrétariat envisageait de fournir un appui financier ciblé pour remédier à la pénurie de personnel au BR. Plusieurs conseillers ont demandé quand les temps de traitement des fiches de notification de réseaux à satellite devraient revenir à la normale. D'autres souhaitaient avoir l'assurance que l'affectation proposée serait suffisante pour résoudre définitivement le problème et se sont dit préoccupés par l'idée de subventionner dans la pratique une activité assujettie au recouvrement intégral des coûts. Rappelant les débats approfondis du Conseil sur la même question en 2025 et sa décision d'allouer 500 000 CHF à la modernisation des systèmes du BR, une conseillère a également demandé quelle était la part des attributions proposées pour résorber le retard pris dans le traitement des fiches de notification de réseaux à satellite et moderniser les systèmes essentiels de traitement de ces fiches de notification.</w:t>
      </w:r>
    </w:p>
    <w:p w14:paraId="3A9C26CE" w14:textId="77777777" w:rsidR="00483A60" w:rsidRPr="00386F72" w:rsidRDefault="00483A60" w:rsidP="00F77BEB">
      <w:pPr>
        <w:keepLines/>
      </w:pPr>
      <w:r w:rsidRPr="00386F72">
        <w:lastRenderedPageBreak/>
        <w:t>19.5</w:t>
      </w:r>
      <w:r w:rsidRPr="00386F72">
        <w:tab/>
        <w:t>Plusieurs conseillers ont souligné que les économies devraient être utilisées pour produire des effets concrets au profit des pays en développement, tout en préservant la transparence, la responsabilité et la viabilité financière. Plusieurs conseillers ont appuyé tout particulièrement la proposition visant à affecter une partie des économies réalisées à la mise en œuvre des initiatives régionales adoptées par la CMDT-25. Un autre conseiller a souscrit en particulier à l'affectation proposée de 1,5 million CHF pour la continuité des activités au siège, afin que l'Union puisse poursuivre ses activités opérationnelles et statutaires.</w:t>
      </w:r>
    </w:p>
    <w:p w14:paraId="3525EBA9" w14:textId="37A44422" w:rsidR="00B837FD" w:rsidRPr="00386F72" w:rsidRDefault="00B837FD" w:rsidP="00B837FD">
      <w:r w:rsidRPr="00386F72">
        <w:t>19.6</w:t>
      </w:r>
      <w:r w:rsidRPr="00386F72">
        <w:tab/>
        <w:t>Un conseiller a demandé si les 6 millions CHF initialement alloués au programme de départ volontaire ont été entièrement utilisés, si les 42 postes devenus vacants à la suite de l'exécution du programme ont été pourvus par des recrutements externes, ce qui va à l'encontre des objectifs du dispositif, et si les fonds affectés au départ volontaire pourraient être utilisés pour permettre au personnel concerné de suivre une reconversion en vue de trouver un emploi ailleurs. Une autre conseillère a demandé si l'enveloppe proposée de 2,5 millions CHF pour les cessations de service par accord mutuel venait s'ajouter aux 6 millions CHF précédents, et quels Secteurs seraient concernés par ces nouvelles vagues de départs. Un observateur s'est enquis du nombre de postes qui risquaient d'être supprimés dans le cadre des cessations de service par accord mutuel et des nouveaux postes qui seraient créés.</w:t>
      </w:r>
    </w:p>
    <w:p w14:paraId="0ACE8AF7" w14:textId="77777777" w:rsidR="00B837FD" w:rsidRPr="00386F72" w:rsidRDefault="00B837FD" w:rsidP="00B837FD">
      <w:r w:rsidRPr="00386F72">
        <w:t>19.7</w:t>
      </w:r>
      <w:r w:rsidRPr="00386F72">
        <w:tab/>
        <w:t>Un conseiller a demandé si l'enveloppe proposée de 1,44 million CHF pour la modernisation des systèmes institutionnels serait utilisée pour les activités liées au projet de site web de l'UIT, rappelant les préoccupations exprimées lors des discussions sur d'autres points de l'ordre du jour selon lesquelles les ressources pour le processus de transformation de l'UIT devraient provenir uniquement du budget ordinaire, et non des économies réalisées. Une autre conseillère a demandé des précisions sur la manière dont les dotations proposées pour la modernisation des systèmes institutionnels et les initiatives d'IA seraient dépensées et s'il y aurait un chevauchement d'activités. Une troisième conseillère a souligné qu'il existe un risque de chevauchement similaire entre les activités visant à moderniser le système ERP et celles destinées à appuyer la modernisation des logiciels du BR relatifs aux services spatiaux, ces deux initiatives supposant la conduite de travaux en vue du passage au nuage et de la mise en place systématique d'outils d'IA. Plusieurs conseillers ont exprimé leur soutien à la proposition visant à allouer un million CHF à des initiatives relatives à l'IA, ce qui permettrait à l'Union de consolider sa position de chef de file dans ce domaine au sein du système des Nations Unies; une conseillère a demandé comment les fonds seraient dépensés précisément et a sollicité davantage d'informations sur les dépenses actuelles en matière d'IA, étant donné que ces initiatives sont destinées à être financées par des contributions volontaires externes. Une autre conseillère a fait observer que les économies réalisées en 2024 avaient également été affectées à des activités liées à l'IA et a voulu savoir s'il était envisagé de poursuivre cette pratique. Une troisième conseillère, tout en soulignant l'importance de l'intégration des jeunes professionnels dans les effectifs de l'UIT, s'est enquise de l'ampleur de la demande pour le Fonds YPP.</w:t>
      </w:r>
    </w:p>
    <w:p w14:paraId="30B5D92C" w14:textId="77777777" w:rsidR="00B837FD" w:rsidRPr="00386F72" w:rsidRDefault="00B837FD" w:rsidP="00F77BEB">
      <w:r w:rsidRPr="00386F72">
        <w:t>19.8</w:t>
      </w:r>
      <w:r w:rsidRPr="00386F72">
        <w:tab/>
        <w:t xml:space="preserve">En réponse aux observations, le Chef du Département FRMD a expliqué que, sur les 6 millions CHF initialement alloués au financement des départs volontaires, il ne restait que 900 CHF après les cycles de cessation de service de 2023 et 2025. Les économies réalisées grâce à ce processus ont été investies dans des domaines tels que l'informatique, les bâtiments, la continuité des activités et diverses activités non couvertes par le budget ordinaire. Les départs volontaires doivent être encouragés car en plus de permettre des </w:t>
      </w:r>
      <w:r w:rsidRPr="00386F72">
        <w:lastRenderedPageBreak/>
        <w:t>économies, ils offrent la possibilité à l'Union de recruter du personnel doté de nouvelles connaissances et compétences. Le Président du CCIG appuie les efforts déployés par la direction de l'UIT à cet égard. La nouvelle allocation proposée, d'un montant de 2,5 millions CHF, faciliterait ce processus, même si elle n'est pas destinée à financer la formation des membres du personnel ayant quitté l'Union, dont beaucoup choisissent de prendre une retraite anticipée, en partie pour laisser la place à leurs collègues plus jeunes. Le Département HRMD dispose d'un budget spécifique pour la formation du personnel interne et externe. Le Programme YPP n'est pas géré dans le cadre du budget ordinaire; en conséquence, les fonds peuvent être reportés d'une année sur l'autre, assurant ainsi une certaine continuité. Le montant total des économies de 11,44 millions CHF comprend l'affectation proposée de 1,2 million CHF au Fonds YPP. Les chiffres ont été présentés tels qu'ils figurent dans le Document C26/42(Rév.1), conformément aux demandes comptables du Vérificateur extérieur des comptes. La direction de l'UIT recherche en permanence des moyens de faire en sorte que les fonds soient utilisés de la manière la plus efficiente et efficace possible, y compris dans le contexte de l'Initiative ONU80; à cet égard, la modernisation des systèmes apportera une contribution importante. La mise à jour du site web de l'Union fait partie de ces efforts.</w:t>
      </w:r>
    </w:p>
    <w:p w14:paraId="7A7847FF" w14:textId="3FB82710" w:rsidR="00B837FD" w:rsidRPr="00386F72" w:rsidRDefault="00B837FD" w:rsidP="00B837FD">
      <w:r w:rsidRPr="00386F72">
        <w:t>19.9</w:t>
      </w:r>
      <w:r w:rsidRPr="00386F72">
        <w:tab/>
        <w:t xml:space="preserve">L'Adjoint au Directeur du TSB a déclaré que les initiatives en matière d'IA mentionnées dans le document visent à appuyer les missions prioritaires découlant de l'AMNT-24 – solutions, normes et compétences – et à renforcer le rôle de premier plan de l'Union en matière d'innovation dans le domaine de l'IA. Pour continuer d'appuyer la plate-forme sur l'IA au service du bien social, conformément aux instructions de l'AMNT, le TSB a besoin de personnel pour mener des activités dans ce domaine. Une vingtaine de nouveaux membres ont rejoint </w:t>
      </w:r>
      <w:r w:rsidR="0040453F">
        <w:t>cette</w:t>
      </w:r>
      <w:r w:rsidR="0040453F" w:rsidRPr="00386F72">
        <w:t xml:space="preserve"> </w:t>
      </w:r>
      <w:r w:rsidRPr="00386F72">
        <w:t>plate-forme. Dans le cadre de sa volonté de collaborer avec d'autres organismes de normalisation, le Bureau a lancé un projet de collaboration sur l'authenticité des contenus multimédias. Il tient à jour une base de données sur l'échange de normes et organise des réunions sur une base régulière avec d'autres organismes de normalisation afin d'harmoniser les travaux de normalisation sur l'IA. Diverses activités liées aux compétences, comme la Coalition pour les compétences en IA</w:t>
      </w:r>
      <w:r w:rsidR="0040453F">
        <w:t xml:space="preserve"> et les concours sur l'apprentissage automatique</w:t>
      </w:r>
      <w:r w:rsidRPr="00386F72">
        <w:t>, ont également tiré parti de l'utilisation de</w:t>
      </w:r>
      <w:r w:rsidR="00412A88" w:rsidRPr="00386F72">
        <w:t> </w:t>
      </w:r>
      <w:r w:rsidRPr="00386F72">
        <w:t>l'IA. L'affectation proposée d'un</w:t>
      </w:r>
      <w:r w:rsidR="00D5680F">
        <w:t> </w:t>
      </w:r>
      <w:r w:rsidRPr="00386F72">
        <w:t xml:space="preserve">million CHF en faveur des initiatives en matière d'IA </w:t>
      </w:r>
      <w:r w:rsidR="0040453F">
        <w:t>servira à financer des recrutements dans le cadre de contrats de courte durée</w:t>
      </w:r>
      <w:r w:rsidRPr="00386F72">
        <w:t xml:space="preserve"> conformément </w:t>
      </w:r>
      <w:r w:rsidR="0040453F">
        <w:t>à la R</w:t>
      </w:r>
      <w:r w:rsidRPr="00386F72">
        <w:t xml:space="preserve">ésolution </w:t>
      </w:r>
      <w:r w:rsidR="0040453F">
        <w:t>101 (New</w:t>
      </w:r>
      <w:r w:rsidR="00D5680F">
        <w:t> </w:t>
      </w:r>
      <w:r w:rsidR="0040453F">
        <w:t>Delhi,</w:t>
      </w:r>
      <w:r w:rsidR="00D5680F">
        <w:t> </w:t>
      </w:r>
      <w:r w:rsidR="0040453F">
        <w:t xml:space="preserve">2024) </w:t>
      </w:r>
      <w:r w:rsidRPr="00386F72">
        <w:t>de l'AMNT.</w:t>
      </w:r>
    </w:p>
    <w:p w14:paraId="28C983E3" w14:textId="4349A02A" w:rsidR="00C93EEE" w:rsidRPr="00386F72" w:rsidRDefault="00C93EEE" w:rsidP="00C93EEE">
      <w:pPr>
        <w:tabs>
          <w:tab w:val="clear" w:pos="567"/>
          <w:tab w:val="left" w:pos="709"/>
        </w:tabs>
      </w:pPr>
      <w:r w:rsidRPr="00386F72">
        <w:t>19.10</w:t>
      </w:r>
      <w:r w:rsidRPr="00386F72">
        <w:tab/>
        <w:t xml:space="preserve">Le Directeur du BR a expliqué que le logiciel complexe utilisé par le BR pour diverses applications liées aux fiches de notification des réseaux à satellite était mis à jour après chaque CMR pour tenir compte des dernières décisions prises. Toutefois, les anciens logiciels ont </w:t>
      </w:r>
      <w:r w:rsidR="0036183D">
        <w:t xml:space="preserve">également </w:t>
      </w:r>
      <w:r w:rsidRPr="00386F72">
        <w:t xml:space="preserve">dû être maintenus pour les processus qui restent inchangés. La modernisation des logiciels du BR pour suivre le rythme de l'évolution des </w:t>
      </w:r>
      <w:r w:rsidR="0036183D">
        <w:t xml:space="preserve">systèmes </w:t>
      </w:r>
      <w:r w:rsidRPr="00386F72">
        <w:t>à satellite</w:t>
      </w:r>
      <w:r w:rsidR="0036183D">
        <w:t>s</w:t>
      </w:r>
      <w:r w:rsidRPr="00386F72">
        <w:t xml:space="preserve"> représente un défi de taille, tout comme le fait que ces logiciels fonctionnent sur des serveurs internes dépassés. Les programmes devaient être écrits de manière à fonctionner sur le nuage et en parallèle plutôt qu'en série, afin d'offrir une plus grande capacité de traitement et de contribuer à réduire l'arriéré concernant les fiches de notification des réseaux à satellite. Le coût de la modernisation des logiciels a été estimé à environ 3 millions CHF. Il est à espérer que l'allocation proposée pour le renforcement et la modernisation des systèmes essentiels de traitement des fiches de notification des réseaux à satellite sera complétée par d'autres sources de financement potentielles. L'allocation </w:t>
      </w:r>
      <w:r w:rsidRPr="00386F72">
        <w:lastRenderedPageBreak/>
        <w:t xml:space="preserve">proposée pour résorber l'arriéré concernant les fiches de notification des réseaux à satellite serait utilisée pour financer 2,5 des 3 postes d'ingénieur nécessaires pour faire face à la situation à court terme, bien qu'il faille peut-être jusqu'à un an pour former les nouveaux membres du personnel </w:t>
      </w:r>
      <w:r w:rsidR="0036183D">
        <w:t xml:space="preserve">afin qu'ils soient pleinement opérationnels </w:t>
      </w:r>
      <w:r w:rsidRPr="00386F72">
        <w:t xml:space="preserve">et </w:t>
      </w:r>
      <w:r w:rsidR="0036183D">
        <w:t xml:space="preserve">que le BR puisse </w:t>
      </w:r>
      <w:r w:rsidRPr="00386F72">
        <w:t>revenir aux délais réglementaires habituels pour le traitement des fiches de notification des réseaux à satellite.</w:t>
      </w:r>
    </w:p>
    <w:p w14:paraId="55D567AA" w14:textId="77777777" w:rsidR="00C93EEE" w:rsidRPr="00386F72" w:rsidRDefault="00C93EEE" w:rsidP="00C93EEE">
      <w:pPr>
        <w:tabs>
          <w:tab w:val="clear" w:pos="567"/>
          <w:tab w:val="left" w:pos="709"/>
        </w:tabs>
      </w:pPr>
      <w:r w:rsidRPr="00386F72">
        <w:t>19.11</w:t>
      </w:r>
      <w:r w:rsidRPr="00386F72">
        <w:tab/>
        <w:t>Le Directeur du BDT a déclaré que le Bureau cherchait à faire preuve d'innovation et de créativité pour donner suite aux Résolutions de la CMDT et obtenir des résultats dans le cadre de la gestion axée sur les résultats. Le financement supplémentaire demandé pour les initiatives régionales profitera à toutes les régions. À la suite de la CMDT-25, cinq initiatives ont été établies pour chaque région et seront mises en œuvre dans le cadre de divers projets. L'allocation proposée de 1,3 million de francs suisses serait utilisée en partie comme capital de démarrage pour faciliter le cofinancement par de multiples partenaires et organisations donatrices, y compris dans le cadre d'arrangements au sein du système des Nations-Unies.</w:t>
      </w:r>
    </w:p>
    <w:p w14:paraId="76F6DA8B" w14:textId="77777777" w:rsidR="00C93EEE" w:rsidRPr="00386F72" w:rsidRDefault="00C93EEE" w:rsidP="00C93EEE">
      <w:pPr>
        <w:tabs>
          <w:tab w:val="clear" w:pos="567"/>
          <w:tab w:val="left" w:pos="709"/>
        </w:tabs>
      </w:pPr>
      <w:r w:rsidRPr="00386F72">
        <w:t>19.12</w:t>
      </w:r>
      <w:r w:rsidRPr="00386F72">
        <w:tab/>
        <w:t>Une représentante du Secrétariat a indiqué qu'il n'y aurait pas de chevauchement entre les initiatives de migration vers l'informatique en nuage entreprises par le BR et celles mises en œuvre par le Département des systèmes informatiques, la première se rapportant spécifiquement à la modernisation des logiciels du BR, tandis que la seconde concerne les services destinés à l'Union en général.</w:t>
      </w:r>
    </w:p>
    <w:p w14:paraId="772AF503" w14:textId="77777777" w:rsidR="00C93EEE" w:rsidRPr="00386F72" w:rsidRDefault="00C93EEE" w:rsidP="00F77BEB">
      <w:pPr>
        <w:tabs>
          <w:tab w:val="clear" w:pos="567"/>
          <w:tab w:val="left" w:pos="709"/>
        </w:tabs>
      </w:pPr>
      <w:r w:rsidRPr="00386F72">
        <w:t>19.13</w:t>
      </w:r>
      <w:r w:rsidRPr="00386F72">
        <w:tab/>
        <w:t>Plusieurs conseillers ont renouvelé leurs demandes d'informations spécifiques, notamment en ce qui concerne le montant total des affectations d'économies demandées et l'utilisation de l'affectation proposée pour les initiatives relatives à l'intelligence artificielle, ainsi que des modifications à apporter au Document C26/42(Rév.1), sans lesquelles ils ne seront pas en mesure de prendre une décision sur ce point.</w:t>
      </w:r>
    </w:p>
    <w:p w14:paraId="4606714C" w14:textId="211E9A56" w:rsidR="00C93EEE" w:rsidRPr="00386F72" w:rsidRDefault="00C93EEE" w:rsidP="00C93EEE">
      <w:pPr>
        <w:tabs>
          <w:tab w:val="clear" w:pos="567"/>
          <w:tab w:val="left" w:pos="709"/>
        </w:tabs>
      </w:pPr>
      <w:r w:rsidRPr="00386F72">
        <w:t>19.14</w:t>
      </w:r>
      <w:r w:rsidRPr="00386F72">
        <w:tab/>
        <w:t>Le Chef du Département FRMD a précisé que l'excédent budgétaire pour 2025 s'élevait à 10,24 millions CHF; le montant de 11,44 millions CHF comprend le montant de</w:t>
      </w:r>
      <w:r w:rsidR="00F77BEB">
        <w:t> </w:t>
      </w:r>
      <w:r w:rsidRPr="00386F72">
        <w:t xml:space="preserve">559 800 CHF déjà approuvé en vue du transfert sur le FDTIC, sur la base du </w:t>
      </w:r>
      <w:hyperlink r:id="rId82" w:history="1">
        <w:r w:rsidRPr="00AE2E85">
          <w:rPr>
            <w:rStyle w:val="Hyperlink"/>
            <w:rFonts w:eastAsia="Times New Roman" w:cs="Times New Roman"/>
            <w:szCs w:val="20"/>
          </w:rPr>
          <w:t>Document C26/34</w:t>
        </w:r>
      </w:hyperlink>
      <w:r w:rsidRPr="00386F72">
        <w:t xml:space="preserve">, et le montant de 1,2 million CHF précédemment demandé pour le Programme à l'intention des jeunes professionnels dans le </w:t>
      </w:r>
      <w:hyperlink r:id="rId83" w:history="1">
        <w:r w:rsidRPr="00AE2E85">
          <w:rPr>
            <w:rStyle w:val="Hyperlink"/>
            <w:rFonts w:eastAsia="Times New Roman" w:cs="Times New Roman"/>
            <w:szCs w:val="20"/>
          </w:rPr>
          <w:t>Document C24/31</w:t>
        </w:r>
      </w:hyperlink>
      <w:r w:rsidRPr="00386F72">
        <w:t>. S'agissant des cessations de service convenues, il est difficile de prévoir combien de fonctionnaires pourront bénéficier du programme. Toute somme affectée mais non utilisée sera transférée sur le Fonds de réserve.</w:t>
      </w:r>
    </w:p>
    <w:p w14:paraId="0035382C" w14:textId="77777777" w:rsidR="00C93EEE" w:rsidRPr="00386F72" w:rsidRDefault="00C93EEE" w:rsidP="00412A88">
      <w:pPr>
        <w:tabs>
          <w:tab w:val="clear" w:pos="567"/>
          <w:tab w:val="left" w:pos="709"/>
        </w:tabs>
      </w:pPr>
      <w:r w:rsidRPr="00386F72">
        <w:t>19.15</w:t>
      </w:r>
      <w:r w:rsidRPr="00386F72">
        <w:tab/>
        <w:t xml:space="preserve">Le Vice-Secrétaire général a souligné que les affectations proposées visaient à couvrir les charges ne pouvant pas être financées sur le budget ordinaire dans le cadre du Plan financier actuel, en ciblant stratégiquement les besoins importants. Les affectations demandées pour les activités du BR contribueront à réduire l'arriéré concernant les fiches de notification de réseaux à satellite non seulement à court terme, avec l'appui de personnel supplémentaire, mais aussi à plus long terme grâce à la modernisation des logiciels, auquel cas le personnel supplémentaire ne sera plus nécessaire, ce qui permettra de réaliser des économies supplémentaires. Le Secrétariat recherche à cette fin diverses sources de financement. Il convient d'établir une distinction entre les initiatives en matière d'intelligence artificielle mentionnées dans le Document C26/42(Rév.1) et celles visant à répondre aux besoins internes de l'Union, par exemple dans les domaines de la traduction, de l'interprétation et du sous-titrage, où l'intelligence artificielle est déjà utilisée pour </w:t>
      </w:r>
      <w:r w:rsidRPr="00386F72">
        <w:lastRenderedPageBreak/>
        <w:t>réduire le recours aux ressources humaines. L'affectation proposée de 1 million CHF pour les initiatives en matière d'IA vise à compléter les accords de parrainage annuels dans le cadre de la plate-forme sur l'intelligence artificielle au service du bien social, en fournissant un fonds de roulement pour combler les lacunes, sans faire peser une charge continue sur le budget ordinaire. Le Secrétariat continuera de s'efforcer de trouver les modèles de financement appropriés pour faire en sorte que les initiatives demandées par les États Membres puissent être mises en œuvre, compte tenu de la nécessité d'assurer la continuité des effectifs.</w:t>
      </w:r>
    </w:p>
    <w:p w14:paraId="14B88F02" w14:textId="22DA7FF0" w:rsidR="00C93EEE" w:rsidRDefault="00C93EEE" w:rsidP="00C93EEE">
      <w:pPr>
        <w:tabs>
          <w:tab w:val="clear" w:pos="567"/>
          <w:tab w:val="left" w:pos="709"/>
        </w:tabs>
      </w:pPr>
      <w:r w:rsidRPr="00386F72">
        <w:t>19.16</w:t>
      </w:r>
      <w:r w:rsidRPr="00386F72">
        <w:tab/>
        <w:t xml:space="preserve">À l'issue de consultations informelles, il a été annoncé qu'un groupe ad hoc se réunirait pour examiner la question, notamment en ce qui concerne une version révisée du Document C26/42(Rév.1) et le projet de nouvelle Résolution qui y est annexé, publié en tant que </w:t>
      </w:r>
      <w:hyperlink r:id="rId84" w:history="1">
        <w:r w:rsidRPr="00AE2E85">
          <w:rPr>
            <w:rStyle w:val="Hyperlink"/>
            <w:rFonts w:eastAsia="Times New Roman" w:cs="Times New Roman"/>
            <w:szCs w:val="20"/>
          </w:rPr>
          <w:t>Document C26/DT/6</w:t>
        </w:r>
      </w:hyperlink>
      <w:r w:rsidRPr="00386F72">
        <w:t>. Le groupe ad hoc a tenu deux séances.</w:t>
      </w:r>
    </w:p>
    <w:p w14:paraId="6A1BAF22" w14:textId="64F33D44" w:rsidR="00B03A81" w:rsidRDefault="00B03A81" w:rsidP="00C93EEE">
      <w:pPr>
        <w:tabs>
          <w:tab w:val="clear" w:pos="567"/>
          <w:tab w:val="left" w:pos="709"/>
        </w:tabs>
      </w:pPr>
      <w:r>
        <w:t>19.17</w:t>
      </w:r>
      <w:r>
        <w:tab/>
        <w:t xml:space="preserve">Le </w:t>
      </w:r>
      <w:r w:rsidR="00AE2E85">
        <w:t>p</w:t>
      </w:r>
      <w:r>
        <w:t>résident du groupe ad hoc a ensuite présenté le Document C26/42(Rév.2), qui contient une version actualisée du rapport et des modifications apportées au projet de Décision compte tenu du consensus trouvé sur l'affectation des économies réalisées sur l'exécution du budget en 2025.</w:t>
      </w:r>
    </w:p>
    <w:p w14:paraId="59EAC5CB" w14:textId="7CEADDFB" w:rsidR="00B03A81" w:rsidRPr="00386F72" w:rsidRDefault="00B03A81" w:rsidP="00C93EEE">
      <w:pPr>
        <w:tabs>
          <w:tab w:val="clear" w:pos="567"/>
          <w:tab w:val="left" w:pos="709"/>
        </w:tabs>
        <w:rPr>
          <w:rFonts w:eastAsia="Calibri" w:cs="Calibri"/>
        </w:rPr>
      </w:pPr>
      <w:r>
        <w:rPr>
          <w:rFonts w:eastAsia="Calibri" w:cs="Calibri"/>
        </w:rPr>
        <w:t>19.18</w:t>
      </w:r>
      <w:r>
        <w:rPr>
          <w:rFonts w:eastAsia="Calibri" w:cs="Calibri"/>
        </w:rPr>
        <w:tab/>
        <w:t xml:space="preserve">La Secrétaire générale a remercié le président et les membres du groupe ad hoc pour la détermination et l'esprit de compromis dont ils avaient fait preuve pour parvenir à une proposition faisant consensus. </w:t>
      </w:r>
    </w:p>
    <w:p w14:paraId="0752FADA" w14:textId="77777777" w:rsidR="00C93EEE" w:rsidRPr="00386F72" w:rsidRDefault="00C93EEE" w:rsidP="00C93EEE">
      <w:pPr>
        <w:tabs>
          <w:tab w:val="clear" w:pos="567"/>
          <w:tab w:val="left" w:pos="709"/>
        </w:tabs>
        <w:spacing w:after="120" w:line="259" w:lineRule="auto"/>
      </w:pPr>
      <w:r w:rsidRPr="00386F72">
        <w:t>19.17</w:t>
      </w:r>
      <w:r w:rsidRPr="00386F72">
        <w:tab/>
        <w:t xml:space="preserve">La Commission </w:t>
      </w:r>
      <w:r w:rsidRPr="00386F72">
        <w:rPr>
          <w:b/>
          <w:bCs/>
        </w:rPr>
        <w:t>est</w:t>
      </w:r>
      <w:r w:rsidRPr="00386F72">
        <w:t xml:space="preserve"> </w:t>
      </w:r>
      <w:r w:rsidRPr="00386F72">
        <w:rPr>
          <w:b/>
          <w:bCs/>
        </w:rPr>
        <w:t>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C93EEE" w:rsidRPr="00386F72" w14:paraId="57E5AAB0" w14:textId="77777777" w:rsidTr="005877C9">
        <w:tc>
          <w:tcPr>
            <w:tcW w:w="9208" w:type="dxa"/>
          </w:tcPr>
          <w:p w14:paraId="156E24BE" w14:textId="77777777" w:rsidR="00C93EEE" w:rsidRPr="00386F72" w:rsidRDefault="00C93EEE" w:rsidP="005877C9">
            <w:pPr>
              <w:tabs>
                <w:tab w:val="clear" w:pos="567"/>
                <w:tab w:val="left" w:pos="750"/>
              </w:tabs>
              <w:spacing w:line="259" w:lineRule="auto"/>
              <w:ind w:left="41"/>
            </w:pPr>
            <w:r w:rsidRPr="00386F72">
              <w:t>19.18</w:t>
            </w:r>
            <w:r w:rsidRPr="00386F72">
              <w:tab/>
              <w:t>La Commission recommande au Conseil:</w:t>
            </w:r>
          </w:p>
          <w:p w14:paraId="3D8444C0" w14:textId="133D5722" w:rsidR="00C93EEE" w:rsidRPr="00386F72" w:rsidRDefault="00C93EEE" w:rsidP="005877C9">
            <w:pPr>
              <w:pStyle w:val="enumlev1"/>
              <w:tabs>
                <w:tab w:val="clear" w:pos="567"/>
                <w:tab w:val="left" w:pos="750"/>
              </w:tabs>
              <w:ind w:left="41" w:firstLine="0"/>
            </w:pPr>
            <w:r w:rsidRPr="00386F72">
              <w:t>•</w:t>
            </w:r>
            <w:r w:rsidRPr="00386F72">
              <w:tab/>
              <w:t xml:space="preserve">de prendre note du rapport figurant dans le </w:t>
            </w:r>
            <w:hyperlink r:id="rId85" w:history="1">
              <w:r w:rsidRPr="00AE2E85">
                <w:rPr>
                  <w:rStyle w:val="Hyperlink"/>
                </w:rPr>
                <w:t>Document C26/</w:t>
              </w:r>
              <w:r w:rsidR="00B03A81" w:rsidRPr="00AE2E85">
                <w:rPr>
                  <w:rStyle w:val="Hyperlink"/>
                </w:rPr>
                <w:t>42(Rév.2)</w:t>
              </w:r>
            </w:hyperlink>
            <w:r w:rsidRPr="00AE2E85">
              <w:t>; et</w:t>
            </w:r>
            <w:hyperlink r:id="rId86" w:history="1"/>
          </w:p>
          <w:p w14:paraId="164E60D6" w14:textId="13C8C939" w:rsidR="00C93EEE" w:rsidRPr="00386F72" w:rsidRDefault="00C93EEE" w:rsidP="005877C9">
            <w:pPr>
              <w:pStyle w:val="enumlev1"/>
              <w:tabs>
                <w:tab w:val="clear" w:pos="567"/>
                <w:tab w:val="left" w:pos="750"/>
              </w:tabs>
              <w:spacing w:after="120"/>
              <w:ind w:left="41" w:firstLine="0"/>
            </w:pPr>
            <w:r w:rsidRPr="00386F72">
              <w:t>•</w:t>
            </w:r>
            <w:r w:rsidRPr="00386F72">
              <w:tab/>
              <w:t xml:space="preserve">d'adopter le projet de résolution </w:t>
            </w:r>
            <w:r w:rsidRPr="00AE2E85">
              <w:t>figurant à l'</w:t>
            </w:r>
            <w:hyperlink w:anchor="ANNEXED" w:history="1">
              <w:r w:rsidRPr="00AE2E85">
                <w:rPr>
                  <w:rStyle w:val="Hyperlink"/>
                  <w:b/>
                  <w:bCs/>
                </w:rPr>
                <w:t>Annexe D</w:t>
              </w:r>
            </w:hyperlink>
            <w:r w:rsidRPr="00AE2E85">
              <w:t xml:space="preserve"> du présent</w:t>
            </w:r>
            <w:r w:rsidRPr="00386F72">
              <w:t xml:space="preserve"> rapport.</w:t>
            </w:r>
          </w:p>
        </w:tc>
      </w:tr>
    </w:tbl>
    <w:p w14:paraId="2126A162" w14:textId="77777777" w:rsidR="008E06C6" w:rsidRPr="00386F72" w:rsidRDefault="008E06C6" w:rsidP="008E06C6">
      <w:pPr>
        <w:pStyle w:val="Heading1"/>
        <w:rPr>
          <w:rFonts w:eastAsiaTheme="minorHAnsi" w:cs="Calibri"/>
          <w:b w:val="0"/>
          <w:bCs/>
          <w:szCs w:val="28"/>
        </w:rPr>
      </w:pPr>
      <w:r w:rsidRPr="00386F72">
        <w:rPr>
          <w:rFonts w:eastAsiaTheme="minorHAnsi" w:cs="Calibri"/>
          <w:bCs/>
          <w:szCs w:val="28"/>
        </w:rPr>
        <w:t>20</w:t>
      </w:r>
      <w:r w:rsidRPr="00386F72">
        <w:rPr>
          <w:rFonts w:eastAsiaTheme="minorHAnsi" w:cs="Calibri"/>
          <w:bCs/>
          <w:szCs w:val="28"/>
        </w:rPr>
        <w:tab/>
        <w:t>Rapport de la Présidente du GTC-FHR et du Président du GTC-SFP sur la réunion conjointe du GTC-FHR et du GTC-SFP (</w:t>
      </w:r>
      <w:hyperlink r:id="rId87" w:history="1">
        <w:r w:rsidRPr="00386F72">
          <w:rPr>
            <w:rStyle w:val="Hyperlink"/>
            <w:rFonts w:cs="Calibri"/>
            <w:bCs/>
            <w:szCs w:val="28"/>
          </w:rPr>
          <w:t>Document C26/112</w:t>
        </w:r>
      </w:hyperlink>
      <w:r w:rsidRPr="00386F72">
        <w:rPr>
          <w:rFonts w:eastAsiaTheme="minorHAnsi" w:cs="Calibri"/>
          <w:bCs/>
          <w:szCs w:val="28"/>
        </w:rPr>
        <w:t>)</w:t>
      </w:r>
      <w:hyperlink r:id="rId88" w:history="1"/>
    </w:p>
    <w:p w14:paraId="6209E76B" w14:textId="77777777" w:rsidR="008E06C6" w:rsidRPr="00386F72" w:rsidRDefault="008E06C6" w:rsidP="008E06C6">
      <w:pPr>
        <w:rPr>
          <w:rFonts w:eastAsia="Calibri" w:cs="Calibri"/>
        </w:rPr>
      </w:pPr>
      <w:r w:rsidRPr="00386F72">
        <w:rPr>
          <w:rFonts w:cs="Calibri"/>
        </w:rPr>
        <w:t>20.1</w:t>
      </w:r>
      <w:r w:rsidRPr="00386F72">
        <w:rPr>
          <w:rFonts w:cs="Calibri"/>
        </w:rPr>
        <w:tab/>
        <w:t xml:space="preserve">La Présidente du GTC-FHR a présenté le rapport (Document C26/112) sur la réunion conjointe du GTC-FHR et du GTC-SFP, tenue le 27 avril 2026 pour examiner le projet de plan financier pour la période 2028-2031 (voir le </w:t>
      </w:r>
      <w:hyperlink r:id="rId89" w:history="1">
        <w:r w:rsidRPr="00386F72">
          <w:rPr>
            <w:rStyle w:val="Hyperlink"/>
            <w:rFonts w:eastAsia="Times New Roman" w:cs="Calibri"/>
            <w:szCs w:val="20"/>
          </w:rPr>
          <w:t>Document C26/32</w:t>
        </w:r>
      </w:hyperlink>
      <w:r w:rsidRPr="00386F72">
        <w:rPr>
          <w:rFonts w:cs="Calibri"/>
        </w:rPr>
        <w:t>). Une séance d'information avait également été organisée le 1er mai. Des membres s'étaient félicités de la nouvelle approche adoptée par le Secrétariat concernant le projet de plan financier et de son engagement à appliquer une méthode de gestion axée sur les résultats à l'appui du Plan stratégique et du Plan opérationnel. Des informations plus approfondies sur le projet de plan financier seraient néanmoins souhaitables, comme indiqué au § 2.12 du rapport et conformément à la Décision 5 (Rév. Bucarest, 2022) de la Conférence de plénipotentiaires, afin que les États Membres puissent se faire une meilleure idée des progrès réalisés en matière de budgétisation axée sur les résultats. Il a été recommandé d'organiser une nouvelle séance d'information sur le projet de plan financier au moins six semaines avant l'ouverture de la PP-26.</w:t>
      </w:r>
      <w:hyperlink r:id="rId90" w:history="1"/>
    </w:p>
    <w:p w14:paraId="30FFE444" w14:textId="77777777" w:rsidR="008E06C6" w:rsidRPr="00386F72" w:rsidRDefault="008E06C6" w:rsidP="00885F7C">
      <w:pPr>
        <w:keepNext/>
        <w:spacing w:after="120"/>
        <w:rPr>
          <w:rFonts w:cs="Calibri"/>
        </w:rPr>
      </w:pPr>
      <w:r w:rsidRPr="00386F72">
        <w:rPr>
          <w:rFonts w:cs="Calibri"/>
        </w:rPr>
        <w:lastRenderedPageBreak/>
        <w:t>20.2</w:t>
      </w:r>
      <w:r w:rsidRPr="00386F72">
        <w:rPr>
          <w:rFonts w:cs="Calibri"/>
        </w:rPr>
        <w:tab/>
        <w:t xml:space="preserve">La commission </w:t>
      </w:r>
      <w:r w:rsidRPr="00386F72">
        <w:rPr>
          <w:rFonts w:cs="Calibri"/>
          <w:b/>
          <w:bCs/>
        </w:rPr>
        <w:t>est convenue</w:t>
      </w:r>
      <w:r w:rsidRPr="00386F72">
        <w:rPr>
          <w:rFonts w:cs="Calibri"/>
        </w:rPr>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8E06C6" w:rsidRPr="00386F72" w14:paraId="199EBD31" w14:textId="77777777" w:rsidTr="00306294">
        <w:tc>
          <w:tcPr>
            <w:tcW w:w="9214" w:type="dxa"/>
          </w:tcPr>
          <w:p w14:paraId="63E4C9DC" w14:textId="77777777" w:rsidR="008E06C6" w:rsidRPr="00386F72" w:rsidRDefault="008E06C6" w:rsidP="00306294">
            <w:pPr>
              <w:tabs>
                <w:tab w:val="clear" w:pos="567"/>
                <w:tab w:val="left" w:pos="608"/>
              </w:tabs>
              <w:ind w:left="41"/>
            </w:pPr>
            <w:r w:rsidRPr="00386F72">
              <w:t>20.3</w:t>
            </w:r>
            <w:r w:rsidRPr="00386F72">
              <w:tab/>
              <w:t>La commission recommande au Conseil:</w:t>
            </w:r>
          </w:p>
          <w:p w14:paraId="6C9181B3" w14:textId="77777777" w:rsidR="008E06C6" w:rsidRDefault="008E06C6" w:rsidP="00306294">
            <w:pPr>
              <w:pStyle w:val="enumlev1"/>
              <w:tabs>
                <w:tab w:val="clear" w:pos="567"/>
              </w:tabs>
              <w:spacing w:after="120"/>
              <w:ind w:left="608"/>
            </w:pPr>
            <w:r w:rsidRPr="00386F72">
              <w:t>•</w:t>
            </w:r>
            <w:r w:rsidRPr="00386F72">
              <w:tab/>
              <w:t xml:space="preserve">de prendre note du rapport sur les travaux du GTC-FHR et du GTC-SFP figurant dans le </w:t>
            </w:r>
            <w:hyperlink r:id="rId91" w:history="1">
              <w:r w:rsidRPr="00386F72">
                <w:rPr>
                  <w:rStyle w:val="Hyperlink"/>
                  <w:rFonts w:eastAsia="Times New Roman" w:cs="Calibri"/>
                  <w:szCs w:val="20"/>
                </w:rPr>
                <w:t>Document C26/112</w:t>
              </w:r>
            </w:hyperlink>
            <w:r w:rsidR="00885F7C">
              <w:t>;</w:t>
            </w:r>
          </w:p>
          <w:p w14:paraId="0DB108DE" w14:textId="3F6F1D59" w:rsidR="00885F7C" w:rsidRDefault="00885F7C" w:rsidP="00885F7C">
            <w:pPr>
              <w:pStyle w:val="enumlev1"/>
              <w:tabs>
                <w:tab w:val="clear" w:pos="567"/>
              </w:tabs>
              <w:spacing w:after="120"/>
              <w:ind w:left="608"/>
            </w:pPr>
            <w:r w:rsidRPr="00885F7C">
              <w:t>•</w:t>
            </w:r>
            <w:r>
              <w:tab/>
              <w:t>de recommander au Secrétariat d'organiser une séance d'information avant la Conférence de plénipotentiaires (Doha, 2026) pour répondre aux questions des États Membres; et</w:t>
            </w:r>
          </w:p>
          <w:p w14:paraId="5B20EFDC" w14:textId="5BADEDD6" w:rsidR="00885F7C" w:rsidRPr="00386F72" w:rsidRDefault="00885F7C" w:rsidP="00885F7C">
            <w:pPr>
              <w:pStyle w:val="enumlev1"/>
              <w:tabs>
                <w:tab w:val="clear" w:pos="567"/>
              </w:tabs>
              <w:spacing w:after="120"/>
              <w:ind w:left="608"/>
            </w:pPr>
            <w:r>
              <w:t>•</w:t>
            </w:r>
            <w:r>
              <w:tab/>
              <w:t>de recommander au Secrétariat de fournir des informations plus détaillées concernant le Plan financier, y compris les montants monétaires par rubrique pour les charges de chaque Bureau et du Secrétariat général, ainsi qu'une explication détaillée du processus d'élaboration du budget. Le Plan financier devrait comprendre des informations détaillées sur le lien entre les priorités indiquées et les crédits budgétaires inscrits dans les plans opérationnels.</w:t>
            </w:r>
          </w:p>
        </w:tc>
      </w:tr>
    </w:tbl>
    <w:p w14:paraId="5F400086" w14:textId="77777777" w:rsidR="007720C4" w:rsidRPr="00386F72" w:rsidRDefault="007720C4" w:rsidP="007720C4">
      <w:pPr>
        <w:pStyle w:val="Heading1"/>
      </w:pPr>
      <w:r w:rsidRPr="00386F72">
        <w:t>21</w:t>
      </w:r>
      <w:r w:rsidRPr="00386F72">
        <w:tab/>
        <w:t>Projet de plan financier pour la période 2028-2031 (</w:t>
      </w:r>
      <w:hyperlink r:id="rId92" w:history="1">
        <w:r w:rsidRPr="00386F72">
          <w:rPr>
            <w:rStyle w:val="Hyperlink"/>
            <w:rFonts w:eastAsia="Times New Roman" w:cs="Times New Roman"/>
            <w:szCs w:val="20"/>
          </w:rPr>
          <w:t>Document C26/32</w:t>
        </w:r>
      </w:hyperlink>
      <w:r w:rsidRPr="00386F72">
        <w:t>)</w:t>
      </w:r>
    </w:p>
    <w:p w14:paraId="3561084C" w14:textId="77777777" w:rsidR="007720C4" w:rsidRPr="00386F72" w:rsidRDefault="007720C4" w:rsidP="007720C4">
      <w:pPr>
        <w:pStyle w:val="Heading1"/>
        <w:spacing w:before="160"/>
      </w:pPr>
      <w:r w:rsidRPr="00386F72">
        <w:tab/>
        <w:t>Recommandations pour l'amélioration de la transparence de la gestion financière de l'UIT (</w:t>
      </w:r>
      <w:hyperlink r:id="rId93" w:history="1">
        <w:r w:rsidRPr="00386F72">
          <w:rPr>
            <w:rStyle w:val="Hyperlink"/>
            <w:rFonts w:eastAsia="Times New Roman" w:cs="Times New Roman"/>
            <w:szCs w:val="20"/>
          </w:rPr>
          <w:t>Document C26/80</w:t>
        </w:r>
      </w:hyperlink>
      <w:r w:rsidRPr="00386F72">
        <w:t>)</w:t>
      </w:r>
    </w:p>
    <w:p w14:paraId="66880980" w14:textId="77777777" w:rsidR="007720C4" w:rsidRPr="00386F72" w:rsidRDefault="007720C4" w:rsidP="007720C4">
      <w:pPr>
        <w:pStyle w:val="Heading1"/>
        <w:spacing w:before="160"/>
      </w:pPr>
      <w:r w:rsidRPr="00386F72">
        <w:tab/>
        <w:t>Recommandations visant à optimiser plus avant le projet de Plan financier de l'UIT pour la période 2028-2031 (</w:t>
      </w:r>
      <w:hyperlink r:id="rId94" w:history="1">
        <w:r w:rsidRPr="00386F72">
          <w:rPr>
            <w:rStyle w:val="Hyperlink"/>
            <w:rFonts w:eastAsia="Times New Roman" w:cs="Times New Roman"/>
            <w:szCs w:val="20"/>
          </w:rPr>
          <w:t>Document C26/81</w:t>
        </w:r>
      </w:hyperlink>
      <w:r w:rsidRPr="00386F72">
        <w:t>)</w:t>
      </w:r>
    </w:p>
    <w:p w14:paraId="0BE14EB1" w14:textId="77777777" w:rsidR="007720C4" w:rsidRPr="00386F72" w:rsidRDefault="007720C4" w:rsidP="007720C4">
      <w:pPr>
        <w:pStyle w:val="Heading1"/>
        <w:spacing w:before="160"/>
      </w:pPr>
      <w:r w:rsidRPr="00386F72">
        <w:tab/>
        <w:t>Proposition d'optimisation de l'attribution des ressources de l'UIT pour une meilleure harmonisation avec l'objet de l'Union (</w:t>
      </w:r>
      <w:hyperlink r:id="rId95" w:history="1">
        <w:r w:rsidRPr="00386F72">
          <w:rPr>
            <w:rStyle w:val="Hyperlink"/>
            <w:rFonts w:eastAsia="Times New Roman" w:cs="Times New Roman"/>
            <w:szCs w:val="20"/>
          </w:rPr>
          <w:t>Document C26/91</w:t>
        </w:r>
      </w:hyperlink>
      <w:r w:rsidRPr="00386F72">
        <w:t>)</w:t>
      </w:r>
    </w:p>
    <w:p w14:paraId="5D9491F3" w14:textId="77777777" w:rsidR="007720C4" w:rsidRPr="00386F72" w:rsidRDefault="007720C4" w:rsidP="007720C4">
      <w:r w:rsidRPr="00386F72">
        <w:t>21.1</w:t>
      </w:r>
      <w:r w:rsidRPr="00386F72">
        <w:tab/>
        <w:t>Le Chef du Département FRMD a présenté le Document C26/32, qui contient le projet de plan financier pour la période 2028-2031. Les ressources financières disponibles pour la période 2028-2031 seront utilisées pour atteindre les buts et priorités stratégiques énoncés dans le Plan stratégique pour la période 2028-2031, en cours d'élaboration.</w:t>
      </w:r>
    </w:p>
    <w:p w14:paraId="27AFF337" w14:textId="77777777" w:rsidR="007720C4" w:rsidRPr="00386F72" w:rsidRDefault="007720C4" w:rsidP="007720C4">
      <w:r w:rsidRPr="00386F72">
        <w:t>21.2</w:t>
      </w:r>
      <w:r w:rsidRPr="00386F72">
        <w:tab/>
        <w:t>La Conseillère de la Chine a présenté le Document C26/80, qui contient une contribution soumise par trois pays et porte sur l'importance de veiller à ce que la gestion financière de l'UIT permette non seulement d'alléger les pressions à court terme, mais également d'établir un cadre prospectif pour améliorer la viabilité financière. Quatre recommandations y sont présentées à cette fin.</w:t>
      </w:r>
    </w:p>
    <w:p w14:paraId="241259F4" w14:textId="42C73B2E" w:rsidR="007720C4" w:rsidRPr="00386F72" w:rsidRDefault="007720C4" w:rsidP="007720C4">
      <w:r w:rsidRPr="00386F72">
        <w:t>21.3</w:t>
      </w:r>
      <w:r w:rsidRPr="00386F72">
        <w:tab/>
        <w:t>La Conseillère de la Chine a présenté le Document C26/8</w:t>
      </w:r>
      <w:r w:rsidR="00833359" w:rsidRPr="00386F72">
        <w:t>1</w:t>
      </w:r>
      <w:r w:rsidRPr="00386F72">
        <w:t>, qui contient une contribution soumise par deux pays et vise à fournir des observations et des recommandations pour améliorer le projet de plan financier pour la période 2028-2031.</w:t>
      </w:r>
    </w:p>
    <w:p w14:paraId="5F920CF5" w14:textId="77777777" w:rsidR="00885F7C" w:rsidRDefault="007720C4" w:rsidP="007720C4">
      <w:r w:rsidRPr="00386F72">
        <w:t>21.4</w:t>
      </w:r>
      <w:r w:rsidRPr="00386F72">
        <w:tab/>
        <w:t xml:space="preserve">Ayant reçu l'appui de deux membres du Conseil, l'observateur de la Fédération de Russie présente le Document C26/91, qui contient une proposition destinée à la PP-26 visant à créer un groupe de travail intérimaire constitué d'experts de haut niveau et chargé de définir la manière dont les ressources devraient être attribuées conformément à l'objet de l'Union, ce qui permettrait à l'Union de hiérarchiser ses fonctions et objectifs essentiels. Il </w:t>
      </w:r>
      <w:r w:rsidR="00885F7C">
        <w:br w:type="page"/>
      </w:r>
    </w:p>
    <w:p w14:paraId="6F11985D" w14:textId="525D47A3" w:rsidR="007720C4" w:rsidRPr="00386F72" w:rsidRDefault="007720C4" w:rsidP="007720C4">
      <w:r w:rsidRPr="00386F72">
        <w:lastRenderedPageBreak/>
        <w:t>est également proposé que le Conseil autorise une entité extérieure à procéder à un examen complet et indépendant de toutes les activités de l'UIT et qu'un comité permanent chargé de l'attribution des ressources soit créé par la suite.</w:t>
      </w:r>
    </w:p>
    <w:p w14:paraId="110F26DE" w14:textId="4B0657A2" w:rsidR="007720C4" w:rsidRPr="00386F72" w:rsidRDefault="007720C4" w:rsidP="007720C4">
      <w:r w:rsidRPr="00386F72">
        <w:t>21.5</w:t>
      </w:r>
      <w:r w:rsidRPr="00386F72">
        <w:tab/>
        <w:t xml:space="preserve">Au cours des débats qui s'en sont suivi, les conseillers, tout en saluant les efforts déployés par le </w:t>
      </w:r>
      <w:r w:rsidR="00AB78E5">
        <w:t>S</w:t>
      </w:r>
      <w:r w:rsidRPr="00386F72">
        <w:t>ecrétariat pour garantir des projections réalistes des produits et en reconnaissant les mesures prises pour maintenir la stabilité et la viabilité financières à long terme de l'Union et équilibrer le budget dans un contexte de stagnation des ressources et d'inflation, ont néanmoins fait observer que le projet de plan financier manquait de clarté et de transparence et que les liens avec les priorités stratégiques et les aspects opérationnels étaient insuffisants. Il est nécessaire d'établir des liens plus étroits avec le Plan stratégique. Dans le cadre de l'établissement des rapports financiers, la transparence et la responsabilisation sont essentielles. Une période prolongée de croissance nominale zéro a entraîné d'importantes difficultés économiques pour l'Union. Toutefois, tout examen visant à envisager un ajustement à la hausse du montant de l'unité contributive doit tenir compte des capacités financières des pays en développement. Une conseillère a ajouté qu'il fallait prendre des mesures pour demander des comptes à tout Membre n'ayant pas respecté ses engagements en ce qui concerne le paiement de sa contribution.</w:t>
      </w:r>
    </w:p>
    <w:p w14:paraId="0D52C886" w14:textId="7A2340C3" w:rsidR="007720C4" w:rsidRPr="00386F72" w:rsidRDefault="007720C4" w:rsidP="007720C4">
      <w:r w:rsidRPr="00386F72">
        <w:t>21.6</w:t>
      </w:r>
      <w:r w:rsidRPr="00386F72">
        <w:tab/>
        <w:t xml:space="preserve">Une gestion financière disciplinée est cruciale. Les conseillers ont appelé à la prudence dans le calcul et la comptabilisation des produits provenant des fiches de notification des réseaux à satellite, en particulier dans les estimations faites en prévision de l'approbation de la nouvelle méthode de recouvrement des coûts pour le traitement des fiches de notification des réseaux à satellite. Des préoccupations particulières ont été exprimées en ce qui concerne le manque de ressources allouées dans le plan financier à la continuité des activités et aux investissements dans les infrastructures et services TIC, qui sont essentiels pour l'avenir de l'Union. La continuité des activités et un cadre d'activité cohérent sont particulièrement importants. L'absence de méthode claire pour le calcul des incidences financières des décisions des conférences est également source de préoccupations; Il convient d'éviter d'augmenter encore le nombre déjà élevé d'activités non financées. Les conseillers ont exprimé un soutien massif en faveur de la proposition de la Présidente du GTC-FHR, selon laquelle une séance d'information sur le plan financier devrait être organisée avant la PP-26, afin que le </w:t>
      </w:r>
      <w:r w:rsidR="00AB78E5">
        <w:t>S</w:t>
      </w:r>
      <w:r w:rsidRPr="00386F72">
        <w:t>ecrétariat établisse des liens plus étroits avec le plan stratégique et explique comment il entend traiter des domaines d'activité importants pour lesquels le financement fait défaut. Des informations claires et détaillées devraient être fournies sur tous les aspects préoccupants et les réactions des États Membres devraient être prises en considération.</w:t>
      </w:r>
    </w:p>
    <w:p w14:paraId="3BE38729" w14:textId="77777777" w:rsidR="007720C4" w:rsidRPr="00386F72" w:rsidRDefault="007720C4" w:rsidP="007720C4">
      <w:r w:rsidRPr="00386F72">
        <w:t>21.7</w:t>
      </w:r>
      <w:r w:rsidRPr="00386F72">
        <w:tab/>
        <w:t xml:space="preserve">Les conseillers ont pris note des mesures de maîtrise des coûts prises pour réduire le budget pour l'exercice biennal 2026-2027 et ont demandé des informations supplémentaires sur les résultats obtenus à ce jour. Les mesures d'efficacité devraient être quantifiées et un ensemble d'indicateurs devraient être élaborés pour permettre une évaluation et un examen périodiques, et des mesures correctives claires devraient être mises en œuvre si des gains d'efficacité n'ont pas été réalisés. Une conseillère a souligné la nécessité de prendre des mesures claires pour réduire les déplacements du personnel, notamment une réduction ciblée des dépenses, un recours accru à la participation virtuelle et l'absence de voyages en classe affaires. Des éclaircissements ont été demandés sur ce que l'on entend par la "réduction modérée du niveau global des effectifs", qui a été jugée nécessaire pour maintenir l'équilibre entre les charges et les produits attendus dans un contexte de </w:t>
      </w:r>
      <w:r w:rsidRPr="00386F72">
        <w:lastRenderedPageBreak/>
        <w:t>croissance nominale zéro et d'augmentation des coûts. Les conseillers ont souhaité savoir combien de postes seraient supprimés, quels postes seraient regroupés et à quelle échéance, tout en sollicitant l'assurance que cette mesure serait sans conséquence pour les projets et la prestation de services. Une conseillère a souligné que les postes vacants ne devraient pas être pourvus par des contrats de consultants, tandis qu'un autre conseiller a estimé que le recours à des sous-traitants pour combler les lacunes et permettre à l'UIT de s'acquitter de son mandat serait inévitable si des postes étaient supprimés. Il est essentiel de rendre compte clairement des besoins en matière de services contractuels.</w:t>
      </w:r>
    </w:p>
    <w:p w14:paraId="22C4F881" w14:textId="77777777" w:rsidR="007720C4" w:rsidRPr="00386F72" w:rsidRDefault="007720C4" w:rsidP="007720C4">
      <w:pPr>
        <w:rPr>
          <w:rFonts w:cs="Calibri"/>
        </w:rPr>
      </w:pPr>
      <w:r w:rsidRPr="00386F72">
        <w:rPr>
          <w:rFonts w:cs="Calibri"/>
        </w:rPr>
        <w:t>21.8</w:t>
      </w:r>
      <w:r w:rsidRPr="00386F72">
        <w:rPr>
          <w:rFonts w:cs="Calibri"/>
        </w:rPr>
        <w:tab/>
        <w:t>Il est essentiel de définir des priorités pour l'affectation des ressources; il est nécessaire de disposer d'un processus clair et transparent pour ce faire, processus auquel les États Membres pourraient contribuer par l'intermédiaire des organes directeurs. Les liens entre les priorités et les Bureaux devraient être mis en évidence. Si des mécanismes de financement complémentaires et transparents devraient être étudiés, pour plusieurs conseillers, il serait prématuré pour le moment de créer un fonds dédié pour l'IA. L'utilisation de l'IA, y compris "L'IA au service du bien social", doit correspondre aux besoins et aux priorités de l'Union et devrait continuer d'être financée à titre volontaire. D'autres conseillers ont fait part de leur préoccupation quant au fait que s'appuyer sur des financements volontaires pour l'IA n'était pas compatible avec les ambitions de l'Union et posait des problèmes s'agissant de la viabilité et de l'équité, en particulier pour les pays en développement. Un conseiller a demandé ce que l'on pourrait faire de plus pour mobiliser des fonds et a mis en garde contre le fait de s'appuyer sur des contributions volontaires, qui étaient souvent destinées à un projet en particulier; l'Union doit être libre d'utiliser les contributions financières dont elle dispose de manière appropriée et sa transformation numérique doit être financée par des ressources adéquates. Il faudrait renforcer des activités ayant des incidences financières et stratégiques importantes, tout en maintenant la souplesse et l'efficacité du fonctionnement de l'Union. La progression des ventes de publications devrait être utilisée pour accroître les produits et il faudrait envisager de réduire autant que faire se peut les pertes de change et d'optimiser les produits générés grâce au portefeuille de placements de l'UIT.</w:t>
      </w:r>
    </w:p>
    <w:p w14:paraId="797E20B6" w14:textId="77777777" w:rsidR="007720C4" w:rsidRPr="00386F72" w:rsidRDefault="007720C4" w:rsidP="00885F7C">
      <w:pPr>
        <w:rPr>
          <w:rFonts w:cs="Calibri"/>
        </w:rPr>
      </w:pPr>
      <w:r w:rsidRPr="00386F72">
        <w:rPr>
          <w:rFonts w:cs="Calibri"/>
        </w:rPr>
        <w:t>21.9</w:t>
      </w:r>
      <w:r w:rsidRPr="00386F72">
        <w:rPr>
          <w:rFonts w:cs="Calibri"/>
        </w:rPr>
        <w:tab/>
        <w:t xml:space="preserve">Les conseillers ont accueilli avec satisfaction les contributions soumises par plusieurs pays figurant dans les Documents C26/80 et C26/81, et sont convenus de l'importance de la transparence dans la gestion financière pour permettre au Conseil de comprendre parfaitement les coûts des différentes activités de l'UIT et, partant, de guider l'UIT dans ses choix stratégiques. Il serait essentiel de définir des priorités pour garantir l'utilisation optimale des ressources limitées de l'Union. Cela étant, les conseilleurs ont mis en garde contre le risque de rendre les processus de gouvernance de l'UIT plus complexes et d'accroître la possibilité de </w:t>
      </w:r>
      <w:proofErr w:type="spellStart"/>
      <w:r w:rsidRPr="00386F72">
        <w:rPr>
          <w:rFonts w:cs="Calibri"/>
        </w:rPr>
        <w:t>microgestion</w:t>
      </w:r>
      <w:proofErr w:type="spellEnd"/>
      <w:r w:rsidRPr="00386F72">
        <w:rPr>
          <w:rFonts w:cs="Calibri"/>
        </w:rPr>
        <w:t>. Les éventuelles obligations supplémentaires concernant la présentation de rapports ne devraient pas entraîner d'augmentation de la charge administrative pour les États Membres ou le Secrétariat. Il serait au contraire préférable de simplifier les structures de gouvernance et de rendre l'UIT plus souple et plus accessible pour les États Membres. Les doublons devraient être évités. Il serait nécessaire d'examiner plus avant la manière d'encourager une approche axée sur les résultats.</w:t>
      </w:r>
    </w:p>
    <w:p w14:paraId="76B9DAA1" w14:textId="77777777" w:rsidR="007720C4" w:rsidRPr="00386F72" w:rsidRDefault="007720C4" w:rsidP="007720C4">
      <w:pPr>
        <w:tabs>
          <w:tab w:val="clear" w:pos="567"/>
          <w:tab w:val="left" w:pos="709"/>
        </w:tabs>
        <w:rPr>
          <w:rFonts w:cs="Calibri"/>
        </w:rPr>
      </w:pPr>
      <w:r w:rsidRPr="00386F72">
        <w:rPr>
          <w:rFonts w:cs="Calibri"/>
        </w:rPr>
        <w:t>21.10</w:t>
      </w:r>
      <w:r w:rsidRPr="00386F72">
        <w:rPr>
          <w:rFonts w:cs="Calibri"/>
        </w:rPr>
        <w:tab/>
        <w:t xml:space="preserve">Concernant la contribution de la Fédération de Russie figurant dans le Document C26/91, les conseillers sont convenus qu'il était important d'aligner l'utilisation des ressources sur les priorités et l'objet de l'UIT, et ont souligné la nécessité de se concentrer sur la mission première de l'Union. Toutefois, ils ne souhaitaient pas créer </w:t>
      </w:r>
      <w:r w:rsidRPr="00386F72">
        <w:rPr>
          <w:rFonts w:cs="Calibri"/>
        </w:rPr>
        <w:lastRenderedPageBreak/>
        <w:t>d'organes ou de couches de supervision et de gestion supplémentaires et ont indiqué préférer largement utiliser les capacités des structures existantes, en particulier le GTC-FHR, pour étudier cette question plus avant.</w:t>
      </w:r>
    </w:p>
    <w:p w14:paraId="53053DB6" w14:textId="77777777" w:rsidR="007720C4" w:rsidRPr="00386F72" w:rsidRDefault="007720C4" w:rsidP="007720C4">
      <w:pPr>
        <w:tabs>
          <w:tab w:val="clear" w:pos="567"/>
          <w:tab w:val="left" w:pos="709"/>
        </w:tabs>
        <w:rPr>
          <w:rFonts w:cs="Calibri"/>
        </w:rPr>
      </w:pPr>
      <w:r w:rsidRPr="00386F72">
        <w:rPr>
          <w:rFonts w:cs="Calibri"/>
        </w:rPr>
        <w:t>21.11</w:t>
      </w:r>
      <w:r w:rsidRPr="00386F72">
        <w:rPr>
          <w:rFonts w:cs="Calibri"/>
        </w:rPr>
        <w:tab/>
        <w:t>Le Chef du Département FRMD a indiqué qu'il avait été pris dûment note du très vif intérêt manifesté par les États Membres concernant la tenue d'une séance d'information, laquelle serait organisée avant la PP-26. Les liens avec le Plan stratégique et le plan opérationnel seraient indiqués de manière plus claire une fois ces plans approuvés, à la suite de quoi, et avec les orientations données par le Conseil, la version finale du plan financier serait établie en vue de sa soumission à la PP-26. Une somme de 6 millions CHF était affectée au Fonds de roulement pour les TIC pour la période sur laquelle portait le plan financier, alors que cette somme n'était que de 3 millions CHF pour le cycle quadriennal précédent. Des données détaillées d'une part sur les incidence des deux programmes de départ volontaire sur la réduction du nombre de fonctionnaires et, d'autre part, sur la réalisation des objectifs en matière de réduction des voyages du personnel seraient présentées au titre d'autres points de l'ordre du jour. Tout serait mis en œuvre pour mettre à profit la progression des ventes de publications afin de générer des produits supplémentaires. S'agissant des incidences des taux de changes, les pertes correspondantes étaient mineures. La comptabilité de l'Union était réalisée en francs suisses, sauf dans le cas des cotisations à l'assurance maladie et à la caisse des pensions du personnel, qui étaient calculées en dollars des États-Unis. L'UIT mettait par ailleurs en œuvre des mesures d'efficacité définies dans le cadre de l'Initiative ONU80.</w:t>
      </w:r>
    </w:p>
    <w:p w14:paraId="0B1D4643" w14:textId="77777777" w:rsidR="007720C4" w:rsidRPr="00386F72" w:rsidRDefault="007720C4" w:rsidP="007720C4">
      <w:pPr>
        <w:tabs>
          <w:tab w:val="clear" w:pos="567"/>
          <w:tab w:val="left" w:pos="709"/>
        </w:tabs>
        <w:rPr>
          <w:rFonts w:cs="Calibri"/>
        </w:rPr>
      </w:pPr>
      <w:r w:rsidRPr="00386F72">
        <w:rPr>
          <w:rFonts w:cs="Calibri"/>
        </w:rPr>
        <w:t>21.12</w:t>
      </w:r>
      <w:r w:rsidRPr="00386F72">
        <w:rPr>
          <w:rFonts w:cs="Calibri"/>
        </w:rPr>
        <w:tab/>
        <w:t>Le Vice-Secrétaire général a fait savoir que le nouveau cycle de planification financière qui permettrait d'établir le plan financier pour la période 2028-2031 n'en était qu'au tout début. La première priorité était actuellement de garantir une coordination étroite entre le Plan stratégique et le plan financier et de veiller à ce que le plan financier corresponde aux priorités stratégiques thématiques définies par les États Membres. Grâce au processus de planification opérationnelle, des ressources seraient affectées aux Bureaux et au Secrétariat, conformément au Plan stratégique, afin de faire en sorte que ces priorités soient traitées comme il se doit. Il avait été pris acte des demandes visant à ce que les rapports financiers présentés soient clairs et transparents. La transparence serait renforcée grâce au tableau de bord sur la gestion des ressources. Des efforts étaient actuellement déployés pour garantir une gestion prudente des ressources. Il n'était pas viable d'utiliser les économies réalisées par l'UIT pour financer des activités non financées par ailleurs et demandées par des conférences. La situation ne s'améliorerait que lorsque la version finale de la méthode de calcul des incidences financières des décisions et résolutions des conférences et assemblée aurait été établie dans le cadre du GTC-FHR. Des financements étaient en passe d'être affectés au Fonds de roulement pour les TIC et au développement de logiciels pour faciliter le traitement les fiches de notification de réseaux à satellite. Le Secrétariat était très reconnaissant envers la Suisse qui a accordé des ressources supplémentaires pour garantir la continuité des activités, ce qui permettrait à l'UIT de poursuivre ses travaux tout au long du projet de rénovation du siège.</w:t>
      </w:r>
    </w:p>
    <w:p w14:paraId="7D1D3554" w14:textId="77777777" w:rsidR="007720C4" w:rsidRPr="00386F72" w:rsidRDefault="007720C4" w:rsidP="00885F7C">
      <w:pPr>
        <w:keepNext/>
        <w:tabs>
          <w:tab w:val="clear" w:pos="567"/>
          <w:tab w:val="left" w:pos="709"/>
        </w:tabs>
        <w:spacing w:after="120" w:line="259" w:lineRule="auto"/>
        <w:rPr>
          <w:rFonts w:eastAsia="Calibri" w:cs="Calibri"/>
          <w:szCs w:val="24"/>
        </w:rPr>
      </w:pPr>
      <w:r w:rsidRPr="00386F72">
        <w:rPr>
          <w:rFonts w:eastAsia="Calibri" w:cs="Calibri"/>
          <w:spacing w:val="-4"/>
          <w:szCs w:val="24"/>
        </w:rPr>
        <w:lastRenderedPageBreak/>
        <w:t>21.13</w:t>
      </w:r>
      <w:r w:rsidRPr="00386F72">
        <w:rPr>
          <w:rFonts w:eastAsia="Calibri" w:cs="Calibri"/>
          <w:szCs w:val="24"/>
        </w:rPr>
        <w:tab/>
        <w:t xml:space="preserve">La Commission </w:t>
      </w:r>
      <w:r w:rsidRPr="00386F72">
        <w:rPr>
          <w:rFonts w:eastAsia="Calibri" w:cs="Calibri"/>
          <w:b/>
          <w:bCs/>
          <w:szCs w:val="24"/>
        </w:rPr>
        <w:t>est convenue</w:t>
      </w:r>
      <w:r w:rsidRPr="00386F72">
        <w:rPr>
          <w:rFonts w:eastAsia="Calibri" w:cs="Calibri"/>
          <w:szCs w:val="24"/>
        </w:rPr>
        <w:t xml:space="preserve"> de formuler les conclusions suivantes sur cette question:</w:t>
      </w:r>
    </w:p>
    <w:tbl>
      <w:tblPr>
        <w:tblStyle w:val="TableGrid"/>
        <w:tblW w:w="0" w:type="auto"/>
        <w:tblInd w:w="-147" w:type="dxa"/>
        <w:tblLook w:val="04A0" w:firstRow="1" w:lastRow="0" w:firstColumn="1" w:lastColumn="0" w:noHBand="0" w:noVBand="1"/>
      </w:tblPr>
      <w:tblGrid>
        <w:gridCol w:w="9061"/>
      </w:tblGrid>
      <w:tr w:rsidR="007720C4" w:rsidRPr="00386F72" w14:paraId="34776D15" w14:textId="77777777" w:rsidTr="00CF7A69">
        <w:tc>
          <w:tcPr>
            <w:tcW w:w="9061" w:type="dxa"/>
          </w:tcPr>
          <w:p w14:paraId="6493D22C" w14:textId="77777777" w:rsidR="007720C4" w:rsidRPr="00386F72" w:rsidRDefault="007720C4" w:rsidP="00885F7C">
            <w:pPr>
              <w:keepNext/>
              <w:tabs>
                <w:tab w:val="clear" w:pos="567"/>
                <w:tab w:val="left" w:pos="738"/>
              </w:tabs>
              <w:spacing w:line="259" w:lineRule="auto"/>
              <w:ind w:left="40"/>
              <w:rPr>
                <w:rFonts w:eastAsia="Calibri" w:cs="Calibri"/>
                <w:szCs w:val="24"/>
              </w:rPr>
            </w:pPr>
            <w:r w:rsidRPr="00386F72">
              <w:rPr>
                <w:rFonts w:cs="Calibri"/>
                <w:szCs w:val="24"/>
              </w:rPr>
              <w:t>21.14</w:t>
            </w:r>
            <w:r w:rsidRPr="00386F72">
              <w:rPr>
                <w:rFonts w:eastAsia="Calibri" w:cs="Calibri"/>
                <w:szCs w:val="24"/>
              </w:rPr>
              <w:tab/>
              <w:t>La Commission recommande au Conseil:</w:t>
            </w:r>
          </w:p>
          <w:p w14:paraId="15F2C92A" w14:textId="2D4D3BEB" w:rsidR="007720C4" w:rsidRDefault="007720C4" w:rsidP="00CF7A69">
            <w:pPr>
              <w:pStyle w:val="enumlev1"/>
              <w:tabs>
                <w:tab w:val="clear" w:pos="567"/>
              </w:tabs>
              <w:ind w:left="747" w:hanging="709"/>
            </w:pPr>
            <w:r w:rsidRPr="00386F72">
              <w:t>•</w:t>
            </w:r>
            <w:r w:rsidRPr="00386F72">
              <w:tab/>
              <w:t xml:space="preserve">de prendre note du rapport figurant dans le </w:t>
            </w:r>
            <w:r w:rsidRPr="00386F72">
              <w:rPr>
                <w:rStyle w:val="Hyperlink"/>
              </w:rPr>
              <w:t xml:space="preserve">Document </w:t>
            </w:r>
            <w:hyperlink r:id="rId96" w:history="1">
              <w:r w:rsidRPr="00386F72">
                <w:rPr>
                  <w:rStyle w:val="Hyperlink"/>
                  <w:rFonts w:eastAsia="Calibri" w:cs="Calibri"/>
                  <w:szCs w:val="24"/>
                </w:rPr>
                <w:t>C26/32</w:t>
              </w:r>
            </w:hyperlink>
            <w:r w:rsidRPr="00386F72">
              <w:t xml:space="preserve"> et des contributions figurant dans les </w:t>
            </w:r>
            <w:r w:rsidRPr="00386F72">
              <w:rPr>
                <w:rStyle w:val="Hyperlink"/>
              </w:rPr>
              <w:t xml:space="preserve">Documents </w:t>
            </w:r>
            <w:hyperlink r:id="rId97" w:history="1">
              <w:r w:rsidRPr="00386F72">
                <w:rPr>
                  <w:rStyle w:val="Hyperlink"/>
                  <w:rFonts w:eastAsia="Calibri" w:cs="Calibri"/>
                  <w:szCs w:val="24"/>
                </w:rPr>
                <w:t>C26/80</w:t>
              </w:r>
            </w:hyperlink>
            <w:r w:rsidRPr="00386F72">
              <w:t xml:space="preserve">, </w:t>
            </w:r>
            <w:hyperlink r:id="rId98" w:history="1">
              <w:r w:rsidRPr="00386F72">
                <w:rPr>
                  <w:rStyle w:val="Hyperlink"/>
                  <w:rFonts w:eastAsia="Calibri" w:cs="Calibri"/>
                  <w:szCs w:val="24"/>
                </w:rPr>
                <w:t>C26/81</w:t>
              </w:r>
            </w:hyperlink>
            <w:r w:rsidRPr="00386F72">
              <w:t xml:space="preserve"> et </w:t>
            </w:r>
            <w:hyperlink r:id="rId99" w:history="1">
              <w:r w:rsidRPr="00386F72">
                <w:rPr>
                  <w:rStyle w:val="Hyperlink"/>
                  <w:rFonts w:eastAsia="Calibri" w:cs="Calibri"/>
                  <w:szCs w:val="24"/>
                </w:rPr>
                <w:t>C26/91</w:t>
              </w:r>
            </w:hyperlink>
            <w:r w:rsidRPr="00386F72">
              <w:t>;</w:t>
            </w:r>
          </w:p>
          <w:p w14:paraId="343A7746" w14:textId="21DC01A5" w:rsidR="00885F7C" w:rsidRDefault="00885F7C" w:rsidP="00885F7C">
            <w:pPr>
              <w:pStyle w:val="enumlev1"/>
              <w:tabs>
                <w:tab w:val="clear" w:pos="567"/>
              </w:tabs>
              <w:ind w:left="747" w:hanging="709"/>
            </w:pPr>
            <w:r w:rsidRPr="00885F7C">
              <w:t>•</w:t>
            </w:r>
            <w:r>
              <w:tab/>
              <w:t>d'encourager la poursuite du renforcement de la planification et de la gestion financières s'agissant de la clarté, de la transparence et des responsabilités et de renforcer également le lien avec la planification stratégique et opérationnelle; et</w:t>
            </w:r>
          </w:p>
          <w:p w14:paraId="1E1C084E" w14:textId="69310461" w:rsidR="007720C4" w:rsidRPr="00386F72" w:rsidRDefault="00885F7C" w:rsidP="00885F7C">
            <w:pPr>
              <w:pStyle w:val="enumlev1"/>
              <w:tabs>
                <w:tab w:val="clear" w:pos="567"/>
              </w:tabs>
              <w:spacing w:after="120"/>
              <w:ind w:left="747" w:hanging="709"/>
            </w:pPr>
            <w:r>
              <w:t>•</w:t>
            </w:r>
            <w:r>
              <w:tab/>
              <w:t>de charger le Secrétariat d'organiser une séance d'information avant la PP-26 sur le Plan financier pour la période 2028-2031, y compris sur les États financiers vérifiés et le Rapport de gestion financière pour 2025.</w:t>
            </w:r>
          </w:p>
        </w:tc>
      </w:tr>
    </w:tbl>
    <w:p w14:paraId="5FA368B4" w14:textId="77777777" w:rsidR="00197D16" w:rsidRPr="00386F72" w:rsidRDefault="00197D16" w:rsidP="00197D16">
      <w:pPr>
        <w:pStyle w:val="Heading1"/>
      </w:pPr>
      <w:r w:rsidRPr="00386F72">
        <w:t>22</w:t>
      </w:r>
      <w:r w:rsidRPr="00386F72">
        <w:tab/>
        <w:t>Informations mises à jour concernant le projet de locaux du siège de l'Union (</w:t>
      </w:r>
      <w:hyperlink r:id="rId100" w:history="1">
        <w:r w:rsidRPr="00386F72">
          <w:rPr>
            <w:rStyle w:val="Hyperlink"/>
            <w:rFonts w:eastAsia="Times New Roman" w:cs="Times New Roman"/>
            <w:szCs w:val="20"/>
          </w:rPr>
          <w:t>Document C26/7</w:t>
        </w:r>
      </w:hyperlink>
      <w:r w:rsidRPr="00386F72">
        <w:t>)</w:t>
      </w:r>
    </w:p>
    <w:p w14:paraId="1AF4B409" w14:textId="77777777" w:rsidR="00197D16" w:rsidRPr="00386F72" w:rsidRDefault="00197D16" w:rsidP="00197D16">
      <w:pPr>
        <w:pStyle w:val="Heading1"/>
        <w:spacing w:before="160"/>
      </w:pPr>
      <w:r w:rsidRPr="00386F72">
        <w:tab/>
        <w:t>Rapport du Groupe consultatif d'États Membres (MSAG) (</w:t>
      </w:r>
      <w:hyperlink r:id="rId101" w:history="1">
        <w:r w:rsidRPr="00386F72">
          <w:rPr>
            <w:rStyle w:val="Hyperlink"/>
            <w:rFonts w:eastAsia="Times New Roman" w:cs="Times New Roman"/>
            <w:szCs w:val="20"/>
          </w:rPr>
          <w:t>Document C26/48</w:t>
        </w:r>
      </w:hyperlink>
      <w:r w:rsidRPr="00386F72">
        <w:t>)</w:t>
      </w:r>
    </w:p>
    <w:p w14:paraId="38AB6D4D" w14:textId="77777777" w:rsidR="00197D16" w:rsidRPr="00386F72" w:rsidRDefault="00197D16" w:rsidP="00197D16">
      <w:r w:rsidRPr="00386F72">
        <w:t>22.1</w:t>
      </w:r>
      <w:r w:rsidRPr="00386F72">
        <w:tab/>
        <w:t>Un représentant du Secrétariat général a présenté le Document C26/7, qui fait le point sur la mise en œuvre de la Décision 640 (C24) du Conseil sur le nouveau projet réévalué pour les locaux du siège de l'UIT. Ce document décrit également en détail les mesures prises pour améliorer la gouvernance et le contrôle et garantir la continuité des activités pendant la période de construction. L'orateur a remercié les sponsors, les donateurs et le pays hôte, ainsi que l'expert technique du Groupe consultatif d'États Membres (MSAG) détaché par l'Allemagne.</w:t>
      </w:r>
    </w:p>
    <w:p w14:paraId="238CE702" w14:textId="25E070AE" w:rsidR="00197D16" w:rsidRPr="00386F72" w:rsidRDefault="00197D16" w:rsidP="00197D16">
      <w:r w:rsidRPr="00386F72">
        <w:t>22.2</w:t>
      </w:r>
      <w:r w:rsidRPr="00386F72">
        <w:tab/>
        <w:t xml:space="preserve">Le conseiller du Brésil, s'exprimant en sa qualité de Président du Groupe MSAG, a présenté le Document C26/48, qui contient des informations sur les activités menées par le Groupe MSAG depuis la session de 2025 du Conseil. </w:t>
      </w:r>
      <w:r w:rsidR="0004384E" w:rsidRPr="00386F72">
        <w:t>Il a souligné qu'un registre complet des risques était tenu à jour et actualisé régulièrement. Il a mis en évidence l'importance de poursuivre un travail d'harmonisation étroit avec les sponsors du projet</w:t>
      </w:r>
      <w:r w:rsidRPr="00386F72">
        <w:t>, en particulier pour s'assurer que les exigences convenues, par exemple en ce qui concerne l'auditorium, étaient correctement prises en compte dans la conception.</w:t>
      </w:r>
    </w:p>
    <w:p w14:paraId="4AC180EF" w14:textId="77777777" w:rsidR="00885F7C" w:rsidRDefault="00197D16" w:rsidP="00197D16">
      <w:r w:rsidRPr="00386F72">
        <w:t>22.3</w:t>
      </w:r>
      <w:r w:rsidRPr="00386F72">
        <w:tab/>
        <w:t xml:space="preserve">Des conseillers ont salué les progrès accomplis dans le projet de locaux du siège et se sont félicités du respect du calendrier et du budget approuvé. Ils se sont déclarés favorables au renforcement des mécanismes de gouvernance et de contrôle, en particulier le nouveau registre des risques et la nouvelle méthode. Plusieurs conseillers ont souligné qu'il était essentiel que les dispositions relatives à la continuité des activités restent inclusives et évitent d'imposer des contraintes additionnelles aux États Membres, en particulier aux pays en développement. Une conseillère a fait observer que le Document C26/7 était moins détaillé que les rapports sur des projets similaires menés au sein du système des Nations Unies. Les futurs rapports sur le projet comporteraient un tableau de synthèse pour le suivi des coûts, d'autres informations sur les risques, y compris les risques d'atténuation et </w:t>
      </w:r>
      <w:r w:rsidR="00885F7C">
        <w:br w:type="page"/>
      </w:r>
    </w:p>
    <w:p w14:paraId="6F870EDE" w14:textId="4C85F980" w:rsidR="00197D16" w:rsidRPr="00386F72" w:rsidRDefault="00197D16" w:rsidP="00197D16">
      <w:r w:rsidRPr="00386F72">
        <w:lastRenderedPageBreak/>
        <w:t>les risques résiduels, une grille de décision indiquant les modalités et coûts potentiels de la tenue des réunions futures au siège de l'UIT et les incidences sur les délégations des pays en développement et des informations détaillées sur les avantages attendus du projet.</w:t>
      </w:r>
    </w:p>
    <w:p w14:paraId="2B523E01" w14:textId="77777777" w:rsidR="00197D16" w:rsidRPr="00386F72" w:rsidRDefault="00197D16" w:rsidP="00197D16">
      <w:r w:rsidRPr="00386F72">
        <w:t>22.4</w:t>
      </w:r>
      <w:r w:rsidRPr="00386F72">
        <w:tab/>
        <w:t>Le conseiller du Brésil, s'exprimant en sa qualité de Président du Groupe MSAG, a déclaré que les suggestions relatives aux rapports futurs seraient examinées à la réunion suivante du Groupe MSAG.</w:t>
      </w:r>
    </w:p>
    <w:p w14:paraId="0D2180D0" w14:textId="21DD2BDC" w:rsidR="00197D16" w:rsidRPr="00386F72" w:rsidRDefault="00197D16" w:rsidP="00197D16">
      <w:r w:rsidRPr="00386F72">
        <w:t>22.5</w:t>
      </w:r>
      <w:r w:rsidRPr="00386F72">
        <w:tab/>
        <w:t xml:space="preserve">Le représentant du Secrétariat général a fait observer que des efforts concertés avaient été déployés pour organiser à intervalles réguliers des réunions du Groupe MSAG et de la Commission de direction, afin de veiller à ce que le projet reste sur la bonne voie et soit conforme aux orientations des États Membres. Rappelant que l'Annexe A du document fournit des informations sur le budget total consacré et les dépenses engagées à ce jour, il a informé les conseillers qu'un rapport budgétaire plus détaillé était fourni </w:t>
      </w:r>
      <w:r w:rsidR="0004384E" w:rsidRPr="00386F72">
        <w:t xml:space="preserve">régulièrement </w:t>
      </w:r>
      <w:r w:rsidRPr="00386F72">
        <w:t>à l'équipe de projet; la Commission de direction et le Groupe MSAG ont également reçu des informations plus détaillées. Sur demande, le prochain rapport sur le projet pourrait contenir davantage de précisions sur toutes les lignes budgétaires, ainsi que les informations supplémentaires sur les risques et les mesures d'atténuation qui ont été fournies à la Commission de direction. L'orateur a souligné qu'en adoptant une approche de conception en fonction des coûts et en veillant à ce que les trois paramètres clés approuvés par le Conseil, à savoir l'ampleur du projet, le calendrier et les coûts, restent sur la bonne voie, les responsables du projet ont pu compenser le retrait de l'un de ses sponsors attendus grâce aux provisions pour imprévus.</w:t>
      </w:r>
    </w:p>
    <w:p w14:paraId="595753DF" w14:textId="67095CF4" w:rsidR="00197D16" w:rsidRPr="00386F72" w:rsidRDefault="00197D16" w:rsidP="00197D16">
      <w:r w:rsidRPr="00386F72">
        <w:t>22.6</w:t>
      </w:r>
      <w:r w:rsidRPr="00386F72">
        <w:tab/>
        <w:t xml:space="preserve">En réponse à une question sur les niveaux de bruit, il a précisé que des essais acoustiques avait montré que le bruit provenant des machines </w:t>
      </w:r>
      <w:r w:rsidR="0004384E" w:rsidRPr="00386F72">
        <w:t xml:space="preserve">transmis par la structure </w:t>
      </w:r>
      <w:r w:rsidRPr="00386F72">
        <w:t xml:space="preserve">affecterait uniquement la salle A et un espace de travail à l'extérieur de la salle Popov. Les niveaux de bruit aérien, qui sont plus subjectifs, sont en cours d'évaluation. Pour atténuer les incidences du bruit, </w:t>
      </w:r>
      <w:r w:rsidR="0004384E" w:rsidRPr="00386F72">
        <w:t xml:space="preserve">il pourrait être convenu avec l'entrepreneur que les travaux de construction soient suspendus lorsque des événements importants se tiendront au siège, et que certaines activités particulièrement perturbatrices soient entreprises hors site. La période la plus bruyante se situera pendant la démolition du bâtiment </w:t>
      </w:r>
      <w:proofErr w:type="spellStart"/>
      <w:r w:rsidR="0004384E" w:rsidRPr="00386F72">
        <w:t>Varembé</w:t>
      </w:r>
      <w:proofErr w:type="spellEnd"/>
      <w:r w:rsidR="0004384E" w:rsidRPr="00386F72">
        <w:t xml:space="preserve"> et les travaux sur les fondations, qui auront lieu entre octobre 2028 et août 2029</w:t>
      </w:r>
      <w:r w:rsidRPr="00386F72">
        <w:t xml:space="preserve">. L'intervenant a confirmé que lorsque le personnel serait déplacé du bâtiment </w:t>
      </w:r>
      <w:proofErr w:type="spellStart"/>
      <w:r w:rsidRPr="00386F72">
        <w:t>Varembé</w:t>
      </w:r>
      <w:proofErr w:type="spellEnd"/>
      <w:r w:rsidRPr="00386F72">
        <w:t xml:space="preserve"> vers la Tour et le bâtiment </w:t>
      </w:r>
      <w:proofErr w:type="spellStart"/>
      <w:r w:rsidRPr="00386F72">
        <w:t>Montbrillant</w:t>
      </w:r>
      <w:proofErr w:type="spellEnd"/>
      <w:r w:rsidRPr="00386F72">
        <w:t xml:space="preserve">, des modalités de travail hybrides et le partage des bureaux seraient mis en place, ce qui </w:t>
      </w:r>
      <w:r w:rsidR="0004384E" w:rsidRPr="00386F72">
        <w:t>améliorera</w:t>
      </w:r>
      <w:r w:rsidRPr="00386F72">
        <w:t xml:space="preserve"> considérablement l'efficacité d'utilisation de l'espace.</w:t>
      </w:r>
    </w:p>
    <w:p w14:paraId="06398794" w14:textId="45660BEF" w:rsidR="00197D16" w:rsidRPr="00386F72" w:rsidRDefault="00197D16" w:rsidP="00197D16">
      <w:r w:rsidRPr="00386F72">
        <w:t>22.7</w:t>
      </w:r>
      <w:r w:rsidRPr="00386F72">
        <w:tab/>
        <w:t xml:space="preserve">Un représentant de l'Unité des affaires juridiques, en réponse à la question d'une conseillère, a rappelé que l'Annexe B du Document C26/7 indiquait les dispositions du dispositif des décisions du Conseil qui restaient en vigueur et celles qui avaient été remplacées par des décisions ultérieures du Conseil ou qui étaient devenues caduques </w:t>
      </w:r>
      <w:r w:rsidR="00BF77EB" w:rsidRPr="00386F72">
        <w:t xml:space="preserve">dans la pratique </w:t>
      </w:r>
      <w:r w:rsidRPr="00386F72">
        <w:t xml:space="preserve">du fait de l'évolution de la situation. </w:t>
      </w:r>
      <w:r w:rsidR="00BF77EB" w:rsidRPr="00386F72">
        <w:t>Il a reconnu qu'une certaine dissonance existe entre la Décision 640 (C24) du Conseil et les Décisions antérieures du Conseil, à savoir les Décisions 588 (C16) et 619 (C19, dernière mod. C21), et que toute harmonisation entre elles dans le cadre de la mise à jour de la réglementation relèverait de la compétence du Conseil.</w:t>
      </w:r>
    </w:p>
    <w:p w14:paraId="6812EC04" w14:textId="3B8FF6E9" w:rsidR="00197D16" w:rsidRPr="00386F72" w:rsidRDefault="00197D16" w:rsidP="00197D16">
      <w:r w:rsidRPr="00386F72">
        <w:t>22.8</w:t>
      </w:r>
      <w:r w:rsidRPr="00386F72">
        <w:tab/>
      </w:r>
      <w:r w:rsidR="0004384E" w:rsidRPr="00386F72">
        <w:t xml:space="preserve">Le Vice-Secrétaire général a déclaré que la gestion des risques avait été bien intégrée dans les travaux du Groupe MSAG, comme cela avait été demandé précédemment, et a remercié l'Allemagne qui, en mettant à disposition un expert technique, a permis de </w:t>
      </w:r>
      <w:r w:rsidR="0004384E" w:rsidRPr="00386F72">
        <w:lastRenderedPageBreak/>
        <w:t>renforcer la capacité technique du Groupe MSAG</w:t>
      </w:r>
      <w:r w:rsidRPr="00386F72">
        <w:t xml:space="preserve">. Il s'est dit reconnaissant de l'appui constant et du pragmatisme des sponsors et s'efforcera de faire en sorte que leurs besoins soient satisfaits. Notant que les conseillers étaient favorables à des sources de financement diversifiées, il a souligné que des possibilités de parrainage supplémentaires seraient offertes aux parties intéressées et que des informations détaillées seraient fournies </w:t>
      </w:r>
      <w:r w:rsidR="0004384E" w:rsidRPr="00386F72">
        <w:t>à</w:t>
      </w:r>
      <w:r w:rsidRPr="00386F72">
        <w:t xml:space="preserve"> la</w:t>
      </w:r>
      <w:r w:rsidR="00AE2E85">
        <w:t> </w:t>
      </w:r>
      <w:r w:rsidRPr="00386F72">
        <w:t>PP</w:t>
      </w:r>
      <w:r w:rsidR="0004384E" w:rsidRPr="00386F72">
        <w:noBreakHyphen/>
      </w:r>
      <w:r w:rsidRPr="00386F72">
        <w:t>26.</w:t>
      </w:r>
    </w:p>
    <w:p w14:paraId="38F53896" w14:textId="77777777" w:rsidR="00197D16" w:rsidRPr="00386F72" w:rsidRDefault="00197D16" w:rsidP="00197D16">
      <w:r w:rsidRPr="00386F72">
        <w:t>22.9</w:t>
      </w:r>
      <w:r w:rsidRPr="00386F72">
        <w:tab/>
        <w:t>Le conseiller de l'Arabie saoudite a rappelé l'existence d'un accord de parrainage entre son pays et l'UIT et a demandé au Secrétariat de soumettre une lettre officielle par la voie diplomatique à l'Administration de l'Arabie saoudite, expliquant quels points de cet accord étaient difficiles à mettre en œuvre, notamment pour des raisons financières et de conception, en vue de les traiter.</w:t>
      </w:r>
    </w:p>
    <w:p w14:paraId="328891E2" w14:textId="77777777" w:rsidR="00197D16" w:rsidRPr="00386F72" w:rsidRDefault="00197D16" w:rsidP="00197D16">
      <w:pPr>
        <w:tabs>
          <w:tab w:val="clear" w:pos="567"/>
          <w:tab w:val="left" w:pos="709"/>
        </w:tabs>
      </w:pPr>
      <w:r w:rsidRPr="00386F72">
        <w:t>22.10</w:t>
      </w:r>
      <w:r w:rsidRPr="00386F72">
        <w:tab/>
        <w:t>Le représentant du Secrétariat général a approuvé l'envoi d'une lettre de ce type et a confirmé que le Secrétariat était prêt à travailler avec tous les sponsors pour veiller à ce que leurs intérêts soient pris en compte dans la conception finale. La priorité du Secrétariat était d'avoir une capacité plus importante pour accueillir les grandes réunions.</w:t>
      </w:r>
    </w:p>
    <w:p w14:paraId="3C515834" w14:textId="77777777" w:rsidR="00197D16" w:rsidRPr="00386F72" w:rsidRDefault="00197D16" w:rsidP="00197D16">
      <w:pPr>
        <w:tabs>
          <w:tab w:val="clear" w:pos="567"/>
          <w:tab w:val="left" w:pos="709"/>
        </w:tabs>
        <w:spacing w:after="120"/>
      </w:pPr>
      <w:r w:rsidRPr="00386F72">
        <w:t>22.11</w:t>
      </w:r>
      <w:r w:rsidRPr="00386F72">
        <w:tab/>
        <w:t xml:space="preserve">La Commission </w:t>
      </w:r>
      <w:r w:rsidRPr="00386F72">
        <w:rPr>
          <w:b/>
          <w:bCs/>
        </w:rPr>
        <w:t>est convenue</w:t>
      </w:r>
      <w:r w:rsidRPr="00386F72">
        <w:t xml:space="preserve"> de formuler la conclusion suivante sur la question:</w:t>
      </w:r>
    </w:p>
    <w:tbl>
      <w:tblPr>
        <w:tblStyle w:val="TableGrid"/>
        <w:tblW w:w="0" w:type="auto"/>
        <w:tblInd w:w="-147" w:type="dxa"/>
        <w:tblLook w:val="04A0" w:firstRow="1" w:lastRow="0" w:firstColumn="1" w:lastColumn="0" w:noHBand="0" w:noVBand="1"/>
      </w:tblPr>
      <w:tblGrid>
        <w:gridCol w:w="9208"/>
      </w:tblGrid>
      <w:tr w:rsidR="00197D16" w:rsidRPr="00386F72" w14:paraId="689639D6" w14:textId="77777777" w:rsidTr="00306294">
        <w:tc>
          <w:tcPr>
            <w:tcW w:w="9208" w:type="dxa"/>
          </w:tcPr>
          <w:p w14:paraId="17B19936" w14:textId="77777777" w:rsidR="00197D16" w:rsidRPr="00386F72" w:rsidRDefault="00197D16" w:rsidP="00306294">
            <w:pPr>
              <w:tabs>
                <w:tab w:val="clear" w:pos="567"/>
                <w:tab w:val="left" w:pos="750"/>
              </w:tabs>
              <w:ind w:left="41"/>
            </w:pPr>
            <w:r w:rsidRPr="00386F72">
              <w:t>22.12</w:t>
            </w:r>
            <w:r w:rsidRPr="00386F72">
              <w:tab/>
              <w:t>La Commission recommande au Conseil:</w:t>
            </w:r>
          </w:p>
          <w:p w14:paraId="2233A399" w14:textId="77777777" w:rsidR="00197D16" w:rsidRDefault="00197D16" w:rsidP="00306294">
            <w:pPr>
              <w:pStyle w:val="enumlev1"/>
              <w:tabs>
                <w:tab w:val="clear" w:pos="567"/>
                <w:tab w:val="left" w:pos="750"/>
              </w:tabs>
              <w:spacing w:after="120"/>
              <w:ind w:left="41" w:firstLine="0"/>
            </w:pPr>
            <w:r w:rsidRPr="00386F72">
              <w:t>•</w:t>
            </w:r>
            <w:r w:rsidRPr="00386F72">
              <w:tab/>
              <w:t xml:space="preserve">de prendre note des rapports figurant dans les </w:t>
            </w:r>
            <w:hyperlink r:id="rId102" w:history="1">
              <w:r w:rsidRPr="00386F72">
                <w:rPr>
                  <w:rStyle w:val="Hyperlink"/>
                </w:rPr>
                <w:t>Documents C26/7</w:t>
              </w:r>
            </w:hyperlink>
            <w:r w:rsidRPr="00386F72">
              <w:t xml:space="preserve"> et </w:t>
            </w:r>
            <w:hyperlink r:id="rId103" w:history="1">
              <w:r w:rsidRPr="00386F72">
                <w:rPr>
                  <w:rStyle w:val="Hyperlink"/>
                </w:rPr>
                <w:t>C26/48</w:t>
              </w:r>
            </w:hyperlink>
            <w:r w:rsidR="00885F7C">
              <w:t>; et</w:t>
            </w:r>
          </w:p>
          <w:p w14:paraId="134F69B0" w14:textId="1F4DF1A0" w:rsidR="00885F7C" w:rsidRPr="00885F7C" w:rsidRDefault="00885F7C" w:rsidP="00885F7C">
            <w:pPr>
              <w:pStyle w:val="enumlev1"/>
              <w:tabs>
                <w:tab w:val="clear" w:pos="567"/>
              </w:tabs>
              <w:spacing w:after="120"/>
              <w:ind w:left="743" w:hanging="709"/>
            </w:pPr>
            <w:r w:rsidRPr="00885F7C">
              <w:t>•</w:t>
            </w:r>
            <w:r w:rsidRPr="00885F7C">
              <w:tab/>
              <w:t>de charger le Secrétariat général de soumettre une communication officielle comme indiqué au § 22.9 ci-dessus.</w:t>
            </w:r>
          </w:p>
        </w:tc>
      </w:tr>
    </w:tbl>
    <w:p w14:paraId="4DABCAAE" w14:textId="77777777" w:rsidR="00050430" w:rsidRPr="00386F72" w:rsidRDefault="00050430" w:rsidP="00412A88">
      <w:pPr>
        <w:pStyle w:val="Heading1"/>
      </w:pPr>
      <w:r w:rsidRPr="00386F72">
        <w:t>23</w:t>
      </w:r>
      <w:r w:rsidRPr="00386F72">
        <w:tab/>
        <w:t>Informations actualisées sur le Plan stratégique pour le campus de l'UIT (</w:t>
      </w:r>
      <w:hyperlink r:id="rId104" w:history="1">
        <w:r w:rsidRPr="00386F72">
          <w:rPr>
            <w:rStyle w:val="Hyperlink"/>
            <w:rFonts w:eastAsia="Times New Roman" w:cs="Times New Roman"/>
            <w:szCs w:val="20"/>
          </w:rPr>
          <w:t>Document C26/63</w:t>
        </w:r>
      </w:hyperlink>
      <w:r w:rsidRPr="00386F72">
        <w:t>)</w:t>
      </w:r>
    </w:p>
    <w:p w14:paraId="528B51AC" w14:textId="77777777" w:rsidR="00050430" w:rsidRPr="00386F72" w:rsidRDefault="00050430" w:rsidP="00412A88">
      <w:pPr>
        <w:keepNext/>
        <w:keepLines/>
      </w:pPr>
      <w:r w:rsidRPr="00386F72">
        <w:t>23.1</w:t>
      </w:r>
      <w:r w:rsidRPr="00386F72">
        <w:tab/>
        <w:t>Un représentant du Secrétariat général a présenté le Document C26/63, qui fait le point sur les travaux entrepris depuis la session de 2025 du Conseil en vue d'élaborer un plan stratégique pour le campus de l'UIT. Il a été conclu que, compte tenu du contexte juridique, commercial et opérationnel actuel, le maintien en l'état de la taille du campus composé de trois bâtiments était la stratégie la plus appropriée pour préserver la souplesse et sauvegarder les intérêts à long terme de l'UIT. Le Secrétariat a donc proposé une marche à suivre axée sur la souplesse stratégique et sur l'étude des synergies avec d'autres organisations ayant leur siège à Genève.</w:t>
      </w:r>
    </w:p>
    <w:p w14:paraId="45C912DE" w14:textId="283D62F6" w:rsidR="00050430" w:rsidRPr="00386F72" w:rsidRDefault="00050430" w:rsidP="00050430">
      <w:r w:rsidRPr="00386F72">
        <w:t>23.2</w:t>
      </w:r>
      <w:r w:rsidRPr="00386F72">
        <w:tab/>
        <w:t xml:space="preserve">Les conseillers ont exprimé leur soutien aux travaux en cours concernant le Plan stratégique pour le campus et aux efforts plus larges de rénovation du siège. Ils ont encouragé la recherche d'arrangements possibles en matière de partage des espaces, de recouvrement des coûts et de financement diversifiés, la coopération avec d'autres organisations internationales et l'adoption de modalités de travail hybrides. Les décisions connexes devraient être fondées sur une analyse coûts-avantages complète et transparente. Il serait utile de fournir de plus amples informations sur le calendrier des prochaines étapes prévues dans le Plan stratégique pour le campus. </w:t>
      </w:r>
      <w:r w:rsidR="0004384E" w:rsidRPr="00386F72">
        <w:t>Un conseiller a suggéré que la fonction de gestion des installations de l'UIT soit intégrée dans le Plan stratégique pour le campus</w:t>
      </w:r>
      <w:r w:rsidRPr="00386F72">
        <w:t>.</w:t>
      </w:r>
    </w:p>
    <w:p w14:paraId="4DE5B141" w14:textId="1C58115E" w:rsidR="00050430" w:rsidRPr="00386F72" w:rsidRDefault="00050430" w:rsidP="00F35FF9">
      <w:pPr>
        <w:keepLines/>
      </w:pPr>
      <w:r w:rsidRPr="00386F72">
        <w:lastRenderedPageBreak/>
        <w:t>23.3</w:t>
      </w:r>
      <w:r w:rsidRPr="00386F72">
        <w:tab/>
        <w:t xml:space="preserve">S'agissant du financement de l'étude de faisabilité de la rénovation de la Tour, le représentant du Secrétariat général a confirmé qu'elle </w:t>
      </w:r>
      <w:r w:rsidR="00FC17BF" w:rsidRPr="00386F72">
        <w:t xml:space="preserve">pourrait être </w:t>
      </w:r>
      <w:r w:rsidRPr="00386F72">
        <w:t xml:space="preserve">financée à l'aide du Fonds d'entretien des bâtiments, auquel sont alloués 750 000 CHF par an. Le coût de 843 000 CHF indiqué pour la réalisation de l'étude était une estimation initiale réalisée dans l'attente d'une évaluation plus approfondie des besoins précis à long terme liés à la Tour. Le Secrétariat étant actuellement occupé par le travail de conception, </w:t>
      </w:r>
      <w:r w:rsidR="00FC17BF" w:rsidRPr="00386F72">
        <w:t>l'étude pourrait être menée à partir de 2028. Ce calendrier proposé pour l'étude de faisabilité permettrait de concentrer les ressources actuelles sur le projet de nouveau bâtiment et de mettre en place des mesures de continuité des activités, tout en offrant un meilleur aperçu des tendances futures liées au marché immobilier genevois</w:t>
      </w:r>
      <w:r w:rsidRPr="00386F72">
        <w:t>.</w:t>
      </w:r>
    </w:p>
    <w:p w14:paraId="7FCDE5F3" w14:textId="77777777" w:rsidR="00050430" w:rsidRPr="00386F72" w:rsidRDefault="00050430" w:rsidP="00412A88">
      <w:r w:rsidRPr="00386F72">
        <w:t>23.4</w:t>
      </w:r>
      <w:r w:rsidRPr="00386F72">
        <w:tab/>
        <w:t>Dans ce contexte, l'orateur a fait remarquer que les discussions menées avec d'autres organisations internationales basées à Genève, notamment l'Organisation mondiale de la santé (OMS) et l'Organisation mondiale de la propriété intellectuelle (OMPI), concernant la réduction éventuelle des coûts grâce au partage des espaces de bureaux progressaient. L'Office des Nations Unies à Genève (ONUG) a fourni des renseignements sur les prix facturés pour la location de salles de réunion. L'orateur a confirmé que le Plan stratégique pour le campus contiendrait des informations sur les incidences financières à long terme du projet de rénovation, y compris sur les options de financement telles que le recours à d'autres types de prêts accordés par le Gouvernement suisse.</w:t>
      </w:r>
    </w:p>
    <w:p w14:paraId="18FB853B" w14:textId="560D78D9" w:rsidR="00050430" w:rsidRPr="00386F72" w:rsidRDefault="00050430" w:rsidP="00050430">
      <w:r w:rsidRPr="00386F72">
        <w:t>23.5</w:t>
      </w:r>
      <w:r w:rsidRPr="00386F72">
        <w:tab/>
      </w:r>
      <w:r w:rsidR="00325203" w:rsidRPr="00386F72">
        <w:t xml:space="preserve">En réponse à la question posée par un observateur, il a expliqué que les travaux d'entretien prévus pour le bâtiment </w:t>
      </w:r>
      <w:proofErr w:type="spellStart"/>
      <w:r w:rsidR="00325203" w:rsidRPr="00386F72">
        <w:t>Montbrillant</w:t>
      </w:r>
      <w:proofErr w:type="spellEnd"/>
      <w:r w:rsidR="00325203" w:rsidRPr="00386F72">
        <w:t xml:space="preserve"> étaient moins importants, et donc moins coûteux, que les travaux prévus pour la Tour. La Tour devrait nécessiter un investissement d'environ 7 millions CHF au cours des dix prochaines années, contre 3 millions CHF environ pour le bâtiment </w:t>
      </w:r>
      <w:proofErr w:type="spellStart"/>
      <w:r w:rsidR="00325203" w:rsidRPr="00386F72">
        <w:t>Montbrillant</w:t>
      </w:r>
      <w:proofErr w:type="spellEnd"/>
      <w:r w:rsidR="00325203" w:rsidRPr="00386F72">
        <w:t xml:space="preserve"> pour la même période</w:t>
      </w:r>
      <w:r w:rsidRPr="00386F72">
        <w:t>.</w:t>
      </w:r>
    </w:p>
    <w:p w14:paraId="0432D5EB" w14:textId="1BC8C2A8" w:rsidR="00050430" w:rsidRPr="00386F72" w:rsidRDefault="00050430" w:rsidP="00F35FF9">
      <w:r w:rsidRPr="00386F72">
        <w:t>23.6</w:t>
      </w:r>
      <w:r w:rsidRPr="00386F72">
        <w:tab/>
        <w:t xml:space="preserve">Un représentant de l'Unité des affaires juridiques, répondant aux questions des conseillers, a </w:t>
      </w:r>
      <w:r w:rsidR="00BF77EB" w:rsidRPr="00386F72">
        <w:t>fait observer que les dispositions des Décisions 588 (C16), 619 (C19, dernière mod. C21), 640 (C24) du Conseil et de la Résolution 212 (Rév. Bucarest, 2022) de la Conférence de plénipotentiaires pourraient bénéficier d'un alignement supplémentaire à la lumière des développements ultérieurs concernant le projet de locaux du siège, y compris</w:t>
      </w:r>
      <w:r w:rsidRPr="00386F72">
        <w:t xml:space="preserve"> concernant la vente éventuelle de la Tour. Conformément aux instructions les plus récentes que le Conseil lui a données en vertu de sa Décision 640 (C24), le Secrétariat est chargé d'entreprendre des études qui tiennent compte de l'ensemble du campus de l'UIT à Genève, y compris de la Tour. Dans ce contexte, le Secrétariat a fait valoir que les dispositions de la Décision 588 (C16) avaient été remplacées par celles de la Décision 640 (C24). </w:t>
      </w:r>
      <w:r w:rsidR="00BF77EB" w:rsidRPr="00386F72">
        <w:t>Toutefois, ce point de vue a été formulé sans préjudice du droit des États Membres de décider s'il convient de réviser la Résolution 212 (Rév. Bucarest, 2022) à la PP-26 pour remédier à la situation, et de la manière dont ils souhaitent procéder</w:t>
      </w:r>
      <w:r w:rsidRPr="00386F72">
        <w:t>.</w:t>
      </w:r>
    </w:p>
    <w:p w14:paraId="2D4555AA" w14:textId="74411DC6" w:rsidR="00050430" w:rsidRPr="00386F72" w:rsidRDefault="00050430" w:rsidP="00050430">
      <w:r w:rsidRPr="00386F72">
        <w:t>23.7</w:t>
      </w:r>
      <w:r w:rsidRPr="00386F72">
        <w:tab/>
        <w:t>Le Vice-Secrétaire général a exprimé sa gratitude à la Suisse, pays hôte de l'UIT, d'apporter son soutien au projet de nouveau bâtiment de l'UIT et de s'aligner d'un point de vue stratégique sur des questions telles que la sécurité du campus. Il a remercié les États Membres d'avoir appuyé l'étude de faisabilité proposée et une possible collaboration avec d'autres organisations internationales à Genève. Il pourrait être utile de se pencher sur la question du partage des espaces et du recouvrement des coûts pour garantir l'utilisation efficace et efficiente des actifs existants de l'UIT dans l'intérêt de ses membres. Il a noté qu'un expert indépendant conseillait l'équipe de direction de l'UIT concernant la fonction de gestion des installations</w:t>
      </w:r>
      <w:r w:rsidR="00DA66A0">
        <w:t xml:space="preserve"> pour le projet de locaux du siège</w:t>
      </w:r>
      <w:r w:rsidRPr="00386F72">
        <w:t>, qui s'améliorait en permanence.</w:t>
      </w:r>
    </w:p>
    <w:p w14:paraId="57F42490" w14:textId="77777777" w:rsidR="00050430" w:rsidRPr="00386F72" w:rsidRDefault="00050430" w:rsidP="00050430">
      <w:pPr>
        <w:spacing w:after="120"/>
      </w:pPr>
      <w:r w:rsidRPr="00386F72">
        <w:lastRenderedPageBreak/>
        <w:t>23.8</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050430" w:rsidRPr="00386F72" w14:paraId="349314AC" w14:textId="77777777" w:rsidTr="005D083D">
        <w:tc>
          <w:tcPr>
            <w:tcW w:w="9208" w:type="dxa"/>
          </w:tcPr>
          <w:p w14:paraId="4C2B7EEE" w14:textId="77777777" w:rsidR="00050430" w:rsidRPr="00386F72" w:rsidRDefault="00050430" w:rsidP="00050430">
            <w:pPr>
              <w:tabs>
                <w:tab w:val="clear" w:pos="567"/>
                <w:tab w:val="left" w:pos="604"/>
              </w:tabs>
              <w:ind w:left="34"/>
            </w:pPr>
            <w:r w:rsidRPr="00386F72">
              <w:t>23.9</w:t>
            </w:r>
            <w:r w:rsidRPr="00386F72">
              <w:tab/>
              <w:t>La Commission recommande au Conseil:</w:t>
            </w:r>
          </w:p>
          <w:p w14:paraId="3BB14967" w14:textId="77777777" w:rsidR="00050430" w:rsidRPr="00386F72" w:rsidRDefault="00050430" w:rsidP="00050430">
            <w:pPr>
              <w:pStyle w:val="enumlev1"/>
              <w:tabs>
                <w:tab w:val="clear" w:pos="567"/>
              </w:tabs>
              <w:ind w:left="604" w:hanging="570"/>
            </w:pPr>
            <w:r w:rsidRPr="00386F72">
              <w:t>•</w:t>
            </w:r>
            <w:r w:rsidRPr="00386F72">
              <w:tab/>
              <w:t xml:space="preserve">de prendre note du rapport figurant dans le </w:t>
            </w:r>
            <w:hyperlink r:id="rId105" w:history="1">
              <w:r w:rsidRPr="00386F72">
                <w:rPr>
                  <w:rStyle w:val="Hyperlink"/>
                </w:rPr>
                <w:t>Document C26/63</w:t>
              </w:r>
            </w:hyperlink>
            <w:r w:rsidRPr="00386F72">
              <w:t xml:space="preserve"> et des observations formulées en séance;</w:t>
            </w:r>
          </w:p>
          <w:p w14:paraId="1B59BF33" w14:textId="5999D18C" w:rsidR="00050430" w:rsidRDefault="00050430" w:rsidP="00050430">
            <w:pPr>
              <w:pStyle w:val="enumlev1"/>
              <w:tabs>
                <w:tab w:val="clear" w:pos="567"/>
              </w:tabs>
              <w:ind w:left="604" w:hanging="570"/>
            </w:pPr>
            <w:r w:rsidRPr="00386F72">
              <w:t>•</w:t>
            </w:r>
            <w:r w:rsidRPr="00386F72">
              <w:tab/>
            </w:r>
            <w:r w:rsidR="00325203" w:rsidRPr="00386F72">
              <w:t>de charger le Secrétariat de procéder comme proposé, notamment en menant une étude de faisabilité concernant la rénovation de la Tour;</w:t>
            </w:r>
          </w:p>
          <w:p w14:paraId="557CF05E" w14:textId="111F0ECB" w:rsidR="00F35FF9" w:rsidRPr="00386F72" w:rsidRDefault="00F35FF9" w:rsidP="00050430">
            <w:pPr>
              <w:pStyle w:val="enumlev1"/>
              <w:tabs>
                <w:tab w:val="clear" w:pos="567"/>
              </w:tabs>
              <w:ind w:left="604" w:hanging="570"/>
            </w:pPr>
            <w:r w:rsidRPr="00F35FF9">
              <w:t>•</w:t>
            </w:r>
            <w:r>
              <w:tab/>
            </w:r>
            <w:r w:rsidRPr="00F35FF9">
              <w:t>de charger le Secrétariat de soumettre un rapport sur la pratique actuellement appliquée à l'UIT en matière de gestion des installations; et</w:t>
            </w:r>
          </w:p>
          <w:p w14:paraId="5D08C5A4" w14:textId="77777777" w:rsidR="00050430" w:rsidRPr="00386F72" w:rsidRDefault="00050430" w:rsidP="00050430">
            <w:pPr>
              <w:pStyle w:val="enumlev1"/>
              <w:tabs>
                <w:tab w:val="clear" w:pos="567"/>
              </w:tabs>
              <w:spacing w:after="120"/>
              <w:ind w:left="604" w:hanging="570"/>
            </w:pPr>
            <w:r w:rsidRPr="00386F72">
              <w:t>•</w:t>
            </w:r>
            <w:r w:rsidRPr="00386F72">
              <w:tab/>
              <w:t>d'inviter les États Membres à soumettre des contributions à la Conférence de plénipotentiaires (Doha, 2026) visant à aligner la Résolution 212 (Rév. Bucarest, 2022) sur les derniers progrès réalisés dans le cadre du projet de locaux du siège de l'UIT.</w:t>
            </w:r>
          </w:p>
        </w:tc>
      </w:tr>
    </w:tbl>
    <w:p w14:paraId="7A553631" w14:textId="77777777" w:rsidR="008108BF" w:rsidRPr="00386F72" w:rsidRDefault="008108BF" w:rsidP="008108BF">
      <w:pPr>
        <w:pStyle w:val="Heading1"/>
        <w:rPr>
          <w:bCs/>
        </w:rPr>
      </w:pPr>
      <w:r w:rsidRPr="00386F72">
        <w:t>24</w:t>
      </w:r>
      <w:r w:rsidRPr="00386F72">
        <w:tab/>
      </w:r>
      <w:r w:rsidRPr="00386F72">
        <w:rPr>
          <w:bCs/>
        </w:rPr>
        <w:t>Point sur la continuité des activités pendant la période de construction du nouveau bâtiment de l'UIT (</w:t>
      </w:r>
      <w:hyperlink r:id="rId106" w:history="1">
        <w:r w:rsidRPr="00386F72">
          <w:rPr>
            <w:rStyle w:val="Hyperlink"/>
            <w:rFonts w:eastAsia="Times New Roman" w:cs="Times New Roman"/>
            <w:bCs/>
            <w:szCs w:val="20"/>
          </w:rPr>
          <w:t>Documents </w:t>
        </w:r>
        <w:r w:rsidRPr="00386F72">
          <w:rPr>
            <w:rStyle w:val="Hyperlink"/>
            <w:bCs/>
          </w:rPr>
          <w:t>C26/65</w:t>
        </w:r>
      </w:hyperlink>
      <w:r w:rsidRPr="00386F72">
        <w:rPr>
          <w:bCs/>
        </w:rPr>
        <w:t>)</w:t>
      </w:r>
    </w:p>
    <w:p w14:paraId="320CFF25" w14:textId="77777777" w:rsidR="008108BF" w:rsidRPr="00386F72" w:rsidRDefault="008108BF" w:rsidP="008108BF">
      <w:pPr>
        <w:pStyle w:val="Headingb"/>
        <w:ind w:left="540"/>
        <w:rPr>
          <w:sz w:val="28"/>
          <w:szCs w:val="28"/>
        </w:rPr>
      </w:pPr>
      <w:r w:rsidRPr="00386F72">
        <w:rPr>
          <w:sz w:val="28"/>
          <w:szCs w:val="28"/>
        </w:rPr>
        <w:t>Continuité des réunions des groupes de travail du Conseil (Document </w:t>
      </w:r>
      <w:hyperlink r:id="rId107" w:history="1">
        <w:r w:rsidRPr="00386F72">
          <w:rPr>
            <w:rStyle w:val="Hyperlink"/>
            <w:sz w:val="28"/>
            <w:szCs w:val="28"/>
          </w:rPr>
          <w:t>C26/105</w:t>
        </w:r>
      </w:hyperlink>
      <w:r w:rsidRPr="00386F72">
        <w:rPr>
          <w:rStyle w:val="Hyperlink"/>
          <w:color w:val="auto"/>
          <w:sz w:val="28"/>
          <w:szCs w:val="28"/>
        </w:rPr>
        <w:t>)</w:t>
      </w:r>
    </w:p>
    <w:p w14:paraId="37A50655" w14:textId="77777777" w:rsidR="008108BF" w:rsidRPr="00386F72" w:rsidRDefault="008108BF" w:rsidP="008108BF">
      <w:pPr>
        <w:pStyle w:val="Headingb"/>
        <w:ind w:left="540"/>
        <w:rPr>
          <w:sz w:val="28"/>
          <w:szCs w:val="28"/>
        </w:rPr>
      </w:pPr>
      <w:r w:rsidRPr="00386F72">
        <w:rPr>
          <w:sz w:val="28"/>
          <w:szCs w:val="28"/>
        </w:rPr>
        <w:t>Dates et durée proposées pour les sessions de 2027, 2028 et 2029 du Conseil et pour la série de réunions des GTC pour la période 2027-2029 (</w:t>
      </w:r>
      <w:hyperlink r:id="rId108" w:history="1">
        <w:r w:rsidRPr="00386F72">
          <w:rPr>
            <w:rStyle w:val="Hyperlink"/>
            <w:rFonts w:eastAsia="Times New Roman" w:cs="Times New Roman"/>
            <w:sz w:val="28"/>
            <w:szCs w:val="28"/>
          </w:rPr>
          <w:t>Document </w:t>
        </w:r>
        <w:r w:rsidRPr="00386F72">
          <w:rPr>
            <w:rStyle w:val="Hyperlink"/>
            <w:sz w:val="28"/>
            <w:szCs w:val="28"/>
          </w:rPr>
          <w:t>C26/106</w:t>
        </w:r>
      </w:hyperlink>
      <w:r w:rsidRPr="00386F72">
        <w:rPr>
          <w:sz w:val="28"/>
          <w:szCs w:val="28"/>
        </w:rPr>
        <w:t>)</w:t>
      </w:r>
    </w:p>
    <w:p w14:paraId="50F0C731" w14:textId="33486FE3" w:rsidR="008108BF" w:rsidRPr="00386F72" w:rsidRDefault="008108BF" w:rsidP="00412A88">
      <w:pPr>
        <w:keepLines/>
        <w:tabs>
          <w:tab w:val="clear" w:pos="567"/>
          <w:tab w:val="left" w:pos="745"/>
        </w:tabs>
        <w:spacing w:after="120"/>
      </w:pPr>
      <w:r w:rsidRPr="00386F72">
        <w:t>24.1</w:t>
      </w:r>
      <w:r w:rsidRPr="00386F72">
        <w:tab/>
        <w:t>Une représentante du Secrétariat général a présenté le Document C26/65, qui porte sur les modalités de continuité des activités pour les réunions de l'UIT qui auront lieu en</w:t>
      </w:r>
      <w:r w:rsidR="00325203" w:rsidRPr="00386F72">
        <w:t> </w:t>
      </w:r>
      <w:r w:rsidRPr="00386F72">
        <w:t xml:space="preserve">2028 et 2029, c'est-à-dire pendant la période </w:t>
      </w:r>
      <w:r w:rsidR="00325203" w:rsidRPr="00386F72">
        <w:t xml:space="preserve">la plus bruyante de la </w:t>
      </w:r>
      <w:r w:rsidRPr="00386F72">
        <w:t>construction du nouveau bâtiment du siège de l'UIT. Ce document contient également des informations supplémentaires sur les différentes options d'organisation des réunions pendant cette période et sur leurs incidences financières.</w:t>
      </w:r>
    </w:p>
    <w:p w14:paraId="40167440" w14:textId="77777777" w:rsidR="008108BF" w:rsidRPr="00386F72" w:rsidRDefault="008108BF" w:rsidP="008108BF">
      <w:pPr>
        <w:tabs>
          <w:tab w:val="clear" w:pos="567"/>
          <w:tab w:val="left" w:pos="745"/>
        </w:tabs>
        <w:spacing w:after="120"/>
      </w:pPr>
      <w:r w:rsidRPr="00386F72">
        <w:t>24.2</w:t>
      </w:r>
      <w:r w:rsidRPr="00386F72">
        <w:tab/>
        <w:t>Le Conseiller du Maroc a présenté la contribution soumise par plusieurs pays figurant dans le Document C26/105, relative à la continuité des activités pour les réunions des groupes de travail du Conseil (GTC), qui souligne la nécessité pour le Conseil de prendre des mesures appropriées pour assurer la continuité des travaux des GTC, compte tenu du rôle essentiel qu'ils jouent dans le processus décisionnel du Conseil. Il a également présenté la contribution soumise par plusieurs pays figurant dans le Document C26/106, relative aux sessions du Conseil et à la série de réunions des GTC qui se tiendront durant la période 2027</w:t>
      </w:r>
      <w:r w:rsidRPr="00386F72">
        <w:noBreakHyphen/>
        <w:t>2029, qui traite des contraintes juridiques, opérationnelles et financières qui découleront probablement du projet de construction ainsi que des risques institutionnels associés, et vise à inviter le Conseil à prendre des mesures pour assurer la continuité des activités dans les meilleures conditions possibles, conformément aux exigences statutaires et aux contraintes budgétaires.</w:t>
      </w:r>
    </w:p>
    <w:p w14:paraId="38767FBC" w14:textId="713B85BF" w:rsidR="008108BF" w:rsidRPr="00386F72" w:rsidRDefault="008108BF" w:rsidP="008108BF">
      <w:pPr>
        <w:tabs>
          <w:tab w:val="clear" w:pos="567"/>
          <w:tab w:val="left" w:pos="745"/>
        </w:tabs>
        <w:spacing w:after="120"/>
      </w:pPr>
      <w:r w:rsidRPr="00386F72">
        <w:t>24.3</w:t>
      </w:r>
      <w:r w:rsidRPr="00386F72">
        <w:tab/>
        <w:t xml:space="preserve">Les </w:t>
      </w:r>
      <w:r w:rsidR="00AB78E5">
        <w:t>c</w:t>
      </w:r>
      <w:r w:rsidRPr="00386F72">
        <w:t xml:space="preserve">onseillers ont accueilli avec satisfaction les informations actualisées fournies par le Secrétariat et la méthode pratique adoptée en vue d'assurer la continuité des activités de l'Union au cours d'une période qui sera complexe et difficile. Ils se sont félicités de l'exonération des remboursements des prêts accordés par la Confédération suisse pour une </w:t>
      </w:r>
      <w:r w:rsidRPr="00386F72">
        <w:lastRenderedPageBreak/>
        <w:t>période de deux ans et de l'affectation des économies ainsi réalisées au Fonds pour la continuité des activités. Malgré les difficultés rencontrées, il est essentiel que le Secrétariat dispose d'un plan de continuité des activités qui soit clair et qui sera présenté à la PP-26.</w:t>
      </w:r>
    </w:p>
    <w:p w14:paraId="350F29E3" w14:textId="4BAA5731" w:rsidR="008108BF" w:rsidRPr="00386F72" w:rsidRDefault="008108BF" w:rsidP="008108BF">
      <w:pPr>
        <w:tabs>
          <w:tab w:val="clear" w:pos="567"/>
          <w:tab w:val="left" w:pos="745"/>
        </w:tabs>
        <w:spacing w:after="120"/>
      </w:pPr>
      <w:r w:rsidRPr="00386F72">
        <w:t>24.4</w:t>
      </w:r>
      <w:r w:rsidRPr="00386F72">
        <w:tab/>
        <w:t xml:space="preserve">Plusieurs </w:t>
      </w:r>
      <w:r w:rsidR="00AB78E5">
        <w:t>c</w:t>
      </w:r>
      <w:r w:rsidRPr="00386F72">
        <w:t xml:space="preserve">onseillers ont insisté sur la nécessité que les dispositions proposées restent rentables et prévisibles, compte tenu notamment de la disponibilité limitée de sites de réunion et des incidences financières de l'utilisation d'installations extérieures. Le Secrétariat devrait continuer d'étudier diverses options, y compris la possibilité de partager des espaces avec d'autres organisations internationales basées à Genève. Certaines </w:t>
      </w:r>
      <w:r w:rsidR="00AB78E5">
        <w:t>c</w:t>
      </w:r>
      <w:r w:rsidRPr="00386F72">
        <w:t xml:space="preserve">onseillères ont estimé que la préparation de la phase de construction offrait l'occasion de réfléchir de manière créative à l'organisation des réunions de l'Union et d'envisager d'éventuels changements, par exemple l'incorporation de certains éléments des formats de réunion hybrides. Plusieurs </w:t>
      </w:r>
      <w:r w:rsidR="00AB78E5">
        <w:t>c</w:t>
      </w:r>
      <w:r w:rsidRPr="00386F72">
        <w:t>onseillers se sont dits très favorables au maintien de deux réunions annuelles des GTC tout au long du processus, même si la structure actuelle des séries de réunions risque de ne pas être réalisable. Étant ouverts à tous les États Membres, les GTC permettent une représentation large et équitable. Le GTC-FHR, en</w:t>
      </w:r>
      <w:r w:rsidR="00AB78E5">
        <w:t> </w:t>
      </w:r>
      <w:r w:rsidRPr="00386F72">
        <w:t>particulier, a contribué de manière significative au processus décisionnel du Conseil et ne devrait pas être mis à l'écart. Étant donné que l'UIT est une organisation mondiale de régulation, ses décisions ont des incidences directes et indirectes sur de nombreuses parties prenantes, et pas seulement sur ses membres. Dans certains cas, ses décisions sont juridiquement contraignantes. À cet égard, il conviendrait donc de veiller à ne pas porter atteinte à son statut. Les réunions devraient, dans la mesure du possible, continuer d'être organisées en temps opportun et regroupées par thème. Si des manifestations devaient avoir lieu en dehors de Genève, les États Membres devraient en être informés suffisamment à l'avance pour faciliter la planification.</w:t>
      </w:r>
    </w:p>
    <w:p w14:paraId="21C6B418" w14:textId="0C715154" w:rsidR="008108BF" w:rsidRPr="00386F72" w:rsidRDefault="008108BF" w:rsidP="008108BF">
      <w:pPr>
        <w:tabs>
          <w:tab w:val="clear" w:pos="567"/>
          <w:tab w:val="left" w:pos="745"/>
        </w:tabs>
        <w:spacing w:after="120"/>
      </w:pPr>
      <w:r w:rsidRPr="00386F72">
        <w:t>24.5</w:t>
      </w:r>
      <w:r w:rsidRPr="00386F72">
        <w:tab/>
        <w:t xml:space="preserve">Plusieurs </w:t>
      </w:r>
      <w:r w:rsidR="00AB78E5">
        <w:t>c</w:t>
      </w:r>
      <w:r w:rsidRPr="00386F72">
        <w:t>onseillers se sont dits favorables aux propositions énoncées dans les Documents</w:t>
      </w:r>
      <w:r w:rsidR="00AB78E5">
        <w:t> </w:t>
      </w:r>
      <w:r w:rsidRPr="00386F72">
        <w:t xml:space="preserve">C26/105 et C26/106. Un </w:t>
      </w:r>
      <w:r w:rsidR="00AB78E5">
        <w:t>c</w:t>
      </w:r>
      <w:r w:rsidRPr="00386F72">
        <w:t>onseiller a demandé quel était l'état d'avancement des différents processus relatifs à la continuité des activités mis en œuvre dans le cadre du système de gestion de la résilience de l'organisation (ORMS).</w:t>
      </w:r>
    </w:p>
    <w:p w14:paraId="5EF7D342" w14:textId="77777777" w:rsidR="008108BF" w:rsidRPr="00386F72" w:rsidRDefault="008108BF" w:rsidP="008108BF">
      <w:pPr>
        <w:tabs>
          <w:tab w:val="clear" w:pos="567"/>
          <w:tab w:val="left" w:pos="745"/>
        </w:tabs>
        <w:spacing w:after="120"/>
      </w:pPr>
      <w:r w:rsidRPr="00386F72">
        <w:t>24.6</w:t>
      </w:r>
      <w:r w:rsidRPr="00386F72">
        <w:tab/>
        <w:t>La représentante du Secrétariat général, répondant aux observations formulées, a indiqué que toutes les mesures seraient prises pour garantir des solutions rentables et la transparence dans la prise de décisions. Plusieurs scénarios ont été étudiés. À mesure que les dates des réunions seront confirmées et que des informations complémentaires seront rendues disponibles, un plan clair de continuité des activités sera élaboré et soumis à la PP</w:t>
      </w:r>
      <w:r w:rsidRPr="00386F72">
        <w:noBreakHyphen/>
        <w:t>26. Les résultats des essais acoustiques, en particulier, orienteront la méthode proposée. Aucune proposition ferme n'a été reçue concernant les centres de réunion, mais des discussions constructives sur la location d'installations de réunion ont eu lieu avec l'Organisation internationale du Travail (OIT) et l'Organisation mondiale de la santé, et le Secrétariat a bon espoir que la plupart des réunions pourront se tenir à Genève, compte tenu du calendrier et de la fréquence des réunions convenus par les États Membres.</w:t>
      </w:r>
    </w:p>
    <w:p w14:paraId="6470834F" w14:textId="70E99BAC" w:rsidR="008108BF" w:rsidRPr="00386F72" w:rsidRDefault="008108BF" w:rsidP="008108BF">
      <w:pPr>
        <w:tabs>
          <w:tab w:val="clear" w:pos="567"/>
          <w:tab w:val="left" w:pos="745"/>
        </w:tabs>
        <w:spacing w:after="120"/>
      </w:pPr>
      <w:r w:rsidRPr="00386F72">
        <w:t>24.7</w:t>
      </w:r>
      <w:r w:rsidRPr="00386F72">
        <w:tab/>
        <w:t xml:space="preserve">Le Vice-Secrétaire général a déclaré que des progrès notables avaient été accomplis dans la préparation </w:t>
      </w:r>
      <w:r w:rsidR="00325203" w:rsidRPr="00386F72">
        <w:t>de la continuité des activités</w:t>
      </w:r>
      <w:r w:rsidRPr="00386F72">
        <w:t xml:space="preserve">, d'autant que les travaux importants ne commenceront pas avant le second semestre de 2028 et que certains facteurs seront inévitablement influencés par les décisions de la PP-26. La situation budgétaire de l'Union s'est améliorée grâce à </w:t>
      </w:r>
      <w:r w:rsidR="00325203" w:rsidRPr="00386F72">
        <w:t>la</w:t>
      </w:r>
      <w:r w:rsidRPr="00386F72">
        <w:t xml:space="preserve"> contribution importante de la Suisse, mais des fonds supplémentaires seront encore nécessaires. Plus le nombre de réunions tenues dans les locaux de l'Union sera élevé, plus les coûts de location des sites extérieurs seront faibles. </w:t>
      </w:r>
      <w:r w:rsidRPr="00386F72">
        <w:lastRenderedPageBreak/>
        <w:t>Parallèlement, la Secrétaire générale a collaboré activement avec d'autres entités du système des Nations Unies, en particulier l'OIT et l'Office des Nations Unies à Genève, afin d'étudier la possibilité d'améliorer la coordination de l'utilisation des installations entre les organisations internationales basées à Genève. Comme demandé par le Conseil à sa session de 2025, d'autres aspects de la continuité des activités ont également été évalués</w:t>
      </w:r>
      <w:r w:rsidR="00325203" w:rsidRPr="00386F72">
        <w:t>, comme indiqué dans le Document C26/7, pour lesquels il a été demandé d'affecter un montant de 1,5 million CHF provenant des économies réalisées dans l'exécution du budget pour 2025</w:t>
      </w:r>
      <w:r w:rsidRPr="00386F72">
        <w:t>. Des informations plus détaillées seront soumises à la PP-26.</w:t>
      </w:r>
    </w:p>
    <w:p w14:paraId="4B6A62F6" w14:textId="77777777" w:rsidR="008108BF" w:rsidRPr="00386F72" w:rsidRDefault="008108BF" w:rsidP="00412A88">
      <w:pPr>
        <w:keepNext/>
        <w:keepLines/>
        <w:tabs>
          <w:tab w:val="clear" w:pos="567"/>
          <w:tab w:val="left" w:pos="745"/>
        </w:tabs>
        <w:spacing w:after="120"/>
      </w:pPr>
      <w:r w:rsidRPr="00386F72">
        <w:t>24.8</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8108BF" w:rsidRPr="00386F72" w14:paraId="7CFD1B81" w14:textId="77777777" w:rsidTr="00306294">
        <w:tc>
          <w:tcPr>
            <w:tcW w:w="9214" w:type="dxa"/>
          </w:tcPr>
          <w:p w14:paraId="4B635B79" w14:textId="77777777" w:rsidR="008108BF" w:rsidRPr="00386F72" w:rsidRDefault="008108BF" w:rsidP="00412A88">
            <w:pPr>
              <w:keepNext/>
              <w:keepLines/>
              <w:tabs>
                <w:tab w:val="clear" w:pos="567"/>
                <w:tab w:val="left" w:pos="745"/>
              </w:tabs>
              <w:spacing w:after="120"/>
              <w:ind w:left="41"/>
            </w:pPr>
            <w:r w:rsidRPr="00386F72">
              <w:t>24.9</w:t>
            </w:r>
            <w:r w:rsidRPr="00386F72">
              <w:tab/>
              <w:t>La commission recommande au Conseil:</w:t>
            </w:r>
          </w:p>
          <w:p w14:paraId="3DB8FE35" w14:textId="77777777" w:rsidR="008108BF" w:rsidRPr="00386F72" w:rsidRDefault="008108BF" w:rsidP="00412A88">
            <w:pPr>
              <w:pStyle w:val="enumlev1"/>
              <w:keepNext/>
              <w:keepLines/>
              <w:tabs>
                <w:tab w:val="clear" w:pos="567"/>
              </w:tabs>
              <w:spacing w:after="120"/>
              <w:ind w:left="749" w:hanging="709"/>
            </w:pPr>
            <w:r w:rsidRPr="00386F72">
              <w:t>•</w:t>
            </w:r>
            <w:r w:rsidRPr="00386F72">
              <w:tab/>
              <w:t xml:space="preserve">de prendre note du rapport figurant dans le </w:t>
            </w:r>
            <w:hyperlink r:id="rId109" w:history="1">
              <w:r w:rsidRPr="00386F72">
                <w:rPr>
                  <w:rStyle w:val="Hyperlink"/>
                </w:rPr>
                <w:t>Document C26/65</w:t>
              </w:r>
            </w:hyperlink>
            <w:r w:rsidRPr="00386F72">
              <w:t xml:space="preserve"> et des contributions figurant dans les </w:t>
            </w:r>
            <w:hyperlink r:id="rId110" w:history="1">
              <w:r w:rsidRPr="00386F72">
                <w:rPr>
                  <w:rStyle w:val="Hyperlink"/>
                </w:rPr>
                <w:t>Documents C26/105</w:t>
              </w:r>
            </w:hyperlink>
            <w:r w:rsidRPr="00386F72">
              <w:t xml:space="preserve"> et </w:t>
            </w:r>
            <w:hyperlink r:id="rId111" w:history="1">
              <w:r w:rsidRPr="00386F72">
                <w:rPr>
                  <w:rStyle w:val="Hyperlink"/>
                </w:rPr>
                <w:t>C26/106</w:t>
              </w:r>
            </w:hyperlink>
            <w:r w:rsidRPr="00386F72">
              <w:t>.</w:t>
            </w:r>
          </w:p>
        </w:tc>
      </w:tr>
    </w:tbl>
    <w:p w14:paraId="4ADE2E41" w14:textId="77777777" w:rsidR="003E06A8" w:rsidRPr="00386F72" w:rsidRDefault="003E06A8" w:rsidP="003E06A8">
      <w:pPr>
        <w:pStyle w:val="Heading1"/>
      </w:pPr>
      <w:r w:rsidRPr="00386F72">
        <w:t>25</w:t>
      </w:r>
      <w:r w:rsidRPr="00386F72">
        <w:tab/>
        <w:t>Proposition de cadre pour la procédure de sélection des pays hôtes des conférences et assemblées de l'UIT (</w:t>
      </w:r>
      <w:hyperlink r:id="rId112" w:history="1">
        <w:r w:rsidRPr="00386F72">
          <w:rPr>
            <w:rStyle w:val="Hyperlink"/>
            <w:rFonts w:eastAsia="Times New Roman" w:cs="Times New Roman"/>
            <w:szCs w:val="20"/>
          </w:rPr>
          <w:t>Document C26/70</w:t>
        </w:r>
      </w:hyperlink>
      <w:r w:rsidRPr="00386F72">
        <w:t>)</w:t>
      </w:r>
    </w:p>
    <w:p w14:paraId="48A14F1A" w14:textId="77777777" w:rsidR="003E06A8" w:rsidRPr="00386F72" w:rsidRDefault="003E06A8" w:rsidP="003E06A8">
      <w:pPr>
        <w:pStyle w:val="Heading1"/>
        <w:spacing w:before="160"/>
      </w:pPr>
      <w:r w:rsidRPr="00386F72">
        <w:tab/>
        <w:t>Œuvrer en faveur de l'équité régionale et créer des conditions propices à une participation plus large pour la sélection des pays hôtes des conférences de plénipotentiaires de l'UIT (</w:t>
      </w:r>
      <w:hyperlink r:id="rId113" w:history="1">
        <w:r w:rsidRPr="00386F72">
          <w:rPr>
            <w:rStyle w:val="Hyperlink"/>
            <w:rFonts w:eastAsia="Times New Roman" w:cs="Times New Roman"/>
            <w:szCs w:val="20"/>
          </w:rPr>
          <w:t>Document C26/102</w:t>
        </w:r>
      </w:hyperlink>
      <w:r w:rsidRPr="00386F72">
        <w:t>)</w:t>
      </w:r>
    </w:p>
    <w:p w14:paraId="6F6469F7" w14:textId="1812AE50" w:rsidR="003E06A8" w:rsidRPr="00386F72" w:rsidRDefault="003E06A8" w:rsidP="003E06A8">
      <w:r w:rsidRPr="00386F72">
        <w:t>25.1</w:t>
      </w:r>
      <w:r w:rsidRPr="00386F72">
        <w:tab/>
        <w:t>Une représentante du Secrétariat général a présenté le Document C26/70, qui vise à proposer un cadre pour la procédure de sélection des pays hôtes des grandes conférences et assemblées de l'UIT. La procédure comprend</w:t>
      </w:r>
      <w:r w:rsidR="00DA66A0">
        <w:t xml:space="preserve"> un appel à proposition</w:t>
      </w:r>
      <w:r w:rsidR="00906BF6">
        <w:t>s</w:t>
      </w:r>
      <w:r w:rsidR="00DA66A0">
        <w:t xml:space="preserve"> pour l'accueil d'une conférence ou assemblée quatre ans à l'avance, avec</w:t>
      </w:r>
      <w:r w:rsidRPr="00386F72">
        <w:t xml:space="preserve"> l'envoi d'une lettre circulaire invitant les membres à manifester leur intérêt, des consultations avec le Secrétariat, la soumission de propositions officielles, une période d'examen et la présentation d'un rapport du Secrétariat, la sélection du pays hôte par le Conseil ou la Conférence de plénipotentiaires trois ans avant la manifestation concernée, ainsi que l'établissement de la version finale de l'accord de pays hôte et la signature de celui-ci. Le document indique les coûts génériques liés à l'accueil d'une conférence ou d'une assemblée de l'UIT. Le portail web du pays hôte de l'UIT est disponible et sera mis à jour selon qu'il convient. On trouvera de plus amples informations dans le </w:t>
      </w:r>
      <w:hyperlink r:id="rId114" w:history="1">
        <w:r w:rsidRPr="00386F72">
          <w:rPr>
            <w:rStyle w:val="Hyperlink"/>
            <w:rFonts w:eastAsia="Times New Roman" w:cs="Times New Roman"/>
            <w:szCs w:val="20"/>
          </w:rPr>
          <w:t>Document C26/INF/4</w:t>
        </w:r>
      </w:hyperlink>
      <w:r w:rsidRPr="00386F72">
        <w:t>.</w:t>
      </w:r>
    </w:p>
    <w:p w14:paraId="7A421A8B" w14:textId="77777777" w:rsidR="003E06A8" w:rsidRPr="00386F72" w:rsidRDefault="003E06A8" w:rsidP="003E06A8">
      <w:r w:rsidRPr="00386F72">
        <w:t>25.2</w:t>
      </w:r>
      <w:r w:rsidRPr="00386F72">
        <w:tab/>
        <w:t>Le Conseiller de la République sudafricaine a présenté la contribution soumise par plusieurs pays, figurant dans le Document C26/102, au nom de quatre pays. Cette contribution vise à renforcer la procédure de sélection proposée dans le Document C26/70 et à créer les conditions concrètes propices et nécessaires à une participation plus large des États Membres, en particulier des pays en développement, comme l'a demandé le GTC-FHR en janvier 2026. Favoriser une participation plus large en vue de la sélection des pays hôtes des réunions de haut niveau est conforme aux principes d'équité, d'inclusion et de participation à l'échelle mondiale qui sous-tendent les travaux de l'UIT.</w:t>
      </w:r>
    </w:p>
    <w:p w14:paraId="55014367" w14:textId="116B3B09" w:rsidR="003E06A8" w:rsidRPr="00386F72" w:rsidRDefault="003E06A8" w:rsidP="003E06A8">
      <w:r w:rsidRPr="00386F72">
        <w:t>25.3</w:t>
      </w:r>
      <w:r w:rsidRPr="00386F72">
        <w:tab/>
        <w:t xml:space="preserve">Les </w:t>
      </w:r>
      <w:r w:rsidR="00AB78E5">
        <w:t>c</w:t>
      </w:r>
      <w:r w:rsidRPr="00386F72">
        <w:t xml:space="preserve">onseillers se sont dits favorables au cadre proposé, qui tient compte des discussions menées par le GTC-FHR ainsi que des points de vue et des préoccupations des États Membres. La contribution soumise par plusieurs pays a été considérée comme un </w:t>
      </w:r>
      <w:r w:rsidRPr="00386F72">
        <w:lastRenderedPageBreak/>
        <w:t>complément constructif pour l'élaboration d'un processus de sélection. Ils ont souligné qu'il importait de respecter les principes d'ouverture, de transparence et de responsabilité dans le cadre du processus de sélection afin d'encourager la participation d'un plus grand nombre d'États Membres et de réduire la charge financière liée à l'accueil des manifestations de l'UIT. L'amélioration de l'accès aux informations grâce au portail web a été saluée et facilitera la prise de décisions par les États Membres.</w:t>
      </w:r>
    </w:p>
    <w:p w14:paraId="10BCD7E5" w14:textId="061E976D" w:rsidR="0021600C" w:rsidRPr="00386F72" w:rsidRDefault="0021600C" w:rsidP="0021600C">
      <w:pPr>
        <w:tabs>
          <w:tab w:val="clear" w:pos="567"/>
          <w:tab w:val="left" w:pos="709"/>
        </w:tabs>
      </w:pPr>
      <w:r w:rsidRPr="00386F72">
        <w:t>25.4</w:t>
      </w:r>
      <w:r w:rsidRPr="00386F72">
        <w:tab/>
        <w:t>De nombreux conseillers se sont félicités de la clarté des délais et des exigences fixés dans le cadre proposé et ont souligné l'importance d'évaluer objectivement les propositions sur la base de critères connus à l'avance, tout en maintenant un équilibre entre la planification à l'avance et la participation du plus grand nombre d'États Membres possible. Le cadre devrait être suffisamment solide pour faire face aux rares situations dans lesquelles il y existe plusieurs candidatures pour une manifestation donnée. En pareil cas, l'équilibre dans le représentation géographique pourrait être utilisé comme facteur décisif.</w:t>
      </w:r>
      <w:r w:rsidR="00412A88" w:rsidRPr="00386F72">
        <w:t xml:space="preserve"> </w:t>
      </w:r>
      <w:r w:rsidRPr="00386F72">
        <w:t>Un conseiller a estimé que la procédure de sélection appliquée en vertu de la Résolution 11 (Rév. Dubaï, 2018) sur les manifestations ITU Telecom, qui a été abrogée, pourrait être une référence utile sur la manière dont les critères structurés et fondés sur des règles pourraient être appliqués dans la pratique.</w:t>
      </w:r>
    </w:p>
    <w:p w14:paraId="37B33253" w14:textId="77777777" w:rsidR="0021600C" w:rsidRPr="00386F72" w:rsidRDefault="0021600C" w:rsidP="0021600C">
      <w:pPr>
        <w:tabs>
          <w:tab w:val="clear" w:pos="567"/>
          <w:tab w:val="left" w:pos="709"/>
        </w:tabs>
      </w:pPr>
      <w:r w:rsidRPr="00386F72">
        <w:t>25.5</w:t>
      </w:r>
      <w:r w:rsidRPr="00386F72">
        <w:tab/>
        <w:t>De nombreux conseillers ont souligné l'importance d'appliquer effectivement le principe de la rotation géographique dans le choix du pays hôte, tout en tenant compte de l'intérêt et de la volonté des États Membres de soumettre des candidatures, ainsi que de leur capacité à répondre aux exigences pertinentes. Toutefois, certains ont dit craindre qu'une approche trop rigide ou très formalisée ne limite involontairement la participation des pays en développement. La souplesse dans l'application des exigences et la poursuite des efforts visant à réduire la charge financière qui pèse sur les pays hôtes sont cruciaux dans ce contexte.</w:t>
      </w:r>
    </w:p>
    <w:p w14:paraId="709E7497" w14:textId="77777777" w:rsidR="0021600C" w:rsidRPr="00386F72" w:rsidRDefault="0021600C" w:rsidP="0021600C">
      <w:pPr>
        <w:tabs>
          <w:tab w:val="clear" w:pos="567"/>
          <w:tab w:val="left" w:pos="709"/>
        </w:tabs>
      </w:pPr>
      <w:r w:rsidRPr="00386F72">
        <w:t>25.6</w:t>
      </w:r>
      <w:r w:rsidRPr="00386F72">
        <w:tab/>
        <w:t>Un conseiller a suggéré de préciser encore le calendrier proposé dans le cadre, selon lequel le pays hôte est choisi trois ans avant une manifestation; Il est d'usage, par exemple, qu'une Conférence de plénipotentiaires se termine par l'annonce du pays hôte de la conférence suivante.</w:t>
      </w:r>
    </w:p>
    <w:p w14:paraId="09EBA7EA" w14:textId="7BF019B7" w:rsidR="0021600C" w:rsidRPr="00386F72" w:rsidRDefault="0021600C" w:rsidP="0021600C">
      <w:pPr>
        <w:tabs>
          <w:tab w:val="clear" w:pos="567"/>
          <w:tab w:val="left" w:pos="709"/>
        </w:tabs>
      </w:pPr>
      <w:r w:rsidRPr="00386F72">
        <w:t>25.7</w:t>
      </w:r>
      <w:r w:rsidRPr="00386F72">
        <w:tab/>
        <w:t>Un autre conseiller a proposé, s'agissant de renforcer le cadre, de recueillir des informations supplémentaires concernant, notamment, le nombre de participants aux différentes réunions lors de la PP-26. Ces données pourraient être utilisées pour</w:t>
      </w:r>
      <w:r w:rsidR="00906BF6">
        <w:t xml:space="preserve"> étayer les besoins tels que le nombre de salles et leur capacité et pour</w:t>
      </w:r>
      <w:r w:rsidRPr="00386F72">
        <w:t xml:space="preserve"> élaborer un instrument qui soit davantage fondé sur les statistiques, afin d'aider les pays hôtes potentiels, notamment en ce qui concerne les charges.</w:t>
      </w:r>
    </w:p>
    <w:p w14:paraId="30957494" w14:textId="77777777" w:rsidR="0021600C" w:rsidRPr="00386F72" w:rsidRDefault="0021600C" w:rsidP="0021600C">
      <w:pPr>
        <w:tabs>
          <w:tab w:val="clear" w:pos="567"/>
          <w:tab w:val="left" w:pos="709"/>
        </w:tabs>
      </w:pPr>
      <w:r w:rsidRPr="00386F72">
        <w:t>25.8</w:t>
      </w:r>
      <w:r w:rsidRPr="00386F72">
        <w:tab/>
        <w:t>Il a en outre été suggéré que le cadre proposé soit mis en œuvre immédiatement à titre provisoire et que des discussions supplémentaires soient menées à la PP-26 afin de l'améliorer et de renforcer le processus de sélection, si nécessaire.</w:t>
      </w:r>
    </w:p>
    <w:p w14:paraId="7F2B6A5B" w14:textId="77777777" w:rsidR="00F35FF9" w:rsidRDefault="0021600C" w:rsidP="0021600C">
      <w:pPr>
        <w:tabs>
          <w:tab w:val="clear" w:pos="567"/>
          <w:tab w:val="left" w:pos="709"/>
        </w:tabs>
      </w:pPr>
      <w:r w:rsidRPr="00386F72">
        <w:t>25.9</w:t>
      </w:r>
      <w:r w:rsidRPr="00386F72">
        <w:tab/>
        <w:t xml:space="preserve">La représentante du Secrétariat général a pris note de l'avis des conseillers sur l'importance du principe de la rotation géographique et sur la réduction de la charge liée à l'accueil d'une conférence. Toutes les informations pertinentes pourront être téléchargées sur le portail web dès que possible. En réponse à une question d'un conseiller, elle a expliqué que lorsque deux candidats tout aussi qualifiés se présentent pour accueillir une </w:t>
      </w:r>
      <w:r w:rsidR="00F35FF9">
        <w:br w:type="page"/>
      </w:r>
    </w:p>
    <w:p w14:paraId="70A630EC" w14:textId="2F237AD1" w:rsidR="0021600C" w:rsidRPr="00386F72" w:rsidRDefault="0021600C" w:rsidP="0021600C">
      <w:pPr>
        <w:tabs>
          <w:tab w:val="clear" w:pos="567"/>
          <w:tab w:val="left" w:pos="709"/>
        </w:tabs>
      </w:pPr>
      <w:r w:rsidRPr="00386F72">
        <w:lastRenderedPageBreak/>
        <w:t xml:space="preserve">manifestation, les États Membres </w:t>
      </w:r>
      <w:r w:rsidR="00906BF6">
        <w:t xml:space="preserve">pourront proposer d'autres critères de choix particuliers et </w:t>
      </w:r>
      <w:r w:rsidRPr="00386F72">
        <w:t>s</w:t>
      </w:r>
      <w:r w:rsidR="00906BF6">
        <w:t>er</w:t>
      </w:r>
      <w:r w:rsidRPr="00386F72">
        <w:t>ont invités à prendre une décision à ce sujet lors d'une session du Conseil ou de la Conférence de plénipotentiaires.</w:t>
      </w:r>
    </w:p>
    <w:p w14:paraId="32AFC1CD" w14:textId="77777777" w:rsidR="0021600C" w:rsidRPr="00386F72" w:rsidRDefault="0021600C" w:rsidP="00CB79C9">
      <w:pPr>
        <w:keepNext/>
        <w:keepLines/>
        <w:tabs>
          <w:tab w:val="clear" w:pos="567"/>
          <w:tab w:val="left" w:pos="709"/>
        </w:tabs>
        <w:spacing w:after="120"/>
      </w:pPr>
      <w:r w:rsidRPr="00386F72">
        <w:t>25.10</w:t>
      </w:r>
      <w:r w:rsidRPr="00386F72">
        <w:tab/>
        <w:t xml:space="preserve">La Commission </w:t>
      </w:r>
      <w:r w:rsidRPr="00386F72">
        <w:rPr>
          <w:b/>
          <w:bCs/>
        </w:rPr>
        <w:t>est</w:t>
      </w:r>
      <w:r w:rsidRPr="00386F72">
        <w:t xml:space="preserve"> </w:t>
      </w:r>
      <w:r w:rsidRPr="00386F72">
        <w:rPr>
          <w:b/>
          <w:bCs/>
        </w:rPr>
        <w:t>convenue</w:t>
      </w:r>
      <w:r w:rsidRPr="00386F72">
        <w:t xml:space="preserve"> de formuler la conclusion suivante sur la question:</w:t>
      </w:r>
    </w:p>
    <w:tbl>
      <w:tblPr>
        <w:tblStyle w:val="TableGrid"/>
        <w:tblW w:w="0" w:type="auto"/>
        <w:tblInd w:w="-103" w:type="dxa"/>
        <w:tblLook w:val="04A0" w:firstRow="1" w:lastRow="0" w:firstColumn="1" w:lastColumn="0" w:noHBand="0" w:noVBand="1"/>
      </w:tblPr>
      <w:tblGrid>
        <w:gridCol w:w="9164"/>
      </w:tblGrid>
      <w:tr w:rsidR="0021600C" w:rsidRPr="00386F72" w14:paraId="04673C98" w14:textId="77777777" w:rsidTr="00955E0C">
        <w:tc>
          <w:tcPr>
            <w:tcW w:w="9164" w:type="dxa"/>
          </w:tcPr>
          <w:p w14:paraId="1BAA96E3" w14:textId="77777777" w:rsidR="0021600C" w:rsidRPr="00386F72" w:rsidRDefault="0021600C" w:rsidP="00CB79C9">
            <w:pPr>
              <w:keepNext/>
              <w:keepLines/>
              <w:tabs>
                <w:tab w:val="clear" w:pos="567"/>
                <w:tab w:val="left" w:pos="709"/>
              </w:tabs>
            </w:pPr>
            <w:r w:rsidRPr="00386F72">
              <w:t>25.11</w:t>
            </w:r>
            <w:r w:rsidRPr="00386F72">
              <w:tab/>
              <w:t>La Commission recommande au Conseil:</w:t>
            </w:r>
          </w:p>
          <w:p w14:paraId="7A6B4BE4" w14:textId="77777777" w:rsidR="0021600C" w:rsidRPr="00386F72" w:rsidRDefault="0021600C" w:rsidP="00CB79C9">
            <w:pPr>
              <w:pStyle w:val="enumlev1"/>
              <w:keepNext/>
              <w:keepLines/>
              <w:tabs>
                <w:tab w:val="clear" w:pos="567"/>
                <w:tab w:val="left" w:pos="837"/>
              </w:tabs>
              <w:spacing w:after="80"/>
              <w:ind w:left="697" w:hanging="697"/>
            </w:pPr>
            <w:r w:rsidRPr="00386F72">
              <w:t>•</w:t>
            </w:r>
            <w:r w:rsidRPr="00386F72">
              <w:tab/>
              <w:t>prendre note du cadre proposé dans le Document C26/70 et de la contribution soumise par plusieurs pays dans le Document C26/102;</w:t>
            </w:r>
          </w:p>
          <w:p w14:paraId="014B6A56" w14:textId="77777777" w:rsidR="0021600C" w:rsidRPr="00386F72" w:rsidRDefault="0021600C" w:rsidP="00CB79C9">
            <w:pPr>
              <w:pStyle w:val="enumlev1"/>
              <w:keepNext/>
              <w:keepLines/>
              <w:tabs>
                <w:tab w:val="clear" w:pos="567"/>
                <w:tab w:val="left" w:pos="837"/>
              </w:tabs>
              <w:spacing w:after="80"/>
              <w:ind w:left="697" w:hanging="697"/>
            </w:pPr>
            <w:r w:rsidRPr="00386F72">
              <w:t>•</w:t>
            </w:r>
            <w:r w:rsidRPr="00386F72">
              <w:tab/>
              <w:t xml:space="preserve">de demander au Secrétariat général de mettre en œuvre dans un premier temps le cadre applicable à la procédure de sélection figurant dans le </w:t>
            </w:r>
            <w:hyperlink r:id="rId115" w:history="1">
              <w:r w:rsidRPr="00386F72">
                <w:rPr>
                  <w:rStyle w:val="Hyperlink"/>
                </w:rPr>
                <w:t>Document C26/70</w:t>
              </w:r>
            </w:hyperlink>
            <w:r w:rsidRPr="00386F72">
              <w:t xml:space="preserve">, en tenant compte du </w:t>
            </w:r>
            <w:hyperlink r:id="rId116" w:history="1">
              <w:r w:rsidRPr="00386F72">
                <w:rPr>
                  <w:rStyle w:val="Hyperlink"/>
                </w:rPr>
                <w:t>Document C26/102</w:t>
              </w:r>
            </w:hyperlink>
            <w:r w:rsidRPr="00386F72">
              <w:t>; et</w:t>
            </w:r>
          </w:p>
          <w:p w14:paraId="453B0623" w14:textId="77777777" w:rsidR="0021600C" w:rsidRPr="00386F72" w:rsidRDefault="0021600C" w:rsidP="00CB79C9">
            <w:pPr>
              <w:pStyle w:val="enumlev1"/>
              <w:keepNext/>
              <w:keepLines/>
              <w:tabs>
                <w:tab w:val="clear" w:pos="567"/>
                <w:tab w:val="left" w:pos="837"/>
              </w:tabs>
              <w:spacing w:after="120"/>
              <w:ind w:left="697" w:hanging="697"/>
            </w:pPr>
            <w:r w:rsidRPr="00386F72">
              <w:t>•</w:t>
            </w:r>
            <w:r w:rsidRPr="00386F72">
              <w:tab/>
              <w:t>d'inviter la Conférence de plénipotentiaires (Doha, 2026) à poursuivre l'examen de cette question, en vue d'affiner et de renforcer encore le processus à l'avenir, si nécessaire.</w:t>
            </w:r>
          </w:p>
        </w:tc>
      </w:tr>
    </w:tbl>
    <w:p w14:paraId="1E4420E2" w14:textId="77777777" w:rsidR="00982DC0" w:rsidRPr="00386F72" w:rsidRDefault="00982DC0" w:rsidP="00982DC0">
      <w:pPr>
        <w:pStyle w:val="Heading1"/>
      </w:pPr>
      <w:r w:rsidRPr="00386F72">
        <w:t>26</w:t>
      </w:r>
      <w:r w:rsidRPr="00386F72">
        <w:tab/>
        <w:t>Point de la situation sur les mesures visant à alléger la charge financière reposant sur les pays hôtes des conférences, réunions et activités de l'UIT (</w:t>
      </w:r>
      <w:hyperlink r:id="rId117" w:history="1">
        <w:r w:rsidRPr="00386F72">
          <w:rPr>
            <w:rStyle w:val="Hyperlink"/>
            <w:rFonts w:eastAsia="Times New Roman" w:cs="Times New Roman"/>
            <w:szCs w:val="20"/>
          </w:rPr>
          <w:t>Document C26/71</w:t>
        </w:r>
      </w:hyperlink>
      <w:r w:rsidRPr="00386F72">
        <w:t>)</w:t>
      </w:r>
    </w:p>
    <w:p w14:paraId="36AE4C1A" w14:textId="77777777" w:rsidR="00982DC0" w:rsidRPr="00386F72" w:rsidRDefault="00982DC0" w:rsidP="00982DC0">
      <w:r w:rsidRPr="00386F72">
        <w:t>26.1</w:t>
      </w:r>
      <w:r w:rsidRPr="00386F72">
        <w:tab/>
        <w:t>Une représentante du Secrétariat général a présenté le Document C26/71, qui fournit des renseignements additionnels sur les trois propositions présentées à la session de 2025 du Conseil dans le Document C25/95. Les propositions concernent l'utilisation de ressources d'interprétation plus locales et de services d'interprétation simultanée à distance pour les manifestations de l'UIT; la mise à disposition locale d'équipements et de dispositifs informatiques; et la transition vers un modèle d'accréditation entièrement numérique pour les conférences grâce à des processus rationalisés et à des badges numériques adaptés.</w:t>
      </w:r>
    </w:p>
    <w:p w14:paraId="57AA5EA8" w14:textId="77777777" w:rsidR="00982DC0" w:rsidRPr="00386F72" w:rsidRDefault="00982DC0" w:rsidP="00982DC0">
      <w:r w:rsidRPr="00386F72">
        <w:t>26.2</w:t>
      </w:r>
      <w:r w:rsidRPr="00386F72">
        <w:tab/>
        <w:t>Les conseillers ont appuyé sans réserve tous les efforts déployés actuellement pour réduire les charges financières et opérationnelles liées à l'accueil de manifestations. L'utilisation stratégique de la technologie et des ressources locales pourrait contribuer de manière significative à réduire les coûts pour les pays hôtes et produire des retombées positives sur les économies locales. Ces mesures sont particulièrement importantes pour les petites administrations et les PEID.</w:t>
      </w:r>
    </w:p>
    <w:p w14:paraId="3DFE2B5F" w14:textId="77777777" w:rsidR="00982DC0" w:rsidRPr="00386F72" w:rsidRDefault="00982DC0" w:rsidP="00982DC0">
      <w:r w:rsidRPr="00386F72">
        <w:t>26.3</w:t>
      </w:r>
      <w:r w:rsidRPr="00386F72">
        <w:tab/>
        <w:t>Toutefois, plusieurs conseillers ont fait observer que les propositions ne couvraient pas nécessairement les aspects les plus onéreux de l'accueil d'une manifestation. L'examen de propositions audacieuses, telles que le raccourcissement de la durée des manifestations ou la conclusion d'accords de partage des coûts entre plusieurs pays hôtes, a été encouragé et aura probablement une incidence plus directe sur la réduction des dépenses.</w:t>
      </w:r>
    </w:p>
    <w:p w14:paraId="5AD2BB45" w14:textId="77777777" w:rsidR="00982DC0" w:rsidRPr="00386F72" w:rsidRDefault="00982DC0" w:rsidP="00F35FF9">
      <w:r w:rsidRPr="00386F72">
        <w:t>26.4</w:t>
      </w:r>
      <w:r w:rsidRPr="00386F72">
        <w:tab/>
        <w:t>Plusieurs conseillers ont estimé que la mise en œuvre des propositions devrait rester souple afin de garantir la participation de tous les délégués sur un pied d'égalité. L'adoption d'une approche hybride pour la fourniture locale d'équipements et d'infrastructures informatiques permettrait au pays hôte de s'approvisionner localement lorsque cela est possible et pourrait réduire considérablement les frais d'expédition et les coûts logistiques, tout en stimulant les écosystèmes numériques locaux. Il a été pris note des retombées positives du modèle d'accréditation numérique sur l'environnement.</w:t>
      </w:r>
    </w:p>
    <w:p w14:paraId="61672526" w14:textId="68D137DD" w:rsidR="00982DC0" w:rsidRPr="00386F72" w:rsidRDefault="00982DC0" w:rsidP="00982DC0">
      <w:r w:rsidRPr="00386F72">
        <w:lastRenderedPageBreak/>
        <w:t>26.5</w:t>
      </w:r>
      <w:r w:rsidRPr="00386F72">
        <w:tab/>
        <w:t xml:space="preserve">Des conseillers ont accueilli favorablement la proposition visant à recourir davantage à des services d'interprétation au niveau local, à condition que les normes de qualité soient maintenues. Plusieurs conseillers se sont déclarés favorables à l'utilisation de services d'interprétation simultanée à distance, tout en notant qu'il serait utile de procéder progressivement, en définissant des critères de préparation technique clairs, en s'appuyant sur des données issues de contextes comparables et en prévoyant des dispositions de repli. Un conseiller a souligné qu'il était essentiel de veiller à ce que les coûts ne soient pas simplement reportés; par exemple, si le recours à des services d'interprétation simultanée à distance réduirait les frais de voyage et d'hébergement, il nécessiterait des investissements accrus dans les infrastructures techniques et une connectivité fiable. En outre, l'utilisation de ces services n'est pas appropriée pour toutes les manifestations. S'agissant de l'interprétation fondée sur l'IA, l'approche prudente du </w:t>
      </w:r>
      <w:r w:rsidR="00AB78E5">
        <w:t>S</w:t>
      </w:r>
      <w:r w:rsidRPr="00386F72">
        <w:t>ecrétariat et l'assurance qu'elle ne serait pas utilisée pour des réunions officielles ont été accueillies favorablement.</w:t>
      </w:r>
    </w:p>
    <w:p w14:paraId="4D090FE6" w14:textId="77777777" w:rsidR="00982DC0" w:rsidRPr="00386F72" w:rsidRDefault="00982DC0" w:rsidP="00982DC0">
      <w:r w:rsidRPr="00386F72">
        <w:t>26.6</w:t>
      </w:r>
      <w:r w:rsidRPr="00386F72">
        <w:tab/>
        <w:t>Plusieurs conseillers ont indiqué souhaiter en savoir davantage sur les incidences financières de la mise en œuvre des propositions. Des informations ont été demandées sur les économies estimées, les avantages retirés par l'UIT et le pays hôte, les charges résiduelles pour l'UIT et la question de savoir si un pays pourrait définir ses propres stratégies de réduction des coûts pour une manifestation donnée.</w:t>
      </w:r>
    </w:p>
    <w:p w14:paraId="6FB3D660" w14:textId="5FE8DD51" w:rsidR="00982DC0" w:rsidRPr="00386F72" w:rsidRDefault="00982DC0" w:rsidP="00982DC0">
      <w:r w:rsidRPr="00386F72">
        <w:t>26.7</w:t>
      </w:r>
      <w:r w:rsidRPr="00386F72">
        <w:tab/>
        <w:t xml:space="preserve">La représentante du Secrétariat général, notant que les conseillers étaient largement favorables au recours à des interprètes locaux et à des services d'interprétation simultanée à distance, a fait observer que la Lettre circulaire (CL-26/11), envoyée aux États Membres et aux organisations régionales de télécommunication, visait à trouver des interprètes suffisamment qualifiés. Elle a indiqué que les questions traitées dans les propositions avaient été identifiées par le Conseil et le GTC-FHR; les nouvelles solutions de réduction des coûts sont </w:t>
      </w:r>
      <w:r w:rsidR="00D20AB0">
        <w:t xml:space="preserve">prises en compte lorsque cela est possibles et de nouvelles propositions sont </w:t>
      </w:r>
      <w:r w:rsidRPr="00386F72">
        <w:t xml:space="preserve">toujours bienvenues et peuvent être examinées par les conseillers. L'intervenante a souligné que le recours à des services d'interprétation simultanée à distance ne consisterait pas en un report des coûts, notant que des économies de 20 à 25% </w:t>
      </w:r>
      <w:r w:rsidR="00D20AB0">
        <w:t xml:space="preserve">par manifestation </w:t>
      </w:r>
      <w:r w:rsidRPr="00386F72">
        <w:t>seraient réalisées par rapport à l'utilisation d'interprètes sur place, sans compter la réduction des frais de voyage. Une évaluation supplémentaire et des informations complémentaires sur les coûts pourront être fournies dans le rapport de suivi à la session de 2027 du Conseil.</w:t>
      </w:r>
    </w:p>
    <w:p w14:paraId="61340953" w14:textId="77777777" w:rsidR="00982DC0" w:rsidRPr="00386F72" w:rsidRDefault="00982DC0" w:rsidP="00982DC0">
      <w:pPr>
        <w:spacing w:after="120"/>
      </w:pPr>
      <w:r w:rsidRPr="00386F72">
        <w:t>26.8</w:t>
      </w:r>
      <w:r w:rsidRPr="00386F72">
        <w:tab/>
        <w:t xml:space="preserve">La Commission </w:t>
      </w:r>
      <w:r w:rsidRPr="00386F72">
        <w:rPr>
          <w:b/>
          <w:bCs/>
        </w:rPr>
        <w:t>est convenue</w:t>
      </w:r>
      <w:r w:rsidRPr="00386F72">
        <w:t xml:space="preserve"> de formuler la conclusion suivante sur la question:</w:t>
      </w:r>
    </w:p>
    <w:tbl>
      <w:tblPr>
        <w:tblStyle w:val="TableGrid"/>
        <w:tblW w:w="0" w:type="auto"/>
        <w:tblInd w:w="-147" w:type="dxa"/>
        <w:tblLook w:val="04A0" w:firstRow="1" w:lastRow="0" w:firstColumn="1" w:lastColumn="0" w:noHBand="0" w:noVBand="1"/>
      </w:tblPr>
      <w:tblGrid>
        <w:gridCol w:w="9208"/>
      </w:tblGrid>
      <w:tr w:rsidR="00982DC0" w:rsidRPr="00386F72" w14:paraId="7093047E" w14:textId="77777777" w:rsidTr="00955E0C">
        <w:tc>
          <w:tcPr>
            <w:tcW w:w="9208" w:type="dxa"/>
          </w:tcPr>
          <w:p w14:paraId="24569716" w14:textId="77777777" w:rsidR="00982DC0" w:rsidRPr="00386F72" w:rsidRDefault="00982DC0" w:rsidP="00F35FF9">
            <w:pPr>
              <w:tabs>
                <w:tab w:val="clear" w:pos="567"/>
                <w:tab w:val="left" w:pos="601"/>
              </w:tabs>
              <w:ind w:left="31"/>
            </w:pPr>
            <w:r w:rsidRPr="00386F72">
              <w:t>26.9</w:t>
            </w:r>
            <w:r w:rsidRPr="00386F72">
              <w:tab/>
              <w:t>La Commission recommande au Conseil:</w:t>
            </w:r>
          </w:p>
          <w:p w14:paraId="307A7ACD" w14:textId="77777777" w:rsidR="00982DC0" w:rsidRDefault="00982DC0" w:rsidP="00955E0C">
            <w:pPr>
              <w:pStyle w:val="enumlev1"/>
              <w:spacing w:after="120"/>
              <w:ind w:hanging="536"/>
            </w:pPr>
            <w:r w:rsidRPr="00386F72">
              <w:t>•</w:t>
            </w:r>
            <w:r w:rsidRPr="00386F72">
              <w:tab/>
              <w:t xml:space="preserve">de prendre note du rapport figurant dans le </w:t>
            </w:r>
            <w:hyperlink r:id="rId118" w:history="1">
              <w:r w:rsidRPr="004E4580">
                <w:rPr>
                  <w:rStyle w:val="Hyperlink"/>
                </w:rPr>
                <w:t>Document C26/71</w:t>
              </w:r>
            </w:hyperlink>
            <w:r w:rsidR="00F35FF9">
              <w:t>; et</w:t>
            </w:r>
          </w:p>
          <w:p w14:paraId="28EEE9FB" w14:textId="2AE3841C" w:rsidR="00F35FF9" w:rsidRPr="00386F72" w:rsidRDefault="00F35FF9" w:rsidP="00955E0C">
            <w:pPr>
              <w:pStyle w:val="enumlev1"/>
              <w:spacing w:after="120"/>
              <w:ind w:hanging="536"/>
            </w:pPr>
            <w:r w:rsidRPr="00F35FF9">
              <w:t>•</w:t>
            </w:r>
            <w:r>
              <w:tab/>
            </w:r>
            <w:r w:rsidRPr="00F35FF9">
              <w:t>de charger le Secrétariat de fournir une évaluation supplémentaire et des informations complémentaires sur les coûts dans le rapport de suivi qu'il présentera à la session de 2027 du Conseil.</w:t>
            </w:r>
          </w:p>
        </w:tc>
      </w:tr>
    </w:tbl>
    <w:p w14:paraId="69CFA254" w14:textId="77777777" w:rsidR="005E7AB1" w:rsidRPr="00386F72" w:rsidRDefault="005E7AB1" w:rsidP="005E7AB1">
      <w:pPr>
        <w:pStyle w:val="Heading1"/>
      </w:pPr>
      <w:r w:rsidRPr="00386F72">
        <w:t>27</w:t>
      </w:r>
      <w:r w:rsidRPr="00386F72">
        <w:tab/>
        <w:t>Rapport du Bureau de l'éthique (</w:t>
      </w:r>
      <w:hyperlink r:id="rId119" w:history="1">
        <w:r w:rsidRPr="00386F72">
          <w:rPr>
            <w:rStyle w:val="Hyperlink"/>
            <w:rFonts w:eastAsia="Times New Roman" w:cs="Times New Roman"/>
            <w:szCs w:val="20"/>
          </w:rPr>
          <w:t>Documents C26/14</w:t>
        </w:r>
      </w:hyperlink>
      <w:r w:rsidRPr="00386F72">
        <w:t xml:space="preserve"> et </w:t>
      </w:r>
      <w:hyperlink r:id="rId120" w:history="1">
        <w:r w:rsidRPr="00386F72">
          <w:rPr>
            <w:rStyle w:val="Hyperlink"/>
            <w:rFonts w:eastAsia="Times New Roman" w:cs="Times New Roman"/>
            <w:szCs w:val="20"/>
          </w:rPr>
          <w:t>C26/INF/27</w:t>
        </w:r>
      </w:hyperlink>
      <w:r w:rsidRPr="00386F72">
        <w:t>)</w:t>
      </w:r>
    </w:p>
    <w:p w14:paraId="5D936EFE" w14:textId="77777777" w:rsidR="005E7AB1" w:rsidRPr="00386F72" w:rsidRDefault="005E7AB1" w:rsidP="005E7AB1">
      <w:r w:rsidRPr="00386F72">
        <w:t>27.1</w:t>
      </w:r>
      <w:r w:rsidRPr="00386F72">
        <w:tab/>
        <w:t xml:space="preserve">La déontologue hors classe du Bureau de la déontologie des Nations Unies a présenté le Document C26/14 et a attiré l'attention sur les informations supplémentaires données dans le Document C26/INF/27. Elle a réaffirmé que le Bureau de l'éthique de l'UIT mettait tout en œuvre pour préserver l'indépendance de sa fonction et l'intégrité de son mandat. Il </w:t>
      </w:r>
      <w:r w:rsidRPr="00386F72">
        <w:lastRenderedPageBreak/>
        <w:t>présentait des rapports sur ses activités à la Secrétaire générale de l'UIT à intervalle régulier et chaque année au Conseil, et fournissait régulièrement des informations au CCIG sur l'exercice de la fonction propre à l'éthique. Le Bureau de l'éthique continuait de conseiller et d'orienter les membres du personnel de l'UIT sur des questions liées à l'éthique de natures très diverses, notamment en ce qui concerne l'intégrité institutionnelle, les conflits d'intérêts, les activités extérieures et les questions liées à l'emploi, entre autres. En plus des informations communiquées concernant le renforcement du cadre réglementaire de l'Union, l'oratrice a indiqué que, pour l'année 2025, l'examen de déclarations d'intérêts soumises avait été achevé en septembre 2025. Un solide travail de préparation a eu lieu au dernier trimestre de 2025 pour que la conformité soit la plus grande possible en 2026, celle-ci ayant atteint 100% en février 2026.</w:t>
      </w:r>
    </w:p>
    <w:p w14:paraId="7C15F77D" w14:textId="77777777" w:rsidR="005E7AB1" w:rsidRPr="00386F72" w:rsidRDefault="005E7AB1" w:rsidP="005E7AB1">
      <w:r w:rsidRPr="00386F72">
        <w:t>27.2</w:t>
      </w:r>
      <w:r w:rsidRPr="00386F72">
        <w:tab/>
        <w:t>Les conseillers ont généralement salué l'amélioration des rapports présentés par le Secrétariat sur la fonction de l'éthique à l'UIT, preuve de la réactivité face aux demandes des États Membres, aux recommandations du CCI et aux principes relatifs à la réforme des Nations Unies, mais certains ont souligné la nécessité que les données présentées soient complètes, dans l'intérêt d'une transparence totale. Il était regrettable que la publication du Document C26/INF/27 ait tardé. Il a en outre été fait remarquer que les informations relatives aux travaux du Bureau de l'éthique devraient être plus facilement accessibles sur le site web de l'Union et que des données supplémentaires, telles que le programme de travail du Bureau pour 2025, devraient être diffusées plus largement.</w:t>
      </w:r>
    </w:p>
    <w:p w14:paraId="71C461DB" w14:textId="77777777" w:rsidR="005E7AB1" w:rsidRPr="00386F72" w:rsidRDefault="005E7AB1" w:rsidP="005E7AB1">
      <w:r w:rsidRPr="00386F72">
        <w:t>27.3</w:t>
      </w:r>
      <w:r w:rsidRPr="00386F72">
        <w:tab/>
        <w:t>Si la création d'un Bureau de l'éthique à l'UIT avait été une évolution qui méritait d'être saluée, des inquiétudes ont été exprimées concernant la rotation aux postes clés et l'absence de continuité qui en a résulté pour la rédaction et la présentation des rapports. Une conseillère a demandé si le responsable du Bureau de l'éthique qui venait d'être nommé serait recruté à long terme. Un autre conseiller a fait observer que l'obligation d'indépendance du Bureau devrait être énoncée en des termes plus forts, et a demandé où le Bureau de l'éthique se situait dans le modèle des "Trois lignes de défense" défini par l'Institut des auditeurs internes et si les risques liés à l'éthique faisaient partie du cadre de gestion des risques institutionnels de l'Union.</w:t>
      </w:r>
    </w:p>
    <w:p w14:paraId="15EAFAAF" w14:textId="77777777" w:rsidR="005E7AB1" w:rsidRPr="00386F72" w:rsidRDefault="005E7AB1" w:rsidP="005E7AB1">
      <w:r w:rsidRPr="00386F72">
        <w:t>27.4</w:t>
      </w:r>
      <w:r w:rsidRPr="00386F72">
        <w:tab/>
        <w:t>Les conseillers ont indiqué qu'ils soutenaient les efforts visant à encourager une culture institutionnelle favorisant un cadre de travail sûr, digne de confiance et favorable, dans lequel tous les membres du personnel avaient le sentiment de pouvoir s'exprimer ouvertement pour défendre des valeurs éthiques et l'éthique est intégrée au quotidien dans les processus décisionnels et les pratiques institutionnelles. La fonction d'éthique devrait faire partie intégrante des activités de transformation de l'UIT au sens large. Il était encourageant d'apprendre que le nombre de consultations à titre confidentiel avait augmenté, cette hausse indiquant un renforcement de la confiance du personnel à l'égard du processus. Un conseiller, au sujet des élections qui auraient lieu à la PP-26, a proposé que les lignes directrices applicables en matière d'éthique soient renforcées afin de garantir la clarté, la cohérence et la conformité requise pour tous les acteurs concernés. D'autres conseillers ont souligné la nécessité, d'une part, de faire la distinction entre la dénonciation des fautes, qui était à juste titre couverte par la politique de l'Union en matière de protection contre les représailles, et la diffusion de fausses informations, d'accusations fallacieuses ou de contenus diffamatoires, qui était susceptible de nuire à la réputation de l'organisation et de son personnel, et, d'autre part, d'établir des responsabilités claires pour chaque cas.</w:t>
      </w:r>
    </w:p>
    <w:p w14:paraId="729FC33E" w14:textId="77777777" w:rsidR="005E7AB1" w:rsidRPr="00386F72" w:rsidRDefault="005E7AB1" w:rsidP="005E7AB1">
      <w:r w:rsidRPr="00386F72">
        <w:lastRenderedPageBreak/>
        <w:t>27.5</w:t>
      </w:r>
      <w:r w:rsidRPr="00386F72">
        <w:tab/>
        <w:t>Une conseillère a demandé au Secrétariat de communiquer les résultats des enquêtes menées sous l'égide de l'Équipe spéciale de lutte contre le harcèlement sexuel relevant du Conseil des chefs de secrétariat des organismes des Nations Unies pour la coordination (CCS) et a demandé quelles étaient les recommandations formulées par le CCI en 2025 dans le cadre de son examen des politiques et des pratiques visant à prévenir et à combattre l'exploitation et les atteintes sexuelles dans les entités des Nations Unies (Document JIU/REP/2025/2) qui n'avaient pas été intégrées dans le projet de politique de prévention de l'exploitation et des atteintes sexuelles élaboré par le Secrétariat. Le Secrétariat devrait transmettre le plan établi en la matière aux États Membres, rendre obligatoire la formation sur la prévention de l'exploitation et des atteintes sexuelles et imposer aux membres du personnel la responsabilité de la suivre. Cette même conseillère s'est interrogée sur la proportion des membres du personnel qui avaient effectué les formations obligatoires sur l'éthique et l'intégrité, laquelle était inacceptablement basse, en particulier parmi les responsables, a demandé de quelle manière le Secrétariat ferait appliquer le principe de responsabilité et a souhaité des précisions sur la nature des consultations relatives à l'éthique. Une autre conseillère a demandé de plus amples informations sur la différence entre les déclarations d'activités extérieures et les déclarations d'intérêts.</w:t>
      </w:r>
    </w:p>
    <w:p w14:paraId="76122026" w14:textId="2AAB4B74" w:rsidR="005E7AB1" w:rsidRPr="00386F72" w:rsidRDefault="005E7AB1" w:rsidP="005E7AB1">
      <w:r w:rsidRPr="00386F72">
        <w:t>27.6</w:t>
      </w:r>
      <w:r w:rsidRPr="00386F72">
        <w:tab/>
        <w:t xml:space="preserve">En réponse aux observations, la déontologue hors classe du Bureau de la déontologie des Nations Unies a expliqué que la Charte du Bureau de l'éthique de l'UIT définit la mission du Bureau et les principes régissant son fonctionnement en des termes clairs pleinement conformes aux recommandations du CCI et témoignait de l'engagement de la direction en faveur du respect de l'indépendance du Bureau de l'éthique. Le Bureau de l'éthique s'acquittait de ses fonctions sans ingérence aucune de la part </w:t>
      </w:r>
      <w:r w:rsidR="00B22457" w:rsidRPr="00386F72">
        <w:t>de toute autre entité de l'Organisation</w:t>
      </w:r>
      <w:r w:rsidRPr="00386F72">
        <w:t>. Les fonctionnaires recevaient des orientations et des conseils sur des questions relatives à l'éthique, notamment sur la déclaration d'activités extérieures, afin de faire en sorte que les possibles conflits d'intérêts ou risques pour la réputation de l'organisation puissent être détectés et gérés.</w:t>
      </w:r>
    </w:p>
    <w:p w14:paraId="3068511C" w14:textId="44685491" w:rsidR="005E7AB1" w:rsidRPr="00386F72" w:rsidRDefault="005E7AB1" w:rsidP="005E7AB1">
      <w:r w:rsidRPr="00386F72">
        <w:t>27.7</w:t>
      </w:r>
      <w:r w:rsidRPr="00386F72">
        <w:tab/>
        <w:t xml:space="preserve">La Chef du Département HRMD a ajouté que le nouveau responsable de l'éthique devait être nommé en juin 2026 et serait au bénéfice d'un contrat de durée de déterminée, et que le Bureau de l'éthique serait doté d'un personnel régulier dans l'avenir prévisible. Le pourcentage des membres du personnel ayant achevé les formations obligatoires sur l'éthique et l'intégrité </w:t>
      </w:r>
      <w:r w:rsidR="008E1670">
        <w:t>avait augmenté pour atteindre</w:t>
      </w:r>
      <w:r w:rsidRPr="00386F72">
        <w:t xml:space="preserve"> 61% à l'échelle de l'organisation, mais ce pourcentage était fluctuant. Tous les membres du personnel étaient dans l'obligation d'effectuer ces formations dans un délai de trois mois à compter de leur entrée en fonction, quel que soit le type de contrat. Le respect de cette obligation était mis en avant au moyen de campagnes de sensibilisation, de communications ciblées et de rappels réguliers, faisait l'objet d'une surveillance étroite en collaboration avec le</w:t>
      </w:r>
      <w:r w:rsidR="008E1670">
        <w:t>s</w:t>
      </w:r>
      <w:r w:rsidRPr="00386F72">
        <w:t xml:space="preserve"> </w:t>
      </w:r>
      <w:r w:rsidR="008E1670">
        <w:t xml:space="preserve">coordonnateurs des ressources humaines </w:t>
      </w:r>
      <w:r w:rsidRPr="00386F72">
        <w:t xml:space="preserve">et était lié au processus de gestion de la performance. Le Secrétariat prévoyait de renforcer les moyens pour faire respecter cette obligation dans le cadre de la gestion des contrats, selon laquelle aucun contrat ne serait renouvelé si les formations obligatoires n'avaient pas été suivies. S'agissant de la prévention de l'exploitation et des atteintes sexuelles, la seule recommandation du CCI qui n'avait pas été intégrée dans le projet de politique de l'Union concernait le regroupement des politiques de l'Union en matière de harcèlement sexuel et de prévention de l'exploitation et des atteintes sexuelles. Pour le moment, le Secrétariat estimait que le maintien de ces deux politiques distinctes était une </w:t>
      </w:r>
      <w:r w:rsidRPr="00386F72">
        <w:lastRenderedPageBreak/>
        <w:t>approche pragmatique, mais il continuait de suivre l'évolution dans l'ensemble du système des Nations Unies. Conformément aux résultats de l'enquête sur le harcèlement sexuel réalisée par l'Équipe spéciale du CCS, les processus internes avaient été rationnalisés et les rôles et responsabilités précisées moyennant la publication des ordres de service pertinents pour appuyer le traitement rapide des cas. La responsabilisation avait été renforcée moyennant une délimitation claire des responsabilités associées aux différentes fonctions pertinentes et des mécanismes de contrôle plus stricts, tandis qu'une approche centrée sur les victimes avait été intégrée dans les politiques et dans les pratiques.</w:t>
      </w:r>
    </w:p>
    <w:p w14:paraId="2CFC6A07" w14:textId="77777777" w:rsidR="005E7AB1" w:rsidRPr="00386F72" w:rsidRDefault="005E7AB1" w:rsidP="005E7AB1">
      <w:pPr>
        <w:spacing w:after="120"/>
      </w:pPr>
      <w:r w:rsidRPr="00386F72">
        <w:t>27.8</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5E7AB1" w:rsidRPr="00386F72" w14:paraId="4380481B" w14:textId="77777777" w:rsidTr="00FB7F97">
        <w:tc>
          <w:tcPr>
            <w:tcW w:w="9208" w:type="dxa"/>
          </w:tcPr>
          <w:p w14:paraId="6A7C53A0" w14:textId="2052F083" w:rsidR="005E7AB1" w:rsidRPr="00386F72" w:rsidRDefault="005E7AB1" w:rsidP="00FB7F97">
            <w:pPr>
              <w:tabs>
                <w:tab w:val="clear" w:pos="567"/>
                <w:tab w:val="left" w:pos="622"/>
              </w:tabs>
              <w:spacing w:before="80"/>
              <w:ind w:left="34"/>
            </w:pPr>
            <w:r w:rsidRPr="00386F72">
              <w:t>27.9</w:t>
            </w:r>
            <w:r w:rsidRPr="00386F72">
              <w:tab/>
              <w:t xml:space="preserve">La </w:t>
            </w:r>
            <w:r w:rsidR="00F6427A" w:rsidRPr="00386F72">
              <w:t>C</w:t>
            </w:r>
            <w:r w:rsidRPr="00386F72">
              <w:t>ommission recommande au Conseil:</w:t>
            </w:r>
          </w:p>
          <w:p w14:paraId="13BF56C8" w14:textId="77777777" w:rsidR="005E7AB1" w:rsidRDefault="005E7AB1" w:rsidP="00FB7F97">
            <w:pPr>
              <w:pStyle w:val="enumlev1"/>
              <w:tabs>
                <w:tab w:val="clear" w:pos="567"/>
              </w:tabs>
              <w:spacing w:after="80"/>
              <w:ind w:left="622" w:hanging="560"/>
            </w:pPr>
            <w:r w:rsidRPr="00386F72">
              <w:t>•</w:t>
            </w:r>
            <w:r w:rsidRPr="00386F72">
              <w:tab/>
              <w:t xml:space="preserve">de prendre note du rapport figurant dans les </w:t>
            </w:r>
            <w:hyperlink r:id="rId121" w:history="1">
              <w:r w:rsidRPr="00386F72">
                <w:rPr>
                  <w:rStyle w:val="Hyperlink"/>
                </w:rPr>
                <w:t>Documents C26/14</w:t>
              </w:r>
            </w:hyperlink>
            <w:r w:rsidRPr="00386F72">
              <w:t xml:space="preserve"> et </w:t>
            </w:r>
            <w:hyperlink r:id="rId122" w:history="1">
              <w:r w:rsidRPr="00386F72">
                <w:rPr>
                  <w:rStyle w:val="Hyperlink"/>
                </w:rPr>
                <w:t>C26/INF/27</w:t>
              </w:r>
            </w:hyperlink>
            <w:r w:rsidR="00F35FF9">
              <w:t>; et</w:t>
            </w:r>
          </w:p>
          <w:p w14:paraId="3EA10D19" w14:textId="7903E89E" w:rsidR="00F35FF9" w:rsidRPr="00386F72" w:rsidRDefault="00F35FF9" w:rsidP="00FB7F97">
            <w:pPr>
              <w:pStyle w:val="enumlev1"/>
              <w:tabs>
                <w:tab w:val="clear" w:pos="567"/>
              </w:tabs>
              <w:spacing w:after="80"/>
              <w:ind w:left="622" w:hanging="560"/>
            </w:pPr>
            <w:r w:rsidRPr="00F35FF9">
              <w:t>•</w:t>
            </w:r>
            <w:r>
              <w:tab/>
            </w:r>
            <w:r w:rsidRPr="00F35FF9">
              <w:t>de charger le Secrétariat de soumettre un rapport actualisé d'ici au 31 juillet 2026, contenant les informations demandées lors des discussions tenues pendant le Conseil, comme indiqué au § 27.5 ci-dessus.</w:t>
            </w:r>
          </w:p>
        </w:tc>
      </w:tr>
    </w:tbl>
    <w:p w14:paraId="3B5ABDB2" w14:textId="051D0BEC" w:rsidR="00CF7A69" w:rsidRPr="00386F72" w:rsidRDefault="00CF7A69" w:rsidP="00B22457">
      <w:pPr>
        <w:pStyle w:val="Heading1"/>
      </w:pPr>
      <w:r w:rsidRPr="00386F72">
        <w:t>28</w:t>
      </w:r>
      <w:r w:rsidRPr="00386F72">
        <w:tab/>
        <w:t>Rapport de l'Unité du contrôle interne</w:t>
      </w:r>
      <w:r w:rsidR="00B22457" w:rsidRPr="00386F72">
        <w:t xml:space="preserve"> sur la f</w:t>
      </w:r>
      <w:r w:rsidRPr="00386F72">
        <w:t>onction d'audit interne (</w:t>
      </w:r>
      <w:hyperlink r:id="rId123" w:history="1">
        <w:r w:rsidRPr="00386F72">
          <w:rPr>
            <w:rStyle w:val="Hyperlink"/>
            <w:rFonts w:eastAsia="Times New Roman" w:cs="Times New Roman"/>
            <w:szCs w:val="20"/>
          </w:rPr>
          <w:t>Document C26/44</w:t>
        </w:r>
      </w:hyperlink>
      <w:r w:rsidRPr="00386F72">
        <w:t>)</w:t>
      </w:r>
    </w:p>
    <w:p w14:paraId="3FAE3585" w14:textId="77777777" w:rsidR="00B22457" w:rsidRPr="00386F72" w:rsidRDefault="005D53DD" w:rsidP="005D53DD">
      <w:r w:rsidRPr="00386F72">
        <w:t>28.1</w:t>
      </w:r>
      <w:r w:rsidRPr="00386F72">
        <w:tab/>
        <w:t>La Chef de l'Unité du contrôle interne a présenté le rapport figurant dans le Document C26/44, qui porte sur les activités d'audit interne menées par l'Unité durant la période allant d'avril 2025 à février 2026. Ces activités comprenaient un audit du Bureau de zone pour l'Asie du Sud-Est et une inspection des procédures en matière de voyages au BDT</w:t>
      </w:r>
      <w:r w:rsidR="00B22457" w:rsidRPr="00386F72">
        <w:t>, toutes les recommandations formulées à l'intention du BDT ayant été mise en œuvre</w:t>
      </w:r>
      <w:r w:rsidRPr="00386F72">
        <w:t>.</w:t>
      </w:r>
    </w:p>
    <w:p w14:paraId="5829DB48" w14:textId="71EA5AAA" w:rsidR="005D53DD" w:rsidRPr="00386F72" w:rsidRDefault="00B22457" w:rsidP="005D53DD">
      <w:r w:rsidRPr="00386F72">
        <w:t>28.2</w:t>
      </w:r>
      <w:r w:rsidRPr="00386F72">
        <w:tab/>
        <w:t>En outre, le</w:t>
      </w:r>
      <w:r w:rsidR="005D53DD" w:rsidRPr="00386F72">
        <w:t xml:space="preserve"> </w:t>
      </w:r>
      <w:hyperlink r:id="rId124" w:history="1">
        <w:r w:rsidR="005D53DD" w:rsidRPr="00386F72">
          <w:rPr>
            <w:rStyle w:val="Hyperlink"/>
            <w:rFonts w:eastAsia="Times New Roman" w:cs="Times New Roman"/>
            <w:szCs w:val="20"/>
          </w:rPr>
          <w:t>Document C26/INF/5</w:t>
        </w:r>
      </w:hyperlink>
      <w:r w:rsidR="005D53DD" w:rsidRPr="00386F72">
        <w:t xml:space="preserve">, portant sur la suite donnée aux recommandations relatives à la vérification </w:t>
      </w:r>
      <w:proofErr w:type="spellStart"/>
      <w:r w:rsidR="005D53DD" w:rsidRPr="00386F72">
        <w:t>juricomptable</w:t>
      </w:r>
      <w:proofErr w:type="spellEnd"/>
      <w:r w:rsidR="005D53DD" w:rsidRPr="00386F72">
        <w:t xml:space="preserve"> et aux recommandations issues de l'audit interne, avait également été soumis au Conseil pour information.</w:t>
      </w:r>
      <w:r w:rsidR="00CB79C9" w:rsidRPr="00386F72">
        <w:t xml:space="preserve"> </w:t>
      </w:r>
      <w:r w:rsidRPr="00386F72">
        <w:t>En réponse aux questions et observations des conseillers, l'oratrice a indiqué prendre bonne note des commentaires concernant les audits fondés sur la performance. Au moment où les rapports sur les différentes missions d'audit ont été publiés, les recommandations précédentes n'avaient pas été mises en œuvre, mais que nombre d'entre elles le sont à présent</w:t>
      </w:r>
      <w:r w:rsidR="005D53DD" w:rsidRPr="00386F72">
        <w:t>.</w:t>
      </w:r>
      <w:r w:rsidR="00BF77EB" w:rsidRPr="00386F72">
        <w:t xml:space="preserve"> </w:t>
      </w:r>
      <w:r w:rsidR="005D53DD" w:rsidRPr="00386F72">
        <w:t>La fonction de l'audit interne de l'Unité évitait de répéter les recommandations; elle préférait évaluer la situation dans le cadre de ses activités de suivi, qui étaient menées avant les réunions du Comité consultatif indépendant pour les questions de gestion (CCIG).</w:t>
      </w:r>
      <w:r w:rsidR="00BF77EB" w:rsidRPr="00386F72">
        <w:t xml:space="preserve"> </w:t>
      </w:r>
      <w:r w:rsidR="005D53DD" w:rsidRPr="00386F72">
        <w:t xml:space="preserve">Au cours de la période considérée, quarante-trois recommandations de l'audit interne avaient été mises en œuvre au total; des retards dus aux mesures prises par la direction étaient l'une des principales causes de cette mise en œuvre tardive. Il n'y avait aucun chevauchement entre les recommandations précédentes en cours d'application et les recommandations plus récentes. L'oratrice a attiré l'attention sur le </w:t>
      </w:r>
      <w:hyperlink r:id="rId125" w:history="1">
        <w:r w:rsidR="005D53DD" w:rsidRPr="00386F72">
          <w:rPr>
            <w:rStyle w:val="Hyperlink"/>
            <w:rFonts w:eastAsia="Times New Roman" w:cs="Times New Roman"/>
            <w:szCs w:val="20"/>
          </w:rPr>
          <w:t>Document C26/INF/23</w:t>
        </w:r>
      </w:hyperlink>
      <w:r w:rsidR="005D53DD" w:rsidRPr="00386F72">
        <w:t>, qui contient des informations sur le tableau de bord de la conformité à l'échelle de l'UIT destiné aux conseillers, grâce auquel ces derniers pouvaient suivre l'état d'avancement de la mise en œuvre de toutes les recommandations formulées par les entités de contrôle internes et extérieures, renforçant ainsi la transparence et l'accessibilité.</w:t>
      </w:r>
    </w:p>
    <w:p w14:paraId="58CE4A5F" w14:textId="419F2E6C" w:rsidR="005D53DD" w:rsidRPr="00386F72" w:rsidRDefault="005D53DD" w:rsidP="005D53DD">
      <w:r w:rsidRPr="00386F72">
        <w:t>28.</w:t>
      </w:r>
      <w:r w:rsidR="00BF77EB" w:rsidRPr="00386F72">
        <w:t>3</w:t>
      </w:r>
      <w:r w:rsidRPr="00386F72">
        <w:tab/>
        <w:t xml:space="preserve">L'examen externe de l'assurance qualité, qui avait lieu tous les cinq ans conformément aux Normes mondiales d'audit interne et à la Charte du contrôle interne, avait été mené par l'Institut français de l'audit interne et du contrôle interne (IFACI), qui est membre de </w:t>
      </w:r>
      <w:r w:rsidRPr="00386F72">
        <w:lastRenderedPageBreak/>
        <w:t>l'Institut des auditeurs internes. L'UIT avait jusqu'à fin 2026 pour remédier aux non</w:t>
      </w:r>
      <w:r w:rsidRPr="00386F72">
        <w:noBreakHyphen/>
        <w:t xml:space="preserve">conformités recensées par l'IFACI; la feuille de route de l'Unité comprenait une stratégie en matière d'audit interne et la version remaniée du plan d'audit fondé sur les risques serait présentée au CCIG en juin. L'Unité du contrôle interne travaillait avec le CCIG pour traiter les recommandations formulées par ce Groupe concernant la révision du programme d'audit (voir le § 48 du </w:t>
      </w:r>
      <w:hyperlink r:id="rId126" w:history="1">
        <w:r w:rsidRPr="00386F72">
          <w:rPr>
            <w:rStyle w:val="Hyperlink"/>
            <w:rFonts w:eastAsia="Times New Roman" w:cs="Times New Roman"/>
            <w:szCs w:val="20"/>
          </w:rPr>
          <w:t>Document C26/22</w:t>
        </w:r>
      </w:hyperlink>
      <w:r w:rsidRPr="00386F72">
        <w:t>). Enfin, un audit du projet de nouveau bâtiment était en cours et un audit portant sur les questions de cybersécurité avait été intégré dans le plan d'audit. L'oratrice avait pris note des suggestions concernant la réalisation d'audits fondés sur les performances et des domaines précis recensés pour de possibles audits, notamment la planification des voyages et l'utilisation de l'intelligence artificielle au sein de l'Union.</w:t>
      </w:r>
    </w:p>
    <w:p w14:paraId="7D0809F5" w14:textId="7217857E" w:rsidR="005D53DD" w:rsidRPr="00386F72" w:rsidRDefault="005D53DD" w:rsidP="005D53DD">
      <w:r w:rsidRPr="00386F72">
        <w:t>28.</w:t>
      </w:r>
      <w:r w:rsidR="00BF77EB" w:rsidRPr="00386F72">
        <w:t>4</w:t>
      </w:r>
      <w:r w:rsidRPr="00386F72">
        <w:tab/>
        <w:t xml:space="preserve">L'Adjointe au Directeur du BDT a expliqué que les recommandations de la fonction d'audit concernant les procédures en matière de voyages du BDT et le Bureau de zone pour l'Asie du Sud-Est avaient été entièrement mises en œuvre. Une application numérique avait été développée afin de moderniser et de regrouper, sur une seule et même plate-forme, tous les processus liés aux voyages. Cette application, qui était maintenant pleinement opérationnelle, avait permis d'améliorer l'examen, l'approbation et le suivi de toutes les demandes de voyage au BDT, de suivre de plus près les modalités de voyages et de renforcer la transparence, la responsabilisation et la surveillance de la gestion. Comme l'avait recommandé l'Unité du contrôle interne, cette application avait été présenté à l'Équipe chargée de la transformation de l'UIT, qui considérait qu'elle pouvait être un prototype susceptible d'être utilisée par les autres Bureaux et le Secrétariat général. Le BDT avait aussi précisé qu'il avait été demandé au Bureau de zone pour l'Asie du Sud-Est de clore les anciens projets concernés par le cas de fraude. D'autres recommandations relatives aux projets étaient dans une grande mesure systémiques et concernaient les recrutements et la passation de marchés. Elles étaient en cours de mise en œuvre en coordination avec les Département FRMD et HRMD. Les recommandations relatives à la formation du personnel et à la priorité qui devrait être donnée à l'utilisation des fonds des donateurs par rapport aux fonds de l'UIT </w:t>
      </w:r>
      <w:r w:rsidR="008E1670">
        <w:t>avaient</w:t>
      </w:r>
      <w:r w:rsidR="008E1670" w:rsidRPr="00386F72">
        <w:t xml:space="preserve"> </w:t>
      </w:r>
      <w:r w:rsidRPr="00386F72">
        <w:t>également été mises en œuvre.</w:t>
      </w:r>
    </w:p>
    <w:p w14:paraId="7CAFCD49" w14:textId="33AA0E20" w:rsidR="002F2FB3" w:rsidRPr="00386F72" w:rsidRDefault="002F2FB3" w:rsidP="002F2FB3">
      <w:r w:rsidRPr="00386F72">
        <w:t>28.</w:t>
      </w:r>
      <w:r w:rsidR="00BF77EB" w:rsidRPr="00386F72">
        <w:t>5</w:t>
      </w:r>
      <w:r w:rsidRPr="00386F72">
        <w:tab/>
        <w:t>Des conseillers ont souligné le rôle essentiel de la fonction d'audit interne dans le renforcement de l'intégrité, de la performance, de la bonne gouvernance et de la responsabilisation de l'Union. Ils se sont félicités des progrès accomplis dans la mise en œuvre des recommandations d'audit, ont relevé que des efforts supplémentaires étaient nécessaires et ont encouragé le maintien de la transparence dans les rapports transmis. Certains conseillers ont souligné la nécessité de prendre d'autres mesures pour renforcer la fonction d'audit interne et consolider l'Unité du contrôle interne, notamment en renforçant certains éléments du mécanisme des trois lignes de défense, en réexaminant la Charte du contrôle interne et en évaluant le niveau de maturité de la fonction sur la base du modèle de capacité d'audit interne. Une conseillère a souligné qu'il était important de permettre à l'Unité du contrôle interne de s'acquitter de son mandat sans qu'il y ait parallèlement de processus qui puisse restreindre son efficacité ou accroître l'ingérence du Conseil dans ses interventions; le cadre actuel est adapté à l'objectif recherché et devrait pouvoir fonctionner tel qu'il a été conçu.</w:t>
      </w:r>
    </w:p>
    <w:p w14:paraId="7F637149" w14:textId="1B0C367F" w:rsidR="002F2FB3" w:rsidRPr="00386F72" w:rsidRDefault="002F2FB3" w:rsidP="002F2FB3">
      <w:r w:rsidRPr="00386F72">
        <w:t>28.</w:t>
      </w:r>
      <w:r w:rsidR="00BF77EB" w:rsidRPr="00386F72">
        <w:t>6</w:t>
      </w:r>
      <w:r w:rsidRPr="00386F72">
        <w:tab/>
        <w:t xml:space="preserve">Une conseillère a souligné que les audits devaient déboucher sur des mesures correctives, une valeur mesurable, des économies en termes de coûts, une atténuation des risques et des améliorations opérationnelles tangibles. Plusieurs conseillers ont demandé des informations complémentaires, notamment sur les raisons pour lesquelles la mise </w:t>
      </w:r>
      <w:r w:rsidRPr="00386F72">
        <w:lastRenderedPageBreak/>
        <w:t>en œuvre des recommandations formulées en 2017 était toujours en cours, sur l'établissement des priorités pour les recommandations d'audit, sur les critères de sélection des recommandations à suivre et sur la question de savoir si des audits d'autres bureaux régionaux ou de zone et de départements du siège étaient prévus. Les conseillers ont notamment proposé que les futurs rapports comprennent une vue d'ensemble sur l'année du plan d'audit axé sur les risques et que le rapport d'audit annuel contienne une déclaration d'indépendance détaillée, conformément aux bonnes pratiques à suivre. Un observateur a suggéré que l'évaluation des risques de fraude institutionnelle et le cadre de responsabilité de l'UIT demeurent des questions devant régulièrement faire l'objet d'audits.</w:t>
      </w:r>
    </w:p>
    <w:p w14:paraId="24FE02D2" w14:textId="3637E9D4" w:rsidR="002F2FB3" w:rsidRPr="00386F72" w:rsidRDefault="002F2FB3" w:rsidP="002F2FB3">
      <w:pPr>
        <w:keepNext/>
        <w:spacing w:after="120"/>
      </w:pPr>
      <w:r w:rsidRPr="00386F72">
        <w:t>28.</w:t>
      </w:r>
      <w:r w:rsidR="00BF77EB" w:rsidRPr="00386F72">
        <w:t>7</w:t>
      </w:r>
      <w:r w:rsidRPr="00386F72">
        <w:tab/>
        <w:t xml:space="preserve">La Commission </w:t>
      </w:r>
      <w:r w:rsidRPr="00386F72">
        <w:rPr>
          <w:b/>
          <w:bCs/>
        </w:rPr>
        <w:t>est</w:t>
      </w:r>
      <w:r w:rsidRPr="00386F72">
        <w:t xml:space="preserve"> </w:t>
      </w:r>
      <w:r w:rsidRPr="00386F72">
        <w:rPr>
          <w:b/>
          <w:bCs/>
        </w:rPr>
        <w:t>convenue</w:t>
      </w:r>
      <w:r w:rsidRPr="00386F72">
        <w:t xml:space="preserve"> de formuler la conclusion suivante sur la question:</w:t>
      </w:r>
    </w:p>
    <w:tbl>
      <w:tblPr>
        <w:tblStyle w:val="TableGrid"/>
        <w:tblW w:w="0" w:type="auto"/>
        <w:tblInd w:w="-103" w:type="dxa"/>
        <w:tblLook w:val="04A0" w:firstRow="1" w:lastRow="0" w:firstColumn="1" w:lastColumn="0" w:noHBand="0" w:noVBand="1"/>
      </w:tblPr>
      <w:tblGrid>
        <w:gridCol w:w="9164"/>
      </w:tblGrid>
      <w:tr w:rsidR="002F2FB3" w:rsidRPr="00386F72" w14:paraId="17626FE5" w14:textId="77777777" w:rsidTr="003F5531">
        <w:tc>
          <w:tcPr>
            <w:tcW w:w="9164" w:type="dxa"/>
          </w:tcPr>
          <w:p w14:paraId="3FBEEB29" w14:textId="486909C0" w:rsidR="002F2FB3" w:rsidRPr="00386F72" w:rsidRDefault="002F2FB3" w:rsidP="003F5531">
            <w:pPr>
              <w:keepNext/>
            </w:pPr>
            <w:r w:rsidRPr="00386F72">
              <w:t>28.</w:t>
            </w:r>
            <w:r w:rsidR="00BF77EB" w:rsidRPr="00386F72">
              <w:t>8</w:t>
            </w:r>
            <w:r w:rsidRPr="00386F72">
              <w:tab/>
              <w:t>La Commission recommande au Conseil:</w:t>
            </w:r>
          </w:p>
          <w:p w14:paraId="50C3D1CE" w14:textId="77777777" w:rsidR="002F2FB3" w:rsidRDefault="002F2FB3" w:rsidP="003F5531">
            <w:pPr>
              <w:pStyle w:val="enumlev1"/>
              <w:keepNext/>
              <w:spacing w:after="120"/>
            </w:pPr>
            <w:r w:rsidRPr="00386F72">
              <w:t>•</w:t>
            </w:r>
            <w:r w:rsidRPr="00386F72">
              <w:tab/>
              <w:t xml:space="preserve">de prendre note du rapport figurant dans le </w:t>
            </w:r>
            <w:hyperlink r:id="rId127" w:history="1">
              <w:r w:rsidR="00BF77EB" w:rsidRPr="00386F72">
                <w:rPr>
                  <w:rStyle w:val="Hyperlink"/>
                  <w:rFonts w:eastAsia="Times New Roman" w:cs="Times New Roman"/>
                  <w:szCs w:val="20"/>
                </w:rPr>
                <w:t>Document C26/44</w:t>
              </w:r>
            </w:hyperlink>
            <w:r w:rsidR="00F35FF9">
              <w:t>; et</w:t>
            </w:r>
          </w:p>
          <w:p w14:paraId="1A505891" w14:textId="5BD33963" w:rsidR="00F35FF9" w:rsidRPr="00386F72" w:rsidRDefault="00F35FF9" w:rsidP="003F5531">
            <w:pPr>
              <w:pStyle w:val="enumlev1"/>
              <w:keepNext/>
              <w:spacing w:after="120"/>
            </w:pPr>
            <w:r w:rsidRPr="00F35FF9">
              <w:t>•</w:t>
            </w:r>
            <w:r>
              <w:tab/>
            </w:r>
            <w:r w:rsidRPr="00F35FF9">
              <w:t xml:space="preserve">de charger le </w:t>
            </w:r>
            <w:r>
              <w:t>S</w:t>
            </w:r>
            <w:r w:rsidRPr="00F35FF9">
              <w:t>ecrétariat de soumettre un rapport actualisé d'ici au 31 juillet 2026, contenant les informations demandées lors des discussions tenues pendant le Conseil.</w:t>
            </w:r>
          </w:p>
        </w:tc>
      </w:tr>
    </w:tbl>
    <w:p w14:paraId="6D3E26F6" w14:textId="05249919" w:rsidR="00C9260E" w:rsidRPr="00386F72" w:rsidRDefault="00C9260E" w:rsidP="00C9260E">
      <w:pPr>
        <w:pStyle w:val="Heading1"/>
      </w:pPr>
      <w:r w:rsidRPr="00386F72">
        <w:t>2</w:t>
      </w:r>
      <w:r w:rsidR="003568B9" w:rsidRPr="00386F72">
        <w:t>9</w:t>
      </w:r>
      <w:r w:rsidRPr="00386F72">
        <w:tab/>
        <w:t>Rapport de l'Unité du contrôle interne sur la fonction d'enquête (</w:t>
      </w:r>
      <w:hyperlink r:id="rId128" w:history="1">
        <w:r w:rsidRPr="00386F72">
          <w:rPr>
            <w:rStyle w:val="Hyperlink"/>
            <w:rFonts w:eastAsia="Times New Roman" w:cs="Times New Roman"/>
            <w:szCs w:val="20"/>
          </w:rPr>
          <w:t>Document C26/39</w:t>
        </w:r>
      </w:hyperlink>
      <w:r w:rsidRPr="00386F72">
        <w:t>)</w:t>
      </w:r>
    </w:p>
    <w:p w14:paraId="0469A26F" w14:textId="1673CDBA" w:rsidR="00C9260E" w:rsidRPr="00386F72" w:rsidRDefault="00C9260E" w:rsidP="00C9260E">
      <w:r w:rsidRPr="00386F72">
        <w:t>2</w:t>
      </w:r>
      <w:r w:rsidR="003568B9" w:rsidRPr="00386F72">
        <w:t>9</w:t>
      </w:r>
      <w:r w:rsidRPr="00386F72">
        <w:t>.1</w:t>
      </w:r>
      <w:r w:rsidRPr="00386F72">
        <w:tab/>
        <w:t>La Chef de l'Unité du contrôle interne a présenté le Document C26/39, qui contient le rapport de l'Unité du contrôle interne sur sa fonction d'enquête pour la période allant du 1er janvier 2025 au 31 décembre 2025. Il n'y avait eu aucune restriction concernant l'accès aux locaux, au personnel ou aux documents pendant cette période. Un cas d'atteinte à l'indépendance de la fonction d'enquête avait été officiellement enregistré. Au cours de la période considérée, l'Unité du contrôle interne avait traité 76 affaires, parmi lesquelles 51 étaient nouvelles et 25 avaient été reportées de l'année 2024. Cinquante-huit avaient été closes. Au total, 15 enquêtes avaient été ouvertes, dont 12 avaient été closes, 6 d'entre elles étant fondées.</w:t>
      </w:r>
    </w:p>
    <w:p w14:paraId="63892190" w14:textId="14249488" w:rsidR="00C9260E" w:rsidRPr="00386F72" w:rsidRDefault="00C9260E" w:rsidP="00C9260E">
      <w:r w:rsidRPr="00386F72">
        <w:t>2</w:t>
      </w:r>
      <w:r w:rsidR="003568B9" w:rsidRPr="00386F72">
        <w:t>9</w:t>
      </w:r>
      <w:r w:rsidRPr="00386F72">
        <w:t>.2</w:t>
      </w:r>
      <w:r w:rsidRPr="00386F72">
        <w:tab/>
        <w:t>Les conseillers ont accueilli favorablement le rapport et le document d'information publié récemment (</w:t>
      </w:r>
      <w:hyperlink r:id="rId129" w:history="1">
        <w:r w:rsidRPr="00386F72">
          <w:rPr>
            <w:rStyle w:val="Hyperlink"/>
            <w:rFonts w:eastAsia="Times New Roman" w:cs="Times New Roman"/>
            <w:szCs w:val="20"/>
          </w:rPr>
          <w:t>Document C26/INF/28</w:t>
        </w:r>
      </w:hyperlink>
      <w:r w:rsidRPr="00386F72">
        <w:t>), qui constituent un geste fort en matière de transparence. Une conseillère a souligné que la responsabilité institutionnelle exigeait une action globale et donc une présentation intégrée de l'information. Les États Membres ne devraient pas avoir à demander des renseignements complémentaires écrits. Désormais, l'Administration de cette conseillère s'attendrait à ce que des rapports complets, clairs et exhaustifs soient communiqués, comme il est d'usage de le faire, faute de quoi elle réexaminerait sa position et ses contributions.</w:t>
      </w:r>
    </w:p>
    <w:p w14:paraId="1ED975B8" w14:textId="1C35B2A4" w:rsidR="00C9260E" w:rsidRPr="00386F72" w:rsidRDefault="00C9260E" w:rsidP="00C9260E">
      <w:r w:rsidRPr="00386F72">
        <w:t>2</w:t>
      </w:r>
      <w:r w:rsidR="003568B9" w:rsidRPr="00386F72">
        <w:t>9</w:t>
      </w:r>
      <w:r w:rsidRPr="00386F72">
        <w:t>.3</w:t>
      </w:r>
      <w:r w:rsidRPr="00386F72">
        <w:tab/>
        <w:t>Plusieurs conseillers ont souligné l'augmentation considérable du nombre d'affaires signalées et la proportion importante d'allégations de fraude et de corruption. Des informations complémentaires ont été demandées sur les mesures correctives prises lorsque les faits en question étaient avérés. D'aucun ont exprimé leurs craintes concernant le grand nombre de cas jugés irrecevables; des conseillers ont souhaité savoir s'il y avait un manque de connaissances sur ce qui pouvait constituer une plainte justifiée. Des examens prima facie plus approfondis devraient être effectués avant de procéder à une enquête. Des précisions ont été demandées sur les effectifs de la fonction d'enquête.</w:t>
      </w:r>
    </w:p>
    <w:p w14:paraId="1785D69C" w14:textId="18C7B6FC" w:rsidR="00C9260E" w:rsidRPr="00386F72" w:rsidRDefault="00C9260E" w:rsidP="00C9260E">
      <w:r w:rsidRPr="00386F72">
        <w:lastRenderedPageBreak/>
        <w:t>2</w:t>
      </w:r>
      <w:r w:rsidR="003568B9" w:rsidRPr="00386F72">
        <w:t>9</w:t>
      </w:r>
      <w:r w:rsidRPr="00386F72">
        <w:t>.4</w:t>
      </w:r>
      <w:r w:rsidRPr="00386F72">
        <w:tab/>
        <w:t>Pour que la fonction de contrôle interne soit crédible, son indépendance devait être pleinement protégée; tout compromis sur ce point était une source de préoccupation. Des conseillers ont donc demandé quelles garanties avaient été mises en place à cet égard, quels enseignements avaient été tirés et quelles mesures correctives avaient été prises pour éviter toute future ingérence. Une évaluation de l'Unité du contrôle interne serait la bienvenue. Un conseiller a fait part de son inquiétude concernant d'éventuels retards, compte tenu du nombre croissant d'affaires signalées, et a prévenu que l'incapacité à mener à bien des enquêtes en temps voulu risquait de saper la confiance accordée à la fonction de contrôle interne. Des informations plus détaillées, y compris concernant la charge de travail par enquêteur, les ressources utilisées exprimées en pourcentage des produits de l'UIT et les délais d'enquête, devraient figurer dans les futurs rapports. Un autre conseillère a souligné qu'il importait de présenter au Conseil des informations complètes, en particulier des données ventilées par type d'affaire, afin d'améliorer la transparence et de mettre en évidence les tendances institutionnelles. Ces précisions étaient particulièrement importantes pour le grand nombre d'affaires signalées qui avaient été classées comme ne relevant pas de la compétence de l'Unité ou comme "Autres". L'Administration de l'oratrice n'était pas d'accord avec l'affirmation du Secrétariat selon laquelle toutes les allégations de faute ne relevaient pas d'une catégorie; l'emploi d'une terminologie claire permettrait d'établir des comparaisons d'une année sur l'autre et faciliterait la prise de décisions éclairées.</w:t>
      </w:r>
    </w:p>
    <w:p w14:paraId="24AFB205" w14:textId="77777777" w:rsidR="002142D1" w:rsidRDefault="00C9260E" w:rsidP="00C9260E">
      <w:r w:rsidRPr="00386F72">
        <w:t>2</w:t>
      </w:r>
      <w:r w:rsidR="003568B9" w:rsidRPr="00386F72">
        <w:t>9</w:t>
      </w:r>
      <w:r w:rsidRPr="00386F72">
        <w:t>.5</w:t>
      </w:r>
      <w:r w:rsidRPr="00386F72">
        <w:tab/>
        <w:t xml:space="preserve">La Chef de l'Unité du contrôle interne, en réponse aux questions posées, a déclaré que le nombre d'affaires de fraude et de corruption signalées était conforme aux attentes; il s'agissait principalement de fraudes aux prestations et des mesures correctives avaient été prises par le Département HRMD. Un cas de fraude lié aux ressources humaines avait été confirmé, et les éléments en question avaient été traités par le Département HRMD. Les taux de conversion et de corroboration étaient en outre largement conformes aux normes mondiales; les bonnes pratiques et les comparaisons dans ce secteur indiquaient que les fonctions de conformité chevronnées ouvraient officiellement une enquête pour 40 à 60% des allégations. Le taux de recevabilité, qui était de 50%, n'avait rien de préoccupant. Le classement d'affaires comme étant "hors champ de compétence" faisait partie du rôle d'archivage de l'Unité du contrôle interne. L'Unité était nouvelle et avait mené de nombreuses activités de sensibilisation, ce qui avait contribué à l'augmentation du nombre de signalements. Il n'y avait rien de surprenant à ce que son activité s'intensifie, ni au fait que toutes les allégations ne relèvent pas de sa compétence, qui se renforcerait probablement avec les futures actions de sensibilisation. Un arriéré s'était formé en raison de l'augmentation de la charge de travail et des contraintes en matière de ressources, mais les facteurs en cause avaient été portés à la connaissance du CCIG et traités à l'aide de ressources à court terme. Il y avait un poste permanent d'enquêteur (P4), auquel s'ajoutait un poste P4 à court terme approuvé jusqu'en juillet 2026, et dont le renouvellement était actuellement en cours d'examen. Un responsable du contrôle interne (P2) engagé pour une courte durée prêtait également main forte. Les mesures disciplinaires ne relevaient pas de la compétence de l'Unité du contrôle interne et feraient l'objet d'un rapport qui serait présenté au Conseil par le Département HRMD. D'autres mesures pourraient être prises pour élaborer les rapports conformément aux demandes des conseillers, et pour fournir des informations plus détaillées et ventilées, éventuellement dans un document d'information. </w:t>
      </w:r>
      <w:r w:rsidR="002142D1">
        <w:br w:type="page"/>
      </w:r>
    </w:p>
    <w:p w14:paraId="0486CC15" w14:textId="1BF86E64" w:rsidR="00C9260E" w:rsidRPr="00386F72" w:rsidRDefault="00C9260E" w:rsidP="00C9260E">
      <w:r w:rsidRPr="00386F72">
        <w:lastRenderedPageBreak/>
        <w:t>La demande d'informations spécifiques sur les types d'affaires classées comme "Autres" a bien été prise en compte, et il a été précisé que l'utilisation du terme "Autres" était tout à fait conforme à la pratique en matière d'enquêtes dans le système des Nations Unies.</w:t>
      </w:r>
    </w:p>
    <w:p w14:paraId="424FF7F4" w14:textId="46D4F867" w:rsidR="00C9260E" w:rsidRPr="00386F72" w:rsidRDefault="00C9260E" w:rsidP="00C9260E">
      <w:pPr>
        <w:spacing w:after="120"/>
      </w:pPr>
      <w:r w:rsidRPr="00386F72">
        <w:t>2</w:t>
      </w:r>
      <w:r w:rsidR="003568B9" w:rsidRPr="00386F72">
        <w:t>9</w:t>
      </w:r>
      <w:r w:rsidRPr="00386F72">
        <w:t>.6</w:t>
      </w:r>
      <w:r w:rsidRPr="00386F72">
        <w:tab/>
        <w:t xml:space="preserve">La Commission </w:t>
      </w:r>
      <w:r w:rsidRPr="00386F72">
        <w:rPr>
          <w:b/>
          <w:bCs/>
        </w:rPr>
        <w:t>est</w:t>
      </w:r>
      <w:r w:rsidRPr="00386F72">
        <w:t xml:space="preserve"> </w:t>
      </w:r>
      <w:r w:rsidRPr="00386F72">
        <w:rPr>
          <w:b/>
          <w:bCs/>
        </w:rPr>
        <w:t>convenue</w:t>
      </w:r>
      <w:r w:rsidRPr="00386F72">
        <w:t xml:space="preserve"> de formuler la conclusion suivante sur la question:</w:t>
      </w:r>
    </w:p>
    <w:tbl>
      <w:tblPr>
        <w:tblStyle w:val="TableGrid"/>
        <w:tblW w:w="0" w:type="auto"/>
        <w:tblInd w:w="-147" w:type="dxa"/>
        <w:tblLook w:val="04A0" w:firstRow="1" w:lastRow="0" w:firstColumn="1" w:lastColumn="0" w:noHBand="0" w:noVBand="1"/>
      </w:tblPr>
      <w:tblGrid>
        <w:gridCol w:w="9208"/>
      </w:tblGrid>
      <w:tr w:rsidR="00C9260E" w:rsidRPr="00386F72" w14:paraId="5FCF04D5" w14:textId="77777777" w:rsidTr="00182E88">
        <w:tc>
          <w:tcPr>
            <w:tcW w:w="9208" w:type="dxa"/>
          </w:tcPr>
          <w:p w14:paraId="10E81992" w14:textId="0A3F5319" w:rsidR="00C9260E" w:rsidRPr="00386F72" w:rsidRDefault="00C9260E" w:rsidP="00182E88">
            <w:pPr>
              <w:tabs>
                <w:tab w:val="clear" w:pos="567"/>
                <w:tab w:val="left" w:pos="608"/>
              </w:tabs>
              <w:ind w:left="41"/>
            </w:pPr>
            <w:r w:rsidRPr="00386F72">
              <w:t>2</w:t>
            </w:r>
            <w:r w:rsidR="003568B9" w:rsidRPr="00386F72">
              <w:t>9</w:t>
            </w:r>
            <w:r w:rsidRPr="00386F72">
              <w:t>.7</w:t>
            </w:r>
            <w:r w:rsidRPr="00386F72">
              <w:tab/>
              <w:t>La Commission recommande au Conseil:</w:t>
            </w:r>
          </w:p>
          <w:p w14:paraId="1BD80A5E" w14:textId="77777777" w:rsidR="002142D1" w:rsidRDefault="00C9260E" w:rsidP="002142D1">
            <w:pPr>
              <w:pStyle w:val="enumlev1"/>
              <w:tabs>
                <w:tab w:val="clear" w:pos="567"/>
                <w:tab w:val="left" w:pos="608"/>
              </w:tabs>
              <w:spacing w:after="120"/>
              <w:ind w:left="41" w:firstLine="0"/>
            </w:pPr>
            <w:r w:rsidRPr="00386F72">
              <w:t>•</w:t>
            </w:r>
            <w:r w:rsidRPr="00386F72">
              <w:tab/>
              <w:t xml:space="preserve">de prendre note du rapport figurant dans le </w:t>
            </w:r>
            <w:hyperlink r:id="rId130" w:history="1">
              <w:r w:rsidRPr="00386F72">
                <w:rPr>
                  <w:rStyle w:val="Hyperlink"/>
                </w:rPr>
                <w:t>Document C26/39</w:t>
              </w:r>
            </w:hyperlink>
            <w:r w:rsidR="002142D1">
              <w:t>;</w:t>
            </w:r>
          </w:p>
          <w:p w14:paraId="478DCD4F" w14:textId="253345D9" w:rsidR="002142D1" w:rsidRPr="002142D1" w:rsidRDefault="002142D1" w:rsidP="002142D1">
            <w:pPr>
              <w:pStyle w:val="enumlev1"/>
              <w:tabs>
                <w:tab w:val="clear" w:pos="567"/>
              </w:tabs>
              <w:ind w:left="601"/>
            </w:pPr>
            <w:r w:rsidRPr="002142D1">
              <w:t>•</w:t>
            </w:r>
            <w:r w:rsidRPr="002142D1">
              <w:tab/>
              <w:t>d'encourager le Secrétariat à prendre les mesures nécessaires pour faire en sorte que tous les cas soumis soient examinés en se fondant sur des éléments factuels et juridiques; et</w:t>
            </w:r>
          </w:p>
          <w:p w14:paraId="3329A5EB" w14:textId="06AC9095" w:rsidR="002142D1" w:rsidRPr="00386F72" w:rsidRDefault="002142D1" w:rsidP="002142D1">
            <w:pPr>
              <w:pStyle w:val="enumlev1"/>
              <w:tabs>
                <w:tab w:val="clear" w:pos="567"/>
              </w:tabs>
              <w:spacing w:after="120"/>
              <w:ind w:left="601"/>
            </w:pPr>
            <w:r w:rsidRPr="002142D1">
              <w:t>•</w:t>
            </w:r>
            <w:r w:rsidRPr="002142D1">
              <w:tab/>
              <w:t>de charger le Secrétariat de soumettre un rapport actualisé d'ici au 31 juillet 2026, avec les informations demandées lors des discussions tenues pendant le Conseil, y</w:t>
            </w:r>
            <w:r>
              <w:t> </w:t>
            </w:r>
            <w:r w:rsidRPr="002142D1">
              <w:t>compris sur la capacité de la fonction d'enquête et le caractère adéquat des ressources qui lui sont affectées.</w:t>
            </w:r>
          </w:p>
        </w:tc>
      </w:tr>
    </w:tbl>
    <w:p w14:paraId="7218AEAB" w14:textId="1D90DCB0" w:rsidR="00CF7A69" w:rsidRPr="00386F72" w:rsidRDefault="003568B9" w:rsidP="00CF7A69">
      <w:pPr>
        <w:pStyle w:val="Heading1"/>
        <w:spacing w:before="160"/>
      </w:pPr>
      <w:r w:rsidRPr="00386F72">
        <w:t>30</w:t>
      </w:r>
      <w:r w:rsidR="00CF7A69" w:rsidRPr="00386F72">
        <w:tab/>
      </w:r>
      <w:r w:rsidR="00B22457" w:rsidRPr="00386F72">
        <w:t>Rapport de l'Unité du contrôle interne sur le plan d'évaluation biennal (2026-2027) (</w:t>
      </w:r>
      <w:hyperlink r:id="rId131" w:history="1">
        <w:r w:rsidR="00B22457" w:rsidRPr="00386F72">
          <w:rPr>
            <w:rStyle w:val="Hyperlink"/>
            <w:rFonts w:eastAsia="Times New Roman" w:cs="Times New Roman"/>
            <w:szCs w:val="20"/>
          </w:rPr>
          <w:t>Document C26/45</w:t>
        </w:r>
      </w:hyperlink>
      <w:r w:rsidR="00B22457" w:rsidRPr="00386F72">
        <w:t>)</w:t>
      </w:r>
    </w:p>
    <w:p w14:paraId="37F1D4FA" w14:textId="38233FC0" w:rsidR="00CF7A69" w:rsidRPr="00386F72" w:rsidRDefault="003568B9" w:rsidP="00CF7A69">
      <w:r w:rsidRPr="00386F72">
        <w:t>30</w:t>
      </w:r>
      <w:r w:rsidR="00CF7A69" w:rsidRPr="00386F72">
        <w:t>.1</w:t>
      </w:r>
      <w:r w:rsidR="00CF7A69" w:rsidRPr="00386F72">
        <w:tab/>
        <w:t>Le Chef de l'Unité du contrôle interne a présenté le Document C26/45, qui contient le plan relatif aux évaluations centralisées et décentralisées que la fonction d'évaluation de l'Unité du contrôle interne doit mener pour 2026 et 2027. Ce document a été soumis au Conseil pour examen, conformément à la Charte du contrôle interne de l'UIT.</w:t>
      </w:r>
    </w:p>
    <w:p w14:paraId="5384423A" w14:textId="392B1E7C" w:rsidR="00CF7A69" w:rsidRPr="00386F72" w:rsidRDefault="003568B9" w:rsidP="00CF7A69">
      <w:r w:rsidRPr="00386F72">
        <w:t>30</w:t>
      </w:r>
      <w:r w:rsidR="00CF7A69" w:rsidRPr="00386F72">
        <w:t>.2</w:t>
      </w:r>
      <w:r w:rsidR="00CF7A69" w:rsidRPr="00386F72">
        <w:tab/>
        <w:t>Les conseillers ont accueilli favorablement le plan et espéraient que la nouvelle fonction d'évaluation donnerait des résultats positifs. Des questions ont été soulevées concernant les aspects pratiques de la fonction de contrôle, notamment les critères selon lesquels l'Unité du contrôle interne déciderait de procéder à une évaluation rapide ou à une évaluation standard, et quelles étaient les échéances pour chacune de ces évaluations. Un conseiller a suggéré d'inclure un objectif primordial dans le plan d'évaluation. Des conseillers ont souhaité savoir comment les domaines à évaluer ont été identifiés, si le Conseil aurait la possibilité de les examiner et si les incidences des évaluations seraient analysées et les résultats communiqués au Conseil. Des questions ont été soulevées concernant le format des recommandations issues des évaluations et la manière dont leur mise en œuvre serait suivie; un tableau de bord des recommandations serait-il mis en place? Des conseillers ont demandé des éclaircissements sur la façon dont la fonction d'évaluation serait pourvue en personnel et ont suggéré de procéder à une analyse coûts-avantages du modèle fondé sur les services de consultants. Une conseillère a souscrit à l'examen du FDTIC, mais a averti qu'à l'heure actuelle, il serait prématuré d'évaluer l'intelligence artificielle au service du bien social. Un observateur estimait que la fonction d'évaluation constituait un aspect essentiel de la gestion axée sur les résultats et a suggéré de créer un groupe de contact des États Membres, analogue au Groupe des Nations Unies pour l'évaluation (GNUE). Il serait utile d'organiser une séance d'information informelle à l'intention des États Membres pour partager des informations plus détaillées sur la fonction d'évaluation au fur et à mesure de son développement. Il conviendrait d'évaluer les ressources de transformation et les ressources humaines de l'UIT.</w:t>
      </w:r>
    </w:p>
    <w:p w14:paraId="13ED88E2" w14:textId="172301B7" w:rsidR="00CF7A69" w:rsidRPr="00386F72" w:rsidRDefault="003568B9" w:rsidP="002142D1">
      <w:pPr>
        <w:keepLines/>
      </w:pPr>
      <w:r w:rsidRPr="00386F72">
        <w:lastRenderedPageBreak/>
        <w:t>30</w:t>
      </w:r>
      <w:r w:rsidR="00CF7A69" w:rsidRPr="00386F72">
        <w:t>.3</w:t>
      </w:r>
      <w:r w:rsidR="00CF7A69" w:rsidRPr="00386F72">
        <w:tab/>
        <w:t xml:space="preserve">Le Chef de l'Unité du contrôle interne a indiqué qu'il avait été dûment tenu compte des préoccupations concernant l'évaluation de l'intelligence artificielle au service du bien social et de la demande visant à évaluer les ressources de transformation et les ressources humaines. Le plan d'évaluation a été élaboré à l'issue d'un vaste processus de consultation, y compris avec la haute direction, et il a été tenu compte des risques et des aspects pratiques associés à la réalisation des évaluations, ainsi que de leur capacité à générer des informations utiles en vue d'améliorer les fonctions de l'organisation. Il a été envisagé de procéder à des évaluations rapides au cours de la première année d'évaluation afin de gérer les attentes, en fonction des ressources disponibles. Les évaluations standard seraient plus complètes et plus fiables et nécessiteraient davantage de ressources. </w:t>
      </w:r>
      <w:r w:rsidR="009437DD" w:rsidRPr="00386F72">
        <w:t xml:space="preserve">Les évaluations rapides sont quant à elles un moyen pratique de fournir des données probantes utiles dans des délais plus courts avec moins de ressources disponibles. </w:t>
      </w:r>
      <w:r w:rsidR="00CF7A69" w:rsidRPr="00386F72">
        <w:t>Un objectif général pourrait être intégré à l'énoncé de la mission, au début du plan d'évaluation. Des travaux sont en cours sur le cadre et la politique d'évaluation, et un cadre sera élaboré pour chaque évaluation au cours de la phase de définition du champ d'application</w:t>
      </w:r>
      <w:r w:rsidR="009437DD" w:rsidRPr="00386F72">
        <w:t xml:space="preserve"> et sera présenté dans le mandat</w:t>
      </w:r>
      <w:r w:rsidR="00CF7A69" w:rsidRPr="00386F72">
        <w:t xml:space="preserve">. Le format des recommandations sera conforme aux directives du GNUE et la mise en œuvre des recommandations sera suivie au moyen d'un tableau de bord. Les rapports d'évaluation seront accessibles au public et l'Unité du contrôle interne fera rapport chaque année au Conseil. Un comité d'examen de la sélection sera mis en place pour </w:t>
      </w:r>
      <w:r w:rsidR="009437DD" w:rsidRPr="00386F72">
        <w:t>choisir l</w:t>
      </w:r>
      <w:r w:rsidR="003C349A" w:rsidRPr="00386F72">
        <w:t>'</w:t>
      </w:r>
      <w:r w:rsidR="009437DD" w:rsidRPr="00386F72">
        <w:t>équipe d</w:t>
      </w:r>
      <w:r w:rsidR="003C349A" w:rsidRPr="00386F72">
        <w:t>'</w:t>
      </w:r>
      <w:r w:rsidR="009437DD" w:rsidRPr="00386F72">
        <w:t>évaluation, l</w:t>
      </w:r>
      <w:r w:rsidR="003C349A" w:rsidRPr="00386F72">
        <w:t>'</w:t>
      </w:r>
      <w:r w:rsidR="009437DD" w:rsidRPr="00386F72">
        <w:t>évaluateur ou les évaluateurs qui procédera ou procéderont à la sélection de manière transparente et en fonction de certains critères</w:t>
      </w:r>
      <w:r w:rsidR="00CF7A69" w:rsidRPr="00386F72">
        <w:t>.</w:t>
      </w:r>
    </w:p>
    <w:p w14:paraId="1AA90977" w14:textId="0C611AE1" w:rsidR="00CF7A69" w:rsidRPr="00386F72" w:rsidRDefault="003568B9" w:rsidP="00CB79C9">
      <w:pPr>
        <w:keepNext/>
        <w:keepLines/>
        <w:spacing w:after="120"/>
      </w:pPr>
      <w:r w:rsidRPr="00386F72">
        <w:t>30</w:t>
      </w:r>
      <w:r w:rsidR="00CF7A69" w:rsidRPr="00386F72">
        <w:t>.4</w:t>
      </w:r>
      <w:r w:rsidR="00CF7A69" w:rsidRPr="00386F72">
        <w:tab/>
        <w:t xml:space="preserve">La Commission </w:t>
      </w:r>
      <w:r w:rsidR="00CF7A69" w:rsidRPr="00386F72">
        <w:rPr>
          <w:b/>
          <w:bCs/>
        </w:rPr>
        <w:t>est</w:t>
      </w:r>
      <w:r w:rsidR="00CF7A69" w:rsidRPr="00386F72">
        <w:t xml:space="preserve"> </w:t>
      </w:r>
      <w:r w:rsidR="00CF7A69" w:rsidRPr="00386F72">
        <w:rPr>
          <w:b/>
          <w:bCs/>
        </w:rPr>
        <w:t>convenue</w:t>
      </w:r>
      <w:r w:rsidR="00CF7A69" w:rsidRPr="00386F72">
        <w:t xml:space="preserve"> de formuler la conclusion suivante sur la question:</w:t>
      </w:r>
    </w:p>
    <w:tbl>
      <w:tblPr>
        <w:tblStyle w:val="TableGrid"/>
        <w:tblW w:w="9214" w:type="dxa"/>
        <w:tblInd w:w="-147" w:type="dxa"/>
        <w:tblLook w:val="04A0" w:firstRow="1" w:lastRow="0" w:firstColumn="1" w:lastColumn="0" w:noHBand="0" w:noVBand="1"/>
      </w:tblPr>
      <w:tblGrid>
        <w:gridCol w:w="9214"/>
      </w:tblGrid>
      <w:tr w:rsidR="00CF7A69" w:rsidRPr="00386F72" w14:paraId="18BC8311" w14:textId="77777777" w:rsidTr="00D86ABD">
        <w:tc>
          <w:tcPr>
            <w:tcW w:w="9214" w:type="dxa"/>
          </w:tcPr>
          <w:p w14:paraId="3A536825" w14:textId="72BE5F97" w:rsidR="00CF7A69" w:rsidRPr="00386F72" w:rsidRDefault="003568B9" w:rsidP="00CB79C9">
            <w:pPr>
              <w:keepNext/>
              <w:keepLines/>
              <w:tabs>
                <w:tab w:val="clear" w:pos="567"/>
                <w:tab w:val="left" w:pos="605"/>
              </w:tabs>
              <w:ind w:left="38"/>
            </w:pPr>
            <w:r w:rsidRPr="00386F72">
              <w:t>30</w:t>
            </w:r>
            <w:r w:rsidR="00CF7A69" w:rsidRPr="00386F72">
              <w:t>.5</w:t>
            </w:r>
            <w:r w:rsidR="00CF7A69" w:rsidRPr="00386F72">
              <w:tab/>
              <w:t>La Commission recommande au Conseil:</w:t>
            </w:r>
          </w:p>
          <w:p w14:paraId="03A980BD" w14:textId="2CCF203F" w:rsidR="00CF7A69" w:rsidRPr="00386F72" w:rsidRDefault="00CF7A69" w:rsidP="00CB79C9">
            <w:pPr>
              <w:pStyle w:val="enumlev1"/>
              <w:keepNext/>
              <w:keepLines/>
              <w:tabs>
                <w:tab w:val="clear" w:pos="567"/>
              </w:tabs>
              <w:spacing w:after="120"/>
              <w:ind w:left="749" w:hanging="709"/>
            </w:pPr>
            <w:r w:rsidRPr="00386F72">
              <w:t>•</w:t>
            </w:r>
            <w:r w:rsidRPr="00386F72">
              <w:tab/>
              <w:t xml:space="preserve">de prendre note du rapport figurant dans le </w:t>
            </w:r>
            <w:hyperlink r:id="rId132" w:history="1">
              <w:r w:rsidRPr="00386F72">
                <w:rPr>
                  <w:rStyle w:val="Hyperlink"/>
                </w:rPr>
                <w:t>Document C26/45</w:t>
              </w:r>
            </w:hyperlink>
            <w:r w:rsidRPr="00386F72">
              <w:t>.</w:t>
            </w:r>
          </w:p>
        </w:tc>
      </w:tr>
    </w:tbl>
    <w:p w14:paraId="3E582D04" w14:textId="7FCD1184" w:rsidR="003C349A" w:rsidRPr="00386F72" w:rsidRDefault="003568B9" w:rsidP="003C349A">
      <w:pPr>
        <w:pStyle w:val="Heading1"/>
      </w:pPr>
      <w:r w:rsidRPr="00386F72">
        <w:t>31</w:t>
      </w:r>
      <w:r w:rsidR="003C349A" w:rsidRPr="00386F72">
        <w:tab/>
        <w:t>Traitement par la Présidente du Conseil des allégations visant des fonctionnaires élus entre juin 2025 et avril 2026 (</w:t>
      </w:r>
      <w:hyperlink r:id="rId133" w:history="1">
        <w:r w:rsidR="003C349A" w:rsidRPr="00386F72">
          <w:rPr>
            <w:rStyle w:val="Hyperlink"/>
            <w:rFonts w:eastAsia="Times New Roman" w:cs="Times New Roman"/>
            <w:szCs w:val="20"/>
          </w:rPr>
          <w:t>Document C26/110</w:t>
        </w:r>
      </w:hyperlink>
      <w:r w:rsidR="003C349A" w:rsidRPr="00386F72">
        <w:t>)</w:t>
      </w:r>
    </w:p>
    <w:p w14:paraId="29CE662E" w14:textId="77777777" w:rsidR="002142D1" w:rsidRDefault="003568B9" w:rsidP="003C349A">
      <w:r w:rsidRPr="00386F72">
        <w:t>31</w:t>
      </w:r>
      <w:r w:rsidR="003C349A" w:rsidRPr="00386F72">
        <w:t>.1</w:t>
      </w:r>
      <w:r w:rsidR="003C349A" w:rsidRPr="00386F72">
        <w:tab/>
      </w:r>
      <w:r w:rsidR="00B22457" w:rsidRPr="00386F72">
        <w:t>La Présidente de la session de 2025 du Conseil a présenté son rapport (Document C26/110) sur le traitement des allégations visant des fonctionnaires élus durant la période comprise entre juin 2025 et avril 2026. Ce rapport fournit des données agrégées et anonymisées, conformément au principe du "besoin d'en connaître" énoncé dans la Charte du contrôle interne de l'UIT</w:t>
      </w:r>
      <w:r w:rsidR="003C349A" w:rsidRPr="00386F72">
        <w:t xml:space="preserve">. </w:t>
      </w:r>
      <w:r w:rsidR="00B22457" w:rsidRPr="00386F72">
        <w:t xml:space="preserve">La Présidente a rappelé que tous les renseignements relatifs au traitement des allégations demeuraient strictement confidentiels et a présenté la procédure applicable au titre de la Charte, notamment le recours à des entités d'enquête extérieures indépendantes retenues dans le cadre de la procédure de passation de marché et, dans la mesure du possible, à des organes de contrôle établis au sein du système des Nations Unies. </w:t>
      </w:r>
      <w:r w:rsidR="003C349A" w:rsidRPr="00386F72">
        <w:t>Quatre plaintes relatives à des allégations de faute visant des fonctionnaires élus avaient été enregistrées durant la période considérée. Un cas avait été clos au stade de la réception du signalement, un cas avait été clos à l'issue d'une évaluation préliminaire et deux cas étaient toujours en cours d'examen</w:t>
      </w:r>
      <w:r w:rsidR="00B22457" w:rsidRPr="00386F72">
        <w:t xml:space="preserve"> dans le cadre du processus établi. La Présidente a souligné qu'aucune conclusion ne devrait être tirée concernant les cas en suspens tant que les processus d'examen indépendants étaient en cours. Elle a également souligné la mise en </w:t>
      </w:r>
      <w:r w:rsidR="002142D1">
        <w:br w:type="page"/>
      </w:r>
    </w:p>
    <w:p w14:paraId="57C3B8E2" w14:textId="103A5B54" w:rsidR="003C349A" w:rsidRPr="00386F72" w:rsidRDefault="00B22457" w:rsidP="003C349A">
      <w:r w:rsidRPr="00386F72">
        <w:lastRenderedPageBreak/>
        <w:t>œuvre de la fonction d'ombudsman en tant que voie de résolution informelle supplémentaire pour certaines préoccupations liées au travail, notamment, et le cas échéant, par le biais de la médiation</w:t>
      </w:r>
      <w:r w:rsidR="003C349A" w:rsidRPr="00386F72">
        <w:t>.</w:t>
      </w:r>
    </w:p>
    <w:p w14:paraId="0A98AC6B" w14:textId="428566F1" w:rsidR="003C349A" w:rsidRPr="00386F72" w:rsidRDefault="003568B9" w:rsidP="003C349A">
      <w:r w:rsidRPr="00386F72">
        <w:t>31</w:t>
      </w:r>
      <w:r w:rsidR="003C349A" w:rsidRPr="00386F72">
        <w:t>.2</w:t>
      </w:r>
      <w:r w:rsidR="003C349A" w:rsidRPr="00386F72">
        <w:tab/>
        <w:t>Les conseillers ont accueilli favorablement le rapport et félicité la Présidente de la session de 2025 du Conseil pour sa contribution à la transparence et à la justice interne. La rapidité et la réactivité avec lesquelles il était donné suite aux allégations ainsi que l'indépendance totale des enquêtes étaient appréciées. Un contrôle interne indépendant, professionnel et exempt de toute ingérence politique était dans l'intérêt de tous les États Membres. Des précisions ont été demandées concernant les contraintes pesant sur les capacités des services d'enquête et de contrôle interne des Nations Unies qui avaient entraîné le recrutement d'entités d'enquête extérieures; des informations sur les incidences financières de ces recrutements seraient les bienvenues. Il fallait une politique claire sur le rôle du Conseil dans la supervision des enquêtes.</w:t>
      </w:r>
    </w:p>
    <w:p w14:paraId="1E1B3115" w14:textId="012ED06B" w:rsidR="003C349A" w:rsidRPr="00386F72" w:rsidRDefault="003568B9" w:rsidP="003C349A">
      <w:r w:rsidRPr="00386F72">
        <w:t>31</w:t>
      </w:r>
      <w:r w:rsidR="003C349A" w:rsidRPr="00386F72">
        <w:t>.3</w:t>
      </w:r>
      <w:r w:rsidR="003C349A" w:rsidRPr="00386F72">
        <w:tab/>
        <w:t xml:space="preserve">La Présidente de la session de 2025 du Conseil a expliqué qu'une collaboration pleine et entière avec les organes de contrôle des Nations Unies n'avait pas été possible dans le délai prescrit, d'où le recrutement d'entités d'enquête extérieures indépendantes selon les règles de l'UIT en matière de passation de marchés et les procédures financières applicables. Conformément à la Charte du contrôle interne, seuls les cas fondés </w:t>
      </w:r>
      <w:r w:rsidR="00BF77EB" w:rsidRPr="00386F72">
        <w:t xml:space="preserve">de faute </w:t>
      </w:r>
      <w:r w:rsidR="003C349A" w:rsidRPr="00386F72">
        <w:t>seraient soumis au Conseil.</w:t>
      </w:r>
    </w:p>
    <w:p w14:paraId="1436AC8D" w14:textId="7CEF1C6C" w:rsidR="003C349A" w:rsidRPr="00386F72" w:rsidRDefault="003568B9" w:rsidP="00CB79C9">
      <w:pPr>
        <w:keepNext/>
        <w:keepLines/>
        <w:spacing w:after="120"/>
      </w:pPr>
      <w:r w:rsidRPr="00386F72">
        <w:t>31</w:t>
      </w:r>
      <w:r w:rsidR="003C349A" w:rsidRPr="00386F72">
        <w:t>.4</w:t>
      </w:r>
      <w:r w:rsidR="003C349A" w:rsidRPr="00386F72">
        <w:tab/>
        <w:t xml:space="preserve">La Commission </w:t>
      </w:r>
      <w:r w:rsidR="003C349A" w:rsidRPr="00386F72">
        <w:rPr>
          <w:b/>
          <w:bCs/>
        </w:rPr>
        <w:t>est convenue</w:t>
      </w:r>
      <w:r w:rsidR="003C349A"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3C349A" w:rsidRPr="00386F72" w14:paraId="34E78391" w14:textId="77777777" w:rsidTr="004E4580">
        <w:tc>
          <w:tcPr>
            <w:tcW w:w="9208" w:type="dxa"/>
            <w:tcBorders>
              <w:bottom w:val="single" w:sz="4" w:space="0" w:color="auto"/>
            </w:tcBorders>
          </w:tcPr>
          <w:p w14:paraId="1086605D" w14:textId="6B5BFFE9" w:rsidR="003C349A" w:rsidRPr="00386F72" w:rsidRDefault="003568B9" w:rsidP="00CB79C9">
            <w:pPr>
              <w:keepNext/>
              <w:keepLines/>
              <w:tabs>
                <w:tab w:val="clear" w:pos="567"/>
                <w:tab w:val="left" w:pos="605"/>
              </w:tabs>
              <w:ind w:firstLine="38"/>
            </w:pPr>
            <w:r w:rsidRPr="00386F72">
              <w:t>31</w:t>
            </w:r>
            <w:r w:rsidR="003C349A" w:rsidRPr="00386F72">
              <w:t>.5</w:t>
            </w:r>
            <w:r w:rsidR="003C349A" w:rsidRPr="00386F72">
              <w:tab/>
              <w:t>La Commission recommande au Conseil:</w:t>
            </w:r>
          </w:p>
          <w:p w14:paraId="0E2B79AC" w14:textId="77777777" w:rsidR="003C349A" w:rsidRPr="00386F72" w:rsidRDefault="003C349A" w:rsidP="00CB79C9">
            <w:pPr>
              <w:pStyle w:val="enumlev1"/>
              <w:keepNext/>
              <w:keepLines/>
              <w:tabs>
                <w:tab w:val="clear" w:pos="567"/>
              </w:tabs>
              <w:spacing w:after="120"/>
              <w:ind w:left="612" w:hanging="574"/>
            </w:pPr>
            <w:r w:rsidRPr="00386F72">
              <w:t>•</w:t>
            </w:r>
            <w:r w:rsidRPr="00386F72">
              <w:tab/>
              <w:t xml:space="preserve">de prendre note du rapport figurant dans le </w:t>
            </w:r>
            <w:hyperlink r:id="rId134" w:history="1">
              <w:r w:rsidRPr="00386F72">
                <w:rPr>
                  <w:rStyle w:val="Hyperlink"/>
                </w:rPr>
                <w:t>Document C26/110</w:t>
              </w:r>
            </w:hyperlink>
            <w:r w:rsidRPr="00386F72">
              <w:t>.</w:t>
            </w:r>
          </w:p>
        </w:tc>
      </w:tr>
    </w:tbl>
    <w:p w14:paraId="5436CCE3" w14:textId="2CD7061F" w:rsidR="007E4CE8" w:rsidRPr="00386F72" w:rsidRDefault="003568B9" w:rsidP="007E4CE8">
      <w:pPr>
        <w:pStyle w:val="Heading1"/>
      </w:pPr>
      <w:bookmarkStart w:id="4" w:name="_Hlk229068610"/>
      <w:r w:rsidRPr="00386F72">
        <w:t>32</w:t>
      </w:r>
      <w:r w:rsidR="007E4CE8" w:rsidRPr="00386F72">
        <w:tab/>
        <w:t>Quinzième rapport du Comité consultatif indépendant pour les questions de gestion (CCIG) (</w:t>
      </w:r>
      <w:hyperlink r:id="rId135" w:history="1">
        <w:r w:rsidR="007E4CE8" w:rsidRPr="00386F72">
          <w:rPr>
            <w:rStyle w:val="Hyperlink"/>
            <w:rFonts w:eastAsia="Times New Roman" w:cs="Times New Roman"/>
            <w:szCs w:val="20"/>
          </w:rPr>
          <w:t>Document C26/22</w:t>
        </w:r>
      </w:hyperlink>
      <w:r w:rsidR="007E4CE8" w:rsidRPr="00386F72">
        <w:t>)</w:t>
      </w:r>
    </w:p>
    <w:p w14:paraId="555F0B50" w14:textId="5076EC6D" w:rsidR="007E4CE8" w:rsidRPr="00386F72" w:rsidRDefault="003568B9" w:rsidP="007E4CE8">
      <w:r w:rsidRPr="00386F72">
        <w:t>32</w:t>
      </w:r>
      <w:r w:rsidR="007E4CE8" w:rsidRPr="00386F72">
        <w:t>.1</w:t>
      </w:r>
      <w:r w:rsidR="007E4CE8" w:rsidRPr="00386F72">
        <w:tab/>
        <w:t>Le Président du CCIG a présenté le quinzième rapport du CCIG, qui figure dans le Document C26/22. Il a souligné que, dans l'exercice de ses fonctions conformément à son mandat, à son programme de travail et aux demandes émanant de la direction de l'UIT et du Conseil, le Comité a mené ses activités de contrôle et de conseil de manière indépendante et sans perturbation extérieure. Aucun élément – réel ou perçu – n'a porté atteinte à son indépendance durant la période considérée. Le CCIG a bénéficié de l'appui sans réserve et de la coopération de la direction et du personnel de l'UIT tout au long de ses travaux, y compris dans le cadre d'une participation constructive et régulière. Chaque réunion du CCIG comprenait une séance d'ouverture et une séance de clôture en présence de la Secrétaire générale et/ou du Vice-Secrétaire général.</w:t>
      </w:r>
    </w:p>
    <w:p w14:paraId="3A41D6A7" w14:textId="69920E6E" w:rsidR="007E4CE8" w:rsidRPr="00386F72" w:rsidRDefault="003568B9" w:rsidP="007E4CE8">
      <w:r w:rsidRPr="00386F72">
        <w:t>32.2</w:t>
      </w:r>
      <w:r w:rsidR="007E4CE8" w:rsidRPr="00386F72">
        <w:tab/>
        <w:t xml:space="preserve">Conformément à la Résolution 162 (Rév. Bucarest, 2022) de la </w:t>
      </w:r>
      <w:r w:rsidR="00490E65" w:rsidRPr="00386F72">
        <w:t>Conférence de plénipotentiaires,</w:t>
      </w:r>
      <w:r w:rsidR="007E4CE8" w:rsidRPr="00386F72">
        <w:t xml:space="preserve"> par laquelle il est demandé d'effectuer un examen périodique du mandat du CCIG, une version actualisée du mandat du CCIG, qui a été examinée par le Comité et par la direction de l'UIT, a été présentée au Conseil dans l'Annexe 3 du rapport.</w:t>
      </w:r>
    </w:p>
    <w:p w14:paraId="0AD48F4D" w14:textId="4140B172" w:rsidR="007E4CE8" w:rsidRPr="00386F72" w:rsidRDefault="003568B9" w:rsidP="007E4CE8">
      <w:r w:rsidRPr="00386F72">
        <w:t>32.3</w:t>
      </w:r>
      <w:r w:rsidR="007E4CE8" w:rsidRPr="00386F72">
        <w:tab/>
        <w:t xml:space="preserve">S'agissant des cinq recommandations figurant dans le rapport, le Président du CCIG a fait observer que, malgré un contexte mondial complexe, marqué par des tensions géopolitiques qui portent atteinte au multilatéralisme et des pressions financières qui pèsent sur les États Membres, l'UIT est entrée dans une phase plus stable et plus rigoureuse, </w:t>
      </w:r>
      <w:r w:rsidR="007E4CE8" w:rsidRPr="00386F72">
        <w:lastRenderedPageBreak/>
        <w:t>en particulier concernant l'établissement de rapports financiers et les processus de gestion. Toutefois, ces progrès doivent désormais être consolidés par une mise en œuvre et une exécution plus robustes. Les stratégies de réforme doivent aller au-delà de la planification et se traduire par des mesures concrètes assorties d'une appropriation et d'une responsabilisation clairement établies et d'un calendrier précis. La gestion des risques doit devenir une partie intégrante du processus décisionnel et de la hiérarchisation des priorités, ce qui nécessite un changement culturel plus large à l'échelle de l'organisation.</w:t>
      </w:r>
    </w:p>
    <w:p w14:paraId="178A2D28" w14:textId="43EF7AEA" w:rsidR="007E4CE8" w:rsidRPr="00386F72" w:rsidRDefault="003568B9" w:rsidP="002142D1">
      <w:r w:rsidRPr="00386F72">
        <w:t>32.4</w:t>
      </w:r>
      <w:r w:rsidR="007E4CE8" w:rsidRPr="00386F72">
        <w:tab/>
        <w:t>Le Président a salué l'achèvement rapide du projet d'états financiers pour 2025 et la qualité des travaux menés par le Département FRMD pendant la période considérée. Le CCIJ s'était entretenu avec le Vérificateur extérieur des comptes à la fin de l'exercice financier et aucune question importante restée en suspens ou difficulté majeure n'avait été identifiée. Dans le même temps, force est de constater que des problèmes structurels subsistent. La croissance nominale zéro prolongée de l'unité contributive continue d'éroder le pouvoir d'achat de l'UIT, tandis que la hausse des coûts de personnel met en évidence la nécessité d'une planification intégrée des effectifs et financière, étayée par des indicateurs d'efficacité mesurables. Bien que les économies ne soient pas nécessairement liées à l'efficacité structurelle, le Comité est favorable aux priorités stratégiques que la direction de l'UIT a fixées pour leur utilisation. Le CCIG a recommandé de revoir la structure de présentation du budget afin de mieux tenir compte de la répartition des effectifs et des coûts récurrents entre les Secteurs et le Secrétariat général.</w:t>
      </w:r>
    </w:p>
    <w:p w14:paraId="2AF30324" w14:textId="70FDF19D" w:rsidR="007E4CE8" w:rsidRPr="00386F72" w:rsidRDefault="003568B9" w:rsidP="007E4CE8">
      <w:r w:rsidRPr="00386F72">
        <w:t>32.5</w:t>
      </w:r>
      <w:r w:rsidR="007E4CE8" w:rsidRPr="00386F72">
        <w:tab/>
        <w:t>Le CCIG avait recommandé de restructurer le plan d'audit interne pour l'orienter vers un modèle davantage axé sur les risques et le renforcement de la collaboration des unités opérationnelles. S'agissant des enquêtes, des travaux supplémentaires seront menés pour clarifier les mesures connexes et un rapport actualisé sera présenté au Conseil en temps utile. En outre, le CCIG avait pris note de l'augmentation de la charge de travail et de la demande croissante des services d'éthique et de conseil, qui sont notamment liés à la culture institutionnelle, et avait souligné la nécessité de renforcer le respect, la politesse et la confiance au sein de l'organisation. Le Comité a appuyé la mise en œuvre de la nouvelle Charte de gouvernance numérique et les efforts en cours pour moderniser les systèmes informatiques, mais a fait observer le faible niveau de maturité de l'architecture institutionnelle, la fragmentation des systèmes et l'importance du renforcement de la gouvernance des données en tant que condition préalable aux initiatives liées à l'IA. Par conséquent, le CCIJ a recommandé de réaliser une cartographie complète des systèmes en nuage par rapport aux systèmes hébergés sur des serveurs, en établissant un lien avec des gains d'efficacité mesurables et les économies potentielles. Enfin, le Comité a recommandé de prévoir une évaluation externe de la maturité du système de justice interne et du système de recours, qui restent fragmentés et gagneraient à être rationalisés et modernisés.</w:t>
      </w:r>
    </w:p>
    <w:p w14:paraId="686B7EEC" w14:textId="31FF7622" w:rsidR="00A67BA2" w:rsidRPr="00386F72" w:rsidRDefault="003568B9" w:rsidP="00A67BA2">
      <w:pPr>
        <w:tabs>
          <w:tab w:val="clear" w:pos="567"/>
          <w:tab w:val="clear" w:pos="1134"/>
          <w:tab w:val="left" w:pos="709"/>
          <w:tab w:val="left" w:pos="851"/>
        </w:tabs>
      </w:pPr>
      <w:r w:rsidRPr="00386F72">
        <w:t>32.6</w:t>
      </w:r>
      <w:r w:rsidR="00A67BA2" w:rsidRPr="00386F72">
        <w:tab/>
        <w:t>S'agissant de la planification stratégique, le CCIG a mis l'accent sur la nécessité d'une meilleure coordination entre la planification stratégique, la planification financière et les indicateurs de performance, tout en veillant à ce que les priorités institutionnelles restent alignées sur la capacité de mise en œuvre réelle de l'Union. Bien qu'elle ait accompli des progrès significatifs et qu'elle fonctionne désormais sur des bases institutionnelles plus solides, l'UIT doit maintenant passer de manière plus résolue de la phase de planification à la phase d'exécution, moyennant une responsabilisation plus ferme, une discipline de mise en œuvre, une prise de décisions tenant compte des risques et une attention constante portée à l'efficacité. Le CCIG reste déterminé à fournir son appui au Conseil à cet égard.</w:t>
      </w:r>
    </w:p>
    <w:p w14:paraId="7EF11ED7" w14:textId="77845655" w:rsidR="00A67BA2" w:rsidRPr="00386F72" w:rsidRDefault="003568B9" w:rsidP="00A67BA2">
      <w:pPr>
        <w:tabs>
          <w:tab w:val="clear" w:pos="567"/>
          <w:tab w:val="left" w:pos="709"/>
        </w:tabs>
      </w:pPr>
      <w:r w:rsidRPr="00386F72">
        <w:lastRenderedPageBreak/>
        <w:t>32.7</w:t>
      </w:r>
      <w:r w:rsidR="00A67BA2" w:rsidRPr="00386F72">
        <w:tab/>
        <w:t>Les conseillers ont appuyé sans réserve les travaux menés par le CCIG et se sont félicités de l'exposé complet et sans détour du Président, ainsi que de la déclaration du Comité sur l'indépendance. La volonté du personnel et de la direction de l'UIT de coopérer pleinement avec le CCIG a également été appréciée. Les conseillers ont salué la franchise du rapport et ont accueilli favorablement les cinq recommandations qui y figurent, et ont souligné l'importance d'une mise en œuvre dans les meilleurs délais. Un conseiller a demandé si les recommandations seraient reflétées dans le tableau de bord de la conformité pour le suivi de la mise en œuvre. Un autre conseiller a fait observer que, lors de la formulation des recommandations, il convient de continuer à tenir dûment compte de la structure institutionnelle de l'UIT, ainsi que des fonctions de gouvernance et de contrôle respectives du Conseil et de la Conférence de plénipotentiaires.</w:t>
      </w:r>
    </w:p>
    <w:p w14:paraId="033908A8" w14:textId="550F2279" w:rsidR="00A67BA2" w:rsidRPr="00386F72" w:rsidRDefault="003568B9" w:rsidP="00A67BA2">
      <w:pPr>
        <w:tabs>
          <w:tab w:val="clear" w:pos="567"/>
          <w:tab w:val="clear" w:pos="1134"/>
          <w:tab w:val="left" w:pos="709"/>
          <w:tab w:val="left" w:pos="851"/>
        </w:tabs>
      </w:pPr>
      <w:r w:rsidRPr="00386F72">
        <w:t>32.8</w:t>
      </w:r>
      <w:r w:rsidR="00A67BA2" w:rsidRPr="00386F72">
        <w:tab/>
        <w:t>Les conseillers se sont félicités de l'accent mis dans le rapport sur la gestion des risques, les contrôles internes et la responsabilisation, et ont insisté sur la nécessité d'établir des rapports précis et des indicateurs mesurables pour démontrer les gains d'efficacité. Une gestion axée sur les résultats renforcée passe par une meilleure harmonisation des objectifs stratégiques de l'UIT avec les activités courantes du personnel, grâce à davantage d'indicateurs axés sur les résultats. La responsabilité doit également intégrer l'utilisation efficace des ressources humaines, y compris les implications, du point de vue des effectifs, des activités considérées comme n'ayant pas d'incidence financière directe.</w:t>
      </w:r>
    </w:p>
    <w:p w14:paraId="3E0DD3E6" w14:textId="051B9341" w:rsidR="00A67BA2" w:rsidRPr="00386F72" w:rsidRDefault="003568B9" w:rsidP="003568B9">
      <w:pPr>
        <w:tabs>
          <w:tab w:val="clear" w:pos="567"/>
          <w:tab w:val="clear" w:pos="1134"/>
          <w:tab w:val="left" w:pos="709"/>
        </w:tabs>
      </w:pPr>
      <w:r w:rsidRPr="00386F72">
        <w:t>32.9</w:t>
      </w:r>
      <w:r w:rsidR="00A67BA2" w:rsidRPr="00386F72">
        <w:tab/>
        <w:t xml:space="preserve">Un conseiller a demandé comment il était possible de concilier les divergences entre les méthodes utilisées par Ernst &amp; Young dans son évaluation de la gestion des risques et celles du CCIJ. Plusieurs conseillers ont souligné qu'il était important de mettre en œuvre un cadre de gestion des risques complet </w:t>
      </w:r>
      <w:r w:rsidR="00490E65" w:rsidRPr="00386F72">
        <w:t xml:space="preserve">et moderne à </w:t>
      </w:r>
      <w:r w:rsidR="00A67BA2" w:rsidRPr="00386F72">
        <w:t>l'échelle de l'UIT. La proposition visant à procéder à un examen complet du système de justice interne a été bien accueillie. Si des conseillers ont aussi appuyé les efforts visant à revoir le format de présentation du budget afin de parvenir à une représentation plus équilibrée des coûts, des précisions complémentaires ont été demandées concernant les incidences pratiques de telles modifications. Enfin, il faut approfondir la réflexion sur l'amélioration du processus de sélection des membres du CCIG.</w:t>
      </w:r>
    </w:p>
    <w:p w14:paraId="3386E13F" w14:textId="6CF8B78C" w:rsidR="00A67BA2" w:rsidRPr="00386F72" w:rsidRDefault="003568B9" w:rsidP="00A67BA2">
      <w:pPr>
        <w:tabs>
          <w:tab w:val="clear" w:pos="567"/>
          <w:tab w:val="clear" w:pos="1134"/>
          <w:tab w:val="left" w:pos="709"/>
          <w:tab w:val="left" w:pos="851"/>
        </w:tabs>
      </w:pPr>
      <w:r w:rsidRPr="00386F72">
        <w:t>32.10</w:t>
      </w:r>
      <w:r w:rsidR="00A67BA2" w:rsidRPr="00386F72">
        <w:tab/>
        <w:t>Le Président du CCIG a tenu à remercier les États Membres pour leur soutien ainsi que pour leur appréciation positive des travaux et de la franchise du Comité. Il a pris note de toutes les observations formulées par les conseillers et s'est félicité de la volonté du Secrétariat d'associer le CCIG à un large éventail de processus. Le CCIG continuera d'apporter sa contribution de manière indépendante et constructive, y compris dans le cadre des consultations sur la gestion des risques menées avec Ernst &amp; Young, où ses avis avaient été pris en compte. Il a confirmé qu'une fois le rapport approuvé par le Conseil, les recommandations contenues dans le rapport du CCIJ seraient intégrées au système commun de suivi de la conformité afin de suivre la mise en œuvre de ces recommandations.</w:t>
      </w:r>
    </w:p>
    <w:p w14:paraId="587BEB54" w14:textId="52833BC0" w:rsidR="00A67BA2" w:rsidRPr="00386F72" w:rsidRDefault="003568B9" w:rsidP="00A67BA2">
      <w:pPr>
        <w:tabs>
          <w:tab w:val="clear" w:pos="567"/>
          <w:tab w:val="clear" w:pos="1134"/>
          <w:tab w:val="left" w:pos="709"/>
          <w:tab w:val="left" w:pos="851"/>
        </w:tabs>
      </w:pPr>
      <w:r w:rsidRPr="00386F72">
        <w:t>32.11</w:t>
      </w:r>
      <w:r w:rsidR="00A67BA2" w:rsidRPr="00386F72">
        <w:tab/>
        <w:t>La Secrétaire générale a remercié le CCIG et son Président pour leur travail, et a souligné le rôle important du CCIG au sein du dispositif de responsabilité et de contrôle de l'Union. Parce qu'il formule des avis indépendants et apporte une vision stratégique et un éclairage extérieur, le CCIG apporte une contribution précieuse en faveur d'une prise de décisions éclairée. La Secrétaire générale a été pris note des cinq recommandations figurant dans le rapport et a confirmé que le Secrétariat travaillerait en étroite collaboration avec le CCIG afin d'assurer le suivi efficace et l'intégration de ces recommandations dans les efforts de transformation menés actuellement par l'Union</w:t>
      </w:r>
      <w:r w:rsidR="00AB78E5">
        <w:t>.</w:t>
      </w:r>
    </w:p>
    <w:p w14:paraId="24FFCD42" w14:textId="6395E1CA" w:rsidR="00A67BA2" w:rsidRPr="00386F72" w:rsidRDefault="003568B9" w:rsidP="00A67BA2">
      <w:pPr>
        <w:tabs>
          <w:tab w:val="clear" w:pos="567"/>
          <w:tab w:val="clear" w:pos="1134"/>
          <w:tab w:val="left" w:pos="709"/>
          <w:tab w:val="left" w:pos="851"/>
        </w:tabs>
        <w:spacing w:after="120"/>
      </w:pPr>
      <w:r w:rsidRPr="00386F72">
        <w:lastRenderedPageBreak/>
        <w:t>32.12</w:t>
      </w:r>
      <w:r w:rsidR="00A67BA2" w:rsidRPr="00386F72">
        <w:tab/>
        <w:t xml:space="preserve">La Commission </w:t>
      </w:r>
      <w:r w:rsidR="00A67BA2" w:rsidRPr="00386F72">
        <w:rPr>
          <w:b/>
          <w:bCs/>
        </w:rPr>
        <w:t>est</w:t>
      </w:r>
      <w:r w:rsidR="00A67BA2" w:rsidRPr="00386F72">
        <w:t xml:space="preserve"> </w:t>
      </w:r>
      <w:r w:rsidR="00A67BA2" w:rsidRPr="00386F72">
        <w:rPr>
          <w:b/>
          <w:bCs/>
        </w:rPr>
        <w:t>convenue</w:t>
      </w:r>
      <w:r w:rsidR="00A67BA2" w:rsidRPr="00386F72">
        <w:t xml:space="preserve"> de formuler la conclusion suivante sur la question:</w:t>
      </w:r>
    </w:p>
    <w:tbl>
      <w:tblPr>
        <w:tblStyle w:val="TableGrid"/>
        <w:tblW w:w="0" w:type="auto"/>
        <w:tblInd w:w="-103" w:type="dxa"/>
        <w:tblLook w:val="04A0" w:firstRow="1" w:lastRow="0" w:firstColumn="1" w:lastColumn="0" w:noHBand="0" w:noVBand="1"/>
      </w:tblPr>
      <w:tblGrid>
        <w:gridCol w:w="9164"/>
      </w:tblGrid>
      <w:tr w:rsidR="00A67BA2" w:rsidRPr="00386F72" w14:paraId="38D39AB3" w14:textId="77777777" w:rsidTr="00955E0C">
        <w:tc>
          <w:tcPr>
            <w:tcW w:w="9164" w:type="dxa"/>
          </w:tcPr>
          <w:p w14:paraId="04722B5B" w14:textId="4C599FE3" w:rsidR="00A67BA2" w:rsidRPr="00386F72" w:rsidRDefault="003568B9" w:rsidP="00955E0C">
            <w:pPr>
              <w:tabs>
                <w:tab w:val="clear" w:pos="567"/>
                <w:tab w:val="clear" w:pos="1134"/>
                <w:tab w:val="left" w:pos="709"/>
                <w:tab w:val="left" w:pos="851"/>
              </w:tabs>
            </w:pPr>
            <w:r w:rsidRPr="00386F72">
              <w:t>32.13</w:t>
            </w:r>
            <w:r w:rsidR="00A67BA2" w:rsidRPr="00386F72">
              <w:tab/>
              <w:t>La Commission recommande au Conseil:</w:t>
            </w:r>
          </w:p>
          <w:p w14:paraId="2AF5F563" w14:textId="77777777" w:rsidR="00A67BA2" w:rsidRPr="00386F72" w:rsidRDefault="00A67BA2" w:rsidP="003568B9">
            <w:pPr>
              <w:pStyle w:val="enumlev1"/>
              <w:keepNext/>
              <w:tabs>
                <w:tab w:val="clear" w:pos="567"/>
                <w:tab w:val="clear" w:pos="1134"/>
                <w:tab w:val="left" w:pos="1124"/>
              </w:tabs>
              <w:spacing w:after="120"/>
              <w:ind w:left="697" w:hanging="697"/>
            </w:pPr>
            <w:r w:rsidRPr="00386F72">
              <w:t>•</w:t>
            </w:r>
            <w:r w:rsidRPr="00386F72">
              <w:tab/>
              <w:t xml:space="preserve">d'approuver le rapport figurant dans </w:t>
            </w:r>
            <w:hyperlink r:id="rId136" w:history="1">
              <w:r w:rsidRPr="00386F72">
                <w:t xml:space="preserve">le </w:t>
              </w:r>
              <w:r w:rsidRPr="00386F72">
                <w:rPr>
                  <w:rStyle w:val="Hyperlink"/>
                </w:rPr>
                <w:t>Document C26/22</w:t>
              </w:r>
            </w:hyperlink>
            <w:r w:rsidRPr="00386F72">
              <w:t xml:space="preserve"> et les recommandations qui y figurent, pour suite à donner par le Secrétariat.</w:t>
            </w:r>
          </w:p>
        </w:tc>
      </w:tr>
    </w:tbl>
    <w:bookmarkEnd w:id="4"/>
    <w:p w14:paraId="354A9E9C" w14:textId="70ACA7C3" w:rsidR="0000138F" w:rsidRPr="00386F72" w:rsidRDefault="0000138F" w:rsidP="0000138F">
      <w:pPr>
        <w:pStyle w:val="Heading1"/>
      </w:pPr>
      <w:r w:rsidRPr="00386F72">
        <w:rPr>
          <w:bCs/>
        </w:rPr>
        <w:t>3</w:t>
      </w:r>
      <w:r w:rsidR="003568B9" w:rsidRPr="00386F72">
        <w:rPr>
          <w:bCs/>
        </w:rPr>
        <w:t>3</w:t>
      </w:r>
      <w:r w:rsidRPr="00386F72">
        <w:tab/>
      </w:r>
      <w:r w:rsidRPr="00386F72">
        <w:rPr>
          <w:bCs/>
        </w:rPr>
        <w:t>Contribution sur la représentation égale des six régions au sein du CCIG (</w:t>
      </w:r>
      <w:hyperlink r:id="rId137" w:history="1">
        <w:r w:rsidRPr="00386F72">
          <w:rPr>
            <w:rStyle w:val="Hyperlink"/>
            <w:bCs/>
          </w:rPr>
          <w:t>Document C26/92</w:t>
        </w:r>
      </w:hyperlink>
      <w:r w:rsidRPr="00386F72">
        <w:rPr>
          <w:bCs/>
        </w:rPr>
        <w:t>)</w:t>
      </w:r>
      <w:hyperlink r:id="rId138" w:history="1"/>
    </w:p>
    <w:p w14:paraId="0AB38BFC" w14:textId="41C73902" w:rsidR="0000138F" w:rsidRPr="00386F72" w:rsidRDefault="0000138F" w:rsidP="0000138F">
      <w:r w:rsidRPr="00386F72">
        <w:t>3</w:t>
      </w:r>
      <w:r w:rsidR="003568B9" w:rsidRPr="00386F72">
        <w:t>3</w:t>
      </w:r>
      <w:r w:rsidRPr="00386F72">
        <w:t>.1</w:t>
      </w:r>
      <w:r w:rsidRPr="00386F72">
        <w:tab/>
        <w:t>Avec l'appui de la conseillère de la Chine, l'observateur de la Fédération de Russie a présenté la contribution multipays figurant dans le Document C26/92, au nom de sept pays. Dans cette contribution, il est demandé d'assurer une représentation égale des six régions de l'UIT au sein du Comité consultatif indépendant pour les questions de gestion (CCIG), conformément à la Résolution 162 (Rév. Bucarest, 2022) de la Conférence de plénipotentiaires relative au CCIG et à son mandat. L'orateur a fait observer que le CCIG compte actuellement parmi ses membres deux membres issus de la région Europe et aucun membre de la région de la Communauté des États indépendants (CEI).</w:t>
      </w:r>
    </w:p>
    <w:p w14:paraId="250DF6B3" w14:textId="7560D6C1" w:rsidR="0000138F" w:rsidRPr="00386F72" w:rsidRDefault="0000138F" w:rsidP="0000138F">
      <w:r w:rsidRPr="00386F72">
        <w:t>3</w:t>
      </w:r>
      <w:r w:rsidR="003568B9" w:rsidRPr="00386F72">
        <w:t>3</w:t>
      </w:r>
      <w:r w:rsidRPr="00386F72">
        <w:t>.2</w:t>
      </w:r>
      <w:r w:rsidRPr="00386F72">
        <w:tab/>
      </w:r>
      <w:r w:rsidR="00A025D3" w:rsidRPr="00386F72">
        <w:t>Un conseiller a accueilli favorablement la contribution et a reconnu l'importance d'une représentation géographique équitable. Il a néanmoins rappelé que le mandat du CCIG faisait des compétences professionnelles le critère principal de sélection, tandis qu'une représentation géographique équitable ne doit être assurée que "dans toute la mesure possible". L'orateur a fait observer que, si les États Membres souhaitent que la représentation géographique soit considérée au même titre que les compétences professionnelles, la Conférence de plénipotentiaires devrait réviser le mandat du CCIG afin d'éviter que les interprétations diffèrent.</w:t>
      </w:r>
    </w:p>
    <w:p w14:paraId="23BDF4B1" w14:textId="7D5AB189" w:rsidR="0000138F" w:rsidRPr="00386F72" w:rsidRDefault="0000138F" w:rsidP="0000138F">
      <w:r w:rsidRPr="00386F72">
        <w:t>3</w:t>
      </w:r>
      <w:r w:rsidR="003568B9" w:rsidRPr="00386F72">
        <w:t>3</w:t>
      </w:r>
      <w:r w:rsidRPr="00386F72">
        <w:t>.3</w:t>
      </w:r>
      <w:r w:rsidRPr="00386F72">
        <w:tab/>
      </w:r>
      <w:r w:rsidR="00A025D3" w:rsidRPr="00386F72">
        <w:t xml:space="preserve">Plusieurs autres conseillers </w:t>
      </w:r>
      <w:r w:rsidR="00955EB5" w:rsidRPr="00386F72">
        <w:t xml:space="preserve">ont rappelé </w:t>
      </w:r>
      <w:r w:rsidR="00A025D3" w:rsidRPr="00386F72">
        <w:t xml:space="preserve">que la sélection des membres du CCIG devait rester avant tout fondée sur le mérite, être guidée par les compétences professionnelles et menée en toute indépendance. Dans le même temps, </w:t>
      </w:r>
      <w:r w:rsidR="00490E65" w:rsidRPr="00386F72">
        <w:t xml:space="preserve">certains conseillers et un observateur ont </w:t>
      </w:r>
      <w:r w:rsidR="00A025D3" w:rsidRPr="00386F72">
        <w:t>insisté sur le fait qu'une représentation géographique équilibrée restait un élément important à prendre en compte.</w:t>
      </w:r>
    </w:p>
    <w:p w14:paraId="4960DE9A" w14:textId="58A49C60" w:rsidR="0000138F" w:rsidRPr="00386F72" w:rsidRDefault="0000138F" w:rsidP="0000138F">
      <w:pPr>
        <w:spacing w:after="120" w:line="259" w:lineRule="auto"/>
      </w:pPr>
      <w:r w:rsidRPr="00386F72">
        <w:t>3</w:t>
      </w:r>
      <w:r w:rsidR="003568B9" w:rsidRPr="00386F72">
        <w:t>3</w:t>
      </w:r>
      <w:r w:rsidRPr="00386F72">
        <w:t>.4</w:t>
      </w:r>
      <w:r w:rsidRPr="00386F72">
        <w:tab/>
        <w:t xml:space="preserve">La </w:t>
      </w:r>
      <w:r w:rsidR="00F6427A" w:rsidRPr="00386F72">
        <w:t>C</w:t>
      </w:r>
      <w:r w:rsidRPr="00386F72">
        <w:t xml:space="preserve">ommission </w:t>
      </w:r>
      <w:r w:rsidRPr="00386F72">
        <w:rPr>
          <w:b/>
          <w:bCs/>
        </w:rPr>
        <w:t>est convenue</w:t>
      </w:r>
      <w:r w:rsidRPr="00386F72">
        <w:t xml:space="preserve"> de formuler les conclusions suivantes sur cette question:</w:t>
      </w:r>
    </w:p>
    <w:tbl>
      <w:tblPr>
        <w:tblStyle w:val="TableGrid"/>
        <w:tblW w:w="0" w:type="auto"/>
        <w:tblInd w:w="-103" w:type="dxa"/>
        <w:tblLook w:val="04A0" w:firstRow="1" w:lastRow="0" w:firstColumn="1" w:lastColumn="0" w:noHBand="0" w:noVBand="1"/>
      </w:tblPr>
      <w:tblGrid>
        <w:gridCol w:w="9164"/>
      </w:tblGrid>
      <w:tr w:rsidR="0000138F" w:rsidRPr="00386F72" w14:paraId="0EEDB03A" w14:textId="77777777" w:rsidTr="00861395">
        <w:tc>
          <w:tcPr>
            <w:tcW w:w="9164" w:type="dxa"/>
          </w:tcPr>
          <w:p w14:paraId="24488B8B" w14:textId="05848D74" w:rsidR="0000138F" w:rsidRPr="00386F72" w:rsidRDefault="0000138F" w:rsidP="002142D1">
            <w:r w:rsidRPr="00386F72">
              <w:t>3</w:t>
            </w:r>
            <w:r w:rsidR="003568B9" w:rsidRPr="00386F72">
              <w:t>3</w:t>
            </w:r>
            <w:r w:rsidRPr="00386F72">
              <w:t>.5</w:t>
            </w:r>
            <w:r w:rsidRPr="00386F72">
              <w:tab/>
              <w:t>La Commission recommande au Conseil:</w:t>
            </w:r>
          </w:p>
          <w:p w14:paraId="0E1E25EC" w14:textId="77777777" w:rsidR="0000138F" w:rsidRPr="00386F72" w:rsidRDefault="0000138F" w:rsidP="00861395">
            <w:pPr>
              <w:pStyle w:val="enumlev1"/>
            </w:pPr>
            <w:r w:rsidRPr="00386F72">
              <w:t>•</w:t>
            </w:r>
            <w:r w:rsidRPr="00386F72">
              <w:tab/>
              <w:t xml:space="preserve">de prendre note des vues partagées par les conseillers et les observateurs sur la proposition figurant dans le </w:t>
            </w:r>
            <w:r w:rsidRPr="00386F72">
              <w:rPr>
                <w:rStyle w:val="Hyperlink"/>
              </w:rPr>
              <w:t xml:space="preserve">Document </w:t>
            </w:r>
            <w:hyperlink r:id="rId139" w:history="1">
              <w:r w:rsidRPr="00386F72">
                <w:rPr>
                  <w:rStyle w:val="Hyperlink"/>
                </w:rPr>
                <w:t>C26/92</w:t>
              </w:r>
            </w:hyperlink>
            <w:r w:rsidRPr="00386F72">
              <w:t>; et</w:t>
            </w:r>
          </w:p>
          <w:p w14:paraId="35A17AB8" w14:textId="77777777" w:rsidR="0000138F" w:rsidRPr="00386F72" w:rsidRDefault="0000138F" w:rsidP="00861395">
            <w:pPr>
              <w:pStyle w:val="enumlev1"/>
              <w:spacing w:after="120"/>
            </w:pPr>
            <w:r w:rsidRPr="00386F72">
              <w:t>•</w:t>
            </w:r>
            <w:r w:rsidRPr="00386F72">
              <w:tab/>
              <w:t>d'inviter les États Membres à soumettre des propositions à la Conférence de plénipotentiaires (Doha, 2026) en vue de la révision de la Résolution 162 (Rév. Bucarest, 2022), s'il y a lieu.</w:t>
            </w:r>
          </w:p>
        </w:tc>
      </w:tr>
    </w:tbl>
    <w:p w14:paraId="54748D4A" w14:textId="531095E7" w:rsidR="003C349A" w:rsidRPr="00386F72" w:rsidRDefault="003C349A" w:rsidP="003C349A">
      <w:pPr>
        <w:pStyle w:val="Heading1"/>
      </w:pPr>
      <w:r w:rsidRPr="00386F72">
        <w:lastRenderedPageBreak/>
        <w:t>3</w:t>
      </w:r>
      <w:r w:rsidR="003568B9" w:rsidRPr="00386F72">
        <w:t>4</w:t>
      </w:r>
      <w:r w:rsidRPr="00386F72">
        <w:tab/>
        <w:t>Comptes non vérifiés – Rapport de gestion financière pour 2025 (</w:t>
      </w:r>
      <w:hyperlink r:id="rId140" w:history="1">
        <w:r w:rsidRPr="00386F72">
          <w:rPr>
            <w:rStyle w:val="Hyperlink"/>
            <w:rFonts w:eastAsia="Times New Roman" w:cs="Times New Roman"/>
            <w:szCs w:val="20"/>
          </w:rPr>
          <w:t>Document C26/36</w:t>
        </w:r>
      </w:hyperlink>
      <w:r w:rsidRPr="00386F72">
        <w:t>)</w:t>
      </w:r>
    </w:p>
    <w:p w14:paraId="165D3856" w14:textId="4B8143F6" w:rsidR="003C349A" w:rsidRPr="00386F72" w:rsidRDefault="003C349A" w:rsidP="002142D1">
      <w:pPr>
        <w:keepLines/>
      </w:pPr>
      <w:r w:rsidRPr="00386F72">
        <w:t>3</w:t>
      </w:r>
      <w:r w:rsidR="003568B9" w:rsidRPr="00386F72">
        <w:t>4</w:t>
      </w:r>
      <w:r w:rsidRPr="00386F72">
        <w:t>.1</w:t>
      </w:r>
      <w:r w:rsidRPr="00386F72">
        <w:tab/>
        <w:t>La Secrétaire générale, expliquant que le Vérificateur extérieur des comptes ne pouvait pas assister à la session de 2026 du Conseil, a affirmé que les résultats financiers de l'exercice 2025 témoignaient d'une très bonne gestion des ressources des États Membres, car un excédent budgétaire avait été enregistré et les normes IPSAS avaient été pleinement respectées. Des progrès considérables avaient également été accomplis concernant la mise en œuvre des recommandations du Vérificateur extérieur des comptes, renforçant ainsi le fonctionnement et les structures de gouvernance de l'Union. Les bases financières solides de l'UIT lui permettaient de s'acquitter de son mandat, qui consistait notamment à réduire la fracture numérique, à exploiter l'IA de manière responsable et à appuyer la transformation numérique durable dans le monde entier.</w:t>
      </w:r>
    </w:p>
    <w:p w14:paraId="1146F6AA" w14:textId="1587853C" w:rsidR="003C349A" w:rsidRPr="00386F72" w:rsidRDefault="003C349A" w:rsidP="003C349A">
      <w:r w:rsidRPr="00386F72">
        <w:t>3</w:t>
      </w:r>
      <w:r w:rsidR="003568B9" w:rsidRPr="00386F72">
        <w:t>4</w:t>
      </w:r>
      <w:r w:rsidRPr="00386F72">
        <w:t>.2</w:t>
      </w:r>
      <w:r w:rsidRPr="00386F72">
        <w:tab/>
        <w:t>Le Chef du Département FRMD a présenté dans les grandes lignes le Document C26/36, qui contient le Rapport de gestion financière et les États financiers pour l'exercice 2025 (comptes non vérifiés), soumis conformément à l'Article 29 du Règlement financier et des Règles financières de l'Union. L'exercice 2025 avait notamment été marqué par: une augmentation de 11,7 millions CHF du niveau global total des produits, causée pour l'essentiel par l'augmentation des contributions extrabudgétaires, la hausse des ventes de publications et les autres produits, notamment grâce à l'ajustement positif de l'évaluation actuarielle lié aux coûts de rapatriement des fonctionnaires; une diminution</w:t>
      </w:r>
      <w:r w:rsidR="004E4580">
        <w:t xml:space="preserve"> </w:t>
      </w:r>
      <w:r w:rsidRPr="00386F72">
        <w:t>de 20,9 millions CHF des charges, due principalement à la dépréciation du projet de nouveau bâtiment; une diminution des produits financiers/charges financières, surtout en raison de pertes de change; et une réduction de 56,4 millions CHF du passif, liée à la diminution du passif de l'ASHI.</w:t>
      </w:r>
    </w:p>
    <w:p w14:paraId="6A718CCE" w14:textId="772A2CD5" w:rsidR="003C349A" w:rsidRPr="00386F72" w:rsidRDefault="003C349A" w:rsidP="003C349A">
      <w:r w:rsidRPr="00386F72">
        <w:t>3</w:t>
      </w:r>
      <w:r w:rsidR="003568B9" w:rsidRPr="00386F72">
        <w:t>4</w:t>
      </w:r>
      <w:r w:rsidRPr="00386F72">
        <w:t>.3</w:t>
      </w:r>
      <w:r w:rsidRPr="00386F72">
        <w:tab/>
        <w:t>En réponse à des questions et des observations, l'orateur a dit que les normes IPSAS exigeaient l'établissement de rapports financiers annuels selon la méthode de la comptabilité d'exercice, alors que l'Union était dotée d'un budget biennal axé sur les résultats, présenté selon la méthode de la comptabilité de caisse modifiée. Le document comprenait des informations sur les différences qui en résultent entre les montants inscrits au budget et les montants effectifs. En résumé, la méthode de la comptabilité de caisse modifiée utilisée par l'UIT faisait apparaître un excédent budgétaire de 10,2 millions CHF; toutefois, selon la méthode IPSAS, l'état de la performance financière révélait un déficit de 9,9 millions CHF, qui tenait essentiellement à des postes autres que ceux de trésorerie ne figurant pas dans le budget de l'UIT, tels que les charges liées à l'ASHI, les pertes de change et l'amortissement des actifs.</w:t>
      </w:r>
    </w:p>
    <w:p w14:paraId="0DF0DBC1" w14:textId="77777777" w:rsidR="002142D1" w:rsidRDefault="003C349A" w:rsidP="003C349A">
      <w:r w:rsidRPr="00386F72">
        <w:t>3</w:t>
      </w:r>
      <w:r w:rsidR="003568B9" w:rsidRPr="00386F72">
        <w:t>4</w:t>
      </w:r>
      <w:r w:rsidRPr="00386F72">
        <w:t>.4</w:t>
      </w:r>
      <w:r w:rsidRPr="00386F72">
        <w:tab/>
        <w:t xml:space="preserve">S'agissant des comptes non vérifiés, l'intervenant a expliqué que, conformément au Règlement financier et aux Règles financières de l'Union, les États financiers étaient soumis au Vérificateur extérieur des comptes avant le 31 mars suivant la fin de l'année à laquelle ils se rapportaient. Étant donné que, les années où les conférences de plénipotentiaires avaient lieu, la session du Conseil était organisée six mois avant l'ouverture de la conférence, soit généralement en mars ou en avril, il était impossible pour le Vérificateur extérieur des comptes de publier son rapport sur les comptes vérifiés dans ce délai. Le rapport sur les comptes vérifiés serait publié à la fin de juin et présenté à la dernière séance plénière de la </w:t>
      </w:r>
      <w:r w:rsidR="002142D1">
        <w:br w:type="page"/>
      </w:r>
    </w:p>
    <w:p w14:paraId="2133ABC1" w14:textId="775834DC" w:rsidR="003C349A" w:rsidRPr="00386F72" w:rsidRDefault="003C349A" w:rsidP="003C349A">
      <w:r w:rsidRPr="00386F72">
        <w:lastRenderedPageBreak/>
        <w:t>session de 2026 du Conseil, juste avant la PP-26. Si on le souhaitait, le rapport sur les comptes vérifiés pourrait être examiné lors de la séance d'information sur le projet de plan financier pour la période 2028-2031 qui se tiendrait entre les sessions.</w:t>
      </w:r>
    </w:p>
    <w:p w14:paraId="5650DAB0" w14:textId="3842D7A6" w:rsidR="003C349A" w:rsidRPr="00386F72" w:rsidRDefault="003C349A" w:rsidP="003C349A">
      <w:r w:rsidRPr="00386F72">
        <w:t>3</w:t>
      </w:r>
      <w:r w:rsidR="003568B9" w:rsidRPr="00386F72">
        <w:t>4</w:t>
      </w:r>
      <w:r w:rsidRPr="00386F72">
        <w:t>.5</w:t>
      </w:r>
      <w:r w:rsidRPr="00386F72">
        <w:tab/>
        <w:t>L'augmentation des dépenses de personnel était due à plusieurs facteurs, notamment l'ajustement du barème des traitements de la catégorie des services généraux et des catégories professionnelle et supérieure approuvé après l'adoption, en 2023, du budget pour 2025; l'augmentation périodique des cotisations au régime de retraite; et l'augmentation des charges nettes liées aux services au titre de l'ASHI. L'augmentation des coûts des services contractuels s'expliquait par la nécessité de faire appel à des experts pour mettre en œuvre des projets qui ne pouvaient être exécutés en interne. L'orateur a décrit les coûts de la rubrique des frais de mission, qui comprennent les vols et les indemnités journalières de subsistance. Des informations à ce sujet, ventilées par Secteur, figuraient dans les États financiers et dans les notes y afférentes. Les frais de mission liés à la participation à des conférences de l'UIT tenues en dehors de Genève étaient principalement pris en charge par les pays hôtes.</w:t>
      </w:r>
    </w:p>
    <w:p w14:paraId="76E26807" w14:textId="7F622091" w:rsidR="003C349A" w:rsidRPr="00386F72" w:rsidRDefault="003C349A" w:rsidP="003C349A">
      <w:r w:rsidRPr="00386F72">
        <w:t>3</w:t>
      </w:r>
      <w:r w:rsidR="003568B9" w:rsidRPr="00386F72">
        <w:t>4</w:t>
      </w:r>
      <w:r w:rsidRPr="00386F72">
        <w:t>.6</w:t>
      </w:r>
      <w:r w:rsidRPr="00386F72">
        <w:tab/>
        <w:t>En ce qui concerne les pertes de change, si le franc suisse était la monnaie fonctionnelle de l'Union et celle utilisée pour la présentation de l'information financière, les taux d'intérêt de cette monnaie étaient très faibles. C'est pourquoi les placements à court terme étaient effectués essentiellement en dollars des États-Unis et en euros. Si cette approche s'était révélée avantageuse en 2024, les taux d'intérêt avaient baissé en 2025. De même, les montants des projets libellés dans d'autres monnaies devaient être convertis en francs suisses pour des raisons comptables, ce qui entraînait des différences d'évaluation. Il était prévu que tous les projets soient gérés en francs suisses à des fins de simplification.</w:t>
      </w:r>
    </w:p>
    <w:p w14:paraId="66BDC96E" w14:textId="7441396A" w:rsidR="003C349A" w:rsidRPr="00386F72" w:rsidRDefault="003C349A" w:rsidP="003C349A">
      <w:r w:rsidRPr="00386F72">
        <w:t>3</w:t>
      </w:r>
      <w:r w:rsidR="003568B9" w:rsidRPr="00386F72">
        <w:t>4</w:t>
      </w:r>
      <w:r w:rsidRPr="00386F72">
        <w:t>.7</w:t>
      </w:r>
      <w:r w:rsidRPr="00386F72">
        <w:tab/>
        <w:t>Les conseillers ont accueilli favorablement le rapport et ont salué les efforts déployés par l'Union pour améliorer sa situation financière, mettant l'accent en particulier sur la réduction du déficit, l'augmentation des produits et l'excédent budgétaire dégagé. Certains conseillers ont fait part de leur préoccupation quant aux pertes causées par les fluctuations des taux de change. Un conseiller a insisté sur la nécessité de prendre des mesures pour préserver la stabilité financière de l'Union face à la volatilité à venir des marchés financiers et pour enrayer la tendance à la hausse des dépenses de personnel. Un autre conseiller, faisant observer que les passifs à long terme de l'Union étaient supérieurs à ses actifs, a préconisé des efforts supplémentaires en matière de rationalisation et de gestion des risques. Les futurs rapports devraient inclure des informations à cet égard, ainsi que des données ventilées sur les frais de mission et sur les charges associées aux dispositions contractuelles. Ce même conseiller a en outre demandé des informations sur les scénarios spécifiques dans lesquels les Règles 40 à 44 des normes IPSAS s'appliqueraient et les incidences financières que cela pourrait avoir.</w:t>
      </w:r>
    </w:p>
    <w:p w14:paraId="19E56897" w14:textId="30581714" w:rsidR="003C349A" w:rsidRPr="00386F72" w:rsidRDefault="003C349A" w:rsidP="003C349A">
      <w:r w:rsidRPr="00386F72">
        <w:t>3</w:t>
      </w:r>
      <w:r w:rsidR="003568B9" w:rsidRPr="00386F72">
        <w:t>4</w:t>
      </w:r>
      <w:r w:rsidRPr="00386F72">
        <w:t>.8</w:t>
      </w:r>
      <w:r w:rsidRPr="00386F72">
        <w:tab/>
        <w:t>Un conseiller, constatant que l'avoir du Fonds de réserve dépassait largement le seuil établi par la Décision 5 (Rév. Bucarest, 2022) de la Conférence de plénipotentiaires, a souligné l'importance d'accroître les fonds consacrés au développement durable, compte tenu des vastes besoins liés à la transformation numérique à l'échelle mondiale, en particulier pour les pays en développement et les PMA. Il était donc nécessaire de continuer de discuter des mécanismes de financement ad hoc. Une conseillère a appelé à la prudence dans l'affectation des économies réalisées dans le cadre de l'exécution du budget pour 2025, compte tenu du déficit accumulé. Une autre conseillère a souligné la nécessité de poursuivre les efforts déployés pour que les créances soient recouvrées en temps voulu.</w:t>
      </w:r>
    </w:p>
    <w:p w14:paraId="10EA245A" w14:textId="6CDB1345" w:rsidR="003C349A" w:rsidRPr="00386F72" w:rsidRDefault="003C349A" w:rsidP="003C349A">
      <w:pPr>
        <w:spacing w:after="120"/>
      </w:pPr>
      <w:r w:rsidRPr="00386F72">
        <w:lastRenderedPageBreak/>
        <w:t>3</w:t>
      </w:r>
      <w:r w:rsidR="003568B9" w:rsidRPr="00386F72">
        <w:t>4</w:t>
      </w:r>
      <w:r w:rsidRPr="00386F72">
        <w:t>.9</w:t>
      </w:r>
      <w:r w:rsidRPr="00386F72">
        <w:tab/>
        <w:t xml:space="preserve">La </w:t>
      </w:r>
      <w:r w:rsidR="00F6427A" w:rsidRPr="00386F72">
        <w:t>C</w:t>
      </w:r>
      <w:r w:rsidRPr="00386F72">
        <w:t xml:space="preserve">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3C349A" w:rsidRPr="00386F72" w14:paraId="47D6B6F5" w14:textId="77777777" w:rsidTr="0077682F">
        <w:tc>
          <w:tcPr>
            <w:tcW w:w="9208" w:type="dxa"/>
          </w:tcPr>
          <w:p w14:paraId="01814CB8" w14:textId="47C1BA10" w:rsidR="003C349A" w:rsidRPr="00386F72" w:rsidRDefault="003C349A" w:rsidP="0077682F">
            <w:pPr>
              <w:tabs>
                <w:tab w:val="clear" w:pos="567"/>
                <w:tab w:val="left" w:pos="733"/>
              </w:tabs>
              <w:ind w:left="33"/>
            </w:pPr>
            <w:r w:rsidRPr="00386F72">
              <w:t>3</w:t>
            </w:r>
            <w:r w:rsidR="003568B9" w:rsidRPr="00386F72">
              <w:t>4</w:t>
            </w:r>
            <w:r w:rsidRPr="00386F72">
              <w:t>.10</w:t>
            </w:r>
            <w:r w:rsidRPr="00386F72">
              <w:tab/>
              <w:t xml:space="preserve">La </w:t>
            </w:r>
            <w:r w:rsidR="00F6427A" w:rsidRPr="00386F72">
              <w:t>C</w:t>
            </w:r>
            <w:r w:rsidRPr="00386F72">
              <w:t>ommission recommande au Conseil:</w:t>
            </w:r>
          </w:p>
          <w:p w14:paraId="70EEB8B5" w14:textId="07546442" w:rsidR="003C349A" w:rsidRDefault="003C349A" w:rsidP="003568B9">
            <w:pPr>
              <w:pStyle w:val="enumlev1"/>
              <w:tabs>
                <w:tab w:val="clear" w:pos="567"/>
              </w:tabs>
              <w:spacing w:after="120"/>
              <w:ind w:left="719" w:hanging="678"/>
            </w:pPr>
            <w:r w:rsidRPr="00386F72">
              <w:t>•</w:t>
            </w:r>
            <w:r w:rsidRPr="00386F72">
              <w:tab/>
              <w:t xml:space="preserve">de prendre note du Rapport de gestion financière et des États financiers portant sur les comptes non vérifiés qui figure dans le </w:t>
            </w:r>
            <w:hyperlink r:id="rId141" w:history="1">
              <w:r w:rsidRPr="00386F72">
                <w:rPr>
                  <w:rStyle w:val="Hyperlink"/>
                  <w:rFonts w:eastAsia="Times New Roman" w:cs="Times New Roman"/>
                  <w:szCs w:val="20"/>
                </w:rPr>
                <w:t>Document C26/36</w:t>
              </w:r>
            </w:hyperlink>
            <w:r w:rsidR="002142D1">
              <w:t xml:space="preserve"> </w:t>
            </w:r>
            <w:r w:rsidR="002142D1" w:rsidRPr="002142D1">
              <w:t xml:space="preserve">et du fait que le </w:t>
            </w:r>
            <w:r w:rsidR="00AB78E5">
              <w:t>R</w:t>
            </w:r>
            <w:r w:rsidR="002142D1" w:rsidRPr="002142D1">
              <w:t xml:space="preserve">apport de gestion financière portant sur les comptes vérifiés et le </w:t>
            </w:r>
            <w:r w:rsidR="00AB78E5">
              <w:t>R</w:t>
            </w:r>
            <w:r w:rsidR="002142D1" w:rsidRPr="002142D1">
              <w:t>apport du Vérificateur extérieur des comptes seront disponibles d'ici à la fin du mois de juin</w:t>
            </w:r>
            <w:r w:rsidR="002142D1">
              <w:t> </w:t>
            </w:r>
            <w:r w:rsidR="002142D1" w:rsidRPr="002142D1">
              <w:t>2026; et</w:t>
            </w:r>
          </w:p>
          <w:p w14:paraId="5868CEE9" w14:textId="4578B76E" w:rsidR="002142D1" w:rsidRPr="00386F72" w:rsidRDefault="002142D1" w:rsidP="003568B9">
            <w:pPr>
              <w:pStyle w:val="enumlev1"/>
              <w:tabs>
                <w:tab w:val="clear" w:pos="567"/>
              </w:tabs>
              <w:spacing w:after="120"/>
              <w:ind w:left="719" w:hanging="678"/>
            </w:pPr>
            <w:r w:rsidRPr="002142D1">
              <w:t>•</w:t>
            </w:r>
            <w:r>
              <w:tab/>
            </w:r>
            <w:r w:rsidRPr="002142D1">
              <w:t>de charger le Secrétariat d'organiser une séance d'information avec le Vérificateur extérieur des comptes afin d'examiner le rapport sur les comptes vérifiés, séance qui pourrait être organisée en même temps que la séance d'information sur le projet de Plan financier pour la période 2028-2031.</w:t>
            </w:r>
          </w:p>
        </w:tc>
      </w:tr>
    </w:tbl>
    <w:p w14:paraId="734C36A8" w14:textId="7A3D1387" w:rsidR="00F961B8" w:rsidRPr="00386F72" w:rsidRDefault="00F961B8" w:rsidP="00F961B8">
      <w:pPr>
        <w:pStyle w:val="Heading1"/>
      </w:pPr>
      <w:r w:rsidRPr="00386F72">
        <w:t>3</w:t>
      </w:r>
      <w:r w:rsidR="003568B9" w:rsidRPr="00386F72">
        <w:t>5</w:t>
      </w:r>
      <w:r w:rsidRPr="00386F72">
        <w:tab/>
        <w:t>Rapports du CCI sur les questions relatives à l'ensemble du système des Nations Unies pour 2025 et recommandations à l'intention des organes délibérants (</w:t>
      </w:r>
      <w:hyperlink r:id="rId142" w:history="1">
        <w:r w:rsidRPr="00386F72">
          <w:rPr>
            <w:rStyle w:val="Hyperlink"/>
            <w:rFonts w:eastAsia="Times New Roman" w:cs="Times New Roman"/>
            <w:szCs w:val="20"/>
          </w:rPr>
          <w:t>Document C26/57</w:t>
        </w:r>
      </w:hyperlink>
      <w:r w:rsidRPr="00386F72">
        <w:t>)</w:t>
      </w:r>
      <w:hyperlink r:id="rId143" w:history="1"/>
    </w:p>
    <w:p w14:paraId="4DD9B907" w14:textId="492B85E5" w:rsidR="00F961B8" w:rsidRPr="00386F72" w:rsidRDefault="00F961B8" w:rsidP="00F961B8">
      <w:r w:rsidRPr="00386F72">
        <w:t>3</w:t>
      </w:r>
      <w:r w:rsidR="003568B9" w:rsidRPr="00386F72">
        <w:t>5</w:t>
      </w:r>
      <w:r w:rsidRPr="00386F72">
        <w:t>.1</w:t>
      </w:r>
      <w:r w:rsidRPr="00386F72">
        <w:tab/>
        <w:t>Conformément à la recommandation du Conseil à sa session de 2025, la Secrétaire</w:t>
      </w:r>
      <w:r w:rsidR="002142D1">
        <w:t> </w:t>
      </w:r>
      <w:r w:rsidRPr="00386F72">
        <w:t>générale a souhaité la bienvenue à la représentante du CCI en sa qualité d'observatrice et à titre consultatif, conformément aux modalités proposées par le GTC-FHR. Elle a fait observer que c'était la première fois que le CCI participait à l'examen des rapports concernant l'ensemble du système des Nations Unies. Elle a indiqué que le Secrétariat avait entrepris des efforts globaux à l'échelle de l'organisation pour renforcer la gestion, le suivi et la communication de rapports sur les recommandations du CCI, avec un taux d'acceptation de 82% et un taux de mise en œuvre global de 87%, et qu'il était pleinement déterminé à poursuivre dans cette voie.</w:t>
      </w:r>
    </w:p>
    <w:p w14:paraId="349C0DE5" w14:textId="1FD34C6B" w:rsidR="00F961B8" w:rsidRPr="00386F72" w:rsidRDefault="00F961B8" w:rsidP="00F961B8">
      <w:r w:rsidRPr="00386F72">
        <w:t>3</w:t>
      </w:r>
      <w:r w:rsidR="003568B9" w:rsidRPr="00386F72">
        <w:t>5</w:t>
      </w:r>
      <w:r w:rsidRPr="00386F72">
        <w:t>.2</w:t>
      </w:r>
      <w:r w:rsidRPr="00386F72">
        <w:tab/>
        <w:t>Un représentant du Secrétariat général a présenté le Document C26/57, qui rend compte des rapports du CCI issus du programme de travail sur les questions relatives à l'ensemble du système des Nations Unies pour 2025 et contient l'ensemble des cinq recommandations formulées à l'intention des organes directeurs de l'UIT, à savoir les Recommandations 1 et 3, relatives à l'examen des politiques et pratiques servant à l'établissement des taux de l'appui aux programmes dans les entités des Nations Unies (</w:t>
      </w:r>
      <w:hyperlink r:id="rId144" w:history="1">
        <w:r w:rsidRPr="00386F72">
          <w:rPr>
            <w:rStyle w:val="Hyperlink"/>
            <w:rFonts w:eastAsia="Times New Roman" w:cs="Times New Roman"/>
            <w:szCs w:val="20"/>
          </w:rPr>
          <w:t>Document JIU/REP/2025/4</w:t>
        </w:r>
      </w:hyperlink>
      <w:r w:rsidRPr="00386F72">
        <w:t>); la Recommandation 7, relative à l'examen des évaluations des entités des Nations Unies conduites par les donateurs, ainsi que des autres demandes faites par eux à des fins de contrôle dans le cadre d'accords de financement, à la lumière du principe de l'audit unique des Nations Unies (</w:t>
      </w:r>
      <w:hyperlink r:id="rId145" w:history="1">
        <w:r w:rsidRPr="00386F72">
          <w:rPr>
            <w:rStyle w:val="Hyperlink"/>
            <w:rFonts w:eastAsia="Times New Roman" w:cs="Times New Roman"/>
            <w:szCs w:val="20"/>
          </w:rPr>
          <w:t>Document JIU/REP/2025/3</w:t>
        </w:r>
      </w:hyperlink>
      <w:r w:rsidRPr="00386F72">
        <w:t>); et les Recommandations 3 et 13, relatives à l'examen des politiques et des pratiques visant à prévenir et à combattre l'exploitation et les atteintes sexuelles dans les entités des Nations Unies (</w:t>
      </w:r>
      <w:hyperlink r:id="rId146" w:history="1">
        <w:r w:rsidRPr="00386F72">
          <w:rPr>
            <w:rStyle w:val="Hyperlink"/>
            <w:rFonts w:eastAsia="Times New Roman" w:cs="Times New Roman"/>
            <w:szCs w:val="20"/>
          </w:rPr>
          <w:t>Document JIU/REP/2025/2</w:t>
        </w:r>
      </w:hyperlink>
      <w:r w:rsidRPr="00386F72">
        <w:t>). Le Secrétariat a recommandé que ces cinq recommandations soient toutes acceptées.</w:t>
      </w:r>
      <w:hyperlink r:id="rId147" w:history="1"/>
      <w:hyperlink r:id="rId148" w:history="1"/>
      <w:hyperlink r:id="rId149" w:history="1"/>
    </w:p>
    <w:p w14:paraId="52717DA4" w14:textId="77777777" w:rsidR="002142D1" w:rsidRDefault="00F961B8" w:rsidP="00F961B8">
      <w:r w:rsidRPr="00386F72">
        <w:t>3</w:t>
      </w:r>
      <w:r w:rsidR="003568B9" w:rsidRPr="00386F72">
        <w:t>5</w:t>
      </w:r>
      <w:r w:rsidRPr="00386F72">
        <w:t>.3</w:t>
      </w:r>
      <w:r w:rsidRPr="00386F72">
        <w:tab/>
        <w:t xml:space="preserve">En réponse à une question formulée par un conseiller, le représentant du Secrétariat général a précisé que les réserves historiques au statut du CCI, telles qu'énoncées dans la Résolution 38 (Nairobi, 1982) de la Conférence de plénipotentiaires, visaient à </w:t>
      </w:r>
      <w:r w:rsidR="002142D1">
        <w:br w:type="page"/>
      </w:r>
    </w:p>
    <w:p w14:paraId="61CDE78D" w14:textId="0C7A7F47" w:rsidR="00F961B8" w:rsidRPr="00386F72" w:rsidRDefault="00F961B8" w:rsidP="00F961B8">
      <w:r w:rsidRPr="00386F72">
        <w:lastRenderedPageBreak/>
        <w:t>protéger le mandat de l'UIT. Le réexamen de ces réserves est du ressort de la Conférence de plénipotentiaires. Il a ajouté que toute modification relèverait d'une politique plus générale pour les États Membres et que les délégations voudraient peut-être examiner si une telle modification s'imposait, étant donné que le système actuel fonctionne efficacement.</w:t>
      </w:r>
    </w:p>
    <w:p w14:paraId="3338F280" w14:textId="20178794" w:rsidR="00F961B8" w:rsidRPr="00386F72" w:rsidRDefault="00F961B8" w:rsidP="00F961B8">
      <w:r w:rsidRPr="00386F72">
        <w:t>3</w:t>
      </w:r>
      <w:r w:rsidR="003568B9" w:rsidRPr="00386F72">
        <w:t>5</w:t>
      </w:r>
      <w:r w:rsidRPr="00386F72">
        <w:t>.4</w:t>
      </w:r>
      <w:r w:rsidRPr="00386F72">
        <w:tab/>
        <w:t xml:space="preserve">S'agissant de la Recommandation 3 (JIU/REP/2025/2), </w:t>
      </w:r>
      <w:r w:rsidR="00CB663F" w:rsidRPr="00386F72">
        <w:t xml:space="preserve">la </w:t>
      </w:r>
      <w:r w:rsidRPr="00386F72">
        <w:t>Chef du Département HRMD a indiqué qu'une politique de l'UIT relative à la protection contre l'exploitation et les abus sexuels faisait l'objet d'un examen final par le Département HRMD et l'Unité des affaires juridiques. À ce stade, le Secrétariat prévoit de mettre en place des politiques distinctes sur l'exploitation et les abus sexuels et le harcèlement, mais suivra les tendances dans l'ensemble du système des Nations Unies.</w:t>
      </w:r>
    </w:p>
    <w:p w14:paraId="2ABBF005" w14:textId="6EA7D40E" w:rsidR="00F961B8" w:rsidRPr="00386F72" w:rsidRDefault="00F961B8" w:rsidP="00F961B8">
      <w:r w:rsidRPr="00386F72">
        <w:t>3</w:t>
      </w:r>
      <w:r w:rsidR="003568B9" w:rsidRPr="00386F72">
        <w:t>5</w:t>
      </w:r>
      <w:r w:rsidRPr="00386F72">
        <w:t>.5</w:t>
      </w:r>
      <w:r w:rsidRPr="00386F72">
        <w:tab/>
        <w:t>En réponse aux questions d'un conseiller, la représentante du CCI a expliqué que le Corps commun incluait chaque année dans son programme de travail un examen de la gestion et de l'administration d'une organisation du système des Nations Unies. Le choix de l'organisation est fondé sur plusieurs critères: l'organisation a récemment subi ou va bientôt subir une réforme majeure; il existe un risque élevé de mesures de responsabilisation; il y a eu un changement de chef de Secrétariat. L'UIT a fait l'objet d'un tel examen en 2016. Le CCI examinera une demande d'examen de la gestion et de l'administration formulée par le Conseil ou par un autre organe directeur, mais il définira son programme de travail de manière indépendante. Les inspecteurs ne pourront participer aux discussions sur les résultats d'un tel examen que tant qu'ils resteront sous contrat avec le CCI.</w:t>
      </w:r>
    </w:p>
    <w:p w14:paraId="06F3A94A" w14:textId="1FFE4F60" w:rsidR="00F961B8" w:rsidRPr="00386F72" w:rsidRDefault="00F961B8" w:rsidP="00F961B8">
      <w:r w:rsidRPr="00386F72">
        <w:t>3</w:t>
      </w:r>
      <w:r w:rsidR="003568B9" w:rsidRPr="00386F72">
        <w:t>5</w:t>
      </w:r>
      <w:r w:rsidRPr="00386F72">
        <w:t>.6</w:t>
      </w:r>
      <w:r w:rsidRPr="00386F72">
        <w:tab/>
        <w:t>Plusieurs conseillers se sont félicités de la participation du CCI aux discussions et ont déclaré que les recommandations du CCI devaient être acceptées, un conseiller notant que plusieurs recommandations ont déjà été mises en œuvre. Certains conseillers ont, en particulier, accueilli favorablement la recommandation relative à une politique distincte sur le recouvrement des coûts, mais ont demandé des éclaircissements sur la manière dont cette politique contribuera à la Résolution 91 (Rév. Guadalajara, 2010) de la Conférence de plénipotentiaires, ou s'appuiera sur cette résolution. Ils ont souligné qu'une politique cohérente en matière de recouvrement des coûts et d'établissement des coûts des projets/programmes était essentielle pour assurer la viabilité financière de l'Union et garantir une affectation efficace des ressources et l'alignement des activités sur le mandat fondamental de l'Union.</w:t>
      </w:r>
    </w:p>
    <w:p w14:paraId="4CB23B92" w14:textId="4E3EF94D" w:rsidR="00F961B8" w:rsidRPr="00386F72" w:rsidRDefault="00F961B8" w:rsidP="00F961B8">
      <w:r w:rsidRPr="00386F72">
        <w:t>3</w:t>
      </w:r>
      <w:r w:rsidR="003568B9" w:rsidRPr="00386F72">
        <w:t>5</w:t>
      </w:r>
      <w:r w:rsidRPr="00386F72">
        <w:t>.7</w:t>
      </w:r>
      <w:r w:rsidRPr="00386F72">
        <w:tab/>
        <w:t>En réponse aux questions et aux observations formulées par des conseillers, le Chef du Département FRMD a indiqué que la Recommandation 1 (JIU/REP/2025/4) visait à parvenir à une politique commune largement harmonisée dans l'ensemble du système des Nations Unies sur le recouvrement des coûts, tout en tenant compte du modèle économique propre à chaque organisation. La Résolution 91 (Rév. Guadalajara, 2010) de la Conférence de plénipotentiaires définit la politique de l'UIT en la matière et doit manifestement être révisée. Le Secrétariat attendra les résultats des discussions de la PP-26 à cet égard avant de soumettre des propositions concernant la Recommandation 1 (JIU/REP/2025/4).</w:t>
      </w:r>
    </w:p>
    <w:p w14:paraId="6CA43903" w14:textId="449C0545" w:rsidR="00F961B8" w:rsidRPr="00386F72" w:rsidRDefault="00F961B8" w:rsidP="002142D1">
      <w:pPr>
        <w:keepNext/>
        <w:spacing w:after="120"/>
      </w:pPr>
      <w:r w:rsidRPr="00386F72">
        <w:lastRenderedPageBreak/>
        <w:t>3</w:t>
      </w:r>
      <w:r w:rsidR="003568B9" w:rsidRPr="00386F72">
        <w:t>5</w:t>
      </w:r>
      <w:r w:rsidRPr="00386F72">
        <w:t>.8</w:t>
      </w:r>
      <w:r w:rsidRPr="00386F72">
        <w:tab/>
        <w:t xml:space="preserve">La </w:t>
      </w:r>
      <w:r w:rsidR="00F6427A" w:rsidRPr="00386F72">
        <w:t>C</w:t>
      </w:r>
      <w:r w:rsidRPr="00386F72">
        <w:t xml:space="preserve">ommission </w:t>
      </w:r>
      <w:r w:rsidRPr="00386F72">
        <w:rPr>
          <w:b/>
          <w:bCs/>
        </w:rPr>
        <w:t>est</w:t>
      </w:r>
      <w:r w:rsidRPr="00386F72">
        <w:t xml:space="preserve"> </w:t>
      </w:r>
      <w:r w:rsidRPr="00386F72">
        <w:rPr>
          <w:b/>
          <w:bCs/>
        </w:rPr>
        <w:t xml:space="preserve">convenue </w:t>
      </w:r>
      <w:r w:rsidRPr="00386F72">
        <w:t>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F961B8" w:rsidRPr="00386F72" w14:paraId="5EC0D6DF" w14:textId="77777777" w:rsidTr="00306294">
        <w:tc>
          <w:tcPr>
            <w:tcW w:w="9208" w:type="dxa"/>
          </w:tcPr>
          <w:p w14:paraId="732C1449" w14:textId="2EB31E85" w:rsidR="00F961B8" w:rsidRPr="00386F72" w:rsidRDefault="00F961B8" w:rsidP="002142D1">
            <w:pPr>
              <w:keepNext/>
              <w:tabs>
                <w:tab w:val="clear" w:pos="567"/>
                <w:tab w:val="left" w:pos="608"/>
              </w:tabs>
              <w:ind w:left="607" w:hanging="567"/>
            </w:pPr>
            <w:r w:rsidRPr="00386F72">
              <w:t>3</w:t>
            </w:r>
            <w:r w:rsidR="003568B9" w:rsidRPr="00386F72">
              <w:t>5</w:t>
            </w:r>
            <w:r w:rsidRPr="00386F72">
              <w:t>.9</w:t>
            </w:r>
            <w:r w:rsidRPr="00386F72">
              <w:tab/>
              <w:t xml:space="preserve">La </w:t>
            </w:r>
            <w:r w:rsidR="00F6427A" w:rsidRPr="00386F72">
              <w:t>C</w:t>
            </w:r>
            <w:r w:rsidRPr="00386F72">
              <w:t>ommission recommande au Conseil:</w:t>
            </w:r>
          </w:p>
          <w:p w14:paraId="7D131972" w14:textId="77777777" w:rsidR="00F961B8" w:rsidRPr="00386F72" w:rsidRDefault="00F961B8" w:rsidP="002142D1">
            <w:pPr>
              <w:pStyle w:val="enumlev1"/>
              <w:keepNext/>
              <w:tabs>
                <w:tab w:val="clear" w:pos="567"/>
                <w:tab w:val="left" w:pos="608"/>
              </w:tabs>
              <w:ind w:left="607"/>
            </w:pPr>
            <w:r w:rsidRPr="00386F72">
              <w:t>•</w:t>
            </w:r>
            <w:r w:rsidRPr="00386F72">
              <w:tab/>
              <w:t xml:space="preserve">de prendre note du rapport figurant dans le </w:t>
            </w:r>
            <w:hyperlink r:id="rId150" w:history="1">
              <w:r w:rsidRPr="00386F72">
                <w:rPr>
                  <w:rStyle w:val="Hyperlink"/>
                </w:rPr>
                <w:t>Document C26/57</w:t>
              </w:r>
            </w:hyperlink>
            <w:r w:rsidRPr="00386F72">
              <w:t>; et</w:t>
            </w:r>
          </w:p>
          <w:p w14:paraId="60C41E07" w14:textId="77777777" w:rsidR="00F961B8" w:rsidRPr="00386F72" w:rsidRDefault="00F961B8" w:rsidP="00306294">
            <w:pPr>
              <w:pStyle w:val="enumlev1"/>
              <w:tabs>
                <w:tab w:val="clear" w:pos="567"/>
                <w:tab w:val="left" w:pos="608"/>
              </w:tabs>
              <w:spacing w:after="120"/>
              <w:ind w:left="608"/>
            </w:pPr>
            <w:r w:rsidRPr="00386F72">
              <w:t>•</w:t>
            </w:r>
            <w:r w:rsidRPr="00386F72">
              <w:tab/>
              <w:t>de décider d'accepter les cinq recommandations du CCI figurant dans le Document C26/57.</w:t>
            </w:r>
          </w:p>
        </w:tc>
      </w:tr>
    </w:tbl>
    <w:p w14:paraId="01655242" w14:textId="1D8B052C" w:rsidR="00B60035" w:rsidRPr="00386F72" w:rsidRDefault="00B60035" w:rsidP="00B60035">
      <w:pPr>
        <w:pStyle w:val="Heading1"/>
      </w:pPr>
      <w:r w:rsidRPr="00386F72">
        <w:rPr>
          <w:bCs/>
        </w:rPr>
        <w:t>3</w:t>
      </w:r>
      <w:r w:rsidR="003568B9" w:rsidRPr="00386F72">
        <w:rPr>
          <w:bCs/>
        </w:rPr>
        <w:t>6</w:t>
      </w:r>
      <w:r w:rsidRPr="00386F72">
        <w:tab/>
      </w:r>
      <w:r w:rsidRPr="00386F72">
        <w:rPr>
          <w:bCs/>
        </w:rPr>
        <w:t>Renforcement de la gestion des risques et du système de contrôle interne (</w:t>
      </w:r>
      <w:hyperlink r:id="rId151" w:history="1">
        <w:r w:rsidRPr="00386F72">
          <w:rPr>
            <w:rStyle w:val="Hyperlink"/>
            <w:rFonts w:eastAsia="Times New Roman" w:cs="Times New Roman"/>
            <w:bCs/>
            <w:szCs w:val="20"/>
          </w:rPr>
          <w:t>Document C26/49</w:t>
        </w:r>
      </w:hyperlink>
      <w:r w:rsidRPr="00386F72">
        <w:rPr>
          <w:bCs/>
        </w:rPr>
        <w:t>)</w:t>
      </w:r>
      <w:hyperlink r:id="rId152" w:history="1"/>
    </w:p>
    <w:p w14:paraId="27116307" w14:textId="5ED86401" w:rsidR="00B60035" w:rsidRPr="00386F72" w:rsidRDefault="00B60035" w:rsidP="00B60035">
      <w:r w:rsidRPr="00386F72">
        <w:t>3</w:t>
      </w:r>
      <w:r w:rsidR="003568B9" w:rsidRPr="00386F72">
        <w:t>6</w:t>
      </w:r>
      <w:r w:rsidRPr="00386F72">
        <w:t>.1</w:t>
      </w:r>
      <w:r w:rsidRPr="00386F72">
        <w:tab/>
        <w:t>Un représentant du Secrétariat général a présenté le Document C26/49, qui contient un rapport sur les faits nouveaux concernant le renforcement de la gestion des risques et du système de contrôle interne</w:t>
      </w:r>
      <w:r w:rsidR="00FB4CEC" w:rsidRPr="00386F72">
        <w:t>. Il y est question d</w:t>
      </w:r>
      <w:r w:rsidR="003C349A" w:rsidRPr="00386F72">
        <w:t>'</w:t>
      </w:r>
      <w:r w:rsidR="00FB4CEC" w:rsidRPr="00386F72">
        <w:t>un certain nombre d</w:t>
      </w:r>
      <w:r w:rsidR="003C349A" w:rsidRPr="00386F72">
        <w:t>'</w:t>
      </w:r>
      <w:r w:rsidR="00FB4CEC" w:rsidRPr="00386F72">
        <w:t>initiatives et d</w:t>
      </w:r>
      <w:r w:rsidR="003C349A" w:rsidRPr="00386F72">
        <w:t>'</w:t>
      </w:r>
      <w:r w:rsidR="00FB4CEC" w:rsidRPr="00386F72">
        <w:t>activités récentes</w:t>
      </w:r>
      <w:r w:rsidRPr="00386F72">
        <w:t xml:space="preserve">, y compris la création du Groupe d'action sur la gestion des risques et les contrôles internes, </w:t>
      </w:r>
      <w:r w:rsidR="00FB4CEC" w:rsidRPr="00386F72">
        <w:t>la réalisation d</w:t>
      </w:r>
      <w:r w:rsidR="003C349A" w:rsidRPr="00386F72">
        <w:t>'</w:t>
      </w:r>
      <w:r w:rsidR="00FB4CEC" w:rsidRPr="00386F72">
        <w:t>un examen diagnostique du cadre de gestion des risques de l</w:t>
      </w:r>
      <w:r w:rsidR="003C349A" w:rsidRPr="00386F72">
        <w:t>'</w:t>
      </w:r>
      <w:r w:rsidR="00FB4CEC" w:rsidRPr="00386F72">
        <w:t xml:space="preserve">UIT, </w:t>
      </w:r>
      <w:r w:rsidRPr="00386F72">
        <w:t>la mise à jour du registre des risques institutionnels, la réalisation d'une évaluation indépendante du risque de fraude</w:t>
      </w:r>
      <w:r w:rsidR="00FB4CEC" w:rsidRPr="00386F72">
        <w:t xml:space="preserve"> institutionnelle</w:t>
      </w:r>
      <w:r w:rsidRPr="00386F72">
        <w:t xml:space="preserve">, </w:t>
      </w:r>
      <w:r w:rsidR="00855C7A" w:rsidRPr="00386F72">
        <w:t>les efforts de transformation visant à mieux harmoniser les plans stratégique, financier et opérationnel, ce qui permettrait une meilleure intégration de la gestion des risques dans ces processus de planification</w:t>
      </w:r>
      <w:r w:rsidR="00572D4C" w:rsidRPr="00386F72">
        <w:t>,</w:t>
      </w:r>
      <w:r w:rsidR="00855C7A" w:rsidRPr="00386F72">
        <w:t xml:space="preserve"> </w:t>
      </w:r>
      <w:r w:rsidRPr="00386F72">
        <w:t>la mise en œuvre des recommandations formulées par le précédent Vérificateur extérieur des comptes (recommandations en suspens) et l'élaboration d'un cadre complet pour l'UIT en matière de délégation de pouvoirs, dont l'examen final était en cours. Depuis la publication du rapport</w:t>
      </w:r>
      <w:r w:rsidR="00572D4C" w:rsidRPr="00386F72">
        <w:t xml:space="preserve"> à l</w:t>
      </w:r>
      <w:r w:rsidR="003C349A" w:rsidRPr="00386F72">
        <w:t>'</w:t>
      </w:r>
      <w:r w:rsidR="00572D4C" w:rsidRPr="00386F72">
        <w:t>intention du Conseil début avril 2026</w:t>
      </w:r>
      <w:r w:rsidRPr="00386F72">
        <w:t xml:space="preserve">, le Secrétariat a redoublé d'efforts </w:t>
      </w:r>
      <w:r w:rsidR="00572D4C" w:rsidRPr="00386F72">
        <w:t>et mis en œuvre</w:t>
      </w:r>
      <w:r w:rsidRPr="00386F72">
        <w:t xml:space="preserve"> les recommandations restées en suspens et, dans son rapport à l'actuel Vérificateur extérieur des comptes, recommandera que toutes les recommandations soient closes, sauf quatre. Sur ces quatre dernières, trois concernent la mobilité du personnel et </w:t>
      </w:r>
      <w:r w:rsidR="00572D4C" w:rsidRPr="00386F72">
        <w:t>le Secrétariat suggère qu</w:t>
      </w:r>
      <w:r w:rsidR="003C349A" w:rsidRPr="00386F72">
        <w:t>'</w:t>
      </w:r>
      <w:r w:rsidR="00572D4C" w:rsidRPr="00386F72">
        <w:t xml:space="preserve">elles soient mises à jour et publiées à nouveau pour tenir compte des discussions et des observations des États Membres sur </w:t>
      </w:r>
      <w:r w:rsidRPr="00386F72">
        <w:t>la présence régionale</w:t>
      </w:r>
      <w:r w:rsidR="00E079F9" w:rsidRPr="00386F72">
        <w:t xml:space="preserve"> à la session de 2026 du Conseil</w:t>
      </w:r>
      <w:r w:rsidRPr="00386F72">
        <w:t>. La dernière recommandation en suspens concerne la formation liée à la fonction d'audit</w:t>
      </w:r>
      <w:r w:rsidR="00E079F9" w:rsidRPr="00386F72">
        <w:t>,</w:t>
      </w:r>
      <w:r w:rsidRPr="00386F72">
        <w:t xml:space="preserve"> </w:t>
      </w:r>
      <w:r w:rsidR="00E079F9" w:rsidRPr="00386F72">
        <w:t xml:space="preserve">qui a été </w:t>
      </w:r>
      <w:r w:rsidRPr="00386F72">
        <w:t xml:space="preserve">intégrée dans les recommandations </w:t>
      </w:r>
      <w:r w:rsidR="00E079F9" w:rsidRPr="00386F72">
        <w:t>récemment formulées dans le cadre de l</w:t>
      </w:r>
      <w:r w:rsidR="003C349A" w:rsidRPr="00386F72">
        <w:t>'</w:t>
      </w:r>
      <w:r w:rsidR="00E079F9" w:rsidRPr="00386F72">
        <w:t>assurance qualité externe obligatoire de la fonction d</w:t>
      </w:r>
      <w:r w:rsidR="003C349A" w:rsidRPr="00386F72">
        <w:t>'</w:t>
      </w:r>
      <w:r w:rsidR="00E079F9" w:rsidRPr="00386F72">
        <w:t>audit interne, qui sont plus détaillées et conformes aux nouvelles normes mondiales d</w:t>
      </w:r>
      <w:r w:rsidR="003C349A" w:rsidRPr="00386F72">
        <w:t>'</w:t>
      </w:r>
      <w:r w:rsidR="00E079F9" w:rsidRPr="00386F72">
        <w:t>audit interne.</w:t>
      </w:r>
    </w:p>
    <w:p w14:paraId="5CBF7028" w14:textId="31F2A74A" w:rsidR="00B60035" w:rsidRPr="00386F72" w:rsidRDefault="00B60035" w:rsidP="00B60035">
      <w:r w:rsidRPr="00386F72">
        <w:t>3</w:t>
      </w:r>
      <w:r w:rsidR="003568B9" w:rsidRPr="00386F72">
        <w:t>6</w:t>
      </w:r>
      <w:r w:rsidRPr="00386F72">
        <w:t>.</w:t>
      </w:r>
      <w:r w:rsidR="00E079F9" w:rsidRPr="00386F72">
        <w:t>2</w:t>
      </w:r>
      <w:r w:rsidRPr="00386F72">
        <w:tab/>
        <w:t>Deux conseill</w:t>
      </w:r>
      <w:r w:rsidR="00632E77" w:rsidRPr="00386F72">
        <w:t>è</w:t>
      </w:r>
      <w:r w:rsidRPr="00386F72">
        <w:t>r</w:t>
      </w:r>
      <w:r w:rsidR="00632E77" w:rsidRPr="00386F72">
        <w:t>e</w:t>
      </w:r>
      <w:r w:rsidRPr="00386F72">
        <w:t>s ont demandé que de nouveaux rapports soient élaborés sur la mise en œuvre des recommandations en suspens, soulignant que la clôture d'une recommandation nécessitait une analyse approfondie de la question fondamentale et l'identification des activités, des processus et des règles qui pourraient être mis en place ou modifiés afin d'intégrer un changement institutionnel. Un</w:t>
      </w:r>
      <w:r w:rsidR="00632E77" w:rsidRPr="00386F72">
        <w:t>e conseillère</w:t>
      </w:r>
      <w:r w:rsidRPr="00386F72">
        <w:t xml:space="preserve"> a demandé que des rapports plus détaillés soient élaborés et que des indicateurs soient utilisés pour démontrer que les mesures décrites étaient effectivement mises en œuvre. Un</w:t>
      </w:r>
      <w:r w:rsidR="00632E77" w:rsidRPr="00386F72">
        <w:t>e</w:t>
      </w:r>
      <w:r w:rsidRPr="00386F72">
        <w:t xml:space="preserve"> autre conseill</w:t>
      </w:r>
      <w:r w:rsidR="00632E77" w:rsidRPr="00386F72">
        <w:t>ère</w:t>
      </w:r>
      <w:r w:rsidRPr="00386F72">
        <w:t xml:space="preserve"> s'est dit</w:t>
      </w:r>
      <w:r w:rsidR="00632E77" w:rsidRPr="00386F72">
        <w:t>e</w:t>
      </w:r>
      <w:r w:rsidRPr="00386F72">
        <w:t xml:space="preserve"> préoccupé</w:t>
      </w:r>
      <w:r w:rsidR="00632E77" w:rsidRPr="00386F72">
        <w:t>e</w:t>
      </w:r>
      <w:r w:rsidRPr="00386F72">
        <w:t xml:space="preserve"> par le fait que la gestion des risques relevait de la politique générale et non de la pratique à l'UIT.</w:t>
      </w:r>
    </w:p>
    <w:p w14:paraId="373E933C" w14:textId="73D83612" w:rsidR="00B60035" w:rsidRPr="00386F72" w:rsidRDefault="00B60035" w:rsidP="00B60035">
      <w:r w:rsidRPr="00386F72">
        <w:t>3</w:t>
      </w:r>
      <w:r w:rsidR="003568B9" w:rsidRPr="00386F72">
        <w:t>6</w:t>
      </w:r>
      <w:r w:rsidRPr="00386F72">
        <w:t>.</w:t>
      </w:r>
      <w:r w:rsidR="00E079F9" w:rsidRPr="00386F72">
        <w:t>3</w:t>
      </w:r>
      <w:r w:rsidRPr="00386F72">
        <w:tab/>
        <w:t>Un conseiller a demandé que des rapports distincts soient élaborés pour chaque ligne de défense, étant donné qu'en combinant les discussions sur la gestion des risques opérationnels, la conformité et le contrôle interne, le rapport ne donnait pas une vue claire de chacune de ces lignes, sans parler de l'efficacité de chacune d'elles et des ressources associées.</w:t>
      </w:r>
    </w:p>
    <w:p w14:paraId="76A3436E" w14:textId="1F7F8216" w:rsidR="00B60035" w:rsidRPr="00386F72" w:rsidRDefault="00B60035" w:rsidP="00B60035">
      <w:r w:rsidRPr="00386F72">
        <w:lastRenderedPageBreak/>
        <w:t>3</w:t>
      </w:r>
      <w:r w:rsidR="003568B9" w:rsidRPr="00386F72">
        <w:t>6</w:t>
      </w:r>
      <w:r w:rsidRPr="00386F72">
        <w:t>.</w:t>
      </w:r>
      <w:r w:rsidR="00E079F9" w:rsidRPr="00386F72">
        <w:t>4</w:t>
      </w:r>
      <w:r w:rsidRPr="00386F72">
        <w:tab/>
        <w:t>Un</w:t>
      </w:r>
      <w:r w:rsidR="00632E77" w:rsidRPr="00386F72">
        <w:t>e</w:t>
      </w:r>
      <w:r w:rsidRPr="00386F72">
        <w:t xml:space="preserve"> conseill</w:t>
      </w:r>
      <w:r w:rsidR="00632E77" w:rsidRPr="00386F72">
        <w:t>ère</w:t>
      </w:r>
      <w:r w:rsidRPr="00386F72">
        <w:t>, prenant acte de l'établissement du Groupe d'action sur la gestion des risques et les contrôles internes et de la création proposée d'un comité de gestion des risques, se demandait si tant de niveaux étaient nécessaires et a souhaité savoir si les mécanismes existants pourraient être renforcés pour remplir ces fonctions.</w:t>
      </w:r>
    </w:p>
    <w:p w14:paraId="5E6B3FB4" w14:textId="309F6B90" w:rsidR="008F143C" w:rsidRPr="00386F72" w:rsidRDefault="008F143C" w:rsidP="008F143C">
      <w:r w:rsidRPr="00386F72">
        <w:t>3</w:t>
      </w:r>
      <w:r w:rsidR="003568B9" w:rsidRPr="00386F72">
        <w:t>6</w:t>
      </w:r>
      <w:r w:rsidRPr="00386F72">
        <w:t>.</w:t>
      </w:r>
      <w:r w:rsidR="00E079F9" w:rsidRPr="00386F72">
        <w:t>5</w:t>
      </w:r>
      <w:r w:rsidRPr="00386F72">
        <w:tab/>
        <w:t>Un autre conseiller s'est félicité de la création du groupe d'action et des progrès accomplis dans la mise en œuvre des recommandations en matière de contrôle et dans l'intégration de la gestion des risques dans la planification opérationnelle. Il était impératif d'assurer la coordination entre les trois lignes de défense et de renforcer les contrôles préventifs et la responsabilisation dans la pratique.</w:t>
      </w:r>
    </w:p>
    <w:p w14:paraId="5377B302" w14:textId="447D8096" w:rsidR="008F143C" w:rsidRPr="00386F72" w:rsidRDefault="008F143C" w:rsidP="008F143C">
      <w:r w:rsidRPr="00386F72">
        <w:t>3</w:t>
      </w:r>
      <w:r w:rsidR="003568B9" w:rsidRPr="00386F72">
        <w:t>6</w:t>
      </w:r>
      <w:r w:rsidRPr="00386F72">
        <w:t>.</w:t>
      </w:r>
      <w:r w:rsidR="004E5084" w:rsidRPr="00386F72">
        <w:t>6</w:t>
      </w:r>
      <w:r w:rsidRPr="00386F72">
        <w:tab/>
        <w:t xml:space="preserve">En réponse à </w:t>
      </w:r>
      <w:r w:rsidR="004E5084" w:rsidRPr="00386F72">
        <w:t>l</w:t>
      </w:r>
      <w:r w:rsidR="003C349A" w:rsidRPr="00386F72">
        <w:t>'</w:t>
      </w:r>
      <w:r w:rsidRPr="00386F72">
        <w:t xml:space="preserve">observation d'un conseiller, le représentant du Secrétariat général a rappelé que le cabinet de conseil Ernst &amp; Young (EY) a été chargé d'examiner l'efficacité de la gestion des risques et de renforcer la deuxième ligne de défense à la suite d'une recommandation du Vérificateur extérieur des comptes. La méthode d'EY n'est pas considérée comme un cadre de référence comme l'est le modèle du Conseil des chefs de secrétariat des organismes des Nations Unies pour la coordination (CCS). Le représentant n'a décelé aucune divergence, d'autant plus que le contenu de l'examen d'EY était globalement conforme </w:t>
      </w:r>
      <w:r w:rsidR="004E5084" w:rsidRPr="00386F72">
        <w:t xml:space="preserve">à la </w:t>
      </w:r>
      <w:r w:rsidRPr="00386F72">
        <w:t>recommandation du Comité consultatif indépendant pour les questions de gestion (CCIG)</w:t>
      </w:r>
      <w:r w:rsidR="004E5084" w:rsidRPr="00386F72">
        <w:t xml:space="preserve"> approuvée par le Conseil</w:t>
      </w:r>
      <w:r w:rsidRPr="00386F72">
        <w:t xml:space="preserve">. En outre, les structures de gouvernance proposées sont utiles pour assurer la coordination entre les trois lignes de défense. </w:t>
      </w:r>
      <w:r w:rsidR="004E5084" w:rsidRPr="00386F72">
        <w:t xml:space="preserve">Qui plus est, le </w:t>
      </w:r>
      <w:r w:rsidRPr="00386F72">
        <w:t>groupe d'action a fait régulièrement rapport au Comité de coordination (CoCo).</w:t>
      </w:r>
    </w:p>
    <w:p w14:paraId="129B42CD" w14:textId="21B026BA" w:rsidR="004E5084" w:rsidRPr="00386F72" w:rsidRDefault="004E5084" w:rsidP="008F143C">
      <w:r w:rsidRPr="00386F72">
        <w:t>3</w:t>
      </w:r>
      <w:r w:rsidR="003568B9" w:rsidRPr="00386F72">
        <w:t>6</w:t>
      </w:r>
      <w:r w:rsidRPr="00386F72">
        <w:t>.7</w:t>
      </w:r>
      <w:r w:rsidRPr="00386F72">
        <w:tab/>
        <w:t>En réponse aux observations des conseillers, l'orateur a expliqué que le processus d'approbation des recommandations en suspens n'était pas une simple formalité; au contraire, il nécessite que des rapports complets et fondés sur des données factuelles soient présentés au Vérificateur extérieur pour démontrer que chaque recommandation a été mise en œuvre dans la pratique. Si le Vérificateur extérieur n'est pas satisfait, il ne clora pas la recommandation.</w:t>
      </w:r>
    </w:p>
    <w:p w14:paraId="321B2CAB" w14:textId="5C43E9A1" w:rsidR="008F143C" w:rsidRPr="00386F72" w:rsidRDefault="008F143C" w:rsidP="008F143C">
      <w:r w:rsidRPr="00386F72">
        <w:t>3</w:t>
      </w:r>
      <w:r w:rsidR="003568B9" w:rsidRPr="00386F72">
        <w:t>6</w:t>
      </w:r>
      <w:r w:rsidRPr="00386F72">
        <w:t>.8</w:t>
      </w:r>
      <w:r w:rsidRPr="00386F72">
        <w:tab/>
        <w:t xml:space="preserve">Le Vice-Secrétaire général a déclaré que le niveau de participation affiché par les conseillers reflétait l'importance des contrôles internes et de la gestion des risques pour les activités de l'Union et leur planification. Le Secrétariat a également montré ce même niveau de participation et d'engagement. Les principaux organes de gestion, tels que le CoCo et le groupe de gestion au sens large, ont régulièrement abordé la gestion des risques, tant du point de vue du cadre conceptuel qu'au niveau opérationnel pratique. Le cadre de gestion des risques et de contrôle interne n'était pas encore au point, d'où l'examen mené par EY, qui avait été recommandé par le Vérificateur extérieur des comptes et avait produit des résultats conformes à ceux du CCIG. Cet examen a débouché sur une feuille de route indiquant une série de mesures concrètes visant à accroître le niveau de maturité du cadre, ainsi qu'il ressort du rapport. Le tableau de bord de la conformité, tel qu'il est décrit dans le </w:t>
      </w:r>
      <w:hyperlink r:id="rId153" w:history="1">
        <w:r w:rsidRPr="00386F72">
          <w:rPr>
            <w:rStyle w:val="Hyperlink"/>
            <w:rFonts w:eastAsia="Times New Roman" w:cs="Times New Roman"/>
            <w:szCs w:val="20"/>
          </w:rPr>
          <w:t>Document C26/INF/23</w:t>
        </w:r>
      </w:hyperlink>
      <w:r w:rsidRPr="00386F72">
        <w:t xml:space="preserve">, a également été créé et mis à la disposition des États Membres afin de mieux suivre la mise en œuvre des recommandations relatives au contrôle, qui, à l'exception de celles du CCI, y sont toutes affichées. Il est possible de suivre, à l'aide d'un outil de notification du CCI, la mise en œuvre des recommandations du CCI, dont les informations pertinentes sont reproduites dans le </w:t>
      </w:r>
      <w:hyperlink r:id="rId154" w:history="1">
        <w:r w:rsidRPr="00386F72">
          <w:rPr>
            <w:rStyle w:val="Hyperlink"/>
            <w:rFonts w:eastAsia="Times New Roman" w:cs="Times New Roman"/>
            <w:szCs w:val="20"/>
          </w:rPr>
          <w:t>Document C26/INF/17</w:t>
        </w:r>
      </w:hyperlink>
      <w:r w:rsidRPr="00386F72">
        <w:t>.</w:t>
      </w:r>
    </w:p>
    <w:p w14:paraId="578D66E6" w14:textId="5FB62E4A" w:rsidR="008F143C" w:rsidRPr="00386F72" w:rsidRDefault="008F143C" w:rsidP="002142D1">
      <w:pPr>
        <w:keepLines/>
      </w:pPr>
      <w:r w:rsidRPr="00386F72">
        <w:lastRenderedPageBreak/>
        <w:t>3</w:t>
      </w:r>
      <w:r w:rsidR="003568B9" w:rsidRPr="00386F72">
        <w:t>6</w:t>
      </w:r>
      <w:r w:rsidRPr="00386F72">
        <w:t>.9</w:t>
      </w:r>
      <w:r w:rsidRPr="00386F72">
        <w:tab/>
        <w:t>En réponse aux demandes formulées par des conseillères, le Vice-Secrétaire général a indiqué que le cadre de délégation de pouvoir serait mis en œuvre par la PP-26 et que le Secrétariat fournirait également des rapports supplémentaires d'ici à la PP-26 pour combler les lacunes recensées par les conseillers.</w:t>
      </w:r>
    </w:p>
    <w:p w14:paraId="66B16A08" w14:textId="7BBC735F" w:rsidR="008F143C" w:rsidRPr="00386F72" w:rsidRDefault="008F143C" w:rsidP="008F143C">
      <w:pPr>
        <w:tabs>
          <w:tab w:val="clear" w:pos="567"/>
          <w:tab w:val="left" w:pos="709"/>
        </w:tabs>
        <w:spacing w:after="120"/>
      </w:pPr>
      <w:r w:rsidRPr="00386F72">
        <w:t>3</w:t>
      </w:r>
      <w:r w:rsidR="003568B9" w:rsidRPr="00386F72">
        <w:t>6</w:t>
      </w:r>
      <w:r w:rsidRPr="00386F72">
        <w:t>.10</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89" w:type="dxa"/>
        <w:tblLook w:val="04A0" w:firstRow="1" w:lastRow="0" w:firstColumn="1" w:lastColumn="0" w:noHBand="0" w:noVBand="1"/>
      </w:tblPr>
      <w:tblGrid>
        <w:gridCol w:w="9150"/>
      </w:tblGrid>
      <w:tr w:rsidR="008F143C" w:rsidRPr="00386F72" w14:paraId="1ABE7D5E" w14:textId="77777777" w:rsidTr="00BA2006">
        <w:tc>
          <w:tcPr>
            <w:tcW w:w="9150" w:type="dxa"/>
          </w:tcPr>
          <w:p w14:paraId="3F3DA500" w14:textId="12E0E018" w:rsidR="008F143C" w:rsidRPr="00386F72" w:rsidRDefault="008F143C" w:rsidP="00BA2006">
            <w:pPr>
              <w:tabs>
                <w:tab w:val="clear" w:pos="567"/>
                <w:tab w:val="left" w:pos="709"/>
              </w:tabs>
            </w:pPr>
            <w:r w:rsidRPr="00386F72">
              <w:t>3</w:t>
            </w:r>
            <w:r w:rsidR="003568B9" w:rsidRPr="00386F72">
              <w:t>6</w:t>
            </w:r>
            <w:r w:rsidRPr="00386F72">
              <w:t>.11</w:t>
            </w:r>
            <w:r w:rsidRPr="00386F72">
              <w:tab/>
              <w:t>La Commission recommande au Conseil:</w:t>
            </w:r>
          </w:p>
          <w:p w14:paraId="4DA0F06B" w14:textId="77777777" w:rsidR="008F143C" w:rsidRDefault="008F143C" w:rsidP="008F143C">
            <w:pPr>
              <w:pStyle w:val="enumlev1"/>
              <w:tabs>
                <w:tab w:val="clear" w:pos="567"/>
              </w:tabs>
              <w:spacing w:after="120"/>
              <w:ind w:left="684" w:hanging="684"/>
            </w:pPr>
            <w:r w:rsidRPr="00386F72">
              <w:t>•</w:t>
            </w:r>
            <w:r w:rsidRPr="00386F72">
              <w:tab/>
              <w:t xml:space="preserve">de prendre note du rapport figurant dans le </w:t>
            </w:r>
            <w:hyperlink r:id="rId155" w:history="1">
              <w:r w:rsidRPr="00386F72">
                <w:rPr>
                  <w:rStyle w:val="Hyperlink"/>
                  <w:rFonts w:eastAsia="Times New Roman" w:cs="Times New Roman"/>
                  <w:szCs w:val="20"/>
                </w:rPr>
                <w:t>Document C26/49</w:t>
              </w:r>
            </w:hyperlink>
            <w:r w:rsidR="002142D1">
              <w:t>; et</w:t>
            </w:r>
          </w:p>
          <w:p w14:paraId="3AEFC0A6" w14:textId="10D47D18" w:rsidR="002142D1" w:rsidRPr="00386F72" w:rsidRDefault="002142D1" w:rsidP="008F143C">
            <w:pPr>
              <w:pStyle w:val="enumlev1"/>
              <w:tabs>
                <w:tab w:val="clear" w:pos="567"/>
              </w:tabs>
              <w:spacing w:after="120"/>
              <w:ind w:left="684" w:hanging="684"/>
            </w:pPr>
            <w:r w:rsidRPr="002142D1">
              <w:t>•</w:t>
            </w:r>
            <w:r>
              <w:tab/>
            </w:r>
            <w:r w:rsidRPr="002142D1">
              <w:t xml:space="preserve">de </w:t>
            </w:r>
            <w:r w:rsidR="00AB78E5">
              <w:t>prendre note</w:t>
            </w:r>
            <w:r w:rsidRPr="002142D1">
              <w:t xml:space="preserve"> que le cadre pour la délégation de pouvoirs serait disponible d'ici à la PP</w:t>
            </w:r>
            <w:r>
              <w:noBreakHyphen/>
            </w:r>
            <w:r w:rsidRPr="002142D1">
              <w:t>26 et que le Secrétariat soumettrait en outre d'autres rapports d'ici à la PP-26 afin de combler les lacunes recensées par les conseillers.</w:t>
            </w:r>
          </w:p>
        </w:tc>
      </w:tr>
    </w:tbl>
    <w:p w14:paraId="17EF686C" w14:textId="77777777" w:rsidR="00601B5F" w:rsidRPr="00386F72" w:rsidRDefault="00601B5F" w:rsidP="00601B5F">
      <w:pPr>
        <w:pStyle w:val="Heading1"/>
      </w:pPr>
      <w:r w:rsidRPr="00386F72">
        <w:rPr>
          <w:bCs/>
        </w:rPr>
        <w:t>37</w:t>
      </w:r>
      <w:r w:rsidRPr="00386F72">
        <w:tab/>
      </w:r>
      <w:r w:rsidRPr="00386F72">
        <w:rPr>
          <w:bCs/>
        </w:rPr>
        <w:t>Rapport d'activité sur la mise en œuvre du Plan de transformation des ressources humaines et de la Résolution 48 (Rév. Bucarest, 2022) de la Conférence de plénipotentiaires (</w:t>
      </w:r>
      <w:hyperlink r:id="rId156" w:history="1">
        <w:r w:rsidRPr="00386F72">
          <w:rPr>
            <w:rStyle w:val="Hyperlink"/>
            <w:rFonts w:eastAsia="Times New Roman" w:cs="Times New Roman"/>
            <w:bCs/>
            <w:szCs w:val="20"/>
          </w:rPr>
          <w:t>Document C26/66</w:t>
        </w:r>
      </w:hyperlink>
      <w:r w:rsidRPr="00386F72">
        <w:rPr>
          <w:bCs/>
        </w:rPr>
        <w:t>)</w:t>
      </w:r>
      <w:hyperlink r:id="rId157" w:history="1"/>
    </w:p>
    <w:p w14:paraId="5685A5EA" w14:textId="77777777" w:rsidR="00601B5F" w:rsidRPr="00386F72" w:rsidRDefault="00601B5F" w:rsidP="00601B5F">
      <w:r w:rsidRPr="00386F72">
        <w:t>37.1</w:t>
      </w:r>
      <w:r w:rsidRPr="00386F72">
        <w:tab/>
        <w:t>La Chef du Département HRMD a donné un aperçu des informations fournies dans le Document C26/66, qui contient le rapport d'activité sur la mise en œuvre du Plan de transformation des ressources humaines (HRTP) et de la Résolution 48 (Rév. Bucarest, 2022) de la Conférence de plénipotentiaires. Elle a présenté certains des principaux résultats obtenus au titre des trois piliers du Plan HRTP, à savoir les personnes, la culture et les services, au cours de la période considérée. En outre, elle a attiré l'attention sur le Programme des jeunes professionnels (YPP) de l'Union, pour lequel plus de 3 500 candidatures ont été reçues. Six jeunes professionnels issus de PMA ont été sélectionnés pour former la première cohorte du Programme YPP et travailler à l'UIT, apportant ainsi de nouvelles perspectives, des innovations techniques et un regain d'énergie à leurs équipes. Pour 2027, il est prévu d'élargir la deuxième cohorte, d'inclure les bureaux régionaux dans le programme et de mettre l'accent sur les jeunes talents des pays en développement, des PMA, des PDSL et des PEID. La Chef du Département HRMD a exprimé sa gratitude aux États Membres ayant contribué à l'initiative et a appelé les membres de l'Union à continuer de la soutenir.</w:t>
      </w:r>
    </w:p>
    <w:p w14:paraId="603AE210" w14:textId="77777777" w:rsidR="00601B5F" w:rsidRPr="00386F72" w:rsidRDefault="00601B5F" w:rsidP="00601B5F">
      <w:r w:rsidRPr="00386F72">
        <w:t>37.2</w:t>
      </w:r>
      <w:r w:rsidRPr="00386F72">
        <w:tab/>
        <w:t>De jeunes professionnels originaires de la Côte d'Ivoire, du Ghana, d'Inde, du Malawi et du Pakistan ont pris la parole pour témoigner de l'expérience qu'ils ont acquise à l'UIT, où ils ont travaillé dans des domaines allant des services spatiaux à la résilience des câbles sous</w:t>
      </w:r>
      <w:r w:rsidRPr="00386F72">
        <w:noBreakHyphen/>
        <w:t>marins, en passant par la cybersécurité.</w:t>
      </w:r>
    </w:p>
    <w:p w14:paraId="4DFF7AC5" w14:textId="77777777" w:rsidR="00601B5F" w:rsidRPr="00386F72" w:rsidRDefault="00601B5F" w:rsidP="00601B5F">
      <w:r w:rsidRPr="00386F72">
        <w:t>37.3</w:t>
      </w:r>
      <w:r w:rsidRPr="00386F72">
        <w:tab/>
        <w:t>Le conseiller du Japon a annoncé que son gouvernement verserait une contribution de 300 000 USD pour soutenir la deuxième cohorte du Programme YPP, témoignant ainsi de son engagement continu en faveur du programme.</w:t>
      </w:r>
    </w:p>
    <w:p w14:paraId="18DC498E" w14:textId="170B0898" w:rsidR="008F143C" w:rsidRPr="00386F72" w:rsidRDefault="00601B5F" w:rsidP="00601B5F">
      <w:pPr>
        <w:tabs>
          <w:tab w:val="clear" w:pos="567"/>
          <w:tab w:val="left" w:pos="709"/>
        </w:tabs>
      </w:pPr>
      <w:r w:rsidRPr="00386F72">
        <w:t>37.4</w:t>
      </w:r>
      <w:r w:rsidRPr="00386F72">
        <w:tab/>
        <w:t xml:space="preserve">Au cours de la discussion qui a suivi, des conseillers ont félicité le Département HRMD pour les efforts qu'il a déployés pendant la période considérée, en particulier pour lancer le Programme YPP afin d'attirer de jeunes talents, renforcer les compétences numériques, progresser vers la parité hommes-femmes, rationaliser les processus de gestion de la performance, et améliorer les taux d'achèvement des formations obligatoires. Certaines conseillères ont néanmoins appelé à des efforts concertés pour améliorer le taux </w:t>
      </w:r>
      <w:r w:rsidRPr="00386F72">
        <w:lastRenderedPageBreak/>
        <w:t xml:space="preserve">d'achèvement des formations sur l'éthique et l'intégrité, la prévention de l'exploitation et des abus sexuels, et la prévention du harcèlement sexuel et des autres formes de conduite prohibée. Les rapports futurs devraient inclure des informations sur les mesures prises pour </w:t>
      </w:r>
      <w:r w:rsidR="008E1670">
        <w:t xml:space="preserve">augmenter le pourcentage de </w:t>
      </w:r>
      <w:r w:rsidRPr="00386F72">
        <w:t xml:space="preserve">responsables et </w:t>
      </w:r>
      <w:r w:rsidR="008E1670">
        <w:t>de membres du</w:t>
      </w:r>
      <w:r w:rsidR="008E1670" w:rsidRPr="00386F72">
        <w:t xml:space="preserve"> </w:t>
      </w:r>
      <w:r w:rsidRPr="00386F72">
        <w:t>personnel</w:t>
      </w:r>
      <w:r w:rsidR="008E1670">
        <w:t xml:space="preserve"> à jour de leurs formations obligatoires</w:t>
      </w:r>
      <w:r w:rsidRPr="00386F72">
        <w:t>. Une conseillère a suggéré que le Département HRMD mette à jour le système de gestion de la performance, afin d'exiger que tous les fonctionnaires soient à jour dans toutes les formations obligatoires avant de pouvoir obtenir une évaluation positive. Elle a demandé au Secrétariat de communiquer aux États Membres son plan d'action sur la prévention de l'exploitation et des abus sexuels et les résultats de l'enquête annuelle du CCS sur le signalement des cas de harcèlement sexuel, afin de favoriser la transparence et la responsabilité.</w:t>
      </w:r>
    </w:p>
    <w:p w14:paraId="079B8BDD" w14:textId="64763635" w:rsidR="00D548DE" w:rsidRPr="00386F72" w:rsidRDefault="00D548DE" w:rsidP="00D548DE">
      <w:r w:rsidRPr="00386F72">
        <w:t>37.5</w:t>
      </w:r>
      <w:r w:rsidRPr="00386F72">
        <w:tab/>
        <w:t xml:space="preserve">Certains conseillers ont attiré l'attention sur les déséquilibres persistants en matière de diversité du personnel, notamment en ce qui concerne la répartition géographique, et ont demandé des renseignements supplémentaires sur les éventuelles mesures spéciales de recrutement qui ont été mises en œuvre pour remédier à ce problème, conformément à la Résolution 48 (Rév. Bucarest, 2022). Les rapports futurs devraient inclure des indicateurs et des données améliorés sur la composition actuelle des effectifs de l'Union, ventilés par région et par sexe. Une conseillère a suggéré que les mesures visant à parvenir à la parité hommes-femmes servent de modèle pour améliorer la représentation géographique, en particulier des pays en développement, parmi les fonctionnaires de l'UIT. Une autre conseillère a pris note avec satisfaction </w:t>
      </w:r>
      <w:r w:rsidR="008E1670">
        <w:t xml:space="preserve">des efforts déployés et </w:t>
      </w:r>
      <w:r w:rsidRPr="00386F72">
        <w:t xml:space="preserve">des progrès accomplis en vue d'atteindre la parité hommes-femmes et a demandé que des mesures supplémentaires soient prises </w:t>
      </w:r>
      <w:r w:rsidR="008E1670">
        <w:t>à cet égard</w:t>
      </w:r>
      <w:r w:rsidRPr="00386F72">
        <w:t>. Le Département HRMD a également été encouragé à accélérer la finalisation des réformes en matière de recrutement et des cadres de planification des effectifs et à investir davantage dans la formation du personnel.</w:t>
      </w:r>
    </w:p>
    <w:p w14:paraId="75515A6C" w14:textId="2399D74F" w:rsidR="00D548DE" w:rsidRPr="00386F72" w:rsidRDefault="00D548DE" w:rsidP="00D548DE">
      <w:r w:rsidRPr="00386F72">
        <w:t>37.6</w:t>
      </w:r>
      <w:r w:rsidRPr="00386F72">
        <w:tab/>
        <w:t>En ce qui concerne la planification des effectifs, certains conseillers, soulignant la nature spécialisée des travaux de l'Union, ont demandé des renseignements sur les incidences du programme de départ volontaire sur la répartition de la charge de travail, le transfert des connaissances et le moral du personnel. Un conseiller a demandé des précisions sur la nouvelle politique en matière de consultants, notamment sur la manière dont elle garantira que les consultants ne sont sollicités que pour répondre à des besoins à court terme et pour assurer des fonctions non essentielles, ainsi que sur la manière dont elle contribuera à renforcer la transparence, le suivi de la performance et la représentation régionale. Les rapports futurs devraient faire état de l'incidence mesurable des activités du Département HRMD sur les résultats obtenus par l'organisation et la fourniture de services.</w:t>
      </w:r>
    </w:p>
    <w:p w14:paraId="4D06E9D4" w14:textId="2D150EDD" w:rsidR="00D548DE" w:rsidRPr="00386F72" w:rsidRDefault="00D548DE" w:rsidP="00AB78E5">
      <w:r w:rsidRPr="00386F72">
        <w:t>37.7</w:t>
      </w:r>
      <w:r w:rsidRPr="00386F72">
        <w:tab/>
        <w:t>En réponse aux observations et aux questions des conseillers, et après avoir remercié le Gouvernement du Japon pour sa généreuse contribution, la Chef du Département HRMD a déclaré qu'en ce qui concerne la diversité géographique, alors que le recrutement se fait sur la base du mérite, les considérations de diversité sont prioritaires conformément aux résolutions et règlements pertinents. Parmi les mesures mises en place pour améliorer la diversité du personnel figure une campagne de recrutement ciblée via des forums en ligne afin d'attirer les meilleurs candidats à l'échelle mondiale</w:t>
      </w:r>
      <w:r w:rsidR="00004BFE">
        <w:t xml:space="preserve"> et des programmes tels que le programme YPP qui permettent de créer un vivier de jeunes talents</w:t>
      </w:r>
      <w:r w:rsidRPr="00386F72">
        <w:t>.</w:t>
      </w:r>
    </w:p>
    <w:p w14:paraId="1D4548F4" w14:textId="77777777" w:rsidR="00D548DE" w:rsidRPr="00386F72" w:rsidRDefault="00D548DE" w:rsidP="00D548DE">
      <w:r w:rsidRPr="00386F72">
        <w:t>37.8</w:t>
      </w:r>
      <w:r w:rsidRPr="00386F72">
        <w:tab/>
        <w:t xml:space="preserve">La planification stratégique des effectifs consiste à déterminer l'affectation la plus appropriée pour les postes devenus vacants à la suite de départs à la retraite ou de démissions, ce qui permet d'améliorer la présence régionale, de renforcer la planification du </w:t>
      </w:r>
      <w:r w:rsidRPr="00386F72">
        <w:lastRenderedPageBreak/>
        <w:t>renouvellement des effectifs et de garantir que les responsables disposent des fonctions et des compétences nécessaires pour atteindre leurs objectifs. Le perfectionnement du personnel est un pilier essentiel à cet égard, et le Département HRMD s'emploie en permanence à améliorer la formation et le développement professionnel et collabore étroitement avec l'équipe de transformation pour faire progresser le perfectionnement des compétences dans le domaine de l'IA. La Chef du Département HRMD a accueilli favorablement les observations formulées par les conseillers concernant le budget de la formation et continuera de plaider en faveur d'une augmentation. Les possibilités de formation au sein du système des Nations Unies au sens large sont également mises à profit. Selon les données les plus récentes sur la formation obligatoire, 76% des fonctionnaires au bénéfice d'un engagement permanent, de caractère continu, de durée déterminée ou de courte durée ont suivi une formation sur la prévention de l'exploitation et des abus sexuels.</w:t>
      </w:r>
    </w:p>
    <w:p w14:paraId="3230FAA9" w14:textId="77777777" w:rsidR="00D548DE" w:rsidRPr="00386F72" w:rsidRDefault="00D548DE" w:rsidP="00D548DE">
      <w:r w:rsidRPr="00386F72">
        <w:t>37.9</w:t>
      </w:r>
      <w:r w:rsidRPr="00386F72">
        <w:tab/>
        <w:t>Les 15 fonctionnaires qui ont quitté l'organisation dans le cadre du programme de départ volontaire étaient proches de la retraite ou souhaitaient partir pour d'autres raisons. Compte tenu des compétences, des connaissances et de l'expertise du personnel, les besoins primordiaux de l'Union ont été pris en compte lors de la prise de décisions concernant ces cessations de service. Il est essentiel de veiller à ce que l'Union dispose d'une combinaison appropriée de fonctionnaires expérimentés et de nouveaux talents.</w:t>
      </w:r>
    </w:p>
    <w:p w14:paraId="1C0CEDC7" w14:textId="77777777" w:rsidR="00D548DE" w:rsidRPr="00386F72" w:rsidRDefault="00D548DE" w:rsidP="00D548DE">
      <w:pPr>
        <w:tabs>
          <w:tab w:val="clear" w:pos="567"/>
          <w:tab w:val="left" w:pos="709"/>
        </w:tabs>
      </w:pPr>
      <w:r w:rsidRPr="00386F72">
        <w:t>37.10</w:t>
      </w:r>
      <w:r w:rsidRPr="00386F72">
        <w:tab/>
        <w:t>S'agissant de la culture professionnelle et des relations avec le personnel, la Chef du Département HRMD a souligné que le département travaillait en étroite collaboration avec le Conseil du personnel, notamment pour assurer le suivi des résultats de l'enquête sur l'engagement du personnel. En effet, ces services ont uni leurs forces pour élaborer et mettre en œuvre un programme lié aux résultats de l'enquête. En outre, le Département HRMD avait dispensé une formation sur la sécurité psychologique et la culture où chacun peut s'exprimer librement. Un certain nombre d'approches ont été adoptées pour résoudre les problèmes de gestion de la performance. Par exemple, des ordres de service connexes sont en cours d'examen, des ateliers sur la définition d'objectifs sont prévus et un kit pratique a été élaboré pour aider les responsables à remédier aux insuffisances, ce qui permet au Département HRMD de les guider pas à pas tout au long du processus.</w:t>
      </w:r>
    </w:p>
    <w:p w14:paraId="370AB09A" w14:textId="77777777" w:rsidR="00D548DE" w:rsidRPr="00386F72" w:rsidRDefault="00D548DE" w:rsidP="00D548DE">
      <w:pPr>
        <w:tabs>
          <w:tab w:val="clear" w:pos="567"/>
          <w:tab w:val="left" w:pos="709"/>
        </w:tabs>
      </w:pPr>
      <w:r w:rsidRPr="00386F72">
        <w:t>37.11</w:t>
      </w:r>
      <w:r w:rsidRPr="00386F72">
        <w:tab/>
        <w:t xml:space="preserve">Enfin, la Chef du Département HRMD a confirmé que le département établirait un rapport sur la signification des critères de changement organisationnel "majeur", en vue de leur examen ultérieur à la PP-26, si le Conseil approuve la recommandation formulée par le GTC-FHR sur ce point (§ 10.6 du </w:t>
      </w:r>
      <w:hyperlink r:id="rId158" w:history="1">
        <w:r w:rsidRPr="00386F72">
          <w:rPr>
            <w:rStyle w:val="Hyperlink"/>
            <w:rFonts w:eastAsia="Times New Roman" w:cs="Times New Roman"/>
            <w:szCs w:val="20"/>
          </w:rPr>
          <w:t>Document C26/50(Rév.1)</w:t>
        </w:r>
      </w:hyperlink>
      <w:r w:rsidRPr="00386F72">
        <w:t>).</w:t>
      </w:r>
      <w:hyperlink r:id="rId159" w:history="1"/>
    </w:p>
    <w:p w14:paraId="3025DE76" w14:textId="77777777" w:rsidR="00D548DE" w:rsidRPr="00386F72" w:rsidRDefault="00D548DE" w:rsidP="002142D1">
      <w:pPr>
        <w:tabs>
          <w:tab w:val="clear" w:pos="567"/>
          <w:tab w:val="left" w:pos="709"/>
        </w:tabs>
        <w:spacing w:after="120"/>
      </w:pPr>
      <w:r w:rsidRPr="00386F72">
        <w:t>37.12</w:t>
      </w:r>
      <w:r w:rsidRPr="00386F72">
        <w:tab/>
        <w:t xml:space="preserve">La Commission </w:t>
      </w:r>
      <w:r w:rsidRPr="00386F72">
        <w:rPr>
          <w:b/>
          <w:bCs/>
        </w:rPr>
        <w:t>est convenue</w:t>
      </w:r>
      <w:r w:rsidRPr="00386F72">
        <w:t xml:space="preserve"> de formuler les conclusions suivantes sur cette question:</w:t>
      </w:r>
    </w:p>
    <w:tbl>
      <w:tblPr>
        <w:tblStyle w:val="TableGrid"/>
        <w:tblW w:w="9214" w:type="dxa"/>
        <w:tblInd w:w="-147" w:type="dxa"/>
        <w:tblLook w:val="04A0" w:firstRow="1" w:lastRow="0" w:firstColumn="1" w:lastColumn="0" w:noHBand="0" w:noVBand="1"/>
      </w:tblPr>
      <w:tblGrid>
        <w:gridCol w:w="9214"/>
      </w:tblGrid>
      <w:tr w:rsidR="00D548DE" w:rsidRPr="00386F72" w14:paraId="32896A5A" w14:textId="77777777" w:rsidTr="005877C9">
        <w:tc>
          <w:tcPr>
            <w:tcW w:w="9214" w:type="dxa"/>
          </w:tcPr>
          <w:p w14:paraId="37D41887" w14:textId="77777777" w:rsidR="00D548DE" w:rsidRPr="00386F72" w:rsidRDefault="00D548DE" w:rsidP="002142D1">
            <w:pPr>
              <w:tabs>
                <w:tab w:val="clear" w:pos="567"/>
                <w:tab w:val="left" w:pos="750"/>
              </w:tabs>
              <w:ind w:left="40"/>
            </w:pPr>
            <w:r w:rsidRPr="00386F72">
              <w:t>37.13</w:t>
            </w:r>
            <w:r w:rsidRPr="00386F72">
              <w:tab/>
              <w:t>La Commission recommande au Conseil:</w:t>
            </w:r>
          </w:p>
          <w:p w14:paraId="2FA8E6AA" w14:textId="77777777" w:rsidR="00D548DE" w:rsidRDefault="00D548DE" w:rsidP="002142D1">
            <w:pPr>
              <w:pStyle w:val="enumlev1"/>
              <w:tabs>
                <w:tab w:val="clear" w:pos="567"/>
                <w:tab w:val="clear" w:pos="1134"/>
                <w:tab w:val="left" w:pos="750"/>
              </w:tabs>
              <w:spacing w:after="120"/>
              <w:ind w:left="749" w:hanging="709"/>
            </w:pPr>
            <w:r w:rsidRPr="00386F72">
              <w:t>•</w:t>
            </w:r>
            <w:r w:rsidRPr="00386F72">
              <w:tab/>
              <w:t>de prendre note du rapport d'activité sur la mise en œuvre du plan de transformation pour les ressources humaines et de la Résolution 48 (Rév.</w:t>
            </w:r>
            <w:r w:rsidR="004E4580">
              <w:t> </w:t>
            </w:r>
            <w:r w:rsidRPr="00386F72">
              <w:t>Bucarest,</w:t>
            </w:r>
            <w:r w:rsidR="004E4580">
              <w:t> </w:t>
            </w:r>
            <w:r w:rsidRPr="00386F72">
              <w:t>2022) de la Conférence de plénipotentiaires, tel qu'il figure dans le</w:t>
            </w:r>
            <w:r w:rsidR="004E4580">
              <w:t> </w:t>
            </w:r>
            <w:hyperlink r:id="rId160" w:history="1">
              <w:r w:rsidRPr="00386F72">
                <w:rPr>
                  <w:rStyle w:val="Hyperlink"/>
                </w:rPr>
                <w:t>Document C26/66</w:t>
              </w:r>
            </w:hyperlink>
            <w:r w:rsidR="002142D1">
              <w:t>; et</w:t>
            </w:r>
          </w:p>
          <w:p w14:paraId="5EBDCDB4" w14:textId="0578BB81" w:rsidR="002142D1" w:rsidRPr="00386F72" w:rsidRDefault="002142D1" w:rsidP="002142D1">
            <w:pPr>
              <w:pStyle w:val="enumlev1"/>
              <w:tabs>
                <w:tab w:val="clear" w:pos="567"/>
                <w:tab w:val="clear" w:pos="1134"/>
                <w:tab w:val="left" w:pos="750"/>
              </w:tabs>
              <w:spacing w:after="120"/>
              <w:ind w:left="749" w:hanging="709"/>
            </w:pPr>
            <w:r w:rsidRPr="002142D1">
              <w:t>•</w:t>
            </w:r>
            <w:r>
              <w:tab/>
            </w:r>
            <w:r w:rsidRPr="002142D1">
              <w:t>de charger le Secrétariat d'élaborer, d'ici au 31 juillet 2026, un rapport présentant en détail les mesures qu'il a prises concernant les manquements et la responsabilisation</w:t>
            </w:r>
            <w:r>
              <w:t>.</w:t>
            </w:r>
          </w:p>
        </w:tc>
      </w:tr>
    </w:tbl>
    <w:p w14:paraId="0AC12BBB" w14:textId="77777777" w:rsidR="00FB3851" w:rsidRPr="00386F72" w:rsidRDefault="00FB3851" w:rsidP="00FB3851">
      <w:pPr>
        <w:pStyle w:val="Heading1"/>
      </w:pPr>
      <w:r w:rsidRPr="00386F72">
        <w:lastRenderedPageBreak/>
        <w:t>38</w:t>
      </w:r>
      <w:r w:rsidRPr="00386F72">
        <w:tab/>
        <w:t>Modifications des conditions d'emploi dans le cadre du régime commun des Nations Unies (</w:t>
      </w:r>
      <w:hyperlink r:id="rId161" w:history="1">
        <w:r w:rsidRPr="00386F72">
          <w:rPr>
            <w:rStyle w:val="Hyperlink"/>
            <w:rFonts w:eastAsia="Times New Roman" w:cs="Times New Roman"/>
            <w:szCs w:val="20"/>
          </w:rPr>
          <w:t>Document C26/23</w:t>
        </w:r>
      </w:hyperlink>
      <w:r w:rsidRPr="00386F72">
        <w:t>)</w:t>
      </w:r>
      <w:hyperlink r:id="rId162" w:history="1"/>
    </w:p>
    <w:p w14:paraId="2FB7630D" w14:textId="11F9FD20" w:rsidR="00FB3851" w:rsidRPr="00386F72" w:rsidRDefault="00FB3851" w:rsidP="00FB3851">
      <w:r w:rsidRPr="00386F72">
        <w:t>38.1</w:t>
      </w:r>
      <w:r w:rsidRPr="00386F72">
        <w:tab/>
        <w:t>Le Chef du Département HRMD a présenté le Document C26/23, qui contient un rapport sur les modifications récentes apportées aux conditions d'emploi conformément à la Résolution 80/236 de l'Assemblée générale des Nations Unies, en date du 3</w:t>
      </w:r>
      <w:r w:rsidR="004E4580">
        <w:t>0</w:t>
      </w:r>
      <w:r w:rsidRPr="00386F72">
        <w:t> décembre 2025, relative au régime commun des Nations Unies, adoptée sur la base des recommandations formulées par la Commission de la fonction publique internationale.</w:t>
      </w:r>
    </w:p>
    <w:p w14:paraId="295FB374" w14:textId="77777777" w:rsidR="00FB3851" w:rsidRPr="00386F72" w:rsidRDefault="00FB3851" w:rsidP="00FB3851">
      <w:r w:rsidRPr="00386F72">
        <w:t>38.2</w:t>
      </w:r>
      <w:r w:rsidRPr="00386F72">
        <w:tab/>
        <w:t>Le Chef du Département FRMD, répondant aux questions d'un conseiller et d'un observateur sur les incidences financières de ces modifications, a expliqué que, dans la mesure du possible, elles seraient absorbées par le budget ordinaire. Il a rappelé que, en cas de besoin, la Secrétaire générale avait été autorisée par le Conseil, en vertu de la Résolution 1435 (C25) relative au budget biennal de l'Union pour 2026-2027, à ajuster les crédits budgétaires en fonction des charges liées aux modifications des conditions d'emploi dans le cadre du régime commun des Nations Unies par le biais du Fonds de réserve.</w:t>
      </w:r>
    </w:p>
    <w:p w14:paraId="577438CA" w14:textId="61422644" w:rsidR="00FB3851" w:rsidRPr="00386F72" w:rsidRDefault="00FB3851" w:rsidP="00FB3851">
      <w:r w:rsidRPr="00386F72">
        <w:t>38.3</w:t>
      </w:r>
      <w:r w:rsidRPr="00386F72">
        <w:tab/>
        <w:t xml:space="preserve">Plusieurs </w:t>
      </w:r>
      <w:r w:rsidR="00AB78E5">
        <w:t>c</w:t>
      </w:r>
      <w:r w:rsidRPr="00386F72">
        <w:t>onseillers et un observateur ont souligné l'importance de garantir l'alignement sur le régime commun des Nations Unies et le respect des résolutions de l'Assemblée générale des Nations Unies.</w:t>
      </w:r>
    </w:p>
    <w:p w14:paraId="20B37A72" w14:textId="77777777" w:rsidR="00FB3851" w:rsidRPr="00386F72" w:rsidRDefault="00FB3851" w:rsidP="00FB3851">
      <w:pPr>
        <w:spacing w:after="120"/>
      </w:pPr>
      <w:r w:rsidRPr="00386F72">
        <w:t>38.4</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FB3851" w:rsidRPr="00386F72" w14:paraId="0074C01B" w14:textId="77777777" w:rsidTr="004E4580">
        <w:tc>
          <w:tcPr>
            <w:tcW w:w="9208" w:type="dxa"/>
            <w:tcBorders>
              <w:bottom w:val="single" w:sz="4" w:space="0" w:color="auto"/>
            </w:tcBorders>
          </w:tcPr>
          <w:p w14:paraId="206D31D2" w14:textId="77777777" w:rsidR="00FB3851" w:rsidRPr="00386F72" w:rsidRDefault="00FB3851" w:rsidP="000228FB">
            <w:pPr>
              <w:tabs>
                <w:tab w:val="clear" w:pos="567"/>
                <w:tab w:val="left" w:pos="608"/>
              </w:tabs>
              <w:ind w:left="41"/>
              <w:rPr>
                <w:rFonts w:eastAsia="Times New Roman"/>
              </w:rPr>
            </w:pPr>
            <w:r w:rsidRPr="00386F72">
              <w:t>38.5</w:t>
            </w:r>
            <w:r w:rsidRPr="00386F72">
              <w:tab/>
              <w:t>La Commission recommande au Conseil:</w:t>
            </w:r>
          </w:p>
          <w:p w14:paraId="181D06EE" w14:textId="77777777" w:rsidR="00FB3851" w:rsidRPr="00386F72" w:rsidRDefault="00FB3851" w:rsidP="000228FB">
            <w:pPr>
              <w:pStyle w:val="enumlev1"/>
              <w:tabs>
                <w:tab w:val="clear" w:pos="567"/>
                <w:tab w:val="left" w:pos="608"/>
                <w:tab w:val="left" w:pos="750"/>
              </w:tabs>
              <w:ind w:hanging="526"/>
            </w:pPr>
            <w:r w:rsidRPr="00386F72">
              <w:t>•</w:t>
            </w:r>
            <w:r w:rsidRPr="00386F72">
              <w:tab/>
              <w:t>de prendre note de la mise en œuvre, par la Secrétaire générale, des résolutions de l'Assemblée générale des Nations Unies relatives aux modifications des conditions d'emploi des fonctionnaires nommés, conformément aux Statut et Règlement du personnel de l'UIT, aux procédures établies de la Commission de la fonction publique internationale et à la Résolution 647 du Conseil (C-1969, dernière mod. C03); et</w:t>
            </w:r>
          </w:p>
          <w:p w14:paraId="2C9F906F" w14:textId="7510A1FB" w:rsidR="00FB3851" w:rsidRPr="00386F72" w:rsidRDefault="00FB3851" w:rsidP="000228FB">
            <w:pPr>
              <w:pStyle w:val="enumlev1"/>
              <w:tabs>
                <w:tab w:val="clear" w:pos="567"/>
                <w:tab w:val="left" w:pos="608"/>
              </w:tabs>
              <w:spacing w:after="120"/>
              <w:ind w:hanging="526"/>
            </w:pPr>
            <w:r w:rsidRPr="00386F72">
              <w:t>•</w:t>
            </w:r>
            <w:r w:rsidRPr="00386F72">
              <w:tab/>
              <w:t>d'approuver le barème des traitements et la rémunération considérée aux fins de la pension applicables aux fonctionnaires élus, tels qu'ils figurent dans le projet de Résolution reproduit dans l'</w:t>
            </w:r>
            <w:hyperlink w:anchor="ANNEXEE" w:history="1">
              <w:r w:rsidRPr="005C6A26">
                <w:rPr>
                  <w:rStyle w:val="Hyperlink"/>
                  <w:b/>
                  <w:bCs/>
                </w:rPr>
                <w:t xml:space="preserve">Annexe </w:t>
              </w:r>
              <w:r w:rsidR="00F120FA" w:rsidRPr="005C6A26">
                <w:rPr>
                  <w:rStyle w:val="Hyperlink"/>
                  <w:b/>
                  <w:bCs/>
                </w:rPr>
                <w:t>E</w:t>
              </w:r>
            </w:hyperlink>
            <w:r w:rsidRPr="00386F72">
              <w:t xml:space="preserve"> du présent rapport.</w:t>
            </w:r>
          </w:p>
        </w:tc>
      </w:tr>
    </w:tbl>
    <w:p w14:paraId="1A3D9ED0" w14:textId="1FDFBCD2" w:rsidR="00CE14B4" w:rsidRPr="00386F72" w:rsidRDefault="00CE14B4" w:rsidP="00CE14B4">
      <w:pPr>
        <w:pStyle w:val="Heading1"/>
      </w:pPr>
      <w:r w:rsidRPr="00386F72">
        <w:t>39</w:t>
      </w:r>
      <w:r w:rsidRPr="00386F72">
        <w:tab/>
        <w:t>Plan stratégique pour les ressources humaines de l'UIT pour la période</w:t>
      </w:r>
      <w:r w:rsidR="004E4580">
        <w:t> </w:t>
      </w:r>
      <w:r w:rsidRPr="00386F72">
        <w:t>2026-2027 (</w:t>
      </w:r>
      <w:hyperlink r:id="rId163" w:history="1">
        <w:r w:rsidRPr="00386F72">
          <w:rPr>
            <w:rStyle w:val="Hyperlink"/>
            <w:rFonts w:eastAsia="Times New Roman" w:cs="Times New Roman"/>
            <w:szCs w:val="20"/>
          </w:rPr>
          <w:t>Document C26/67</w:t>
        </w:r>
      </w:hyperlink>
      <w:r w:rsidRPr="00386F72">
        <w:t>)</w:t>
      </w:r>
    </w:p>
    <w:p w14:paraId="490248B6" w14:textId="52A6B08D" w:rsidR="00CE14B4" w:rsidRPr="00386F72" w:rsidRDefault="00CE14B4" w:rsidP="002142D1">
      <w:r w:rsidRPr="00386F72">
        <w:t>39.1</w:t>
      </w:r>
      <w:r w:rsidRPr="00386F72">
        <w:tab/>
        <w:t>La Cheffe du Département HRMD a présenté le Document C26/67, qui contient le Plan</w:t>
      </w:r>
      <w:r w:rsidR="004E4580">
        <w:t> </w:t>
      </w:r>
      <w:r w:rsidRPr="00386F72">
        <w:t>stratégique pour les ressources humaines de l'UIT pour la période 2026-2027, aligné sur le Plan stratégique de l'UIT pour la période 2024-2027 et la Résolution 48 (Rév.</w:t>
      </w:r>
      <w:r w:rsidR="004E4580">
        <w:t> </w:t>
      </w:r>
      <w:r w:rsidRPr="00386F72">
        <w:t>Bucarest,</w:t>
      </w:r>
      <w:r w:rsidR="004E4580">
        <w:t> </w:t>
      </w:r>
      <w:r w:rsidRPr="00386F72">
        <w:t>2022) de la Conférence de plénipotentiaires. Le Plan s'articule autour de cinq</w:t>
      </w:r>
      <w:r w:rsidR="004E4580">
        <w:t> </w:t>
      </w:r>
      <w:r w:rsidRPr="00386F72">
        <w:t>piliers qui se renforcent mutuellement, chacun d'eux comportant un ensemble d'initiatives pour l'exercice biennal 2026-2027. La mise en œuvre se fera dans le cadre du plan de travail annuel du Département HRMD, étayé par une feuille de route d'exécution définissant des indicateurs et fixant des échéances. Les progrès réalisés seront communiqués par les canaux de gouvernance établis, et les résultats ainsi que les données recueillies serviront de base pour le cycle suivant du plan stratégique et l'élaboration d'indicateurs et de cibles actualisés.</w:t>
      </w:r>
    </w:p>
    <w:p w14:paraId="77AC3BF7" w14:textId="53CDD3D8" w:rsidR="00CE14B4" w:rsidRPr="00386F72" w:rsidRDefault="00CE14B4" w:rsidP="00CE14B4">
      <w:r w:rsidRPr="00386F72">
        <w:lastRenderedPageBreak/>
        <w:t>39.2</w:t>
      </w:r>
      <w:r w:rsidRPr="00386F72">
        <w:tab/>
        <w:t>Des conseillers et un observateur se sont félicités du Plan stratégique pour les ressources humaines, qui met l'accent sur le bien-être, l'inclusion et la mobilisation du personnel. Il a été reconnu que l'efficacité institutionnelle et la résilience de l'UIT étaient directement liées à sa capacité d'attirer, de former et de retenir du personnel qualifié dans un environnement numérique en constante évolution. L'accent a été mis sur l'aptitude à diriger et la gestion des personnes, qui constituent des moteurs essentiels de l'évolution de l'UIT, ainsi que sur l'importance d'assurer une représentation géographique en matière de recrutement, en particulier pour les pays en développement.</w:t>
      </w:r>
    </w:p>
    <w:p w14:paraId="2585685F" w14:textId="4C6FC9A0" w:rsidR="00CE14B4" w:rsidRPr="00386F72" w:rsidRDefault="00CE14B4" w:rsidP="00CE14B4">
      <w:r w:rsidRPr="00386F72">
        <w:t>39.3</w:t>
      </w:r>
      <w:r w:rsidRPr="00386F72">
        <w:tab/>
        <w:t xml:space="preserve">Un conseiller, soulignant qu'il importait de veiller à ce que l'étendue des activités reste réaliste compte tenu des ressources existantes, a déclaré que la feuille de route de mise en œuvre gagnerait à inclure des données de base plus claires et des objectifs mesurables. Un observateur a suggéré que pour améliorer la mise en œuvre du Plan stratégique pour les ressources humaines, </w:t>
      </w:r>
      <w:r w:rsidR="00CC179B">
        <w:t>l</w:t>
      </w:r>
      <w:r w:rsidRPr="00386F72">
        <w:t xml:space="preserve">es résultats de ce plan pourrait être </w:t>
      </w:r>
      <w:r w:rsidR="00CC179B">
        <w:t>examinés</w:t>
      </w:r>
      <w:r w:rsidR="00CC179B" w:rsidRPr="00386F72">
        <w:t xml:space="preserve"> </w:t>
      </w:r>
      <w:r w:rsidRPr="00386F72">
        <w:t xml:space="preserve">afin de dégager des enseignements à tirer pour l'avenir et </w:t>
      </w:r>
      <w:r w:rsidR="00CC179B">
        <w:t>d'étayer</w:t>
      </w:r>
      <w:r w:rsidRPr="00386F72">
        <w:t xml:space="preserve"> l'application de la gestion axée sur les résultats.</w:t>
      </w:r>
    </w:p>
    <w:p w14:paraId="0A01BEE2" w14:textId="77777777" w:rsidR="00CE14B4" w:rsidRPr="00386F72" w:rsidRDefault="00CE14B4" w:rsidP="00CE14B4">
      <w:r w:rsidRPr="00386F72">
        <w:t>39.4</w:t>
      </w:r>
      <w:r w:rsidRPr="00386F72">
        <w:tab/>
        <w:t>Une autre conseillère a dit que des examens périodiques des profils d'emploi et des tâches assignées pourraient contribuer à optimiser l'utilisation des capacités existantes, en permettant au personnel actuel de se charger des tâches émergentes lorsque cela est possible et en favorisant ainsi l'efficacité dans la limite des ressources limitées. Adopter une telle méthode, tout en conservant la souplesse nécessaire pour faire appel à des ressources externes en cas de besoin, pourrait contribuer à accroître la souplesse des effectifs, à optimiser les ressources et à améliorer l'efficacité organisationnelle globale. Un observateur a souligné qu'il importait de veiller à ce que toute utilisation potentielle de l'IA dans le cadre des travaux du Secrétariat soit suivie par les membres du personnel.</w:t>
      </w:r>
    </w:p>
    <w:p w14:paraId="0004AAB0" w14:textId="77777777" w:rsidR="00CE14B4" w:rsidRPr="00386F72" w:rsidRDefault="00CE14B4" w:rsidP="00CE14B4">
      <w:r w:rsidRPr="00386F72">
        <w:t>39.5</w:t>
      </w:r>
      <w:r w:rsidRPr="00386F72">
        <w:tab/>
        <w:t>Compte tenu de l'intention déclarée d'établir des modalités contractuelles plus souples, le respect strict des règles et normes de la CFPI a été encouragé. Notant l'importance du recrutement fondé sur le mérite, une conseillère a souligné qu'en août 2025, l'Unité du contrôle interne a fait part de ses préoccupations concernant les processus de recrutement à court terme menés sans concours et que le Département HRMD réfléchissait encore à l'opportunité de présenter des déclarations relatives aux conflits d'intérêts et à la recherche de candidats. Elle a demandé au Département HRMD et au Secrétariat de s'engager à mettre en œuvre ces mesures de responsabilisation relevant du bon sens au plus tard à la PP-26.</w:t>
      </w:r>
    </w:p>
    <w:p w14:paraId="4E14D975" w14:textId="77777777" w:rsidR="00CE14B4" w:rsidRPr="00386F72" w:rsidRDefault="00CE14B4" w:rsidP="00CE14B4">
      <w:r w:rsidRPr="00386F72">
        <w:t>39.6</w:t>
      </w:r>
      <w:r w:rsidRPr="00386F72">
        <w:tab/>
        <w:t>En réponse aux questions des conseillers, la Cheffe du Département HRMD a déclaré que le cadre pour les indicateurs fondamentaux de performance et les paramètres de mesure axés sur les résultats continueraient d'être renforcés. L'harmonisation des rôles et des besoins liés à l'organisation a déjà été renforcée. La priorité a été donnée au recrutement de talents internes et les engagements dans le cadre des contrats d'engagement spéciaux ont été publiés conformément au cadre réglementaire applicable. Toutes les personnes recrutées par l'UIT à quelque titre que ce soit ont été soumises à des procédures de vérification avant d'être embauchées. Le processus d'alignement sur l'Initiative ONU80 est toujours en cours. Les efforts visant à apporter des améliorations et à réaliser des gains d'efficacité dans l'esprit de l'initiative amorcée se sont poursuivis.</w:t>
      </w:r>
    </w:p>
    <w:p w14:paraId="10E74E33" w14:textId="77777777" w:rsidR="00CE14B4" w:rsidRPr="00386F72" w:rsidRDefault="00CE14B4" w:rsidP="002142D1">
      <w:pPr>
        <w:keepNext/>
        <w:spacing w:after="120"/>
      </w:pPr>
      <w:r w:rsidRPr="00386F72">
        <w:lastRenderedPageBreak/>
        <w:t>39.7</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CE14B4" w:rsidRPr="00386F72" w14:paraId="2A4423F0" w14:textId="77777777" w:rsidTr="000E034A">
        <w:tc>
          <w:tcPr>
            <w:tcW w:w="9208" w:type="dxa"/>
          </w:tcPr>
          <w:p w14:paraId="14AFC310" w14:textId="77777777" w:rsidR="00CE14B4" w:rsidRPr="00386F72" w:rsidRDefault="00CE14B4" w:rsidP="000E034A">
            <w:pPr>
              <w:tabs>
                <w:tab w:val="clear" w:pos="567"/>
                <w:tab w:val="left" w:pos="601"/>
              </w:tabs>
              <w:ind w:left="48"/>
            </w:pPr>
            <w:r w:rsidRPr="00386F72">
              <w:t>39.8</w:t>
            </w:r>
            <w:r w:rsidRPr="00386F72">
              <w:tab/>
              <w:t>La commission recommande au Conseil:</w:t>
            </w:r>
          </w:p>
          <w:p w14:paraId="35DAE9B2" w14:textId="45FDF3FB" w:rsidR="00CE14B4" w:rsidRPr="00386F72" w:rsidRDefault="00CE14B4" w:rsidP="000E034A">
            <w:pPr>
              <w:pStyle w:val="enumlev1"/>
              <w:tabs>
                <w:tab w:val="clear" w:pos="567"/>
              </w:tabs>
              <w:spacing w:after="120"/>
              <w:ind w:left="601"/>
            </w:pPr>
            <w:r w:rsidRPr="00386F72">
              <w:t>•</w:t>
            </w:r>
            <w:r w:rsidRPr="00386F72">
              <w:tab/>
              <w:t>d'approuver le Plan stratégique pour les ressources humaines de l'UIT pour la période</w:t>
            </w:r>
            <w:r w:rsidR="002142D1">
              <w:t> </w:t>
            </w:r>
            <w:r w:rsidRPr="00386F72">
              <w:t xml:space="preserve">2026-2027 figurant le </w:t>
            </w:r>
            <w:hyperlink r:id="rId164" w:history="1">
              <w:r w:rsidRPr="00386F72">
                <w:rPr>
                  <w:rStyle w:val="Hyperlink"/>
                </w:rPr>
                <w:t>Document C26/67</w:t>
              </w:r>
            </w:hyperlink>
            <w:r w:rsidRPr="00386F72">
              <w:t>.</w:t>
            </w:r>
          </w:p>
        </w:tc>
      </w:tr>
    </w:tbl>
    <w:p w14:paraId="4F33BE5F" w14:textId="77777777" w:rsidR="00AC09F3" w:rsidRPr="00386F72" w:rsidRDefault="00AC09F3" w:rsidP="00AC09F3">
      <w:pPr>
        <w:pStyle w:val="Heading1"/>
      </w:pPr>
      <w:r w:rsidRPr="00386F72">
        <w:t>40</w:t>
      </w:r>
      <w:r w:rsidRPr="00386F72">
        <w:tab/>
        <w:t>Renforcer les bases numériques internes pour la transformation de l'UIT – Stratégie, architecture institutionnelle, gouvernance des TIC et modèle d'exploitation des technologies de l'information (</w:t>
      </w:r>
      <w:hyperlink r:id="rId165" w:history="1">
        <w:r w:rsidRPr="00386F72">
          <w:rPr>
            <w:rStyle w:val="Hyperlink"/>
            <w:rFonts w:eastAsia="Times New Roman" w:cs="Times New Roman"/>
            <w:szCs w:val="20"/>
          </w:rPr>
          <w:t>Document C26/62</w:t>
        </w:r>
      </w:hyperlink>
      <w:r w:rsidRPr="00386F72">
        <w:t>)</w:t>
      </w:r>
    </w:p>
    <w:p w14:paraId="0F1B1A42" w14:textId="77777777" w:rsidR="00AC09F3" w:rsidRPr="00386F72" w:rsidRDefault="00AC09F3" w:rsidP="00AC09F3">
      <w:r w:rsidRPr="00386F72">
        <w:t>40.1</w:t>
      </w:r>
      <w:r w:rsidRPr="00386F72">
        <w:tab/>
        <w:t>La Chef du Département des services informatiques a présenté le rapport figurant dans le Document C26/62, qui porte sur le renforcement des bases numériques internes pour la transformation de l'Union. Ce document décrit les progrès accomplis dans la mise en place des quatre éléments fondamentaux indispensables pour permettre à l'Union de devenir une organisation plus résiliente sur le plan numérique, plus sûre, plus axée sur les données et utilisant mieux l'IA. L'oratrice a présenté rapidement ces éléments fondamentaux (stratégie et Plan stratégique pour la transformation numérique pour la période 2026-2027, programme d'architecture institutionnelle, cadre de gouvernance numérique et refonte du modèle de fonctionnement du Département des services informatiques) qui, ensemble, constituaient un écosystème interne intégré pour la transformation numérique. De plus amples informations figuraient dans le Document C26/INF/6.</w:t>
      </w:r>
    </w:p>
    <w:p w14:paraId="1DCAFDFE" w14:textId="76526EA9" w:rsidR="00AC09F3" w:rsidRPr="00386F72" w:rsidRDefault="00AC09F3" w:rsidP="00AC09F3">
      <w:r w:rsidRPr="00386F72">
        <w:t>40.2</w:t>
      </w:r>
      <w:r w:rsidRPr="00386F72">
        <w:tab/>
        <w:t xml:space="preserve">Les conseillers ont accueilli avec satisfaction les progrès accomplis concernant la feuille de route pour la transformation numérique interne de l'Union et ont salué l'approche intégrée décrite dans le document. La mise en place d'une architecture institutionnelle était la bienvenue; il serait utile que les futurs rapports comprennent des informations sur la gouvernance associée, les analyses et la planification des produits, ainsi que sur la gestion des risques liés à l'information, la cybersécurité et l'obsolescence technologique. </w:t>
      </w:r>
      <w:r w:rsidR="00FE71C5">
        <w:t xml:space="preserve">Les conseillers ont souligné le fait que la stratégie interne du Département des services informatiques en matière de numérique est très complète et remarquable, et ont noté qu'elle nécessiterait un financement adapté, et pas uniquement la réaffectation d'économies réalisées par ailleurs. </w:t>
      </w:r>
      <w:r w:rsidRPr="00386F72">
        <w:t>Un conseiller a insisté sur le fait que l'inclusion et la transparence dans la gouvernance des TIC étaient essentielles; la réforme numérique devait obligatoirement tenir compte des besoins et de la situation concrète de tous les États</w:t>
      </w:r>
      <w:r w:rsidR="004E4580">
        <w:t> </w:t>
      </w:r>
      <w:r w:rsidRPr="00386F72">
        <w:t xml:space="preserve">Membres et produire des avantages tangibles pour les pays en développement. Il serait utile </w:t>
      </w:r>
      <w:r w:rsidR="00FE71C5">
        <w:t>de disposer</w:t>
      </w:r>
      <w:r w:rsidRPr="00386F72">
        <w:t xml:space="preserve"> critères </w:t>
      </w:r>
      <w:r w:rsidR="00FE71C5">
        <w:t>d'information concernant l</w:t>
      </w:r>
      <w:r w:rsidRPr="00386F72">
        <w:t xml:space="preserve">'externalisation, </w:t>
      </w:r>
      <w:r w:rsidR="00FE71C5">
        <w:t>et d'avoir des précisions sur les liens entre les différents recrutements concernant des consultants, en particulier les recrutements de EY et du</w:t>
      </w:r>
      <w:r w:rsidRPr="00386F72">
        <w:t xml:space="preserve"> Centre international de calcul des Nations Unies (CIC).</w:t>
      </w:r>
    </w:p>
    <w:p w14:paraId="0F7EAC9A" w14:textId="7078DF35" w:rsidR="00AC09F3" w:rsidRPr="00386F72" w:rsidRDefault="00AC09F3" w:rsidP="002142D1">
      <w:r w:rsidRPr="00386F72">
        <w:t>40.3</w:t>
      </w:r>
      <w:r w:rsidRPr="00386F72">
        <w:tab/>
        <w:t xml:space="preserve">Répondant aux questions et aux observations, </w:t>
      </w:r>
      <w:r w:rsidR="00FE71C5">
        <w:t xml:space="preserve">au sujet de l'affectation de financements pour les activités relatives à l'IA, </w:t>
      </w:r>
      <w:r w:rsidRPr="00386F72">
        <w:t xml:space="preserve">la Chef du Département des services informatiques a expliqué que la proposition d'affectation d'un montant de 1 million CHF provenant de l'excédent budgétaire, telle que présentée dans le Document C26/42, était destinée à financer les initiatives sur l'IA s'adressant à un public extérieur, tandis que les investissements dans les capacités d'IA internes seraient financés via des dépenses d'équipement pour les TIC. Une analyse des coûts des initiatives dans les limites des </w:t>
      </w:r>
      <w:r w:rsidRPr="00386F72">
        <w:lastRenderedPageBreak/>
        <w:t>ressources budgétaires disponibles était en cours; l'affectation des économies réalisées dans l'exécution du budget aiderait à donner un coup d'accélérateur à plusieurs initiatives essentielles. Il fallait impérativement mettre à profit les gains d'efficacité pour développer l'IA. Il était nécessaire de réduire la dette technique; de même, il était nécessaire de moderniser les TIC et de créer des capacités en matière d'IA et de données. Il serait donc vital de poursuivre les investissements, en tenant compte des coûts liés à une modernisation, une amélioration et une maintenance continues.</w:t>
      </w:r>
    </w:p>
    <w:p w14:paraId="09B053AF" w14:textId="77777777" w:rsidR="00AC09F3" w:rsidRPr="00386F72" w:rsidRDefault="00AC09F3" w:rsidP="002142D1">
      <w:r w:rsidRPr="00386F72">
        <w:t>40.4</w:t>
      </w:r>
      <w:r w:rsidRPr="00386F72">
        <w:tab/>
        <w:t>La transformation numérique était structurée compte tenu des différents flux de valeur de l'Union, en privilégiant les services fournis aux États Membres, l'appui apporté aux Secteurs et l'octroi de moyens pour permettre au personnel de mener à bien sa mission. Une approche intégrée de la gouvernance des données, de l'IA et de la cybersécurité étaient en cours d'élaboration, en lien d'un point de vue stratégique avec le Conseil, ses groupes de travail et le CCIG.</w:t>
      </w:r>
    </w:p>
    <w:p w14:paraId="4C871BD8" w14:textId="7684EA80" w:rsidR="00AC09F3" w:rsidRPr="00386F72" w:rsidRDefault="00AC09F3" w:rsidP="00AC09F3">
      <w:r w:rsidRPr="00386F72">
        <w:t>40.5</w:t>
      </w:r>
      <w:r w:rsidRPr="00386F72">
        <w:tab/>
        <w:t xml:space="preserve">Dans le contexte du </w:t>
      </w:r>
      <w:r w:rsidR="00FE71C5">
        <w:t>p</w:t>
      </w:r>
      <w:r w:rsidRPr="00386F72">
        <w:t>lan stratégique</w:t>
      </w:r>
      <w:r w:rsidR="00FE71C5">
        <w:t xml:space="preserve"> du Département des services informatiques</w:t>
      </w:r>
      <w:r w:rsidRPr="00386F72">
        <w:t xml:space="preserve">, un cadre avait été </w:t>
      </w:r>
      <w:r w:rsidR="00FE71C5">
        <w:t>défini</w:t>
      </w:r>
      <w:r w:rsidRPr="00386F72">
        <w:t xml:space="preserve"> pour suivre l'efficacité et </w:t>
      </w:r>
      <w:r w:rsidR="00FE71C5">
        <w:t>gérer les</w:t>
      </w:r>
      <w:r w:rsidRPr="00386F72">
        <w:t xml:space="preserve"> risques. </w:t>
      </w:r>
      <w:r w:rsidR="00FE71C5">
        <w:t>Pilier essentiel, l</w:t>
      </w:r>
      <w:r w:rsidRPr="00386F72">
        <w:t xml:space="preserve">'architecture institutionnelle </w:t>
      </w:r>
      <w:r w:rsidR="00FE71C5">
        <w:t xml:space="preserve">donnait une vue claire </w:t>
      </w:r>
      <w:r w:rsidR="00926C43">
        <w:t>à l'échelle</w:t>
      </w:r>
      <w:r w:rsidR="00FE71C5">
        <w:t xml:space="preserve"> de l'Union</w:t>
      </w:r>
      <w:r w:rsidRPr="00386F72">
        <w:t xml:space="preserve"> de l'environnement </w:t>
      </w:r>
      <w:r w:rsidR="00FE71C5">
        <w:t xml:space="preserve">des technologies de l'information </w:t>
      </w:r>
      <w:r w:rsidR="00926C43">
        <w:t>dans</w:t>
      </w:r>
      <w:r w:rsidRPr="00386F72">
        <w:t xml:space="preserve"> l'Union </w:t>
      </w:r>
      <w:r w:rsidR="00926C43">
        <w:t xml:space="preserve">tout entière </w:t>
      </w:r>
      <w:r w:rsidRPr="00386F72">
        <w:t xml:space="preserve">et </w:t>
      </w:r>
      <w:r w:rsidR="00926C43">
        <w:t xml:space="preserve">dans </w:t>
      </w:r>
      <w:r w:rsidRPr="00386F72">
        <w:t xml:space="preserve">ses Secteurs et </w:t>
      </w:r>
      <w:r w:rsidR="00FE71C5">
        <w:t>sa valeur</w:t>
      </w:r>
      <w:r w:rsidRPr="00386F72">
        <w:t xml:space="preserve"> avait été reconnu</w:t>
      </w:r>
      <w:r w:rsidR="00FE71C5">
        <w:t>e</w:t>
      </w:r>
      <w:r w:rsidRPr="00386F72">
        <w:t xml:space="preserve"> par le CCIG. </w:t>
      </w:r>
      <w:r w:rsidR="00FE71C5">
        <w:t xml:space="preserve">Dans le cadre de l'initiative relative à l'architecture </w:t>
      </w:r>
      <w:r w:rsidR="007578C7">
        <w:t>institutionnelle</w:t>
      </w:r>
      <w:r w:rsidR="00FE71C5">
        <w:t xml:space="preserve">, </w:t>
      </w:r>
      <w:r w:rsidR="00A37815">
        <w:t xml:space="preserve">un travail approfondi avait été entrepris afin de </w:t>
      </w:r>
      <w:r w:rsidR="00926C43">
        <w:t>dresser</w:t>
      </w:r>
      <w:r w:rsidR="00A37815">
        <w:t xml:space="preserve"> un état des lieux de la situation de base actuelle et de définir les futurs besoins de capacités TIC, en étroite collaboration avec les Secteurs. Par exemple, un dialogue avec le BR avait aidé à définir les besoins et les capacités d'appui dans des domaines comme la cybersécurité. Ce travail orienterait la feuille de route pour la transformation numérique interne et </w:t>
      </w:r>
      <w:r w:rsidR="00926C43">
        <w:t>aiderait à</w:t>
      </w:r>
      <w:r w:rsidR="00A37815">
        <w:t xml:space="preserve"> définir un ordre de priorité pour les décisions financières.</w:t>
      </w:r>
      <w:r w:rsidR="00E72650">
        <w:t xml:space="preserve"> En outre, u</w:t>
      </w:r>
      <w:r w:rsidRPr="00386F72">
        <w:t>n ensemble de 25</w:t>
      </w:r>
      <w:r w:rsidR="004E4580">
        <w:t> </w:t>
      </w:r>
      <w:r w:rsidRPr="00386F72">
        <w:t>principes</w:t>
      </w:r>
      <w:r w:rsidR="00E72650">
        <w:t xml:space="preserve"> applicables à l'ensemble de l'UIT</w:t>
      </w:r>
      <w:r w:rsidRPr="00386F72">
        <w:t xml:space="preserve"> </w:t>
      </w:r>
      <w:r w:rsidR="00926C43">
        <w:t>sont</w:t>
      </w:r>
      <w:r w:rsidR="00926C43" w:rsidRPr="00386F72">
        <w:t xml:space="preserve"> </w:t>
      </w:r>
      <w:r w:rsidRPr="00386F72">
        <w:t xml:space="preserve">en cours de définition, </w:t>
      </w:r>
      <w:r w:rsidR="00926C43">
        <w:t xml:space="preserve">afin </w:t>
      </w:r>
      <w:r w:rsidR="00E72650">
        <w:t>d'orienter la gouvernance</w:t>
      </w:r>
      <w:r w:rsidRPr="00386F72">
        <w:t xml:space="preserve">, </w:t>
      </w:r>
      <w:r w:rsidR="00E72650">
        <w:t>de renforcer la prise de</w:t>
      </w:r>
      <w:r w:rsidRPr="00386F72">
        <w:t xml:space="preserve"> décisions et </w:t>
      </w:r>
      <w:r w:rsidR="00E72650">
        <w:t>de</w:t>
      </w:r>
      <w:r w:rsidRPr="00386F72">
        <w:t xml:space="preserve"> </w:t>
      </w:r>
      <w:r w:rsidR="00386F72" w:rsidRPr="00386F72">
        <w:t>rationaliser</w:t>
      </w:r>
      <w:r w:rsidRPr="00386F72">
        <w:t xml:space="preserve"> les investissements et les systèmes pour éviter les doublons.</w:t>
      </w:r>
    </w:p>
    <w:p w14:paraId="7643FAF1" w14:textId="3A73B3F6" w:rsidR="00AC09F3" w:rsidRPr="00386F72" w:rsidRDefault="00AC09F3" w:rsidP="002142D1">
      <w:r w:rsidRPr="00386F72">
        <w:t>40.6</w:t>
      </w:r>
      <w:r w:rsidRPr="00386F72">
        <w:tab/>
        <w:t>S'agissant des liens entre EY et le CIC, EY avait réalisé une évaluation stratégique globale en 2023. La situation avait beaucoup évolué depuis et une évaluation plus actuelle était nécessaire.</w:t>
      </w:r>
      <w:r w:rsidR="007578C7">
        <w:t xml:space="preserve"> Le CIC apportait son aide pour la mise en œuvre et le lancement du programme relatif à l'architecture institutionnelle</w:t>
      </w:r>
      <w:r w:rsidR="008863EA">
        <w:t>.</w:t>
      </w:r>
      <w:r w:rsidRPr="00386F72">
        <w:t xml:space="preserve"> En ce qui concerne le Comité de haut niveau sur la gestion, l'UIT participait aux travaux de plusieurs groupes et avait dirigé des initiatives de ce Comité dans le cadre de l'Initiative ONU80, notamment sur</w:t>
      </w:r>
      <w:r w:rsidR="007578C7">
        <w:t xml:space="preserve"> l'utilisation de</w:t>
      </w:r>
      <w:r w:rsidR="008863EA">
        <w:t> </w:t>
      </w:r>
      <w:r w:rsidR="007578C7">
        <w:t xml:space="preserve">l'IA pour les services de traduction et </w:t>
      </w:r>
      <w:r w:rsidR="00070F82">
        <w:t>les services de conférences numériques. La stratégie était étroitement alignée sur les travaux du GT15 de l'</w:t>
      </w:r>
      <w:r w:rsidR="008863EA">
        <w:t>I</w:t>
      </w:r>
      <w:r w:rsidR="00070F82">
        <w:t>nitiative ONU80. L'accent mis sur un noyau numérique résilient, des plates-formes communes, l'informatique en nuage, la cybersécurité et l'architecture institutionnelle</w:t>
      </w:r>
      <w:r w:rsidR="00A274D7">
        <w:t xml:space="preserve"> aidait</w:t>
      </w:r>
      <w:r w:rsidR="00926C43">
        <w:t xml:space="preserve"> directement</w:t>
      </w:r>
      <w:r w:rsidR="00A274D7">
        <w:t xml:space="preserve"> à atteindre l'objectif </w:t>
      </w:r>
      <w:r w:rsidR="00926C43">
        <w:t>visant à réduire</w:t>
      </w:r>
      <w:r w:rsidR="00A274D7">
        <w:t xml:space="preserve"> la fragmentation et </w:t>
      </w:r>
      <w:r w:rsidR="00926C43">
        <w:t>à mettre</w:t>
      </w:r>
      <w:r w:rsidR="00A274D7">
        <w:t xml:space="preserve"> à profit de</w:t>
      </w:r>
      <w:r w:rsidR="00926C43">
        <w:t>s</w:t>
      </w:r>
      <w:r w:rsidR="00A274D7">
        <w:t xml:space="preserve"> technologies communes au sein du système des Nations Unies</w:t>
      </w:r>
      <w:r w:rsidRPr="00386F72">
        <w:t>.</w:t>
      </w:r>
    </w:p>
    <w:p w14:paraId="28FEE8B6" w14:textId="77777777" w:rsidR="00AC09F3" w:rsidRPr="00386F72" w:rsidRDefault="00AC09F3" w:rsidP="001F49C0">
      <w:pPr>
        <w:keepNext/>
        <w:spacing w:after="120"/>
      </w:pPr>
      <w:r w:rsidRPr="00386F72">
        <w:lastRenderedPageBreak/>
        <w:t>40.7</w:t>
      </w:r>
      <w:r w:rsidRPr="00386F72">
        <w:tab/>
        <w:t xml:space="preserve">La Commission </w:t>
      </w:r>
      <w:r w:rsidRPr="00386F72">
        <w:rPr>
          <w:b/>
          <w:bCs/>
        </w:rPr>
        <w:t>est</w:t>
      </w:r>
      <w:r w:rsidRPr="00386F72">
        <w:t xml:space="preserve"> </w:t>
      </w:r>
      <w:r w:rsidRPr="00386F72">
        <w:rPr>
          <w:b/>
          <w:bCs/>
        </w:rPr>
        <w:t>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061"/>
      </w:tblGrid>
      <w:tr w:rsidR="00AC09F3" w:rsidRPr="00386F72" w14:paraId="2FC9EDC8" w14:textId="77777777" w:rsidTr="00CE14B4">
        <w:tc>
          <w:tcPr>
            <w:tcW w:w="9061" w:type="dxa"/>
          </w:tcPr>
          <w:p w14:paraId="56325D04" w14:textId="77777777" w:rsidR="00AC09F3" w:rsidRPr="00386F72" w:rsidRDefault="00AC09F3" w:rsidP="001F49C0">
            <w:pPr>
              <w:keepNext/>
              <w:tabs>
                <w:tab w:val="clear" w:pos="567"/>
                <w:tab w:val="left" w:pos="601"/>
              </w:tabs>
              <w:ind w:left="40"/>
            </w:pPr>
            <w:r w:rsidRPr="00386F72">
              <w:t>40.8</w:t>
            </w:r>
            <w:r w:rsidRPr="00386F72">
              <w:tab/>
              <w:t>La Commission recommande au Conseil:</w:t>
            </w:r>
          </w:p>
          <w:p w14:paraId="6527468E" w14:textId="47CB5699" w:rsidR="00AC09F3" w:rsidRPr="00386F72" w:rsidRDefault="00AC09F3" w:rsidP="00CE14B4">
            <w:pPr>
              <w:pStyle w:val="enumlev1"/>
              <w:ind w:hanging="529"/>
            </w:pPr>
            <w:r w:rsidRPr="00386F72">
              <w:t>•</w:t>
            </w:r>
            <w:r w:rsidRPr="00386F72">
              <w:tab/>
              <w:t xml:space="preserve">de prendre note des progrès présentés dans le </w:t>
            </w:r>
            <w:hyperlink r:id="rId166" w:history="1">
              <w:r w:rsidRPr="00386F72">
                <w:rPr>
                  <w:rStyle w:val="Hyperlink"/>
                </w:rPr>
                <w:t>Document C26/62</w:t>
              </w:r>
            </w:hyperlink>
            <w:r w:rsidRPr="00386F72">
              <w:t>;</w:t>
            </w:r>
          </w:p>
          <w:p w14:paraId="17A0C8AB" w14:textId="77777777" w:rsidR="00AC09F3" w:rsidRDefault="00AC09F3" w:rsidP="00CE14B4">
            <w:pPr>
              <w:pStyle w:val="enumlev1"/>
              <w:spacing w:after="80"/>
              <w:ind w:hanging="529"/>
            </w:pPr>
            <w:r w:rsidRPr="00386F72">
              <w:t>•</w:t>
            </w:r>
            <w:r w:rsidRPr="00386F72">
              <w:tab/>
              <w:t>de donner au Secrétariat les orientations qu'il jugera appropriées</w:t>
            </w:r>
            <w:r w:rsidR="002142D1">
              <w:t>;</w:t>
            </w:r>
          </w:p>
          <w:p w14:paraId="69568CD1" w14:textId="77777777" w:rsidR="002142D1" w:rsidRDefault="002142D1" w:rsidP="00CE14B4">
            <w:pPr>
              <w:pStyle w:val="enumlev1"/>
              <w:spacing w:after="80"/>
              <w:ind w:hanging="529"/>
            </w:pPr>
            <w:r w:rsidRPr="002142D1">
              <w:t>•</w:t>
            </w:r>
            <w:r>
              <w:tab/>
            </w:r>
            <w:r w:rsidRPr="002142D1">
              <w:t>d'inviter le Secrétariat à soumettre son projet de stratégie pour la transformation numérique au GTC-FHR pour examen; et</w:t>
            </w:r>
          </w:p>
          <w:p w14:paraId="2ECAA934" w14:textId="2BD879FF" w:rsidR="001F49C0" w:rsidRPr="00386F72" w:rsidRDefault="001F49C0" w:rsidP="00CE14B4">
            <w:pPr>
              <w:pStyle w:val="enumlev1"/>
              <w:spacing w:after="80"/>
              <w:ind w:hanging="529"/>
            </w:pPr>
            <w:r w:rsidRPr="001F49C0">
              <w:t>•</w:t>
            </w:r>
            <w:r>
              <w:tab/>
            </w:r>
            <w:r w:rsidRPr="001F49C0">
              <w:t>de rendre compte régulièrement au GTC-FHR des activités liées à la transformation informatique et numérique.</w:t>
            </w:r>
          </w:p>
        </w:tc>
      </w:tr>
    </w:tbl>
    <w:p w14:paraId="6AE9C19E" w14:textId="60851938" w:rsidR="00E53846" w:rsidRPr="00386F72" w:rsidRDefault="00E53846" w:rsidP="00E53846">
      <w:pPr>
        <w:pStyle w:val="Heading1"/>
      </w:pPr>
      <w:r w:rsidRPr="00386F72">
        <w:rPr>
          <w:bCs/>
        </w:rPr>
        <w:t>41</w:t>
      </w:r>
      <w:r w:rsidRPr="00386F72">
        <w:tab/>
        <w:t>Renforcement de la coordination intersectorielle dans l'ensemble de l'UIT (</w:t>
      </w:r>
      <w:hyperlink r:id="rId167" w:history="1">
        <w:r w:rsidRPr="00386F72">
          <w:rPr>
            <w:rStyle w:val="Hyperlink"/>
            <w:rFonts w:eastAsia="Times New Roman" w:cs="Times New Roman"/>
            <w:szCs w:val="20"/>
          </w:rPr>
          <w:t>Document C26/27</w:t>
        </w:r>
      </w:hyperlink>
      <w:r w:rsidRPr="00386F72">
        <w:t>)</w:t>
      </w:r>
      <w:hyperlink r:id="rId168" w:history="1"/>
    </w:p>
    <w:p w14:paraId="24B5AA62" w14:textId="77777777" w:rsidR="00E53846" w:rsidRPr="00386F72" w:rsidRDefault="00E53846" w:rsidP="00E53846">
      <w:pPr>
        <w:pStyle w:val="Headingb"/>
        <w:ind w:left="540"/>
        <w:rPr>
          <w:i/>
          <w:sz w:val="32"/>
          <w:szCs w:val="32"/>
        </w:rPr>
      </w:pPr>
      <w:r w:rsidRPr="00386F72">
        <w:rPr>
          <w:sz w:val="28"/>
          <w:szCs w:val="22"/>
        </w:rPr>
        <w:t>Projet de révision de la Résolution 191 (Rév. Bucarest, 2022) de la Conférence de plénipotentiaires sur la stratégie de coordination des efforts entre les trois Secteurs de l'Union (</w:t>
      </w:r>
      <w:hyperlink r:id="rId169" w:history="1">
        <w:r w:rsidRPr="00386F72">
          <w:rPr>
            <w:rStyle w:val="Hyperlink"/>
            <w:rFonts w:eastAsia="Times New Roman" w:cs="Times New Roman"/>
            <w:sz w:val="28"/>
          </w:rPr>
          <w:t>Document C26/89</w:t>
        </w:r>
      </w:hyperlink>
      <w:r w:rsidRPr="00386F72">
        <w:rPr>
          <w:sz w:val="28"/>
          <w:szCs w:val="22"/>
        </w:rPr>
        <w:t>)</w:t>
      </w:r>
      <w:hyperlink r:id="rId170" w:history="1"/>
    </w:p>
    <w:p w14:paraId="68563F4D" w14:textId="77777777" w:rsidR="00E53846" w:rsidRPr="00386F72" w:rsidRDefault="00E53846" w:rsidP="00E53846">
      <w:pPr>
        <w:pStyle w:val="Headingb"/>
        <w:ind w:left="540"/>
        <w:rPr>
          <w:sz w:val="28"/>
          <w:szCs w:val="28"/>
        </w:rPr>
      </w:pPr>
      <w:r w:rsidRPr="00386F72">
        <w:rPr>
          <w:sz w:val="28"/>
          <w:szCs w:val="22"/>
        </w:rPr>
        <w:t>Projet de révision de la Résolution 58 (Rév. Busan, 2014) de la Conférence de plénipotentiaires (</w:t>
      </w:r>
      <w:hyperlink r:id="rId171" w:history="1">
        <w:r w:rsidRPr="00386F72">
          <w:rPr>
            <w:rStyle w:val="Hyperlink"/>
            <w:rFonts w:eastAsia="Times New Roman" w:cs="Times New Roman"/>
            <w:sz w:val="28"/>
          </w:rPr>
          <w:t>Document C26/88</w:t>
        </w:r>
      </w:hyperlink>
      <w:r w:rsidRPr="00386F72">
        <w:rPr>
          <w:sz w:val="28"/>
          <w:szCs w:val="22"/>
        </w:rPr>
        <w:t>)</w:t>
      </w:r>
      <w:hyperlink r:id="rId172" w:history="1"/>
    </w:p>
    <w:p w14:paraId="4FC754AC" w14:textId="1ACCA945" w:rsidR="00E53846" w:rsidRPr="00386F72" w:rsidRDefault="00E53846" w:rsidP="00E53846">
      <w:pPr>
        <w:rPr>
          <w:rFonts w:cs="Calibri"/>
        </w:rPr>
      </w:pPr>
      <w:r w:rsidRPr="00386F72">
        <w:t>41.1</w:t>
      </w:r>
      <w:r w:rsidRPr="00386F72">
        <w:tab/>
        <w:t xml:space="preserve">Un représentant du Secrétariat général a présenté le rapport figurant dans le Document C26/27 relatif au renforcement de la coordination intersectorielle dans l'ensemble de l'UIT. Le rapport porte sur la mise en œuvre de la Résolution 191 (Rév. Bucarest, 2022) de la Conférence de plénipotentiaires (PP) relative à la stratégie de coordination des efforts entre les trois Secteurs de l'Union et le Secrétariat général. Il décrit le travail administratif entrepris par le </w:t>
      </w:r>
      <w:r w:rsidR="00AB78E5">
        <w:t>S</w:t>
      </w:r>
      <w:r w:rsidRPr="00386F72">
        <w:t>ecrétariat; met en évidence la liste actualisée des thèmes appelant une coordination intersectorielle et la mise en correspondance des résolutions correspondantes; et contient également un résumé des travaux du Groupe de coordination intersectorielle sur les questions d'intérêt mutuel (ISCG).</w:t>
      </w:r>
    </w:p>
    <w:p w14:paraId="2D08334F" w14:textId="77777777" w:rsidR="00E53846" w:rsidRPr="00386F72" w:rsidRDefault="00E53846" w:rsidP="00E53846">
      <w:r w:rsidRPr="00386F72">
        <w:t>41.2</w:t>
      </w:r>
      <w:r w:rsidRPr="00386F72">
        <w:tab/>
        <w:t>Le Président du Groupe ISCG a présenté un aperçu des travaux du Groupe, tels qu'ils figurent dans le Document C26/27. Il a expliqué que le Groupe ISCG est un mécanisme axé sur la soumission de contributions, qui fonctionne grâce à la participation active des groupes consultatifs des Secteurs et joue un rôle essentiel dans le renforcement de la coordination entre les membres de l'UIT. Ses activités sont axées sur des domaines thématiques, qui ont récemment été élargis pour inclure la participation du secteur privé. Le Groupe ISCG a créé un Groupe du Rapporteur sur la rationalisation des Résolutions et a inclus les gains d'efficacité comme nouveau thème, afin de faciliter l'échange de bonnes pratiques entre les trois Secteurs. Un exercice de mise en correspondance a été entrepris pour améliorer l'alignement des travaux dans l'ensemble de l'Union et est actuellement à l'étude. La participation aux travaux de l'ISCG ainsi que la soumission de contributions à cet égard ont été encouragées. Le Président a également informé la Commission que le Groupe ISCG avait l'intention de soumettre à l'avenir un rapport distinct au Conseil, afin d'accroître sa visibilité et les incidences de ses travaux.</w:t>
      </w:r>
    </w:p>
    <w:p w14:paraId="2EA53BF6" w14:textId="77777777" w:rsidR="00E53846" w:rsidRPr="00386F72" w:rsidRDefault="00E53846" w:rsidP="001F49C0">
      <w:pPr>
        <w:keepLines/>
      </w:pPr>
      <w:r w:rsidRPr="00386F72">
        <w:lastRenderedPageBreak/>
        <w:t>41.3</w:t>
      </w:r>
      <w:r w:rsidRPr="00386F72">
        <w:tab/>
        <w:t xml:space="preserve"> Avec l'appui de deux conseillers, l'observateur de la Fédération de Russie a présenté deux contributions multipays figurant dans les Documents C26/89 et C26/88, chacune au nom de trois pays. Dans ces contributions, il est proposé d'apporter des modifications aux Résolutions 191 (Rév. Bucarest, 2022) et 58 (Rév. Busan, 2014) de la PP, respectivement. Il a été précisé que les révisions proposées avaient été élaborées compte tenu des observations formulées lors des consultations menées au sein des groupes de travail du Conseil, ainsi que des analyses comparatives des dispositions des Résolutions de la PP et des Résolutions correspondantes des Secteurs, en vue d'améliorer l'harmonisation et de réduire les redondances. Si les modifications proposées sont adoptées à la PP-26, la question de savoir s'il convient de réviser ou d'abroger les résolutions correspondantes des Secteurs sera examinée à l'AR-27, à l'AMNT-28 et à la CMDT-29, sur proposition des États Membres et des Membres de Secteur.</w:t>
      </w:r>
    </w:p>
    <w:p w14:paraId="3051CCF4" w14:textId="13FA132D" w:rsidR="00B60035" w:rsidRPr="00386F72" w:rsidRDefault="00E53846" w:rsidP="00E53846">
      <w:r w:rsidRPr="00386F72">
        <w:t>41.4</w:t>
      </w:r>
      <w:r w:rsidRPr="00386F72">
        <w:tab/>
        <w:t>Les conseillers ont accueilli favorablement le rapport et les informations actualisées fournies par le Président du Groupe ISCG, et ont salué le travail considérable entrepris pour mettre en œuvre la Résolution 191 (Rév. Bucarest, 2022). Il a été souligné que la coordination intersectorielle devrait être un processus continu à l'échelle du Secrétariat général et des Bureaux, afin de renforcer l'alignement, de réduire les doubles emplois, d'améliorer l'excellence opérationnelle et d'accroître l'efficacité. Plusieurs conseillers ont encouragé la présentation au Conseil des gains d'efficacité résultant de la coordination intersectorielle. Il a également été souligné qu'il était important de promouvoir une approche cohérente en faveur d'une UIT unie dans l'action ("One ITU") sur des questions d'intérêt mutuel relevant des mandats des Secteurs. Bien qu'il soit nécessaire de répartir de manière claire les rôles et les responsabilités pour éviter les chevauchements et optimiser les synergies, les conseillers ont souligné que les mandats spécifiques de chaque Secteur devaient continuer d'être respectés. La mise en correspondance des Résolutions a été largement considérée comme un exercice particulièrement utile, compte tenu du nombre croissant de résolutions adoptées chaque année dans le cadre des conférences et assemblées de l'UIT. Un conseiller a demandé pourquoi seuls trois domaines appelant une coordination sont énumérés dans le rapport. Il convient de renforcer le rôle du Groupe ISCG.</w:t>
      </w:r>
    </w:p>
    <w:p w14:paraId="23F5330C" w14:textId="77777777" w:rsidR="00BD10E7" w:rsidRPr="00386F72" w:rsidRDefault="00BD10E7" w:rsidP="00BD10E7">
      <w:r w:rsidRPr="00386F72">
        <w:t>41.5</w:t>
      </w:r>
      <w:r w:rsidRPr="00386F72">
        <w:tab/>
        <w:t>Des conseillers ont appuyé les deux contributions soumises par plusieurs pays et ont reconnu l'intérêt d'harmoniser les Résolutions de la Conférence de plénipotentiaires avec celles des conférences et assemblées des Secteurs. Les efforts visant à réviser les deux Résolutions bien avant la PP-26, dans le cadre d'une démarche plus large de rationalisation et de coordination intersectorielle, ont été bien accueillis. Plusieurs délégations ont rappelé que la nécessité de rationaliser les résolutions avait déjà été examinée à la session de 2025 du Conseil et au sein des groupes de travail du Conseil. Il a en outre été noté que les révisions proposées pourraient renforcer la coordination, tant au sein de l'UIT qu'entre l'UIT et les organisations régionales de télécommunication, et méritaient donc un examen attentif.</w:t>
      </w:r>
    </w:p>
    <w:p w14:paraId="10B4074A" w14:textId="77777777" w:rsidR="00BD10E7" w:rsidRPr="00386F72" w:rsidRDefault="00BD10E7" w:rsidP="001F49C0">
      <w:r w:rsidRPr="00386F72">
        <w:t>41.6</w:t>
      </w:r>
      <w:r w:rsidRPr="00386F72">
        <w:tab/>
        <w:t xml:space="preserve">Un représentant du Secrétariat général a réaffirmé la détermination du Secrétariat à continuer de renforcer la coordination intersectorielle. Il a fait observer que le tableau de mise en correspondance des résolutions accessible au public en ligne était actualisé après chaque conférence ou assemblée. La coordination intersectorielle avait été particulièrement fructueuse lors des activités entreprises dans le cadre de l'Initiative ONU80. On a identifié plus de 40 domaines d'intérêt commun dans lesquels une coordination intersectorielle serait utile; les trois mesures mentionnées dans le rapport étaient des exemples de réussite pour </w:t>
      </w:r>
      <w:r w:rsidRPr="00386F72">
        <w:lastRenderedPageBreak/>
        <w:t>ce qui est de la coordination. Les mesures adoptées dans d'autres domaines sont accessibles au public sur le site web du Groupe ISCG et d'autres exemples sont présentés dans le Document C26/35.</w:t>
      </w:r>
    </w:p>
    <w:p w14:paraId="658850A3" w14:textId="77777777" w:rsidR="00BD10E7" w:rsidRPr="00386F72" w:rsidRDefault="00BD10E7" w:rsidP="00BD10E7">
      <w:pPr>
        <w:spacing w:after="120"/>
      </w:pPr>
      <w:r w:rsidRPr="00386F72">
        <w:t>41.7</w:t>
      </w:r>
      <w:r w:rsidRPr="00386F72">
        <w:tab/>
        <w:t xml:space="preserve">La Commission </w:t>
      </w:r>
      <w:r w:rsidRPr="00386F72">
        <w:rPr>
          <w:b/>
          <w:bCs/>
        </w:rPr>
        <w:t>est convenue</w:t>
      </w:r>
      <w:r w:rsidRPr="00386F72">
        <w:t xml:space="preserve"> de formuler les conclusions suivantes sur cette question:</w:t>
      </w:r>
    </w:p>
    <w:tbl>
      <w:tblPr>
        <w:tblStyle w:val="TableGrid"/>
        <w:tblW w:w="0" w:type="auto"/>
        <w:tblInd w:w="-147" w:type="dxa"/>
        <w:tblLook w:val="04A0" w:firstRow="1" w:lastRow="0" w:firstColumn="1" w:lastColumn="0" w:noHBand="0" w:noVBand="1"/>
      </w:tblPr>
      <w:tblGrid>
        <w:gridCol w:w="9208"/>
      </w:tblGrid>
      <w:tr w:rsidR="00BD10E7" w:rsidRPr="00386F72" w14:paraId="36E50290" w14:textId="77777777" w:rsidTr="000228FB">
        <w:tc>
          <w:tcPr>
            <w:tcW w:w="9208" w:type="dxa"/>
          </w:tcPr>
          <w:p w14:paraId="398A643E" w14:textId="77777777" w:rsidR="00BD10E7" w:rsidRPr="00386F72" w:rsidRDefault="00BD10E7" w:rsidP="001F49C0">
            <w:pPr>
              <w:tabs>
                <w:tab w:val="clear" w:pos="567"/>
                <w:tab w:val="left" w:pos="601"/>
              </w:tabs>
              <w:ind w:left="41"/>
            </w:pPr>
            <w:r w:rsidRPr="00386F72">
              <w:t>41.8</w:t>
            </w:r>
            <w:r w:rsidRPr="00386F72">
              <w:tab/>
              <w:t>La Commission recommande au Conseil:</w:t>
            </w:r>
          </w:p>
          <w:p w14:paraId="0D346F00" w14:textId="52A7D45A" w:rsidR="00BD10E7" w:rsidRPr="00386F72" w:rsidRDefault="00BD10E7" w:rsidP="00BD10E7">
            <w:pPr>
              <w:pStyle w:val="enumlev1"/>
              <w:ind w:hanging="526"/>
            </w:pPr>
            <w:r w:rsidRPr="00386F72">
              <w:t>•</w:t>
            </w:r>
            <w:r w:rsidRPr="00386F72">
              <w:tab/>
              <w:t xml:space="preserve">de prendre note du rapport figurant dans le </w:t>
            </w:r>
            <w:hyperlink r:id="rId173" w:history="1">
              <w:r w:rsidRPr="00386F72">
                <w:rPr>
                  <w:rStyle w:val="Hyperlink"/>
                </w:rPr>
                <w:t>Document C26/27</w:t>
              </w:r>
            </w:hyperlink>
            <w:r w:rsidRPr="00386F72">
              <w:t xml:space="preserve"> et des contributions soumises par plusieurs pays dans les </w:t>
            </w:r>
            <w:hyperlink r:id="rId174" w:history="1">
              <w:r w:rsidRPr="00386F72">
                <w:rPr>
                  <w:rStyle w:val="Hyperlink"/>
                </w:rPr>
                <w:t>Documents C26/89</w:t>
              </w:r>
            </w:hyperlink>
            <w:r w:rsidRPr="00386F72">
              <w:t xml:space="preserve"> et </w:t>
            </w:r>
            <w:hyperlink r:id="rId175" w:history="1">
              <w:r w:rsidRPr="00386F72">
                <w:rPr>
                  <w:rStyle w:val="Hyperlink"/>
                </w:rPr>
                <w:t>C26/88</w:t>
              </w:r>
            </w:hyperlink>
            <w:r w:rsidRPr="00386F72">
              <w:t>; et</w:t>
            </w:r>
          </w:p>
          <w:p w14:paraId="2F9309A0" w14:textId="77777777" w:rsidR="00BD10E7" w:rsidRPr="00386F72" w:rsidRDefault="00BD10E7" w:rsidP="00BD10E7">
            <w:pPr>
              <w:pStyle w:val="enumlev1"/>
              <w:spacing w:after="120"/>
              <w:ind w:hanging="526"/>
            </w:pPr>
            <w:r w:rsidRPr="00386F72">
              <w:t>•</w:t>
            </w:r>
            <w:r w:rsidRPr="00386F72">
              <w:tab/>
              <w:t>d'inviter l'initiateur des contributions multipays à soumettre les propositions à la Conférence de plénipotentiaires (Doha, 2026) pour examen.</w:t>
            </w:r>
          </w:p>
        </w:tc>
      </w:tr>
    </w:tbl>
    <w:p w14:paraId="60FAE5B1" w14:textId="44ADF822" w:rsidR="00057825" w:rsidRPr="00386F72" w:rsidRDefault="00057825" w:rsidP="00CF204B">
      <w:bookmarkStart w:id="5" w:name="ANNEXEA"/>
      <w:bookmarkEnd w:id="5"/>
      <w:r w:rsidRPr="00386F72">
        <w:br w:type="page"/>
      </w:r>
    </w:p>
    <w:p w14:paraId="1976D64F" w14:textId="2C215557" w:rsidR="00057825" w:rsidRPr="00386F72" w:rsidRDefault="00057825" w:rsidP="00057825">
      <w:pPr>
        <w:pStyle w:val="AnnexNo"/>
      </w:pPr>
      <w:r w:rsidRPr="00386F72">
        <w:lastRenderedPageBreak/>
        <w:t>ANNEXE A</w:t>
      </w:r>
    </w:p>
    <w:p w14:paraId="065BD36F" w14:textId="77777777" w:rsidR="008C4770" w:rsidRPr="00386F72" w:rsidRDefault="008C4770" w:rsidP="008C4770">
      <w:pPr>
        <w:pStyle w:val="ResNo"/>
      </w:pPr>
      <w:r w:rsidRPr="00386F72">
        <w:t>PROJET DE NOUVELLE RÉSOLUTION […]</w:t>
      </w:r>
    </w:p>
    <w:p w14:paraId="0BCAF828" w14:textId="77777777" w:rsidR="008C4770" w:rsidRPr="00386F72" w:rsidRDefault="008C4770" w:rsidP="008C4770">
      <w:pPr>
        <w:pStyle w:val="Restitle"/>
      </w:pPr>
      <w:r w:rsidRPr="00386F72">
        <w:t>Parts contributives de l'Équateur aux dépenses de l'Union</w:t>
      </w:r>
    </w:p>
    <w:p w14:paraId="049EDE2B" w14:textId="77777777" w:rsidR="008C4770" w:rsidRPr="00386F72" w:rsidRDefault="008C4770" w:rsidP="008C4770">
      <w:pPr>
        <w:pStyle w:val="Normalaftertitle"/>
      </w:pPr>
      <w:r w:rsidRPr="00386F72">
        <w:t>Le Conseil de l'UIT,</w:t>
      </w:r>
    </w:p>
    <w:p w14:paraId="5DBDBD9C" w14:textId="77777777" w:rsidR="008C4770" w:rsidRPr="00386F72" w:rsidRDefault="008C4770" w:rsidP="008C4770">
      <w:pPr>
        <w:pStyle w:val="Call"/>
      </w:pPr>
      <w:r w:rsidRPr="00386F72">
        <w:t>vu</w:t>
      </w:r>
    </w:p>
    <w:p w14:paraId="531FE708" w14:textId="77777777" w:rsidR="008C4770" w:rsidRPr="00386F72" w:rsidRDefault="008C4770" w:rsidP="008C4770">
      <w:r w:rsidRPr="00386F72">
        <w:t>les dispositions du numéro 165A (article 28) de la Constitution de l'UIT,</w:t>
      </w:r>
    </w:p>
    <w:p w14:paraId="09EF0430" w14:textId="77777777" w:rsidR="008C4770" w:rsidRPr="00386F72" w:rsidRDefault="008C4770" w:rsidP="008C4770">
      <w:pPr>
        <w:pStyle w:val="Call"/>
      </w:pPr>
      <w:r w:rsidRPr="00386F72">
        <w:t>ayant pris connaissance</w:t>
      </w:r>
    </w:p>
    <w:p w14:paraId="31805697" w14:textId="2F950817" w:rsidR="008C4770" w:rsidRPr="00386F72" w:rsidRDefault="008C4770" w:rsidP="008C4770">
      <w:r w:rsidRPr="00386F72">
        <w:t>du Rapport de la Secrétaire générale reproduit dans le</w:t>
      </w:r>
      <w:r w:rsidR="00926C43">
        <w:t>s</w:t>
      </w:r>
      <w:r w:rsidRPr="00386F72">
        <w:t xml:space="preserve"> </w:t>
      </w:r>
      <w:hyperlink r:id="rId176" w:history="1">
        <w:r w:rsidRPr="00386F72">
          <w:rPr>
            <w:rStyle w:val="Hyperlink"/>
            <w:rFonts w:eastAsia="Times New Roman" w:cs="Times New Roman"/>
            <w:szCs w:val="20"/>
          </w:rPr>
          <w:t>Document</w:t>
        </w:r>
        <w:r w:rsidR="00926C43">
          <w:rPr>
            <w:rStyle w:val="Hyperlink"/>
            <w:rFonts w:eastAsia="Times New Roman" w:cs="Times New Roman"/>
            <w:szCs w:val="20"/>
          </w:rPr>
          <w:t>s</w:t>
        </w:r>
        <w:r w:rsidRPr="00386F72">
          <w:rPr>
            <w:rStyle w:val="Hyperlink"/>
            <w:rFonts w:eastAsia="Times New Roman" w:cs="Times New Roman"/>
            <w:szCs w:val="20"/>
          </w:rPr>
          <w:t xml:space="preserve"> C26/54</w:t>
        </w:r>
      </w:hyperlink>
      <w:r w:rsidR="00926C43" w:rsidRPr="005C6A26">
        <w:t xml:space="preserve"> et </w:t>
      </w:r>
      <w:hyperlink r:id="rId177" w:history="1">
        <w:r w:rsidR="00926C43" w:rsidRPr="005C6A26">
          <w:rPr>
            <w:rStyle w:val="Hyperlink"/>
          </w:rPr>
          <w:t>C26/DT/5(Rév.</w:t>
        </w:r>
        <w:r w:rsidR="00E1216A">
          <w:rPr>
            <w:rStyle w:val="Hyperlink"/>
          </w:rPr>
          <w:t>2</w:t>
        </w:r>
        <w:r w:rsidR="00926C43" w:rsidRPr="005C6A26">
          <w:rPr>
            <w:rStyle w:val="Hyperlink"/>
          </w:rPr>
          <w:t>)</w:t>
        </w:r>
      </w:hyperlink>
      <w:r w:rsidRPr="00386F72">
        <w:t>,</w:t>
      </w:r>
    </w:p>
    <w:p w14:paraId="2386BEB1" w14:textId="77777777" w:rsidR="008C4770" w:rsidRPr="00386F72" w:rsidRDefault="008C4770" w:rsidP="008C4770">
      <w:pPr>
        <w:pStyle w:val="Call"/>
      </w:pPr>
      <w:r w:rsidRPr="00386F72">
        <w:t>décide</w:t>
      </w:r>
    </w:p>
    <w:p w14:paraId="034E4BFE" w14:textId="34D188F4" w:rsidR="008C4770" w:rsidRPr="00386F72" w:rsidRDefault="008C4770" w:rsidP="008C4770">
      <w:r w:rsidRPr="00386F72">
        <w:t>d'autoriser l'Équateur à participer aux dépenses de l'Union dans la classe de 1/8 d'unité du 1er janvier 2028 au 31 décembre 2031, ou jusqu'à ce que le Conseil détermine que les circonstances dans lesquelles l'exception a été accordée ont changé</w:t>
      </w:r>
      <w:r w:rsidR="001F49C0">
        <w:t>.</w:t>
      </w:r>
    </w:p>
    <w:p w14:paraId="2CD4DD7A" w14:textId="77777777" w:rsidR="00CE14B4" w:rsidRPr="00386F72" w:rsidRDefault="00CE14B4" w:rsidP="008C4770"/>
    <w:p w14:paraId="59D78EBF" w14:textId="77777777" w:rsidR="008C4770" w:rsidRPr="00386F72" w:rsidRDefault="008C4770" w:rsidP="008C4770">
      <w:pPr>
        <w:spacing w:before="480"/>
        <w:jc w:val="center"/>
      </w:pPr>
      <w:r w:rsidRPr="00386F72">
        <w:t>*********</w:t>
      </w:r>
    </w:p>
    <w:p w14:paraId="469DE102" w14:textId="44BC6B09" w:rsidR="00B74EA5" w:rsidRPr="00386F72" w:rsidRDefault="00B74EA5" w:rsidP="001F49C0">
      <w:pPr>
        <w:pStyle w:val="Annextitle"/>
        <w:jc w:val="left"/>
      </w:pPr>
      <w:r w:rsidRPr="00386F72">
        <w:br w:type="page"/>
      </w:r>
    </w:p>
    <w:p w14:paraId="0B630A2B" w14:textId="0856FEBD" w:rsidR="00B74EA5" w:rsidRPr="00386F72" w:rsidRDefault="00B74EA5" w:rsidP="00B74EA5">
      <w:pPr>
        <w:pStyle w:val="AnnexNo"/>
      </w:pPr>
      <w:r w:rsidRPr="00386F72">
        <w:lastRenderedPageBreak/>
        <w:t>ANNEXE B</w:t>
      </w:r>
    </w:p>
    <w:p w14:paraId="7F085522" w14:textId="00AF8C9E" w:rsidR="00057825" w:rsidRPr="00386F72" w:rsidRDefault="00057825" w:rsidP="00057825">
      <w:pPr>
        <w:pStyle w:val="RecNo"/>
      </w:pPr>
      <w:r w:rsidRPr="00386F72">
        <w:t xml:space="preserve">PROJET DE </w:t>
      </w:r>
      <w:r w:rsidR="00F120FA" w:rsidRPr="00386F72">
        <w:t xml:space="preserve">NOUvELLE </w:t>
      </w:r>
      <w:r w:rsidRPr="00386F72">
        <w:t>DÉCISION [...]</w:t>
      </w:r>
    </w:p>
    <w:p w14:paraId="7DB701A5" w14:textId="77777777" w:rsidR="00057825" w:rsidRPr="00386F72" w:rsidRDefault="00057825" w:rsidP="00057825">
      <w:pPr>
        <w:pStyle w:val="Rectitle"/>
      </w:pPr>
      <w:r w:rsidRPr="00386F72">
        <w:t>Passation par pertes et profits d'intérêts moratoires</w:t>
      </w:r>
      <w:r w:rsidRPr="00386F72">
        <w:br/>
        <w:t>et de créances irrécupérables</w:t>
      </w:r>
    </w:p>
    <w:p w14:paraId="70C7005D" w14:textId="77777777" w:rsidR="00057825" w:rsidRPr="00386F72" w:rsidRDefault="00057825" w:rsidP="00057825">
      <w:pPr>
        <w:pStyle w:val="Normalaftertitle"/>
      </w:pPr>
      <w:r w:rsidRPr="00386F72">
        <w:t>Le Conseil de l'UIT,</w:t>
      </w:r>
    </w:p>
    <w:p w14:paraId="1D65DF81" w14:textId="77777777" w:rsidR="00057825" w:rsidRPr="00386F72" w:rsidRDefault="00057825" w:rsidP="00057825">
      <w:pPr>
        <w:pStyle w:val="Call"/>
      </w:pPr>
      <w:r w:rsidRPr="00386F72">
        <w:t>ayant examiné</w:t>
      </w:r>
    </w:p>
    <w:p w14:paraId="683C2B1B" w14:textId="6A30BA66" w:rsidR="00057825" w:rsidRPr="00386F72" w:rsidRDefault="00057825" w:rsidP="00057825">
      <w:r w:rsidRPr="00386F72">
        <w:t>le Rapport de la Secrétaire générale sur les arriérés et comptes spéciaux d'arriérés (</w:t>
      </w:r>
      <w:hyperlink r:id="rId178" w:history="1">
        <w:r w:rsidRPr="00386F72">
          <w:rPr>
            <w:rStyle w:val="Hyperlink"/>
          </w:rPr>
          <w:t xml:space="preserve">Document </w:t>
        </w:r>
        <w:r w:rsidRPr="00386F72">
          <w:rPr>
            <w:rStyle w:val="Hyperlink"/>
            <w:rFonts w:eastAsia="Times New Roman" w:cs="Times New Roman"/>
            <w:szCs w:val="20"/>
          </w:rPr>
          <w:t>C26/11</w:t>
        </w:r>
        <w:r w:rsidR="003C349A" w:rsidRPr="00386F72">
          <w:rPr>
            <w:rStyle w:val="Hyperlink"/>
            <w:rFonts w:eastAsia="Times New Roman" w:cs="Times New Roman"/>
            <w:szCs w:val="20"/>
          </w:rPr>
          <w:t>(Rév.1)</w:t>
        </w:r>
      </w:hyperlink>
      <w:r w:rsidRPr="00386F72">
        <w:t>),</w:t>
      </w:r>
    </w:p>
    <w:p w14:paraId="674EA371" w14:textId="77777777" w:rsidR="00057825" w:rsidRPr="00386F72" w:rsidRDefault="00057825" w:rsidP="00057825">
      <w:pPr>
        <w:pStyle w:val="Call"/>
      </w:pPr>
      <w:r w:rsidRPr="00386F72">
        <w:t>décide</w:t>
      </w:r>
    </w:p>
    <w:p w14:paraId="4EE110D3" w14:textId="77777777" w:rsidR="00057825" w:rsidRPr="00386F72" w:rsidRDefault="00057825" w:rsidP="00057825">
      <w:pPr>
        <w:spacing w:after="120"/>
      </w:pPr>
      <w:r w:rsidRPr="00386F72">
        <w:t xml:space="preserve">d'approuver la passation par pertes et profits des intérêts moratoires et des créances irrécupérables suivants pour un montant total de </w:t>
      </w:r>
      <w:r w:rsidRPr="00386F72">
        <w:rPr>
          <w:b/>
          <w:bCs/>
        </w:rPr>
        <w:t>566 815,60 CHF</w:t>
      </w:r>
      <w:r w:rsidRPr="00386F72">
        <w:t xml:space="preserve"> par un prélèvement correspondant sur la Provision pour comptes débiteurs. Veuillez consulter le tableau ci</w:t>
      </w:r>
      <w:r w:rsidRPr="00386F72">
        <w:noBreakHyphen/>
        <w:t>dessous pour plus de précisions:</w:t>
      </w:r>
    </w:p>
    <w:tbl>
      <w:tblPr>
        <w:tblW w:w="9869" w:type="dxa"/>
        <w:tblInd w:w="10" w:type="dxa"/>
        <w:tblLayout w:type="fixed"/>
        <w:tblLook w:val="04A0" w:firstRow="1" w:lastRow="0" w:firstColumn="1" w:lastColumn="0" w:noHBand="0" w:noVBand="1"/>
      </w:tblPr>
      <w:tblGrid>
        <w:gridCol w:w="1129"/>
        <w:gridCol w:w="1686"/>
        <w:gridCol w:w="2823"/>
        <w:gridCol w:w="1019"/>
        <w:gridCol w:w="1060"/>
        <w:gridCol w:w="7"/>
        <w:gridCol w:w="1103"/>
        <w:gridCol w:w="1042"/>
      </w:tblGrid>
      <w:tr w:rsidR="00057825" w:rsidRPr="00386F72" w14:paraId="75BAF145" w14:textId="77777777" w:rsidTr="001F49C0">
        <w:trPr>
          <w:trHeight w:val="300"/>
          <w:tblHeader/>
        </w:trPr>
        <w:tc>
          <w:tcPr>
            <w:tcW w:w="1129"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B4F4246" w14:textId="77777777" w:rsidR="00057825" w:rsidRPr="00386F72" w:rsidRDefault="00057825" w:rsidP="00051420">
            <w:pPr>
              <w:pStyle w:val="Tablehead"/>
              <w:rPr>
                <w:sz w:val="18"/>
                <w:szCs w:val="18"/>
                <w:lang w:eastAsia="en-GB"/>
              </w:rPr>
            </w:pPr>
            <w:r w:rsidRPr="00386F72">
              <w:rPr>
                <w:sz w:val="18"/>
                <w:szCs w:val="18"/>
                <w:lang w:eastAsia="en-GB"/>
              </w:rPr>
              <w:t>Compte N°</w:t>
            </w:r>
          </w:p>
        </w:tc>
        <w:tc>
          <w:tcPr>
            <w:tcW w:w="1686"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1AAE462F" w14:textId="77777777" w:rsidR="00057825" w:rsidRPr="00386F72" w:rsidRDefault="00057825" w:rsidP="00051420">
            <w:pPr>
              <w:pStyle w:val="Tablehead"/>
              <w:rPr>
                <w:sz w:val="18"/>
                <w:szCs w:val="18"/>
                <w:lang w:eastAsia="en-GB"/>
              </w:rPr>
            </w:pPr>
            <w:r w:rsidRPr="00386F72">
              <w:rPr>
                <w:sz w:val="18"/>
                <w:szCs w:val="18"/>
                <w:lang w:eastAsia="en-GB"/>
              </w:rPr>
              <w:t>Pays</w:t>
            </w:r>
          </w:p>
        </w:tc>
        <w:tc>
          <w:tcPr>
            <w:tcW w:w="2823"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2AC728E1" w14:textId="77777777" w:rsidR="00057825" w:rsidRPr="00386F72" w:rsidRDefault="00057825" w:rsidP="00051420">
            <w:pPr>
              <w:pStyle w:val="Tablehead"/>
              <w:rPr>
                <w:sz w:val="18"/>
                <w:szCs w:val="18"/>
                <w:lang w:eastAsia="en-GB"/>
              </w:rPr>
            </w:pPr>
            <w:r w:rsidRPr="00386F72">
              <w:rPr>
                <w:sz w:val="18"/>
                <w:szCs w:val="18"/>
                <w:lang w:eastAsia="en-GB"/>
              </w:rPr>
              <w:t>Nom de l'organisation</w:t>
            </w:r>
          </w:p>
        </w:tc>
        <w:tc>
          <w:tcPr>
            <w:tcW w:w="1019"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3578153C" w14:textId="77777777" w:rsidR="00057825" w:rsidRPr="00386F72" w:rsidRDefault="00057825" w:rsidP="00051420">
            <w:pPr>
              <w:pStyle w:val="Tablehead"/>
              <w:rPr>
                <w:sz w:val="18"/>
                <w:szCs w:val="18"/>
                <w:lang w:eastAsia="en-GB"/>
              </w:rPr>
            </w:pPr>
            <w:r w:rsidRPr="00386F72">
              <w:rPr>
                <w:sz w:val="18"/>
                <w:szCs w:val="18"/>
                <w:lang w:eastAsia="en-GB"/>
              </w:rPr>
              <w:t xml:space="preserve">Année </w:t>
            </w:r>
          </w:p>
        </w:tc>
        <w:tc>
          <w:tcPr>
            <w:tcW w:w="1060"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5AD35BF0" w14:textId="77777777" w:rsidR="00057825" w:rsidRPr="00386F72" w:rsidRDefault="00057825" w:rsidP="00051420">
            <w:pPr>
              <w:pStyle w:val="Tablehead"/>
              <w:rPr>
                <w:sz w:val="18"/>
                <w:szCs w:val="18"/>
                <w:lang w:eastAsia="en-GB"/>
              </w:rPr>
            </w:pPr>
            <w:r w:rsidRPr="00386F72">
              <w:rPr>
                <w:sz w:val="18"/>
                <w:szCs w:val="18"/>
                <w:lang w:eastAsia="en-GB"/>
              </w:rPr>
              <w:t>Capital restant dû</w:t>
            </w:r>
          </w:p>
        </w:tc>
        <w:tc>
          <w:tcPr>
            <w:tcW w:w="1110" w:type="dxa"/>
            <w:gridSpan w:val="2"/>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97AE86A" w14:textId="77777777" w:rsidR="00057825" w:rsidRPr="00386F72" w:rsidRDefault="00057825" w:rsidP="00051420">
            <w:pPr>
              <w:pStyle w:val="Tablehead"/>
              <w:rPr>
                <w:sz w:val="18"/>
                <w:szCs w:val="18"/>
                <w:lang w:eastAsia="en-GB"/>
              </w:rPr>
            </w:pPr>
            <w:r w:rsidRPr="00386F72">
              <w:rPr>
                <w:color w:val="000000" w:themeColor="text1"/>
                <w:sz w:val="18"/>
                <w:szCs w:val="18"/>
                <w:lang w:eastAsia="en-GB"/>
              </w:rPr>
              <w:t>Intérêts</w:t>
            </w:r>
          </w:p>
        </w:tc>
        <w:tc>
          <w:tcPr>
            <w:tcW w:w="1042"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14:paraId="7B332FBA" w14:textId="77777777" w:rsidR="00057825" w:rsidRPr="00386F72" w:rsidRDefault="00057825" w:rsidP="00051420">
            <w:pPr>
              <w:pStyle w:val="Tablehead"/>
              <w:rPr>
                <w:sz w:val="18"/>
                <w:szCs w:val="18"/>
                <w:lang w:eastAsia="en-GB"/>
              </w:rPr>
            </w:pPr>
            <w:r w:rsidRPr="00386F72">
              <w:rPr>
                <w:sz w:val="18"/>
                <w:szCs w:val="18"/>
                <w:lang w:eastAsia="en-GB"/>
              </w:rPr>
              <w:t>Total</w:t>
            </w:r>
          </w:p>
        </w:tc>
      </w:tr>
      <w:tr w:rsidR="00057825" w:rsidRPr="00386F72" w14:paraId="752CFC11" w14:textId="77777777" w:rsidTr="001F49C0">
        <w:trPr>
          <w:trHeight w:val="450"/>
        </w:trPr>
        <w:tc>
          <w:tcPr>
            <w:tcW w:w="1129" w:type="dxa"/>
            <w:tcBorders>
              <w:top w:val="single" w:sz="8" w:space="0" w:color="auto"/>
              <w:left w:val="single" w:sz="4" w:space="0" w:color="auto"/>
              <w:bottom w:val="single" w:sz="4" w:space="0" w:color="auto"/>
            </w:tcBorders>
          </w:tcPr>
          <w:p w14:paraId="1FC6EA44" w14:textId="77777777" w:rsidR="00057825" w:rsidRPr="00386F72" w:rsidRDefault="00057825" w:rsidP="00051420">
            <w:pPr>
              <w:pStyle w:val="Tabletext"/>
              <w:jc w:val="center"/>
              <w:rPr>
                <w:sz w:val="18"/>
                <w:szCs w:val="18"/>
                <w:lang w:eastAsia="en-GB"/>
              </w:rPr>
            </w:pPr>
            <w:r w:rsidRPr="00386F72">
              <w:rPr>
                <w:sz w:val="18"/>
                <w:szCs w:val="18"/>
                <w:lang w:eastAsia="en-GB"/>
              </w:rPr>
              <w:t>53305</w:t>
            </w:r>
          </w:p>
        </w:tc>
        <w:tc>
          <w:tcPr>
            <w:tcW w:w="1686" w:type="dxa"/>
            <w:tcBorders>
              <w:top w:val="single" w:sz="8" w:space="0" w:color="auto"/>
              <w:left w:val="single" w:sz="4" w:space="0" w:color="auto"/>
              <w:bottom w:val="single" w:sz="4" w:space="0" w:color="auto"/>
              <w:right w:val="single" w:sz="4" w:space="0" w:color="auto"/>
            </w:tcBorders>
            <w:shd w:val="clear" w:color="auto" w:fill="FFFFFF" w:themeFill="background1"/>
            <w:noWrap/>
            <w:hideMark/>
          </w:tcPr>
          <w:p w14:paraId="2D15F278" w14:textId="77777777" w:rsidR="00057825" w:rsidRPr="00386F72" w:rsidRDefault="00057825" w:rsidP="00051420">
            <w:pPr>
              <w:pStyle w:val="Tabletext"/>
              <w:rPr>
                <w:sz w:val="18"/>
                <w:szCs w:val="18"/>
                <w:lang w:eastAsia="en-GB"/>
              </w:rPr>
            </w:pPr>
            <w:r w:rsidRPr="00386F72">
              <w:rPr>
                <w:sz w:val="18"/>
                <w:szCs w:val="18"/>
                <w:lang w:eastAsia="en-GB"/>
              </w:rPr>
              <w:t>Côte d'Ivoire</w:t>
            </w:r>
          </w:p>
        </w:tc>
        <w:tc>
          <w:tcPr>
            <w:tcW w:w="2823" w:type="dxa"/>
            <w:tcBorders>
              <w:top w:val="single" w:sz="8" w:space="0" w:color="auto"/>
              <w:left w:val="nil"/>
              <w:bottom w:val="single" w:sz="4" w:space="0" w:color="auto"/>
              <w:right w:val="single" w:sz="4" w:space="0" w:color="auto"/>
            </w:tcBorders>
            <w:shd w:val="clear" w:color="auto" w:fill="FFFFFF" w:themeFill="background1"/>
            <w:hideMark/>
          </w:tcPr>
          <w:p w14:paraId="3E03AF2C" w14:textId="77777777" w:rsidR="00057825" w:rsidRPr="00386F72" w:rsidRDefault="00057825" w:rsidP="00051420">
            <w:pPr>
              <w:pStyle w:val="Tabletext"/>
              <w:ind w:right="-34"/>
              <w:rPr>
                <w:sz w:val="18"/>
                <w:szCs w:val="18"/>
                <w:lang w:eastAsia="en-GB"/>
              </w:rPr>
            </w:pPr>
            <w:r w:rsidRPr="00386F72">
              <w:rPr>
                <w:sz w:val="18"/>
                <w:szCs w:val="18"/>
                <w:lang w:eastAsia="en-GB"/>
              </w:rPr>
              <w:t>Autorité de Régulation des Télécommunications de Côte d'Ivoire (ARTCI)</w:t>
            </w:r>
          </w:p>
        </w:tc>
        <w:tc>
          <w:tcPr>
            <w:tcW w:w="1019" w:type="dxa"/>
            <w:tcBorders>
              <w:top w:val="single" w:sz="8" w:space="0" w:color="auto"/>
              <w:left w:val="nil"/>
              <w:bottom w:val="single" w:sz="4" w:space="0" w:color="auto"/>
              <w:right w:val="single" w:sz="4" w:space="0" w:color="auto"/>
            </w:tcBorders>
            <w:shd w:val="clear" w:color="auto" w:fill="FFFFFF" w:themeFill="background1"/>
            <w:noWrap/>
            <w:hideMark/>
          </w:tcPr>
          <w:p w14:paraId="2E641310" w14:textId="77777777" w:rsidR="00057825" w:rsidRPr="00386F72" w:rsidRDefault="00057825" w:rsidP="00051420">
            <w:pPr>
              <w:pStyle w:val="Tabletext"/>
              <w:jc w:val="center"/>
              <w:rPr>
                <w:sz w:val="18"/>
                <w:szCs w:val="18"/>
                <w:lang w:eastAsia="en-GB"/>
              </w:rPr>
            </w:pPr>
            <w:r w:rsidRPr="00386F72">
              <w:rPr>
                <w:sz w:val="18"/>
                <w:szCs w:val="18"/>
                <w:lang w:eastAsia="en-GB"/>
              </w:rPr>
              <w:t>2023-2025</w:t>
            </w:r>
          </w:p>
        </w:tc>
        <w:tc>
          <w:tcPr>
            <w:tcW w:w="1060" w:type="dxa"/>
            <w:tcBorders>
              <w:top w:val="single" w:sz="8" w:space="0" w:color="auto"/>
              <w:left w:val="nil"/>
              <w:bottom w:val="single" w:sz="4" w:space="0" w:color="auto"/>
              <w:right w:val="single" w:sz="4" w:space="0" w:color="auto"/>
            </w:tcBorders>
            <w:shd w:val="clear" w:color="auto" w:fill="FFFFFF" w:themeFill="background1"/>
            <w:noWrap/>
            <w:hideMark/>
          </w:tcPr>
          <w:p w14:paraId="503C0BC0" w14:textId="77777777" w:rsidR="00057825" w:rsidRPr="00386F72" w:rsidRDefault="00057825" w:rsidP="00051420">
            <w:pPr>
              <w:pStyle w:val="Tabletext"/>
              <w:jc w:val="center"/>
              <w:rPr>
                <w:sz w:val="18"/>
                <w:szCs w:val="18"/>
                <w:lang w:eastAsia="en-GB"/>
              </w:rPr>
            </w:pPr>
            <w:r w:rsidRPr="00386F72">
              <w:rPr>
                <w:sz w:val="18"/>
                <w:szCs w:val="18"/>
                <w:lang w:eastAsia="en-GB"/>
              </w:rPr>
              <w:t>0,00</w:t>
            </w:r>
          </w:p>
        </w:tc>
        <w:tc>
          <w:tcPr>
            <w:tcW w:w="1110" w:type="dxa"/>
            <w:gridSpan w:val="2"/>
            <w:tcBorders>
              <w:top w:val="single" w:sz="8" w:space="0" w:color="auto"/>
              <w:left w:val="nil"/>
              <w:bottom w:val="single" w:sz="4" w:space="0" w:color="auto"/>
              <w:right w:val="single" w:sz="4" w:space="0" w:color="auto"/>
            </w:tcBorders>
            <w:shd w:val="clear" w:color="auto" w:fill="FFFFFF" w:themeFill="background1"/>
            <w:noWrap/>
            <w:hideMark/>
          </w:tcPr>
          <w:p w14:paraId="2A9BB4C5" w14:textId="77777777" w:rsidR="00057825" w:rsidRPr="00386F72" w:rsidRDefault="00057825" w:rsidP="00051420">
            <w:pPr>
              <w:pStyle w:val="Tabletext"/>
              <w:jc w:val="center"/>
              <w:rPr>
                <w:sz w:val="18"/>
                <w:szCs w:val="18"/>
                <w:lang w:eastAsia="en-GB"/>
              </w:rPr>
            </w:pPr>
            <w:r w:rsidRPr="00386F72">
              <w:rPr>
                <w:sz w:val="18"/>
                <w:szCs w:val="18"/>
                <w:lang w:eastAsia="en-GB"/>
              </w:rPr>
              <w:t>91 315,30</w:t>
            </w:r>
          </w:p>
        </w:tc>
        <w:tc>
          <w:tcPr>
            <w:tcW w:w="1042" w:type="dxa"/>
            <w:tcBorders>
              <w:top w:val="single" w:sz="8" w:space="0" w:color="auto"/>
              <w:left w:val="nil"/>
              <w:bottom w:val="single" w:sz="4" w:space="0" w:color="auto"/>
              <w:right w:val="single" w:sz="4" w:space="0" w:color="auto"/>
            </w:tcBorders>
            <w:shd w:val="clear" w:color="auto" w:fill="FFFFFF" w:themeFill="background1"/>
            <w:noWrap/>
            <w:hideMark/>
          </w:tcPr>
          <w:p w14:paraId="3272B23F" w14:textId="77777777" w:rsidR="00057825" w:rsidRPr="00386F72" w:rsidRDefault="00057825" w:rsidP="00051420">
            <w:pPr>
              <w:pStyle w:val="Tabletext"/>
              <w:jc w:val="center"/>
              <w:rPr>
                <w:sz w:val="18"/>
                <w:szCs w:val="18"/>
                <w:lang w:eastAsia="en-GB"/>
              </w:rPr>
            </w:pPr>
            <w:r w:rsidRPr="00386F72">
              <w:rPr>
                <w:sz w:val="18"/>
                <w:szCs w:val="18"/>
                <w:lang w:eastAsia="en-GB"/>
              </w:rPr>
              <w:t>91 315,30</w:t>
            </w:r>
          </w:p>
        </w:tc>
      </w:tr>
      <w:tr w:rsidR="00057825" w:rsidRPr="00386F72" w14:paraId="0C95949B" w14:textId="77777777" w:rsidTr="001F49C0">
        <w:trPr>
          <w:trHeight w:val="300"/>
        </w:trPr>
        <w:tc>
          <w:tcPr>
            <w:tcW w:w="1129" w:type="dxa"/>
            <w:tcBorders>
              <w:top w:val="single" w:sz="4" w:space="0" w:color="auto"/>
              <w:left w:val="single" w:sz="4" w:space="0" w:color="auto"/>
              <w:bottom w:val="single" w:sz="4" w:space="0" w:color="auto"/>
            </w:tcBorders>
          </w:tcPr>
          <w:p w14:paraId="59CF0891" w14:textId="77777777" w:rsidR="00057825" w:rsidRPr="00386F72" w:rsidRDefault="00057825" w:rsidP="00051420">
            <w:pPr>
              <w:pStyle w:val="Tabletext"/>
              <w:jc w:val="center"/>
              <w:rPr>
                <w:sz w:val="18"/>
                <w:szCs w:val="18"/>
                <w:lang w:eastAsia="en-GB"/>
              </w:rPr>
            </w:pPr>
            <w:r w:rsidRPr="00386F72">
              <w:rPr>
                <w:sz w:val="18"/>
                <w:szCs w:val="18"/>
                <w:lang w:eastAsia="en-GB"/>
              </w:rPr>
              <w:t>131</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76888E32" w14:textId="77777777" w:rsidR="00057825" w:rsidRPr="00386F72" w:rsidRDefault="00057825" w:rsidP="00051420">
            <w:pPr>
              <w:pStyle w:val="Tabletext"/>
              <w:rPr>
                <w:sz w:val="18"/>
                <w:szCs w:val="18"/>
                <w:lang w:eastAsia="en-GB"/>
              </w:rPr>
            </w:pPr>
            <w:r w:rsidRPr="00386F72">
              <w:rPr>
                <w:sz w:val="18"/>
                <w:szCs w:val="18"/>
                <w:lang w:eastAsia="en-GB"/>
              </w:rPr>
              <w:t>Israël</w:t>
            </w:r>
          </w:p>
        </w:tc>
        <w:tc>
          <w:tcPr>
            <w:tcW w:w="2823" w:type="dxa"/>
            <w:tcBorders>
              <w:top w:val="nil"/>
              <w:left w:val="nil"/>
              <w:bottom w:val="single" w:sz="4" w:space="0" w:color="auto"/>
              <w:right w:val="single" w:sz="4" w:space="0" w:color="auto"/>
            </w:tcBorders>
            <w:shd w:val="clear" w:color="auto" w:fill="FFFFFF" w:themeFill="background1"/>
            <w:hideMark/>
          </w:tcPr>
          <w:p w14:paraId="6FC4071A" w14:textId="77777777" w:rsidR="00057825" w:rsidRPr="00386F72" w:rsidRDefault="00057825" w:rsidP="00051420">
            <w:pPr>
              <w:pStyle w:val="Tabletext"/>
              <w:rPr>
                <w:sz w:val="18"/>
                <w:szCs w:val="18"/>
                <w:lang w:eastAsia="en-GB"/>
              </w:rPr>
            </w:pPr>
            <w:r w:rsidRPr="00386F72">
              <w:rPr>
                <w:sz w:val="18"/>
                <w:szCs w:val="18"/>
                <w:lang w:eastAsia="en-GB"/>
              </w:rPr>
              <w:t>Ministère des communications</w:t>
            </w:r>
          </w:p>
        </w:tc>
        <w:tc>
          <w:tcPr>
            <w:tcW w:w="1019" w:type="dxa"/>
            <w:tcBorders>
              <w:top w:val="nil"/>
              <w:left w:val="nil"/>
              <w:bottom w:val="single" w:sz="4" w:space="0" w:color="auto"/>
              <w:right w:val="single" w:sz="4" w:space="0" w:color="auto"/>
            </w:tcBorders>
            <w:shd w:val="clear" w:color="auto" w:fill="FFFFFF" w:themeFill="background1"/>
            <w:noWrap/>
            <w:hideMark/>
          </w:tcPr>
          <w:p w14:paraId="4E5162DC" w14:textId="77777777" w:rsidR="00057825" w:rsidRPr="00386F72" w:rsidRDefault="00057825" w:rsidP="00051420">
            <w:pPr>
              <w:pStyle w:val="Tabletext"/>
              <w:jc w:val="center"/>
              <w:rPr>
                <w:sz w:val="18"/>
                <w:szCs w:val="18"/>
                <w:lang w:eastAsia="en-GB"/>
              </w:rPr>
            </w:pPr>
            <w:r w:rsidRPr="00386F72">
              <w:rPr>
                <w:sz w:val="18"/>
                <w:szCs w:val="18"/>
                <w:lang w:eastAsia="en-GB"/>
              </w:rPr>
              <w:t>2025</w:t>
            </w:r>
          </w:p>
        </w:tc>
        <w:tc>
          <w:tcPr>
            <w:tcW w:w="1060" w:type="dxa"/>
            <w:tcBorders>
              <w:top w:val="nil"/>
              <w:left w:val="nil"/>
              <w:bottom w:val="single" w:sz="4" w:space="0" w:color="auto"/>
              <w:right w:val="single" w:sz="4" w:space="0" w:color="auto"/>
            </w:tcBorders>
            <w:shd w:val="clear" w:color="auto" w:fill="FFFFFF" w:themeFill="background1"/>
            <w:noWrap/>
            <w:hideMark/>
          </w:tcPr>
          <w:p w14:paraId="234A79D9" w14:textId="77777777" w:rsidR="00057825" w:rsidRPr="00386F72" w:rsidRDefault="00057825" w:rsidP="00051420">
            <w:pPr>
              <w:pStyle w:val="Tabletext"/>
              <w:jc w:val="center"/>
              <w:rPr>
                <w:sz w:val="18"/>
                <w:szCs w:val="18"/>
                <w:lang w:eastAsia="en-GB"/>
              </w:rPr>
            </w:pPr>
            <w:r w:rsidRPr="00386F72">
              <w:rPr>
                <w:sz w:val="18"/>
                <w:szCs w:val="18"/>
                <w:lang w:eastAsia="en-GB"/>
              </w:rPr>
              <w:t>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7B315132" w14:textId="77777777" w:rsidR="00057825" w:rsidRPr="00386F72" w:rsidRDefault="00057825" w:rsidP="00051420">
            <w:pPr>
              <w:pStyle w:val="Tabletext"/>
              <w:jc w:val="center"/>
              <w:rPr>
                <w:sz w:val="18"/>
                <w:szCs w:val="18"/>
                <w:lang w:eastAsia="en-GB"/>
              </w:rPr>
            </w:pPr>
            <w:r w:rsidRPr="00386F72">
              <w:rPr>
                <w:sz w:val="18"/>
                <w:szCs w:val="18"/>
                <w:lang w:eastAsia="en-GB"/>
              </w:rPr>
              <w:t>7 314,00</w:t>
            </w:r>
          </w:p>
        </w:tc>
        <w:tc>
          <w:tcPr>
            <w:tcW w:w="1042" w:type="dxa"/>
            <w:tcBorders>
              <w:top w:val="nil"/>
              <w:left w:val="nil"/>
              <w:bottom w:val="single" w:sz="4" w:space="0" w:color="auto"/>
              <w:right w:val="single" w:sz="4" w:space="0" w:color="auto"/>
            </w:tcBorders>
            <w:shd w:val="clear" w:color="auto" w:fill="FFFFFF" w:themeFill="background1"/>
            <w:noWrap/>
            <w:hideMark/>
          </w:tcPr>
          <w:p w14:paraId="2E04E36D" w14:textId="77777777" w:rsidR="00057825" w:rsidRPr="00386F72" w:rsidRDefault="00057825" w:rsidP="00051420">
            <w:pPr>
              <w:pStyle w:val="Tabletext"/>
              <w:jc w:val="center"/>
              <w:rPr>
                <w:sz w:val="18"/>
                <w:szCs w:val="18"/>
                <w:lang w:eastAsia="en-GB"/>
              </w:rPr>
            </w:pPr>
            <w:r w:rsidRPr="00386F72">
              <w:rPr>
                <w:sz w:val="18"/>
                <w:szCs w:val="18"/>
                <w:lang w:eastAsia="en-GB"/>
              </w:rPr>
              <w:t>7 314,00</w:t>
            </w:r>
          </w:p>
        </w:tc>
      </w:tr>
      <w:tr w:rsidR="00057825" w:rsidRPr="00386F72" w14:paraId="63294CFA" w14:textId="77777777" w:rsidTr="001F49C0">
        <w:trPr>
          <w:trHeight w:val="450"/>
        </w:trPr>
        <w:tc>
          <w:tcPr>
            <w:tcW w:w="1129" w:type="dxa"/>
            <w:tcBorders>
              <w:top w:val="single" w:sz="4" w:space="0" w:color="auto"/>
              <w:left w:val="single" w:sz="4" w:space="0" w:color="auto"/>
              <w:bottom w:val="single" w:sz="4" w:space="0" w:color="auto"/>
            </w:tcBorders>
          </w:tcPr>
          <w:p w14:paraId="6172C723" w14:textId="77777777" w:rsidR="00057825" w:rsidRPr="00386F72" w:rsidRDefault="00057825" w:rsidP="00051420">
            <w:pPr>
              <w:pStyle w:val="Tabletext"/>
              <w:jc w:val="center"/>
              <w:rPr>
                <w:sz w:val="18"/>
                <w:szCs w:val="18"/>
                <w:lang w:eastAsia="en-GB"/>
              </w:rPr>
            </w:pPr>
            <w:r w:rsidRPr="00386F72">
              <w:rPr>
                <w:sz w:val="18"/>
                <w:szCs w:val="18"/>
                <w:lang w:eastAsia="en-GB"/>
              </w:rPr>
              <w:t>14794</w:t>
            </w:r>
          </w:p>
        </w:tc>
        <w:tc>
          <w:tcPr>
            <w:tcW w:w="1686" w:type="dxa"/>
            <w:tcBorders>
              <w:top w:val="nil"/>
              <w:left w:val="single" w:sz="4" w:space="0" w:color="auto"/>
              <w:bottom w:val="single" w:sz="4" w:space="0" w:color="auto"/>
              <w:right w:val="single" w:sz="4" w:space="0" w:color="auto"/>
            </w:tcBorders>
            <w:shd w:val="clear" w:color="auto" w:fill="FFFFFF" w:themeFill="background1"/>
            <w:noWrap/>
          </w:tcPr>
          <w:p w14:paraId="0B4E78D6" w14:textId="77777777" w:rsidR="00057825" w:rsidRPr="00386F72" w:rsidRDefault="00057825" w:rsidP="00051420">
            <w:pPr>
              <w:pStyle w:val="Tabletext"/>
              <w:rPr>
                <w:sz w:val="18"/>
                <w:szCs w:val="18"/>
                <w:lang w:eastAsia="en-GB"/>
              </w:rPr>
            </w:pPr>
            <w:r w:rsidRPr="00386F72">
              <w:rPr>
                <w:sz w:val="18"/>
                <w:szCs w:val="18"/>
                <w:lang w:eastAsia="en-GB"/>
              </w:rPr>
              <w:t>Kazakhstan</w:t>
            </w:r>
          </w:p>
        </w:tc>
        <w:tc>
          <w:tcPr>
            <w:tcW w:w="2823" w:type="dxa"/>
            <w:tcBorders>
              <w:top w:val="nil"/>
              <w:left w:val="nil"/>
              <w:bottom w:val="single" w:sz="4" w:space="0" w:color="auto"/>
              <w:right w:val="single" w:sz="4" w:space="0" w:color="auto"/>
            </w:tcBorders>
            <w:shd w:val="clear" w:color="auto" w:fill="FFFFFF" w:themeFill="background1"/>
          </w:tcPr>
          <w:p w14:paraId="5C7E6B87" w14:textId="77777777" w:rsidR="00057825" w:rsidRPr="00386F72" w:rsidRDefault="00057825" w:rsidP="00051420">
            <w:pPr>
              <w:pStyle w:val="Tabletext"/>
              <w:rPr>
                <w:sz w:val="18"/>
                <w:szCs w:val="18"/>
                <w:lang w:eastAsia="en-GB"/>
              </w:rPr>
            </w:pPr>
            <w:r w:rsidRPr="00386F72">
              <w:rPr>
                <w:sz w:val="18"/>
                <w:szCs w:val="18"/>
                <w:lang w:eastAsia="en-GB"/>
              </w:rPr>
              <w:t>Ministère de l'intelligence artificielle et du développement numérique</w:t>
            </w:r>
          </w:p>
        </w:tc>
        <w:tc>
          <w:tcPr>
            <w:tcW w:w="1019" w:type="dxa"/>
            <w:tcBorders>
              <w:top w:val="nil"/>
              <w:left w:val="nil"/>
              <w:bottom w:val="single" w:sz="4" w:space="0" w:color="auto"/>
              <w:right w:val="single" w:sz="4" w:space="0" w:color="auto"/>
            </w:tcBorders>
            <w:shd w:val="clear" w:color="auto" w:fill="FFFFFF" w:themeFill="background1"/>
            <w:noWrap/>
          </w:tcPr>
          <w:p w14:paraId="78F00650" w14:textId="77777777" w:rsidR="00057825" w:rsidRPr="00386F72" w:rsidRDefault="00057825" w:rsidP="00051420">
            <w:pPr>
              <w:pStyle w:val="Tabletext"/>
              <w:jc w:val="center"/>
              <w:rPr>
                <w:sz w:val="18"/>
                <w:szCs w:val="18"/>
                <w:lang w:eastAsia="en-GB"/>
              </w:rPr>
            </w:pPr>
            <w:r w:rsidRPr="00386F72">
              <w:rPr>
                <w:sz w:val="18"/>
                <w:szCs w:val="18"/>
                <w:lang w:eastAsia="en-GB"/>
              </w:rPr>
              <w:t>2024-2025</w:t>
            </w:r>
          </w:p>
        </w:tc>
        <w:tc>
          <w:tcPr>
            <w:tcW w:w="1060" w:type="dxa"/>
            <w:tcBorders>
              <w:top w:val="nil"/>
              <w:left w:val="nil"/>
              <w:bottom w:val="single" w:sz="4" w:space="0" w:color="auto"/>
              <w:right w:val="single" w:sz="4" w:space="0" w:color="auto"/>
            </w:tcBorders>
            <w:shd w:val="clear" w:color="auto" w:fill="FFFFFF" w:themeFill="background1"/>
            <w:noWrap/>
          </w:tcPr>
          <w:p w14:paraId="2B2F16F6" w14:textId="77777777" w:rsidR="00057825" w:rsidRPr="00386F72" w:rsidRDefault="00057825" w:rsidP="00051420">
            <w:pPr>
              <w:pStyle w:val="Tabletext"/>
              <w:jc w:val="center"/>
              <w:rPr>
                <w:sz w:val="18"/>
                <w:szCs w:val="18"/>
                <w:lang w:eastAsia="en-GB"/>
              </w:rPr>
            </w:pPr>
            <w:r w:rsidRPr="00386F72">
              <w:rPr>
                <w:sz w:val="18"/>
                <w:szCs w:val="18"/>
                <w:lang w:eastAsia="en-GB"/>
              </w:rPr>
              <w:t>0,00</w:t>
            </w:r>
          </w:p>
        </w:tc>
        <w:tc>
          <w:tcPr>
            <w:tcW w:w="1110" w:type="dxa"/>
            <w:gridSpan w:val="2"/>
            <w:tcBorders>
              <w:top w:val="nil"/>
              <w:left w:val="nil"/>
              <w:bottom w:val="single" w:sz="4" w:space="0" w:color="auto"/>
              <w:right w:val="single" w:sz="4" w:space="0" w:color="auto"/>
            </w:tcBorders>
            <w:shd w:val="clear" w:color="auto" w:fill="FFFFFF" w:themeFill="background1"/>
            <w:noWrap/>
          </w:tcPr>
          <w:p w14:paraId="4890A46C" w14:textId="77777777" w:rsidR="00057825" w:rsidRPr="00386F72" w:rsidRDefault="00057825" w:rsidP="00051420">
            <w:pPr>
              <w:pStyle w:val="Tabletext"/>
              <w:jc w:val="center"/>
              <w:rPr>
                <w:sz w:val="18"/>
                <w:szCs w:val="18"/>
                <w:lang w:eastAsia="en-GB"/>
              </w:rPr>
            </w:pPr>
            <w:r w:rsidRPr="00386F72">
              <w:rPr>
                <w:sz w:val="18"/>
                <w:szCs w:val="18"/>
                <w:lang w:eastAsia="en-GB"/>
              </w:rPr>
              <w:t>5 313,25</w:t>
            </w:r>
          </w:p>
        </w:tc>
        <w:tc>
          <w:tcPr>
            <w:tcW w:w="1042" w:type="dxa"/>
            <w:tcBorders>
              <w:top w:val="nil"/>
              <w:left w:val="nil"/>
              <w:bottom w:val="single" w:sz="4" w:space="0" w:color="auto"/>
              <w:right w:val="single" w:sz="4" w:space="0" w:color="auto"/>
            </w:tcBorders>
            <w:shd w:val="clear" w:color="auto" w:fill="FFFFFF" w:themeFill="background1"/>
            <w:noWrap/>
          </w:tcPr>
          <w:p w14:paraId="7000A0E4" w14:textId="77777777" w:rsidR="00057825" w:rsidRPr="00386F72" w:rsidRDefault="00057825" w:rsidP="00051420">
            <w:pPr>
              <w:pStyle w:val="Tabletext"/>
              <w:jc w:val="center"/>
              <w:rPr>
                <w:sz w:val="18"/>
                <w:szCs w:val="18"/>
                <w:lang w:eastAsia="en-GB"/>
              </w:rPr>
            </w:pPr>
            <w:r w:rsidRPr="00386F72">
              <w:rPr>
                <w:sz w:val="18"/>
                <w:szCs w:val="18"/>
                <w:lang w:eastAsia="en-GB"/>
              </w:rPr>
              <w:t>5 313,25</w:t>
            </w:r>
          </w:p>
        </w:tc>
      </w:tr>
      <w:tr w:rsidR="00057825" w:rsidRPr="00386F72" w14:paraId="7498B81F" w14:textId="77777777" w:rsidTr="001F49C0">
        <w:trPr>
          <w:trHeight w:val="450"/>
        </w:trPr>
        <w:tc>
          <w:tcPr>
            <w:tcW w:w="1129" w:type="dxa"/>
            <w:tcBorders>
              <w:top w:val="single" w:sz="4" w:space="0" w:color="auto"/>
              <w:left w:val="single" w:sz="4" w:space="0" w:color="auto"/>
              <w:bottom w:val="single" w:sz="4" w:space="0" w:color="auto"/>
            </w:tcBorders>
          </w:tcPr>
          <w:p w14:paraId="427B004A" w14:textId="77777777" w:rsidR="00057825" w:rsidRPr="00386F72" w:rsidRDefault="00057825" w:rsidP="00051420">
            <w:pPr>
              <w:pStyle w:val="Tabletext"/>
              <w:jc w:val="center"/>
              <w:rPr>
                <w:sz w:val="18"/>
                <w:szCs w:val="18"/>
                <w:lang w:eastAsia="en-GB"/>
              </w:rPr>
            </w:pPr>
            <w:r w:rsidRPr="00386F72">
              <w:rPr>
                <w:sz w:val="18"/>
                <w:szCs w:val="18"/>
                <w:lang w:eastAsia="en-GB"/>
              </w:rPr>
              <w:t>181</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03C6FF30" w14:textId="77777777" w:rsidR="00057825" w:rsidRPr="00386F72" w:rsidRDefault="00057825" w:rsidP="00051420">
            <w:pPr>
              <w:pStyle w:val="Tabletext"/>
              <w:rPr>
                <w:sz w:val="18"/>
                <w:szCs w:val="18"/>
                <w:lang w:eastAsia="en-GB"/>
              </w:rPr>
            </w:pPr>
            <w:r w:rsidRPr="00386F72">
              <w:rPr>
                <w:sz w:val="18"/>
                <w:szCs w:val="18"/>
                <w:lang w:eastAsia="en-GB"/>
              </w:rPr>
              <w:t>Nigéria</w:t>
            </w:r>
          </w:p>
        </w:tc>
        <w:tc>
          <w:tcPr>
            <w:tcW w:w="2823" w:type="dxa"/>
            <w:tcBorders>
              <w:top w:val="nil"/>
              <w:left w:val="nil"/>
              <w:bottom w:val="single" w:sz="4" w:space="0" w:color="auto"/>
              <w:right w:val="single" w:sz="4" w:space="0" w:color="auto"/>
            </w:tcBorders>
            <w:shd w:val="clear" w:color="auto" w:fill="FFFFFF" w:themeFill="background1"/>
            <w:hideMark/>
          </w:tcPr>
          <w:p w14:paraId="043881EC" w14:textId="77777777" w:rsidR="00057825" w:rsidRPr="00386F72" w:rsidRDefault="00057825" w:rsidP="00051420">
            <w:pPr>
              <w:pStyle w:val="Tabletext"/>
              <w:rPr>
                <w:sz w:val="18"/>
                <w:szCs w:val="18"/>
                <w:lang w:eastAsia="en-GB"/>
              </w:rPr>
            </w:pPr>
            <w:r w:rsidRPr="00386F72">
              <w:rPr>
                <w:sz w:val="18"/>
                <w:szCs w:val="18"/>
                <w:lang w:eastAsia="en-GB"/>
              </w:rPr>
              <w:t>Ministère fédéral des communications et de l'économie numérique</w:t>
            </w:r>
          </w:p>
        </w:tc>
        <w:tc>
          <w:tcPr>
            <w:tcW w:w="1019" w:type="dxa"/>
            <w:tcBorders>
              <w:top w:val="nil"/>
              <w:left w:val="nil"/>
              <w:bottom w:val="single" w:sz="4" w:space="0" w:color="auto"/>
              <w:right w:val="single" w:sz="4" w:space="0" w:color="auto"/>
            </w:tcBorders>
            <w:shd w:val="clear" w:color="auto" w:fill="FFFFFF" w:themeFill="background1"/>
            <w:noWrap/>
            <w:hideMark/>
          </w:tcPr>
          <w:p w14:paraId="06DCF808" w14:textId="77777777" w:rsidR="00057825" w:rsidRPr="00386F72" w:rsidRDefault="00057825" w:rsidP="00051420">
            <w:pPr>
              <w:pStyle w:val="Tabletext"/>
              <w:jc w:val="center"/>
              <w:rPr>
                <w:sz w:val="18"/>
                <w:szCs w:val="18"/>
                <w:lang w:eastAsia="en-GB"/>
              </w:rPr>
            </w:pPr>
            <w:r w:rsidRPr="00386F72">
              <w:rPr>
                <w:sz w:val="18"/>
                <w:szCs w:val="18"/>
                <w:lang w:eastAsia="en-GB"/>
              </w:rPr>
              <w:t>2024-2025</w:t>
            </w:r>
          </w:p>
        </w:tc>
        <w:tc>
          <w:tcPr>
            <w:tcW w:w="1060" w:type="dxa"/>
            <w:tcBorders>
              <w:top w:val="nil"/>
              <w:left w:val="nil"/>
              <w:bottom w:val="single" w:sz="4" w:space="0" w:color="auto"/>
              <w:right w:val="single" w:sz="4" w:space="0" w:color="auto"/>
            </w:tcBorders>
            <w:shd w:val="clear" w:color="auto" w:fill="FFFFFF" w:themeFill="background1"/>
            <w:noWrap/>
            <w:hideMark/>
          </w:tcPr>
          <w:p w14:paraId="6623EE58" w14:textId="77777777" w:rsidR="00057825" w:rsidRPr="00386F72" w:rsidRDefault="00057825" w:rsidP="00051420">
            <w:pPr>
              <w:pStyle w:val="Tabletext"/>
              <w:jc w:val="center"/>
              <w:rPr>
                <w:sz w:val="18"/>
                <w:szCs w:val="18"/>
                <w:lang w:eastAsia="en-GB"/>
              </w:rPr>
            </w:pPr>
            <w:r w:rsidRPr="00386F72">
              <w:rPr>
                <w:sz w:val="18"/>
                <w:szCs w:val="18"/>
                <w:lang w:eastAsia="en-GB"/>
              </w:rPr>
              <w:t>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0B7BA2F4" w14:textId="77777777" w:rsidR="00057825" w:rsidRPr="00386F72" w:rsidRDefault="00057825" w:rsidP="00051420">
            <w:pPr>
              <w:pStyle w:val="Tabletext"/>
              <w:jc w:val="center"/>
              <w:rPr>
                <w:sz w:val="18"/>
                <w:szCs w:val="18"/>
                <w:lang w:eastAsia="en-GB"/>
              </w:rPr>
            </w:pPr>
            <w:r w:rsidRPr="00386F72">
              <w:rPr>
                <w:sz w:val="18"/>
                <w:szCs w:val="18"/>
                <w:lang w:eastAsia="en-GB"/>
              </w:rPr>
              <w:t>65 137,00</w:t>
            </w:r>
          </w:p>
        </w:tc>
        <w:tc>
          <w:tcPr>
            <w:tcW w:w="1042" w:type="dxa"/>
            <w:tcBorders>
              <w:top w:val="nil"/>
              <w:left w:val="nil"/>
              <w:bottom w:val="single" w:sz="4" w:space="0" w:color="auto"/>
              <w:right w:val="single" w:sz="4" w:space="0" w:color="auto"/>
            </w:tcBorders>
            <w:shd w:val="clear" w:color="auto" w:fill="FFFFFF" w:themeFill="background1"/>
            <w:noWrap/>
            <w:hideMark/>
          </w:tcPr>
          <w:p w14:paraId="21271D38" w14:textId="77777777" w:rsidR="00057825" w:rsidRPr="00386F72" w:rsidRDefault="00057825" w:rsidP="00051420">
            <w:pPr>
              <w:pStyle w:val="Tabletext"/>
              <w:jc w:val="center"/>
              <w:rPr>
                <w:sz w:val="18"/>
                <w:szCs w:val="18"/>
                <w:lang w:eastAsia="en-GB"/>
              </w:rPr>
            </w:pPr>
            <w:r w:rsidRPr="00386F72">
              <w:rPr>
                <w:sz w:val="18"/>
                <w:szCs w:val="18"/>
                <w:lang w:eastAsia="en-GB"/>
              </w:rPr>
              <w:t>65 137,00</w:t>
            </w:r>
          </w:p>
        </w:tc>
      </w:tr>
      <w:tr w:rsidR="00057825" w:rsidRPr="00386F72" w14:paraId="74ADE3A4" w14:textId="77777777" w:rsidTr="001F49C0">
        <w:trPr>
          <w:trHeight w:val="315"/>
        </w:trPr>
        <w:tc>
          <w:tcPr>
            <w:tcW w:w="1129" w:type="dxa"/>
            <w:tcBorders>
              <w:top w:val="single" w:sz="4" w:space="0" w:color="auto"/>
              <w:left w:val="single" w:sz="4" w:space="0" w:color="auto"/>
              <w:bottom w:val="single" w:sz="4" w:space="0" w:color="auto"/>
            </w:tcBorders>
          </w:tcPr>
          <w:p w14:paraId="21DC61BE" w14:textId="77777777" w:rsidR="00057825" w:rsidRPr="00386F72" w:rsidRDefault="00057825" w:rsidP="00051420">
            <w:pPr>
              <w:pStyle w:val="Tabletext"/>
              <w:jc w:val="center"/>
              <w:rPr>
                <w:sz w:val="18"/>
                <w:szCs w:val="18"/>
                <w:lang w:eastAsia="en-GB"/>
              </w:rPr>
            </w:pPr>
            <w:r w:rsidRPr="00386F72">
              <w:rPr>
                <w:sz w:val="18"/>
                <w:szCs w:val="18"/>
                <w:lang w:eastAsia="en-GB"/>
              </w:rPr>
              <w:t>195</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1E9E7FD5" w14:textId="77777777" w:rsidR="00057825" w:rsidRPr="00386F72" w:rsidRDefault="00057825" w:rsidP="00051420">
            <w:pPr>
              <w:pStyle w:val="Tabletext"/>
              <w:rPr>
                <w:sz w:val="18"/>
                <w:szCs w:val="18"/>
                <w:lang w:eastAsia="en-GB"/>
              </w:rPr>
            </w:pPr>
            <w:r w:rsidRPr="00386F72">
              <w:rPr>
                <w:sz w:val="18"/>
                <w:szCs w:val="18"/>
                <w:lang w:eastAsia="en-GB"/>
              </w:rPr>
              <w:t>Pakistan</w:t>
            </w:r>
          </w:p>
        </w:tc>
        <w:tc>
          <w:tcPr>
            <w:tcW w:w="2823" w:type="dxa"/>
            <w:tcBorders>
              <w:top w:val="nil"/>
              <w:left w:val="nil"/>
              <w:bottom w:val="single" w:sz="4" w:space="0" w:color="auto"/>
              <w:right w:val="single" w:sz="4" w:space="0" w:color="auto"/>
            </w:tcBorders>
            <w:shd w:val="clear" w:color="auto" w:fill="FFFFFF" w:themeFill="background1"/>
            <w:hideMark/>
          </w:tcPr>
          <w:p w14:paraId="419ABEA2" w14:textId="77777777" w:rsidR="00057825" w:rsidRPr="00386F72" w:rsidRDefault="00057825" w:rsidP="00051420">
            <w:pPr>
              <w:pStyle w:val="Tabletext"/>
              <w:rPr>
                <w:sz w:val="18"/>
                <w:szCs w:val="18"/>
                <w:lang w:eastAsia="en-GB"/>
              </w:rPr>
            </w:pPr>
            <w:r w:rsidRPr="00386F72">
              <w:rPr>
                <w:sz w:val="18"/>
                <w:szCs w:val="18"/>
                <w:lang w:eastAsia="en-GB"/>
              </w:rPr>
              <w:t>Ministère des technologies de l'information</w:t>
            </w:r>
          </w:p>
        </w:tc>
        <w:tc>
          <w:tcPr>
            <w:tcW w:w="1019" w:type="dxa"/>
            <w:tcBorders>
              <w:top w:val="nil"/>
              <w:left w:val="nil"/>
              <w:bottom w:val="single" w:sz="4" w:space="0" w:color="auto"/>
              <w:right w:val="single" w:sz="4" w:space="0" w:color="auto"/>
            </w:tcBorders>
            <w:shd w:val="clear" w:color="auto" w:fill="FFFFFF" w:themeFill="background1"/>
            <w:noWrap/>
            <w:hideMark/>
          </w:tcPr>
          <w:p w14:paraId="689025CA" w14:textId="77777777" w:rsidR="00057825" w:rsidRPr="00386F72" w:rsidRDefault="00057825" w:rsidP="00051420">
            <w:pPr>
              <w:pStyle w:val="Tabletext"/>
              <w:jc w:val="center"/>
              <w:rPr>
                <w:sz w:val="18"/>
                <w:szCs w:val="18"/>
                <w:lang w:eastAsia="en-GB"/>
              </w:rPr>
            </w:pPr>
            <w:r w:rsidRPr="00386F72">
              <w:rPr>
                <w:sz w:val="18"/>
                <w:szCs w:val="18"/>
                <w:lang w:eastAsia="en-GB"/>
              </w:rPr>
              <w:t>2025</w:t>
            </w:r>
          </w:p>
        </w:tc>
        <w:tc>
          <w:tcPr>
            <w:tcW w:w="1060" w:type="dxa"/>
            <w:tcBorders>
              <w:top w:val="nil"/>
              <w:left w:val="nil"/>
              <w:bottom w:val="single" w:sz="6" w:space="0" w:color="auto"/>
              <w:right w:val="single" w:sz="4" w:space="0" w:color="auto"/>
            </w:tcBorders>
            <w:shd w:val="clear" w:color="auto" w:fill="FFFFFF" w:themeFill="background1"/>
            <w:noWrap/>
            <w:hideMark/>
          </w:tcPr>
          <w:p w14:paraId="7D06A785" w14:textId="77777777" w:rsidR="00057825" w:rsidRPr="00386F72" w:rsidRDefault="00057825" w:rsidP="00051420">
            <w:pPr>
              <w:pStyle w:val="Tabletext"/>
              <w:jc w:val="center"/>
              <w:rPr>
                <w:sz w:val="18"/>
                <w:szCs w:val="18"/>
                <w:lang w:eastAsia="en-GB"/>
              </w:rPr>
            </w:pPr>
            <w:r w:rsidRPr="00386F72">
              <w:rPr>
                <w:sz w:val="18"/>
                <w:szCs w:val="18"/>
                <w:lang w:eastAsia="en-GB"/>
              </w:rPr>
              <w:t>0,00</w:t>
            </w:r>
          </w:p>
        </w:tc>
        <w:tc>
          <w:tcPr>
            <w:tcW w:w="1110" w:type="dxa"/>
            <w:gridSpan w:val="2"/>
            <w:tcBorders>
              <w:top w:val="nil"/>
              <w:left w:val="nil"/>
              <w:bottom w:val="single" w:sz="6" w:space="0" w:color="auto"/>
              <w:right w:val="single" w:sz="4" w:space="0" w:color="auto"/>
            </w:tcBorders>
            <w:shd w:val="clear" w:color="auto" w:fill="FFFFFF" w:themeFill="background1"/>
            <w:noWrap/>
            <w:hideMark/>
          </w:tcPr>
          <w:p w14:paraId="0355A42A" w14:textId="77777777" w:rsidR="00057825" w:rsidRPr="00386F72" w:rsidRDefault="00057825" w:rsidP="00051420">
            <w:pPr>
              <w:pStyle w:val="Tabletext"/>
              <w:jc w:val="center"/>
              <w:rPr>
                <w:sz w:val="18"/>
                <w:szCs w:val="18"/>
                <w:lang w:eastAsia="en-GB"/>
              </w:rPr>
            </w:pPr>
            <w:r w:rsidRPr="00386F72">
              <w:rPr>
                <w:sz w:val="18"/>
                <w:szCs w:val="18"/>
                <w:lang w:eastAsia="en-GB"/>
              </w:rPr>
              <w:t>1 972,60</w:t>
            </w:r>
          </w:p>
        </w:tc>
        <w:tc>
          <w:tcPr>
            <w:tcW w:w="1042" w:type="dxa"/>
            <w:tcBorders>
              <w:top w:val="nil"/>
              <w:left w:val="nil"/>
              <w:bottom w:val="single" w:sz="6" w:space="0" w:color="auto"/>
              <w:right w:val="single" w:sz="4" w:space="0" w:color="auto"/>
            </w:tcBorders>
            <w:shd w:val="clear" w:color="auto" w:fill="FFFFFF" w:themeFill="background1"/>
            <w:noWrap/>
            <w:hideMark/>
          </w:tcPr>
          <w:p w14:paraId="078782B4" w14:textId="77777777" w:rsidR="00057825" w:rsidRPr="00386F72" w:rsidRDefault="00057825" w:rsidP="00051420">
            <w:pPr>
              <w:pStyle w:val="Tabletext"/>
              <w:jc w:val="center"/>
              <w:rPr>
                <w:sz w:val="18"/>
                <w:szCs w:val="18"/>
                <w:lang w:eastAsia="en-GB"/>
              </w:rPr>
            </w:pPr>
            <w:r w:rsidRPr="00386F72">
              <w:rPr>
                <w:sz w:val="18"/>
                <w:szCs w:val="18"/>
                <w:lang w:eastAsia="en-GB"/>
              </w:rPr>
              <w:t>1 972,60</w:t>
            </w:r>
          </w:p>
        </w:tc>
      </w:tr>
      <w:tr w:rsidR="00057825" w:rsidRPr="00386F72" w14:paraId="3AE8CBC1" w14:textId="77777777" w:rsidTr="001F49C0">
        <w:trPr>
          <w:trHeight w:val="315"/>
        </w:trPr>
        <w:tc>
          <w:tcPr>
            <w:tcW w:w="6657" w:type="dxa"/>
            <w:gridSpan w:val="4"/>
            <w:tcBorders>
              <w:top w:val="single" w:sz="4" w:space="0" w:color="auto"/>
              <w:left w:val="single" w:sz="4" w:space="0" w:color="auto"/>
              <w:bottom w:val="single" w:sz="4" w:space="0" w:color="auto"/>
              <w:right w:val="single" w:sz="6" w:space="0" w:color="auto"/>
            </w:tcBorders>
          </w:tcPr>
          <w:p w14:paraId="4E0309E1" w14:textId="77777777" w:rsidR="00057825" w:rsidRPr="00386F72" w:rsidRDefault="00057825" w:rsidP="00051420">
            <w:pPr>
              <w:pStyle w:val="Tablehead"/>
              <w:rPr>
                <w:sz w:val="18"/>
                <w:szCs w:val="18"/>
                <w:lang w:eastAsia="en-GB"/>
              </w:rPr>
            </w:pPr>
            <w:r w:rsidRPr="00386F72">
              <w:rPr>
                <w:sz w:val="18"/>
                <w:szCs w:val="18"/>
                <w:lang w:eastAsia="en-GB"/>
              </w:rPr>
              <w:t>1)</w:t>
            </w:r>
            <w:r w:rsidRPr="00386F72">
              <w:rPr>
                <w:sz w:val="18"/>
                <w:szCs w:val="18"/>
                <w:lang w:eastAsia="en-GB"/>
              </w:rPr>
              <w:tab/>
              <w:t>Sous-total des Administrations</w:t>
            </w:r>
          </w:p>
        </w:tc>
        <w:tc>
          <w:tcPr>
            <w:tcW w:w="1067" w:type="dxa"/>
            <w:gridSpan w:val="2"/>
            <w:tcBorders>
              <w:top w:val="single" w:sz="6" w:space="0" w:color="auto"/>
              <w:left w:val="single" w:sz="6" w:space="0" w:color="auto"/>
              <w:bottom w:val="single" w:sz="6" w:space="0" w:color="auto"/>
              <w:right w:val="single" w:sz="6" w:space="0" w:color="auto"/>
            </w:tcBorders>
            <w:noWrap/>
            <w:hideMark/>
          </w:tcPr>
          <w:p w14:paraId="659EEDF4" w14:textId="77777777" w:rsidR="00057825" w:rsidRPr="00386F72" w:rsidRDefault="00057825" w:rsidP="00051420">
            <w:pPr>
              <w:pStyle w:val="Tablehead"/>
              <w:rPr>
                <w:sz w:val="18"/>
                <w:szCs w:val="18"/>
                <w:lang w:eastAsia="en-GB"/>
              </w:rPr>
            </w:pPr>
            <w:r w:rsidRPr="00386F72">
              <w:rPr>
                <w:sz w:val="18"/>
                <w:szCs w:val="18"/>
                <w:lang w:eastAsia="en-GB"/>
              </w:rPr>
              <w:t>0,00</w:t>
            </w:r>
          </w:p>
        </w:tc>
        <w:tc>
          <w:tcPr>
            <w:tcW w:w="1103" w:type="dxa"/>
            <w:tcBorders>
              <w:top w:val="single" w:sz="6" w:space="0" w:color="auto"/>
              <w:left w:val="single" w:sz="6" w:space="0" w:color="auto"/>
              <w:bottom w:val="single" w:sz="6" w:space="0" w:color="auto"/>
              <w:right w:val="single" w:sz="6" w:space="0" w:color="auto"/>
            </w:tcBorders>
            <w:noWrap/>
            <w:hideMark/>
          </w:tcPr>
          <w:p w14:paraId="1D1B9517" w14:textId="77777777" w:rsidR="00057825" w:rsidRPr="00386F72" w:rsidRDefault="00057825" w:rsidP="00051420">
            <w:pPr>
              <w:pStyle w:val="Tablehead"/>
              <w:rPr>
                <w:sz w:val="18"/>
                <w:szCs w:val="18"/>
                <w:lang w:eastAsia="en-GB"/>
              </w:rPr>
            </w:pPr>
            <w:r w:rsidRPr="00386F72">
              <w:rPr>
                <w:sz w:val="18"/>
                <w:szCs w:val="18"/>
                <w:lang w:eastAsia="en-GB"/>
              </w:rPr>
              <w:t>171 052,15</w:t>
            </w:r>
          </w:p>
        </w:tc>
        <w:tc>
          <w:tcPr>
            <w:tcW w:w="1042" w:type="dxa"/>
            <w:tcBorders>
              <w:top w:val="single" w:sz="6" w:space="0" w:color="auto"/>
              <w:left w:val="single" w:sz="6" w:space="0" w:color="auto"/>
              <w:bottom w:val="single" w:sz="6" w:space="0" w:color="auto"/>
              <w:right w:val="single" w:sz="6" w:space="0" w:color="auto"/>
            </w:tcBorders>
            <w:noWrap/>
            <w:hideMark/>
          </w:tcPr>
          <w:p w14:paraId="463358F7" w14:textId="77777777" w:rsidR="00057825" w:rsidRPr="00386F72" w:rsidRDefault="00057825" w:rsidP="00051420">
            <w:pPr>
              <w:pStyle w:val="Tablehead"/>
              <w:tabs>
                <w:tab w:val="clear" w:pos="851"/>
                <w:tab w:val="left" w:pos="725"/>
              </w:tabs>
              <w:rPr>
                <w:sz w:val="18"/>
                <w:szCs w:val="18"/>
                <w:lang w:eastAsia="en-GB"/>
              </w:rPr>
            </w:pPr>
            <w:r w:rsidRPr="00386F72">
              <w:rPr>
                <w:sz w:val="18"/>
                <w:szCs w:val="18"/>
                <w:lang w:eastAsia="en-GB"/>
              </w:rPr>
              <w:t>171 052,15</w:t>
            </w:r>
          </w:p>
        </w:tc>
      </w:tr>
      <w:tr w:rsidR="00057825" w:rsidRPr="00386F72" w14:paraId="64E4ADCD" w14:textId="77777777" w:rsidTr="001F49C0">
        <w:trPr>
          <w:trHeight w:val="289"/>
        </w:trPr>
        <w:tc>
          <w:tcPr>
            <w:tcW w:w="1129" w:type="dxa"/>
            <w:tcBorders>
              <w:top w:val="single" w:sz="4" w:space="0" w:color="auto"/>
              <w:left w:val="single" w:sz="4" w:space="0" w:color="auto"/>
              <w:bottom w:val="single" w:sz="4" w:space="0" w:color="auto"/>
            </w:tcBorders>
          </w:tcPr>
          <w:p w14:paraId="0FDD84A8" w14:textId="77777777" w:rsidR="00057825" w:rsidRPr="00386F72" w:rsidRDefault="00057825" w:rsidP="00051420">
            <w:pPr>
              <w:pStyle w:val="Tabletext"/>
              <w:jc w:val="center"/>
              <w:rPr>
                <w:sz w:val="18"/>
                <w:szCs w:val="18"/>
                <w:lang w:eastAsia="en-GB"/>
              </w:rPr>
            </w:pPr>
            <w:r w:rsidRPr="00386F72">
              <w:rPr>
                <w:sz w:val="18"/>
                <w:szCs w:val="18"/>
                <w:lang w:eastAsia="en-GB"/>
              </w:rPr>
              <w:t>62460</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6D6D5" w14:textId="77777777" w:rsidR="00057825" w:rsidRPr="00386F72" w:rsidRDefault="00057825" w:rsidP="00051420">
            <w:pPr>
              <w:pStyle w:val="Tabletext"/>
              <w:rPr>
                <w:sz w:val="18"/>
                <w:szCs w:val="18"/>
                <w:lang w:eastAsia="en-GB"/>
              </w:rPr>
            </w:pPr>
            <w:r w:rsidRPr="00386F72">
              <w:rPr>
                <w:sz w:val="18"/>
                <w:szCs w:val="18"/>
                <w:lang w:eastAsia="en-GB"/>
              </w:rPr>
              <w:t>Cambodge</w:t>
            </w:r>
          </w:p>
        </w:tc>
        <w:tc>
          <w:tcPr>
            <w:tcW w:w="2823" w:type="dxa"/>
            <w:tcBorders>
              <w:top w:val="single" w:sz="4" w:space="0" w:color="auto"/>
              <w:left w:val="nil"/>
              <w:bottom w:val="single" w:sz="4" w:space="0" w:color="auto"/>
              <w:right w:val="single" w:sz="4" w:space="0" w:color="auto"/>
            </w:tcBorders>
            <w:shd w:val="clear" w:color="auto" w:fill="FFFFFF" w:themeFill="background1"/>
            <w:hideMark/>
          </w:tcPr>
          <w:p w14:paraId="12DC6CE4" w14:textId="77777777" w:rsidR="00057825" w:rsidRPr="005C6A26" w:rsidRDefault="00057825" w:rsidP="00051420">
            <w:pPr>
              <w:pStyle w:val="Tabletext"/>
              <w:rPr>
                <w:sz w:val="18"/>
                <w:szCs w:val="18"/>
                <w:lang w:val="en-US" w:eastAsia="en-GB"/>
              </w:rPr>
            </w:pPr>
            <w:r w:rsidRPr="005C6A26">
              <w:rPr>
                <w:sz w:val="18"/>
                <w:szCs w:val="18"/>
                <w:lang w:val="en-US" w:eastAsia="en-GB"/>
              </w:rPr>
              <w:t>CHUAN WEI (Cambodia) Co Ltd, Phnom Penh</w:t>
            </w:r>
          </w:p>
        </w:tc>
        <w:tc>
          <w:tcPr>
            <w:tcW w:w="1019" w:type="dxa"/>
            <w:tcBorders>
              <w:top w:val="single" w:sz="4" w:space="0" w:color="auto"/>
              <w:left w:val="nil"/>
              <w:bottom w:val="single" w:sz="4" w:space="0" w:color="auto"/>
              <w:right w:val="single" w:sz="4" w:space="0" w:color="auto"/>
            </w:tcBorders>
            <w:shd w:val="clear" w:color="auto" w:fill="FFFFFF" w:themeFill="background1"/>
            <w:hideMark/>
          </w:tcPr>
          <w:p w14:paraId="2D4A338E"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single" w:sz="4" w:space="0" w:color="auto"/>
              <w:left w:val="nil"/>
              <w:bottom w:val="single" w:sz="4" w:space="0" w:color="auto"/>
              <w:right w:val="single" w:sz="4" w:space="0" w:color="auto"/>
            </w:tcBorders>
            <w:shd w:val="clear" w:color="auto" w:fill="FFFFFF" w:themeFill="background1"/>
            <w:hideMark/>
          </w:tcPr>
          <w:p w14:paraId="12A8A86E" w14:textId="77777777" w:rsidR="00057825" w:rsidRPr="00386F72" w:rsidRDefault="00057825" w:rsidP="00051420">
            <w:pPr>
              <w:pStyle w:val="Tabletext"/>
              <w:jc w:val="center"/>
              <w:rPr>
                <w:sz w:val="18"/>
                <w:szCs w:val="18"/>
                <w:lang w:eastAsia="en-GB"/>
              </w:rPr>
            </w:pPr>
            <w:r w:rsidRPr="00386F72">
              <w:rPr>
                <w:sz w:val="18"/>
                <w:szCs w:val="18"/>
                <w:lang w:eastAsia="en-GB"/>
              </w:rPr>
              <w:t>7 950,00</w:t>
            </w:r>
          </w:p>
        </w:tc>
        <w:tc>
          <w:tcPr>
            <w:tcW w:w="1110"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6B522F44" w14:textId="77777777" w:rsidR="00057825" w:rsidRPr="00386F72" w:rsidRDefault="00057825" w:rsidP="00051420">
            <w:pPr>
              <w:pStyle w:val="Tabletext"/>
              <w:jc w:val="center"/>
              <w:rPr>
                <w:sz w:val="18"/>
                <w:szCs w:val="18"/>
                <w:lang w:eastAsia="en-GB"/>
              </w:rPr>
            </w:pPr>
            <w:r w:rsidRPr="00386F72">
              <w:rPr>
                <w:sz w:val="18"/>
                <w:szCs w:val="18"/>
                <w:lang w:eastAsia="en-GB"/>
              </w:rPr>
              <w:t>2 768,75</w:t>
            </w:r>
          </w:p>
        </w:tc>
        <w:tc>
          <w:tcPr>
            <w:tcW w:w="1042" w:type="dxa"/>
            <w:tcBorders>
              <w:top w:val="single" w:sz="4" w:space="0" w:color="auto"/>
              <w:left w:val="nil"/>
              <w:bottom w:val="single" w:sz="4" w:space="0" w:color="auto"/>
              <w:right w:val="single" w:sz="4" w:space="0" w:color="auto"/>
            </w:tcBorders>
            <w:shd w:val="clear" w:color="auto" w:fill="FFFFFF" w:themeFill="background1"/>
            <w:hideMark/>
          </w:tcPr>
          <w:p w14:paraId="4AEC4375" w14:textId="77777777" w:rsidR="00057825" w:rsidRPr="00386F72" w:rsidRDefault="00057825" w:rsidP="00051420">
            <w:pPr>
              <w:pStyle w:val="Tabletext"/>
              <w:jc w:val="center"/>
              <w:rPr>
                <w:sz w:val="18"/>
                <w:szCs w:val="18"/>
                <w:lang w:eastAsia="en-GB"/>
              </w:rPr>
            </w:pPr>
            <w:r w:rsidRPr="00386F72">
              <w:rPr>
                <w:sz w:val="18"/>
                <w:szCs w:val="18"/>
                <w:lang w:eastAsia="en-GB"/>
              </w:rPr>
              <w:t>10 718,75</w:t>
            </w:r>
          </w:p>
        </w:tc>
      </w:tr>
      <w:tr w:rsidR="00057825" w:rsidRPr="00386F72" w14:paraId="4DFB635E" w14:textId="77777777" w:rsidTr="001F49C0">
        <w:trPr>
          <w:trHeight w:val="289"/>
        </w:trPr>
        <w:tc>
          <w:tcPr>
            <w:tcW w:w="1129" w:type="dxa"/>
            <w:tcBorders>
              <w:top w:val="single" w:sz="4" w:space="0" w:color="auto"/>
              <w:left w:val="single" w:sz="4" w:space="0" w:color="auto"/>
              <w:bottom w:val="single" w:sz="4" w:space="0" w:color="auto"/>
            </w:tcBorders>
          </w:tcPr>
          <w:p w14:paraId="33EC8A8F" w14:textId="77777777" w:rsidR="00057825" w:rsidRPr="00386F72" w:rsidRDefault="00057825" w:rsidP="00051420">
            <w:pPr>
              <w:pStyle w:val="Tabletext"/>
              <w:jc w:val="center"/>
              <w:rPr>
                <w:sz w:val="18"/>
                <w:szCs w:val="18"/>
                <w:lang w:eastAsia="en-GB"/>
              </w:rPr>
            </w:pPr>
            <w:r w:rsidRPr="00386F72">
              <w:rPr>
                <w:sz w:val="18"/>
                <w:szCs w:val="18"/>
                <w:lang w:eastAsia="en-GB"/>
              </w:rPr>
              <w:t>1200173860</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148C57CF" w14:textId="77777777" w:rsidR="00057825" w:rsidRPr="00386F72" w:rsidRDefault="00057825" w:rsidP="00051420">
            <w:pPr>
              <w:pStyle w:val="Tabletext"/>
              <w:rPr>
                <w:sz w:val="18"/>
                <w:szCs w:val="18"/>
                <w:lang w:eastAsia="en-GB"/>
              </w:rPr>
            </w:pPr>
            <w:r w:rsidRPr="00386F72">
              <w:rPr>
                <w:sz w:val="18"/>
                <w:szCs w:val="18"/>
                <w:lang w:eastAsia="en-GB"/>
              </w:rPr>
              <w:t>Chine</w:t>
            </w:r>
          </w:p>
        </w:tc>
        <w:tc>
          <w:tcPr>
            <w:tcW w:w="2823" w:type="dxa"/>
            <w:tcBorders>
              <w:top w:val="nil"/>
              <w:left w:val="nil"/>
              <w:bottom w:val="single" w:sz="4" w:space="0" w:color="auto"/>
              <w:right w:val="single" w:sz="4" w:space="0" w:color="auto"/>
            </w:tcBorders>
            <w:shd w:val="clear" w:color="auto" w:fill="FFFFFF" w:themeFill="background1"/>
            <w:hideMark/>
          </w:tcPr>
          <w:p w14:paraId="67115B17" w14:textId="77777777" w:rsidR="00057825" w:rsidRPr="00E1216A" w:rsidRDefault="00057825" w:rsidP="00051420">
            <w:pPr>
              <w:pStyle w:val="Tabletext"/>
              <w:rPr>
                <w:sz w:val="18"/>
                <w:szCs w:val="18"/>
                <w:lang w:val="en-US" w:eastAsia="en-GB"/>
              </w:rPr>
            </w:pPr>
            <w:r w:rsidRPr="00E1216A">
              <w:rPr>
                <w:sz w:val="18"/>
                <w:szCs w:val="18"/>
                <w:lang w:val="en-US" w:eastAsia="en-GB"/>
              </w:rPr>
              <w:t>Yong Xin Hua Yun Cultural, Beijing</w:t>
            </w:r>
          </w:p>
        </w:tc>
        <w:tc>
          <w:tcPr>
            <w:tcW w:w="1019" w:type="dxa"/>
            <w:tcBorders>
              <w:top w:val="nil"/>
              <w:left w:val="nil"/>
              <w:bottom w:val="single" w:sz="4" w:space="0" w:color="auto"/>
              <w:right w:val="single" w:sz="4" w:space="0" w:color="auto"/>
            </w:tcBorders>
            <w:shd w:val="clear" w:color="auto" w:fill="FFFFFF" w:themeFill="background1"/>
            <w:noWrap/>
            <w:hideMark/>
          </w:tcPr>
          <w:p w14:paraId="1FE078B8"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hideMark/>
          </w:tcPr>
          <w:p w14:paraId="0183EBE3" w14:textId="77777777" w:rsidR="00057825" w:rsidRPr="00386F72" w:rsidRDefault="00057825" w:rsidP="00051420">
            <w:pPr>
              <w:pStyle w:val="Tabletext"/>
              <w:jc w:val="center"/>
              <w:rPr>
                <w:sz w:val="18"/>
                <w:szCs w:val="18"/>
                <w:lang w:eastAsia="en-GB"/>
              </w:rPr>
            </w:pPr>
            <w:r w:rsidRPr="00386F72">
              <w:rPr>
                <w:sz w:val="18"/>
                <w:szCs w:val="18"/>
                <w:lang w:eastAsia="en-GB"/>
              </w:rPr>
              <w:t>31 800,00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3CFD0A0E" w14:textId="77777777" w:rsidR="00057825" w:rsidRPr="00386F72" w:rsidRDefault="00057825" w:rsidP="00051420">
            <w:pPr>
              <w:pStyle w:val="Tabletext"/>
              <w:jc w:val="center"/>
              <w:rPr>
                <w:sz w:val="18"/>
                <w:szCs w:val="18"/>
                <w:lang w:eastAsia="en-GB"/>
              </w:rPr>
            </w:pPr>
            <w:r w:rsidRPr="00386F72">
              <w:rPr>
                <w:sz w:val="18"/>
                <w:szCs w:val="18"/>
                <w:lang w:eastAsia="en-GB"/>
              </w:rPr>
              <w:t>11 074,70</w:t>
            </w:r>
          </w:p>
        </w:tc>
        <w:tc>
          <w:tcPr>
            <w:tcW w:w="1042" w:type="dxa"/>
            <w:tcBorders>
              <w:top w:val="nil"/>
              <w:left w:val="nil"/>
              <w:bottom w:val="single" w:sz="4" w:space="0" w:color="auto"/>
              <w:right w:val="single" w:sz="4" w:space="0" w:color="auto"/>
            </w:tcBorders>
            <w:shd w:val="clear" w:color="auto" w:fill="FFFFFF" w:themeFill="background1"/>
            <w:hideMark/>
          </w:tcPr>
          <w:p w14:paraId="52778378" w14:textId="77777777" w:rsidR="00057825" w:rsidRPr="00386F72" w:rsidRDefault="00057825" w:rsidP="00051420">
            <w:pPr>
              <w:pStyle w:val="Tabletext"/>
              <w:jc w:val="center"/>
              <w:rPr>
                <w:sz w:val="18"/>
                <w:szCs w:val="18"/>
                <w:lang w:eastAsia="en-GB"/>
              </w:rPr>
            </w:pPr>
            <w:r w:rsidRPr="00386F72">
              <w:rPr>
                <w:sz w:val="18"/>
                <w:szCs w:val="18"/>
                <w:lang w:eastAsia="en-GB"/>
              </w:rPr>
              <w:t>42 874,70</w:t>
            </w:r>
          </w:p>
        </w:tc>
      </w:tr>
      <w:tr w:rsidR="00057825" w:rsidRPr="00386F72" w14:paraId="2A9C6A97" w14:textId="77777777" w:rsidTr="001F49C0">
        <w:trPr>
          <w:trHeight w:val="289"/>
        </w:trPr>
        <w:tc>
          <w:tcPr>
            <w:tcW w:w="1129" w:type="dxa"/>
            <w:tcBorders>
              <w:top w:val="single" w:sz="4" w:space="0" w:color="auto"/>
              <w:left w:val="single" w:sz="4" w:space="0" w:color="auto"/>
              <w:bottom w:val="single" w:sz="4" w:space="0" w:color="auto"/>
            </w:tcBorders>
          </w:tcPr>
          <w:p w14:paraId="401FDFA5" w14:textId="77777777" w:rsidR="00057825" w:rsidRPr="00386F72" w:rsidRDefault="00057825" w:rsidP="00051420">
            <w:pPr>
              <w:pStyle w:val="Tabletext"/>
              <w:jc w:val="center"/>
              <w:rPr>
                <w:sz w:val="18"/>
                <w:szCs w:val="18"/>
                <w:lang w:eastAsia="en-GB"/>
              </w:rPr>
            </w:pPr>
            <w:r w:rsidRPr="00386F72">
              <w:rPr>
                <w:sz w:val="18"/>
                <w:szCs w:val="18"/>
                <w:lang w:eastAsia="en-GB"/>
              </w:rPr>
              <w:t>1200119084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21D39642" w14:textId="77777777" w:rsidR="00057825" w:rsidRPr="00386F72" w:rsidRDefault="00057825" w:rsidP="00051420">
            <w:pPr>
              <w:pStyle w:val="Tabletext"/>
              <w:rPr>
                <w:sz w:val="18"/>
                <w:szCs w:val="18"/>
                <w:lang w:eastAsia="en-GB"/>
              </w:rPr>
            </w:pPr>
            <w:r w:rsidRPr="00386F72">
              <w:rPr>
                <w:sz w:val="18"/>
                <w:szCs w:val="18"/>
                <w:lang w:eastAsia="en-GB"/>
              </w:rPr>
              <w:t>Égypte</w:t>
            </w:r>
          </w:p>
        </w:tc>
        <w:tc>
          <w:tcPr>
            <w:tcW w:w="2823" w:type="dxa"/>
            <w:tcBorders>
              <w:top w:val="nil"/>
              <w:left w:val="nil"/>
              <w:bottom w:val="single" w:sz="4" w:space="0" w:color="auto"/>
              <w:right w:val="single" w:sz="4" w:space="0" w:color="auto"/>
            </w:tcBorders>
            <w:shd w:val="clear" w:color="auto" w:fill="FFFFFF" w:themeFill="background1"/>
            <w:hideMark/>
          </w:tcPr>
          <w:p w14:paraId="4D38293C" w14:textId="77777777" w:rsidR="00057825" w:rsidRPr="00386F72" w:rsidRDefault="00057825" w:rsidP="00051420">
            <w:pPr>
              <w:pStyle w:val="Tabletext"/>
              <w:rPr>
                <w:sz w:val="18"/>
                <w:szCs w:val="18"/>
                <w:lang w:eastAsia="en-GB"/>
              </w:rPr>
            </w:pPr>
            <w:r w:rsidRPr="00386F72">
              <w:rPr>
                <w:sz w:val="18"/>
                <w:szCs w:val="18"/>
                <w:lang w:eastAsia="en-GB"/>
              </w:rPr>
              <w:t>Université égypto-japonaise des sciences et technologies, Alexandrie</w:t>
            </w:r>
          </w:p>
        </w:tc>
        <w:tc>
          <w:tcPr>
            <w:tcW w:w="1019" w:type="dxa"/>
            <w:tcBorders>
              <w:top w:val="nil"/>
              <w:left w:val="nil"/>
              <w:bottom w:val="single" w:sz="4" w:space="0" w:color="auto"/>
              <w:right w:val="single" w:sz="4" w:space="0" w:color="auto"/>
            </w:tcBorders>
            <w:shd w:val="clear" w:color="auto" w:fill="FFFFFF" w:themeFill="background1"/>
            <w:noWrap/>
            <w:hideMark/>
          </w:tcPr>
          <w:p w14:paraId="7E92B2AB"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5CDD3C16"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2E56FC79" w14:textId="77777777" w:rsidR="00057825" w:rsidRPr="00386F72" w:rsidRDefault="00057825" w:rsidP="00051420">
            <w:pPr>
              <w:pStyle w:val="Tabletext"/>
              <w:jc w:val="center"/>
              <w:rPr>
                <w:sz w:val="18"/>
                <w:szCs w:val="18"/>
                <w:lang w:eastAsia="en-GB"/>
              </w:rPr>
            </w:pPr>
            <w:r w:rsidRPr="00386F72">
              <w:rPr>
                <w:sz w:val="18"/>
                <w:szCs w:val="18"/>
                <w:lang w:eastAsia="en-GB"/>
              </w:rPr>
              <w:t>937,50</w:t>
            </w:r>
          </w:p>
        </w:tc>
        <w:tc>
          <w:tcPr>
            <w:tcW w:w="1042" w:type="dxa"/>
            <w:tcBorders>
              <w:top w:val="nil"/>
              <w:left w:val="nil"/>
              <w:bottom w:val="single" w:sz="4" w:space="0" w:color="auto"/>
              <w:right w:val="single" w:sz="4" w:space="0" w:color="auto"/>
            </w:tcBorders>
            <w:shd w:val="clear" w:color="auto" w:fill="FFFFFF" w:themeFill="background1"/>
            <w:noWrap/>
            <w:hideMark/>
          </w:tcPr>
          <w:p w14:paraId="5A2077AF" w14:textId="77777777" w:rsidR="00057825" w:rsidRPr="00386F72" w:rsidRDefault="00057825" w:rsidP="00051420">
            <w:pPr>
              <w:pStyle w:val="Tabletext"/>
              <w:jc w:val="center"/>
              <w:rPr>
                <w:sz w:val="18"/>
                <w:szCs w:val="18"/>
                <w:lang w:eastAsia="en-GB"/>
              </w:rPr>
            </w:pPr>
            <w:r w:rsidRPr="00386F72">
              <w:rPr>
                <w:sz w:val="18"/>
                <w:szCs w:val="18"/>
                <w:lang w:eastAsia="en-GB"/>
              </w:rPr>
              <w:t>2 925,00</w:t>
            </w:r>
          </w:p>
        </w:tc>
      </w:tr>
      <w:tr w:rsidR="00057825" w:rsidRPr="00386F72" w14:paraId="5A59DCDA" w14:textId="77777777" w:rsidTr="001F49C0">
        <w:trPr>
          <w:trHeight w:val="289"/>
        </w:trPr>
        <w:tc>
          <w:tcPr>
            <w:tcW w:w="1129" w:type="dxa"/>
            <w:tcBorders>
              <w:top w:val="single" w:sz="4" w:space="0" w:color="auto"/>
              <w:left w:val="single" w:sz="4" w:space="0" w:color="auto"/>
              <w:bottom w:val="single" w:sz="4" w:space="0" w:color="auto"/>
            </w:tcBorders>
          </w:tcPr>
          <w:p w14:paraId="4DB1D98D" w14:textId="77777777" w:rsidR="00057825" w:rsidRPr="00386F72" w:rsidRDefault="00057825" w:rsidP="00051420">
            <w:pPr>
              <w:pStyle w:val="Tabletext"/>
              <w:jc w:val="center"/>
              <w:rPr>
                <w:sz w:val="18"/>
                <w:szCs w:val="18"/>
                <w:lang w:eastAsia="en-GB"/>
              </w:rPr>
            </w:pPr>
            <w:r w:rsidRPr="00386F72">
              <w:rPr>
                <w:sz w:val="18"/>
                <w:szCs w:val="18"/>
                <w:lang w:eastAsia="en-GB"/>
              </w:rPr>
              <w:t>51559</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3AF3E6FE" w14:textId="77777777" w:rsidR="00057825" w:rsidRPr="00386F72" w:rsidRDefault="00057825" w:rsidP="00051420">
            <w:pPr>
              <w:pStyle w:val="Tabletext"/>
              <w:rPr>
                <w:sz w:val="18"/>
                <w:szCs w:val="18"/>
                <w:lang w:eastAsia="en-GB"/>
              </w:rPr>
            </w:pPr>
            <w:r w:rsidRPr="00386F72">
              <w:rPr>
                <w:sz w:val="18"/>
                <w:szCs w:val="18"/>
                <w:lang w:eastAsia="en-GB"/>
              </w:rPr>
              <w:t>Égypte</w:t>
            </w:r>
          </w:p>
        </w:tc>
        <w:tc>
          <w:tcPr>
            <w:tcW w:w="2823" w:type="dxa"/>
            <w:tcBorders>
              <w:top w:val="nil"/>
              <w:left w:val="nil"/>
              <w:bottom w:val="single" w:sz="4" w:space="0" w:color="auto"/>
              <w:right w:val="single" w:sz="4" w:space="0" w:color="auto"/>
            </w:tcBorders>
            <w:shd w:val="clear" w:color="auto" w:fill="FFFFFF" w:themeFill="background1"/>
            <w:hideMark/>
          </w:tcPr>
          <w:p w14:paraId="39F15FE9" w14:textId="77777777" w:rsidR="00057825" w:rsidRPr="00386F72" w:rsidRDefault="00057825" w:rsidP="00051420">
            <w:pPr>
              <w:pStyle w:val="Tabletext"/>
              <w:rPr>
                <w:sz w:val="18"/>
                <w:szCs w:val="18"/>
                <w:lang w:eastAsia="en-GB"/>
              </w:rPr>
            </w:pPr>
            <w:r w:rsidRPr="00386F72">
              <w:rPr>
                <w:sz w:val="18"/>
                <w:szCs w:val="18"/>
                <w:lang w:eastAsia="en-GB"/>
              </w:rPr>
              <w:t>Orange Egypt, Le Caire</w:t>
            </w:r>
          </w:p>
        </w:tc>
        <w:tc>
          <w:tcPr>
            <w:tcW w:w="1019" w:type="dxa"/>
            <w:tcBorders>
              <w:top w:val="nil"/>
              <w:left w:val="nil"/>
              <w:bottom w:val="single" w:sz="4" w:space="0" w:color="auto"/>
              <w:right w:val="single" w:sz="4" w:space="0" w:color="auto"/>
            </w:tcBorders>
            <w:shd w:val="clear" w:color="auto" w:fill="FFFFFF" w:themeFill="background1"/>
            <w:noWrap/>
            <w:hideMark/>
          </w:tcPr>
          <w:p w14:paraId="7BF94BFA" w14:textId="77777777" w:rsidR="00057825" w:rsidRPr="00386F72" w:rsidRDefault="00057825" w:rsidP="00051420">
            <w:pPr>
              <w:pStyle w:val="Tabletext"/>
              <w:jc w:val="center"/>
              <w:rPr>
                <w:sz w:val="18"/>
                <w:szCs w:val="18"/>
                <w:lang w:eastAsia="en-GB"/>
              </w:rPr>
            </w:pPr>
            <w:r w:rsidRPr="00386F72">
              <w:rPr>
                <w:sz w:val="18"/>
                <w:szCs w:val="18"/>
                <w:lang w:eastAsia="en-GB"/>
              </w:rPr>
              <w:t>2018-2019</w:t>
            </w:r>
          </w:p>
        </w:tc>
        <w:tc>
          <w:tcPr>
            <w:tcW w:w="1060" w:type="dxa"/>
            <w:tcBorders>
              <w:top w:val="nil"/>
              <w:left w:val="nil"/>
              <w:bottom w:val="single" w:sz="4" w:space="0" w:color="auto"/>
              <w:right w:val="single" w:sz="4" w:space="0" w:color="auto"/>
            </w:tcBorders>
            <w:shd w:val="clear" w:color="auto" w:fill="FFFFFF" w:themeFill="background1"/>
            <w:noWrap/>
            <w:hideMark/>
          </w:tcPr>
          <w:p w14:paraId="25E4A9F6"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50590AD2" w14:textId="77777777" w:rsidR="00057825" w:rsidRPr="00386F72" w:rsidRDefault="00057825" w:rsidP="00051420">
            <w:pPr>
              <w:pStyle w:val="Tabletext"/>
              <w:jc w:val="center"/>
              <w:rPr>
                <w:sz w:val="18"/>
                <w:szCs w:val="18"/>
                <w:lang w:eastAsia="en-GB"/>
              </w:rPr>
            </w:pPr>
            <w:r w:rsidRPr="00386F72">
              <w:rPr>
                <w:sz w:val="18"/>
                <w:szCs w:val="18"/>
                <w:lang w:eastAsia="en-GB"/>
              </w:rPr>
              <w:t>1 011,35</w:t>
            </w:r>
          </w:p>
        </w:tc>
        <w:tc>
          <w:tcPr>
            <w:tcW w:w="1042" w:type="dxa"/>
            <w:tcBorders>
              <w:top w:val="nil"/>
              <w:left w:val="nil"/>
              <w:bottom w:val="single" w:sz="4" w:space="0" w:color="auto"/>
              <w:right w:val="single" w:sz="4" w:space="0" w:color="auto"/>
            </w:tcBorders>
            <w:shd w:val="clear" w:color="auto" w:fill="FFFFFF" w:themeFill="background1"/>
            <w:noWrap/>
            <w:hideMark/>
          </w:tcPr>
          <w:p w14:paraId="03010CEF" w14:textId="77777777" w:rsidR="00057825" w:rsidRPr="00386F72" w:rsidRDefault="00057825" w:rsidP="00051420">
            <w:pPr>
              <w:pStyle w:val="Tabletext"/>
              <w:jc w:val="center"/>
              <w:rPr>
                <w:sz w:val="18"/>
                <w:szCs w:val="18"/>
                <w:lang w:eastAsia="en-GB"/>
              </w:rPr>
            </w:pPr>
            <w:r w:rsidRPr="00386F72">
              <w:rPr>
                <w:sz w:val="18"/>
                <w:szCs w:val="18"/>
                <w:lang w:eastAsia="en-GB"/>
              </w:rPr>
              <w:t>2 998,85</w:t>
            </w:r>
          </w:p>
        </w:tc>
      </w:tr>
      <w:tr w:rsidR="00057825" w:rsidRPr="00386F72" w14:paraId="203D49BD" w14:textId="77777777" w:rsidTr="001F49C0">
        <w:trPr>
          <w:trHeight w:val="289"/>
        </w:trPr>
        <w:tc>
          <w:tcPr>
            <w:tcW w:w="1129" w:type="dxa"/>
            <w:tcBorders>
              <w:top w:val="single" w:sz="4" w:space="0" w:color="auto"/>
              <w:left w:val="single" w:sz="4" w:space="0" w:color="auto"/>
              <w:bottom w:val="single" w:sz="4" w:space="0" w:color="auto"/>
            </w:tcBorders>
          </w:tcPr>
          <w:p w14:paraId="447A8199" w14:textId="77777777" w:rsidR="00057825" w:rsidRPr="00386F72" w:rsidRDefault="00057825" w:rsidP="00051420">
            <w:pPr>
              <w:pStyle w:val="Tabletext"/>
              <w:jc w:val="center"/>
              <w:rPr>
                <w:sz w:val="18"/>
                <w:szCs w:val="18"/>
                <w:lang w:eastAsia="en-GB"/>
              </w:rPr>
            </w:pPr>
            <w:r w:rsidRPr="00386F72">
              <w:rPr>
                <w:sz w:val="18"/>
                <w:szCs w:val="18"/>
                <w:lang w:eastAsia="en-GB"/>
              </w:rPr>
              <w:t>1200174479</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2ACA925D" w14:textId="77777777" w:rsidR="00057825" w:rsidRPr="00386F72" w:rsidRDefault="00057825" w:rsidP="00051420">
            <w:pPr>
              <w:pStyle w:val="Tabletext"/>
              <w:rPr>
                <w:sz w:val="18"/>
                <w:szCs w:val="18"/>
                <w:lang w:eastAsia="en-GB"/>
              </w:rPr>
            </w:pPr>
            <w:r w:rsidRPr="00386F72">
              <w:rPr>
                <w:sz w:val="18"/>
                <w:szCs w:val="18"/>
                <w:lang w:eastAsia="en-GB"/>
              </w:rPr>
              <w:t>Estonie</w:t>
            </w:r>
          </w:p>
        </w:tc>
        <w:tc>
          <w:tcPr>
            <w:tcW w:w="2823" w:type="dxa"/>
            <w:tcBorders>
              <w:top w:val="nil"/>
              <w:left w:val="nil"/>
              <w:bottom w:val="single" w:sz="4" w:space="0" w:color="auto"/>
              <w:right w:val="single" w:sz="4" w:space="0" w:color="auto"/>
            </w:tcBorders>
            <w:shd w:val="clear" w:color="auto" w:fill="FFFFFF" w:themeFill="background1"/>
            <w:hideMark/>
          </w:tcPr>
          <w:p w14:paraId="385DD413" w14:textId="77777777" w:rsidR="00057825" w:rsidRPr="00386F72" w:rsidRDefault="00057825" w:rsidP="00051420">
            <w:pPr>
              <w:pStyle w:val="Tabletext"/>
              <w:rPr>
                <w:sz w:val="18"/>
                <w:szCs w:val="18"/>
                <w:lang w:eastAsia="en-GB"/>
              </w:rPr>
            </w:pPr>
            <w:proofErr w:type="spellStart"/>
            <w:r w:rsidRPr="00386F72">
              <w:rPr>
                <w:sz w:val="18"/>
                <w:szCs w:val="18"/>
                <w:lang w:eastAsia="en-GB"/>
              </w:rPr>
              <w:t>Clementvale</w:t>
            </w:r>
            <w:proofErr w:type="spellEnd"/>
            <w:r w:rsidRPr="00386F72">
              <w:rPr>
                <w:sz w:val="18"/>
                <w:szCs w:val="18"/>
                <w:lang w:eastAsia="en-GB"/>
              </w:rPr>
              <w:t xml:space="preserve"> Baltic, Tallinn</w:t>
            </w:r>
          </w:p>
        </w:tc>
        <w:tc>
          <w:tcPr>
            <w:tcW w:w="1019" w:type="dxa"/>
            <w:tcBorders>
              <w:top w:val="nil"/>
              <w:left w:val="nil"/>
              <w:bottom w:val="single" w:sz="4" w:space="0" w:color="auto"/>
              <w:right w:val="single" w:sz="4" w:space="0" w:color="auto"/>
            </w:tcBorders>
            <w:shd w:val="clear" w:color="auto" w:fill="FFFFFF" w:themeFill="background1"/>
            <w:noWrap/>
            <w:hideMark/>
          </w:tcPr>
          <w:p w14:paraId="029DB206"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noWrap/>
            <w:hideMark/>
          </w:tcPr>
          <w:p w14:paraId="76C350D7" w14:textId="77777777" w:rsidR="00057825" w:rsidRPr="00386F72" w:rsidRDefault="00057825" w:rsidP="00051420">
            <w:pPr>
              <w:pStyle w:val="Tabletext"/>
              <w:jc w:val="center"/>
              <w:rPr>
                <w:sz w:val="18"/>
                <w:szCs w:val="18"/>
                <w:lang w:eastAsia="en-GB"/>
              </w:rPr>
            </w:pPr>
            <w:r w:rsidRPr="00386F72">
              <w:rPr>
                <w:sz w:val="18"/>
                <w:szCs w:val="18"/>
                <w:lang w:eastAsia="en-GB"/>
              </w:rPr>
              <w:t>9 716,84</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3E013EF2" w14:textId="77777777" w:rsidR="00057825" w:rsidRPr="00386F72" w:rsidRDefault="00057825" w:rsidP="00051420">
            <w:pPr>
              <w:pStyle w:val="Tabletext"/>
              <w:jc w:val="center"/>
              <w:rPr>
                <w:sz w:val="18"/>
                <w:szCs w:val="18"/>
                <w:lang w:eastAsia="en-GB"/>
              </w:rPr>
            </w:pPr>
            <w:r w:rsidRPr="00386F72">
              <w:rPr>
                <w:sz w:val="18"/>
                <w:szCs w:val="18"/>
                <w:lang w:eastAsia="en-GB"/>
              </w:rPr>
              <w:t>3 384,10</w:t>
            </w:r>
          </w:p>
        </w:tc>
        <w:tc>
          <w:tcPr>
            <w:tcW w:w="1042" w:type="dxa"/>
            <w:tcBorders>
              <w:top w:val="nil"/>
              <w:left w:val="nil"/>
              <w:bottom w:val="single" w:sz="4" w:space="0" w:color="auto"/>
              <w:right w:val="single" w:sz="4" w:space="0" w:color="auto"/>
            </w:tcBorders>
            <w:shd w:val="clear" w:color="auto" w:fill="FFFFFF" w:themeFill="background1"/>
            <w:noWrap/>
            <w:hideMark/>
          </w:tcPr>
          <w:p w14:paraId="50D8979D" w14:textId="77777777" w:rsidR="00057825" w:rsidRPr="00386F72" w:rsidRDefault="00057825" w:rsidP="00051420">
            <w:pPr>
              <w:pStyle w:val="Tabletext"/>
              <w:jc w:val="center"/>
              <w:rPr>
                <w:sz w:val="18"/>
                <w:szCs w:val="18"/>
                <w:lang w:eastAsia="en-GB"/>
              </w:rPr>
            </w:pPr>
            <w:r w:rsidRPr="00386F72">
              <w:rPr>
                <w:sz w:val="18"/>
                <w:szCs w:val="18"/>
                <w:lang w:eastAsia="en-GB"/>
              </w:rPr>
              <w:t>13 100,94</w:t>
            </w:r>
          </w:p>
        </w:tc>
      </w:tr>
      <w:tr w:rsidR="00057825" w:rsidRPr="00386F72" w14:paraId="6B147CE5" w14:textId="77777777" w:rsidTr="001F49C0">
        <w:trPr>
          <w:trHeight w:val="289"/>
        </w:trPr>
        <w:tc>
          <w:tcPr>
            <w:tcW w:w="1129" w:type="dxa"/>
            <w:tcBorders>
              <w:top w:val="single" w:sz="4" w:space="0" w:color="auto"/>
              <w:left w:val="single" w:sz="4" w:space="0" w:color="auto"/>
              <w:bottom w:val="single" w:sz="4" w:space="0" w:color="auto"/>
            </w:tcBorders>
          </w:tcPr>
          <w:p w14:paraId="6A429A1F" w14:textId="77777777" w:rsidR="00057825" w:rsidRPr="00386F72" w:rsidRDefault="00057825" w:rsidP="00051420">
            <w:pPr>
              <w:pStyle w:val="Tabletext"/>
              <w:jc w:val="center"/>
              <w:rPr>
                <w:sz w:val="18"/>
                <w:szCs w:val="18"/>
                <w:lang w:eastAsia="en-GB"/>
              </w:rPr>
            </w:pPr>
            <w:r w:rsidRPr="00386F72">
              <w:rPr>
                <w:sz w:val="18"/>
                <w:szCs w:val="18"/>
                <w:lang w:eastAsia="en-GB"/>
              </w:rPr>
              <w:t>1200165052</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181F7586" w14:textId="77777777" w:rsidR="00057825" w:rsidRPr="00386F72" w:rsidRDefault="00057825" w:rsidP="00051420">
            <w:pPr>
              <w:pStyle w:val="Tabletext"/>
              <w:rPr>
                <w:sz w:val="18"/>
                <w:szCs w:val="18"/>
                <w:lang w:eastAsia="en-GB"/>
              </w:rPr>
            </w:pPr>
            <w:r w:rsidRPr="00386F72">
              <w:rPr>
                <w:sz w:val="18"/>
                <w:szCs w:val="18"/>
                <w:lang w:eastAsia="en-GB"/>
              </w:rPr>
              <w:t>Inde</w:t>
            </w:r>
          </w:p>
        </w:tc>
        <w:tc>
          <w:tcPr>
            <w:tcW w:w="2823" w:type="dxa"/>
            <w:tcBorders>
              <w:top w:val="nil"/>
              <w:left w:val="nil"/>
              <w:bottom w:val="single" w:sz="4" w:space="0" w:color="auto"/>
              <w:right w:val="single" w:sz="4" w:space="0" w:color="auto"/>
            </w:tcBorders>
            <w:shd w:val="clear" w:color="auto" w:fill="FFFFFF" w:themeFill="background1"/>
            <w:hideMark/>
          </w:tcPr>
          <w:p w14:paraId="09EC5C7E" w14:textId="77777777" w:rsidR="00057825" w:rsidRPr="005C6A26" w:rsidRDefault="00057825" w:rsidP="00051420">
            <w:pPr>
              <w:pStyle w:val="Tabletext"/>
              <w:rPr>
                <w:sz w:val="18"/>
                <w:szCs w:val="18"/>
                <w:lang w:val="en-US" w:eastAsia="en-GB"/>
              </w:rPr>
            </w:pPr>
            <w:r w:rsidRPr="005C6A26">
              <w:rPr>
                <w:sz w:val="18"/>
                <w:szCs w:val="18"/>
                <w:lang w:val="en-US" w:eastAsia="en-GB"/>
              </w:rPr>
              <w:t>Konkan Railway Corp Ltd, Navi Mumbai</w:t>
            </w:r>
          </w:p>
        </w:tc>
        <w:tc>
          <w:tcPr>
            <w:tcW w:w="1019" w:type="dxa"/>
            <w:tcBorders>
              <w:top w:val="nil"/>
              <w:left w:val="nil"/>
              <w:bottom w:val="single" w:sz="4" w:space="0" w:color="auto"/>
              <w:right w:val="single" w:sz="4" w:space="0" w:color="auto"/>
            </w:tcBorders>
            <w:shd w:val="clear" w:color="auto" w:fill="FFFFFF" w:themeFill="background1"/>
            <w:noWrap/>
            <w:hideMark/>
          </w:tcPr>
          <w:p w14:paraId="4BA4F3D6"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122B3D13"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1FD2BDB3" w14:textId="77777777" w:rsidR="00057825" w:rsidRPr="00386F72" w:rsidRDefault="00057825" w:rsidP="00051420">
            <w:pPr>
              <w:pStyle w:val="Tabletext"/>
              <w:jc w:val="center"/>
              <w:rPr>
                <w:sz w:val="18"/>
                <w:szCs w:val="18"/>
                <w:lang w:eastAsia="en-GB"/>
              </w:rPr>
            </w:pPr>
            <w:r w:rsidRPr="00386F72">
              <w:rPr>
                <w:sz w:val="18"/>
                <w:szCs w:val="18"/>
                <w:lang w:eastAsia="en-GB"/>
              </w:rPr>
              <w:t>–37,35</w:t>
            </w:r>
          </w:p>
        </w:tc>
        <w:tc>
          <w:tcPr>
            <w:tcW w:w="1042" w:type="dxa"/>
            <w:tcBorders>
              <w:top w:val="nil"/>
              <w:left w:val="nil"/>
              <w:bottom w:val="single" w:sz="4" w:space="0" w:color="auto"/>
              <w:right w:val="single" w:sz="4" w:space="0" w:color="auto"/>
            </w:tcBorders>
            <w:shd w:val="clear" w:color="auto" w:fill="FFFFFF" w:themeFill="background1"/>
            <w:noWrap/>
            <w:hideMark/>
          </w:tcPr>
          <w:p w14:paraId="72C42D8D" w14:textId="77777777" w:rsidR="00057825" w:rsidRPr="00386F72" w:rsidRDefault="00057825" w:rsidP="00051420">
            <w:pPr>
              <w:pStyle w:val="Tabletext"/>
              <w:jc w:val="center"/>
              <w:rPr>
                <w:sz w:val="18"/>
                <w:szCs w:val="18"/>
                <w:lang w:eastAsia="en-GB"/>
              </w:rPr>
            </w:pPr>
            <w:r w:rsidRPr="00386F72">
              <w:rPr>
                <w:sz w:val="18"/>
                <w:szCs w:val="18"/>
                <w:lang w:eastAsia="en-GB"/>
              </w:rPr>
              <w:t>1 950,15</w:t>
            </w:r>
          </w:p>
        </w:tc>
      </w:tr>
      <w:tr w:rsidR="00057825" w:rsidRPr="00386F72" w14:paraId="6F2B1A75" w14:textId="77777777" w:rsidTr="001F49C0">
        <w:trPr>
          <w:trHeight w:val="289"/>
        </w:trPr>
        <w:tc>
          <w:tcPr>
            <w:tcW w:w="1129" w:type="dxa"/>
            <w:tcBorders>
              <w:top w:val="single" w:sz="4" w:space="0" w:color="auto"/>
              <w:left w:val="single" w:sz="4" w:space="0" w:color="auto"/>
              <w:bottom w:val="single" w:sz="4" w:space="0" w:color="auto"/>
            </w:tcBorders>
          </w:tcPr>
          <w:p w14:paraId="0C085501" w14:textId="77777777" w:rsidR="00057825" w:rsidRPr="00386F72" w:rsidRDefault="00057825" w:rsidP="00051420">
            <w:pPr>
              <w:pStyle w:val="Tabletext"/>
              <w:jc w:val="center"/>
              <w:rPr>
                <w:sz w:val="18"/>
                <w:szCs w:val="18"/>
                <w:lang w:eastAsia="en-GB"/>
              </w:rPr>
            </w:pPr>
            <w:r w:rsidRPr="00386F72">
              <w:rPr>
                <w:sz w:val="18"/>
                <w:szCs w:val="18"/>
                <w:lang w:eastAsia="en-GB"/>
              </w:rPr>
              <w:t>1200101301</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36B1CBEC" w14:textId="77777777" w:rsidR="00057825" w:rsidRPr="00386F72" w:rsidRDefault="00057825" w:rsidP="00051420">
            <w:pPr>
              <w:pStyle w:val="Tabletext"/>
              <w:rPr>
                <w:sz w:val="18"/>
                <w:szCs w:val="18"/>
                <w:lang w:eastAsia="en-GB"/>
              </w:rPr>
            </w:pPr>
            <w:r w:rsidRPr="00386F72">
              <w:rPr>
                <w:sz w:val="18"/>
                <w:szCs w:val="18"/>
                <w:lang w:eastAsia="en-GB"/>
              </w:rPr>
              <w:t>Iran</w:t>
            </w:r>
          </w:p>
        </w:tc>
        <w:tc>
          <w:tcPr>
            <w:tcW w:w="2823" w:type="dxa"/>
            <w:tcBorders>
              <w:top w:val="nil"/>
              <w:left w:val="nil"/>
              <w:bottom w:val="single" w:sz="4" w:space="0" w:color="auto"/>
              <w:right w:val="single" w:sz="4" w:space="0" w:color="auto"/>
            </w:tcBorders>
            <w:shd w:val="clear" w:color="auto" w:fill="FFFFFF" w:themeFill="background1"/>
            <w:hideMark/>
          </w:tcPr>
          <w:p w14:paraId="5DE8FE4A" w14:textId="77777777" w:rsidR="00057825" w:rsidRPr="00386F72" w:rsidRDefault="00057825" w:rsidP="00051420">
            <w:pPr>
              <w:pStyle w:val="Tabletext"/>
              <w:rPr>
                <w:sz w:val="18"/>
                <w:szCs w:val="18"/>
                <w:lang w:eastAsia="en-GB"/>
              </w:rPr>
            </w:pPr>
            <w:r w:rsidRPr="00386F72">
              <w:rPr>
                <w:sz w:val="18"/>
                <w:szCs w:val="18"/>
                <w:lang w:eastAsia="en-GB"/>
              </w:rPr>
              <w:t>Faculté des sciences appliquées des postes et télécommunications, Téhéran</w:t>
            </w:r>
          </w:p>
        </w:tc>
        <w:tc>
          <w:tcPr>
            <w:tcW w:w="1019" w:type="dxa"/>
            <w:tcBorders>
              <w:top w:val="nil"/>
              <w:left w:val="nil"/>
              <w:bottom w:val="single" w:sz="4" w:space="0" w:color="auto"/>
              <w:right w:val="single" w:sz="4" w:space="0" w:color="auto"/>
            </w:tcBorders>
            <w:shd w:val="clear" w:color="auto" w:fill="FFFFFF" w:themeFill="background1"/>
            <w:noWrap/>
            <w:hideMark/>
          </w:tcPr>
          <w:p w14:paraId="4E7049C1"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noWrap/>
            <w:hideMark/>
          </w:tcPr>
          <w:p w14:paraId="44CA4808"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1F3A295C" w14:textId="77777777" w:rsidR="00057825" w:rsidRPr="00386F72" w:rsidRDefault="00057825" w:rsidP="00051420">
            <w:pPr>
              <w:pStyle w:val="Tabletext"/>
              <w:jc w:val="center"/>
              <w:rPr>
                <w:sz w:val="18"/>
                <w:szCs w:val="18"/>
                <w:lang w:eastAsia="en-GB"/>
              </w:rPr>
            </w:pPr>
            <w:r w:rsidRPr="00386F72">
              <w:rPr>
                <w:sz w:val="18"/>
                <w:szCs w:val="18"/>
                <w:lang w:eastAsia="en-GB"/>
              </w:rPr>
              <w:t>672,25</w:t>
            </w:r>
          </w:p>
        </w:tc>
        <w:tc>
          <w:tcPr>
            <w:tcW w:w="1042" w:type="dxa"/>
            <w:tcBorders>
              <w:top w:val="nil"/>
              <w:left w:val="nil"/>
              <w:bottom w:val="single" w:sz="4" w:space="0" w:color="auto"/>
              <w:right w:val="single" w:sz="4" w:space="0" w:color="auto"/>
            </w:tcBorders>
            <w:shd w:val="clear" w:color="auto" w:fill="FFFFFF" w:themeFill="background1"/>
            <w:noWrap/>
            <w:hideMark/>
          </w:tcPr>
          <w:p w14:paraId="155168B8" w14:textId="77777777" w:rsidR="00057825" w:rsidRPr="00386F72" w:rsidRDefault="00057825" w:rsidP="00051420">
            <w:pPr>
              <w:pStyle w:val="Tabletext"/>
              <w:jc w:val="center"/>
              <w:rPr>
                <w:sz w:val="18"/>
                <w:szCs w:val="18"/>
                <w:lang w:eastAsia="en-GB"/>
              </w:rPr>
            </w:pPr>
            <w:r w:rsidRPr="00386F72">
              <w:rPr>
                <w:sz w:val="18"/>
                <w:szCs w:val="18"/>
                <w:lang w:eastAsia="en-GB"/>
              </w:rPr>
              <w:t>2 659,75</w:t>
            </w:r>
          </w:p>
        </w:tc>
      </w:tr>
      <w:tr w:rsidR="00057825" w:rsidRPr="00386F72" w14:paraId="0CC10FFC" w14:textId="77777777" w:rsidTr="001F49C0">
        <w:trPr>
          <w:trHeight w:val="289"/>
        </w:trPr>
        <w:tc>
          <w:tcPr>
            <w:tcW w:w="1129" w:type="dxa"/>
            <w:tcBorders>
              <w:top w:val="single" w:sz="4" w:space="0" w:color="auto"/>
              <w:left w:val="single" w:sz="4" w:space="0" w:color="auto"/>
              <w:bottom w:val="single" w:sz="4" w:space="0" w:color="auto"/>
            </w:tcBorders>
          </w:tcPr>
          <w:p w14:paraId="63A2DC82" w14:textId="77777777" w:rsidR="00057825" w:rsidRPr="00386F72" w:rsidRDefault="00057825" w:rsidP="00051420">
            <w:pPr>
              <w:pStyle w:val="Tabletext"/>
              <w:jc w:val="center"/>
              <w:rPr>
                <w:sz w:val="18"/>
                <w:szCs w:val="18"/>
                <w:lang w:eastAsia="en-GB"/>
              </w:rPr>
            </w:pPr>
            <w:r w:rsidRPr="00386F72">
              <w:rPr>
                <w:sz w:val="18"/>
                <w:szCs w:val="18"/>
                <w:lang w:eastAsia="en-GB"/>
              </w:rPr>
              <w:t>63074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79F2578A" w14:textId="77777777" w:rsidR="00057825" w:rsidRPr="00386F72" w:rsidRDefault="00057825" w:rsidP="00051420">
            <w:pPr>
              <w:pStyle w:val="Tabletext"/>
              <w:rPr>
                <w:sz w:val="18"/>
                <w:szCs w:val="18"/>
                <w:lang w:eastAsia="en-GB"/>
              </w:rPr>
            </w:pPr>
            <w:r w:rsidRPr="00386F72">
              <w:rPr>
                <w:sz w:val="18"/>
                <w:szCs w:val="18"/>
                <w:lang w:eastAsia="en-GB"/>
              </w:rPr>
              <w:t>Iran</w:t>
            </w:r>
          </w:p>
        </w:tc>
        <w:tc>
          <w:tcPr>
            <w:tcW w:w="2823" w:type="dxa"/>
            <w:tcBorders>
              <w:top w:val="nil"/>
              <w:left w:val="nil"/>
              <w:bottom w:val="single" w:sz="4" w:space="0" w:color="auto"/>
              <w:right w:val="single" w:sz="4" w:space="0" w:color="auto"/>
            </w:tcBorders>
            <w:shd w:val="clear" w:color="auto" w:fill="FFFFFF" w:themeFill="background1"/>
            <w:hideMark/>
          </w:tcPr>
          <w:p w14:paraId="6115540C" w14:textId="77777777" w:rsidR="00057825" w:rsidRPr="00386F72" w:rsidRDefault="00057825" w:rsidP="00051420">
            <w:pPr>
              <w:pStyle w:val="Tabletext"/>
              <w:rPr>
                <w:sz w:val="18"/>
                <w:szCs w:val="18"/>
                <w:lang w:eastAsia="en-GB"/>
              </w:rPr>
            </w:pPr>
            <w:proofErr w:type="spellStart"/>
            <w:r w:rsidRPr="00386F72">
              <w:rPr>
                <w:sz w:val="18"/>
                <w:szCs w:val="18"/>
                <w:lang w:eastAsia="en-GB"/>
              </w:rPr>
              <w:t>Iranian</w:t>
            </w:r>
            <w:proofErr w:type="spellEnd"/>
            <w:r w:rsidRPr="00386F72">
              <w:rPr>
                <w:sz w:val="18"/>
                <w:szCs w:val="18"/>
                <w:lang w:eastAsia="en-GB"/>
              </w:rPr>
              <w:t xml:space="preserve"> Net Communications &amp; </w:t>
            </w:r>
            <w:proofErr w:type="spellStart"/>
            <w:r w:rsidRPr="00386F72">
              <w:rPr>
                <w:sz w:val="18"/>
                <w:szCs w:val="18"/>
                <w:lang w:eastAsia="en-GB"/>
              </w:rPr>
              <w:t>Electronic</w:t>
            </w:r>
            <w:proofErr w:type="spellEnd"/>
            <w:r w:rsidRPr="00386F72">
              <w:rPr>
                <w:sz w:val="18"/>
                <w:szCs w:val="18"/>
                <w:lang w:eastAsia="en-GB"/>
              </w:rPr>
              <w:t xml:space="preserve"> Services Co., Téhéran</w:t>
            </w:r>
          </w:p>
        </w:tc>
        <w:tc>
          <w:tcPr>
            <w:tcW w:w="1019" w:type="dxa"/>
            <w:tcBorders>
              <w:top w:val="nil"/>
              <w:left w:val="nil"/>
              <w:bottom w:val="single" w:sz="4" w:space="0" w:color="auto"/>
              <w:right w:val="single" w:sz="4" w:space="0" w:color="auto"/>
            </w:tcBorders>
            <w:shd w:val="clear" w:color="auto" w:fill="FFFFFF" w:themeFill="background1"/>
            <w:noWrap/>
            <w:hideMark/>
          </w:tcPr>
          <w:p w14:paraId="0A464793"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45348581"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0AF27B0F" w14:textId="77777777" w:rsidR="00057825" w:rsidRPr="00386F72" w:rsidRDefault="00057825" w:rsidP="00051420">
            <w:pPr>
              <w:pStyle w:val="Tabletext"/>
              <w:jc w:val="center"/>
              <w:rPr>
                <w:sz w:val="18"/>
                <w:szCs w:val="18"/>
                <w:lang w:eastAsia="en-GB"/>
              </w:rPr>
            </w:pPr>
            <w:r w:rsidRPr="00386F72">
              <w:rPr>
                <w:sz w:val="18"/>
                <w:szCs w:val="18"/>
                <w:lang w:eastAsia="en-GB"/>
              </w:rPr>
              <w:t>937,50</w:t>
            </w:r>
          </w:p>
        </w:tc>
        <w:tc>
          <w:tcPr>
            <w:tcW w:w="1042" w:type="dxa"/>
            <w:tcBorders>
              <w:top w:val="nil"/>
              <w:left w:val="nil"/>
              <w:bottom w:val="single" w:sz="4" w:space="0" w:color="auto"/>
              <w:right w:val="single" w:sz="4" w:space="0" w:color="auto"/>
            </w:tcBorders>
            <w:shd w:val="clear" w:color="auto" w:fill="FFFFFF" w:themeFill="background1"/>
            <w:noWrap/>
            <w:hideMark/>
          </w:tcPr>
          <w:p w14:paraId="1367B615" w14:textId="77777777" w:rsidR="00057825" w:rsidRPr="00386F72" w:rsidRDefault="00057825" w:rsidP="00051420">
            <w:pPr>
              <w:pStyle w:val="Tabletext"/>
              <w:jc w:val="center"/>
              <w:rPr>
                <w:sz w:val="18"/>
                <w:szCs w:val="18"/>
                <w:lang w:eastAsia="en-GB"/>
              </w:rPr>
            </w:pPr>
            <w:r w:rsidRPr="00386F72">
              <w:rPr>
                <w:sz w:val="18"/>
                <w:szCs w:val="18"/>
                <w:lang w:eastAsia="en-GB"/>
              </w:rPr>
              <w:t>2 925,00</w:t>
            </w:r>
          </w:p>
        </w:tc>
      </w:tr>
      <w:tr w:rsidR="00057825" w:rsidRPr="00386F72" w14:paraId="09C1F94A" w14:textId="77777777" w:rsidTr="001F49C0">
        <w:trPr>
          <w:trHeight w:val="289"/>
        </w:trPr>
        <w:tc>
          <w:tcPr>
            <w:tcW w:w="1129" w:type="dxa"/>
            <w:tcBorders>
              <w:top w:val="single" w:sz="4" w:space="0" w:color="auto"/>
              <w:left w:val="single" w:sz="4" w:space="0" w:color="auto"/>
              <w:bottom w:val="single" w:sz="4" w:space="0" w:color="auto"/>
            </w:tcBorders>
          </w:tcPr>
          <w:p w14:paraId="658EED8B" w14:textId="77777777" w:rsidR="00057825" w:rsidRPr="00386F72" w:rsidRDefault="00057825" w:rsidP="00051420">
            <w:pPr>
              <w:pStyle w:val="Tabletext"/>
              <w:jc w:val="center"/>
              <w:rPr>
                <w:sz w:val="18"/>
                <w:szCs w:val="18"/>
                <w:lang w:eastAsia="en-GB"/>
              </w:rPr>
            </w:pPr>
            <w:r w:rsidRPr="00386F72">
              <w:rPr>
                <w:sz w:val="18"/>
                <w:szCs w:val="18"/>
                <w:lang w:eastAsia="en-GB"/>
              </w:rPr>
              <w:lastRenderedPageBreak/>
              <w:t>1200101813</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373BD3C6" w14:textId="77777777" w:rsidR="00057825" w:rsidRPr="00386F72" w:rsidRDefault="00057825" w:rsidP="00051420">
            <w:pPr>
              <w:pStyle w:val="Tabletext"/>
              <w:rPr>
                <w:sz w:val="18"/>
                <w:szCs w:val="18"/>
                <w:lang w:eastAsia="en-GB"/>
              </w:rPr>
            </w:pPr>
            <w:r w:rsidRPr="00386F72">
              <w:rPr>
                <w:sz w:val="18"/>
                <w:szCs w:val="18"/>
                <w:lang w:eastAsia="en-GB"/>
              </w:rPr>
              <w:t>Iran</w:t>
            </w:r>
          </w:p>
        </w:tc>
        <w:tc>
          <w:tcPr>
            <w:tcW w:w="2823" w:type="dxa"/>
            <w:tcBorders>
              <w:top w:val="nil"/>
              <w:left w:val="nil"/>
              <w:bottom w:val="single" w:sz="4" w:space="0" w:color="auto"/>
              <w:right w:val="single" w:sz="4" w:space="0" w:color="auto"/>
            </w:tcBorders>
            <w:shd w:val="clear" w:color="auto" w:fill="FFFFFF" w:themeFill="background1"/>
            <w:hideMark/>
          </w:tcPr>
          <w:p w14:paraId="0D382A73" w14:textId="77777777" w:rsidR="00057825" w:rsidRPr="00386F72" w:rsidRDefault="00057825" w:rsidP="00051420">
            <w:pPr>
              <w:pStyle w:val="Tabletext"/>
              <w:rPr>
                <w:sz w:val="18"/>
                <w:szCs w:val="18"/>
                <w:lang w:eastAsia="en-GB"/>
              </w:rPr>
            </w:pPr>
            <w:proofErr w:type="spellStart"/>
            <w:r w:rsidRPr="00386F72">
              <w:rPr>
                <w:sz w:val="18"/>
                <w:szCs w:val="18"/>
                <w:lang w:eastAsia="en-GB"/>
              </w:rPr>
              <w:t>Monenco</w:t>
            </w:r>
            <w:proofErr w:type="spellEnd"/>
            <w:r w:rsidRPr="00386F72">
              <w:rPr>
                <w:sz w:val="18"/>
                <w:szCs w:val="18"/>
                <w:lang w:eastAsia="en-GB"/>
              </w:rPr>
              <w:t xml:space="preserve"> Iran, Téhéran</w:t>
            </w:r>
          </w:p>
        </w:tc>
        <w:tc>
          <w:tcPr>
            <w:tcW w:w="1019" w:type="dxa"/>
            <w:tcBorders>
              <w:top w:val="nil"/>
              <w:left w:val="nil"/>
              <w:bottom w:val="single" w:sz="4" w:space="0" w:color="auto"/>
              <w:right w:val="single" w:sz="4" w:space="0" w:color="auto"/>
            </w:tcBorders>
            <w:shd w:val="clear" w:color="auto" w:fill="FFFFFF" w:themeFill="background1"/>
            <w:noWrap/>
            <w:hideMark/>
          </w:tcPr>
          <w:p w14:paraId="3EC1373F"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noWrap/>
            <w:hideMark/>
          </w:tcPr>
          <w:p w14:paraId="157151F1"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37614D2A" w14:textId="77777777" w:rsidR="00057825" w:rsidRPr="00386F72" w:rsidRDefault="00057825" w:rsidP="00051420">
            <w:pPr>
              <w:pStyle w:val="Tabletext"/>
              <w:jc w:val="center"/>
              <w:rPr>
                <w:sz w:val="18"/>
                <w:szCs w:val="18"/>
                <w:lang w:eastAsia="en-GB"/>
              </w:rPr>
            </w:pPr>
            <w:r w:rsidRPr="00386F72">
              <w:rPr>
                <w:sz w:val="18"/>
                <w:szCs w:val="18"/>
                <w:lang w:eastAsia="en-GB"/>
              </w:rPr>
              <w:t>672,25</w:t>
            </w:r>
          </w:p>
        </w:tc>
        <w:tc>
          <w:tcPr>
            <w:tcW w:w="1042" w:type="dxa"/>
            <w:tcBorders>
              <w:top w:val="nil"/>
              <w:left w:val="nil"/>
              <w:bottom w:val="single" w:sz="4" w:space="0" w:color="auto"/>
              <w:right w:val="single" w:sz="4" w:space="0" w:color="auto"/>
            </w:tcBorders>
            <w:shd w:val="clear" w:color="auto" w:fill="FFFFFF" w:themeFill="background1"/>
            <w:noWrap/>
            <w:hideMark/>
          </w:tcPr>
          <w:p w14:paraId="2ADA0A18" w14:textId="77777777" w:rsidR="00057825" w:rsidRPr="00386F72" w:rsidRDefault="00057825" w:rsidP="00051420">
            <w:pPr>
              <w:pStyle w:val="Tabletext"/>
              <w:jc w:val="center"/>
              <w:rPr>
                <w:sz w:val="18"/>
                <w:szCs w:val="18"/>
                <w:lang w:eastAsia="en-GB"/>
              </w:rPr>
            </w:pPr>
            <w:r w:rsidRPr="00386F72">
              <w:rPr>
                <w:sz w:val="18"/>
                <w:szCs w:val="18"/>
                <w:lang w:eastAsia="en-GB"/>
              </w:rPr>
              <w:t>2 659,75</w:t>
            </w:r>
          </w:p>
        </w:tc>
      </w:tr>
      <w:tr w:rsidR="00057825" w:rsidRPr="00386F72" w14:paraId="70EB5726" w14:textId="77777777" w:rsidTr="001F49C0">
        <w:trPr>
          <w:trHeight w:val="289"/>
        </w:trPr>
        <w:tc>
          <w:tcPr>
            <w:tcW w:w="1129" w:type="dxa"/>
            <w:tcBorders>
              <w:top w:val="single" w:sz="4" w:space="0" w:color="auto"/>
              <w:left w:val="single" w:sz="4" w:space="0" w:color="auto"/>
              <w:bottom w:val="single" w:sz="4" w:space="0" w:color="auto"/>
            </w:tcBorders>
          </w:tcPr>
          <w:p w14:paraId="718532B1" w14:textId="77777777" w:rsidR="00057825" w:rsidRPr="00386F72" w:rsidRDefault="00057825" w:rsidP="00051420">
            <w:pPr>
              <w:pStyle w:val="Tabletext"/>
              <w:jc w:val="center"/>
              <w:rPr>
                <w:sz w:val="18"/>
                <w:szCs w:val="18"/>
                <w:lang w:eastAsia="en-GB"/>
              </w:rPr>
            </w:pPr>
            <w:r w:rsidRPr="00386F72">
              <w:rPr>
                <w:sz w:val="18"/>
                <w:szCs w:val="18"/>
                <w:lang w:eastAsia="en-GB"/>
              </w:rPr>
              <w:t>1200175394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1DF6B3F4" w14:textId="77777777" w:rsidR="00057825" w:rsidRPr="00386F72" w:rsidRDefault="00057825" w:rsidP="00051420">
            <w:pPr>
              <w:pStyle w:val="Tabletext"/>
              <w:rPr>
                <w:sz w:val="18"/>
                <w:szCs w:val="18"/>
                <w:lang w:eastAsia="en-GB"/>
              </w:rPr>
            </w:pPr>
            <w:r w:rsidRPr="00386F72">
              <w:rPr>
                <w:sz w:val="18"/>
                <w:szCs w:val="18"/>
                <w:lang w:eastAsia="en-GB"/>
              </w:rPr>
              <w:t>Israël</w:t>
            </w:r>
          </w:p>
        </w:tc>
        <w:tc>
          <w:tcPr>
            <w:tcW w:w="2823" w:type="dxa"/>
            <w:tcBorders>
              <w:top w:val="nil"/>
              <w:left w:val="nil"/>
              <w:bottom w:val="single" w:sz="4" w:space="0" w:color="auto"/>
              <w:right w:val="single" w:sz="4" w:space="0" w:color="auto"/>
            </w:tcBorders>
            <w:shd w:val="clear" w:color="auto" w:fill="FFFFFF" w:themeFill="background1"/>
            <w:hideMark/>
          </w:tcPr>
          <w:p w14:paraId="1C6250AA" w14:textId="77777777" w:rsidR="00057825" w:rsidRPr="00E1216A" w:rsidRDefault="00057825" w:rsidP="00051420">
            <w:pPr>
              <w:pStyle w:val="Tabletext"/>
              <w:rPr>
                <w:sz w:val="18"/>
                <w:szCs w:val="18"/>
                <w:lang w:val="en-US" w:eastAsia="en-GB"/>
              </w:rPr>
            </w:pPr>
            <w:proofErr w:type="spellStart"/>
            <w:r w:rsidRPr="00E1216A">
              <w:rPr>
                <w:sz w:val="18"/>
                <w:szCs w:val="18"/>
                <w:lang w:val="en-US" w:eastAsia="en-GB"/>
              </w:rPr>
              <w:t>JpU</w:t>
            </w:r>
            <w:proofErr w:type="spellEnd"/>
            <w:r w:rsidRPr="00E1216A">
              <w:rPr>
                <w:sz w:val="18"/>
                <w:szCs w:val="18"/>
                <w:lang w:val="en-US" w:eastAsia="en-GB"/>
              </w:rPr>
              <w:t xml:space="preserve"> Io Ltd, Petach Tikva</w:t>
            </w:r>
          </w:p>
        </w:tc>
        <w:tc>
          <w:tcPr>
            <w:tcW w:w="1019" w:type="dxa"/>
            <w:tcBorders>
              <w:top w:val="nil"/>
              <w:left w:val="nil"/>
              <w:bottom w:val="single" w:sz="4" w:space="0" w:color="auto"/>
              <w:right w:val="single" w:sz="4" w:space="0" w:color="auto"/>
            </w:tcBorders>
            <w:shd w:val="clear" w:color="auto" w:fill="FFFFFF" w:themeFill="background1"/>
            <w:noWrap/>
            <w:hideMark/>
          </w:tcPr>
          <w:p w14:paraId="02BD4601"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32334957" w14:textId="77777777" w:rsidR="00057825" w:rsidRPr="00386F72" w:rsidRDefault="00057825" w:rsidP="00051420">
            <w:pPr>
              <w:pStyle w:val="Tabletext"/>
              <w:jc w:val="center"/>
              <w:rPr>
                <w:sz w:val="18"/>
                <w:szCs w:val="18"/>
                <w:lang w:eastAsia="en-GB"/>
              </w:rPr>
            </w:pPr>
            <w:r w:rsidRPr="00386F72">
              <w:rPr>
                <w:sz w:val="18"/>
                <w:szCs w:val="18"/>
                <w:lang w:eastAsia="en-GB"/>
              </w:rPr>
              <w:t>3 533,33</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74915231" w14:textId="77777777" w:rsidR="00057825" w:rsidRPr="00386F72" w:rsidRDefault="00057825" w:rsidP="00051420">
            <w:pPr>
              <w:pStyle w:val="Tabletext"/>
              <w:jc w:val="center"/>
              <w:rPr>
                <w:sz w:val="18"/>
                <w:szCs w:val="18"/>
                <w:lang w:eastAsia="en-GB"/>
              </w:rPr>
            </w:pPr>
            <w:r w:rsidRPr="00386F72">
              <w:rPr>
                <w:sz w:val="18"/>
                <w:szCs w:val="18"/>
                <w:lang w:eastAsia="en-GB"/>
              </w:rPr>
              <w:t>1 666,75</w:t>
            </w:r>
          </w:p>
        </w:tc>
        <w:tc>
          <w:tcPr>
            <w:tcW w:w="1042" w:type="dxa"/>
            <w:tcBorders>
              <w:top w:val="nil"/>
              <w:left w:val="nil"/>
              <w:bottom w:val="single" w:sz="4" w:space="0" w:color="auto"/>
              <w:right w:val="single" w:sz="4" w:space="0" w:color="auto"/>
            </w:tcBorders>
            <w:shd w:val="clear" w:color="auto" w:fill="FFFFFF" w:themeFill="background1"/>
            <w:noWrap/>
            <w:hideMark/>
          </w:tcPr>
          <w:p w14:paraId="060B0C81" w14:textId="77777777" w:rsidR="00057825" w:rsidRPr="00386F72" w:rsidRDefault="00057825" w:rsidP="00051420">
            <w:pPr>
              <w:pStyle w:val="Tabletext"/>
              <w:jc w:val="center"/>
              <w:rPr>
                <w:sz w:val="18"/>
                <w:szCs w:val="18"/>
                <w:lang w:eastAsia="en-GB"/>
              </w:rPr>
            </w:pPr>
            <w:r w:rsidRPr="00386F72">
              <w:rPr>
                <w:sz w:val="18"/>
                <w:szCs w:val="18"/>
                <w:lang w:eastAsia="en-GB"/>
              </w:rPr>
              <w:t>5 200,08</w:t>
            </w:r>
          </w:p>
        </w:tc>
      </w:tr>
      <w:tr w:rsidR="00057825" w:rsidRPr="00386F72" w14:paraId="33951B3C" w14:textId="77777777" w:rsidTr="001F49C0">
        <w:trPr>
          <w:trHeight w:val="289"/>
        </w:trPr>
        <w:tc>
          <w:tcPr>
            <w:tcW w:w="1129" w:type="dxa"/>
            <w:tcBorders>
              <w:top w:val="single" w:sz="4" w:space="0" w:color="auto"/>
              <w:left w:val="single" w:sz="4" w:space="0" w:color="auto"/>
              <w:bottom w:val="single" w:sz="4" w:space="0" w:color="auto"/>
            </w:tcBorders>
          </w:tcPr>
          <w:p w14:paraId="0F7B460B" w14:textId="77777777" w:rsidR="00057825" w:rsidRPr="00386F72" w:rsidRDefault="00057825" w:rsidP="00051420">
            <w:pPr>
              <w:pStyle w:val="Tabletext"/>
              <w:jc w:val="center"/>
              <w:rPr>
                <w:sz w:val="18"/>
                <w:szCs w:val="18"/>
                <w:lang w:eastAsia="en-GB"/>
              </w:rPr>
            </w:pPr>
            <w:r w:rsidRPr="00386F72">
              <w:rPr>
                <w:sz w:val="18"/>
                <w:szCs w:val="18"/>
                <w:lang w:eastAsia="en-GB"/>
              </w:rPr>
              <w:t>62772</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073AC394" w14:textId="77777777" w:rsidR="00057825" w:rsidRPr="00386F72" w:rsidRDefault="00057825" w:rsidP="00051420">
            <w:pPr>
              <w:pStyle w:val="Tabletext"/>
              <w:rPr>
                <w:sz w:val="18"/>
                <w:szCs w:val="18"/>
                <w:lang w:eastAsia="en-GB"/>
              </w:rPr>
            </w:pPr>
            <w:r w:rsidRPr="00386F72">
              <w:rPr>
                <w:sz w:val="18"/>
                <w:szCs w:val="18"/>
                <w:lang w:eastAsia="en-GB"/>
              </w:rPr>
              <w:t>Israël</w:t>
            </w:r>
          </w:p>
        </w:tc>
        <w:tc>
          <w:tcPr>
            <w:tcW w:w="2823" w:type="dxa"/>
            <w:tcBorders>
              <w:top w:val="nil"/>
              <w:left w:val="nil"/>
              <w:bottom w:val="single" w:sz="4" w:space="0" w:color="auto"/>
              <w:right w:val="single" w:sz="4" w:space="0" w:color="auto"/>
            </w:tcBorders>
            <w:shd w:val="clear" w:color="auto" w:fill="FFFFFF" w:themeFill="background1"/>
            <w:hideMark/>
          </w:tcPr>
          <w:p w14:paraId="746DC55A" w14:textId="77777777" w:rsidR="00057825" w:rsidRPr="00386F72" w:rsidRDefault="00057825" w:rsidP="00051420">
            <w:pPr>
              <w:pStyle w:val="Tabletext"/>
              <w:rPr>
                <w:sz w:val="18"/>
                <w:szCs w:val="18"/>
                <w:lang w:eastAsia="en-GB"/>
              </w:rPr>
            </w:pPr>
            <w:proofErr w:type="spellStart"/>
            <w:r w:rsidRPr="00386F72">
              <w:rPr>
                <w:sz w:val="18"/>
                <w:szCs w:val="18"/>
                <w:lang w:eastAsia="en-GB"/>
              </w:rPr>
              <w:t>Sckipio</w:t>
            </w:r>
            <w:proofErr w:type="spellEnd"/>
            <w:r w:rsidRPr="00386F72">
              <w:rPr>
                <w:sz w:val="18"/>
                <w:szCs w:val="18"/>
                <w:lang w:eastAsia="en-GB"/>
              </w:rPr>
              <w:t xml:space="preserve"> Tech, </w:t>
            </w:r>
            <w:proofErr w:type="spellStart"/>
            <w:r w:rsidRPr="00386F72">
              <w:rPr>
                <w:sz w:val="18"/>
                <w:szCs w:val="18"/>
                <w:lang w:eastAsia="en-GB"/>
              </w:rPr>
              <w:t>Ramat</w:t>
            </w:r>
            <w:proofErr w:type="spellEnd"/>
            <w:r w:rsidRPr="00386F72">
              <w:rPr>
                <w:sz w:val="18"/>
                <w:szCs w:val="18"/>
                <w:lang w:eastAsia="en-GB"/>
              </w:rPr>
              <w:t xml:space="preserve"> Gan</w:t>
            </w:r>
          </w:p>
        </w:tc>
        <w:tc>
          <w:tcPr>
            <w:tcW w:w="1019" w:type="dxa"/>
            <w:tcBorders>
              <w:top w:val="nil"/>
              <w:left w:val="nil"/>
              <w:bottom w:val="single" w:sz="4" w:space="0" w:color="auto"/>
              <w:right w:val="single" w:sz="4" w:space="0" w:color="auto"/>
            </w:tcBorders>
            <w:shd w:val="clear" w:color="auto" w:fill="FFFFFF" w:themeFill="background1"/>
            <w:noWrap/>
            <w:hideMark/>
          </w:tcPr>
          <w:p w14:paraId="3238FD90"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noWrap/>
            <w:hideMark/>
          </w:tcPr>
          <w:p w14:paraId="4F645E7E" w14:textId="77777777" w:rsidR="00057825" w:rsidRPr="00386F72" w:rsidRDefault="00057825" w:rsidP="00051420">
            <w:pPr>
              <w:pStyle w:val="Tabletext"/>
              <w:jc w:val="center"/>
              <w:rPr>
                <w:sz w:val="18"/>
                <w:szCs w:val="18"/>
                <w:lang w:eastAsia="en-GB"/>
              </w:rPr>
            </w:pPr>
            <w:r w:rsidRPr="00386F72">
              <w:rPr>
                <w:sz w:val="18"/>
                <w:szCs w:val="18"/>
                <w:lang w:eastAsia="en-GB"/>
              </w:rPr>
              <w:t>10 600,00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5889F82A" w14:textId="77777777" w:rsidR="00057825" w:rsidRPr="00386F72" w:rsidRDefault="00057825" w:rsidP="00051420">
            <w:pPr>
              <w:pStyle w:val="Tabletext"/>
              <w:jc w:val="center"/>
              <w:rPr>
                <w:sz w:val="18"/>
                <w:szCs w:val="18"/>
                <w:lang w:eastAsia="en-GB"/>
              </w:rPr>
            </w:pPr>
            <w:r w:rsidRPr="00386F72">
              <w:rPr>
                <w:sz w:val="18"/>
                <w:szCs w:val="18"/>
                <w:lang w:eastAsia="en-GB"/>
              </w:rPr>
              <w:t>720,25</w:t>
            </w:r>
          </w:p>
        </w:tc>
        <w:tc>
          <w:tcPr>
            <w:tcW w:w="1042" w:type="dxa"/>
            <w:tcBorders>
              <w:top w:val="nil"/>
              <w:left w:val="nil"/>
              <w:bottom w:val="single" w:sz="4" w:space="0" w:color="auto"/>
              <w:right w:val="single" w:sz="4" w:space="0" w:color="auto"/>
            </w:tcBorders>
            <w:shd w:val="clear" w:color="auto" w:fill="FFFFFF" w:themeFill="background1"/>
            <w:noWrap/>
            <w:hideMark/>
          </w:tcPr>
          <w:p w14:paraId="40024EC8" w14:textId="77777777" w:rsidR="00057825" w:rsidRPr="00386F72" w:rsidRDefault="00057825" w:rsidP="00051420">
            <w:pPr>
              <w:pStyle w:val="Tabletext"/>
              <w:jc w:val="center"/>
              <w:rPr>
                <w:sz w:val="18"/>
                <w:szCs w:val="18"/>
                <w:lang w:eastAsia="en-GB"/>
              </w:rPr>
            </w:pPr>
            <w:r w:rsidRPr="00386F72">
              <w:rPr>
                <w:sz w:val="18"/>
                <w:szCs w:val="18"/>
                <w:lang w:eastAsia="en-GB"/>
              </w:rPr>
              <w:t>11 320,25</w:t>
            </w:r>
          </w:p>
        </w:tc>
      </w:tr>
      <w:tr w:rsidR="00057825" w:rsidRPr="00386F72" w14:paraId="5C89227C" w14:textId="77777777" w:rsidTr="001F49C0">
        <w:trPr>
          <w:trHeight w:val="289"/>
        </w:trPr>
        <w:tc>
          <w:tcPr>
            <w:tcW w:w="1129" w:type="dxa"/>
            <w:tcBorders>
              <w:top w:val="single" w:sz="4" w:space="0" w:color="auto"/>
              <w:left w:val="single" w:sz="4" w:space="0" w:color="auto"/>
              <w:bottom w:val="single" w:sz="4" w:space="0" w:color="auto"/>
            </w:tcBorders>
          </w:tcPr>
          <w:p w14:paraId="7A4298B2" w14:textId="77777777" w:rsidR="00057825" w:rsidRPr="00386F72" w:rsidRDefault="00057825" w:rsidP="00051420">
            <w:pPr>
              <w:pStyle w:val="Tabletext"/>
              <w:jc w:val="center"/>
              <w:rPr>
                <w:sz w:val="18"/>
                <w:szCs w:val="18"/>
                <w:lang w:eastAsia="en-GB"/>
              </w:rPr>
            </w:pPr>
            <w:r w:rsidRPr="00386F72">
              <w:rPr>
                <w:sz w:val="18"/>
                <w:szCs w:val="18"/>
                <w:lang w:eastAsia="en-GB"/>
              </w:rPr>
              <w:t>1200162990</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67E8E4F0" w14:textId="77777777" w:rsidR="00057825" w:rsidRPr="00386F72" w:rsidRDefault="00057825" w:rsidP="00051420">
            <w:pPr>
              <w:pStyle w:val="Tabletext"/>
              <w:rPr>
                <w:sz w:val="18"/>
                <w:szCs w:val="18"/>
                <w:lang w:eastAsia="en-GB"/>
              </w:rPr>
            </w:pPr>
            <w:r w:rsidRPr="00386F72">
              <w:rPr>
                <w:sz w:val="18"/>
                <w:szCs w:val="18"/>
                <w:lang w:eastAsia="en-GB"/>
              </w:rPr>
              <w:t>Corée</w:t>
            </w:r>
          </w:p>
        </w:tc>
        <w:tc>
          <w:tcPr>
            <w:tcW w:w="2823" w:type="dxa"/>
            <w:tcBorders>
              <w:top w:val="nil"/>
              <w:left w:val="nil"/>
              <w:bottom w:val="single" w:sz="4" w:space="0" w:color="auto"/>
              <w:right w:val="single" w:sz="4" w:space="0" w:color="auto"/>
            </w:tcBorders>
            <w:shd w:val="clear" w:color="auto" w:fill="FFFFFF" w:themeFill="background1"/>
            <w:hideMark/>
          </w:tcPr>
          <w:p w14:paraId="6CA3CA30" w14:textId="77777777" w:rsidR="00057825" w:rsidRPr="00386F72" w:rsidRDefault="00057825" w:rsidP="00051420">
            <w:pPr>
              <w:pStyle w:val="Tabletext"/>
              <w:rPr>
                <w:sz w:val="18"/>
                <w:szCs w:val="18"/>
                <w:lang w:eastAsia="en-GB"/>
              </w:rPr>
            </w:pPr>
            <w:r w:rsidRPr="00386F72">
              <w:rPr>
                <w:sz w:val="18"/>
                <w:szCs w:val="18"/>
                <w:lang w:eastAsia="en-GB"/>
              </w:rPr>
              <w:t>École supérieure de l'Administration publique, Université nationale de Séoul, Séoul</w:t>
            </w:r>
          </w:p>
        </w:tc>
        <w:tc>
          <w:tcPr>
            <w:tcW w:w="1019" w:type="dxa"/>
            <w:tcBorders>
              <w:top w:val="nil"/>
              <w:left w:val="nil"/>
              <w:bottom w:val="single" w:sz="4" w:space="0" w:color="auto"/>
              <w:right w:val="single" w:sz="4" w:space="0" w:color="auto"/>
            </w:tcBorders>
            <w:shd w:val="clear" w:color="auto" w:fill="FFFFFF" w:themeFill="background1"/>
            <w:noWrap/>
            <w:hideMark/>
          </w:tcPr>
          <w:p w14:paraId="62908F11"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5ECD744A"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0AF3110E" w14:textId="77777777" w:rsidR="00057825" w:rsidRPr="00386F72" w:rsidRDefault="00057825" w:rsidP="00051420">
            <w:pPr>
              <w:pStyle w:val="Tabletext"/>
              <w:jc w:val="center"/>
              <w:rPr>
                <w:sz w:val="18"/>
                <w:szCs w:val="18"/>
                <w:lang w:eastAsia="en-GB"/>
              </w:rPr>
            </w:pPr>
            <w:r w:rsidRPr="00386F72">
              <w:rPr>
                <w:sz w:val="18"/>
                <w:szCs w:val="18"/>
                <w:lang w:eastAsia="en-GB"/>
              </w:rPr>
              <w:t>937,50</w:t>
            </w:r>
          </w:p>
        </w:tc>
        <w:tc>
          <w:tcPr>
            <w:tcW w:w="1042" w:type="dxa"/>
            <w:tcBorders>
              <w:top w:val="nil"/>
              <w:left w:val="nil"/>
              <w:bottom w:val="single" w:sz="4" w:space="0" w:color="auto"/>
              <w:right w:val="single" w:sz="4" w:space="0" w:color="auto"/>
            </w:tcBorders>
            <w:shd w:val="clear" w:color="auto" w:fill="FFFFFF" w:themeFill="background1"/>
            <w:noWrap/>
            <w:hideMark/>
          </w:tcPr>
          <w:p w14:paraId="29E1F538" w14:textId="77777777" w:rsidR="00057825" w:rsidRPr="00386F72" w:rsidRDefault="00057825" w:rsidP="00051420">
            <w:pPr>
              <w:pStyle w:val="Tabletext"/>
              <w:jc w:val="center"/>
              <w:rPr>
                <w:sz w:val="18"/>
                <w:szCs w:val="18"/>
                <w:lang w:eastAsia="en-GB"/>
              </w:rPr>
            </w:pPr>
            <w:r w:rsidRPr="00386F72">
              <w:rPr>
                <w:sz w:val="18"/>
                <w:szCs w:val="18"/>
                <w:lang w:eastAsia="en-GB"/>
              </w:rPr>
              <w:t>2 925,00</w:t>
            </w:r>
          </w:p>
        </w:tc>
      </w:tr>
      <w:tr w:rsidR="00057825" w:rsidRPr="00386F72" w14:paraId="23065C6B" w14:textId="77777777" w:rsidTr="001F49C0">
        <w:trPr>
          <w:trHeight w:val="289"/>
        </w:trPr>
        <w:tc>
          <w:tcPr>
            <w:tcW w:w="1129" w:type="dxa"/>
            <w:tcBorders>
              <w:top w:val="single" w:sz="4" w:space="0" w:color="auto"/>
              <w:left w:val="single" w:sz="4" w:space="0" w:color="auto"/>
              <w:bottom w:val="single" w:sz="4" w:space="0" w:color="auto"/>
            </w:tcBorders>
          </w:tcPr>
          <w:p w14:paraId="13FCD148" w14:textId="77777777" w:rsidR="00057825" w:rsidRPr="00386F72" w:rsidRDefault="00057825" w:rsidP="00051420">
            <w:pPr>
              <w:pStyle w:val="Tabletext"/>
              <w:jc w:val="center"/>
              <w:rPr>
                <w:sz w:val="18"/>
                <w:szCs w:val="18"/>
                <w:lang w:eastAsia="en-GB"/>
              </w:rPr>
            </w:pPr>
            <w:r w:rsidRPr="00386F72">
              <w:rPr>
                <w:sz w:val="18"/>
                <w:szCs w:val="18"/>
                <w:lang w:eastAsia="en-GB"/>
              </w:rPr>
              <w:t>1200193072</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64F56FA6" w14:textId="77777777" w:rsidR="00057825" w:rsidRPr="00386F72" w:rsidRDefault="00057825" w:rsidP="00051420">
            <w:pPr>
              <w:pStyle w:val="Tabletext"/>
              <w:rPr>
                <w:sz w:val="18"/>
                <w:szCs w:val="18"/>
                <w:lang w:eastAsia="en-GB"/>
              </w:rPr>
            </w:pPr>
            <w:r w:rsidRPr="00386F72">
              <w:rPr>
                <w:sz w:val="18"/>
                <w:szCs w:val="18"/>
                <w:lang w:eastAsia="en-GB"/>
              </w:rPr>
              <w:t>Corée</w:t>
            </w:r>
          </w:p>
        </w:tc>
        <w:tc>
          <w:tcPr>
            <w:tcW w:w="2823" w:type="dxa"/>
            <w:tcBorders>
              <w:top w:val="nil"/>
              <w:left w:val="nil"/>
              <w:bottom w:val="single" w:sz="4" w:space="0" w:color="auto"/>
              <w:right w:val="single" w:sz="4" w:space="0" w:color="auto"/>
            </w:tcBorders>
            <w:shd w:val="clear" w:color="auto" w:fill="FFFFFF" w:themeFill="background1"/>
            <w:hideMark/>
          </w:tcPr>
          <w:p w14:paraId="36C931DC" w14:textId="77777777" w:rsidR="00057825" w:rsidRPr="00386F72" w:rsidRDefault="00057825" w:rsidP="00051420">
            <w:pPr>
              <w:pStyle w:val="Tabletext"/>
              <w:rPr>
                <w:sz w:val="18"/>
                <w:szCs w:val="18"/>
                <w:lang w:eastAsia="en-GB"/>
              </w:rPr>
            </w:pPr>
            <w:r w:rsidRPr="00386F72">
              <w:rPr>
                <w:sz w:val="18"/>
                <w:szCs w:val="18"/>
                <w:lang w:eastAsia="en-GB"/>
              </w:rPr>
              <w:t>Smart Quantum Comm ITRC, Séoul</w:t>
            </w:r>
          </w:p>
        </w:tc>
        <w:tc>
          <w:tcPr>
            <w:tcW w:w="1019" w:type="dxa"/>
            <w:tcBorders>
              <w:top w:val="nil"/>
              <w:left w:val="nil"/>
              <w:bottom w:val="single" w:sz="4" w:space="0" w:color="auto"/>
              <w:right w:val="single" w:sz="4" w:space="0" w:color="auto"/>
            </w:tcBorders>
            <w:shd w:val="clear" w:color="auto" w:fill="FFFFFF" w:themeFill="background1"/>
            <w:noWrap/>
            <w:hideMark/>
          </w:tcPr>
          <w:p w14:paraId="5F8A96BE"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noWrap/>
            <w:hideMark/>
          </w:tcPr>
          <w:p w14:paraId="62C5DE59" w14:textId="77777777" w:rsidR="00057825" w:rsidRPr="00386F72" w:rsidRDefault="00057825" w:rsidP="00051420">
            <w:pPr>
              <w:pStyle w:val="Tabletext"/>
              <w:jc w:val="center"/>
              <w:rPr>
                <w:sz w:val="18"/>
                <w:szCs w:val="18"/>
                <w:lang w:eastAsia="en-GB"/>
              </w:rPr>
            </w:pPr>
            <w:r w:rsidRPr="00386F72">
              <w:rPr>
                <w:sz w:val="18"/>
                <w:szCs w:val="18"/>
                <w:lang w:eastAsia="en-GB"/>
              </w:rPr>
              <w:t>1 821,88</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5BEFE8AD" w14:textId="77777777" w:rsidR="00057825" w:rsidRPr="00386F72" w:rsidRDefault="00057825" w:rsidP="00051420">
            <w:pPr>
              <w:pStyle w:val="Tabletext"/>
              <w:jc w:val="center"/>
              <w:rPr>
                <w:sz w:val="18"/>
                <w:szCs w:val="18"/>
                <w:lang w:eastAsia="en-GB"/>
              </w:rPr>
            </w:pPr>
            <w:r w:rsidRPr="00386F72">
              <w:rPr>
                <w:sz w:val="18"/>
                <w:szCs w:val="18"/>
                <w:lang w:eastAsia="en-GB"/>
              </w:rPr>
              <w:t>616,15</w:t>
            </w:r>
          </w:p>
        </w:tc>
        <w:tc>
          <w:tcPr>
            <w:tcW w:w="1042" w:type="dxa"/>
            <w:tcBorders>
              <w:top w:val="nil"/>
              <w:left w:val="nil"/>
              <w:bottom w:val="single" w:sz="4" w:space="0" w:color="auto"/>
              <w:right w:val="single" w:sz="4" w:space="0" w:color="auto"/>
            </w:tcBorders>
            <w:shd w:val="clear" w:color="auto" w:fill="FFFFFF" w:themeFill="background1"/>
            <w:noWrap/>
            <w:hideMark/>
          </w:tcPr>
          <w:p w14:paraId="1DBE27B7" w14:textId="77777777" w:rsidR="00057825" w:rsidRPr="00386F72" w:rsidRDefault="00057825" w:rsidP="00051420">
            <w:pPr>
              <w:pStyle w:val="Tabletext"/>
              <w:jc w:val="center"/>
              <w:rPr>
                <w:sz w:val="18"/>
                <w:szCs w:val="18"/>
                <w:lang w:eastAsia="en-GB"/>
              </w:rPr>
            </w:pPr>
            <w:r w:rsidRPr="00386F72">
              <w:rPr>
                <w:sz w:val="18"/>
                <w:szCs w:val="18"/>
                <w:lang w:eastAsia="en-GB"/>
              </w:rPr>
              <w:t>2 438,03</w:t>
            </w:r>
          </w:p>
        </w:tc>
      </w:tr>
      <w:tr w:rsidR="00057825" w:rsidRPr="00386F72" w14:paraId="2AFE8725" w14:textId="77777777" w:rsidTr="001F49C0">
        <w:trPr>
          <w:trHeight w:val="289"/>
        </w:trPr>
        <w:tc>
          <w:tcPr>
            <w:tcW w:w="1129" w:type="dxa"/>
            <w:tcBorders>
              <w:top w:val="single" w:sz="4" w:space="0" w:color="auto"/>
              <w:left w:val="single" w:sz="4" w:space="0" w:color="auto"/>
              <w:bottom w:val="single" w:sz="4" w:space="0" w:color="auto"/>
            </w:tcBorders>
          </w:tcPr>
          <w:p w14:paraId="46142C8B" w14:textId="77777777" w:rsidR="00057825" w:rsidRPr="00386F72" w:rsidRDefault="00057825" w:rsidP="00051420">
            <w:pPr>
              <w:pStyle w:val="Tabletext"/>
              <w:jc w:val="center"/>
              <w:rPr>
                <w:sz w:val="18"/>
                <w:szCs w:val="18"/>
                <w:lang w:eastAsia="en-GB"/>
              </w:rPr>
            </w:pPr>
            <w:r w:rsidRPr="00386F72">
              <w:rPr>
                <w:sz w:val="18"/>
                <w:szCs w:val="18"/>
                <w:lang w:eastAsia="en-GB"/>
              </w:rPr>
              <w:t>60858</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0EFDA8C4" w14:textId="77777777" w:rsidR="00057825" w:rsidRPr="00386F72" w:rsidRDefault="00057825" w:rsidP="00051420">
            <w:pPr>
              <w:pStyle w:val="Tabletext"/>
              <w:rPr>
                <w:sz w:val="18"/>
                <w:szCs w:val="18"/>
                <w:lang w:eastAsia="en-GB"/>
              </w:rPr>
            </w:pPr>
            <w:r w:rsidRPr="00386F72">
              <w:rPr>
                <w:sz w:val="18"/>
                <w:szCs w:val="18"/>
                <w:lang w:eastAsia="en-GB"/>
              </w:rPr>
              <w:t>Kirghizistan</w:t>
            </w:r>
          </w:p>
        </w:tc>
        <w:tc>
          <w:tcPr>
            <w:tcW w:w="2823" w:type="dxa"/>
            <w:tcBorders>
              <w:top w:val="nil"/>
              <w:left w:val="nil"/>
              <w:bottom w:val="single" w:sz="4" w:space="0" w:color="auto"/>
              <w:right w:val="single" w:sz="4" w:space="0" w:color="auto"/>
            </w:tcBorders>
            <w:shd w:val="clear" w:color="auto" w:fill="FFFFFF" w:themeFill="background1"/>
            <w:hideMark/>
          </w:tcPr>
          <w:p w14:paraId="344019A2" w14:textId="77777777" w:rsidR="00057825" w:rsidRPr="00386F72" w:rsidRDefault="00057825" w:rsidP="00051420">
            <w:pPr>
              <w:pStyle w:val="Tabletext"/>
              <w:rPr>
                <w:sz w:val="18"/>
                <w:szCs w:val="18"/>
                <w:lang w:eastAsia="en-GB"/>
              </w:rPr>
            </w:pPr>
            <w:proofErr w:type="spellStart"/>
            <w:r w:rsidRPr="00386F72">
              <w:rPr>
                <w:sz w:val="18"/>
                <w:szCs w:val="18"/>
                <w:lang w:eastAsia="en-GB"/>
              </w:rPr>
              <w:t>Kyrgyztelecom</w:t>
            </w:r>
            <w:proofErr w:type="spellEnd"/>
            <w:r w:rsidRPr="00386F72">
              <w:rPr>
                <w:sz w:val="18"/>
                <w:szCs w:val="18"/>
                <w:lang w:eastAsia="en-GB"/>
              </w:rPr>
              <w:t xml:space="preserve"> OJSC, </w:t>
            </w:r>
            <w:proofErr w:type="spellStart"/>
            <w:r w:rsidRPr="00386F72">
              <w:rPr>
                <w:sz w:val="18"/>
                <w:szCs w:val="18"/>
                <w:lang w:eastAsia="en-GB"/>
              </w:rPr>
              <w:t>Bishkek</w:t>
            </w:r>
            <w:proofErr w:type="spellEnd"/>
          </w:p>
        </w:tc>
        <w:tc>
          <w:tcPr>
            <w:tcW w:w="1019" w:type="dxa"/>
            <w:tcBorders>
              <w:top w:val="nil"/>
              <w:left w:val="nil"/>
              <w:bottom w:val="single" w:sz="4" w:space="0" w:color="auto"/>
              <w:right w:val="single" w:sz="4" w:space="0" w:color="auto"/>
            </w:tcBorders>
            <w:shd w:val="clear" w:color="auto" w:fill="FFFFFF" w:themeFill="background1"/>
            <w:hideMark/>
          </w:tcPr>
          <w:p w14:paraId="1A2418B2" w14:textId="77777777" w:rsidR="00057825" w:rsidRPr="00386F72" w:rsidRDefault="00057825" w:rsidP="00051420">
            <w:pPr>
              <w:pStyle w:val="Tabletext"/>
              <w:jc w:val="center"/>
              <w:rPr>
                <w:sz w:val="18"/>
                <w:szCs w:val="18"/>
                <w:lang w:eastAsia="en-GB"/>
              </w:rPr>
            </w:pPr>
            <w:r w:rsidRPr="00386F72">
              <w:rPr>
                <w:sz w:val="18"/>
                <w:szCs w:val="18"/>
                <w:lang w:eastAsia="en-GB"/>
              </w:rPr>
              <w:t>2016-2017</w:t>
            </w:r>
          </w:p>
        </w:tc>
        <w:tc>
          <w:tcPr>
            <w:tcW w:w="1060" w:type="dxa"/>
            <w:tcBorders>
              <w:top w:val="nil"/>
              <w:left w:val="nil"/>
              <w:bottom w:val="single" w:sz="4" w:space="0" w:color="auto"/>
              <w:right w:val="single" w:sz="4" w:space="0" w:color="auto"/>
            </w:tcBorders>
            <w:shd w:val="clear" w:color="auto" w:fill="FFFFFF" w:themeFill="background1"/>
            <w:hideMark/>
          </w:tcPr>
          <w:p w14:paraId="75D42B05" w14:textId="77777777" w:rsidR="00057825" w:rsidRPr="00386F72" w:rsidRDefault="00057825" w:rsidP="00051420">
            <w:pPr>
              <w:pStyle w:val="Tabletext"/>
              <w:jc w:val="center"/>
              <w:rPr>
                <w:sz w:val="18"/>
                <w:szCs w:val="18"/>
                <w:lang w:eastAsia="en-GB"/>
              </w:rPr>
            </w:pPr>
            <w:r w:rsidRPr="00386F72">
              <w:rPr>
                <w:sz w:val="18"/>
                <w:szCs w:val="18"/>
                <w:lang w:eastAsia="en-GB"/>
              </w:rPr>
              <w:t>5 631,25</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67834E28" w14:textId="77777777" w:rsidR="00057825" w:rsidRPr="00386F72" w:rsidRDefault="00057825" w:rsidP="00051420">
            <w:pPr>
              <w:pStyle w:val="Tabletext"/>
              <w:jc w:val="center"/>
              <w:rPr>
                <w:sz w:val="18"/>
                <w:szCs w:val="18"/>
                <w:lang w:eastAsia="en-GB"/>
              </w:rPr>
            </w:pPr>
            <w:r w:rsidRPr="00386F72">
              <w:rPr>
                <w:sz w:val="18"/>
                <w:szCs w:val="18"/>
                <w:lang w:eastAsia="en-GB"/>
              </w:rPr>
              <w:t>4 075,10</w:t>
            </w:r>
          </w:p>
        </w:tc>
        <w:tc>
          <w:tcPr>
            <w:tcW w:w="1042" w:type="dxa"/>
            <w:tcBorders>
              <w:top w:val="nil"/>
              <w:left w:val="nil"/>
              <w:bottom w:val="single" w:sz="4" w:space="0" w:color="auto"/>
              <w:right w:val="single" w:sz="4" w:space="0" w:color="auto"/>
            </w:tcBorders>
            <w:shd w:val="clear" w:color="auto" w:fill="FFFFFF" w:themeFill="background1"/>
            <w:hideMark/>
          </w:tcPr>
          <w:p w14:paraId="335A51BD" w14:textId="77777777" w:rsidR="00057825" w:rsidRPr="00386F72" w:rsidRDefault="00057825" w:rsidP="00051420">
            <w:pPr>
              <w:pStyle w:val="Tabletext"/>
              <w:jc w:val="center"/>
              <w:rPr>
                <w:sz w:val="18"/>
                <w:szCs w:val="18"/>
                <w:lang w:eastAsia="en-GB"/>
              </w:rPr>
            </w:pPr>
            <w:r w:rsidRPr="00386F72">
              <w:rPr>
                <w:sz w:val="18"/>
                <w:szCs w:val="18"/>
                <w:lang w:eastAsia="en-GB"/>
              </w:rPr>
              <w:t>9 706,35</w:t>
            </w:r>
          </w:p>
        </w:tc>
      </w:tr>
      <w:tr w:rsidR="00057825" w:rsidRPr="00386F72" w14:paraId="115CACB4" w14:textId="77777777" w:rsidTr="001F49C0">
        <w:trPr>
          <w:trHeight w:val="289"/>
        </w:trPr>
        <w:tc>
          <w:tcPr>
            <w:tcW w:w="1129" w:type="dxa"/>
            <w:tcBorders>
              <w:top w:val="single" w:sz="4" w:space="0" w:color="auto"/>
              <w:left w:val="single" w:sz="4" w:space="0" w:color="auto"/>
              <w:bottom w:val="single" w:sz="4" w:space="0" w:color="auto"/>
            </w:tcBorders>
          </w:tcPr>
          <w:p w14:paraId="019354DC" w14:textId="77777777" w:rsidR="00057825" w:rsidRPr="00386F72" w:rsidRDefault="00057825" w:rsidP="00051420">
            <w:pPr>
              <w:pStyle w:val="Tabletext"/>
              <w:jc w:val="center"/>
              <w:rPr>
                <w:sz w:val="18"/>
                <w:szCs w:val="18"/>
                <w:lang w:eastAsia="en-GB"/>
              </w:rPr>
            </w:pPr>
            <w:r w:rsidRPr="00386F72">
              <w:rPr>
                <w:sz w:val="18"/>
                <w:szCs w:val="18"/>
                <w:lang w:eastAsia="en-GB"/>
              </w:rPr>
              <w:t>63466</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0C2B3B2A" w14:textId="77777777" w:rsidR="00057825" w:rsidRPr="00386F72" w:rsidRDefault="00057825" w:rsidP="00051420">
            <w:pPr>
              <w:pStyle w:val="Tabletext"/>
              <w:rPr>
                <w:sz w:val="18"/>
                <w:szCs w:val="18"/>
                <w:lang w:eastAsia="en-GB"/>
              </w:rPr>
            </w:pPr>
            <w:r w:rsidRPr="00386F72">
              <w:rPr>
                <w:sz w:val="18"/>
                <w:szCs w:val="18"/>
                <w:lang w:eastAsia="en-GB"/>
              </w:rPr>
              <w:t>Papouasie-Nouvelle-Guinée</w:t>
            </w:r>
          </w:p>
        </w:tc>
        <w:tc>
          <w:tcPr>
            <w:tcW w:w="2823" w:type="dxa"/>
            <w:tcBorders>
              <w:top w:val="nil"/>
              <w:left w:val="nil"/>
              <w:bottom w:val="single" w:sz="4" w:space="0" w:color="auto"/>
              <w:right w:val="single" w:sz="4" w:space="0" w:color="auto"/>
            </w:tcBorders>
            <w:shd w:val="clear" w:color="auto" w:fill="FFFFFF" w:themeFill="background1"/>
            <w:hideMark/>
          </w:tcPr>
          <w:p w14:paraId="7189796C" w14:textId="77777777" w:rsidR="00057825" w:rsidRPr="005C6A26" w:rsidRDefault="00057825" w:rsidP="00051420">
            <w:pPr>
              <w:pStyle w:val="Tabletext"/>
              <w:rPr>
                <w:sz w:val="18"/>
                <w:szCs w:val="18"/>
                <w:lang w:val="en-US" w:eastAsia="en-GB"/>
              </w:rPr>
            </w:pPr>
            <w:r w:rsidRPr="005C6A26">
              <w:rPr>
                <w:sz w:val="18"/>
                <w:szCs w:val="18"/>
                <w:lang w:val="en-US" w:eastAsia="en-GB"/>
              </w:rPr>
              <w:t>Awal Telecom Corp Ltd, Port Moresby</w:t>
            </w:r>
          </w:p>
        </w:tc>
        <w:tc>
          <w:tcPr>
            <w:tcW w:w="1019" w:type="dxa"/>
            <w:tcBorders>
              <w:top w:val="nil"/>
              <w:left w:val="nil"/>
              <w:bottom w:val="single" w:sz="4" w:space="0" w:color="auto"/>
              <w:right w:val="single" w:sz="4" w:space="0" w:color="auto"/>
            </w:tcBorders>
            <w:shd w:val="clear" w:color="auto" w:fill="FFFFFF" w:themeFill="background1"/>
            <w:noWrap/>
            <w:hideMark/>
          </w:tcPr>
          <w:p w14:paraId="42040E4C" w14:textId="77777777" w:rsidR="00057825" w:rsidRPr="00386F72" w:rsidRDefault="00057825" w:rsidP="00051420">
            <w:pPr>
              <w:pStyle w:val="Tabletext"/>
              <w:jc w:val="center"/>
              <w:rPr>
                <w:sz w:val="18"/>
                <w:szCs w:val="18"/>
                <w:lang w:eastAsia="en-GB"/>
              </w:rPr>
            </w:pPr>
            <w:r w:rsidRPr="00386F72">
              <w:rPr>
                <w:sz w:val="18"/>
                <w:szCs w:val="18"/>
                <w:lang w:eastAsia="en-GB"/>
              </w:rPr>
              <w:t>2017-2020</w:t>
            </w:r>
          </w:p>
        </w:tc>
        <w:tc>
          <w:tcPr>
            <w:tcW w:w="1060" w:type="dxa"/>
            <w:tcBorders>
              <w:top w:val="nil"/>
              <w:left w:val="nil"/>
              <w:bottom w:val="single" w:sz="4" w:space="0" w:color="auto"/>
              <w:right w:val="single" w:sz="4" w:space="0" w:color="auto"/>
            </w:tcBorders>
            <w:shd w:val="clear" w:color="auto" w:fill="FFFFFF" w:themeFill="background1"/>
            <w:noWrap/>
            <w:hideMark/>
          </w:tcPr>
          <w:p w14:paraId="30A5449D" w14:textId="77777777" w:rsidR="00057825" w:rsidRPr="00386F72" w:rsidRDefault="00057825" w:rsidP="00051420">
            <w:pPr>
              <w:pStyle w:val="Tabletext"/>
              <w:jc w:val="center"/>
              <w:rPr>
                <w:sz w:val="18"/>
                <w:szCs w:val="18"/>
                <w:lang w:eastAsia="en-GB"/>
              </w:rPr>
            </w:pPr>
            <w:r w:rsidRPr="00386F72">
              <w:rPr>
                <w:sz w:val="18"/>
                <w:szCs w:val="18"/>
                <w:lang w:eastAsia="en-GB"/>
              </w:rPr>
              <w:t>3 975,00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4F460E0E" w14:textId="77777777" w:rsidR="00057825" w:rsidRPr="00386F72" w:rsidRDefault="00057825" w:rsidP="00051420">
            <w:pPr>
              <w:pStyle w:val="Tabletext"/>
              <w:jc w:val="center"/>
              <w:rPr>
                <w:sz w:val="18"/>
                <w:szCs w:val="18"/>
                <w:lang w:eastAsia="en-GB"/>
              </w:rPr>
            </w:pPr>
            <w:r w:rsidRPr="00386F72">
              <w:rPr>
                <w:sz w:val="18"/>
                <w:szCs w:val="18"/>
                <w:lang w:eastAsia="en-GB"/>
              </w:rPr>
              <w:t>1 680,59</w:t>
            </w:r>
          </w:p>
        </w:tc>
        <w:tc>
          <w:tcPr>
            <w:tcW w:w="1042" w:type="dxa"/>
            <w:tcBorders>
              <w:top w:val="nil"/>
              <w:left w:val="nil"/>
              <w:bottom w:val="single" w:sz="4" w:space="0" w:color="auto"/>
              <w:right w:val="single" w:sz="4" w:space="0" w:color="auto"/>
            </w:tcBorders>
            <w:shd w:val="clear" w:color="auto" w:fill="FFFFFF" w:themeFill="background1"/>
            <w:noWrap/>
            <w:hideMark/>
          </w:tcPr>
          <w:p w14:paraId="4D9612D1" w14:textId="77777777" w:rsidR="00057825" w:rsidRPr="00386F72" w:rsidRDefault="00057825" w:rsidP="00051420">
            <w:pPr>
              <w:pStyle w:val="Tabletext"/>
              <w:jc w:val="center"/>
              <w:rPr>
                <w:sz w:val="18"/>
                <w:szCs w:val="18"/>
                <w:lang w:eastAsia="en-GB"/>
              </w:rPr>
            </w:pPr>
            <w:r w:rsidRPr="00386F72">
              <w:rPr>
                <w:sz w:val="18"/>
                <w:szCs w:val="18"/>
                <w:lang w:eastAsia="en-GB"/>
              </w:rPr>
              <w:t>5 655,59</w:t>
            </w:r>
          </w:p>
        </w:tc>
      </w:tr>
      <w:tr w:rsidR="00057825" w:rsidRPr="00386F72" w14:paraId="6A38410B" w14:textId="77777777" w:rsidTr="001F49C0">
        <w:trPr>
          <w:trHeight w:val="409"/>
        </w:trPr>
        <w:tc>
          <w:tcPr>
            <w:tcW w:w="1129" w:type="dxa"/>
            <w:tcBorders>
              <w:top w:val="single" w:sz="4" w:space="0" w:color="auto"/>
              <w:left w:val="single" w:sz="4" w:space="0" w:color="auto"/>
              <w:bottom w:val="single" w:sz="4" w:space="0" w:color="auto"/>
            </w:tcBorders>
          </w:tcPr>
          <w:p w14:paraId="2B5A2186" w14:textId="77777777" w:rsidR="00057825" w:rsidRPr="00386F72" w:rsidRDefault="00057825" w:rsidP="00051420">
            <w:pPr>
              <w:pStyle w:val="Tabletext"/>
              <w:jc w:val="center"/>
              <w:rPr>
                <w:sz w:val="18"/>
                <w:szCs w:val="18"/>
                <w:lang w:eastAsia="en-GB"/>
              </w:rPr>
            </w:pPr>
            <w:r w:rsidRPr="00386F72">
              <w:rPr>
                <w:sz w:val="18"/>
                <w:szCs w:val="18"/>
                <w:lang w:eastAsia="en-GB"/>
              </w:rPr>
              <w:t>1200039028</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3BC4EAFF" w14:textId="77777777" w:rsidR="00057825" w:rsidRPr="00386F72" w:rsidRDefault="00057825" w:rsidP="00051420">
            <w:pPr>
              <w:pStyle w:val="Tabletext"/>
              <w:rPr>
                <w:sz w:val="18"/>
                <w:szCs w:val="18"/>
                <w:lang w:eastAsia="en-GB"/>
              </w:rPr>
            </w:pPr>
            <w:r w:rsidRPr="00386F72">
              <w:rPr>
                <w:sz w:val="18"/>
                <w:szCs w:val="18"/>
                <w:lang w:eastAsia="en-GB"/>
              </w:rPr>
              <w:t>Sao Tomé-et-Principe</w:t>
            </w:r>
          </w:p>
        </w:tc>
        <w:tc>
          <w:tcPr>
            <w:tcW w:w="2823" w:type="dxa"/>
            <w:tcBorders>
              <w:top w:val="nil"/>
              <w:left w:val="nil"/>
              <w:bottom w:val="single" w:sz="4" w:space="0" w:color="auto"/>
              <w:right w:val="single" w:sz="4" w:space="0" w:color="auto"/>
            </w:tcBorders>
            <w:shd w:val="clear" w:color="auto" w:fill="FFFFFF" w:themeFill="background1"/>
            <w:hideMark/>
          </w:tcPr>
          <w:p w14:paraId="0C77FFE6" w14:textId="77777777" w:rsidR="00057825" w:rsidRPr="00386F72" w:rsidRDefault="00057825" w:rsidP="00051420">
            <w:pPr>
              <w:pStyle w:val="Tabletext"/>
              <w:rPr>
                <w:sz w:val="18"/>
                <w:szCs w:val="18"/>
                <w:lang w:eastAsia="en-GB"/>
              </w:rPr>
            </w:pPr>
            <w:proofErr w:type="spellStart"/>
            <w:r w:rsidRPr="00386F72">
              <w:rPr>
                <w:sz w:val="18"/>
                <w:szCs w:val="18"/>
                <w:lang w:eastAsia="en-GB"/>
              </w:rPr>
              <w:t>Unitel</w:t>
            </w:r>
            <w:proofErr w:type="spellEnd"/>
            <w:r w:rsidRPr="00386F72">
              <w:rPr>
                <w:sz w:val="18"/>
                <w:szCs w:val="18"/>
                <w:lang w:eastAsia="en-GB"/>
              </w:rPr>
              <w:t xml:space="preserve"> STP, Sao Tomé</w:t>
            </w:r>
          </w:p>
        </w:tc>
        <w:tc>
          <w:tcPr>
            <w:tcW w:w="1019" w:type="dxa"/>
            <w:tcBorders>
              <w:top w:val="nil"/>
              <w:left w:val="nil"/>
              <w:bottom w:val="single" w:sz="4" w:space="0" w:color="auto"/>
              <w:right w:val="single" w:sz="4" w:space="0" w:color="auto"/>
            </w:tcBorders>
            <w:shd w:val="clear" w:color="auto" w:fill="FFFFFF" w:themeFill="background1"/>
            <w:hideMark/>
          </w:tcPr>
          <w:p w14:paraId="72A0C410"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hideMark/>
          </w:tcPr>
          <w:p w14:paraId="1C8E8BC8" w14:textId="77777777" w:rsidR="00057825" w:rsidRPr="00386F72" w:rsidRDefault="00057825" w:rsidP="00051420">
            <w:pPr>
              <w:pStyle w:val="Tabletext"/>
              <w:jc w:val="center"/>
              <w:rPr>
                <w:sz w:val="18"/>
                <w:szCs w:val="18"/>
                <w:lang w:eastAsia="en-GB"/>
              </w:rPr>
            </w:pPr>
            <w:r w:rsidRPr="00386F72">
              <w:rPr>
                <w:sz w:val="18"/>
                <w:szCs w:val="18"/>
                <w:lang w:eastAsia="en-GB"/>
              </w:rPr>
              <w:t>3 975,00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239535C6" w14:textId="77777777" w:rsidR="00057825" w:rsidRPr="00386F72" w:rsidRDefault="00057825" w:rsidP="00051420">
            <w:pPr>
              <w:pStyle w:val="Tabletext"/>
              <w:jc w:val="center"/>
              <w:rPr>
                <w:sz w:val="18"/>
                <w:szCs w:val="18"/>
                <w:lang w:eastAsia="en-GB"/>
              </w:rPr>
            </w:pPr>
            <w:r w:rsidRPr="00386F72">
              <w:rPr>
                <w:sz w:val="18"/>
                <w:szCs w:val="18"/>
                <w:lang w:eastAsia="en-GB"/>
              </w:rPr>
              <w:t>1 344,45</w:t>
            </w:r>
          </w:p>
        </w:tc>
        <w:tc>
          <w:tcPr>
            <w:tcW w:w="1042" w:type="dxa"/>
            <w:tcBorders>
              <w:top w:val="nil"/>
              <w:left w:val="nil"/>
              <w:bottom w:val="single" w:sz="4" w:space="0" w:color="auto"/>
              <w:right w:val="single" w:sz="4" w:space="0" w:color="auto"/>
            </w:tcBorders>
            <w:shd w:val="clear" w:color="auto" w:fill="FFFFFF" w:themeFill="background1"/>
            <w:hideMark/>
          </w:tcPr>
          <w:p w14:paraId="2E3CB6A9" w14:textId="77777777" w:rsidR="00057825" w:rsidRPr="00386F72" w:rsidRDefault="00057825" w:rsidP="00051420">
            <w:pPr>
              <w:pStyle w:val="Tabletext"/>
              <w:jc w:val="center"/>
              <w:rPr>
                <w:sz w:val="18"/>
                <w:szCs w:val="18"/>
                <w:lang w:eastAsia="en-GB"/>
              </w:rPr>
            </w:pPr>
            <w:r w:rsidRPr="00386F72">
              <w:rPr>
                <w:sz w:val="18"/>
                <w:szCs w:val="18"/>
                <w:lang w:eastAsia="en-GB"/>
              </w:rPr>
              <w:t>5 319,45</w:t>
            </w:r>
          </w:p>
        </w:tc>
      </w:tr>
      <w:tr w:rsidR="00057825" w:rsidRPr="00386F72" w14:paraId="38C0B099" w14:textId="77777777" w:rsidTr="001F49C0">
        <w:trPr>
          <w:trHeight w:val="409"/>
        </w:trPr>
        <w:tc>
          <w:tcPr>
            <w:tcW w:w="1129" w:type="dxa"/>
            <w:tcBorders>
              <w:top w:val="single" w:sz="4" w:space="0" w:color="auto"/>
              <w:left w:val="single" w:sz="4" w:space="0" w:color="auto"/>
              <w:bottom w:val="single" w:sz="4" w:space="0" w:color="auto"/>
            </w:tcBorders>
          </w:tcPr>
          <w:p w14:paraId="0B242010" w14:textId="77777777" w:rsidR="00057825" w:rsidRPr="00386F72" w:rsidRDefault="00057825" w:rsidP="00051420">
            <w:pPr>
              <w:pStyle w:val="Tabletext"/>
              <w:jc w:val="center"/>
              <w:rPr>
                <w:sz w:val="18"/>
                <w:szCs w:val="18"/>
                <w:lang w:eastAsia="en-GB"/>
              </w:rPr>
            </w:pPr>
            <w:r w:rsidRPr="00386F72">
              <w:rPr>
                <w:sz w:val="18"/>
                <w:szCs w:val="18"/>
                <w:lang w:eastAsia="en-GB"/>
              </w:rPr>
              <w:t>1200163575</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03EEA9DB" w14:textId="77777777" w:rsidR="00057825" w:rsidRPr="00386F72" w:rsidRDefault="00057825" w:rsidP="00051420">
            <w:pPr>
              <w:pStyle w:val="Tabletext"/>
              <w:rPr>
                <w:sz w:val="18"/>
                <w:szCs w:val="18"/>
                <w:lang w:eastAsia="en-GB"/>
              </w:rPr>
            </w:pPr>
            <w:r w:rsidRPr="00386F72">
              <w:rPr>
                <w:sz w:val="18"/>
                <w:szCs w:val="18"/>
                <w:lang w:eastAsia="en-GB"/>
              </w:rPr>
              <w:t>Suisse</w:t>
            </w:r>
          </w:p>
        </w:tc>
        <w:tc>
          <w:tcPr>
            <w:tcW w:w="2823" w:type="dxa"/>
            <w:tcBorders>
              <w:top w:val="nil"/>
              <w:left w:val="nil"/>
              <w:bottom w:val="single" w:sz="4" w:space="0" w:color="auto"/>
              <w:right w:val="single" w:sz="4" w:space="0" w:color="auto"/>
            </w:tcBorders>
            <w:shd w:val="clear" w:color="auto" w:fill="FFFFFF" w:themeFill="background1"/>
            <w:hideMark/>
          </w:tcPr>
          <w:p w14:paraId="75F6F831" w14:textId="77777777" w:rsidR="00057825" w:rsidRPr="00386F72" w:rsidRDefault="00057825" w:rsidP="00051420">
            <w:pPr>
              <w:pStyle w:val="Tabletext"/>
              <w:rPr>
                <w:sz w:val="18"/>
                <w:szCs w:val="18"/>
                <w:lang w:eastAsia="en-GB"/>
              </w:rPr>
            </w:pPr>
            <w:proofErr w:type="spellStart"/>
            <w:r w:rsidRPr="00386F72">
              <w:rPr>
                <w:sz w:val="18"/>
                <w:szCs w:val="18"/>
                <w:lang w:eastAsia="en-GB"/>
              </w:rPr>
              <w:t>Astrocast</w:t>
            </w:r>
            <w:proofErr w:type="spellEnd"/>
            <w:r w:rsidRPr="00386F72">
              <w:rPr>
                <w:sz w:val="18"/>
                <w:szCs w:val="18"/>
                <w:lang w:eastAsia="en-GB"/>
              </w:rPr>
              <w:t xml:space="preserve"> SA, Chavannes-près-Renens</w:t>
            </w:r>
          </w:p>
        </w:tc>
        <w:tc>
          <w:tcPr>
            <w:tcW w:w="1019" w:type="dxa"/>
            <w:tcBorders>
              <w:top w:val="nil"/>
              <w:left w:val="nil"/>
              <w:bottom w:val="single" w:sz="4" w:space="0" w:color="auto"/>
              <w:right w:val="single" w:sz="4" w:space="0" w:color="auto"/>
            </w:tcBorders>
            <w:shd w:val="clear" w:color="auto" w:fill="FFFFFF" w:themeFill="background1"/>
            <w:hideMark/>
          </w:tcPr>
          <w:p w14:paraId="1E9C7480" w14:textId="77777777" w:rsidR="00057825" w:rsidRPr="00386F72" w:rsidRDefault="00057825" w:rsidP="00051420">
            <w:pPr>
              <w:pStyle w:val="Tabletext"/>
              <w:jc w:val="center"/>
              <w:rPr>
                <w:sz w:val="18"/>
                <w:szCs w:val="18"/>
                <w:lang w:eastAsia="en-GB"/>
              </w:rPr>
            </w:pPr>
            <w:r w:rsidRPr="00386F72">
              <w:rPr>
                <w:sz w:val="18"/>
                <w:szCs w:val="18"/>
                <w:lang w:eastAsia="en-GB"/>
              </w:rPr>
              <w:t>2023</w:t>
            </w:r>
          </w:p>
        </w:tc>
        <w:tc>
          <w:tcPr>
            <w:tcW w:w="1060" w:type="dxa"/>
            <w:tcBorders>
              <w:top w:val="nil"/>
              <w:left w:val="nil"/>
              <w:bottom w:val="single" w:sz="4" w:space="0" w:color="auto"/>
              <w:right w:val="single" w:sz="4" w:space="0" w:color="auto"/>
            </w:tcBorders>
            <w:shd w:val="clear" w:color="auto" w:fill="FFFFFF" w:themeFill="background1"/>
            <w:hideMark/>
          </w:tcPr>
          <w:p w14:paraId="732E2059" w14:textId="77777777" w:rsidR="00057825" w:rsidRPr="00386F72" w:rsidRDefault="00057825" w:rsidP="00051420">
            <w:pPr>
              <w:pStyle w:val="Tabletext"/>
              <w:jc w:val="center"/>
              <w:rPr>
                <w:sz w:val="18"/>
                <w:szCs w:val="18"/>
                <w:lang w:eastAsia="en-GB"/>
              </w:rPr>
            </w:pPr>
            <w:r w:rsidRPr="00386F72">
              <w:rPr>
                <w:sz w:val="18"/>
                <w:szCs w:val="18"/>
                <w:lang w:eastAsia="en-GB"/>
              </w:rPr>
              <w:t>3 975,00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4B9BEBF8" w14:textId="77777777" w:rsidR="00057825" w:rsidRPr="00386F72" w:rsidRDefault="00057825" w:rsidP="00051420">
            <w:pPr>
              <w:pStyle w:val="Tabletext"/>
              <w:jc w:val="center"/>
              <w:rPr>
                <w:sz w:val="18"/>
                <w:szCs w:val="18"/>
                <w:lang w:eastAsia="en-GB"/>
              </w:rPr>
            </w:pPr>
            <w:r w:rsidRPr="00386F72">
              <w:rPr>
                <w:sz w:val="18"/>
                <w:szCs w:val="18"/>
                <w:lang w:eastAsia="en-GB"/>
              </w:rPr>
              <w:t>658,80</w:t>
            </w:r>
          </w:p>
        </w:tc>
        <w:tc>
          <w:tcPr>
            <w:tcW w:w="1042" w:type="dxa"/>
            <w:tcBorders>
              <w:top w:val="nil"/>
              <w:left w:val="nil"/>
              <w:bottom w:val="single" w:sz="4" w:space="0" w:color="auto"/>
              <w:right w:val="single" w:sz="4" w:space="0" w:color="auto"/>
            </w:tcBorders>
            <w:shd w:val="clear" w:color="auto" w:fill="FFFFFF" w:themeFill="background1"/>
            <w:hideMark/>
          </w:tcPr>
          <w:p w14:paraId="37B869D4" w14:textId="77777777" w:rsidR="00057825" w:rsidRPr="00386F72" w:rsidRDefault="00057825" w:rsidP="00051420">
            <w:pPr>
              <w:pStyle w:val="Tabletext"/>
              <w:jc w:val="center"/>
              <w:rPr>
                <w:sz w:val="18"/>
                <w:szCs w:val="18"/>
                <w:lang w:eastAsia="en-GB"/>
              </w:rPr>
            </w:pPr>
            <w:r w:rsidRPr="00386F72">
              <w:rPr>
                <w:sz w:val="18"/>
                <w:szCs w:val="18"/>
                <w:lang w:eastAsia="en-GB"/>
              </w:rPr>
              <w:t>4 633,80</w:t>
            </w:r>
          </w:p>
        </w:tc>
      </w:tr>
      <w:tr w:rsidR="00057825" w:rsidRPr="00386F72" w14:paraId="71FFBE82" w14:textId="77777777" w:rsidTr="001F49C0">
        <w:trPr>
          <w:trHeight w:val="289"/>
        </w:trPr>
        <w:tc>
          <w:tcPr>
            <w:tcW w:w="1129" w:type="dxa"/>
            <w:tcBorders>
              <w:top w:val="single" w:sz="4" w:space="0" w:color="auto"/>
              <w:left w:val="single" w:sz="4" w:space="0" w:color="auto"/>
              <w:bottom w:val="single" w:sz="4" w:space="0" w:color="auto"/>
            </w:tcBorders>
          </w:tcPr>
          <w:p w14:paraId="5343BB77" w14:textId="77777777" w:rsidR="00057825" w:rsidRPr="00386F72" w:rsidRDefault="00057825" w:rsidP="00051420">
            <w:pPr>
              <w:pStyle w:val="Tabletext"/>
              <w:jc w:val="center"/>
              <w:rPr>
                <w:sz w:val="18"/>
                <w:szCs w:val="18"/>
                <w:lang w:eastAsia="en-GB"/>
              </w:rPr>
            </w:pPr>
            <w:r w:rsidRPr="00386F72">
              <w:rPr>
                <w:sz w:val="18"/>
                <w:szCs w:val="18"/>
                <w:lang w:eastAsia="en-GB"/>
              </w:rPr>
              <w:t>1200011303</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687BB4EC" w14:textId="77777777" w:rsidR="00057825" w:rsidRPr="00386F72" w:rsidRDefault="00057825" w:rsidP="00051420">
            <w:pPr>
              <w:pStyle w:val="Tabletext"/>
              <w:rPr>
                <w:sz w:val="18"/>
                <w:szCs w:val="18"/>
                <w:lang w:eastAsia="en-GB"/>
              </w:rPr>
            </w:pPr>
            <w:r w:rsidRPr="00386F72">
              <w:rPr>
                <w:sz w:val="18"/>
                <w:szCs w:val="18"/>
                <w:lang w:eastAsia="en-GB"/>
              </w:rPr>
              <w:t>Suisse</w:t>
            </w:r>
          </w:p>
        </w:tc>
        <w:tc>
          <w:tcPr>
            <w:tcW w:w="2823" w:type="dxa"/>
            <w:tcBorders>
              <w:top w:val="nil"/>
              <w:left w:val="nil"/>
              <w:bottom w:val="single" w:sz="4" w:space="0" w:color="auto"/>
              <w:right w:val="single" w:sz="4" w:space="0" w:color="auto"/>
            </w:tcBorders>
            <w:shd w:val="clear" w:color="auto" w:fill="FFFFFF" w:themeFill="background1"/>
            <w:hideMark/>
          </w:tcPr>
          <w:p w14:paraId="6CD8A2C4" w14:textId="77777777" w:rsidR="00057825" w:rsidRPr="005C6A26" w:rsidRDefault="00057825" w:rsidP="00051420">
            <w:pPr>
              <w:pStyle w:val="Tabletext"/>
              <w:rPr>
                <w:sz w:val="18"/>
                <w:szCs w:val="18"/>
                <w:lang w:val="en-US" w:eastAsia="en-GB"/>
              </w:rPr>
            </w:pPr>
            <w:r w:rsidRPr="005C6A26">
              <w:rPr>
                <w:sz w:val="18"/>
                <w:szCs w:val="18"/>
                <w:lang w:val="en-US" w:eastAsia="en-GB"/>
              </w:rPr>
              <w:t>High-Tech Bridge SA, Genève</w:t>
            </w:r>
          </w:p>
        </w:tc>
        <w:tc>
          <w:tcPr>
            <w:tcW w:w="1019" w:type="dxa"/>
            <w:tcBorders>
              <w:top w:val="nil"/>
              <w:left w:val="nil"/>
              <w:bottom w:val="single" w:sz="4" w:space="0" w:color="auto"/>
              <w:right w:val="single" w:sz="4" w:space="0" w:color="auto"/>
            </w:tcBorders>
            <w:shd w:val="clear" w:color="auto" w:fill="FFFFFF" w:themeFill="background1"/>
            <w:noWrap/>
            <w:hideMark/>
          </w:tcPr>
          <w:p w14:paraId="4DE91BA9"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hideMark/>
          </w:tcPr>
          <w:p w14:paraId="02D6EFF3" w14:textId="77777777" w:rsidR="00057825" w:rsidRPr="00386F72" w:rsidRDefault="00057825" w:rsidP="00051420">
            <w:pPr>
              <w:pStyle w:val="Tabletext"/>
              <w:jc w:val="center"/>
              <w:rPr>
                <w:sz w:val="18"/>
                <w:szCs w:val="18"/>
                <w:lang w:eastAsia="en-GB"/>
              </w:rPr>
            </w:pPr>
            <w:r w:rsidRPr="00386F72">
              <w:rPr>
                <w:sz w:val="18"/>
                <w:szCs w:val="18"/>
                <w:lang w:eastAsia="en-GB"/>
              </w:rPr>
              <w:t>3 975,00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0ABFF0AF" w14:textId="77777777" w:rsidR="00057825" w:rsidRPr="00386F72" w:rsidRDefault="00057825" w:rsidP="00051420">
            <w:pPr>
              <w:pStyle w:val="Tabletext"/>
              <w:jc w:val="center"/>
              <w:rPr>
                <w:sz w:val="18"/>
                <w:szCs w:val="18"/>
                <w:lang w:eastAsia="en-GB"/>
              </w:rPr>
            </w:pPr>
            <w:r w:rsidRPr="00386F72">
              <w:rPr>
                <w:sz w:val="18"/>
                <w:szCs w:val="18"/>
                <w:lang w:eastAsia="en-GB"/>
              </w:rPr>
              <w:t>1 344,45</w:t>
            </w:r>
          </w:p>
        </w:tc>
        <w:tc>
          <w:tcPr>
            <w:tcW w:w="1042" w:type="dxa"/>
            <w:tcBorders>
              <w:top w:val="nil"/>
              <w:left w:val="nil"/>
              <w:bottom w:val="single" w:sz="4" w:space="0" w:color="auto"/>
              <w:right w:val="single" w:sz="4" w:space="0" w:color="auto"/>
            </w:tcBorders>
            <w:shd w:val="clear" w:color="auto" w:fill="FFFFFF" w:themeFill="background1"/>
            <w:hideMark/>
          </w:tcPr>
          <w:p w14:paraId="00810DEC" w14:textId="77777777" w:rsidR="00057825" w:rsidRPr="00386F72" w:rsidRDefault="00057825" w:rsidP="00051420">
            <w:pPr>
              <w:pStyle w:val="Tabletext"/>
              <w:jc w:val="center"/>
              <w:rPr>
                <w:sz w:val="18"/>
                <w:szCs w:val="18"/>
                <w:lang w:eastAsia="en-GB"/>
              </w:rPr>
            </w:pPr>
            <w:r w:rsidRPr="00386F72">
              <w:rPr>
                <w:sz w:val="18"/>
                <w:szCs w:val="18"/>
                <w:lang w:eastAsia="en-GB"/>
              </w:rPr>
              <w:t>5 319,45</w:t>
            </w:r>
          </w:p>
        </w:tc>
      </w:tr>
      <w:tr w:rsidR="00057825" w:rsidRPr="00386F72" w14:paraId="594477F5" w14:textId="77777777" w:rsidTr="001F49C0">
        <w:trPr>
          <w:trHeight w:val="289"/>
        </w:trPr>
        <w:tc>
          <w:tcPr>
            <w:tcW w:w="1129" w:type="dxa"/>
            <w:tcBorders>
              <w:top w:val="single" w:sz="4" w:space="0" w:color="auto"/>
              <w:left w:val="single" w:sz="4" w:space="0" w:color="auto"/>
              <w:bottom w:val="single" w:sz="4" w:space="0" w:color="auto"/>
            </w:tcBorders>
          </w:tcPr>
          <w:p w14:paraId="7B3C837A" w14:textId="77777777" w:rsidR="00057825" w:rsidRPr="00386F72" w:rsidRDefault="00057825" w:rsidP="00051420">
            <w:pPr>
              <w:pStyle w:val="Tabletext"/>
              <w:jc w:val="center"/>
              <w:rPr>
                <w:sz w:val="18"/>
                <w:szCs w:val="18"/>
                <w:lang w:eastAsia="en-GB"/>
              </w:rPr>
            </w:pPr>
            <w:r w:rsidRPr="00386F72">
              <w:rPr>
                <w:sz w:val="18"/>
                <w:szCs w:val="18"/>
                <w:lang w:eastAsia="en-GB"/>
              </w:rPr>
              <w:t>1200034986</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B8CE6B7" w14:textId="77777777" w:rsidR="00057825" w:rsidRPr="00386F72" w:rsidRDefault="00057825" w:rsidP="00051420">
            <w:pPr>
              <w:pStyle w:val="Tabletext"/>
              <w:rPr>
                <w:sz w:val="18"/>
                <w:szCs w:val="18"/>
                <w:lang w:eastAsia="en-GB"/>
              </w:rPr>
            </w:pPr>
            <w:r w:rsidRPr="00386F72">
              <w:rPr>
                <w:sz w:val="18"/>
                <w:szCs w:val="18"/>
                <w:lang w:eastAsia="en-GB"/>
              </w:rPr>
              <w:t>Tanzanie</w:t>
            </w:r>
          </w:p>
        </w:tc>
        <w:tc>
          <w:tcPr>
            <w:tcW w:w="2823" w:type="dxa"/>
            <w:tcBorders>
              <w:top w:val="nil"/>
              <w:left w:val="nil"/>
              <w:bottom w:val="single" w:sz="4" w:space="0" w:color="auto"/>
              <w:right w:val="single" w:sz="4" w:space="0" w:color="auto"/>
            </w:tcBorders>
            <w:shd w:val="clear" w:color="auto" w:fill="FFFFFF" w:themeFill="background1"/>
            <w:hideMark/>
          </w:tcPr>
          <w:p w14:paraId="477BDD03" w14:textId="77777777" w:rsidR="00057825" w:rsidRPr="00386F72" w:rsidRDefault="00057825" w:rsidP="00051420">
            <w:pPr>
              <w:pStyle w:val="Tabletext"/>
              <w:rPr>
                <w:sz w:val="18"/>
                <w:szCs w:val="18"/>
                <w:lang w:eastAsia="en-GB"/>
              </w:rPr>
            </w:pPr>
            <w:r w:rsidRPr="00386F72">
              <w:rPr>
                <w:sz w:val="18"/>
                <w:szCs w:val="18"/>
                <w:lang w:eastAsia="en-GB"/>
              </w:rPr>
              <w:t>Université de Dodoma, Dodoma</w:t>
            </w:r>
          </w:p>
        </w:tc>
        <w:tc>
          <w:tcPr>
            <w:tcW w:w="1019" w:type="dxa"/>
            <w:tcBorders>
              <w:top w:val="nil"/>
              <w:left w:val="nil"/>
              <w:bottom w:val="single" w:sz="4" w:space="0" w:color="auto"/>
              <w:right w:val="single" w:sz="4" w:space="0" w:color="auto"/>
            </w:tcBorders>
            <w:shd w:val="clear" w:color="auto" w:fill="FFFFFF" w:themeFill="background1"/>
            <w:noWrap/>
            <w:hideMark/>
          </w:tcPr>
          <w:p w14:paraId="75DA9075"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hideMark/>
          </w:tcPr>
          <w:p w14:paraId="5CE4C692" w14:textId="77777777" w:rsidR="00057825" w:rsidRPr="00386F72" w:rsidRDefault="00057825" w:rsidP="00051420">
            <w:pPr>
              <w:pStyle w:val="Tabletext"/>
              <w:jc w:val="center"/>
              <w:rPr>
                <w:sz w:val="18"/>
                <w:szCs w:val="18"/>
                <w:lang w:eastAsia="en-GB"/>
              </w:rPr>
            </w:pPr>
            <w:r w:rsidRPr="00386F72">
              <w:rPr>
                <w:sz w:val="18"/>
                <w:szCs w:val="18"/>
                <w:lang w:eastAsia="en-GB"/>
              </w:rPr>
              <w:t>1 821,88</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4FA2C8CC" w14:textId="77777777" w:rsidR="00057825" w:rsidRPr="00386F72" w:rsidRDefault="00057825" w:rsidP="00051420">
            <w:pPr>
              <w:pStyle w:val="Tabletext"/>
              <w:jc w:val="center"/>
              <w:rPr>
                <w:sz w:val="18"/>
                <w:szCs w:val="18"/>
                <w:lang w:eastAsia="en-GB"/>
              </w:rPr>
            </w:pPr>
            <w:r w:rsidRPr="00386F72">
              <w:rPr>
                <w:sz w:val="18"/>
                <w:szCs w:val="18"/>
                <w:lang w:eastAsia="en-GB"/>
              </w:rPr>
              <w:t>616,15</w:t>
            </w:r>
          </w:p>
        </w:tc>
        <w:tc>
          <w:tcPr>
            <w:tcW w:w="1042" w:type="dxa"/>
            <w:tcBorders>
              <w:top w:val="nil"/>
              <w:left w:val="nil"/>
              <w:bottom w:val="single" w:sz="4" w:space="0" w:color="auto"/>
              <w:right w:val="single" w:sz="4" w:space="0" w:color="auto"/>
            </w:tcBorders>
            <w:shd w:val="clear" w:color="auto" w:fill="FFFFFF" w:themeFill="background1"/>
            <w:hideMark/>
          </w:tcPr>
          <w:p w14:paraId="32FE1A52" w14:textId="77777777" w:rsidR="00057825" w:rsidRPr="00386F72" w:rsidRDefault="00057825" w:rsidP="00051420">
            <w:pPr>
              <w:pStyle w:val="Tabletext"/>
              <w:jc w:val="center"/>
              <w:rPr>
                <w:sz w:val="18"/>
                <w:szCs w:val="18"/>
                <w:lang w:eastAsia="en-GB"/>
              </w:rPr>
            </w:pPr>
            <w:r w:rsidRPr="00386F72">
              <w:rPr>
                <w:sz w:val="18"/>
                <w:szCs w:val="18"/>
                <w:lang w:eastAsia="en-GB"/>
              </w:rPr>
              <w:t>2 438,03</w:t>
            </w:r>
          </w:p>
        </w:tc>
      </w:tr>
      <w:tr w:rsidR="00057825" w:rsidRPr="00386F72" w14:paraId="3647D8B4" w14:textId="77777777" w:rsidTr="001F49C0">
        <w:trPr>
          <w:trHeight w:val="289"/>
        </w:trPr>
        <w:tc>
          <w:tcPr>
            <w:tcW w:w="1129" w:type="dxa"/>
            <w:tcBorders>
              <w:top w:val="single" w:sz="4" w:space="0" w:color="auto"/>
              <w:left w:val="single" w:sz="4" w:space="0" w:color="auto"/>
              <w:bottom w:val="single" w:sz="4" w:space="0" w:color="auto"/>
            </w:tcBorders>
          </w:tcPr>
          <w:p w14:paraId="32BAC660" w14:textId="77777777" w:rsidR="00057825" w:rsidRPr="00386F72" w:rsidRDefault="00057825" w:rsidP="00051420">
            <w:pPr>
              <w:pStyle w:val="Tabletext"/>
              <w:jc w:val="center"/>
              <w:rPr>
                <w:sz w:val="18"/>
                <w:szCs w:val="18"/>
                <w:lang w:eastAsia="en-GB"/>
              </w:rPr>
            </w:pPr>
            <w:r w:rsidRPr="00386F72">
              <w:rPr>
                <w:sz w:val="18"/>
                <w:szCs w:val="18"/>
                <w:lang w:eastAsia="en-GB"/>
              </w:rPr>
              <w:t>27682</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42591895" w14:textId="77777777" w:rsidR="00057825" w:rsidRPr="00386F72" w:rsidRDefault="00057825" w:rsidP="00051420">
            <w:pPr>
              <w:pStyle w:val="Tabletext"/>
              <w:rPr>
                <w:sz w:val="18"/>
                <w:szCs w:val="18"/>
                <w:lang w:eastAsia="en-GB"/>
              </w:rPr>
            </w:pPr>
            <w:r w:rsidRPr="00386F72">
              <w:rPr>
                <w:sz w:val="18"/>
                <w:szCs w:val="18"/>
                <w:lang w:eastAsia="en-GB"/>
              </w:rPr>
              <w:t>Tunisie</w:t>
            </w:r>
          </w:p>
        </w:tc>
        <w:tc>
          <w:tcPr>
            <w:tcW w:w="2823" w:type="dxa"/>
            <w:tcBorders>
              <w:top w:val="nil"/>
              <w:left w:val="nil"/>
              <w:bottom w:val="single" w:sz="4" w:space="0" w:color="auto"/>
              <w:right w:val="single" w:sz="4" w:space="0" w:color="auto"/>
            </w:tcBorders>
            <w:shd w:val="clear" w:color="auto" w:fill="FFFFFF" w:themeFill="background1"/>
            <w:hideMark/>
          </w:tcPr>
          <w:p w14:paraId="6F10DF72" w14:textId="77777777" w:rsidR="00057825" w:rsidRPr="00386F72" w:rsidRDefault="00057825" w:rsidP="00051420">
            <w:pPr>
              <w:pStyle w:val="Tabletext"/>
              <w:rPr>
                <w:sz w:val="18"/>
                <w:szCs w:val="18"/>
                <w:lang w:eastAsia="en-GB"/>
              </w:rPr>
            </w:pPr>
            <w:r w:rsidRPr="00386F72">
              <w:rPr>
                <w:sz w:val="18"/>
                <w:szCs w:val="18"/>
                <w:lang w:eastAsia="en-GB"/>
              </w:rPr>
              <w:t>Agence Tunisienne d'Internet (ATI), Tunis</w:t>
            </w:r>
          </w:p>
        </w:tc>
        <w:tc>
          <w:tcPr>
            <w:tcW w:w="1019" w:type="dxa"/>
            <w:tcBorders>
              <w:top w:val="nil"/>
              <w:left w:val="nil"/>
              <w:bottom w:val="single" w:sz="4" w:space="0" w:color="auto"/>
              <w:right w:val="single" w:sz="4" w:space="0" w:color="auto"/>
            </w:tcBorders>
            <w:shd w:val="clear" w:color="auto" w:fill="FFFFFF" w:themeFill="background1"/>
            <w:noWrap/>
            <w:hideMark/>
          </w:tcPr>
          <w:p w14:paraId="75591804" w14:textId="77777777" w:rsidR="00057825" w:rsidRPr="00386F72" w:rsidRDefault="00057825" w:rsidP="00051420">
            <w:pPr>
              <w:pStyle w:val="Tabletext"/>
              <w:jc w:val="center"/>
              <w:rPr>
                <w:sz w:val="18"/>
                <w:szCs w:val="18"/>
                <w:lang w:eastAsia="en-GB"/>
              </w:rPr>
            </w:pPr>
            <w:r w:rsidRPr="00386F72">
              <w:rPr>
                <w:sz w:val="18"/>
                <w:szCs w:val="18"/>
                <w:lang w:eastAsia="en-GB"/>
              </w:rPr>
              <w:t>2018-2019</w:t>
            </w:r>
          </w:p>
        </w:tc>
        <w:tc>
          <w:tcPr>
            <w:tcW w:w="1060" w:type="dxa"/>
            <w:tcBorders>
              <w:top w:val="nil"/>
              <w:left w:val="nil"/>
              <w:bottom w:val="single" w:sz="4" w:space="0" w:color="auto"/>
              <w:right w:val="single" w:sz="4" w:space="0" w:color="auto"/>
            </w:tcBorders>
            <w:shd w:val="clear" w:color="auto" w:fill="FFFFFF" w:themeFill="background1"/>
            <w:hideMark/>
          </w:tcPr>
          <w:p w14:paraId="75FB382D" w14:textId="77777777" w:rsidR="00057825" w:rsidRPr="00386F72" w:rsidRDefault="00057825" w:rsidP="00051420">
            <w:pPr>
              <w:pStyle w:val="Tabletext"/>
              <w:jc w:val="center"/>
              <w:rPr>
                <w:sz w:val="18"/>
                <w:szCs w:val="18"/>
                <w:lang w:eastAsia="en-GB"/>
              </w:rPr>
            </w:pPr>
            <w:r w:rsidRPr="00386F72">
              <w:rPr>
                <w:sz w:val="18"/>
                <w:szCs w:val="18"/>
                <w:lang w:eastAsia="en-GB"/>
              </w:rPr>
              <w:t>12 810,00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41A717C0" w14:textId="77777777" w:rsidR="00057825" w:rsidRPr="00386F72" w:rsidRDefault="00057825" w:rsidP="00051420">
            <w:pPr>
              <w:pStyle w:val="Tabletext"/>
              <w:jc w:val="center"/>
              <w:rPr>
                <w:sz w:val="18"/>
                <w:szCs w:val="18"/>
                <w:lang w:eastAsia="en-GB"/>
              </w:rPr>
            </w:pPr>
            <w:r w:rsidRPr="00386F72">
              <w:rPr>
                <w:sz w:val="18"/>
                <w:szCs w:val="18"/>
                <w:lang w:eastAsia="en-GB"/>
              </w:rPr>
              <w:t>6 450,10</w:t>
            </w:r>
          </w:p>
        </w:tc>
        <w:tc>
          <w:tcPr>
            <w:tcW w:w="1042" w:type="dxa"/>
            <w:tcBorders>
              <w:top w:val="nil"/>
              <w:left w:val="nil"/>
              <w:bottom w:val="single" w:sz="4" w:space="0" w:color="auto"/>
              <w:right w:val="single" w:sz="4" w:space="0" w:color="auto"/>
            </w:tcBorders>
            <w:shd w:val="clear" w:color="auto" w:fill="FFFFFF" w:themeFill="background1"/>
            <w:hideMark/>
          </w:tcPr>
          <w:p w14:paraId="4246EEE7" w14:textId="77777777" w:rsidR="00057825" w:rsidRPr="00386F72" w:rsidRDefault="00057825" w:rsidP="00051420">
            <w:pPr>
              <w:pStyle w:val="Tabletext"/>
              <w:jc w:val="center"/>
              <w:rPr>
                <w:sz w:val="18"/>
                <w:szCs w:val="18"/>
                <w:lang w:eastAsia="en-GB"/>
              </w:rPr>
            </w:pPr>
            <w:r w:rsidRPr="00386F72">
              <w:rPr>
                <w:sz w:val="18"/>
                <w:szCs w:val="18"/>
                <w:lang w:eastAsia="en-GB"/>
              </w:rPr>
              <w:t>19 260,10</w:t>
            </w:r>
          </w:p>
        </w:tc>
      </w:tr>
      <w:tr w:rsidR="00057825" w:rsidRPr="00386F72" w14:paraId="2A5CBE52" w14:textId="77777777" w:rsidTr="001F49C0">
        <w:trPr>
          <w:trHeight w:val="409"/>
        </w:trPr>
        <w:tc>
          <w:tcPr>
            <w:tcW w:w="1129" w:type="dxa"/>
            <w:tcBorders>
              <w:top w:val="single" w:sz="4" w:space="0" w:color="auto"/>
              <w:left w:val="single" w:sz="4" w:space="0" w:color="auto"/>
              <w:bottom w:val="single" w:sz="4" w:space="0" w:color="auto"/>
            </w:tcBorders>
          </w:tcPr>
          <w:p w14:paraId="7D51417C" w14:textId="77777777" w:rsidR="00057825" w:rsidRPr="00386F72" w:rsidRDefault="00057825" w:rsidP="00051420">
            <w:pPr>
              <w:pStyle w:val="Tabletext"/>
              <w:jc w:val="center"/>
              <w:rPr>
                <w:sz w:val="18"/>
                <w:szCs w:val="18"/>
                <w:lang w:eastAsia="en-GB"/>
              </w:rPr>
            </w:pPr>
            <w:r w:rsidRPr="00386F72">
              <w:rPr>
                <w:sz w:val="18"/>
                <w:szCs w:val="18"/>
                <w:lang w:eastAsia="en-GB"/>
              </w:rPr>
              <w:t>63179</w:t>
            </w:r>
          </w:p>
        </w:tc>
        <w:tc>
          <w:tcPr>
            <w:tcW w:w="1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4A38EB" w14:textId="77777777" w:rsidR="00057825" w:rsidRPr="00386F72" w:rsidRDefault="00057825" w:rsidP="00051420">
            <w:pPr>
              <w:pStyle w:val="Tabletext"/>
              <w:rPr>
                <w:sz w:val="18"/>
                <w:szCs w:val="18"/>
                <w:lang w:eastAsia="en-GB"/>
              </w:rPr>
            </w:pPr>
            <w:r w:rsidRPr="00386F72">
              <w:rPr>
                <w:sz w:val="18"/>
                <w:szCs w:val="18"/>
                <w:lang w:eastAsia="en-GB"/>
              </w:rPr>
              <w:t>Émirats arabes unis</w:t>
            </w:r>
          </w:p>
        </w:tc>
        <w:tc>
          <w:tcPr>
            <w:tcW w:w="2823" w:type="dxa"/>
            <w:tcBorders>
              <w:top w:val="single" w:sz="4" w:space="0" w:color="auto"/>
              <w:left w:val="nil"/>
              <w:bottom w:val="single" w:sz="4" w:space="0" w:color="auto"/>
              <w:right w:val="single" w:sz="4" w:space="0" w:color="auto"/>
            </w:tcBorders>
            <w:shd w:val="clear" w:color="auto" w:fill="FFFFFF" w:themeFill="background1"/>
            <w:hideMark/>
          </w:tcPr>
          <w:p w14:paraId="0776676A" w14:textId="77777777" w:rsidR="00057825" w:rsidRPr="00386F72" w:rsidRDefault="00057825" w:rsidP="00051420">
            <w:pPr>
              <w:pStyle w:val="Tabletext"/>
              <w:rPr>
                <w:sz w:val="18"/>
                <w:szCs w:val="18"/>
                <w:lang w:eastAsia="en-GB"/>
              </w:rPr>
            </w:pPr>
            <w:proofErr w:type="spellStart"/>
            <w:r w:rsidRPr="00386F72">
              <w:rPr>
                <w:sz w:val="18"/>
                <w:szCs w:val="18"/>
                <w:lang w:eastAsia="en-GB"/>
              </w:rPr>
              <w:t>Teralight</w:t>
            </w:r>
            <w:proofErr w:type="spellEnd"/>
            <w:r w:rsidRPr="00386F72">
              <w:rPr>
                <w:sz w:val="18"/>
                <w:szCs w:val="18"/>
                <w:lang w:eastAsia="en-GB"/>
              </w:rPr>
              <w:t xml:space="preserve"> FZ LLC, Dubaï</w:t>
            </w:r>
          </w:p>
        </w:tc>
        <w:tc>
          <w:tcPr>
            <w:tcW w:w="1019" w:type="dxa"/>
            <w:tcBorders>
              <w:top w:val="single" w:sz="4" w:space="0" w:color="auto"/>
              <w:left w:val="nil"/>
              <w:bottom w:val="single" w:sz="4" w:space="0" w:color="auto"/>
              <w:right w:val="single" w:sz="4" w:space="0" w:color="auto"/>
            </w:tcBorders>
            <w:shd w:val="clear" w:color="auto" w:fill="FFFFFF" w:themeFill="background1"/>
            <w:noWrap/>
            <w:hideMark/>
          </w:tcPr>
          <w:p w14:paraId="646A1164" w14:textId="77777777" w:rsidR="00057825" w:rsidRPr="00386F72" w:rsidRDefault="00057825" w:rsidP="00051420">
            <w:pPr>
              <w:pStyle w:val="Tabletext"/>
              <w:jc w:val="center"/>
              <w:rPr>
                <w:sz w:val="18"/>
                <w:szCs w:val="18"/>
                <w:lang w:eastAsia="en-GB"/>
              </w:rPr>
            </w:pPr>
            <w:r w:rsidRPr="00386F72">
              <w:rPr>
                <w:sz w:val="18"/>
                <w:szCs w:val="18"/>
                <w:lang w:eastAsia="en-GB"/>
              </w:rPr>
              <w:t>2016</w:t>
            </w:r>
          </w:p>
        </w:tc>
        <w:tc>
          <w:tcPr>
            <w:tcW w:w="1060" w:type="dxa"/>
            <w:tcBorders>
              <w:top w:val="single" w:sz="4" w:space="0" w:color="auto"/>
              <w:left w:val="nil"/>
              <w:bottom w:val="single" w:sz="4" w:space="0" w:color="auto"/>
              <w:right w:val="single" w:sz="4" w:space="0" w:color="auto"/>
            </w:tcBorders>
            <w:shd w:val="clear" w:color="auto" w:fill="FFFFFF" w:themeFill="background1"/>
            <w:hideMark/>
          </w:tcPr>
          <w:p w14:paraId="542A18E5" w14:textId="77777777" w:rsidR="00057825" w:rsidRPr="00386F72" w:rsidRDefault="00057825" w:rsidP="00051420">
            <w:pPr>
              <w:pStyle w:val="Tabletext"/>
              <w:jc w:val="center"/>
              <w:rPr>
                <w:sz w:val="18"/>
                <w:szCs w:val="18"/>
                <w:lang w:eastAsia="en-GB"/>
              </w:rPr>
            </w:pPr>
            <w:r w:rsidRPr="00386F72">
              <w:rPr>
                <w:sz w:val="18"/>
                <w:szCs w:val="18"/>
                <w:lang w:eastAsia="en-GB"/>
              </w:rPr>
              <w:t>3 975,00</w:t>
            </w:r>
          </w:p>
        </w:tc>
        <w:tc>
          <w:tcPr>
            <w:tcW w:w="1110" w:type="dxa"/>
            <w:gridSpan w:val="2"/>
            <w:tcBorders>
              <w:top w:val="single" w:sz="4" w:space="0" w:color="auto"/>
              <w:left w:val="nil"/>
              <w:bottom w:val="single" w:sz="4" w:space="0" w:color="auto"/>
              <w:right w:val="single" w:sz="4" w:space="0" w:color="auto"/>
            </w:tcBorders>
            <w:shd w:val="clear" w:color="auto" w:fill="FFFFFF" w:themeFill="background1"/>
            <w:noWrap/>
            <w:hideMark/>
          </w:tcPr>
          <w:p w14:paraId="6E09F4C9" w14:textId="77777777" w:rsidR="00057825" w:rsidRPr="00386F72" w:rsidRDefault="00057825" w:rsidP="00051420">
            <w:pPr>
              <w:pStyle w:val="Tabletext"/>
              <w:jc w:val="center"/>
              <w:rPr>
                <w:sz w:val="18"/>
                <w:szCs w:val="18"/>
                <w:lang w:eastAsia="en-GB"/>
              </w:rPr>
            </w:pPr>
            <w:r w:rsidRPr="00386F72">
              <w:rPr>
                <w:sz w:val="18"/>
                <w:szCs w:val="18"/>
                <w:lang w:eastAsia="en-GB"/>
              </w:rPr>
              <w:t>2 992,55</w:t>
            </w:r>
          </w:p>
        </w:tc>
        <w:tc>
          <w:tcPr>
            <w:tcW w:w="1042" w:type="dxa"/>
            <w:tcBorders>
              <w:top w:val="single" w:sz="4" w:space="0" w:color="auto"/>
              <w:left w:val="nil"/>
              <w:bottom w:val="single" w:sz="4" w:space="0" w:color="auto"/>
              <w:right w:val="single" w:sz="4" w:space="0" w:color="auto"/>
            </w:tcBorders>
            <w:shd w:val="clear" w:color="auto" w:fill="FFFFFF" w:themeFill="background1"/>
            <w:hideMark/>
          </w:tcPr>
          <w:p w14:paraId="0F00BCEE" w14:textId="77777777" w:rsidR="00057825" w:rsidRPr="00386F72" w:rsidRDefault="00057825" w:rsidP="00051420">
            <w:pPr>
              <w:pStyle w:val="Tabletext"/>
              <w:jc w:val="center"/>
              <w:rPr>
                <w:sz w:val="18"/>
                <w:szCs w:val="18"/>
                <w:lang w:eastAsia="en-GB"/>
              </w:rPr>
            </w:pPr>
            <w:r w:rsidRPr="00386F72">
              <w:rPr>
                <w:sz w:val="18"/>
                <w:szCs w:val="18"/>
                <w:lang w:eastAsia="en-GB"/>
              </w:rPr>
              <w:t>6 967,55</w:t>
            </w:r>
          </w:p>
        </w:tc>
      </w:tr>
      <w:tr w:rsidR="00057825" w:rsidRPr="00386F72" w14:paraId="48DB2D3E" w14:textId="77777777" w:rsidTr="001F49C0">
        <w:trPr>
          <w:trHeight w:val="432"/>
        </w:trPr>
        <w:tc>
          <w:tcPr>
            <w:tcW w:w="1129" w:type="dxa"/>
            <w:tcBorders>
              <w:top w:val="single" w:sz="4" w:space="0" w:color="auto"/>
              <w:left w:val="single" w:sz="4" w:space="0" w:color="auto"/>
              <w:bottom w:val="single" w:sz="4" w:space="0" w:color="auto"/>
            </w:tcBorders>
          </w:tcPr>
          <w:p w14:paraId="42FE0AAF" w14:textId="77777777" w:rsidR="00057825" w:rsidRPr="00386F72" w:rsidRDefault="00057825" w:rsidP="00051420">
            <w:pPr>
              <w:pStyle w:val="Tabletext"/>
              <w:jc w:val="center"/>
              <w:rPr>
                <w:sz w:val="18"/>
                <w:szCs w:val="18"/>
                <w:lang w:eastAsia="en-GB"/>
              </w:rPr>
            </w:pPr>
            <w:r w:rsidRPr="00386F72">
              <w:rPr>
                <w:sz w:val="18"/>
                <w:szCs w:val="18"/>
                <w:lang w:eastAsia="en-GB"/>
              </w:rPr>
              <w:t>1200029784</w:t>
            </w:r>
          </w:p>
        </w:tc>
        <w:tc>
          <w:tcPr>
            <w:tcW w:w="1686" w:type="dxa"/>
            <w:tcBorders>
              <w:top w:val="nil"/>
              <w:left w:val="single" w:sz="4" w:space="0" w:color="auto"/>
              <w:bottom w:val="single" w:sz="4" w:space="0" w:color="auto"/>
              <w:right w:val="single" w:sz="4" w:space="0" w:color="auto"/>
            </w:tcBorders>
            <w:shd w:val="clear" w:color="auto" w:fill="FFFFFF" w:themeFill="background1"/>
            <w:noWrap/>
            <w:hideMark/>
          </w:tcPr>
          <w:p w14:paraId="26ECAC93" w14:textId="77777777" w:rsidR="00057825" w:rsidRPr="00386F72" w:rsidRDefault="00057825" w:rsidP="00051420">
            <w:pPr>
              <w:pStyle w:val="Tabletext"/>
              <w:rPr>
                <w:sz w:val="18"/>
                <w:szCs w:val="18"/>
                <w:lang w:eastAsia="en-GB"/>
              </w:rPr>
            </w:pPr>
            <w:r w:rsidRPr="00386F72">
              <w:rPr>
                <w:sz w:val="18"/>
                <w:szCs w:val="18"/>
                <w:lang w:eastAsia="en-GB"/>
              </w:rPr>
              <w:t>Royaume-Uni</w:t>
            </w:r>
          </w:p>
        </w:tc>
        <w:tc>
          <w:tcPr>
            <w:tcW w:w="2823" w:type="dxa"/>
            <w:tcBorders>
              <w:top w:val="nil"/>
              <w:left w:val="nil"/>
              <w:bottom w:val="single" w:sz="4" w:space="0" w:color="auto"/>
              <w:right w:val="single" w:sz="4" w:space="0" w:color="auto"/>
            </w:tcBorders>
            <w:shd w:val="clear" w:color="auto" w:fill="FFFFFF" w:themeFill="background1"/>
            <w:hideMark/>
          </w:tcPr>
          <w:p w14:paraId="60A54470" w14:textId="77777777" w:rsidR="00057825" w:rsidRPr="00386F72" w:rsidRDefault="00057825" w:rsidP="00051420">
            <w:pPr>
              <w:pStyle w:val="Tabletext"/>
              <w:rPr>
                <w:sz w:val="18"/>
                <w:szCs w:val="18"/>
                <w:lang w:eastAsia="en-GB"/>
              </w:rPr>
            </w:pPr>
            <w:r w:rsidRPr="00386F72">
              <w:rPr>
                <w:sz w:val="18"/>
                <w:szCs w:val="18"/>
                <w:lang w:eastAsia="en-GB"/>
              </w:rPr>
              <w:t>PTGI International Carrier (</w:t>
            </w:r>
            <w:proofErr w:type="spellStart"/>
            <w:r w:rsidRPr="00386F72">
              <w:rPr>
                <w:sz w:val="18"/>
                <w:szCs w:val="18"/>
                <w:lang w:eastAsia="en-GB"/>
              </w:rPr>
              <w:t>anc</w:t>
            </w:r>
            <w:proofErr w:type="spellEnd"/>
            <w:r w:rsidRPr="00386F72">
              <w:rPr>
                <w:sz w:val="18"/>
                <w:szCs w:val="18"/>
                <w:lang w:eastAsia="en-GB"/>
              </w:rPr>
              <w:t>, Primus Telecommunications Ltd.), Londres</w:t>
            </w:r>
          </w:p>
        </w:tc>
        <w:tc>
          <w:tcPr>
            <w:tcW w:w="1019" w:type="dxa"/>
            <w:tcBorders>
              <w:top w:val="nil"/>
              <w:left w:val="nil"/>
              <w:bottom w:val="single" w:sz="4" w:space="0" w:color="auto"/>
              <w:right w:val="single" w:sz="4" w:space="0" w:color="auto"/>
            </w:tcBorders>
            <w:shd w:val="clear" w:color="auto" w:fill="FFFFFF" w:themeFill="background1"/>
            <w:noWrap/>
            <w:hideMark/>
          </w:tcPr>
          <w:p w14:paraId="3F3F7001" w14:textId="77777777" w:rsidR="00057825" w:rsidRPr="00386F72" w:rsidRDefault="00057825" w:rsidP="00051420">
            <w:pPr>
              <w:pStyle w:val="Tabletext"/>
              <w:jc w:val="center"/>
              <w:rPr>
                <w:sz w:val="18"/>
                <w:szCs w:val="18"/>
                <w:lang w:eastAsia="en-GB"/>
              </w:rPr>
            </w:pPr>
            <w:r w:rsidRPr="00386F72">
              <w:rPr>
                <w:sz w:val="18"/>
                <w:szCs w:val="18"/>
                <w:lang w:eastAsia="en-GB"/>
              </w:rPr>
              <w:t>2018-2024</w:t>
            </w:r>
          </w:p>
        </w:tc>
        <w:tc>
          <w:tcPr>
            <w:tcW w:w="1060" w:type="dxa"/>
            <w:tcBorders>
              <w:top w:val="nil"/>
              <w:left w:val="nil"/>
              <w:bottom w:val="single" w:sz="4" w:space="0" w:color="auto"/>
              <w:right w:val="single" w:sz="4" w:space="0" w:color="auto"/>
            </w:tcBorders>
            <w:shd w:val="clear" w:color="auto" w:fill="FFFFFF" w:themeFill="background1"/>
            <w:noWrap/>
            <w:hideMark/>
          </w:tcPr>
          <w:p w14:paraId="7FB89EBE" w14:textId="77777777" w:rsidR="00057825" w:rsidRPr="00386F72" w:rsidRDefault="00057825" w:rsidP="00051420">
            <w:pPr>
              <w:pStyle w:val="Tabletext"/>
              <w:jc w:val="center"/>
              <w:rPr>
                <w:sz w:val="18"/>
                <w:szCs w:val="18"/>
                <w:lang w:eastAsia="en-GB"/>
              </w:rPr>
            </w:pPr>
            <w:r w:rsidRPr="00386F72">
              <w:rPr>
                <w:sz w:val="18"/>
                <w:szCs w:val="18"/>
                <w:lang w:eastAsia="en-GB"/>
              </w:rPr>
              <w:t>2 100,00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68AECAB1" w14:textId="77777777" w:rsidR="00057825" w:rsidRPr="00386F72" w:rsidRDefault="00057825" w:rsidP="00051420">
            <w:pPr>
              <w:pStyle w:val="Tabletext"/>
              <w:jc w:val="center"/>
              <w:rPr>
                <w:sz w:val="18"/>
                <w:szCs w:val="18"/>
                <w:lang w:eastAsia="en-GB"/>
              </w:rPr>
            </w:pPr>
            <w:r w:rsidRPr="00386F72">
              <w:rPr>
                <w:sz w:val="18"/>
                <w:szCs w:val="18"/>
                <w:lang w:eastAsia="en-GB"/>
              </w:rPr>
              <w:t>0,00</w:t>
            </w:r>
          </w:p>
        </w:tc>
        <w:tc>
          <w:tcPr>
            <w:tcW w:w="1042" w:type="dxa"/>
            <w:tcBorders>
              <w:top w:val="nil"/>
              <w:left w:val="nil"/>
              <w:bottom w:val="single" w:sz="4" w:space="0" w:color="auto"/>
              <w:right w:val="single" w:sz="4" w:space="0" w:color="auto"/>
            </w:tcBorders>
            <w:shd w:val="clear" w:color="auto" w:fill="FFFFFF" w:themeFill="background1"/>
            <w:noWrap/>
            <w:hideMark/>
          </w:tcPr>
          <w:p w14:paraId="14A2E941" w14:textId="77777777" w:rsidR="00057825" w:rsidRPr="00386F72" w:rsidRDefault="00057825" w:rsidP="00051420">
            <w:pPr>
              <w:pStyle w:val="Tabletext"/>
              <w:jc w:val="center"/>
              <w:rPr>
                <w:sz w:val="18"/>
                <w:szCs w:val="18"/>
                <w:lang w:eastAsia="en-GB"/>
              </w:rPr>
            </w:pPr>
            <w:r w:rsidRPr="00386F72">
              <w:rPr>
                <w:sz w:val="18"/>
                <w:szCs w:val="18"/>
                <w:lang w:eastAsia="en-GB"/>
              </w:rPr>
              <w:t>2 100,00</w:t>
            </w:r>
          </w:p>
        </w:tc>
      </w:tr>
      <w:tr w:rsidR="00057825" w:rsidRPr="00386F72" w14:paraId="799D3028" w14:textId="77777777" w:rsidTr="001F49C0">
        <w:trPr>
          <w:trHeight w:val="450"/>
        </w:trPr>
        <w:tc>
          <w:tcPr>
            <w:tcW w:w="1129" w:type="dxa"/>
            <w:tcBorders>
              <w:top w:val="single" w:sz="4" w:space="0" w:color="auto"/>
              <w:left w:val="single" w:sz="4" w:space="0" w:color="auto"/>
              <w:bottom w:val="single" w:sz="4" w:space="0" w:color="auto"/>
            </w:tcBorders>
          </w:tcPr>
          <w:p w14:paraId="1B637A11" w14:textId="77777777" w:rsidR="00057825" w:rsidRPr="00386F72" w:rsidRDefault="00057825" w:rsidP="00051420">
            <w:pPr>
              <w:pStyle w:val="Tabletext"/>
              <w:jc w:val="center"/>
              <w:rPr>
                <w:sz w:val="18"/>
                <w:szCs w:val="18"/>
                <w:lang w:eastAsia="en-GB"/>
              </w:rPr>
            </w:pPr>
            <w:r w:rsidRPr="00386F72">
              <w:rPr>
                <w:sz w:val="18"/>
                <w:szCs w:val="18"/>
                <w:lang w:eastAsia="en-GB"/>
              </w:rPr>
              <w:t>1200195690</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24EB026" w14:textId="77777777" w:rsidR="00057825" w:rsidRPr="00386F72" w:rsidRDefault="00057825" w:rsidP="00051420">
            <w:pPr>
              <w:pStyle w:val="Tabletext"/>
              <w:rPr>
                <w:sz w:val="18"/>
                <w:szCs w:val="18"/>
                <w:lang w:eastAsia="en-GB"/>
              </w:rPr>
            </w:pPr>
            <w:r w:rsidRPr="00386F72">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2FC870B5" w14:textId="77777777" w:rsidR="00057825" w:rsidRPr="005C6A26" w:rsidRDefault="00057825" w:rsidP="00051420">
            <w:pPr>
              <w:pStyle w:val="Tabletext"/>
              <w:rPr>
                <w:sz w:val="18"/>
                <w:szCs w:val="18"/>
                <w:lang w:val="en-US" w:eastAsia="en-GB"/>
              </w:rPr>
            </w:pPr>
            <w:proofErr w:type="spellStart"/>
            <w:r w:rsidRPr="005C6A26">
              <w:rPr>
                <w:sz w:val="18"/>
                <w:szCs w:val="18"/>
                <w:lang w:val="en-US" w:eastAsia="en-GB"/>
              </w:rPr>
              <w:t>Aumovio</w:t>
            </w:r>
            <w:proofErr w:type="spellEnd"/>
            <w:r w:rsidRPr="005C6A26">
              <w:rPr>
                <w:sz w:val="18"/>
                <w:szCs w:val="18"/>
                <w:lang w:val="en-US" w:eastAsia="en-GB"/>
              </w:rPr>
              <w:t xml:space="preserve"> Systems Inc. (anc. Continental Automotive Systems Inc.), Deer Park</w:t>
            </w:r>
          </w:p>
        </w:tc>
        <w:tc>
          <w:tcPr>
            <w:tcW w:w="1019" w:type="dxa"/>
            <w:tcBorders>
              <w:top w:val="nil"/>
              <w:left w:val="nil"/>
              <w:bottom w:val="single" w:sz="4" w:space="0" w:color="auto"/>
              <w:right w:val="single" w:sz="4" w:space="0" w:color="auto"/>
            </w:tcBorders>
            <w:shd w:val="clear" w:color="auto" w:fill="FFFFFF" w:themeFill="background1"/>
            <w:noWrap/>
            <w:hideMark/>
          </w:tcPr>
          <w:p w14:paraId="37988D7F"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hideMark/>
          </w:tcPr>
          <w:p w14:paraId="72790E63" w14:textId="77777777" w:rsidR="00057825" w:rsidRPr="00386F72" w:rsidRDefault="00057825" w:rsidP="00051420">
            <w:pPr>
              <w:pStyle w:val="Tabletext"/>
              <w:jc w:val="center"/>
              <w:rPr>
                <w:sz w:val="18"/>
                <w:szCs w:val="18"/>
                <w:lang w:eastAsia="en-GB"/>
              </w:rPr>
            </w:pPr>
            <w:r w:rsidRPr="00386F72">
              <w:rPr>
                <w:sz w:val="18"/>
                <w:szCs w:val="18"/>
                <w:lang w:eastAsia="en-GB"/>
              </w:rPr>
              <w:t>6 183,33</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2929D038" w14:textId="77777777" w:rsidR="00057825" w:rsidRPr="00386F72" w:rsidRDefault="00057825" w:rsidP="00051420">
            <w:pPr>
              <w:pStyle w:val="Tabletext"/>
              <w:jc w:val="center"/>
              <w:rPr>
                <w:sz w:val="18"/>
                <w:szCs w:val="18"/>
                <w:lang w:eastAsia="en-GB"/>
              </w:rPr>
            </w:pPr>
            <w:r w:rsidRPr="00386F72">
              <w:rPr>
                <w:sz w:val="18"/>
                <w:szCs w:val="18"/>
                <w:lang w:eastAsia="en-GB"/>
              </w:rPr>
              <w:t>2 091,35</w:t>
            </w:r>
          </w:p>
        </w:tc>
        <w:tc>
          <w:tcPr>
            <w:tcW w:w="1042" w:type="dxa"/>
            <w:tcBorders>
              <w:top w:val="nil"/>
              <w:left w:val="nil"/>
              <w:bottom w:val="single" w:sz="4" w:space="0" w:color="auto"/>
              <w:right w:val="single" w:sz="4" w:space="0" w:color="auto"/>
            </w:tcBorders>
            <w:shd w:val="clear" w:color="auto" w:fill="FFFFFF" w:themeFill="background1"/>
            <w:hideMark/>
          </w:tcPr>
          <w:p w14:paraId="4425CFAE" w14:textId="77777777" w:rsidR="00057825" w:rsidRPr="00386F72" w:rsidRDefault="00057825" w:rsidP="00051420">
            <w:pPr>
              <w:pStyle w:val="Tabletext"/>
              <w:jc w:val="center"/>
              <w:rPr>
                <w:sz w:val="18"/>
                <w:szCs w:val="18"/>
                <w:lang w:eastAsia="en-GB"/>
              </w:rPr>
            </w:pPr>
            <w:r w:rsidRPr="00386F72">
              <w:rPr>
                <w:sz w:val="18"/>
                <w:szCs w:val="18"/>
                <w:lang w:eastAsia="en-GB"/>
              </w:rPr>
              <w:t>8 274,68</w:t>
            </w:r>
          </w:p>
        </w:tc>
      </w:tr>
      <w:tr w:rsidR="00057825" w:rsidRPr="00386F72" w14:paraId="2585A34A" w14:textId="77777777" w:rsidTr="001F49C0">
        <w:trPr>
          <w:trHeight w:val="289"/>
        </w:trPr>
        <w:tc>
          <w:tcPr>
            <w:tcW w:w="1129" w:type="dxa"/>
            <w:tcBorders>
              <w:top w:val="single" w:sz="4" w:space="0" w:color="auto"/>
              <w:left w:val="single" w:sz="4" w:space="0" w:color="auto"/>
              <w:bottom w:val="single" w:sz="4" w:space="0" w:color="auto"/>
            </w:tcBorders>
          </w:tcPr>
          <w:p w14:paraId="1E4D6898" w14:textId="77777777" w:rsidR="00057825" w:rsidRPr="00386F72" w:rsidRDefault="00057825" w:rsidP="00051420">
            <w:pPr>
              <w:pStyle w:val="Tabletext"/>
              <w:jc w:val="center"/>
              <w:rPr>
                <w:sz w:val="18"/>
                <w:szCs w:val="18"/>
                <w:lang w:eastAsia="en-GB"/>
              </w:rPr>
            </w:pPr>
            <w:r w:rsidRPr="00386F72">
              <w:rPr>
                <w:sz w:val="18"/>
                <w:szCs w:val="18"/>
                <w:lang w:eastAsia="en-GB"/>
              </w:rPr>
              <w:t>1200114222</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1AB23EA7" w14:textId="77777777" w:rsidR="00057825" w:rsidRPr="00386F72" w:rsidRDefault="00057825" w:rsidP="00051420">
            <w:pPr>
              <w:pStyle w:val="Tabletext"/>
              <w:rPr>
                <w:sz w:val="18"/>
                <w:szCs w:val="18"/>
                <w:lang w:eastAsia="en-GB"/>
              </w:rPr>
            </w:pPr>
            <w:r w:rsidRPr="00386F72">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431A3F52" w14:textId="77777777" w:rsidR="00057825" w:rsidRPr="00386F72" w:rsidRDefault="00057825" w:rsidP="00051420">
            <w:pPr>
              <w:pStyle w:val="Tabletext"/>
              <w:rPr>
                <w:sz w:val="18"/>
                <w:szCs w:val="18"/>
                <w:lang w:eastAsia="en-GB"/>
              </w:rPr>
            </w:pPr>
            <w:proofErr w:type="spellStart"/>
            <w:r w:rsidRPr="00386F72">
              <w:rPr>
                <w:sz w:val="18"/>
                <w:szCs w:val="18"/>
                <w:lang w:eastAsia="en-GB"/>
              </w:rPr>
              <w:t>eCurrency</w:t>
            </w:r>
            <w:proofErr w:type="spellEnd"/>
            <w:r w:rsidRPr="00386F72">
              <w:rPr>
                <w:sz w:val="18"/>
                <w:szCs w:val="18"/>
                <w:lang w:eastAsia="en-GB"/>
              </w:rPr>
              <w:t>, Oakland</w:t>
            </w:r>
          </w:p>
        </w:tc>
        <w:tc>
          <w:tcPr>
            <w:tcW w:w="1019" w:type="dxa"/>
            <w:tcBorders>
              <w:top w:val="nil"/>
              <w:left w:val="nil"/>
              <w:bottom w:val="single" w:sz="4" w:space="0" w:color="auto"/>
              <w:right w:val="single" w:sz="4" w:space="0" w:color="auto"/>
            </w:tcBorders>
            <w:shd w:val="clear" w:color="auto" w:fill="FFFFFF" w:themeFill="background1"/>
            <w:noWrap/>
            <w:hideMark/>
          </w:tcPr>
          <w:p w14:paraId="60FBFE89"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3E60AE21" w14:textId="77777777" w:rsidR="00057825" w:rsidRPr="00386F72" w:rsidRDefault="00057825" w:rsidP="00051420">
            <w:pPr>
              <w:pStyle w:val="Tabletext"/>
              <w:jc w:val="center"/>
              <w:rPr>
                <w:sz w:val="18"/>
                <w:szCs w:val="18"/>
                <w:lang w:eastAsia="en-GB"/>
              </w:rPr>
            </w:pPr>
            <w:r w:rsidRPr="00386F72">
              <w:rPr>
                <w:sz w:val="18"/>
                <w:szCs w:val="18"/>
                <w:lang w:eastAsia="en-GB"/>
              </w:rPr>
              <w:t>31 800,00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1E04F218" w14:textId="77777777" w:rsidR="00057825" w:rsidRPr="00386F72" w:rsidRDefault="00057825" w:rsidP="00051420">
            <w:pPr>
              <w:pStyle w:val="Tabletext"/>
              <w:jc w:val="center"/>
              <w:rPr>
                <w:sz w:val="18"/>
                <w:szCs w:val="18"/>
                <w:lang w:eastAsia="en-GB"/>
              </w:rPr>
            </w:pPr>
            <w:r w:rsidRPr="00386F72">
              <w:rPr>
                <w:sz w:val="18"/>
                <w:szCs w:val="18"/>
                <w:lang w:eastAsia="en-GB"/>
              </w:rPr>
              <w:t>15 087,90</w:t>
            </w:r>
          </w:p>
        </w:tc>
        <w:tc>
          <w:tcPr>
            <w:tcW w:w="1042" w:type="dxa"/>
            <w:tcBorders>
              <w:top w:val="nil"/>
              <w:left w:val="nil"/>
              <w:bottom w:val="single" w:sz="4" w:space="0" w:color="auto"/>
              <w:right w:val="single" w:sz="4" w:space="0" w:color="auto"/>
            </w:tcBorders>
            <w:shd w:val="clear" w:color="auto" w:fill="FFFFFF" w:themeFill="background1"/>
            <w:hideMark/>
          </w:tcPr>
          <w:p w14:paraId="3EC84ED9" w14:textId="77777777" w:rsidR="00057825" w:rsidRPr="00386F72" w:rsidRDefault="00057825" w:rsidP="00051420">
            <w:pPr>
              <w:pStyle w:val="Tabletext"/>
              <w:jc w:val="center"/>
              <w:rPr>
                <w:sz w:val="18"/>
                <w:szCs w:val="18"/>
                <w:lang w:eastAsia="en-GB"/>
              </w:rPr>
            </w:pPr>
            <w:r w:rsidRPr="00386F72">
              <w:rPr>
                <w:sz w:val="18"/>
                <w:szCs w:val="18"/>
                <w:lang w:eastAsia="en-GB"/>
              </w:rPr>
              <w:t>46 887,90</w:t>
            </w:r>
          </w:p>
        </w:tc>
      </w:tr>
      <w:tr w:rsidR="00057825" w:rsidRPr="00386F72" w14:paraId="672E437F" w14:textId="77777777" w:rsidTr="001F49C0">
        <w:trPr>
          <w:trHeight w:val="289"/>
        </w:trPr>
        <w:tc>
          <w:tcPr>
            <w:tcW w:w="1129" w:type="dxa"/>
            <w:tcBorders>
              <w:top w:val="single" w:sz="4" w:space="0" w:color="auto"/>
              <w:left w:val="single" w:sz="4" w:space="0" w:color="auto"/>
              <w:bottom w:val="single" w:sz="4" w:space="0" w:color="auto"/>
            </w:tcBorders>
          </w:tcPr>
          <w:p w14:paraId="12D61A2A" w14:textId="77777777" w:rsidR="00057825" w:rsidRPr="00386F72" w:rsidRDefault="00057825" w:rsidP="00051420">
            <w:pPr>
              <w:pStyle w:val="Tabletext"/>
              <w:jc w:val="center"/>
              <w:rPr>
                <w:sz w:val="18"/>
                <w:szCs w:val="18"/>
                <w:lang w:eastAsia="en-GB"/>
              </w:rPr>
            </w:pPr>
            <w:r w:rsidRPr="00386F72">
              <w:rPr>
                <w:sz w:val="18"/>
                <w:szCs w:val="18"/>
                <w:lang w:eastAsia="en-GB"/>
              </w:rPr>
              <w:t>56563</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3AB66D4A" w14:textId="77777777" w:rsidR="00057825" w:rsidRPr="00386F72" w:rsidRDefault="00057825" w:rsidP="00051420">
            <w:pPr>
              <w:pStyle w:val="Tabletext"/>
              <w:rPr>
                <w:sz w:val="18"/>
                <w:szCs w:val="18"/>
                <w:lang w:eastAsia="en-GB"/>
              </w:rPr>
            </w:pPr>
            <w:r w:rsidRPr="00386F72">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038B73EC" w14:textId="77777777" w:rsidR="00057825" w:rsidRPr="00386F72" w:rsidRDefault="00057825" w:rsidP="00051420">
            <w:pPr>
              <w:pStyle w:val="Tabletext"/>
              <w:rPr>
                <w:sz w:val="18"/>
                <w:szCs w:val="18"/>
                <w:lang w:eastAsia="en-GB"/>
              </w:rPr>
            </w:pPr>
            <w:r w:rsidRPr="00386F72">
              <w:rPr>
                <w:sz w:val="18"/>
                <w:szCs w:val="18"/>
                <w:lang w:eastAsia="en-GB"/>
              </w:rPr>
              <w:t xml:space="preserve">Oration Technologies </w:t>
            </w:r>
            <w:proofErr w:type="spellStart"/>
            <w:r w:rsidRPr="00386F72">
              <w:rPr>
                <w:sz w:val="18"/>
                <w:szCs w:val="18"/>
                <w:lang w:eastAsia="en-GB"/>
              </w:rPr>
              <w:t>Inc</w:t>
            </w:r>
            <w:proofErr w:type="spellEnd"/>
            <w:r w:rsidRPr="00386F72">
              <w:rPr>
                <w:sz w:val="18"/>
                <w:szCs w:val="18"/>
                <w:lang w:eastAsia="en-GB"/>
              </w:rPr>
              <w:t>, Omaha</w:t>
            </w:r>
          </w:p>
        </w:tc>
        <w:tc>
          <w:tcPr>
            <w:tcW w:w="1019" w:type="dxa"/>
            <w:tcBorders>
              <w:top w:val="nil"/>
              <w:left w:val="nil"/>
              <w:bottom w:val="single" w:sz="4" w:space="0" w:color="auto"/>
              <w:right w:val="single" w:sz="4" w:space="0" w:color="auto"/>
            </w:tcBorders>
            <w:shd w:val="clear" w:color="auto" w:fill="FFFFFF" w:themeFill="background1"/>
            <w:noWrap/>
            <w:hideMark/>
          </w:tcPr>
          <w:p w14:paraId="17EAD584" w14:textId="77777777" w:rsidR="00057825" w:rsidRPr="00386F72" w:rsidRDefault="00057825" w:rsidP="00051420">
            <w:pPr>
              <w:pStyle w:val="Tabletext"/>
              <w:jc w:val="center"/>
              <w:rPr>
                <w:sz w:val="18"/>
                <w:szCs w:val="18"/>
                <w:lang w:eastAsia="en-GB"/>
              </w:rPr>
            </w:pPr>
            <w:r w:rsidRPr="00386F72">
              <w:rPr>
                <w:sz w:val="18"/>
                <w:szCs w:val="18"/>
                <w:lang w:eastAsia="en-GB"/>
              </w:rPr>
              <w:t>2020</w:t>
            </w:r>
          </w:p>
        </w:tc>
        <w:tc>
          <w:tcPr>
            <w:tcW w:w="1060" w:type="dxa"/>
            <w:tcBorders>
              <w:top w:val="nil"/>
              <w:left w:val="nil"/>
              <w:bottom w:val="single" w:sz="4" w:space="0" w:color="auto"/>
              <w:right w:val="single" w:sz="4" w:space="0" w:color="auto"/>
            </w:tcBorders>
            <w:shd w:val="clear" w:color="auto" w:fill="FFFFFF" w:themeFill="background1"/>
            <w:noWrap/>
            <w:hideMark/>
          </w:tcPr>
          <w:p w14:paraId="270DE5F2" w14:textId="77777777" w:rsidR="00057825" w:rsidRPr="00386F72" w:rsidRDefault="00057825" w:rsidP="00051420">
            <w:pPr>
              <w:pStyle w:val="Tabletext"/>
              <w:jc w:val="center"/>
              <w:rPr>
                <w:sz w:val="18"/>
                <w:szCs w:val="18"/>
                <w:lang w:eastAsia="en-GB"/>
              </w:rPr>
            </w:pPr>
            <w:r w:rsidRPr="00386F72">
              <w:rPr>
                <w:sz w:val="18"/>
                <w:szCs w:val="18"/>
                <w:lang w:eastAsia="en-GB"/>
              </w:rPr>
              <w:t>10 600,00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5B3B4935" w14:textId="77777777" w:rsidR="00057825" w:rsidRPr="00386F72" w:rsidRDefault="00057825" w:rsidP="00051420">
            <w:pPr>
              <w:pStyle w:val="Tabletext"/>
              <w:jc w:val="center"/>
              <w:rPr>
                <w:sz w:val="18"/>
                <w:szCs w:val="18"/>
                <w:lang w:eastAsia="en-GB"/>
              </w:rPr>
            </w:pPr>
            <w:r w:rsidRPr="00386F72">
              <w:rPr>
                <w:sz w:val="18"/>
                <w:szCs w:val="18"/>
                <w:lang w:eastAsia="en-GB"/>
              </w:rPr>
              <w:t>3 691,50</w:t>
            </w:r>
          </w:p>
        </w:tc>
        <w:tc>
          <w:tcPr>
            <w:tcW w:w="1042" w:type="dxa"/>
            <w:tcBorders>
              <w:top w:val="nil"/>
              <w:left w:val="nil"/>
              <w:bottom w:val="single" w:sz="4" w:space="0" w:color="auto"/>
              <w:right w:val="single" w:sz="4" w:space="0" w:color="auto"/>
            </w:tcBorders>
            <w:shd w:val="clear" w:color="auto" w:fill="FFFFFF" w:themeFill="background1"/>
            <w:hideMark/>
          </w:tcPr>
          <w:p w14:paraId="0C745D5C" w14:textId="77777777" w:rsidR="00057825" w:rsidRPr="00386F72" w:rsidRDefault="00057825" w:rsidP="00051420">
            <w:pPr>
              <w:pStyle w:val="Tabletext"/>
              <w:jc w:val="center"/>
              <w:rPr>
                <w:sz w:val="18"/>
                <w:szCs w:val="18"/>
                <w:lang w:eastAsia="en-GB"/>
              </w:rPr>
            </w:pPr>
            <w:r w:rsidRPr="00386F72">
              <w:rPr>
                <w:sz w:val="18"/>
                <w:szCs w:val="18"/>
                <w:lang w:eastAsia="en-GB"/>
              </w:rPr>
              <w:t>14 291,50</w:t>
            </w:r>
          </w:p>
        </w:tc>
      </w:tr>
      <w:tr w:rsidR="00057825" w:rsidRPr="00386F72" w14:paraId="40DE5373" w14:textId="77777777" w:rsidTr="001F49C0">
        <w:trPr>
          <w:trHeight w:val="289"/>
        </w:trPr>
        <w:tc>
          <w:tcPr>
            <w:tcW w:w="1129" w:type="dxa"/>
            <w:tcBorders>
              <w:top w:val="single" w:sz="4" w:space="0" w:color="auto"/>
              <w:left w:val="single" w:sz="4" w:space="0" w:color="auto"/>
              <w:bottom w:val="single" w:sz="4" w:space="0" w:color="auto"/>
            </w:tcBorders>
          </w:tcPr>
          <w:p w14:paraId="74E05E5D" w14:textId="77777777" w:rsidR="00057825" w:rsidRPr="00386F72" w:rsidRDefault="00057825" w:rsidP="00051420">
            <w:pPr>
              <w:pStyle w:val="Tabletext"/>
              <w:jc w:val="center"/>
              <w:rPr>
                <w:sz w:val="18"/>
                <w:szCs w:val="18"/>
                <w:lang w:eastAsia="en-GB"/>
              </w:rPr>
            </w:pPr>
            <w:r w:rsidRPr="00386F72">
              <w:rPr>
                <w:sz w:val="18"/>
                <w:szCs w:val="18"/>
                <w:lang w:eastAsia="en-GB"/>
              </w:rPr>
              <w:t>57874</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E90FFF5" w14:textId="77777777" w:rsidR="00057825" w:rsidRPr="00386F72" w:rsidRDefault="00057825" w:rsidP="00051420">
            <w:pPr>
              <w:pStyle w:val="Tabletext"/>
              <w:rPr>
                <w:sz w:val="18"/>
                <w:szCs w:val="18"/>
                <w:lang w:eastAsia="en-GB"/>
              </w:rPr>
            </w:pPr>
            <w:r w:rsidRPr="00386F72">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7BB842AD" w14:textId="77777777" w:rsidR="00057825" w:rsidRPr="00E1216A" w:rsidRDefault="00057825" w:rsidP="00051420">
            <w:pPr>
              <w:pStyle w:val="Tabletext"/>
              <w:rPr>
                <w:sz w:val="18"/>
                <w:szCs w:val="18"/>
                <w:lang w:val="en-US" w:eastAsia="en-GB"/>
              </w:rPr>
            </w:pPr>
            <w:r w:rsidRPr="00E1216A">
              <w:rPr>
                <w:sz w:val="18"/>
                <w:szCs w:val="18"/>
                <w:lang w:val="en-US" w:eastAsia="en-GB"/>
              </w:rPr>
              <w:t>Space Systems Loral, Palo Alto</w:t>
            </w:r>
          </w:p>
        </w:tc>
        <w:tc>
          <w:tcPr>
            <w:tcW w:w="1019" w:type="dxa"/>
            <w:tcBorders>
              <w:top w:val="nil"/>
              <w:left w:val="nil"/>
              <w:bottom w:val="single" w:sz="4" w:space="0" w:color="auto"/>
              <w:right w:val="single" w:sz="4" w:space="0" w:color="auto"/>
            </w:tcBorders>
            <w:shd w:val="clear" w:color="auto" w:fill="FFFFFF" w:themeFill="background1"/>
            <w:noWrap/>
            <w:hideMark/>
          </w:tcPr>
          <w:p w14:paraId="66E2DD88"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28599FD2" w14:textId="77777777" w:rsidR="00057825" w:rsidRPr="00386F72" w:rsidRDefault="00057825" w:rsidP="00051420">
            <w:pPr>
              <w:pStyle w:val="Tabletext"/>
              <w:jc w:val="center"/>
              <w:rPr>
                <w:sz w:val="18"/>
                <w:szCs w:val="18"/>
                <w:lang w:eastAsia="en-GB"/>
              </w:rPr>
            </w:pPr>
            <w:r w:rsidRPr="00386F72">
              <w:rPr>
                <w:sz w:val="18"/>
                <w:szCs w:val="18"/>
                <w:lang w:eastAsia="en-GB"/>
              </w:rPr>
              <w:t>10 600,00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115506F8" w14:textId="77777777" w:rsidR="00057825" w:rsidRPr="00386F72" w:rsidRDefault="00057825" w:rsidP="00051420">
            <w:pPr>
              <w:pStyle w:val="Tabletext"/>
              <w:jc w:val="center"/>
              <w:rPr>
                <w:sz w:val="18"/>
                <w:szCs w:val="18"/>
                <w:lang w:eastAsia="en-GB"/>
              </w:rPr>
            </w:pPr>
            <w:r w:rsidRPr="00386F72">
              <w:rPr>
                <w:sz w:val="18"/>
                <w:szCs w:val="18"/>
                <w:lang w:eastAsia="en-GB"/>
              </w:rPr>
              <w:t>5 000,20</w:t>
            </w:r>
          </w:p>
        </w:tc>
        <w:tc>
          <w:tcPr>
            <w:tcW w:w="1042" w:type="dxa"/>
            <w:tcBorders>
              <w:top w:val="nil"/>
              <w:left w:val="nil"/>
              <w:bottom w:val="single" w:sz="4" w:space="0" w:color="auto"/>
              <w:right w:val="single" w:sz="4" w:space="0" w:color="auto"/>
            </w:tcBorders>
            <w:shd w:val="clear" w:color="auto" w:fill="FFFFFF" w:themeFill="background1"/>
            <w:hideMark/>
          </w:tcPr>
          <w:p w14:paraId="05F91D1B" w14:textId="77777777" w:rsidR="00057825" w:rsidRPr="00386F72" w:rsidRDefault="00057825" w:rsidP="00051420">
            <w:pPr>
              <w:pStyle w:val="Tabletext"/>
              <w:jc w:val="center"/>
              <w:rPr>
                <w:sz w:val="18"/>
                <w:szCs w:val="18"/>
                <w:lang w:eastAsia="en-GB"/>
              </w:rPr>
            </w:pPr>
            <w:r w:rsidRPr="00386F72">
              <w:rPr>
                <w:sz w:val="18"/>
                <w:szCs w:val="18"/>
                <w:lang w:eastAsia="en-GB"/>
              </w:rPr>
              <w:t>15 600,20</w:t>
            </w:r>
          </w:p>
        </w:tc>
      </w:tr>
      <w:tr w:rsidR="00057825" w:rsidRPr="00386F72" w14:paraId="6D4C5206" w14:textId="77777777" w:rsidTr="001F49C0">
        <w:trPr>
          <w:trHeight w:val="289"/>
        </w:trPr>
        <w:tc>
          <w:tcPr>
            <w:tcW w:w="1129" w:type="dxa"/>
            <w:tcBorders>
              <w:top w:val="single" w:sz="4" w:space="0" w:color="auto"/>
              <w:left w:val="single" w:sz="4" w:space="0" w:color="auto"/>
              <w:bottom w:val="single" w:sz="4" w:space="0" w:color="auto"/>
            </w:tcBorders>
          </w:tcPr>
          <w:p w14:paraId="2C3436EC" w14:textId="77777777" w:rsidR="00057825" w:rsidRPr="00386F72" w:rsidRDefault="00057825" w:rsidP="00051420">
            <w:pPr>
              <w:pStyle w:val="Tabletext"/>
              <w:jc w:val="center"/>
              <w:rPr>
                <w:sz w:val="18"/>
                <w:szCs w:val="18"/>
                <w:lang w:eastAsia="en-GB"/>
              </w:rPr>
            </w:pPr>
            <w:r w:rsidRPr="00386F72">
              <w:rPr>
                <w:sz w:val="18"/>
                <w:szCs w:val="18"/>
                <w:lang w:eastAsia="en-GB"/>
              </w:rPr>
              <w:t>59145</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6A2BD4E6" w14:textId="77777777" w:rsidR="00057825" w:rsidRPr="00386F72" w:rsidRDefault="00057825" w:rsidP="00051420">
            <w:pPr>
              <w:pStyle w:val="Tabletext"/>
              <w:rPr>
                <w:sz w:val="18"/>
                <w:szCs w:val="18"/>
                <w:lang w:eastAsia="en-GB"/>
              </w:rPr>
            </w:pPr>
            <w:r w:rsidRPr="00386F72">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2E935B3D" w14:textId="77777777" w:rsidR="00057825" w:rsidRPr="00386F72" w:rsidRDefault="00057825" w:rsidP="00051420">
            <w:pPr>
              <w:pStyle w:val="Tabletext"/>
              <w:rPr>
                <w:sz w:val="18"/>
                <w:szCs w:val="18"/>
                <w:lang w:eastAsia="en-GB"/>
              </w:rPr>
            </w:pPr>
            <w:proofErr w:type="spellStart"/>
            <w:r w:rsidRPr="00386F72">
              <w:rPr>
                <w:sz w:val="18"/>
                <w:szCs w:val="18"/>
                <w:lang w:eastAsia="en-GB"/>
              </w:rPr>
              <w:t>Tektronix</w:t>
            </w:r>
            <w:proofErr w:type="spellEnd"/>
            <w:r w:rsidRPr="00386F72">
              <w:rPr>
                <w:sz w:val="18"/>
                <w:szCs w:val="18"/>
                <w:lang w:eastAsia="en-GB"/>
              </w:rPr>
              <w:t xml:space="preserve"> </w:t>
            </w:r>
            <w:proofErr w:type="spellStart"/>
            <w:r w:rsidRPr="00386F72">
              <w:rPr>
                <w:sz w:val="18"/>
                <w:szCs w:val="18"/>
                <w:lang w:eastAsia="en-GB"/>
              </w:rPr>
              <w:t>Inc</w:t>
            </w:r>
            <w:proofErr w:type="spellEnd"/>
            <w:r w:rsidRPr="00386F72">
              <w:rPr>
                <w:sz w:val="18"/>
                <w:szCs w:val="18"/>
                <w:lang w:eastAsia="en-GB"/>
              </w:rPr>
              <w:t>, Beaverton</w:t>
            </w:r>
          </w:p>
        </w:tc>
        <w:tc>
          <w:tcPr>
            <w:tcW w:w="1019" w:type="dxa"/>
            <w:tcBorders>
              <w:top w:val="nil"/>
              <w:left w:val="nil"/>
              <w:bottom w:val="single" w:sz="4" w:space="0" w:color="auto"/>
              <w:right w:val="single" w:sz="4" w:space="0" w:color="auto"/>
            </w:tcBorders>
            <w:shd w:val="clear" w:color="auto" w:fill="FFFFFF" w:themeFill="background1"/>
            <w:noWrap/>
            <w:hideMark/>
          </w:tcPr>
          <w:p w14:paraId="66200B46" w14:textId="77777777" w:rsidR="00057825" w:rsidRPr="00386F72" w:rsidRDefault="00057825" w:rsidP="00051420">
            <w:pPr>
              <w:pStyle w:val="Tabletext"/>
              <w:jc w:val="center"/>
              <w:rPr>
                <w:sz w:val="18"/>
                <w:szCs w:val="18"/>
                <w:lang w:eastAsia="en-GB"/>
              </w:rPr>
            </w:pPr>
            <w:r w:rsidRPr="00386F72">
              <w:rPr>
                <w:sz w:val="18"/>
                <w:szCs w:val="18"/>
                <w:lang w:eastAsia="en-GB"/>
              </w:rPr>
              <w:t>2017-2019</w:t>
            </w:r>
          </w:p>
        </w:tc>
        <w:tc>
          <w:tcPr>
            <w:tcW w:w="1060" w:type="dxa"/>
            <w:tcBorders>
              <w:top w:val="nil"/>
              <w:left w:val="nil"/>
              <w:bottom w:val="single" w:sz="4" w:space="0" w:color="auto"/>
              <w:right w:val="single" w:sz="4" w:space="0" w:color="auto"/>
            </w:tcBorders>
            <w:shd w:val="clear" w:color="auto" w:fill="FFFFFF" w:themeFill="background1"/>
            <w:noWrap/>
            <w:hideMark/>
          </w:tcPr>
          <w:p w14:paraId="765D6DA5" w14:textId="77777777" w:rsidR="00057825" w:rsidRPr="00386F72" w:rsidRDefault="00057825" w:rsidP="00051420">
            <w:pPr>
              <w:pStyle w:val="Tabletext"/>
              <w:jc w:val="center"/>
              <w:rPr>
                <w:sz w:val="18"/>
                <w:szCs w:val="18"/>
                <w:lang w:eastAsia="en-GB"/>
              </w:rPr>
            </w:pPr>
            <w:r w:rsidRPr="00386F72">
              <w:rPr>
                <w:sz w:val="18"/>
                <w:szCs w:val="18"/>
                <w:lang w:eastAsia="en-GB"/>
              </w:rPr>
              <w:t>10 600,00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79443E63" w14:textId="77777777" w:rsidR="00057825" w:rsidRPr="00386F72" w:rsidRDefault="00057825" w:rsidP="00051420">
            <w:pPr>
              <w:pStyle w:val="Tabletext"/>
              <w:jc w:val="center"/>
              <w:rPr>
                <w:sz w:val="18"/>
                <w:szCs w:val="18"/>
                <w:lang w:eastAsia="en-GB"/>
              </w:rPr>
            </w:pPr>
            <w:r w:rsidRPr="00386F72">
              <w:rPr>
                <w:sz w:val="18"/>
                <w:szCs w:val="18"/>
                <w:lang w:eastAsia="en-GB"/>
              </w:rPr>
              <w:t>5 623,80</w:t>
            </w:r>
          </w:p>
        </w:tc>
        <w:tc>
          <w:tcPr>
            <w:tcW w:w="1042" w:type="dxa"/>
            <w:tcBorders>
              <w:top w:val="nil"/>
              <w:left w:val="nil"/>
              <w:bottom w:val="single" w:sz="4" w:space="0" w:color="auto"/>
              <w:right w:val="single" w:sz="4" w:space="0" w:color="auto"/>
            </w:tcBorders>
            <w:shd w:val="clear" w:color="auto" w:fill="FFFFFF" w:themeFill="background1"/>
            <w:hideMark/>
          </w:tcPr>
          <w:p w14:paraId="4A1A4816" w14:textId="77777777" w:rsidR="00057825" w:rsidRPr="00386F72" w:rsidRDefault="00057825" w:rsidP="00051420">
            <w:pPr>
              <w:pStyle w:val="Tabletext"/>
              <w:jc w:val="center"/>
              <w:rPr>
                <w:sz w:val="18"/>
                <w:szCs w:val="18"/>
                <w:lang w:eastAsia="en-GB"/>
              </w:rPr>
            </w:pPr>
            <w:r w:rsidRPr="00386F72">
              <w:rPr>
                <w:sz w:val="18"/>
                <w:szCs w:val="18"/>
                <w:lang w:eastAsia="en-GB"/>
              </w:rPr>
              <w:t>16 223,80</w:t>
            </w:r>
          </w:p>
        </w:tc>
      </w:tr>
      <w:tr w:rsidR="00057825" w:rsidRPr="00386F72" w14:paraId="22D1CE69" w14:textId="77777777" w:rsidTr="001F49C0">
        <w:trPr>
          <w:trHeight w:val="289"/>
        </w:trPr>
        <w:tc>
          <w:tcPr>
            <w:tcW w:w="1129" w:type="dxa"/>
            <w:tcBorders>
              <w:top w:val="single" w:sz="4" w:space="0" w:color="auto"/>
              <w:left w:val="single" w:sz="4" w:space="0" w:color="auto"/>
              <w:bottom w:val="single" w:sz="4" w:space="0" w:color="auto"/>
            </w:tcBorders>
          </w:tcPr>
          <w:p w14:paraId="23F3AED0" w14:textId="77777777" w:rsidR="00057825" w:rsidRPr="00386F72" w:rsidRDefault="00057825" w:rsidP="00051420">
            <w:pPr>
              <w:pStyle w:val="Tabletext"/>
              <w:jc w:val="center"/>
              <w:rPr>
                <w:sz w:val="18"/>
                <w:szCs w:val="18"/>
                <w:lang w:eastAsia="en-GB"/>
              </w:rPr>
            </w:pPr>
            <w:r w:rsidRPr="00386F72">
              <w:rPr>
                <w:sz w:val="18"/>
                <w:szCs w:val="18"/>
                <w:lang w:eastAsia="en-GB"/>
              </w:rPr>
              <w:t>1200173056</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6861423" w14:textId="77777777" w:rsidR="00057825" w:rsidRPr="00386F72" w:rsidRDefault="00057825" w:rsidP="00051420">
            <w:pPr>
              <w:pStyle w:val="Tabletext"/>
              <w:rPr>
                <w:sz w:val="18"/>
                <w:szCs w:val="18"/>
                <w:lang w:eastAsia="en-GB"/>
              </w:rPr>
            </w:pPr>
            <w:r w:rsidRPr="00386F72">
              <w:rPr>
                <w:sz w:val="18"/>
                <w:szCs w:val="18"/>
                <w:lang w:eastAsia="en-GB"/>
              </w:rPr>
              <w:t>États-Unis</w:t>
            </w:r>
          </w:p>
        </w:tc>
        <w:tc>
          <w:tcPr>
            <w:tcW w:w="2823" w:type="dxa"/>
            <w:tcBorders>
              <w:top w:val="nil"/>
              <w:left w:val="nil"/>
              <w:bottom w:val="single" w:sz="4" w:space="0" w:color="auto"/>
              <w:right w:val="single" w:sz="4" w:space="0" w:color="auto"/>
            </w:tcBorders>
            <w:shd w:val="clear" w:color="auto" w:fill="FFFFFF" w:themeFill="background1"/>
            <w:hideMark/>
          </w:tcPr>
          <w:p w14:paraId="70BF73DB" w14:textId="77777777" w:rsidR="00057825" w:rsidRPr="00E1216A" w:rsidRDefault="00057825" w:rsidP="00051420">
            <w:pPr>
              <w:pStyle w:val="Tabletext"/>
              <w:rPr>
                <w:sz w:val="18"/>
                <w:szCs w:val="18"/>
                <w:lang w:val="en-US" w:eastAsia="en-GB"/>
              </w:rPr>
            </w:pPr>
            <w:r w:rsidRPr="00E1216A">
              <w:rPr>
                <w:sz w:val="18"/>
                <w:szCs w:val="18"/>
                <w:lang w:val="en-US" w:eastAsia="en-GB"/>
              </w:rPr>
              <w:t>Toda Network Corporation, San Francisco</w:t>
            </w:r>
          </w:p>
        </w:tc>
        <w:tc>
          <w:tcPr>
            <w:tcW w:w="1019" w:type="dxa"/>
            <w:tcBorders>
              <w:top w:val="nil"/>
              <w:left w:val="nil"/>
              <w:bottom w:val="single" w:sz="4" w:space="0" w:color="auto"/>
              <w:right w:val="single" w:sz="4" w:space="0" w:color="auto"/>
            </w:tcBorders>
            <w:shd w:val="clear" w:color="auto" w:fill="FFFFFF" w:themeFill="background1"/>
            <w:noWrap/>
            <w:hideMark/>
          </w:tcPr>
          <w:p w14:paraId="7BCC7D09"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6EE5B26F" w14:textId="77777777" w:rsidR="00057825" w:rsidRPr="00386F72" w:rsidRDefault="00057825" w:rsidP="00051420">
            <w:pPr>
              <w:pStyle w:val="Tabletext"/>
              <w:jc w:val="center"/>
              <w:rPr>
                <w:sz w:val="18"/>
                <w:szCs w:val="18"/>
                <w:lang w:eastAsia="en-GB"/>
              </w:rPr>
            </w:pPr>
            <w:r w:rsidRPr="00386F72">
              <w:rPr>
                <w:sz w:val="18"/>
                <w:szCs w:val="18"/>
                <w:lang w:eastAsia="en-GB"/>
              </w:rPr>
              <w:t>5 300,00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7CFB4960" w14:textId="77777777" w:rsidR="00057825" w:rsidRPr="00386F72" w:rsidRDefault="00057825" w:rsidP="00051420">
            <w:pPr>
              <w:pStyle w:val="Tabletext"/>
              <w:jc w:val="center"/>
              <w:rPr>
                <w:sz w:val="18"/>
                <w:szCs w:val="18"/>
                <w:lang w:eastAsia="en-GB"/>
              </w:rPr>
            </w:pPr>
            <w:r w:rsidRPr="00386F72">
              <w:rPr>
                <w:sz w:val="18"/>
                <w:szCs w:val="18"/>
                <w:lang w:eastAsia="en-GB"/>
              </w:rPr>
              <w:t>2 500,05</w:t>
            </w:r>
          </w:p>
        </w:tc>
        <w:tc>
          <w:tcPr>
            <w:tcW w:w="1042" w:type="dxa"/>
            <w:tcBorders>
              <w:top w:val="nil"/>
              <w:left w:val="nil"/>
              <w:bottom w:val="single" w:sz="4" w:space="0" w:color="auto"/>
              <w:right w:val="single" w:sz="4" w:space="0" w:color="auto"/>
            </w:tcBorders>
            <w:shd w:val="clear" w:color="auto" w:fill="FFFFFF" w:themeFill="background1"/>
            <w:hideMark/>
          </w:tcPr>
          <w:p w14:paraId="4F3AEE39" w14:textId="77777777" w:rsidR="00057825" w:rsidRPr="00386F72" w:rsidRDefault="00057825" w:rsidP="00051420">
            <w:pPr>
              <w:pStyle w:val="Tabletext"/>
              <w:jc w:val="center"/>
              <w:rPr>
                <w:sz w:val="18"/>
                <w:szCs w:val="18"/>
                <w:lang w:eastAsia="en-GB"/>
              </w:rPr>
            </w:pPr>
            <w:r w:rsidRPr="00386F72">
              <w:rPr>
                <w:sz w:val="18"/>
                <w:szCs w:val="18"/>
                <w:lang w:eastAsia="en-GB"/>
              </w:rPr>
              <w:t>7 800,05</w:t>
            </w:r>
          </w:p>
        </w:tc>
      </w:tr>
      <w:tr w:rsidR="00057825" w:rsidRPr="00386F72" w14:paraId="6BC06384" w14:textId="77777777" w:rsidTr="001F49C0">
        <w:trPr>
          <w:trHeight w:val="289"/>
        </w:trPr>
        <w:tc>
          <w:tcPr>
            <w:tcW w:w="1129" w:type="dxa"/>
            <w:tcBorders>
              <w:top w:val="single" w:sz="4" w:space="0" w:color="auto"/>
              <w:left w:val="single" w:sz="4" w:space="0" w:color="auto"/>
              <w:bottom w:val="single" w:sz="4" w:space="0" w:color="auto"/>
            </w:tcBorders>
          </w:tcPr>
          <w:p w14:paraId="65E8537B" w14:textId="77777777" w:rsidR="00057825" w:rsidRPr="00386F72" w:rsidRDefault="00057825" w:rsidP="00051420">
            <w:pPr>
              <w:pStyle w:val="Tabletext"/>
              <w:jc w:val="center"/>
              <w:rPr>
                <w:sz w:val="18"/>
                <w:szCs w:val="18"/>
                <w:lang w:eastAsia="en-GB"/>
              </w:rPr>
            </w:pPr>
            <w:r w:rsidRPr="00386F72">
              <w:rPr>
                <w:sz w:val="18"/>
                <w:szCs w:val="18"/>
                <w:lang w:eastAsia="en-GB"/>
              </w:rPr>
              <w:t>4710</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1CD77E83" w14:textId="77777777" w:rsidR="00057825" w:rsidRPr="00386F72" w:rsidRDefault="00057825" w:rsidP="00051420">
            <w:pPr>
              <w:pStyle w:val="Tabletext"/>
              <w:rPr>
                <w:sz w:val="18"/>
                <w:szCs w:val="18"/>
                <w:lang w:eastAsia="en-GB"/>
              </w:rPr>
            </w:pPr>
            <w:r w:rsidRPr="00386F72">
              <w:rPr>
                <w:sz w:val="18"/>
                <w:szCs w:val="18"/>
                <w:lang w:eastAsia="en-GB"/>
              </w:rPr>
              <w:t>Venezuela</w:t>
            </w:r>
          </w:p>
        </w:tc>
        <w:tc>
          <w:tcPr>
            <w:tcW w:w="2823" w:type="dxa"/>
            <w:tcBorders>
              <w:top w:val="nil"/>
              <w:left w:val="nil"/>
              <w:bottom w:val="single" w:sz="4" w:space="0" w:color="auto"/>
              <w:right w:val="single" w:sz="4" w:space="0" w:color="auto"/>
            </w:tcBorders>
            <w:shd w:val="clear" w:color="auto" w:fill="FFFFFF" w:themeFill="background1"/>
            <w:hideMark/>
          </w:tcPr>
          <w:p w14:paraId="121D1F7D" w14:textId="77777777" w:rsidR="00057825" w:rsidRPr="00386F72" w:rsidRDefault="00057825" w:rsidP="00051420">
            <w:pPr>
              <w:pStyle w:val="Tabletext"/>
              <w:rPr>
                <w:sz w:val="18"/>
                <w:szCs w:val="18"/>
                <w:lang w:eastAsia="en-GB"/>
              </w:rPr>
            </w:pPr>
            <w:r w:rsidRPr="00386F72">
              <w:rPr>
                <w:sz w:val="18"/>
                <w:szCs w:val="18"/>
                <w:lang w:eastAsia="en-GB"/>
              </w:rPr>
              <w:t>CANTV, Caracas</w:t>
            </w:r>
          </w:p>
        </w:tc>
        <w:tc>
          <w:tcPr>
            <w:tcW w:w="1019" w:type="dxa"/>
            <w:tcBorders>
              <w:top w:val="nil"/>
              <w:left w:val="nil"/>
              <w:bottom w:val="single" w:sz="4" w:space="0" w:color="auto"/>
              <w:right w:val="single" w:sz="4" w:space="0" w:color="auto"/>
            </w:tcBorders>
            <w:shd w:val="clear" w:color="auto" w:fill="FFFFFF" w:themeFill="background1"/>
            <w:noWrap/>
            <w:hideMark/>
          </w:tcPr>
          <w:p w14:paraId="024DC539" w14:textId="77777777" w:rsidR="00057825" w:rsidRPr="00386F72" w:rsidRDefault="00057825" w:rsidP="00051420">
            <w:pPr>
              <w:pStyle w:val="Tabletext"/>
              <w:jc w:val="center"/>
              <w:rPr>
                <w:sz w:val="18"/>
                <w:szCs w:val="18"/>
                <w:lang w:eastAsia="en-GB"/>
              </w:rPr>
            </w:pPr>
            <w:r w:rsidRPr="00386F72">
              <w:rPr>
                <w:sz w:val="18"/>
                <w:szCs w:val="18"/>
                <w:lang w:eastAsia="en-GB"/>
              </w:rPr>
              <w:t>2018-2019</w:t>
            </w:r>
          </w:p>
        </w:tc>
        <w:tc>
          <w:tcPr>
            <w:tcW w:w="1060" w:type="dxa"/>
            <w:tcBorders>
              <w:top w:val="nil"/>
              <w:left w:val="nil"/>
              <w:bottom w:val="single" w:sz="4" w:space="0" w:color="auto"/>
              <w:right w:val="single" w:sz="4" w:space="0" w:color="auto"/>
            </w:tcBorders>
            <w:shd w:val="clear" w:color="auto" w:fill="FFFFFF" w:themeFill="background1"/>
            <w:noWrap/>
            <w:hideMark/>
          </w:tcPr>
          <w:p w14:paraId="7C93C1C4" w14:textId="77777777" w:rsidR="00057825" w:rsidRPr="00386F72" w:rsidRDefault="00057825" w:rsidP="00051420">
            <w:pPr>
              <w:pStyle w:val="Tabletext"/>
              <w:jc w:val="center"/>
              <w:rPr>
                <w:sz w:val="18"/>
                <w:szCs w:val="18"/>
                <w:lang w:eastAsia="en-GB"/>
              </w:rPr>
            </w:pPr>
            <w:r w:rsidRPr="00386F72">
              <w:rPr>
                <w:sz w:val="18"/>
                <w:szCs w:val="18"/>
                <w:lang w:eastAsia="en-GB"/>
              </w:rPr>
              <w:t>79 500,00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4B7D86E6" w14:textId="77777777" w:rsidR="00057825" w:rsidRPr="00386F72" w:rsidRDefault="00057825" w:rsidP="00051420">
            <w:pPr>
              <w:pStyle w:val="Tabletext"/>
              <w:jc w:val="center"/>
              <w:rPr>
                <w:sz w:val="18"/>
                <w:szCs w:val="18"/>
                <w:lang w:eastAsia="en-GB"/>
              </w:rPr>
            </w:pPr>
            <w:r w:rsidRPr="00386F72">
              <w:rPr>
                <w:sz w:val="18"/>
                <w:szCs w:val="18"/>
                <w:lang w:eastAsia="en-GB"/>
              </w:rPr>
              <w:t>38 163,75</w:t>
            </w:r>
          </w:p>
        </w:tc>
        <w:tc>
          <w:tcPr>
            <w:tcW w:w="1042" w:type="dxa"/>
            <w:tcBorders>
              <w:top w:val="nil"/>
              <w:left w:val="nil"/>
              <w:bottom w:val="single" w:sz="4" w:space="0" w:color="auto"/>
              <w:right w:val="single" w:sz="4" w:space="0" w:color="auto"/>
            </w:tcBorders>
            <w:shd w:val="clear" w:color="auto" w:fill="FFFFFF" w:themeFill="background1"/>
            <w:hideMark/>
          </w:tcPr>
          <w:p w14:paraId="29ACF85A" w14:textId="77777777" w:rsidR="00057825" w:rsidRPr="00386F72" w:rsidRDefault="00057825" w:rsidP="00051420">
            <w:pPr>
              <w:pStyle w:val="Tabletext"/>
              <w:jc w:val="center"/>
              <w:rPr>
                <w:sz w:val="18"/>
                <w:szCs w:val="18"/>
                <w:lang w:eastAsia="en-GB"/>
              </w:rPr>
            </w:pPr>
            <w:r w:rsidRPr="00386F72">
              <w:rPr>
                <w:sz w:val="18"/>
                <w:szCs w:val="18"/>
                <w:lang w:eastAsia="en-GB"/>
              </w:rPr>
              <w:t>117 663,75</w:t>
            </w:r>
          </w:p>
        </w:tc>
      </w:tr>
      <w:tr w:rsidR="00057825" w:rsidRPr="00386F72" w14:paraId="11B1AC9C" w14:textId="77777777" w:rsidTr="001F49C0">
        <w:trPr>
          <w:trHeight w:val="660"/>
        </w:trPr>
        <w:tc>
          <w:tcPr>
            <w:tcW w:w="1129" w:type="dxa"/>
            <w:tcBorders>
              <w:top w:val="single" w:sz="4" w:space="0" w:color="auto"/>
              <w:left w:val="single" w:sz="4" w:space="0" w:color="auto"/>
              <w:bottom w:val="single" w:sz="4" w:space="0" w:color="auto"/>
            </w:tcBorders>
          </w:tcPr>
          <w:p w14:paraId="4EB6C274" w14:textId="77777777" w:rsidR="00057825" w:rsidRPr="00386F72" w:rsidRDefault="00057825" w:rsidP="00051420">
            <w:pPr>
              <w:pStyle w:val="Tabletext"/>
              <w:ind w:right="-63"/>
              <w:jc w:val="center"/>
              <w:rPr>
                <w:sz w:val="18"/>
                <w:szCs w:val="18"/>
                <w:lang w:eastAsia="en-GB"/>
              </w:rPr>
            </w:pPr>
            <w:r w:rsidRPr="00386F72">
              <w:rPr>
                <w:sz w:val="18"/>
                <w:szCs w:val="18"/>
                <w:lang w:eastAsia="en-GB"/>
              </w:rPr>
              <w:t>1200161323</w:t>
            </w:r>
          </w:p>
        </w:tc>
        <w:tc>
          <w:tcPr>
            <w:tcW w:w="1686" w:type="dxa"/>
            <w:tcBorders>
              <w:top w:val="nil"/>
              <w:left w:val="single" w:sz="4" w:space="0" w:color="auto"/>
              <w:bottom w:val="single" w:sz="4" w:space="0" w:color="auto"/>
              <w:right w:val="single" w:sz="4" w:space="0" w:color="auto"/>
            </w:tcBorders>
            <w:shd w:val="clear" w:color="auto" w:fill="FFFFFF" w:themeFill="background1"/>
            <w:hideMark/>
          </w:tcPr>
          <w:p w14:paraId="544EAD96" w14:textId="77777777" w:rsidR="00057825" w:rsidRPr="00386F72" w:rsidRDefault="00057825" w:rsidP="00051420">
            <w:pPr>
              <w:pStyle w:val="Tabletext"/>
              <w:ind w:right="-63"/>
              <w:rPr>
                <w:sz w:val="18"/>
                <w:szCs w:val="18"/>
                <w:lang w:eastAsia="en-GB"/>
              </w:rPr>
            </w:pPr>
            <w:r w:rsidRPr="00386F72">
              <w:rPr>
                <w:sz w:val="18"/>
                <w:szCs w:val="18"/>
                <w:lang w:eastAsia="en-GB"/>
              </w:rPr>
              <w:t>Résolution 99 (Rév. Dubaï, 2018) – Palestine</w:t>
            </w:r>
          </w:p>
        </w:tc>
        <w:tc>
          <w:tcPr>
            <w:tcW w:w="2823" w:type="dxa"/>
            <w:tcBorders>
              <w:top w:val="nil"/>
              <w:left w:val="nil"/>
              <w:bottom w:val="single" w:sz="4" w:space="0" w:color="auto"/>
              <w:right w:val="single" w:sz="4" w:space="0" w:color="auto"/>
            </w:tcBorders>
            <w:shd w:val="clear" w:color="auto" w:fill="FFFFFF" w:themeFill="background1"/>
            <w:hideMark/>
          </w:tcPr>
          <w:p w14:paraId="69663E56" w14:textId="77777777" w:rsidR="00057825" w:rsidRPr="00386F72" w:rsidRDefault="00057825" w:rsidP="00051420">
            <w:pPr>
              <w:pStyle w:val="Tabletext"/>
              <w:rPr>
                <w:sz w:val="18"/>
                <w:szCs w:val="18"/>
                <w:lang w:eastAsia="en-GB"/>
              </w:rPr>
            </w:pPr>
            <w:r w:rsidRPr="00386F72">
              <w:rPr>
                <w:sz w:val="18"/>
                <w:szCs w:val="18"/>
                <w:lang w:eastAsia="en-GB"/>
              </w:rPr>
              <w:t xml:space="preserve">Université technique palestinienne, </w:t>
            </w:r>
            <w:proofErr w:type="spellStart"/>
            <w:r w:rsidRPr="00386F72">
              <w:rPr>
                <w:sz w:val="18"/>
                <w:szCs w:val="18"/>
                <w:lang w:eastAsia="en-GB"/>
              </w:rPr>
              <w:t>Tulkarem</w:t>
            </w:r>
            <w:proofErr w:type="spellEnd"/>
          </w:p>
        </w:tc>
        <w:tc>
          <w:tcPr>
            <w:tcW w:w="1019" w:type="dxa"/>
            <w:tcBorders>
              <w:top w:val="nil"/>
              <w:left w:val="nil"/>
              <w:bottom w:val="single" w:sz="4" w:space="0" w:color="auto"/>
              <w:right w:val="single" w:sz="4" w:space="0" w:color="auto"/>
            </w:tcBorders>
            <w:shd w:val="clear" w:color="auto" w:fill="FFFFFF" w:themeFill="background1"/>
            <w:noWrap/>
            <w:hideMark/>
          </w:tcPr>
          <w:p w14:paraId="12726A32" w14:textId="77777777" w:rsidR="00057825" w:rsidRPr="00386F72" w:rsidRDefault="00057825" w:rsidP="00051420">
            <w:pPr>
              <w:pStyle w:val="Tabletext"/>
              <w:jc w:val="center"/>
              <w:rPr>
                <w:sz w:val="18"/>
                <w:szCs w:val="18"/>
                <w:lang w:eastAsia="en-GB"/>
              </w:rPr>
            </w:pPr>
            <w:r w:rsidRPr="00386F72">
              <w:rPr>
                <w:sz w:val="18"/>
                <w:szCs w:val="18"/>
                <w:lang w:eastAsia="en-GB"/>
              </w:rPr>
              <w:t>2019</w:t>
            </w:r>
          </w:p>
        </w:tc>
        <w:tc>
          <w:tcPr>
            <w:tcW w:w="1060" w:type="dxa"/>
            <w:tcBorders>
              <w:top w:val="nil"/>
              <w:left w:val="nil"/>
              <w:bottom w:val="single" w:sz="4" w:space="0" w:color="auto"/>
              <w:right w:val="single" w:sz="4" w:space="0" w:color="auto"/>
            </w:tcBorders>
            <w:shd w:val="clear" w:color="auto" w:fill="FFFFFF" w:themeFill="background1"/>
            <w:noWrap/>
            <w:hideMark/>
          </w:tcPr>
          <w:p w14:paraId="4A60CACB" w14:textId="77777777" w:rsidR="00057825" w:rsidRPr="00386F72" w:rsidRDefault="00057825" w:rsidP="00051420">
            <w:pPr>
              <w:pStyle w:val="Tabletext"/>
              <w:jc w:val="center"/>
              <w:rPr>
                <w:sz w:val="18"/>
                <w:szCs w:val="18"/>
                <w:lang w:eastAsia="en-GB"/>
              </w:rPr>
            </w:pPr>
            <w:r w:rsidRPr="00386F72">
              <w:rPr>
                <w:sz w:val="18"/>
                <w:szCs w:val="18"/>
                <w:lang w:eastAsia="en-GB"/>
              </w:rPr>
              <w:t>1 987,50</w:t>
            </w:r>
          </w:p>
        </w:tc>
        <w:tc>
          <w:tcPr>
            <w:tcW w:w="1110" w:type="dxa"/>
            <w:gridSpan w:val="2"/>
            <w:tcBorders>
              <w:top w:val="nil"/>
              <w:left w:val="nil"/>
              <w:bottom w:val="single" w:sz="4" w:space="0" w:color="auto"/>
              <w:right w:val="single" w:sz="4" w:space="0" w:color="auto"/>
            </w:tcBorders>
            <w:shd w:val="clear" w:color="auto" w:fill="FFFFFF" w:themeFill="background1"/>
            <w:noWrap/>
            <w:hideMark/>
          </w:tcPr>
          <w:p w14:paraId="7E50A449" w14:textId="77777777" w:rsidR="00057825" w:rsidRPr="00386F72" w:rsidRDefault="00057825" w:rsidP="00051420">
            <w:pPr>
              <w:pStyle w:val="Tabletext"/>
              <w:jc w:val="center"/>
              <w:rPr>
                <w:sz w:val="18"/>
                <w:szCs w:val="18"/>
                <w:lang w:eastAsia="en-GB"/>
              </w:rPr>
            </w:pPr>
            <w:r w:rsidRPr="00386F72">
              <w:rPr>
                <w:sz w:val="18"/>
                <w:szCs w:val="18"/>
                <w:lang w:eastAsia="en-GB"/>
              </w:rPr>
              <w:t>937,50</w:t>
            </w:r>
          </w:p>
        </w:tc>
        <w:tc>
          <w:tcPr>
            <w:tcW w:w="1042" w:type="dxa"/>
            <w:tcBorders>
              <w:top w:val="nil"/>
              <w:left w:val="nil"/>
              <w:bottom w:val="single" w:sz="4" w:space="0" w:color="auto"/>
              <w:right w:val="single" w:sz="4" w:space="0" w:color="auto"/>
            </w:tcBorders>
            <w:shd w:val="clear" w:color="auto" w:fill="FFFFFF" w:themeFill="background1"/>
            <w:hideMark/>
          </w:tcPr>
          <w:p w14:paraId="76BB7CDA" w14:textId="77777777" w:rsidR="00057825" w:rsidRPr="00386F72" w:rsidRDefault="00057825" w:rsidP="00051420">
            <w:pPr>
              <w:pStyle w:val="Tabletext"/>
              <w:jc w:val="center"/>
              <w:rPr>
                <w:sz w:val="18"/>
                <w:szCs w:val="18"/>
                <w:lang w:eastAsia="en-GB"/>
              </w:rPr>
            </w:pPr>
            <w:r w:rsidRPr="00386F72">
              <w:rPr>
                <w:sz w:val="18"/>
                <w:szCs w:val="18"/>
                <w:lang w:eastAsia="en-GB"/>
              </w:rPr>
              <w:t>2 925,00</w:t>
            </w:r>
          </w:p>
        </w:tc>
      </w:tr>
      <w:tr w:rsidR="00057825" w:rsidRPr="00386F72" w14:paraId="1C00DB47" w14:textId="77777777" w:rsidTr="001F49C0">
        <w:trPr>
          <w:trHeight w:val="449"/>
        </w:trPr>
        <w:tc>
          <w:tcPr>
            <w:tcW w:w="6657" w:type="dxa"/>
            <w:gridSpan w:val="4"/>
            <w:tcBorders>
              <w:top w:val="single" w:sz="4" w:space="0" w:color="auto"/>
              <w:left w:val="single" w:sz="4" w:space="0" w:color="auto"/>
              <w:bottom w:val="single" w:sz="4" w:space="0" w:color="auto"/>
              <w:right w:val="single" w:sz="4" w:space="0" w:color="auto"/>
            </w:tcBorders>
            <w:vAlign w:val="center"/>
          </w:tcPr>
          <w:p w14:paraId="6837A86C" w14:textId="77777777" w:rsidR="00057825" w:rsidRPr="00386F72" w:rsidRDefault="00057825" w:rsidP="00051420">
            <w:pPr>
              <w:pStyle w:val="Tabletext"/>
              <w:jc w:val="center"/>
              <w:rPr>
                <w:b/>
                <w:bCs/>
                <w:i/>
                <w:iCs/>
                <w:sz w:val="18"/>
                <w:szCs w:val="18"/>
                <w:lang w:eastAsia="en-GB"/>
              </w:rPr>
            </w:pPr>
            <w:r w:rsidRPr="00386F72">
              <w:rPr>
                <w:b/>
                <w:bCs/>
                <w:i/>
                <w:iCs/>
                <w:sz w:val="18"/>
                <w:szCs w:val="18"/>
                <w:lang w:eastAsia="en-GB"/>
              </w:rPr>
              <w:t>2)</w:t>
            </w:r>
            <w:r w:rsidRPr="00386F72">
              <w:rPr>
                <w:b/>
                <w:bCs/>
                <w:i/>
                <w:iCs/>
                <w:sz w:val="18"/>
                <w:szCs w:val="18"/>
                <w:lang w:eastAsia="en-GB"/>
              </w:rPr>
              <w:tab/>
              <w:t>Sous-total des Membres de Secteur et des autres entités</w:t>
            </w:r>
          </w:p>
        </w:tc>
        <w:tc>
          <w:tcPr>
            <w:tcW w:w="1067" w:type="dxa"/>
            <w:gridSpan w:val="2"/>
            <w:tcBorders>
              <w:top w:val="nil"/>
              <w:left w:val="nil"/>
              <w:bottom w:val="single" w:sz="4" w:space="0" w:color="auto"/>
              <w:right w:val="single" w:sz="4" w:space="0" w:color="auto"/>
            </w:tcBorders>
            <w:shd w:val="clear" w:color="auto" w:fill="FFFFFF" w:themeFill="background1"/>
            <w:noWrap/>
            <w:vAlign w:val="center"/>
          </w:tcPr>
          <w:p w14:paraId="3A452993" w14:textId="77777777" w:rsidR="00057825" w:rsidRPr="00386F72" w:rsidRDefault="00057825" w:rsidP="00051420">
            <w:pPr>
              <w:pStyle w:val="Tabletext"/>
              <w:jc w:val="center"/>
              <w:rPr>
                <w:b/>
                <w:bCs/>
                <w:sz w:val="18"/>
                <w:szCs w:val="18"/>
                <w:lang w:eastAsia="en-GB"/>
              </w:rPr>
            </w:pPr>
            <w:r w:rsidRPr="00386F72">
              <w:rPr>
                <w:b/>
                <w:bCs/>
                <w:sz w:val="18"/>
                <w:szCs w:val="18"/>
                <w:lang w:eastAsia="en-GB"/>
              </w:rPr>
              <w:t>278 143,51</w:t>
            </w:r>
          </w:p>
        </w:tc>
        <w:tc>
          <w:tcPr>
            <w:tcW w:w="1103" w:type="dxa"/>
            <w:tcBorders>
              <w:top w:val="nil"/>
              <w:left w:val="nil"/>
              <w:bottom w:val="single" w:sz="4" w:space="0" w:color="auto"/>
              <w:right w:val="single" w:sz="4" w:space="0" w:color="auto"/>
            </w:tcBorders>
            <w:shd w:val="clear" w:color="auto" w:fill="FFFFFF" w:themeFill="background1"/>
            <w:noWrap/>
            <w:vAlign w:val="center"/>
          </w:tcPr>
          <w:p w14:paraId="0A58CD4A" w14:textId="77777777" w:rsidR="00057825" w:rsidRPr="00386F72" w:rsidRDefault="00057825" w:rsidP="00051420">
            <w:pPr>
              <w:pStyle w:val="Tabletext"/>
              <w:jc w:val="center"/>
              <w:rPr>
                <w:b/>
                <w:bCs/>
                <w:sz w:val="18"/>
                <w:szCs w:val="18"/>
                <w:lang w:eastAsia="en-GB"/>
              </w:rPr>
            </w:pPr>
            <w:r w:rsidRPr="00386F72">
              <w:rPr>
                <w:b/>
                <w:bCs/>
                <w:sz w:val="18"/>
                <w:szCs w:val="18"/>
                <w:lang w:eastAsia="en-GB"/>
              </w:rPr>
              <w:t>117 619,94</w:t>
            </w:r>
          </w:p>
        </w:tc>
        <w:tc>
          <w:tcPr>
            <w:tcW w:w="1042" w:type="dxa"/>
            <w:tcBorders>
              <w:top w:val="nil"/>
              <w:left w:val="nil"/>
              <w:bottom w:val="single" w:sz="4" w:space="0" w:color="auto"/>
              <w:right w:val="single" w:sz="4" w:space="0" w:color="auto"/>
            </w:tcBorders>
            <w:shd w:val="clear" w:color="auto" w:fill="FFFFFF" w:themeFill="background1"/>
            <w:vAlign w:val="center"/>
          </w:tcPr>
          <w:p w14:paraId="0BC83E0B" w14:textId="77777777" w:rsidR="00057825" w:rsidRPr="00386F72" w:rsidRDefault="00057825" w:rsidP="00051420">
            <w:pPr>
              <w:pStyle w:val="Tabletext"/>
              <w:jc w:val="center"/>
              <w:rPr>
                <w:b/>
                <w:bCs/>
                <w:sz w:val="18"/>
                <w:szCs w:val="18"/>
                <w:lang w:eastAsia="en-GB"/>
              </w:rPr>
            </w:pPr>
            <w:r w:rsidRPr="00386F72">
              <w:rPr>
                <w:b/>
                <w:bCs/>
                <w:sz w:val="18"/>
                <w:szCs w:val="18"/>
                <w:lang w:eastAsia="en-GB"/>
              </w:rPr>
              <w:t>395 763,45</w:t>
            </w:r>
          </w:p>
        </w:tc>
      </w:tr>
      <w:tr w:rsidR="00057825" w:rsidRPr="00386F72" w14:paraId="35271144" w14:textId="77777777" w:rsidTr="001F49C0">
        <w:trPr>
          <w:trHeight w:val="285"/>
        </w:trPr>
        <w:tc>
          <w:tcPr>
            <w:tcW w:w="6657" w:type="dxa"/>
            <w:gridSpan w:val="4"/>
            <w:tcBorders>
              <w:top w:val="single" w:sz="4" w:space="0" w:color="auto"/>
              <w:left w:val="single" w:sz="4" w:space="0" w:color="auto"/>
              <w:bottom w:val="single" w:sz="4" w:space="0" w:color="auto"/>
              <w:right w:val="single" w:sz="4" w:space="0" w:color="auto"/>
            </w:tcBorders>
            <w:vAlign w:val="center"/>
          </w:tcPr>
          <w:p w14:paraId="67E8FDDE" w14:textId="77777777" w:rsidR="00057825" w:rsidRPr="00386F72" w:rsidRDefault="00057825" w:rsidP="00051420">
            <w:pPr>
              <w:pStyle w:val="Tabletext"/>
              <w:jc w:val="right"/>
              <w:rPr>
                <w:sz w:val="18"/>
                <w:szCs w:val="18"/>
                <w:lang w:eastAsia="en-GB"/>
              </w:rPr>
            </w:pPr>
            <w:r w:rsidRPr="00386F72">
              <w:rPr>
                <w:b/>
                <w:bCs/>
                <w:sz w:val="18"/>
                <w:szCs w:val="18"/>
                <w:lang w:eastAsia="en-GB"/>
              </w:rPr>
              <w:t>Total général</w:t>
            </w:r>
          </w:p>
        </w:tc>
        <w:tc>
          <w:tcPr>
            <w:tcW w:w="1067" w:type="dxa"/>
            <w:gridSpan w:val="2"/>
            <w:tcBorders>
              <w:top w:val="nil"/>
              <w:left w:val="nil"/>
              <w:bottom w:val="single" w:sz="4" w:space="0" w:color="auto"/>
              <w:right w:val="single" w:sz="4" w:space="0" w:color="auto"/>
            </w:tcBorders>
            <w:shd w:val="clear" w:color="auto" w:fill="FFFFFF" w:themeFill="background1"/>
            <w:noWrap/>
            <w:vAlign w:val="center"/>
          </w:tcPr>
          <w:p w14:paraId="70602DFF" w14:textId="77777777" w:rsidR="00057825" w:rsidRPr="00386F72" w:rsidRDefault="00057825" w:rsidP="00051420">
            <w:pPr>
              <w:pStyle w:val="Tabletext"/>
              <w:jc w:val="center"/>
              <w:rPr>
                <w:sz w:val="18"/>
                <w:szCs w:val="18"/>
                <w:lang w:eastAsia="en-GB"/>
              </w:rPr>
            </w:pPr>
            <w:r w:rsidRPr="00386F72">
              <w:rPr>
                <w:b/>
                <w:bCs/>
                <w:sz w:val="18"/>
                <w:szCs w:val="18"/>
                <w:lang w:eastAsia="en-GB"/>
              </w:rPr>
              <w:t>278 143,51</w:t>
            </w:r>
          </w:p>
        </w:tc>
        <w:tc>
          <w:tcPr>
            <w:tcW w:w="1103" w:type="dxa"/>
            <w:tcBorders>
              <w:top w:val="nil"/>
              <w:left w:val="nil"/>
              <w:bottom w:val="single" w:sz="4" w:space="0" w:color="auto"/>
              <w:right w:val="single" w:sz="4" w:space="0" w:color="auto"/>
            </w:tcBorders>
            <w:shd w:val="clear" w:color="auto" w:fill="FFFFFF" w:themeFill="background1"/>
            <w:noWrap/>
            <w:vAlign w:val="center"/>
          </w:tcPr>
          <w:p w14:paraId="34D1959C" w14:textId="77777777" w:rsidR="00057825" w:rsidRPr="00386F72" w:rsidRDefault="00057825" w:rsidP="00051420">
            <w:pPr>
              <w:pStyle w:val="Tabletext"/>
              <w:jc w:val="center"/>
              <w:rPr>
                <w:sz w:val="18"/>
                <w:szCs w:val="18"/>
                <w:lang w:eastAsia="en-GB"/>
              </w:rPr>
            </w:pPr>
            <w:r w:rsidRPr="00386F72">
              <w:rPr>
                <w:b/>
                <w:bCs/>
                <w:sz w:val="18"/>
                <w:szCs w:val="18"/>
                <w:lang w:eastAsia="en-GB"/>
              </w:rPr>
              <w:t>288 672,09</w:t>
            </w:r>
          </w:p>
        </w:tc>
        <w:tc>
          <w:tcPr>
            <w:tcW w:w="1042" w:type="dxa"/>
            <w:tcBorders>
              <w:top w:val="nil"/>
              <w:left w:val="nil"/>
              <w:bottom w:val="single" w:sz="4" w:space="0" w:color="auto"/>
              <w:right w:val="single" w:sz="4" w:space="0" w:color="auto"/>
            </w:tcBorders>
            <w:shd w:val="clear" w:color="auto" w:fill="FFFFFF" w:themeFill="background1"/>
            <w:vAlign w:val="center"/>
          </w:tcPr>
          <w:p w14:paraId="676552D1" w14:textId="77777777" w:rsidR="00057825" w:rsidRPr="00386F72" w:rsidRDefault="00057825" w:rsidP="00051420">
            <w:pPr>
              <w:pStyle w:val="Tabletext"/>
              <w:jc w:val="center"/>
              <w:rPr>
                <w:sz w:val="18"/>
                <w:szCs w:val="18"/>
                <w:lang w:eastAsia="en-GB"/>
              </w:rPr>
            </w:pPr>
            <w:r w:rsidRPr="00386F72">
              <w:rPr>
                <w:b/>
                <w:bCs/>
                <w:sz w:val="18"/>
                <w:szCs w:val="18"/>
                <w:lang w:eastAsia="en-GB"/>
              </w:rPr>
              <w:t>566 815,60</w:t>
            </w:r>
          </w:p>
        </w:tc>
      </w:tr>
    </w:tbl>
    <w:p w14:paraId="6EC0B22E" w14:textId="77777777" w:rsidR="00057825" w:rsidRPr="00386F72" w:rsidRDefault="00057825" w:rsidP="00057825">
      <w:pPr>
        <w:spacing w:before="480"/>
        <w:jc w:val="center"/>
      </w:pPr>
      <w:r w:rsidRPr="00386F72">
        <w:t>*********</w:t>
      </w:r>
    </w:p>
    <w:p w14:paraId="302BC023" w14:textId="7BCD402E" w:rsidR="00057825" w:rsidRPr="00386F72" w:rsidRDefault="00057825" w:rsidP="00CF204B">
      <w:r w:rsidRPr="00386F72">
        <w:br w:type="page"/>
      </w:r>
    </w:p>
    <w:p w14:paraId="0FC8DF0E" w14:textId="57CD6B18" w:rsidR="00057825" w:rsidRPr="00386F72" w:rsidRDefault="00057825" w:rsidP="00057825">
      <w:pPr>
        <w:pStyle w:val="AnnexNo"/>
      </w:pPr>
      <w:bookmarkStart w:id="6" w:name="ANNEXEB"/>
      <w:bookmarkEnd w:id="6"/>
      <w:r w:rsidRPr="00386F72">
        <w:lastRenderedPageBreak/>
        <w:t xml:space="preserve">ANNEXE </w:t>
      </w:r>
      <w:r w:rsidR="00B74EA5" w:rsidRPr="00386F72">
        <w:t>C</w:t>
      </w:r>
      <w:bookmarkStart w:id="7" w:name="ANNEXEC"/>
      <w:bookmarkEnd w:id="7"/>
    </w:p>
    <w:p w14:paraId="664B6E05" w14:textId="5DFF9C9F" w:rsidR="00374CB6" w:rsidRPr="00386F72" w:rsidRDefault="00374CB6" w:rsidP="00374CB6">
      <w:pPr>
        <w:pStyle w:val="ResNo"/>
      </w:pPr>
      <w:r w:rsidRPr="00386F72">
        <w:t xml:space="preserve">PROJET DE </w:t>
      </w:r>
      <w:r w:rsidR="00F120FA" w:rsidRPr="00386F72">
        <w:t xml:space="preserve">NOUvELLE </w:t>
      </w:r>
      <w:r w:rsidRPr="00386F72">
        <w:t>DÉCISION […]</w:t>
      </w:r>
    </w:p>
    <w:p w14:paraId="76C8932D" w14:textId="77777777" w:rsidR="00374CB6" w:rsidRPr="00386F72" w:rsidRDefault="00374CB6" w:rsidP="00374CB6">
      <w:pPr>
        <w:pStyle w:val="Restitle"/>
      </w:pPr>
      <w:r w:rsidRPr="00386F72">
        <w:t>Passifs de l'Assurance maladie après la cessation de service (ASHI)</w:t>
      </w:r>
    </w:p>
    <w:p w14:paraId="07C30BA1" w14:textId="77777777" w:rsidR="00374CB6" w:rsidRPr="00386F72" w:rsidRDefault="00374CB6" w:rsidP="00374CB6">
      <w:pPr>
        <w:pStyle w:val="Normalaftertitle"/>
      </w:pPr>
      <w:r w:rsidRPr="00386F72">
        <w:t>Le Conseil de l'UIT,</w:t>
      </w:r>
    </w:p>
    <w:p w14:paraId="60A1D0B7" w14:textId="77777777" w:rsidR="00374CB6" w:rsidRPr="00386F72" w:rsidRDefault="00374CB6" w:rsidP="00374CB6">
      <w:pPr>
        <w:pStyle w:val="Call"/>
      </w:pPr>
      <w:r w:rsidRPr="00386F72">
        <w:t>ayant examiné</w:t>
      </w:r>
    </w:p>
    <w:p w14:paraId="3AD0E348" w14:textId="77777777" w:rsidR="00374CB6" w:rsidRPr="00386F72" w:rsidRDefault="00374CB6" w:rsidP="00374CB6">
      <w:r w:rsidRPr="00386F72">
        <w:t xml:space="preserve">le Document </w:t>
      </w:r>
      <w:hyperlink r:id="rId179" w:history="1">
        <w:r w:rsidRPr="00386F72">
          <w:rPr>
            <w:rStyle w:val="Hyperlink"/>
            <w:rFonts w:eastAsia="Times New Roman" w:cs="Times New Roman"/>
            <w:szCs w:val="20"/>
          </w:rPr>
          <w:t>C26/46</w:t>
        </w:r>
      </w:hyperlink>
      <w:r w:rsidRPr="00386F72">
        <w:t>,</w:t>
      </w:r>
    </w:p>
    <w:p w14:paraId="7AAC2316" w14:textId="77777777" w:rsidR="00374CB6" w:rsidRPr="00386F72" w:rsidRDefault="00374CB6" w:rsidP="00374CB6">
      <w:pPr>
        <w:pStyle w:val="Call"/>
      </w:pPr>
      <w:r w:rsidRPr="00386F72">
        <w:t>considérant</w:t>
      </w:r>
    </w:p>
    <w:p w14:paraId="38CAEC58" w14:textId="77777777" w:rsidR="00374CB6" w:rsidRPr="00386F72" w:rsidRDefault="00374CB6" w:rsidP="00374CB6">
      <w:r w:rsidRPr="00386F72">
        <w:t>la Décision 5 (Rév. Bucarest, 2022) de la Conférence de plénipotentiaires, après un examen approfondi des recommandations formulées par le Groupe de travail des Nations Unies sur l'ASHI (créé en vertu de la Résolution A/RES/68/244 de l'Assemblée générale) et en application des recommandations du Corps commun d'inspection (CCI) et du Comité consultatif indépendant pour les questions de gestion (CCIG),</w:t>
      </w:r>
    </w:p>
    <w:p w14:paraId="5BD9AE6E" w14:textId="77777777" w:rsidR="00374CB6" w:rsidRPr="00386F72" w:rsidRDefault="00374CB6" w:rsidP="00374CB6">
      <w:pPr>
        <w:pStyle w:val="Call"/>
      </w:pPr>
      <w:r w:rsidRPr="00386F72">
        <w:t>tenant compte</w:t>
      </w:r>
    </w:p>
    <w:p w14:paraId="49059038" w14:textId="77777777" w:rsidR="00374CB6" w:rsidRPr="00386F72" w:rsidRDefault="00374CB6" w:rsidP="00374CB6">
      <w:r w:rsidRPr="00386F72">
        <w:t xml:space="preserve">de l'Article 25 du </w:t>
      </w:r>
      <w:hyperlink r:id="rId180" w:history="1">
        <w:r w:rsidRPr="00386F72">
          <w:rPr>
            <w:rStyle w:val="Hyperlink"/>
            <w:rFonts w:eastAsia="Times New Roman" w:cs="Times New Roman"/>
            <w:szCs w:val="20"/>
          </w:rPr>
          <w:t>Règlement financier</w:t>
        </w:r>
      </w:hyperlink>
      <w:r w:rsidRPr="00386F72">
        <w:t>,</w:t>
      </w:r>
    </w:p>
    <w:p w14:paraId="757AA183" w14:textId="77777777" w:rsidR="00374CB6" w:rsidRPr="00386F72" w:rsidRDefault="00374CB6" w:rsidP="00374CB6">
      <w:pPr>
        <w:pStyle w:val="Call"/>
      </w:pPr>
      <w:r w:rsidRPr="00386F72">
        <w:t>décide</w:t>
      </w:r>
    </w:p>
    <w:p w14:paraId="7C931160" w14:textId="77777777" w:rsidR="00374CB6" w:rsidRPr="00386F72" w:rsidRDefault="00374CB6" w:rsidP="00374CB6">
      <w:r w:rsidRPr="00386F72">
        <w:t>de mettre en œuvre une mesure de financement supplémentaire consistant à intégrer, dans le prochain budget, une cotisation correspondant à 5,35% du traitement de base pour les nouveaux fonctionnaires recrutés à compter du 1er janvier 2026,</w:t>
      </w:r>
    </w:p>
    <w:p w14:paraId="310E9A92" w14:textId="77777777" w:rsidR="00374CB6" w:rsidRPr="00386F72" w:rsidRDefault="00374CB6" w:rsidP="00374CB6">
      <w:pPr>
        <w:pStyle w:val="Call"/>
      </w:pPr>
      <w:r w:rsidRPr="00386F72">
        <w:t>charge le Secrétaire général</w:t>
      </w:r>
    </w:p>
    <w:p w14:paraId="184C8EE9" w14:textId="77777777" w:rsidR="00374CB6" w:rsidRPr="00386F72" w:rsidRDefault="00374CB6" w:rsidP="00374CB6">
      <w:r w:rsidRPr="00386F72">
        <w:t>de continuer de faire rapport chaque année au Conseil sur la reconstitution du Fonds ASHI.</w:t>
      </w:r>
    </w:p>
    <w:p w14:paraId="79EE220C" w14:textId="77777777" w:rsidR="00D36C45" w:rsidRPr="00386F72" w:rsidRDefault="00D36C45" w:rsidP="00D36C45">
      <w:pPr>
        <w:spacing w:before="480"/>
        <w:jc w:val="center"/>
      </w:pPr>
      <w:r w:rsidRPr="00386F72">
        <w:t>*********</w:t>
      </w:r>
    </w:p>
    <w:p w14:paraId="1F8EE227" w14:textId="23B0900F" w:rsidR="00374CB6" w:rsidRPr="00386F72" w:rsidRDefault="00374CB6" w:rsidP="00374CB6">
      <w:r w:rsidRPr="00386F72">
        <w:br w:type="page"/>
      </w:r>
    </w:p>
    <w:p w14:paraId="6336AD35" w14:textId="32200040" w:rsidR="00E01FB9" w:rsidRPr="00386F72" w:rsidRDefault="00E01FB9" w:rsidP="00E01FB9">
      <w:pPr>
        <w:pStyle w:val="AnnexNo"/>
      </w:pPr>
      <w:r w:rsidRPr="00386F72">
        <w:lastRenderedPageBreak/>
        <w:t>ANNEXE D</w:t>
      </w:r>
    </w:p>
    <w:p w14:paraId="439FA4C4" w14:textId="77777777" w:rsidR="00E01FB9" w:rsidRPr="00386F72" w:rsidRDefault="00E01FB9" w:rsidP="00E01FB9">
      <w:pPr>
        <w:pStyle w:val="ResNo"/>
      </w:pPr>
      <w:r w:rsidRPr="00386F72">
        <w:t>PROJET DE NOUVELLE RÉSOLUTION [...]</w:t>
      </w:r>
    </w:p>
    <w:p w14:paraId="5E80DD3A" w14:textId="77777777" w:rsidR="00E01FB9" w:rsidRPr="00386F72" w:rsidRDefault="00E01FB9" w:rsidP="00E01FB9">
      <w:pPr>
        <w:pStyle w:val="Restitle"/>
      </w:pPr>
      <w:r w:rsidRPr="00386F72">
        <w:t>Affectation des économies réalisées dans le cadre</w:t>
      </w:r>
      <w:r w:rsidRPr="00386F72">
        <w:br/>
        <w:t>de l'exécution du budget pour 2025</w:t>
      </w:r>
    </w:p>
    <w:p w14:paraId="10B3D4BD" w14:textId="77777777" w:rsidR="00E01FB9" w:rsidRPr="00386F72" w:rsidRDefault="00E01FB9" w:rsidP="00E01FB9">
      <w:pPr>
        <w:pStyle w:val="Normalaftertitle"/>
      </w:pPr>
      <w:r w:rsidRPr="00386F72">
        <w:t>Le Conseil de l'UIT,</w:t>
      </w:r>
    </w:p>
    <w:p w14:paraId="5DF501E4" w14:textId="77777777" w:rsidR="00E01FB9" w:rsidRPr="00386F72" w:rsidRDefault="00E01FB9" w:rsidP="00E01FB9">
      <w:pPr>
        <w:pStyle w:val="Call"/>
      </w:pPr>
      <w:r w:rsidRPr="00386F72">
        <w:t>ayant examiné</w:t>
      </w:r>
    </w:p>
    <w:p w14:paraId="1B56809D" w14:textId="77777777" w:rsidR="00E01FB9" w:rsidRPr="00386F72" w:rsidRDefault="00E01FB9" w:rsidP="00E01FB9">
      <w:r w:rsidRPr="00386F72">
        <w:rPr>
          <w:i/>
          <w:iCs/>
        </w:rPr>
        <w:t>a)</w:t>
      </w:r>
      <w:r w:rsidRPr="00386F72">
        <w:tab/>
        <w:t>les économies réalisées dans le cadre de la mise en œuvre du budget de 2025, d'un montant de 11,44 millions CHF;</w:t>
      </w:r>
    </w:p>
    <w:p w14:paraId="6090D961" w14:textId="77777777" w:rsidR="00E01FB9" w:rsidRPr="00386F72" w:rsidRDefault="00E01FB9" w:rsidP="00E01FB9">
      <w:r w:rsidRPr="00386F72">
        <w:rPr>
          <w:i/>
          <w:iCs/>
        </w:rPr>
        <w:t>b)</w:t>
      </w:r>
      <w:r w:rsidRPr="00386F72">
        <w:tab/>
        <w:t xml:space="preserve">le </w:t>
      </w:r>
      <w:hyperlink r:id="rId181" w:history="1">
        <w:r w:rsidRPr="00386F72">
          <w:rPr>
            <w:rStyle w:val="Hyperlink"/>
            <w:rFonts w:eastAsia="Times New Roman" w:cs="Times New Roman"/>
            <w:szCs w:val="20"/>
          </w:rPr>
          <w:t>Document C26/42(Rév.2)</w:t>
        </w:r>
      </w:hyperlink>
      <w:r w:rsidRPr="00386F72">
        <w:t>,</w:t>
      </w:r>
    </w:p>
    <w:p w14:paraId="2FF04FFB" w14:textId="77777777" w:rsidR="00E01FB9" w:rsidRPr="00386F72" w:rsidRDefault="00E01FB9" w:rsidP="00E01FB9">
      <w:pPr>
        <w:pStyle w:val="Call"/>
      </w:pPr>
      <w:r w:rsidRPr="00386F72">
        <w:t>décide</w:t>
      </w:r>
    </w:p>
    <w:p w14:paraId="31391FAF" w14:textId="77777777" w:rsidR="00E01FB9" w:rsidRPr="00386F72" w:rsidRDefault="00E01FB9" w:rsidP="00E01FB9">
      <w:r w:rsidRPr="00386F72">
        <w:t>1</w:t>
      </w:r>
      <w:r w:rsidRPr="00386F72">
        <w:tab/>
        <w:t>d'affecter ces économies comme suit:</w:t>
      </w:r>
    </w:p>
    <w:p w14:paraId="77814BB2" w14:textId="77777777" w:rsidR="00E01FB9" w:rsidRPr="00386F72" w:rsidRDefault="00E01FB9" w:rsidP="00E01FB9">
      <w:pPr>
        <w:pStyle w:val="enumlev1"/>
      </w:pPr>
      <w:r w:rsidRPr="00386F72">
        <w:t>–</w:t>
      </w:r>
      <w:r w:rsidRPr="00386F72">
        <w:tab/>
        <w:t>financement de l'initiative approuvée précédemment par le Conseil concernant le Programme à l'intention des jeunes professionnels (1,2 million CHF); et</w:t>
      </w:r>
    </w:p>
    <w:p w14:paraId="3641E4AD" w14:textId="77777777" w:rsidR="00E01FB9" w:rsidRPr="00386F72" w:rsidRDefault="00E01FB9" w:rsidP="00E01FB9">
      <w:pPr>
        <w:pStyle w:val="enumlev1"/>
      </w:pPr>
      <w:r w:rsidRPr="00386F72">
        <w:t>–</w:t>
      </w:r>
      <w:r w:rsidRPr="00386F72">
        <w:tab/>
        <w:t>autres propositions d'affectation:</w:t>
      </w:r>
    </w:p>
    <w:p w14:paraId="18EE81D0" w14:textId="77777777" w:rsidR="00E01FB9" w:rsidRPr="00386F72" w:rsidRDefault="00E01FB9" w:rsidP="00E01FB9">
      <w:pPr>
        <w:pStyle w:val="enumlev2"/>
      </w:pPr>
      <w:r w:rsidRPr="00386F72">
        <w:t>•</w:t>
      </w:r>
      <w:r w:rsidRPr="00386F72">
        <w:tab/>
        <w:t>départs par accord mutuel (2,5 millions CHF);</w:t>
      </w:r>
    </w:p>
    <w:p w14:paraId="10F6CE8C" w14:textId="77777777" w:rsidR="00E01FB9" w:rsidRPr="00386F72" w:rsidRDefault="00E01FB9" w:rsidP="00E01FB9">
      <w:pPr>
        <w:pStyle w:val="enumlev2"/>
      </w:pPr>
      <w:r w:rsidRPr="00386F72">
        <w:tab/>
        <w:t>•</w:t>
      </w:r>
      <w:r w:rsidRPr="00386F72">
        <w:tab/>
        <w:t>résorption du retard pris dans le traitement des fiches de notification de réseaux à satellite (1 million CHF);</w:t>
      </w:r>
    </w:p>
    <w:p w14:paraId="675E9D5C" w14:textId="77777777" w:rsidR="00E01FB9" w:rsidRPr="00386F72" w:rsidRDefault="00E01FB9" w:rsidP="00E01FB9">
      <w:pPr>
        <w:pStyle w:val="enumlev2"/>
      </w:pPr>
      <w:r w:rsidRPr="00386F72">
        <w:tab/>
        <w:t>•</w:t>
      </w:r>
      <w:r w:rsidRPr="00386F72">
        <w:tab/>
        <w:t>renforcement et modernisation des systèmes essentiels de traitement des fiches de notification de réseaux à satellite (1,3 million CHF);</w:t>
      </w:r>
    </w:p>
    <w:p w14:paraId="33C7BDB8" w14:textId="77777777" w:rsidR="00E01FB9" w:rsidRPr="00386F72" w:rsidRDefault="00E01FB9" w:rsidP="00E01FB9">
      <w:pPr>
        <w:pStyle w:val="enumlev2"/>
      </w:pPr>
      <w:r w:rsidRPr="00386F72">
        <w:tab/>
        <w:t>•</w:t>
      </w:r>
      <w:r w:rsidRPr="00386F72">
        <w:tab/>
        <w:t>modernisation des systèmes institutionnels (1,44 million CHF);</w:t>
      </w:r>
    </w:p>
    <w:p w14:paraId="10C619E2" w14:textId="77777777" w:rsidR="00E01FB9" w:rsidRPr="00386F72" w:rsidRDefault="00E01FB9" w:rsidP="00E01FB9">
      <w:pPr>
        <w:pStyle w:val="enumlev2"/>
      </w:pPr>
      <w:r w:rsidRPr="00386F72">
        <w:tab/>
        <w:t>•</w:t>
      </w:r>
      <w:r w:rsidRPr="00386F72">
        <w:tab/>
        <w:t>mesures en faveur de la continuité des activités (1,5 million CHF);</w:t>
      </w:r>
    </w:p>
    <w:p w14:paraId="1ADBA502" w14:textId="77777777" w:rsidR="00E01FB9" w:rsidRPr="00386F72" w:rsidRDefault="00E01FB9" w:rsidP="00E01FB9">
      <w:pPr>
        <w:pStyle w:val="enumlev2"/>
      </w:pPr>
      <w:r w:rsidRPr="00386F72">
        <w:tab/>
        <w:t>•</w:t>
      </w:r>
      <w:r w:rsidRPr="00386F72">
        <w:tab/>
        <w:t>initiatives régionales (1,3 million CHF);</w:t>
      </w:r>
    </w:p>
    <w:p w14:paraId="7755F026" w14:textId="77777777" w:rsidR="00E01FB9" w:rsidRPr="00386F72" w:rsidRDefault="00E01FB9" w:rsidP="00E01FB9">
      <w:pPr>
        <w:pStyle w:val="enumlev2"/>
      </w:pPr>
      <w:r w:rsidRPr="00386F72">
        <w:tab/>
        <w:t>•</w:t>
      </w:r>
      <w:r w:rsidRPr="00386F72">
        <w:tab/>
        <w:t>emploi de 18 membres du personnel au titre de contrats de consultants (SSA) ou de contrats de courte durée pour le sommet sur l'IA au service du bien social en 2026-2027 (1,0 million CHF);</w:t>
      </w:r>
    </w:p>
    <w:p w14:paraId="36EAEB60" w14:textId="77777777" w:rsidR="00E01FB9" w:rsidRPr="00386F72" w:rsidRDefault="00E01FB9" w:rsidP="00E01FB9">
      <w:pPr>
        <w:pStyle w:val="enumlev2"/>
      </w:pPr>
      <w:r w:rsidRPr="00386F72">
        <w:tab/>
        <w:t>•</w:t>
      </w:r>
      <w:r w:rsidRPr="00386F72">
        <w:tab/>
        <w:t>et versement sur le Fonds de réserve de l'UIT (0,20 million);</w:t>
      </w:r>
    </w:p>
    <w:p w14:paraId="6D54883B" w14:textId="77777777" w:rsidR="00E01FB9" w:rsidRPr="00386F72" w:rsidRDefault="00E01FB9" w:rsidP="00E01FB9">
      <w:r w:rsidRPr="00386F72">
        <w:t>2</w:t>
      </w:r>
      <w:r w:rsidRPr="00386F72">
        <w:tab/>
        <w:t>de transférer sur le Fonds de réserve de l'UIT tous les fonds qui n'auraient pas été dépensés à la fin de l'année 2029, à l'exception de ceux concernant le renforcement et la modernisation des systèmes essentiels de traitement des fiches de notification de réseaux à satellite et la continuité des activités,</w:t>
      </w:r>
    </w:p>
    <w:p w14:paraId="5EFB2EC7" w14:textId="77777777" w:rsidR="00E01FB9" w:rsidRPr="00386F72" w:rsidRDefault="00E01FB9" w:rsidP="00E01FB9">
      <w:pPr>
        <w:pStyle w:val="Call"/>
      </w:pPr>
      <w:r w:rsidRPr="00386F72">
        <w:t>charge la Secrétaire générale</w:t>
      </w:r>
    </w:p>
    <w:p w14:paraId="653E5F22" w14:textId="77777777" w:rsidR="00E01FB9" w:rsidRPr="00386F72" w:rsidRDefault="00E01FB9" w:rsidP="00E01FB9">
      <w:r w:rsidRPr="00386F72">
        <w:t>1</w:t>
      </w:r>
      <w:r w:rsidRPr="00386F72">
        <w:tab/>
        <w:t xml:space="preserve">de soumettre à la Conférence de plénipotentiaires de 2026 un rapport détaillé donnant un aperçu financier et opérationnel de l'initiative sur l'IA au service du bien social et des initiatives connexes bénéficiant d'un financement extérieur (par exemple les défis sur l'apprentissage automatique, la Coalition pour les compétences en matière d'IA et les concours de présentation des startups dans le domaine de l'IA), notamment en ce qui </w:t>
      </w:r>
      <w:r w:rsidRPr="00386F72">
        <w:lastRenderedPageBreak/>
        <w:t>concerne l'ensemble des contributions en nature, des contributions extrabudgétaires et des contributions volontaires, assorti de recommandations quant à la façon d'assurer la pérennité de cette initiative;</w:t>
      </w:r>
    </w:p>
    <w:p w14:paraId="24D48933" w14:textId="77777777" w:rsidR="00E01FB9" w:rsidRPr="00386F72" w:rsidRDefault="00E01FB9" w:rsidP="00E01FB9">
      <w:r w:rsidRPr="00386F72">
        <w:t>2</w:t>
      </w:r>
      <w:r w:rsidRPr="00386F72">
        <w:tab/>
        <w:t>de faire rapport au Conseil sur la mise en œuvre des économies budgétaires, notamment les gains d'efficacité et les analyses du retour sur investissement/la description de la valeur ajoutée des investissements effectuées au moyen de ces affectations budgétaires;</w:t>
      </w:r>
    </w:p>
    <w:p w14:paraId="204913FD" w14:textId="08A027F2" w:rsidR="00E01FB9" w:rsidRPr="00386F72" w:rsidRDefault="00E01FB9" w:rsidP="00E01FB9">
      <w:r w:rsidRPr="00386F72">
        <w:t>3</w:t>
      </w:r>
      <w:r w:rsidRPr="00386F72">
        <w:tab/>
        <w:t>de faire rapport au Conseil concernant la mise en œuvre du nouveau programme de départ volontaire approuvé et le plan de réorganisation du Secrétariat général et des trois Bureaux, le cas échéant, en précisant le nombre, le département et le grade des fonctionnaires qui quittent leur fonction dans le cadre de ce programme.</w:t>
      </w:r>
    </w:p>
    <w:p w14:paraId="7DCF98C7" w14:textId="449843EC" w:rsidR="00E01FB9" w:rsidRPr="00386F72" w:rsidRDefault="00E01FB9" w:rsidP="00E01FB9">
      <w:r w:rsidRPr="00386F72">
        <w:br w:type="page"/>
      </w:r>
    </w:p>
    <w:p w14:paraId="2AD98D3F" w14:textId="3E743B30" w:rsidR="00374CB6" w:rsidRPr="00386F72" w:rsidRDefault="00374CB6" w:rsidP="00374CB6">
      <w:pPr>
        <w:pStyle w:val="AnnexNo"/>
      </w:pPr>
      <w:bookmarkStart w:id="8" w:name="ANNEXEE"/>
      <w:bookmarkEnd w:id="8"/>
      <w:r w:rsidRPr="00386F72">
        <w:lastRenderedPageBreak/>
        <w:t xml:space="preserve">ANNEXE </w:t>
      </w:r>
      <w:bookmarkStart w:id="9" w:name="ANNEXED"/>
      <w:bookmarkEnd w:id="9"/>
      <w:r w:rsidR="00E01FB9" w:rsidRPr="00386F72">
        <w:t>E</w:t>
      </w:r>
    </w:p>
    <w:p w14:paraId="00E10600" w14:textId="540497F5" w:rsidR="00D36C45" w:rsidRPr="00386F72" w:rsidRDefault="00D36C45" w:rsidP="00D36C45">
      <w:pPr>
        <w:pStyle w:val="ResNo"/>
      </w:pPr>
      <w:r w:rsidRPr="00386F72">
        <w:t xml:space="preserve">PROJET DE </w:t>
      </w:r>
      <w:r w:rsidR="00F120FA" w:rsidRPr="00386F72">
        <w:t xml:space="preserve">NOUvELLE </w:t>
      </w:r>
      <w:r w:rsidRPr="00386F72">
        <w:t>RÉSOLUTION […]</w:t>
      </w:r>
    </w:p>
    <w:p w14:paraId="53AFE4B2" w14:textId="77777777" w:rsidR="00D36C45" w:rsidRPr="00386F72" w:rsidRDefault="00D36C45" w:rsidP="00D36C45">
      <w:pPr>
        <w:pStyle w:val="Restitle"/>
      </w:pPr>
      <w:r w:rsidRPr="00386F72">
        <w:rPr>
          <w:bCs/>
        </w:rPr>
        <w:t>Conditions d'emploi des fonctionnaires élus de l'UIT</w:t>
      </w:r>
    </w:p>
    <w:p w14:paraId="1DE5716F" w14:textId="77777777" w:rsidR="00D36C45" w:rsidRPr="00386F72" w:rsidRDefault="00D36C45" w:rsidP="00D36C45">
      <w:pPr>
        <w:pStyle w:val="Normalaftertitle"/>
      </w:pPr>
      <w:r w:rsidRPr="00386F72">
        <w:t>Le Conseil de l'UIT,</w:t>
      </w:r>
    </w:p>
    <w:p w14:paraId="063D7C6E" w14:textId="77777777" w:rsidR="00D36C45" w:rsidRPr="00386F72" w:rsidRDefault="00D36C45" w:rsidP="00D36C45">
      <w:pPr>
        <w:pStyle w:val="Call"/>
      </w:pPr>
      <w:r w:rsidRPr="00386F72">
        <w:t>rappelant</w:t>
      </w:r>
    </w:p>
    <w:p w14:paraId="7FDB37E9" w14:textId="77777777" w:rsidR="00D36C45" w:rsidRPr="00386F72" w:rsidRDefault="00D36C45" w:rsidP="00D36C45">
      <w:pPr>
        <w:jc w:val="both"/>
      </w:pPr>
      <w:r w:rsidRPr="00386F72">
        <w:t>la Résolution 46 (Kyoto, 1994) de la Conférence de plénipotentiaires,</w:t>
      </w:r>
    </w:p>
    <w:p w14:paraId="17FCEF71" w14:textId="77777777" w:rsidR="00D36C45" w:rsidRPr="00386F72" w:rsidRDefault="00D36C45" w:rsidP="00D36C45">
      <w:pPr>
        <w:pStyle w:val="Call"/>
      </w:pPr>
      <w:r w:rsidRPr="00386F72">
        <w:t>ayant</w:t>
      </w:r>
      <w:r w:rsidRPr="00386F72">
        <w:rPr>
          <w:iCs/>
        </w:rPr>
        <w:t xml:space="preserve"> examiné</w:t>
      </w:r>
    </w:p>
    <w:p w14:paraId="5D7A7706" w14:textId="77777777" w:rsidR="00D36C45" w:rsidRPr="00386F72" w:rsidRDefault="00D36C45" w:rsidP="00D36C45">
      <w:pPr>
        <w:jc w:val="both"/>
      </w:pPr>
      <w:r w:rsidRPr="00386F72">
        <w:t>le rapport du Secrétaire général sur les mesures prises dans le cadre du régime commun des Nations Unies à la suite de la Résolution 80/236 de l'Assemblée générale des Nations Unies relative aux conditions d'emploi,</w:t>
      </w:r>
    </w:p>
    <w:p w14:paraId="3E350B21" w14:textId="77777777" w:rsidR="00D36C45" w:rsidRPr="00386F72" w:rsidRDefault="00D36C45" w:rsidP="00D36C45">
      <w:pPr>
        <w:pStyle w:val="Call"/>
      </w:pPr>
      <w:r w:rsidRPr="00386F72">
        <w:t>décide</w:t>
      </w:r>
    </w:p>
    <w:p w14:paraId="13F8C4B0" w14:textId="77777777" w:rsidR="00D36C45" w:rsidRPr="00386F72" w:rsidRDefault="00D36C45" w:rsidP="00D36C45">
      <w:pPr>
        <w:spacing w:after="120"/>
      </w:pPr>
      <w:r w:rsidRPr="00386F72">
        <w:t>d'approuver les traitements et la rémunération considérée aux fins de la pension ci-après, avec effet respectivement au 1er janvier 2026 et au 1er février 2026, pour les fonctionnaires élus de l'UIT:</w:t>
      </w:r>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D36C45" w:rsidRPr="00386F72" w14:paraId="26C9211E" w14:textId="77777777" w:rsidTr="00861395">
        <w:tc>
          <w:tcPr>
            <w:tcW w:w="2674" w:type="dxa"/>
            <w:tcBorders>
              <w:top w:val="nil"/>
              <w:left w:val="nil"/>
              <w:bottom w:val="nil"/>
              <w:right w:val="single" w:sz="4" w:space="0" w:color="auto"/>
            </w:tcBorders>
          </w:tcPr>
          <w:p w14:paraId="499E434B" w14:textId="77777777" w:rsidR="00D36C45" w:rsidRPr="00386F72" w:rsidRDefault="00D36C45" w:rsidP="000D57C0">
            <w:pPr>
              <w:pStyle w:val="Tablehead"/>
              <w:keepNext w:val="0"/>
              <w:keepLines w:val="0"/>
              <w:rPr>
                <w:lang w:eastAsia="zh-CN"/>
              </w:rPr>
            </w:pPr>
            <w:bookmarkStart w:id="10" w:name="_Hlk226010439"/>
          </w:p>
        </w:tc>
        <w:tc>
          <w:tcPr>
            <w:tcW w:w="6387" w:type="dxa"/>
            <w:gridSpan w:val="3"/>
            <w:tcBorders>
              <w:left w:val="single" w:sz="4" w:space="0" w:color="auto"/>
            </w:tcBorders>
            <w:hideMark/>
          </w:tcPr>
          <w:p w14:paraId="5788664B" w14:textId="77777777" w:rsidR="00D36C45" w:rsidRPr="00386F72" w:rsidRDefault="00D36C45" w:rsidP="00861395">
            <w:pPr>
              <w:pStyle w:val="Tablehead"/>
              <w:rPr>
                <w:rFonts w:asciiTheme="minorHAnsi" w:hAnsiTheme="minorHAnsi"/>
              </w:rPr>
            </w:pPr>
            <w:r w:rsidRPr="00386F72">
              <w:rPr>
                <w:bCs/>
                <w:color w:val="000000"/>
              </w:rPr>
              <w:t>USD par an</w:t>
            </w:r>
          </w:p>
        </w:tc>
      </w:tr>
      <w:tr w:rsidR="00D36C45" w:rsidRPr="00386F72" w14:paraId="4A979855" w14:textId="77777777" w:rsidTr="00861395">
        <w:tc>
          <w:tcPr>
            <w:tcW w:w="2674" w:type="dxa"/>
            <w:tcBorders>
              <w:top w:val="nil"/>
              <w:left w:val="nil"/>
              <w:bottom w:val="single" w:sz="4" w:space="0" w:color="auto"/>
              <w:right w:val="single" w:sz="4" w:space="0" w:color="auto"/>
            </w:tcBorders>
          </w:tcPr>
          <w:p w14:paraId="0D083586" w14:textId="77777777" w:rsidR="00D36C45" w:rsidRPr="00386F72" w:rsidRDefault="00D36C45" w:rsidP="000D57C0">
            <w:pPr>
              <w:pStyle w:val="Tablehead"/>
              <w:keepNext w:val="0"/>
              <w:keepLines w:val="0"/>
              <w:rPr>
                <w:rFonts w:asciiTheme="minorHAnsi" w:hAnsiTheme="minorHAnsi"/>
                <w:lang w:eastAsia="zh-CN"/>
              </w:rPr>
            </w:pPr>
          </w:p>
        </w:tc>
        <w:tc>
          <w:tcPr>
            <w:tcW w:w="2142" w:type="dxa"/>
            <w:tcBorders>
              <w:left w:val="single" w:sz="4" w:space="0" w:color="auto"/>
            </w:tcBorders>
            <w:hideMark/>
          </w:tcPr>
          <w:p w14:paraId="0EF9FCF2" w14:textId="77777777" w:rsidR="00D36C45" w:rsidRPr="00386F72" w:rsidRDefault="00D36C45" w:rsidP="00861395">
            <w:pPr>
              <w:pStyle w:val="Tablehead"/>
              <w:rPr>
                <w:rFonts w:asciiTheme="minorHAnsi" w:hAnsiTheme="minorHAnsi"/>
                <w:color w:val="000000" w:themeColor="text1"/>
                <w:sz w:val="18"/>
                <w:szCs w:val="18"/>
              </w:rPr>
            </w:pPr>
            <w:r w:rsidRPr="00386F72">
              <w:t xml:space="preserve">Traitement brut </w:t>
            </w:r>
            <w:r w:rsidRPr="00386F72">
              <w:rPr>
                <w:sz w:val="20"/>
                <w:szCs w:val="20"/>
              </w:rPr>
              <w:t>(1er janvier 2026)</w:t>
            </w:r>
          </w:p>
        </w:tc>
        <w:tc>
          <w:tcPr>
            <w:tcW w:w="2106" w:type="dxa"/>
            <w:hideMark/>
          </w:tcPr>
          <w:p w14:paraId="27698A49" w14:textId="77777777" w:rsidR="00D36C45" w:rsidRPr="00386F72" w:rsidRDefault="00D36C45" w:rsidP="00861395">
            <w:pPr>
              <w:pStyle w:val="Tablehead"/>
              <w:rPr>
                <w:rFonts w:asciiTheme="minorHAnsi" w:hAnsiTheme="minorHAnsi"/>
                <w:color w:val="000000" w:themeColor="text1"/>
              </w:rPr>
            </w:pPr>
            <w:r w:rsidRPr="00386F72">
              <w:t>Traitement</w:t>
            </w:r>
            <w:r w:rsidRPr="00386F72">
              <w:rPr>
                <w:bCs/>
                <w:color w:val="000000"/>
              </w:rPr>
              <w:t xml:space="preserve"> net </w:t>
            </w:r>
            <w:r w:rsidRPr="00386F72">
              <w:rPr>
                <w:bCs/>
                <w:color w:val="000000"/>
                <w:sz w:val="20"/>
                <w:szCs w:val="20"/>
              </w:rPr>
              <w:t>(1er janvier 2026)</w:t>
            </w:r>
          </w:p>
        </w:tc>
        <w:tc>
          <w:tcPr>
            <w:tcW w:w="2139" w:type="dxa"/>
            <w:hideMark/>
          </w:tcPr>
          <w:p w14:paraId="16EAD91B" w14:textId="77777777" w:rsidR="00D36C45" w:rsidRPr="00386F72" w:rsidRDefault="00D36C45" w:rsidP="00861395">
            <w:pPr>
              <w:pStyle w:val="Tablehead"/>
              <w:rPr>
                <w:rFonts w:asciiTheme="minorHAnsi" w:hAnsiTheme="minorHAnsi"/>
                <w:color w:val="000000" w:themeColor="text1"/>
              </w:rPr>
            </w:pPr>
            <w:r w:rsidRPr="00386F72">
              <w:t>Rémunération</w:t>
            </w:r>
            <w:r w:rsidRPr="00386F72">
              <w:rPr>
                <w:bCs/>
                <w:color w:val="000000"/>
              </w:rPr>
              <w:t xml:space="preserve"> considérée aux fins de la pension </w:t>
            </w:r>
            <w:r w:rsidRPr="00386F72">
              <w:rPr>
                <w:bCs/>
                <w:color w:val="000000"/>
                <w:sz w:val="20"/>
                <w:szCs w:val="20"/>
              </w:rPr>
              <w:t>(1er février 2026)</w:t>
            </w:r>
          </w:p>
        </w:tc>
      </w:tr>
      <w:tr w:rsidR="00D36C45" w:rsidRPr="00386F72" w14:paraId="54C5F589" w14:textId="77777777" w:rsidTr="00861395">
        <w:tc>
          <w:tcPr>
            <w:tcW w:w="2674" w:type="dxa"/>
            <w:tcBorders>
              <w:top w:val="single" w:sz="4" w:space="0" w:color="auto"/>
            </w:tcBorders>
            <w:hideMark/>
          </w:tcPr>
          <w:p w14:paraId="34BBBF35" w14:textId="77777777" w:rsidR="00D36C45" w:rsidRPr="00386F72" w:rsidRDefault="00D36C45" w:rsidP="00861395">
            <w:pPr>
              <w:pStyle w:val="Tabletext"/>
              <w:rPr>
                <w:rFonts w:cs="Calibri"/>
              </w:rPr>
            </w:pPr>
            <w:r w:rsidRPr="00386F72">
              <w:t>Secrétaire générale</w:t>
            </w:r>
          </w:p>
        </w:tc>
        <w:tc>
          <w:tcPr>
            <w:tcW w:w="2142" w:type="dxa"/>
            <w:hideMark/>
          </w:tcPr>
          <w:p w14:paraId="21A3354A" w14:textId="77777777" w:rsidR="00D36C45" w:rsidRPr="00386F72" w:rsidRDefault="00D36C45" w:rsidP="00861395">
            <w:pPr>
              <w:pStyle w:val="Tabletext"/>
              <w:jc w:val="center"/>
              <w:rPr>
                <w:rFonts w:cs="Calibri"/>
                <w:strike/>
              </w:rPr>
            </w:pPr>
            <w:r w:rsidRPr="00386F72">
              <w:rPr>
                <w:color w:val="000000"/>
              </w:rPr>
              <w:t>288 867</w:t>
            </w:r>
          </w:p>
        </w:tc>
        <w:tc>
          <w:tcPr>
            <w:tcW w:w="2106" w:type="dxa"/>
            <w:hideMark/>
          </w:tcPr>
          <w:p w14:paraId="0D4013FB" w14:textId="77777777" w:rsidR="00D36C45" w:rsidRPr="00386F72" w:rsidRDefault="00D36C45" w:rsidP="00861395">
            <w:pPr>
              <w:pStyle w:val="Tabletext"/>
              <w:jc w:val="center"/>
              <w:rPr>
                <w:rFonts w:cs="Calibri"/>
              </w:rPr>
            </w:pPr>
            <w:r w:rsidRPr="00386F72">
              <w:rPr>
                <w:color w:val="000000"/>
              </w:rPr>
              <w:t>206 152</w:t>
            </w:r>
          </w:p>
        </w:tc>
        <w:tc>
          <w:tcPr>
            <w:tcW w:w="2139" w:type="dxa"/>
          </w:tcPr>
          <w:p w14:paraId="6E4B2B38" w14:textId="77777777" w:rsidR="00D36C45" w:rsidRPr="00386F72" w:rsidRDefault="00D36C45" w:rsidP="00861395">
            <w:pPr>
              <w:pStyle w:val="Tabletext"/>
              <w:jc w:val="center"/>
              <w:rPr>
                <w:rFonts w:cs="Calibri"/>
              </w:rPr>
            </w:pPr>
            <w:r w:rsidRPr="00386F72">
              <w:rPr>
                <w:color w:val="000000"/>
              </w:rPr>
              <w:t>473 439</w:t>
            </w:r>
          </w:p>
        </w:tc>
      </w:tr>
      <w:tr w:rsidR="00D36C45" w:rsidRPr="00386F72" w14:paraId="55BD2E1C" w14:textId="77777777" w:rsidTr="00861395">
        <w:tc>
          <w:tcPr>
            <w:tcW w:w="2674" w:type="dxa"/>
            <w:hideMark/>
          </w:tcPr>
          <w:p w14:paraId="49695BB7" w14:textId="77777777" w:rsidR="00D36C45" w:rsidRPr="00386F72" w:rsidRDefault="00D36C45" w:rsidP="00861395">
            <w:pPr>
              <w:pStyle w:val="Tabletext"/>
              <w:rPr>
                <w:rFonts w:cs="Calibri"/>
              </w:rPr>
            </w:pPr>
            <w:r w:rsidRPr="00386F72">
              <w:t>Vice-Secrétaire général et Directeurs des Bureaux</w:t>
            </w:r>
          </w:p>
        </w:tc>
        <w:tc>
          <w:tcPr>
            <w:tcW w:w="2142" w:type="dxa"/>
            <w:hideMark/>
          </w:tcPr>
          <w:p w14:paraId="69F0583D" w14:textId="77777777" w:rsidR="00D36C45" w:rsidRPr="00386F72" w:rsidRDefault="00D36C45" w:rsidP="00861395">
            <w:pPr>
              <w:pStyle w:val="Tabletext"/>
              <w:jc w:val="center"/>
              <w:rPr>
                <w:rFonts w:cs="Calibri"/>
                <w:strike/>
              </w:rPr>
            </w:pPr>
            <w:r w:rsidRPr="00386F72">
              <w:rPr>
                <w:color w:val="000000"/>
              </w:rPr>
              <w:t>263 226</w:t>
            </w:r>
          </w:p>
        </w:tc>
        <w:tc>
          <w:tcPr>
            <w:tcW w:w="2106" w:type="dxa"/>
            <w:hideMark/>
          </w:tcPr>
          <w:p w14:paraId="4476176B" w14:textId="77777777" w:rsidR="00D36C45" w:rsidRPr="00386F72" w:rsidRDefault="00D36C45" w:rsidP="00861395">
            <w:pPr>
              <w:pStyle w:val="Tabletext"/>
              <w:jc w:val="center"/>
              <w:rPr>
                <w:rFonts w:cs="Calibri"/>
              </w:rPr>
            </w:pPr>
            <w:r w:rsidRPr="00386F72">
              <w:rPr>
                <w:color w:val="000000"/>
              </w:rPr>
              <w:t>189 229</w:t>
            </w:r>
          </w:p>
        </w:tc>
        <w:tc>
          <w:tcPr>
            <w:tcW w:w="2139" w:type="dxa"/>
          </w:tcPr>
          <w:p w14:paraId="016D35FF" w14:textId="77777777" w:rsidR="00D36C45" w:rsidRPr="00386F72" w:rsidRDefault="00D36C45" w:rsidP="00861395">
            <w:pPr>
              <w:pStyle w:val="Tabletext"/>
              <w:jc w:val="center"/>
              <w:rPr>
                <w:rFonts w:cs="Calibri"/>
              </w:rPr>
            </w:pPr>
            <w:r w:rsidRPr="00386F72">
              <w:rPr>
                <w:color w:val="000000"/>
              </w:rPr>
              <w:t>439 098</w:t>
            </w:r>
          </w:p>
        </w:tc>
      </w:tr>
    </w:tbl>
    <w:bookmarkEnd w:id="10"/>
    <w:p w14:paraId="04558FE6" w14:textId="77777777" w:rsidR="00897553" w:rsidRPr="00386F72" w:rsidRDefault="006A11AE" w:rsidP="002D2336">
      <w:pPr>
        <w:jc w:val="center"/>
      </w:pPr>
      <w:r w:rsidRPr="00386F72">
        <w:t>______________</w:t>
      </w:r>
    </w:p>
    <w:sectPr w:rsidR="00897553" w:rsidRPr="00386F72" w:rsidSect="00D72F49">
      <w:headerReference w:type="even" r:id="rId182"/>
      <w:footerReference w:type="even" r:id="rId183"/>
      <w:footerReference w:type="default" r:id="rId184"/>
      <w:headerReference w:type="first" r:id="rId185"/>
      <w:footerReference w:type="first" r:id="rId18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5FF0" w14:textId="77777777" w:rsidR="000A0EA0" w:rsidRDefault="000A0EA0">
      <w:r>
        <w:separator/>
      </w:r>
    </w:p>
  </w:endnote>
  <w:endnote w:type="continuationSeparator" w:id="0">
    <w:p w14:paraId="2236F461" w14:textId="77777777" w:rsidR="000A0EA0" w:rsidRDefault="000A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6475" w14:textId="4663F020" w:rsidR="00732045" w:rsidRPr="00CF204B" w:rsidRDefault="00271321">
    <w:pPr>
      <w:pStyle w:val="Footer"/>
      <w:rPr>
        <w:lang w:val="en-US"/>
      </w:rPr>
    </w:pPr>
    <w:r>
      <w:fldChar w:fldCharType="begin"/>
    </w:r>
    <w:r w:rsidRPr="00CF204B">
      <w:rPr>
        <w:lang w:val="en-US"/>
      </w:rPr>
      <w:instrText xml:space="preserve"> FILENAME \p \* MERGEFORMAT </w:instrText>
    </w:r>
    <w:r>
      <w:fldChar w:fldCharType="separate"/>
    </w:r>
    <w:r w:rsidR="00D60EFC">
      <w:rPr>
        <w:lang w:val="en-US"/>
      </w:rPr>
      <w:t>P:\FRA\gDoc\SG\C26\2601168\2601168F.docx</w:t>
    </w:r>
    <w:r>
      <w:fldChar w:fldCharType="end"/>
    </w:r>
    <w:r w:rsidR="00732045" w:rsidRPr="00CF204B">
      <w:rPr>
        <w:lang w:val="en-US"/>
      </w:rPr>
      <w:tab/>
    </w:r>
    <w:r w:rsidR="002F1B76">
      <w:fldChar w:fldCharType="begin"/>
    </w:r>
    <w:r w:rsidR="00732045">
      <w:instrText xml:space="preserve"> savedate \@ dd.MM.yy </w:instrText>
    </w:r>
    <w:r w:rsidR="002F1B76">
      <w:fldChar w:fldCharType="separate"/>
    </w:r>
    <w:r w:rsidR="008471DD">
      <w:t>14.05.26</w:t>
    </w:r>
    <w:r w:rsidR="002F1B76">
      <w:fldChar w:fldCharType="end"/>
    </w:r>
    <w:r w:rsidR="00732045" w:rsidRPr="00CF204B">
      <w:rPr>
        <w:lang w:val="en-US"/>
      </w:rPr>
      <w:tab/>
    </w:r>
    <w:r w:rsidR="002F1B76">
      <w:fldChar w:fldCharType="begin"/>
    </w:r>
    <w:r w:rsidR="00732045">
      <w:instrText xml:space="preserve"> printdate \@ dd.MM.yy </w:instrText>
    </w:r>
    <w:r w:rsidR="002F1B76">
      <w:fldChar w:fldCharType="separate"/>
    </w:r>
    <w:r w:rsidR="00D60EFC">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49DD6B2" w14:textId="77777777" w:rsidTr="00E31DCE">
      <w:trPr>
        <w:jc w:val="center"/>
      </w:trPr>
      <w:tc>
        <w:tcPr>
          <w:tcW w:w="1803" w:type="dxa"/>
          <w:vAlign w:val="center"/>
        </w:tcPr>
        <w:p w14:paraId="3F862E2F" w14:textId="40816E96" w:rsidR="00A51849" w:rsidRDefault="00CF204B" w:rsidP="00A51849">
          <w:pPr>
            <w:pStyle w:val="Header"/>
            <w:jc w:val="left"/>
            <w:rPr>
              <w:noProof/>
            </w:rPr>
          </w:pPr>
          <w:r>
            <w:rPr>
              <w:noProof/>
            </w:rPr>
            <w:t>2601168</w:t>
          </w:r>
        </w:p>
      </w:tc>
      <w:tc>
        <w:tcPr>
          <w:tcW w:w="8261" w:type="dxa"/>
        </w:tcPr>
        <w:p w14:paraId="19A68736" w14:textId="019E9A1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CF204B">
            <w:rPr>
              <w:bCs/>
            </w:rPr>
            <w:t>116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642275B" w14:textId="77777777" w:rsidR="00732045" w:rsidRPr="00A51849" w:rsidRDefault="00732045" w:rsidP="00412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718CC2" w14:textId="77777777" w:rsidTr="00E31DCE">
      <w:trPr>
        <w:jc w:val="center"/>
      </w:trPr>
      <w:tc>
        <w:tcPr>
          <w:tcW w:w="1803" w:type="dxa"/>
          <w:vAlign w:val="center"/>
        </w:tcPr>
        <w:p w14:paraId="0C36E07A"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304E71D4" w14:textId="28072DB4"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CF204B">
            <w:rPr>
              <w:bCs/>
            </w:rPr>
            <w:t>116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B31D7E7"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7DFB" w14:textId="77777777" w:rsidR="000A0EA0" w:rsidRDefault="000A0EA0">
      <w:r>
        <w:t>____________________</w:t>
      </w:r>
    </w:p>
  </w:footnote>
  <w:footnote w:type="continuationSeparator" w:id="0">
    <w:p w14:paraId="54B24991" w14:textId="77777777" w:rsidR="000A0EA0" w:rsidRDefault="000A0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F3E0"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B40ADF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ABB2"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A79"/>
    <w:rsid w:val="0000138F"/>
    <w:rsid w:val="00004BFE"/>
    <w:rsid w:val="0004384E"/>
    <w:rsid w:val="00050430"/>
    <w:rsid w:val="00057825"/>
    <w:rsid w:val="00064290"/>
    <w:rsid w:val="00070F82"/>
    <w:rsid w:val="00076A2C"/>
    <w:rsid w:val="000A0EA0"/>
    <w:rsid w:val="000A6A01"/>
    <w:rsid w:val="000D0D0A"/>
    <w:rsid w:val="000D57C0"/>
    <w:rsid w:val="000E6CD0"/>
    <w:rsid w:val="001020E4"/>
    <w:rsid w:val="00103163"/>
    <w:rsid w:val="00106B19"/>
    <w:rsid w:val="001133EF"/>
    <w:rsid w:val="00115D93"/>
    <w:rsid w:val="001247A8"/>
    <w:rsid w:val="001342E0"/>
    <w:rsid w:val="001370B2"/>
    <w:rsid w:val="001373E4"/>
    <w:rsid w:val="001378C0"/>
    <w:rsid w:val="001658F9"/>
    <w:rsid w:val="00184DD9"/>
    <w:rsid w:val="0018694A"/>
    <w:rsid w:val="0019129B"/>
    <w:rsid w:val="00197D16"/>
    <w:rsid w:val="001A3287"/>
    <w:rsid w:val="001A40E8"/>
    <w:rsid w:val="001A6508"/>
    <w:rsid w:val="001D4C31"/>
    <w:rsid w:val="001E4D21"/>
    <w:rsid w:val="001E6871"/>
    <w:rsid w:val="001F3FCF"/>
    <w:rsid w:val="001F49C0"/>
    <w:rsid w:val="00207CD1"/>
    <w:rsid w:val="002142D1"/>
    <w:rsid w:val="0021600C"/>
    <w:rsid w:val="00226657"/>
    <w:rsid w:val="002320FB"/>
    <w:rsid w:val="00244AB7"/>
    <w:rsid w:val="002477A2"/>
    <w:rsid w:val="0025479F"/>
    <w:rsid w:val="00263A51"/>
    <w:rsid w:val="00267E02"/>
    <w:rsid w:val="00271321"/>
    <w:rsid w:val="00277DEA"/>
    <w:rsid w:val="002A5D44"/>
    <w:rsid w:val="002C37A1"/>
    <w:rsid w:val="002C3F32"/>
    <w:rsid w:val="002C4E3D"/>
    <w:rsid w:val="002D2336"/>
    <w:rsid w:val="002E0BC4"/>
    <w:rsid w:val="002E0FDC"/>
    <w:rsid w:val="002E14DB"/>
    <w:rsid w:val="002F1B76"/>
    <w:rsid w:val="002F2FB3"/>
    <w:rsid w:val="00306BC6"/>
    <w:rsid w:val="00306C5C"/>
    <w:rsid w:val="00313A6C"/>
    <w:rsid w:val="00325203"/>
    <w:rsid w:val="0033568E"/>
    <w:rsid w:val="0034560F"/>
    <w:rsid w:val="00351222"/>
    <w:rsid w:val="00355FF5"/>
    <w:rsid w:val="003568B9"/>
    <w:rsid w:val="00361350"/>
    <w:rsid w:val="0036183D"/>
    <w:rsid w:val="00374CB6"/>
    <w:rsid w:val="00382DE9"/>
    <w:rsid w:val="00385920"/>
    <w:rsid w:val="00386F72"/>
    <w:rsid w:val="003C349A"/>
    <w:rsid w:val="003C3FAE"/>
    <w:rsid w:val="003D574A"/>
    <w:rsid w:val="003E06A8"/>
    <w:rsid w:val="00400A72"/>
    <w:rsid w:val="004038CB"/>
    <w:rsid w:val="0040453F"/>
    <w:rsid w:val="0040546F"/>
    <w:rsid w:val="00412A88"/>
    <w:rsid w:val="004177BD"/>
    <w:rsid w:val="0042404A"/>
    <w:rsid w:val="0044618F"/>
    <w:rsid w:val="00463012"/>
    <w:rsid w:val="00465C35"/>
    <w:rsid w:val="0046769A"/>
    <w:rsid w:val="00467AD2"/>
    <w:rsid w:val="00475FB3"/>
    <w:rsid w:val="00483A60"/>
    <w:rsid w:val="00490E65"/>
    <w:rsid w:val="00494DD5"/>
    <w:rsid w:val="004C37A9"/>
    <w:rsid w:val="004D1D50"/>
    <w:rsid w:val="004E4580"/>
    <w:rsid w:val="004E5084"/>
    <w:rsid w:val="004F259E"/>
    <w:rsid w:val="004F633A"/>
    <w:rsid w:val="00500B78"/>
    <w:rsid w:val="00504C7F"/>
    <w:rsid w:val="00511F1D"/>
    <w:rsid w:val="00514927"/>
    <w:rsid w:val="00520F36"/>
    <w:rsid w:val="00524E8D"/>
    <w:rsid w:val="00530EE5"/>
    <w:rsid w:val="00534AF3"/>
    <w:rsid w:val="00534E13"/>
    <w:rsid w:val="00540615"/>
    <w:rsid w:val="00540A6D"/>
    <w:rsid w:val="00553536"/>
    <w:rsid w:val="00566679"/>
    <w:rsid w:val="00571EEA"/>
    <w:rsid w:val="00572D4C"/>
    <w:rsid w:val="00575417"/>
    <w:rsid w:val="005768E1"/>
    <w:rsid w:val="0059329C"/>
    <w:rsid w:val="005B1938"/>
    <w:rsid w:val="005C3890"/>
    <w:rsid w:val="005C6A26"/>
    <w:rsid w:val="005D53DD"/>
    <w:rsid w:val="005E7AB1"/>
    <w:rsid w:val="005F7BFE"/>
    <w:rsid w:val="00600017"/>
    <w:rsid w:val="00601B5F"/>
    <w:rsid w:val="00602682"/>
    <w:rsid w:val="00605D55"/>
    <w:rsid w:val="006235CA"/>
    <w:rsid w:val="0062366E"/>
    <w:rsid w:val="00632E77"/>
    <w:rsid w:val="00656648"/>
    <w:rsid w:val="006643AB"/>
    <w:rsid w:val="006A11AE"/>
    <w:rsid w:val="006B224B"/>
    <w:rsid w:val="006F0A53"/>
    <w:rsid w:val="007077E0"/>
    <w:rsid w:val="0071402E"/>
    <w:rsid w:val="00717F28"/>
    <w:rsid w:val="007210CD"/>
    <w:rsid w:val="00732045"/>
    <w:rsid w:val="0073275D"/>
    <w:rsid w:val="00734AB6"/>
    <w:rsid w:val="007369DB"/>
    <w:rsid w:val="007578C7"/>
    <w:rsid w:val="0077110E"/>
    <w:rsid w:val="007720C4"/>
    <w:rsid w:val="00782CC4"/>
    <w:rsid w:val="007956C2"/>
    <w:rsid w:val="00796BDB"/>
    <w:rsid w:val="007A187E"/>
    <w:rsid w:val="007B0DAB"/>
    <w:rsid w:val="007C5E1F"/>
    <w:rsid w:val="007C72C2"/>
    <w:rsid w:val="007D4373"/>
    <w:rsid w:val="007D4436"/>
    <w:rsid w:val="007E4CE8"/>
    <w:rsid w:val="007F0B7E"/>
    <w:rsid w:val="007F257A"/>
    <w:rsid w:val="007F3665"/>
    <w:rsid w:val="00800037"/>
    <w:rsid w:val="008108BF"/>
    <w:rsid w:val="0082299A"/>
    <w:rsid w:val="00823571"/>
    <w:rsid w:val="00833359"/>
    <w:rsid w:val="0083391C"/>
    <w:rsid w:val="00837AE6"/>
    <w:rsid w:val="0084546D"/>
    <w:rsid w:val="008471DD"/>
    <w:rsid w:val="00855C7A"/>
    <w:rsid w:val="00861D73"/>
    <w:rsid w:val="00882919"/>
    <w:rsid w:val="00885F7C"/>
    <w:rsid w:val="008863EA"/>
    <w:rsid w:val="00897553"/>
    <w:rsid w:val="008A4E87"/>
    <w:rsid w:val="008C4770"/>
    <w:rsid w:val="008D76E6"/>
    <w:rsid w:val="008E06C6"/>
    <w:rsid w:val="008E1670"/>
    <w:rsid w:val="008E20A4"/>
    <w:rsid w:val="008F143C"/>
    <w:rsid w:val="00906BF6"/>
    <w:rsid w:val="0092392D"/>
    <w:rsid w:val="00925566"/>
    <w:rsid w:val="00926C43"/>
    <w:rsid w:val="0093234A"/>
    <w:rsid w:val="009437DD"/>
    <w:rsid w:val="00955EB5"/>
    <w:rsid w:val="00956A78"/>
    <w:rsid w:val="00962459"/>
    <w:rsid w:val="0097079A"/>
    <w:rsid w:val="0097363B"/>
    <w:rsid w:val="00973F53"/>
    <w:rsid w:val="00974793"/>
    <w:rsid w:val="00982DC0"/>
    <w:rsid w:val="0098348E"/>
    <w:rsid w:val="00984809"/>
    <w:rsid w:val="00985CCE"/>
    <w:rsid w:val="009A6BAA"/>
    <w:rsid w:val="009A76A8"/>
    <w:rsid w:val="009B1ADE"/>
    <w:rsid w:val="009C04B3"/>
    <w:rsid w:val="009C307F"/>
    <w:rsid w:val="009C353C"/>
    <w:rsid w:val="009D3EFF"/>
    <w:rsid w:val="009D5955"/>
    <w:rsid w:val="009D74A1"/>
    <w:rsid w:val="009D77A6"/>
    <w:rsid w:val="009F0FB8"/>
    <w:rsid w:val="009F6B73"/>
    <w:rsid w:val="00A01F4F"/>
    <w:rsid w:val="00A025D3"/>
    <w:rsid w:val="00A109AF"/>
    <w:rsid w:val="00A125FB"/>
    <w:rsid w:val="00A20823"/>
    <w:rsid w:val="00A2113E"/>
    <w:rsid w:val="00A23A51"/>
    <w:rsid w:val="00A24607"/>
    <w:rsid w:val="00A25CD3"/>
    <w:rsid w:val="00A274D7"/>
    <w:rsid w:val="00A37815"/>
    <w:rsid w:val="00A37DE1"/>
    <w:rsid w:val="00A445CB"/>
    <w:rsid w:val="00A51849"/>
    <w:rsid w:val="00A57AD7"/>
    <w:rsid w:val="00A67BA2"/>
    <w:rsid w:val="00A709FE"/>
    <w:rsid w:val="00A73C60"/>
    <w:rsid w:val="00A75750"/>
    <w:rsid w:val="00A82767"/>
    <w:rsid w:val="00AA332F"/>
    <w:rsid w:val="00AA7BBB"/>
    <w:rsid w:val="00AB64A8"/>
    <w:rsid w:val="00AB673C"/>
    <w:rsid w:val="00AB78E5"/>
    <w:rsid w:val="00AC0266"/>
    <w:rsid w:val="00AC09F3"/>
    <w:rsid w:val="00AC0F1D"/>
    <w:rsid w:val="00AC2A1C"/>
    <w:rsid w:val="00AD24EC"/>
    <w:rsid w:val="00AD2B09"/>
    <w:rsid w:val="00AD3FC4"/>
    <w:rsid w:val="00AE2E85"/>
    <w:rsid w:val="00AE5B8C"/>
    <w:rsid w:val="00AE6DC0"/>
    <w:rsid w:val="00B03A81"/>
    <w:rsid w:val="00B20B35"/>
    <w:rsid w:val="00B22457"/>
    <w:rsid w:val="00B27B00"/>
    <w:rsid w:val="00B309F9"/>
    <w:rsid w:val="00B32B60"/>
    <w:rsid w:val="00B51005"/>
    <w:rsid w:val="00B60035"/>
    <w:rsid w:val="00B61619"/>
    <w:rsid w:val="00B74EA5"/>
    <w:rsid w:val="00B776F7"/>
    <w:rsid w:val="00B837FD"/>
    <w:rsid w:val="00BB38C1"/>
    <w:rsid w:val="00BB4545"/>
    <w:rsid w:val="00BC42AC"/>
    <w:rsid w:val="00BD10E7"/>
    <w:rsid w:val="00BD3882"/>
    <w:rsid w:val="00BD5873"/>
    <w:rsid w:val="00BF4B60"/>
    <w:rsid w:val="00BF77EB"/>
    <w:rsid w:val="00C049D7"/>
    <w:rsid w:val="00C04BE3"/>
    <w:rsid w:val="00C15491"/>
    <w:rsid w:val="00C25D29"/>
    <w:rsid w:val="00C2625E"/>
    <w:rsid w:val="00C27A7C"/>
    <w:rsid w:val="00C42437"/>
    <w:rsid w:val="00C82C78"/>
    <w:rsid w:val="00C918BA"/>
    <w:rsid w:val="00C9260E"/>
    <w:rsid w:val="00C93E2F"/>
    <w:rsid w:val="00C93EEE"/>
    <w:rsid w:val="00C96421"/>
    <w:rsid w:val="00CA08ED"/>
    <w:rsid w:val="00CB663F"/>
    <w:rsid w:val="00CB79C9"/>
    <w:rsid w:val="00CC179B"/>
    <w:rsid w:val="00CC6EAA"/>
    <w:rsid w:val="00CE14B4"/>
    <w:rsid w:val="00CE5172"/>
    <w:rsid w:val="00CF0534"/>
    <w:rsid w:val="00CF183B"/>
    <w:rsid w:val="00CF204B"/>
    <w:rsid w:val="00CF7A69"/>
    <w:rsid w:val="00D20A5E"/>
    <w:rsid w:val="00D20AB0"/>
    <w:rsid w:val="00D23DA6"/>
    <w:rsid w:val="00D36C45"/>
    <w:rsid w:val="00D375CD"/>
    <w:rsid w:val="00D37B53"/>
    <w:rsid w:val="00D548DE"/>
    <w:rsid w:val="00D553A2"/>
    <w:rsid w:val="00D5680F"/>
    <w:rsid w:val="00D60EFC"/>
    <w:rsid w:val="00D72F49"/>
    <w:rsid w:val="00D74774"/>
    <w:rsid w:val="00D774D3"/>
    <w:rsid w:val="00D904E8"/>
    <w:rsid w:val="00D92641"/>
    <w:rsid w:val="00D92A79"/>
    <w:rsid w:val="00DA08C3"/>
    <w:rsid w:val="00DA66A0"/>
    <w:rsid w:val="00DB356F"/>
    <w:rsid w:val="00DB5A3E"/>
    <w:rsid w:val="00DC22AA"/>
    <w:rsid w:val="00DD1361"/>
    <w:rsid w:val="00DD1A20"/>
    <w:rsid w:val="00DD1A99"/>
    <w:rsid w:val="00DE62C6"/>
    <w:rsid w:val="00DF74DD"/>
    <w:rsid w:val="00E01FB9"/>
    <w:rsid w:val="00E079F9"/>
    <w:rsid w:val="00E1216A"/>
    <w:rsid w:val="00E22E11"/>
    <w:rsid w:val="00E25AD0"/>
    <w:rsid w:val="00E313AB"/>
    <w:rsid w:val="00E37F72"/>
    <w:rsid w:val="00E4428F"/>
    <w:rsid w:val="00E4448E"/>
    <w:rsid w:val="00E47427"/>
    <w:rsid w:val="00E53846"/>
    <w:rsid w:val="00E70321"/>
    <w:rsid w:val="00E72650"/>
    <w:rsid w:val="00E75C68"/>
    <w:rsid w:val="00E93668"/>
    <w:rsid w:val="00E95647"/>
    <w:rsid w:val="00EB6350"/>
    <w:rsid w:val="00ED799B"/>
    <w:rsid w:val="00EE29C5"/>
    <w:rsid w:val="00EF3636"/>
    <w:rsid w:val="00F120FA"/>
    <w:rsid w:val="00F14025"/>
    <w:rsid w:val="00F154F1"/>
    <w:rsid w:val="00F15B57"/>
    <w:rsid w:val="00F262EF"/>
    <w:rsid w:val="00F35EF4"/>
    <w:rsid w:val="00F35FF9"/>
    <w:rsid w:val="00F37FE5"/>
    <w:rsid w:val="00F40531"/>
    <w:rsid w:val="00F427DB"/>
    <w:rsid w:val="00F50E75"/>
    <w:rsid w:val="00F6427A"/>
    <w:rsid w:val="00F70E14"/>
    <w:rsid w:val="00F77BEB"/>
    <w:rsid w:val="00F85BD1"/>
    <w:rsid w:val="00F961B8"/>
    <w:rsid w:val="00FA5EB1"/>
    <w:rsid w:val="00FA7439"/>
    <w:rsid w:val="00FB04F2"/>
    <w:rsid w:val="00FB3851"/>
    <w:rsid w:val="00FB4ACD"/>
    <w:rsid w:val="00FB4CEC"/>
    <w:rsid w:val="00FB70EA"/>
    <w:rsid w:val="00FC08C1"/>
    <w:rsid w:val="00FC17BF"/>
    <w:rsid w:val="00FC4EC0"/>
    <w:rsid w:val="00FC6D7D"/>
    <w:rsid w:val="00FE71C5"/>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94475"/>
  <w15:docId w15:val="{8AAF6CED-4810-4442-8584-6EC4D83A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D92A79"/>
    <w:rPr>
      <w:rFonts w:ascii="Calibri" w:hAnsi="Calibri"/>
      <w:b/>
      <w:sz w:val="28"/>
      <w:lang w:val="fr-FR" w:eastAsia="en-US"/>
    </w:rPr>
  </w:style>
  <w:style w:type="character" w:styleId="CommentReference">
    <w:name w:val="annotation reference"/>
    <w:basedOn w:val="DefaultParagraphFont"/>
    <w:uiPriority w:val="99"/>
    <w:semiHidden/>
    <w:unhideWhenUsed/>
    <w:rsid w:val="00D92A79"/>
    <w:rPr>
      <w:sz w:val="16"/>
      <w:szCs w:val="16"/>
    </w:rPr>
  </w:style>
  <w:style w:type="paragraph" w:styleId="CommentText">
    <w:name w:val="annotation text"/>
    <w:basedOn w:val="Normal"/>
    <w:link w:val="CommentTextChar"/>
    <w:uiPriority w:val="99"/>
    <w:unhideWhenUsed/>
    <w:rsid w:val="00D92A79"/>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lang w:val="en-GB"/>
      <w14:ligatures w14:val="standardContextual"/>
    </w:rPr>
  </w:style>
  <w:style w:type="character" w:customStyle="1" w:styleId="CommentTextChar">
    <w:name w:val="Comment Text Char"/>
    <w:basedOn w:val="DefaultParagraphFont"/>
    <w:link w:val="CommentText"/>
    <w:uiPriority w:val="99"/>
    <w:rsid w:val="00D92A79"/>
    <w:rPr>
      <w:rFonts w:asciiTheme="minorHAnsi" w:eastAsiaTheme="minorHAnsi" w:hAnsiTheme="minorHAnsi" w:cstheme="minorBidi"/>
      <w:kern w:val="2"/>
      <w:lang w:val="en-GB" w:eastAsia="en-US"/>
      <w14:ligatures w14:val="standardContextual"/>
    </w:rPr>
  </w:style>
  <w:style w:type="paragraph" w:styleId="CommentSubject">
    <w:name w:val="annotation subject"/>
    <w:basedOn w:val="CommentText"/>
    <w:next w:val="CommentText"/>
    <w:link w:val="CommentSubjectChar"/>
    <w:semiHidden/>
    <w:unhideWhenUsed/>
    <w:rsid w:val="002F2FB3"/>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ascii="Calibri" w:eastAsia="Times New Roman" w:hAnsi="Calibri" w:cs="Times New Roman"/>
      <w:b/>
      <w:bCs/>
      <w:kern w:val="0"/>
      <w:lang w:val="fr-FR"/>
      <w14:ligatures w14:val="none"/>
    </w:rPr>
  </w:style>
  <w:style w:type="character" w:customStyle="1" w:styleId="CommentSubjectChar">
    <w:name w:val="Comment Subject Char"/>
    <w:basedOn w:val="CommentTextChar"/>
    <w:link w:val="CommentSubject"/>
    <w:semiHidden/>
    <w:rsid w:val="002F2FB3"/>
    <w:rPr>
      <w:rFonts w:ascii="Calibri" w:eastAsiaTheme="minorHAnsi" w:hAnsi="Calibri" w:cstheme="minorBidi"/>
      <w:b/>
      <w:bCs/>
      <w:kern w:val="2"/>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C-0071/fr" TargetMode="External"/><Relationship Id="rId21" Type="http://schemas.openxmlformats.org/officeDocument/2006/relationships/hyperlink" Target="https://www.itu.int/md/S26-CL-C-0042/fr" TargetMode="External"/><Relationship Id="rId42" Type="http://schemas.openxmlformats.org/officeDocument/2006/relationships/hyperlink" Target="https://www.itu.int/md/S26-CL-C-0054/en" TargetMode="External"/><Relationship Id="rId63" Type="http://schemas.openxmlformats.org/officeDocument/2006/relationships/hyperlink" Target="https://www.itu.int/md/S26-CL-C-0020/fr" TargetMode="External"/><Relationship Id="rId84" Type="http://schemas.openxmlformats.org/officeDocument/2006/relationships/hyperlink" Target="https://www.itu.int/md/S26-CL-260428-TD-0006/en" TargetMode="External"/><Relationship Id="rId138" Type="http://schemas.openxmlformats.org/officeDocument/2006/relationships/hyperlink" Target="https://www.itu.int/md/S26-CL-C-0092/en" TargetMode="External"/><Relationship Id="rId159" Type="http://schemas.openxmlformats.org/officeDocument/2006/relationships/hyperlink" Target="https://www.itu.int/md/S26-CL-C-0050/en" TargetMode="External"/><Relationship Id="rId170" Type="http://schemas.openxmlformats.org/officeDocument/2006/relationships/hyperlink" Target="https://www.itu.int/md/S26-CL-C-0089/en" TargetMode="External"/><Relationship Id="rId107" Type="http://schemas.openxmlformats.org/officeDocument/2006/relationships/hyperlink" Target="https://www.itu.int/md/S26-CL-C-0105/fr" TargetMode="External"/><Relationship Id="rId11" Type="http://schemas.openxmlformats.org/officeDocument/2006/relationships/hyperlink" Target="https://www.itu.int/md/S26-CL-C-0050/en" TargetMode="External"/><Relationship Id="rId32" Type="http://schemas.openxmlformats.org/officeDocument/2006/relationships/hyperlink" Target="https://www.itu.int/md/S26-CL-C-0042/fr" TargetMode="External"/><Relationship Id="rId53" Type="http://schemas.openxmlformats.org/officeDocument/2006/relationships/hyperlink" Target="https://www.itu.int/md/S26-CL-C-0073/fr" TargetMode="External"/><Relationship Id="rId74" Type="http://schemas.openxmlformats.org/officeDocument/2006/relationships/hyperlink" Target="https://www.itu.int/md/S26-CL-C-0098/fr" TargetMode="External"/><Relationship Id="rId128" Type="http://schemas.openxmlformats.org/officeDocument/2006/relationships/hyperlink" Target="https://www.itu.int/md/S26-CL-C-0039/fr" TargetMode="External"/><Relationship Id="rId149" Type="http://schemas.openxmlformats.org/officeDocument/2006/relationships/hyperlink" Target="https://www.unjiu.org/sites/www.unjiu.org/files/jiu_rep_2025_2.pdf" TargetMode="External"/><Relationship Id="rId5" Type="http://schemas.openxmlformats.org/officeDocument/2006/relationships/webSettings" Target="webSettings.xml"/><Relationship Id="rId95" Type="http://schemas.openxmlformats.org/officeDocument/2006/relationships/hyperlink" Target="https://www.itu.int/md/S26-CL-C-0091/en" TargetMode="External"/><Relationship Id="rId160" Type="http://schemas.openxmlformats.org/officeDocument/2006/relationships/hyperlink" Target="https://www.itu.int/md/S26-CL-C-0066/en" TargetMode="External"/><Relationship Id="rId181" Type="http://schemas.openxmlformats.org/officeDocument/2006/relationships/hyperlink" Target="https://www.itu.int/md/S26-CL-C-0042/fr" TargetMode="External"/><Relationship Id="rId22" Type="http://schemas.openxmlformats.org/officeDocument/2006/relationships/hyperlink" Target="https://www.itu.int/md/S26-CL-C-0034/fr" TargetMode="External"/><Relationship Id="rId43" Type="http://schemas.openxmlformats.org/officeDocument/2006/relationships/hyperlink" Target="https://www.itu.int/md/S26-CL-C-0072/fr" TargetMode="External"/><Relationship Id="rId64" Type="http://schemas.openxmlformats.org/officeDocument/2006/relationships/hyperlink" Target="https://www.itu.int/md/S26-CL-C-0020/fr" TargetMode="External"/><Relationship Id="rId118" Type="http://schemas.openxmlformats.org/officeDocument/2006/relationships/hyperlink" Target="https://www.itu.int/md/S26-CL-C-0071/en" TargetMode="External"/><Relationship Id="rId139" Type="http://schemas.openxmlformats.org/officeDocument/2006/relationships/hyperlink" Target="https://www.itu.int/md/S26-CL-C-0092/en" TargetMode="External"/><Relationship Id="rId85" Type="http://schemas.openxmlformats.org/officeDocument/2006/relationships/hyperlink" Target="https://www.itu.int/md/S26-CL-C-0042/en" TargetMode="External"/><Relationship Id="rId150" Type="http://schemas.openxmlformats.org/officeDocument/2006/relationships/hyperlink" Target="https://www.itu.int/md/S26-CL-C-0057/en" TargetMode="External"/><Relationship Id="rId171" Type="http://schemas.openxmlformats.org/officeDocument/2006/relationships/hyperlink" Target="https://www.itu.int/md/S26-CL-C-0088/fr" TargetMode="External"/><Relationship Id="rId12" Type="http://schemas.openxmlformats.org/officeDocument/2006/relationships/hyperlink" Target="https://www.itu.int/md/S26-CL-C-0050/en" TargetMode="External"/><Relationship Id="rId33" Type="http://schemas.openxmlformats.org/officeDocument/2006/relationships/hyperlink" Target="https://www.itu.int/md/S26-CL-C-0042/en" TargetMode="External"/><Relationship Id="rId108" Type="http://schemas.openxmlformats.org/officeDocument/2006/relationships/hyperlink" Target="https://www.itu.int/md/S26-CL-C-0106/fr" TargetMode="External"/><Relationship Id="rId129" Type="http://schemas.openxmlformats.org/officeDocument/2006/relationships/hyperlink" Target="https://www.itu.int/md/S26-CL-INF-0028/fr" TargetMode="External"/><Relationship Id="rId54" Type="http://schemas.openxmlformats.org/officeDocument/2006/relationships/hyperlink" Target="https://www.itu.int/md/S26-CL-INF-0014/en" TargetMode="External"/><Relationship Id="rId75" Type="http://schemas.openxmlformats.org/officeDocument/2006/relationships/hyperlink" Target="https://www.itu.int/md/S26-CL-C-0090/fr" TargetMode="External"/><Relationship Id="rId96" Type="http://schemas.openxmlformats.org/officeDocument/2006/relationships/hyperlink" Target="https://www.itu.int/md/S26-CL-C-0032/en" TargetMode="External"/><Relationship Id="rId140" Type="http://schemas.openxmlformats.org/officeDocument/2006/relationships/hyperlink" Target="https://www.itu.int/md/S26-CL-C-0036/fr" TargetMode="External"/><Relationship Id="rId161" Type="http://schemas.openxmlformats.org/officeDocument/2006/relationships/hyperlink" Target="https://www.itu.int/md/S26-CL-C-0023/en"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www.itu.int/md/S26-CL-C-0009/fr" TargetMode="External"/><Relationship Id="rId119" Type="http://schemas.openxmlformats.org/officeDocument/2006/relationships/hyperlink" Target="https://www.itu.int/md/S26-CL-C-0014/fr" TargetMode="External"/><Relationship Id="rId44" Type="http://schemas.openxmlformats.org/officeDocument/2006/relationships/hyperlink" Target="https://www.itu.int/md/S26-CL-C-0100/fr" TargetMode="External"/><Relationship Id="rId65" Type="http://schemas.openxmlformats.org/officeDocument/2006/relationships/hyperlink" Target="https://www.itu.int/md/S26-CL-C-0016/en" TargetMode="External"/><Relationship Id="rId86" Type="http://schemas.openxmlformats.org/officeDocument/2006/relationships/hyperlink" Target="https://www.itu.int/md/S26-CL-260428-TD-0006/en" TargetMode="External"/><Relationship Id="rId130" Type="http://schemas.openxmlformats.org/officeDocument/2006/relationships/hyperlink" Target="https://www.itu.int/md/S26-CL-C-0039/fr" TargetMode="External"/><Relationship Id="rId151" Type="http://schemas.openxmlformats.org/officeDocument/2006/relationships/hyperlink" Target="https://www.itu.int/md/S26-CL-C-0049/en" TargetMode="External"/><Relationship Id="rId172" Type="http://schemas.openxmlformats.org/officeDocument/2006/relationships/hyperlink" Target="https://www.itu.int/md/S26-CL-C-0088/en" TargetMode="External"/><Relationship Id="rId13" Type="http://schemas.openxmlformats.org/officeDocument/2006/relationships/hyperlink" Target="https://www.itu.int/md/S26-CL-C-0050/en" TargetMode="External"/><Relationship Id="rId18" Type="http://schemas.openxmlformats.org/officeDocument/2006/relationships/hyperlink" Target="https://www.itu.int/md/S26-CL-C-0053/fr" TargetMode="External"/><Relationship Id="rId39" Type="http://schemas.openxmlformats.org/officeDocument/2006/relationships/hyperlink" Target="https://www.itu.int/md/S10-CL-C-0067/fr" TargetMode="External"/><Relationship Id="rId109" Type="http://schemas.openxmlformats.org/officeDocument/2006/relationships/hyperlink" Target="https://www.itu.int/md/S26-CL-C-0065/fr" TargetMode="External"/><Relationship Id="rId34" Type="http://schemas.openxmlformats.org/officeDocument/2006/relationships/hyperlink" Target="https://www.itu.int/md/S26-CL-C-0043/fr" TargetMode="External"/><Relationship Id="rId50" Type="http://schemas.openxmlformats.org/officeDocument/2006/relationships/hyperlink" Target="https://www.itu.int/md/S26-CL-INF-0014/en" TargetMode="External"/><Relationship Id="rId55" Type="http://schemas.openxmlformats.org/officeDocument/2006/relationships/hyperlink" Target="https://www.itu.int/md/S26-CL-C-0011/fr" TargetMode="External"/><Relationship Id="rId76" Type="http://schemas.openxmlformats.org/officeDocument/2006/relationships/hyperlink" Target="https://www.itu.int/md/S26-CL-C-0084/fr" TargetMode="External"/><Relationship Id="rId97" Type="http://schemas.openxmlformats.org/officeDocument/2006/relationships/hyperlink" Target="https://www.itu.int/md/S26-CL-C-0080/en" TargetMode="External"/><Relationship Id="rId104" Type="http://schemas.openxmlformats.org/officeDocument/2006/relationships/hyperlink" Target="https://www.itu.int/md/S26-CL-C-0063/fr" TargetMode="External"/><Relationship Id="rId120" Type="http://schemas.openxmlformats.org/officeDocument/2006/relationships/hyperlink" Target="https://www.itu.int/md/S26-CL-INF-0027/fr" TargetMode="External"/><Relationship Id="rId125" Type="http://schemas.openxmlformats.org/officeDocument/2006/relationships/hyperlink" Target="https://www.itu.int/md/S26-CL-INF-0023/fr" TargetMode="External"/><Relationship Id="rId141" Type="http://schemas.openxmlformats.org/officeDocument/2006/relationships/hyperlink" Target="https://www.itu.int/md/S26-CL-C-0036/fr" TargetMode="External"/><Relationship Id="rId146" Type="http://schemas.openxmlformats.org/officeDocument/2006/relationships/hyperlink" Target="https://www.unjiu.org/sites/www.unjiu.org/files/jiu_rep_2025_2.pdf" TargetMode="External"/><Relationship Id="rId167" Type="http://schemas.openxmlformats.org/officeDocument/2006/relationships/hyperlink" Target="https://www.itu.int/md/S26-CL-C-0027/fr"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tu.int/md/S26-CL-C-0019/fr" TargetMode="External"/><Relationship Id="rId92" Type="http://schemas.openxmlformats.org/officeDocument/2006/relationships/hyperlink" Target="https://www.itu.int/md/S26-CL-C-0032/en" TargetMode="External"/><Relationship Id="rId162" Type="http://schemas.openxmlformats.org/officeDocument/2006/relationships/hyperlink" Target="https://www.itu.int/md/S26-CL-C-0023/en" TargetMode="External"/><Relationship Id="rId18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itu.int/md/S26-CL-C-0109/en" TargetMode="External"/><Relationship Id="rId24" Type="http://schemas.openxmlformats.org/officeDocument/2006/relationships/hyperlink" Target="https://www.itu.int/md/S26-CL-C-0009/en" TargetMode="External"/><Relationship Id="rId40" Type="http://schemas.openxmlformats.org/officeDocument/2006/relationships/hyperlink" Target="https://www.itu.int/md/S26-CL-C-0054/en" TargetMode="External"/><Relationship Id="rId45" Type="http://schemas.openxmlformats.org/officeDocument/2006/relationships/hyperlink" Target="https://www.itu.int/md/S26-CL-C-0072/fr" TargetMode="External"/><Relationship Id="rId66" Type="http://schemas.openxmlformats.org/officeDocument/2006/relationships/hyperlink" Target="https://www.itu.int/md/S26-CL-C-0107/en" TargetMode="External"/><Relationship Id="rId87" Type="http://schemas.openxmlformats.org/officeDocument/2006/relationships/hyperlink" Target="https://www.itu.int/md/S26-CL-C-0112/fr" TargetMode="External"/><Relationship Id="rId110" Type="http://schemas.openxmlformats.org/officeDocument/2006/relationships/hyperlink" Target="https://www.itu.int/md/S26-CL-C-0105/fr" TargetMode="External"/><Relationship Id="rId115" Type="http://schemas.openxmlformats.org/officeDocument/2006/relationships/hyperlink" Target="https://www.itu.int/md/S26-CL-C-0070/fr" TargetMode="External"/><Relationship Id="rId131" Type="http://schemas.openxmlformats.org/officeDocument/2006/relationships/hyperlink" Target="https://www.itu.int/md/S26-CL-C-0045/fr" TargetMode="External"/><Relationship Id="rId136" Type="http://schemas.openxmlformats.org/officeDocument/2006/relationships/hyperlink" Target="https://www.itu.int/md/S26-CL-C-0022/fr" TargetMode="External"/><Relationship Id="rId157" Type="http://schemas.openxmlformats.org/officeDocument/2006/relationships/hyperlink" Target="https://www.itu.int/md/S26-CL-C-0066/en" TargetMode="External"/><Relationship Id="rId178" Type="http://schemas.openxmlformats.org/officeDocument/2006/relationships/hyperlink" Target="https://www.itu.int/md/S26-CL-C-0011/fr" TargetMode="External"/><Relationship Id="rId61" Type="http://schemas.openxmlformats.org/officeDocument/2006/relationships/hyperlink" Target="https://www.itu.int/md/S26-CL-C-0056/en" TargetMode="External"/><Relationship Id="rId82" Type="http://schemas.openxmlformats.org/officeDocument/2006/relationships/hyperlink" Target="https://www.itu.int/md/S26-CL-C-0034/en" TargetMode="External"/><Relationship Id="rId152" Type="http://schemas.openxmlformats.org/officeDocument/2006/relationships/hyperlink" Target="https://www.itu.int/md/S26-CL-C-0049/en" TargetMode="External"/><Relationship Id="rId173" Type="http://schemas.openxmlformats.org/officeDocument/2006/relationships/hyperlink" Target="https://www.itu.int/md/S26-CL-C-0110/fr" TargetMode="External"/><Relationship Id="rId19" Type="http://schemas.openxmlformats.org/officeDocument/2006/relationships/hyperlink" Target="https://www.itu.int/md/S26-CL-C-0111/fr" TargetMode="External"/><Relationship Id="rId14" Type="http://schemas.openxmlformats.org/officeDocument/2006/relationships/hyperlink" Target="https://www.itu.int/md/S26-CWGFHR22-C-0033/en" TargetMode="External"/><Relationship Id="rId30" Type="http://schemas.openxmlformats.org/officeDocument/2006/relationships/hyperlink" Target="https://www.itu.int/md/S26-CL-C-0103/fr" TargetMode="External"/><Relationship Id="rId35" Type="http://schemas.openxmlformats.org/officeDocument/2006/relationships/hyperlink" Target="https://www.itu.int/md/S26-CL-C-0109/fr" TargetMode="External"/><Relationship Id="rId56" Type="http://schemas.openxmlformats.org/officeDocument/2006/relationships/hyperlink" Target="https://www.itu.int/md/S26-CL-C-0011/fr" TargetMode="External"/><Relationship Id="rId77" Type="http://schemas.openxmlformats.org/officeDocument/2006/relationships/hyperlink" Target="https://www.itu.int/md/S26-CL-C-0096/fr" TargetMode="External"/><Relationship Id="rId100" Type="http://schemas.openxmlformats.org/officeDocument/2006/relationships/hyperlink" Target="https://www.itu.int/md/S26-CL-C-0007/en" TargetMode="External"/><Relationship Id="rId105" Type="http://schemas.openxmlformats.org/officeDocument/2006/relationships/hyperlink" Target="https://www.itu.int/md/S26-CL-C-0063/fr" TargetMode="External"/><Relationship Id="rId126" Type="http://schemas.openxmlformats.org/officeDocument/2006/relationships/hyperlink" Target="https://www.itu.int/md/S26-CL-C-0022/fr" TargetMode="External"/><Relationship Id="rId147" Type="http://schemas.openxmlformats.org/officeDocument/2006/relationships/hyperlink" Target="https://www.unjiu.org/sites/www.unjiu.org/files/jiu_rep_2025_4_english.pdf" TargetMode="External"/><Relationship Id="rId168" Type="http://schemas.openxmlformats.org/officeDocument/2006/relationships/hyperlink" Target="https://www.itu.int/md/S26-CL-C-0027/en" TargetMode="External"/><Relationship Id="rId8" Type="http://schemas.openxmlformats.org/officeDocument/2006/relationships/hyperlink" Target="https://www.itu.int/md/S26-CL-INF-0026/en" TargetMode="External"/><Relationship Id="rId51" Type="http://schemas.openxmlformats.org/officeDocument/2006/relationships/hyperlink" Target="https://www.itu.int/md/S25-SG-CIR-0036/en" TargetMode="External"/><Relationship Id="rId72" Type="http://schemas.openxmlformats.org/officeDocument/2006/relationships/hyperlink" Target="https://www.itu.int/md/S26-CL-C-0084/fr" TargetMode="External"/><Relationship Id="rId93" Type="http://schemas.openxmlformats.org/officeDocument/2006/relationships/hyperlink" Target="https://www.itu.int/md/S26-CL-C-0080/en" TargetMode="External"/><Relationship Id="rId98" Type="http://schemas.openxmlformats.org/officeDocument/2006/relationships/hyperlink" Target="https://www.itu.int/md/S26-CL-C-0081/en" TargetMode="External"/><Relationship Id="rId121" Type="http://schemas.openxmlformats.org/officeDocument/2006/relationships/hyperlink" Target="https://www.itu.int/md/S26-CL-C-0014/fr" TargetMode="External"/><Relationship Id="rId142" Type="http://schemas.openxmlformats.org/officeDocument/2006/relationships/hyperlink" Target="https://www.itu.int/md/S26-CL-C-0057/en" TargetMode="External"/><Relationship Id="rId163" Type="http://schemas.openxmlformats.org/officeDocument/2006/relationships/hyperlink" Target="https://www.itu.int/md/S26-CL-C-0067/fr" TargetMode="External"/><Relationship Id="rId184"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www.itu.int/md/S26-CL-C-0009/en" TargetMode="External"/><Relationship Id="rId46" Type="http://schemas.openxmlformats.org/officeDocument/2006/relationships/hyperlink" Target="https://www.itu.int/md/S26-CL-C-0100/fr" TargetMode="External"/><Relationship Id="rId67" Type="http://schemas.openxmlformats.org/officeDocument/2006/relationships/hyperlink" Target="https://www.itu.int/md/S26-CL-C-0075/en" TargetMode="External"/><Relationship Id="rId116" Type="http://schemas.openxmlformats.org/officeDocument/2006/relationships/hyperlink" Target="https://www.itu.int/md/S26-CL-C-0102/fr" TargetMode="External"/><Relationship Id="rId137" Type="http://schemas.openxmlformats.org/officeDocument/2006/relationships/hyperlink" Target="https://www.itu.int/md/S26-CL-C-0092/en" TargetMode="External"/><Relationship Id="rId158" Type="http://schemas.openxmlformats.org/officeDocument/2006/relationships/hyperlink" Target="https://www.itu.int/md/S26-CL-C-0050/en" TargetMode="External"/><Relationship Id="rId20" Type="http://schemas.openxmlformats.org/officeDocument/2006/relationships/hyperlink" Target="https://www.itu.int/md/S26-CL-C-0034/fr" TargetMode="External"/><Relationship Id="rId41" Type="http://schemas.openxmlformats.org/officeDocument/2006/relationships/hyperlink" Target="https://www.itu.int/md/S26-CL-260428-TD-0005/en" TargetMode="External"/><Relationship Id="rId62" Type="http://schemas.openxmlformats.org/officeDocument/2006/relationships/hyperlink" Target="https://www.itu.int/md/S26-CL-C-0056/fr" TargetMode="External"/><Relationship Id="rId83" Type="http://schemas.openxmlformats.org/officeDocument/2006/relationships/hyperlink" Target="https://www.itu.int/md/S24-CL-C-0031/en" TargetMode="External"/><Relationship Id="rId88" Type="http://schemas.openxmlformats.org/officeDocument/2006/relationships/hyperlink" Target="https://www.itu.int/md/S26-CL-C-0112/en" TargetMode="External"/><Relationship Id="rId111" Type="http://schemas.openxmlformats.org/officeDocument/2006/relationships/hyperlink" Target="https://www.itu.int/md/S26-CL-C-0106/fr" TargetMode="External"/><Relationship Id="rId132" Type="http://schemas.openxmlformats.org/officeDocument/2006/relationships/hyperlink" Target="https://www.itu.int/md/S26-CL-C-0045/fr" TargetMode="External"/><Relationship Id="rId153" Type="http://schemas.openxmlformats.org/officeDocument/2006/relationships/hyperlink" Target="https://www.itu.int/md/S26-CL-INF-0023/fr" TargetMode="External"/><Relationship Id="rId174" Type="http://schemas.openxmlformats.org/officeDocument/2006/relationships/hyperlink" Target="https://www.itu.int/md/S26-CL-C-0089/en" TargetMode="External"/><Relationship Id="rId179" Type="http://schemas.openxmlformats.org/officeDocument/2006/relationships/hyperlink" Target="https://www.itu.int/md/S25-CL-C-0042/fr" TargetMode="External"/><Relationship Id="rId15" Type="http://schemas.openxmlformats.org/officeDocument/2006/relationships/hyperlink" Target="https://www.itu.int/md/S26-CL-C-0050/fr" TargetMode="External"/><Relationship Id="rId36" Type="http://schemas.openxmlformats.org/officeDocument/2006/relationships/hyperlink" Target="https://www.itu.int/md/S26-CL-C-0103/fr" TargetMode="External"/><Relationship Id="rId57" Type="http://schemas.openxmlformats.org/officeDocument/2006/relationships/hyperlink" Target="https://www.itu.int/md/S26-CL-C-0038/fr" TargetMode="External"/><Relationship Id="rId106" Type="http://schemas.openxmlformats.org/officeDocument/2006/relationships/hyperlink" Target="https://www.itu.int/md/S26-CL-C-0065/fr" TargetMode="External"/><Relationship Id="rId127" Type="http://schemas.openxmlformats.org/officeDocument/2006/relationships/hyperlink" Target="https://www.itu.int/md/S26-CL-C-0044/fr" TargetMode="External"/><Relationship Id="rId10" Type="http://schemas.openxmlformats.org/officeDocument/2006/relationships/hyperlink" Target="https://www.itu.int/md/S26-CL-INF-0002/en" TargetMode="External"/><Relationship Id="rId31" Type="http://schemas.openxmlformats.org/officeDocument/2006/relationships/hyperlink" Target="https://www.itu.int/md/S26-CL-C-0103/en" TargetMode="External"/><Relationship Id="rId52" Type="http://schemas.openxmlformats.org/officeDocument/2006/relationships/hyperlink" Target="https://www.itu.int/md/S25-SG-CIR-0036/en" TargetMode="External"/><Relationship Id="rId73" Type="http://schemas.openxmlformats.org/officeDocument/2006/relationships/hyperlink" Target="https://www.itu.int/md/S26-CL-C-0096/fr" TargetMode="External"/><Relationship Id="rId78" Type="http://schemas.openxmlformats.org/officeDocument/2006/relationships/hyperlink" Target="https://www.itu.int/md/S26-CL-C-0098/fr" TargetMode="External"/><Relationship Id="rId94" Type="http://schemas.openxmlformats.org/officeDocument/2006/relationships/hyperlink" Target="https://www.itu.int/md/S26-CL-C-0081/en" TargetMode="External"/><Relationship Id="rId99" Type="http://schemas.openxmlformats.org/officeDocument/2006/relationships/hyperlink" Target="https://www.itu.int/md/S26-CL-C-0091/en" TargetMode="External"/><Relationship Id="rId101" Type="http://schemas.openxmlformats.org/officeDocument/2006/relationships/hyperlink" Target="https://www.itu.int/md/S26-CL-C-0048/en" TargetMode="External"/><Relationship Id="rId122" Type="http://schemas.openxmlformats.org/officeDocument/2006/relationships/hyperlink" Target="https://www.itu.int/md/S26-CL-INF-0027/fr" TargetMode="External"/><Relationship Id="rId143" Type="http://schemas.openxmlformats.org/officeDocument/2006/relationships/hyperlink" Target="https://www.itu.int/md/S26-CL-C-0057/en" TargetMode="External"/><Relationship Id="rId148" Type="http://schemas.openxmlformats.org/officeDocument/2006/relationships/hyperlink" Target="https://www.unjiu.org/sites/www.unjiu.org/files/jiu_rep_2025_3_english.pdf" TargetMode="External"/><Relationship Id="rId164" Type="http://schemas.openxmlformats.org/officeDocument/2006/relationships/hyperlink" Target="https://www.itu.int/md/S26-CL-C-0067/fr" TargetMode="External"/><Relationship Id="rId169" Type="http://schemas.openxmlformats.org/officeDocument/2006/relationships/hyperlink" Target="https://www.itu.int/md/S26-CL-C-0089/fr" TargetMode="External"/><Relationship Id="rId18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tu.int/md/S26-CL-INF-0026/en" TargetMode="External"/><Relationship Id="rId180" Type="http://schemas.openxmlformats.org/officeDocument/2006/relationships/hyperlink" Target="https://www.itu.int/en/council/Pages/Financial-Regulations.aspx" TargetMode="External"/><Relationship Id="rId26" Type="http://schemas.openxmlformats.org/officeDocument/2006/relationships/hyperlink" Target="https://www.itu.int/md/S26-CL-C-0043/fr" TargetMode="External"/><Relationship Id="rId47" Type="http://schemas.openxmlformats.org/officeDocument/2006/relationships/hyperlink" Target="https://www.itu.int/md/S26-CL-C-0073/en" TargetMode="External"/><Relationship Id="rId68" Type="http://schemas.openxmlformats.org/officeDocument/2006/relationships/hyperlink" Target="https://www.itu.int/md/S26-CL-C-0016/en" TargetMode="External"/><Relationship Id="rId89" Type="http://schemas.openxmlformats.org/officeDocument/2006/relationships/hyperlink" Target="https://www.itu.int/md/S26-CL-C-0032/fr" TargetMode="External"/><Relationship Id="rId112" Type="http://schemas.openxmlformats.org/officeDocument/2006/relationships/hyperlink" Target="https://www.itu.int/md/S26-CL-C-0070/en" TargetMode="External"/><Relationship Id="rId133" Type="http://schemas.openxmlformats.org/officeDocument/2006/relationships/hyperlink" Target="https://www.itu.int/md/S26-CL-C-0110/fr" TargetMode="External"/><Relationship Id="rId154" Type="http://schemas.openxmlformats.org/officeDocument/2006/relationships/hyperlink" Target="https://www.itu.int/md/S26-CL-INF-0017/fr" TargetMode="External"/><Relationship Id="rId175" Type="http://schemas.openxmlformats.org/officeDocument/2006/relationships/hyperlink" Target="https://www.itu.int/md/S26-CL-C-0088/en" TargetMode="External"/><Relationship Id="rId16" Type="http://schemas.openxmlformats.org/officeDocument/2006/relationships/hyperlink" Target="https://www.itu.int/md/S26-CL-C-0053/en" TargetMode="External"/><Relationship Id="rId37" Type="http://schemas.openxmlformats.org/officeDocument/2006/relationships/hyperlink" Target="https://www.itu.int/md/S26-CL-C-0047/fr" TargetMode="External"/><Relationship Id="rId58" Type="http://schemas.openxmlformats.org/officeDocument/2006/relationships/hyperlink" Target="https://www.itu.int/md/S26-CL-C-0046/fr" TargetMode="External"/><Relationship Id="rId79" Type="http://schemas.openxmlformats.org/officeDocument/2006/relationships/hyperlink" Target="https://www.itu.int/md/S26-CL-C-0090/fr" TargetMode="External"/><Relationship Id="rId102" Type="http://schemas.openxmlformats.org/officeDocument/2006/relationships/hyperlink" Target="https://www.itu.int/md/S26-CL-C-0007/en" TargetMode="External"/><Relationship Id="rId123" Type="http://schemas.openxmlformats.org/officeDocument/2006/relationships/hyperlink" Target="https://www.itu.int/md/S26-CL-C-0044/fr" TargetMode="External"/><Relationship Id="rId144" Type="http://schemas.openxmlformats.org/officeDocument/2006/relationships/hyperlink" Target="https://www.unjiu.org/sites/www.unjiu.org/files/jiu_rep_2025_4_english.pdf" TargetMode="External"/><Relationship Id="rId90" Type="http://schemas.openxmlformats.org/officeDocument/2006/relationships/hyperlink" Target="https://www.itu.int/md/S26-CL-C-0032/en" TargetMode="External"/><Relationship Id="rId165" Type="http://schemas.openxmlformats.org/officeDocument/2006/relationships/hyperlink" Target="https://www.itu.int/md/S26-CL-C-0062/fr" TargetMode="External"/><Relationship Id="rId186" Type="http://schemas.openxmlformats.org/officeDocument/2006/relationships/footer" Target="footer3.xml"/><Relationship Id="rId27" Type="http://schemas.openxmlformats.org/officeDocument/2006/relationships/hyperlink" Target="https://www.itu.int/md/S26-CL-C-0043/en" TargetMode="External"/><Relationship Id="rId48" Type="http://schemas.openxmlformats.org/officeDocument/2006/relationships/hyperlink" Target="https://www.itu.int/md/S26-CL-INF-0014/en" TargetMode="External"/><Relationship Id="rId69" Type="http://schemas.openxmlformats.org/officeDocument/2006/relationships/hyperlink" Target="https://www.itu.int/md/S26-CL-C-0075/en" TargetMode="External"/><Relationship Id="rId113" Type="http://schemas.openxmlformats.org/officeDocument/2006/relationships/hyperlink" Target="https://www.itu.int/md/S26-CL-C-0102/en" TargetMode="External"/><Relationship Id="rId134" Type="http://schemas.openxmlformats.org/officeDocument/2006/relationships/hyperlink" Target="https://www.itu.int/md/S26-CL-C-0110/fr" TargetMode="External"/><Relationship Id="rId80" Type="http://schemas.openxmlformats.org/officeDocument/2006/relationships/hyperlink" Target="https://www.itu.int/md/S26-CL-C-0042/en" TargetMode="External"/><Relationship Id="rId155" Type="http://schemas.openxmlformats.org/officeDocument/2006/relationships/hyperlink" Target="https://www.itu.int/md/S26-CL-C-0049/fr" TargetMode="External"/><Relationship Id="rId176" Type="http://schemas.openxmlformats.org/officeDocument/2006/relationships/hyperlink" Target="https://www.itu.int/md/S26-CL-C-0054/fr" TargetMode="External"/><Relationship Id="rId17" Type="http://schemas.openxmlformats.org/officeDocument/2006/relationships/hyperlink" Target="https://www.itu.int/md/S26-CL-C-0053/en" TargetMode="External"/><Relationship Id="rId38" Type="http://schemas.openxmlformats.org/officeDocument/2006/relationships/hyperlink" Target="https://www.itu.int/md/S10-CL-C-0067/fr" TargetMode="External"/><Relationship Id="rId59" Type="http://schemas.openxmlformats.org/officeDocument/2006/relationships/hyperlink" Target="https://www.itu.int/md/S25-CL-C-0046/en" TargetMode="External"/><Relationship Id="rId103" Type="http://schemas.openxmlformats.org/officeDocument/2006/relationships/hyperlink" Target="https://www.itu.int/md/S26-CL-C-0048/en" TargetMode="External"/><Relationship Id="rId124" Type="http://schemas.openxmlformats.org/officeDocument/2006/relationships/hyperlink" Target="https://www.itu.int/md/S26-CL-INF-0005/fr" TargetMode="External"/><Relationship Id="rId70" Type="http://schemas.openxmlformats.org/officeDocument/2006/relationships/hyperlink" Target="https://www.itu.int/md/S26-CL-C-0042/en" TargetMode="External"/><Relationship Id="rId91" Type="http://schemas.openxmlformats.org/officeDocument/2006/relationships/hyperlink" Target="https://www.itu.int/md/S26-CL-C-0112/fr" TargetMode="External"/><Relationship Id="rId145" Type="http://schemas.openxmlformats.org/officeDocument/2006/relationships/hyperlink" Target="https://www.unjiu.org/sites/www.unjiu.org/files/jiu_rep_2025_3_english.pdf" TargetMode="External"/><Relationship Id="rId166" Type="http://schemas.openxmlformats.org/officeDocument/2006/relationships/hyperlink" Target="https://www.itu.int/md/S26-CL-C-0062/fr"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www.itu.int/md/S26-CL-C-0109/fr" TargetMode="External"/><Relationship Id="rId49" Type="http://schemas.openxmlformats.org/officeDocument/2006/relationships/hyperlink" Target="https://www.itu.int/md/S26-CL-C-0073/en" TargetMode="External"/><Relationship Id="rId114" Type="http://schemas.openxmlformats.org/officeDocument/2006/relationships/hyperlink" Target="https://www.itu.int/md/S26-CL-INF-0004/en" TargetMode="External"/><Relationship Id="rId60" Type="http://schemas.openxmlformats.org/officeDocument/2006/relationships/hyperlink" Target="https://www.itu.int/md/S26-CL-C-0056/fr" TargetMode="External"/><Relationship Id="rId81" Type="http://schemas.openxmlformats.org/officeDocument/2006/relationships/hyperlink" Target="https://www.itu.int/md/S26-CL-C-0042/en" TargetMode="External"/><Relationship Id="rId135" Type="http://schemas.openxmlformats.org/officeDocument/2006/relationships/hyperlink" Target="https://www.itu.int/md/S26-CL-C-0022/fr" TargetMode="External"/><Relationship Id="rId156" Type="http://schemas.openxmlformats.org/officeDocument/2006/relationships/hyperlink" Target="https://www.itu.int/md/S26-CL-C-0066/en" TargetMode="External"/><Relationship Id="rId177" Type="http://schemas.openxmlformats.org/officeDocument/2006/relationships/hyperlink" Target="https://www.itu.int/md/S26-CL-260428-TD-0005/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4030-B82D-4137-80D6-B9819003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5</TotalTime>
  <Pages>87</Pages>
  <Words>46636</Words>
  <Characters>252772</Characters>
  <Application>Microsoft Office Word</Application>
  <DocSecurity>0</DocSecurity>
  <Lines>3325</Lines>
  <Paragraphs>3888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295520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présidente de la commission permanente de l'administration et de la gestion</dc:title>
  <dc:subject>Conseil 2026 de l'UIT</dc:subject>
  <dc:creator/>
  <cp:keywords>C26; C2026; Council 2026; PP26</cp:keywords>
  <dc:description/>
  <cp:lastModifiedBy>GBS</cp:lastModifiedBy>
  <cp:revision>3</cp:revision>
  <cp:lastPrinted>2000-07-18T08:55:00Z</cp:lastPrinted>
  <dcterms:created xsi:type="dcterms:W3CDTF">2026-05-15T14:39:00Z</dcterms:created>
  <dcterms:modified xsi:type="dcterms:W3CDTF">2026-05-15T14:43:00Z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