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AB514A" w14:paraId="34253879" w14:textId="77777777" w:rsidTr="00954C49">
        <w:trPr>
          <w:cantSplit/>
          <w:trHeight w:val="23"/>
        </w:trPr>
        <w:tc>
          <w:tcPr>
            <w:tcW w:w="3969" w:type="dxa"/>
            <w:vMerge w:val="restart"/>
            <w:tcMar>
              <w:left w:w="0" w:type="dxa"/>
            </w:tcMar>
          </w:tcPr>
          <w:p w14:paraId="43BF4E21" w14:textId="03BB58EC" w:rsidR="00AD3606" w:rsidRPr="00AB514A"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D251F0F" w14:textId="335BD70D" w:rsidR="00AD3606" w:rsidRPr="00AB514A" w:rsidRDefault="00AD3606" w:rsidP="00954C49">
            <w:pPr>
              <w:tabs>
                <w:tab w:val="left" w:pos="851"/>
              </w:tabs>
              <w:spacing w:before="0" w:line="240" w:lineRule="atLeast"/>
              <w:jc w:val="right"/>
              <w:rPr>
                <w:b/>
                <w:lang w:val="en-GB"/>
              </w:rPr>
            </w:pPr>
            <w:r w:rsidRPr="00AB514A">
              <w:rPr>
                <w:b/>
                <w:lang w:val="en-GB"/>
              </w:rPr>
              <w:t>Document C2</w:t>
            </w:r>
            <w:r w:rsidR="00DE532B" w:rsidRPr="00AB514A">
              <w:rPr>
                <w:b/>
                <w:lang w:val="en-GB"/>
              </w:rPr>
              <w:t>6</w:t>
            </w:r>
            <w:r w:rsidRPr="00AB514A">
              <w:rPr>
                <w:b/>
                <w:lang w:val="en-GB"/>
              </w:rPr>
              <w:t>/</w:t>
            </w:r>
            <w:r w:rsidR="00263EC5">
              <w:rPr>
                <w:b/>
                <w:lang w:val="en-GB"/>
              </w:rPr>
              <w:t>116</w:t>
            </w:r>
            <w:r w:rsidRPr="00AB514A">
              <w:rPr>
                <w:b/>
                <w:lang w:val="en-GB"/>
              </w:rPr>
              <w:t>-E</w:t>
            </w:r>
          </w:p>
        </w:tc>
      </w:tr>
      <w:tr w:rsidR="00AD3606" w:rsidRPr="005F7817" w14:paraId="6B82181F" w14:textId="77777777" w:rsidTr="00954C49">
        <w:trPr>
          <w:cantSplit/>
        </w:trPr>
        <w:tc>
          <w:tcPr>
            <w:tcW w:w="3969" w:type="dxa"/>
            <w:vMerge/>
          </w:tcPr>
          <w:p w14:paraId="12F45260" w14:textId="77777777" w:rsidR="00AD3606" w:rsidRPr="00AB514A"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4208ED3D" w14:textId="13D807FD" w:rsidR="00AD3606" w:rsidRPr="00AB514A" w:rsidRDefault="00FC342B" w:rsidP="00954C49">
            <w:pPr>
              <w:tabs>
                <w:tab w:val="left" w:pos="851"/>
              </w:tabs>
              <w:spacing w:before="0"/>
              <w:jc w:val="right"/>
              <w:rPr>
                <w:b/>
                <w:lang w:val="en-GB"/>
              </w:rPr>
            </w:pPr>
            <w:r>
              <w:rPr>
                <w:b/>
                <w:lang w:val="en-GB"/>
              </w:rPr>
              <w:t xml:space="preserve">8 </w:t>
            </w:r>
            <w:r w:rsidR="00D83DA2">
              <w:rPr>
                <w:b/>
                <w:lang w:val="en-GB"/>
              </w:rPr>
              <w:t>May 2026</w:t>
            </w:r>
          </w:p>
        </w:tc>
      </w:tr>
      <w:tr w:rsidR="00AD3606" w:rsidRPr="00AB514A" w14:paraId="382B4197" w14:textId="77777777" w:rsidTr="00954C49">
        <w:trPr>
          <w:cantSplit/>
          <w:trHeight w:val="23"/>
        </w:trPr>
        <w:tc>
          <w:tcPr>
            <w:tcW w:w="3969" w:type="dxa"/>
            <w:vMerge/>
          </w:tcPr>
          <w:p w14:paraId="78E44ABB" w14:textId="77777777" w:rsidR="00AD3606" w:rsidRPr="00AB514A" w:rsidRDefault="00AD3606" w:rsidP="00954C49">
            <w:pPr>
              <w:tabs>
                <w:tab w:val="left" w:pos="851"/>
              </w:tabs>
              <w:spacing w:line="240" w:lineRule="atLeast"/>
              <w:rPr>
                <w:b/>
                <w:lang w:val="en-GB"/>
              </w:rPr>
            </w:pPr>
            <w:bookmarkStart w:id="7" w:name="dorlang" w:colFirst="1" w:colLast="1"/>
            <w:bookmarkEnd w:id="6"/>
          </w:p>
        </w:tc>
        <w:tc>
          <w:tcPr>
            <w:tcW w:w="5245" w:type="dxa"/>
          </w:tcPr>
          <w:p w14:paraId="6913D04E" w14:textId="77777777" w:rsidR="00AD3606" w:rsidRPr="00AB514A" w:rsidRDefault="00AD3606" w:rsidP="00954C49">
            <w:pPr>
              <w:tabs>
                <w:tab w:val="left" w:pos="851"/>
              </w:tabs>
              <w:spacing w:before="0" w:line="240" w:lineRule="atLeast"/>
              <w:jc w:val="right"/>
              <w:rPr>
                <w:b/>
                <w:lang w:val="en-GB"/>
              </w:rPr>
            </w:pPr>
            <w:r w:rsidRPr="00AB514A">
              <w:rPr>
                <w:b/>
                <w:lang w:val="en-GB"/>
              </w:rPr>
              <w:t>Original: English</w:t>
            </w:r>
          </w:p>
        </w:tc>
      </w:tr>
      <w:tr w:rsidR="00472BAD" w:rsidRPr="00AB514A" w14:paraId="115BB136" w14:textId="77777777" w:rsidTr="00954C49">
        <w:trPr>
          <w:cantSplit/>
          <w:trHeight w:val="23"/>
        </w:trPr>
        <w:tc>
          <w:tcPr>
            <w:tcW w:w="3969" w:type="dxa"/>
          </w:tcPr>
          <w:p w14:paraId="6E7FFDFE" w14:textId="77777777" w:rsidR="00472BAD" w:rsidRPr="00AB514A" w:rsidRDefault="00472BAD" w:rsidP="00954C49">
            <w:pPr>
              <w:tabs>
                <w:tab w:val="left" w:pos="851"/>
              </w:tabs>
              <w:spacing w:line="240" w:lineRule="atLeast"/>
              <w:rPr>
                <w:b/>
                <w:lang w:val="en-GB"/>
              </w:rPr>
            </w:pPr>
          </w:p>
        </w:tc>
        <w:tc>
          <w:tcPr>
            <w:tcW w:w="5245" w:type="dxa"/>
          </w:tcPr>
          <w:p w14:paraId="3F3FE5B2" w14:textId="77777777" w:rsidR="00472BAD" w:rsidRPr="00AB514A" w:rsidRDefault="00472BAD" w:rsidP="00954C49">
            <w:pPr>
              <w:tabs>
                <w:tab w:val="left" w:pos="851"/>
              </w:tabs>
              <w:spacing w:before="0" w:line="240" w:lineRule="atLeast"/>
              <w:jc w:val="right"/>
              <w:rPr>
                <w:b/>
                <w:lang w:val="en-GB"/>
              </w:rPr>
            </w:pPr>
          </w:p>
        </w:tc>
      </w:tr>
    </w:tbl>
    <w:p w14:paraId="0164F108" w14:textId="77777777" w:rsidR="00EF6FB6" w:rsidRPr="00AB514A" w:rsidRDefault="00EF6FB6" w:rsidP="00EF6FB6">
      <w:pPr>
        <w:spacing w:before="720"/>
        <w:jc w:val="center"/>
        <w:rPr>
          <w:sz w:val="28"/>
          <w:szCs w:val="28"/>
          <w:lang w:val="en-GB"/>
        </w:rPr>
      </w:pPr>
      <w:bookmarkStart w:id="8" w:name="_Hlk133421428"/>
      <w:bookmarkEnd w:id="2"/>
      <w:bookmarkEnd w:id="7"/>
      <w:r w:rsidRPr="00AB514A">
        <w:rPr>
          <w:sz w:val="28"/>
          <w:szCs w:val="28"/>
          <w:lang w:val="en-GB"/>
        </w:rPr>
        <w:t xml:space="preserve">REPORT BY THE CHAIR OF THE STANDING COMMITTEE </w:t>
      </w:r>
      <w:r w:rsidRPr="00AB514A">
        <w:rPr>
          <w:sz w:val="28"/>
          <w:szCs w:val="28"/>
          <w:lang w:val="en-GB"/>
        </w:rPr>
        <w:br/>
        <w:t>ON ADMINISTRATION AND MANAGEMENT</w:t>
      </w:r>
    </w:p>
    <w:p w14:paraId="187F7D20" w14:textId="7211039F" w:rsidR="00EF6FB6" w:rsidRPr="00AB514A" w:rsidRDefault="00EF6FB6" w:rsidP="00EF6FB6">
      <w:pPr>
        <w:tabs>
          <w:tab w:val="clear" w:pos="567"/>
          <w:tab w:val="clear" w:pos="1134"/>
          <w:tab w:val="clear" w:pos="1701"/>
          <w:tab w:val="clear" w:pos="2268"/>
          <w:tab w:val="clear" w:pos="2835"/>
          <w:tab w:val="left" w:pos="794"/>
          <w:tab w:val="left" w:pos="1191"/>
          <w:tab w:val="left" w:pos="1588"/>
          <w:tab w:val="left" w:pos="1985"/>
        </w:tabs>
        <w:spacing w:before="320"/>
        <w:rPr>
          <w:rFonts w:eastAsia="SimSun"/>
          <w:lang w:val="en-GB" w:eastAsia="zh-CN"/>
        </w:rPr>
      </w:pPr>
      <w:r w:rsidRPr="00AB514A">
        <w:rPr>
          <w:rFonts w:eastAsia="SimSun"/>
          <w:lang w:val="en-GB" w:eastAsia="zh-CN"/>
        </w:rPr>
        <w:t>The Standing Committee on Administrat</w:t>
      </w:r>
      <w:r w:rsidRPr="00162AFD">
        <w:rPr>
          <w:rFonts w:eastAsia="SimSun"/>
          <w:lang w:val="en-GB" w:eastAsia="zh-CN"/>
        </w:rPr>
        <w:t xml:space="preserve">ion and Management held </w:t>
      </w:r>
      <w:r w:rsidR="00FC342B" w:rsidRPr="00162AFD">
        <w:rPr>
          <w:rFonts w:eastAsia="SimSun"/>
          <w:lang w:val="en-GB" w:eastAsia="zh-CN"/>
        </w:rPr>
        <w:t xml:space="preserve">10 </w:t>
      </w:r>
      <w:r w:rsidRPr="00162AFD">
        <w:rPr>
          <w:rFonts w:eastAsia="SimSun"/>
          <w:lang w:val="en-GB" w:eastAsia="zh-CN"/>
        </w:rPr>
        <w:t xml:space="preserve">meetings in which </w:t>
      </w:r>
      <w:r w:rsidR="00A169B2" w:rsidRPr="00162AFD">
        <w:rPr>
          <w:rFonts w:eastAsia="SimSun"/>
          <w:lang w:val="en-GB" w:eastAsia="zh-CN"/>
        </w:rPr>
        <w:t>90</w:t>
      </w:r>
      <w:r w:rsidR="00A169B2" w:rsidRPr="00AB514A">
        <w:rPr>
          <w:rFonts w:eastAsia="SimSun"/>
          <w:lang w:val="en-GB" w:eastAsia="zh-CN"/>
        </w:rPr>
        <w:t> </w:t>
      </w:r>
      <w:r w:rsidRPr="00AB514A">
        <w:rPr>
          <w:rFonts w:eastAsia="SimSun"/>
          <w:lang w:val="en-GB" w:eastAsia="zh-CN"/>
        </w:rPr>
        <w:t xml:space="preserve">documents were reviewed and considered, of which </w:t>
      </w:r>
      <w:r w:rsidR="00894A55">
        <w:rPr>
          <w:rFonts w:eastAsia="SimSun"/>
          <w:lang w:val="en-GB" w:eastAsia="zh-CN"/>
        </w:rPr>
        <w:t>31</w:t>
      </w:r>
      <w:r w:rsidR="00894A55" w:rsidRPr="00AB514A">
        <w:rPr>
          <w:rFonts w:eastAsia="SimSun"/>
          <w:lang w:val="en-GB" w:eastAsia="zh-CN"/>
        </w:rPr>
        <w:t xml:space="preserve"> </w:t>
      </w:r>
      <w:r w:rsidRPr="00AB514A">
        <w:rPr>
          <w:rFonts w:eastAsia="SimSun"/>
          <w:lang w:val="en-GB" w:eastAsia="zh-CN"/>
        </w:rPr>
        <w:t xml:space="preserve">were information (INF) documents, </w:t>
      </w:r>
      <w:r w:rsidR="00E41D68">
        <w:rPr>
          <w:rFonts w:eastAsia="SimSun"/>
          <w:lang w:val="en-GB" w:eastAsia="zh-CN"/>
        </w:rPr>
        <w:t xml:space="preserve">and </w:t>
      </w:r>
      <w:r w:rsidR="00551F63">
        <w:rPr>
          <w:rFonts w:eastAsia="SimSun"/>
          <w:lang w:val="en-GB" w:eastAsia="zh-CN"/>
        </w:rPr>
        <w:t>2</w:t>
      </w:r>
      <w:r w:rsidR="00551F63" w:rsidRPr="00AB514A">
        <w:rPr>
          <w:rFonts w:eastAsia="SimSun"/>
          <w:lang w:val="en-GB" w:eastAsia="zh-CN"/>
        </w:rPr>
        <w:t> </w:t>
      </w:r>
      <w:r w:rsidRPr="00AB514A">
        <w:rPr>
          <w:rFonts w:eastAsia="SimSun"/>
          <w:lang w:val="en-GB" w:eastAsia="zh-CN"/>
        </w:rPr>
        <w:t xml:space="preserve">were temporary (DT) documents. The committee is recommending that the ITU Council adopt </w:t>
      </w:r>
      <w:r w:rsidR="00162AFD">
        <w:rPr>
          <w:rFonts w:eastAsia="SimSun"/>
          <w:lang w:val="en-GB" w:eastAsia="zh-CN"/>
        </w:rPr>
        <w:t>3</w:t>
      </w:r>
      <w:r w:rsidR="00162AFD" w:rsidRPr="00AB514A">
        <w:rPr>
          <w:rFonts w:eastAsia="SimSun"/>
          <w:lang w:val="en-GB" w:eastAsia="zh-CN"/>
        </w:rPr>
        <w:t> </w:t>
      </w:r>
      <w:r w:rsidRPr="00AB514A">
        <w:rPr>
          <w:rFonts w:eastAsia="SimSun"/>
          <w:lang w:val="en-GB" w:eastAsia="zh-CN"/>
        </w:rPr>
        <w:t xml:space="preserve">resolutions and </w:t>
      </w:r>
      <w:r w:rsidR="00162AFD">
        <w:rPr>
          <w:rFonts w:eastAsia="SimSun"/>
          <w:lang w:val="en-GB" w:eastAsia="zh-CN"/>
        </w:rPr>
        <w:t>2</w:t>
      </w:r>
      <w:r w:rsidR="00162AFD" w:rsidRPr="00AB514A">
        <w:rPr>
          <w:rFonts w:eastAsia="SimSun"/>
          <w:lang w:val="en-GB" w:eastAsia="zh-CN"/>
        </w:rPr>
        <w:t> </w:t>
      </w:r>
      <w:r w:rsidRPr="00AB514A">
        <w:rPr>
          <w:rFonts w:eastAsia="SimSun"/>
          <w:lang w:val="en-GB" w:eastAsia="zh-CN"/>
        </w:rPr>
        <w:t>decisions annexed to this report.</w:t>
      </w:r>
    </w:p>
    <w:p w14:paraId="3CEA1AD2" w14:textId="6D85450C" w:rsidR="00EF6FB6" w:rsidRPr="00AB514A" w:rsidRDefault="003B1E00" w:rsidP="00B651D0">
      <w:pPr>
        <w:pStyle w:val="Heading1"/>
        <w:rPr>
          <w:lang w:val="en-GB"/>
        </w:rPr>
      </w:pPr>
      <w:r w:rsidRPr="00AB514A">
        <w:rPr>
          <w:lang w:val="en-GB"/>
        </w:rPr>
        <w:t>1</w:t>
      </w:r>
      <w:r w:rsidR="00B651D0" w:rsidRPr="00AB514A">
        <w:rPr>
          <w:lang w:val="en-GB"/>
        </w:rPr>
        <w:tab/>
      </w:r>
      <w:r w:rsidR="00EF6FB6" w:rsidRPr="00AB514A">
        <w:rPr>
          <w:lang w:val="en-GB"/>
        </w:rPr>
        <w:t>Statement by the Staff Council</w:t>
      </w:r>
      <w:r w:rsidR="00B651D0" w:rsidRPr="00AB514A">
        <w:rPr>
          <w:lang w:val="en-GB"/>
        </w:rPr>
        <w:t xml:space="preserve"> (Document </w:t>
      </w:r>
      <w:hyperlink r:id="rId11" w:history="1">
        <w:r w:rsidR="00B15E59" w:rsidRPr="00AC31AD">
          <w:rPr>
            <w:rStyle w:val="Hyperlink"/>
            <w:rFonts w:cs="Times New Roman"/>
            <w:szCs w:val="20"/>
            <w:lang w:val="en-GB"/>
          </w:rPr>
          <w:t>C26/INF/26</w:t>
        </w:r>
      </w:hyperlink>
      <w:r w:rsidR="00B651D0" w:rsidRPr="00AB514A">
        <w:rPr>
          <w:lang w:val="en-GB"/>
        </w:rPr>
        <w:t>)</w:t>
      </w:r>
    </w:p>
    <w:p w14:paraId="46F9C9D8" w14:textId="77777777" w:rsidR="00324B51" w:rsidRPr="00AB514A" w:rsidRDefault="00324B51" w:rsidP="00324B51">
      <w:pPr>
        <w:rPr>
          <w:rFonts w:eastAsia="Calibri" w:cs="Calibri"/>
          <w:lang w:val="en-GB"/>
        </w:rPr>
      </w:pPr>
      <w:r w:rsidRPr="00AB514A">
        <w:rPr>
          <w:lang w:val="en-GB"/>
        </w:rPr>
        <w:t>1.1</w:t>
      </w:r>
      <w:r w:rsidRPr="00AB514A">
        <w:rPr>
          <w:lang w:val="en-GB"/>
        </w:rPr>
        <w:tab/>
      </w:r>
      <w:r w:rsidRPr="00AB514A">
        <w:rPr>
          <w:rFonts w:eastAsia="Calibri" w:cs="Calibri"/>
          <w:lang w:val="en-GB"/>
        </w:rPr>
        <w:t xml:space="preserve">In accordance with Resolution 51 (Rev. Minneapolis, 1998) of the Plenipotentiary Conference, Mr Onder Cetinkaya, President of the ITU Staff Council, made a statement, the text of which is available in Document </w:t>
      </w:r>
      <w:r w:rsidRPr="00AB514A">
        <w:rPr>
          <w:rFonts w:eastAsia="Calibri" w:cstheme="minorBidi"/>
          <w:szCs w:val="22"/>
          <w:lang w:val="en-GB"/>
        </w:rPr>
        <w:t>C26/INF/26</w:t>
      </w:r>
      <w:r w:rsidRPr="00AB514A">
        <w:rPr>
          <w:rFonts w:eastAsia="Calibri" w:cs="Calibri"/>
          <w:lang w:val="en-GB"/>
        </w:rPr>
        <w:t>.</w:t>
      </w:r>
    </w:p>
    <w:p w14:paraId="77C14D31" w14:textId="3F8F62CD" w:rsidR="00324B51" w:rsidRPr="00AB514A" w:rsidRDefault="00324B51" w:rsidP="00324B51">
      <w:pPr>
        <w:rPr>
          <w:rFonts w:eastAsia="Calibri" w:cs="Calibri"/>
          <w:lang w:val="en-GB"/>
        </w:rPr>
      </w:pPr>
      <w:r w:rsidRPr="00AB514A">
        <w:rPr>
          <w:rFonts w:eastAsia="Calibri" w:cs="Calibri"/>
          <w:szCs w:val="24"/>
          <w:lang w:val="en-GB"/>
        </w:rPr>
        <w:t>1.2</w:t>
      </w:r>
      <w:r w:rsidRPr="00AB514A">
        <w:rPr>
          <w:lang w:val="en-GB"/>
        </w:rPr>
        <w:tab/>
        <w:t xml:space="preserve">The Secretary-General expressed her appreciation for the Staff Council’s continued constructive engagement with ITU management and Member States, and its open and candid approach to working together to strengthen the Union. </w:t>
      </w:r>
      <w:r w:rsidR="00CB7546">
        <w:rPr>
          <w:rFonts w:eastAsia="Calibri" w:cs="Calibri"/>
          <w:lang w:val="en-GB"/>
        </w:rPr>
        <w:t>The</w:t>
      </w:r>
      <w:r w:rsidR="00CB7546" w:rsidRPr="00AB514A">
        <w:rPr>
          <w:rFonts w:eastAsia="Calibri" w:cs="Calibri"/>
          <w:lang w:val="en-GB"/>
        </w:rPr>
        <w:t xml:space="preserve"> </w:t>
      </w:r>
      <w:r w:rsidRPr="00AB514A">
        <w:rPr>
          <w:rFonts w:eastAsia="Calibri" w:cs="Calibri"/>
          <w:lang w:val="en-GB"/>
        </w:rPr>
        <w:t xml:space="preserve">staff was </w:t>
      </w:r>
      <w:r w:rsidR="00CB7546">
        <w:rPr>
          <w:rFonts w:eastAsia="Calibri" w:cs="Calibri"/>
          <w:lang w:val="en-GB"/>
        </w:rPr>
        <w:t>ITU’</w:t>
      </w:r>
      <w:r w:rsidR="00CB7546" w:rsidRPr="00AB514A">
        <w:rPr>
          <w:rFonts w:eastAsia="Calibri" w:cs="Calibri"/>
          <w:lang w:val="en-GB"/>
        </w:rPr>
        <w:t xml:space="preserve">s </w:t>
      </w:r>
      <w:r w:rsidRPr="00AB514A">
        <w:rPr>
          <w:rFonts w:eastAsia="Calibri" w:cs="Calibri"/>
          <w:lang w:val="en-GB"/>
        </w:rPr>
        <w:t>greatest asset, especially at times when demands on the Union were high. Staff well-being and engagement remained a top priority for ITU management; measures were ongoing to bolster staff mental health and well-being and develop a supportive, transparent and empowering organizational culture.</w:t>
      </w:r>
    </w:p>
    <w:p w14:paraId="4DBB35F4" w14:textId="5E97AD2E" w:rsidR="00324B51" w:rsidRPr="00AB514A" w:rsidRDefault="00324B51" w:rsidP="00324B51">
      <w:pPr>
        <w:rPr>
          <w:rFonts w:eastAsia="Calibri"/>
          <w:lang w:val="en-GB"/>
        </w:rPr>
      </w:pPr>
      <w:r w:rsidRPr="00AB514A">
        <w:rPr>
          <w:rFonts w:eastAsia="Calibri"/>
          <w:lang w:val="en-GB"/>
        </w:rPr>
        <w:t>1.3</w:t>
      </w:r>
      <w:r w:rsidRPr="00AB514A">
        <w:rPr>
          <w:rFonts w:eastAsia="Calibri"/>
          <w:lang w:val="en-GB"/>
        </w:rPr>
        <w:tab/>
        <w:t xml:space="preserve">Councillors welcomed the statement by the President of the Staff Council and acknowledged the key role of staff in organizational reform, overcoming challenges and meeting the expectations of Member States. One councillor suggested that progress made in the implementation of the initiatives undertaken in response to the Employee Engagement Survey should be listed on the ITU digital dashboard for staff and Member States, to enable ongoing monitoring. Another posed </w:t>
      </w:r>
      <w:proofErr w:type="gramStart"/>
      <w:r w:rsidRPr="00AB514A">
        <w:rPr>
          <w:rFonts w:eastAsia="Calibri"/>
          <w:lang w:val="en-GB"/>
        </w:rPr>
        <w:t>questions</w:t>
      </w:r>
      <w:proofErr w:type="gramEnd"/>
      <w:r w:rsidRPr="00AB514A">
        <w:rPr>
          <w:rFonts w:eastAsia="Calibri"/>
          <w:lang w:val="en-GB"/>
        </w:rPr>
        <w:t xml:space="preserve"> regarding whether the Staff Council was involved in the internal justice system, whether the Staff Council was adequately resourced, and whether there were any internal regulations to protect staff representatives against discrimination and prejudicial treatment.</w:t>
      </w:r>
    </w:p>
    <w:p w14:paraId="2211B3E0" w14:textId="4E44C923" w:rsidR="00324B51" w:rsidRPr="00AB514A" w:rsidRDefault="00324B51" w:rsidP="00324B51">
      <w:pPr>
        <w:rPr>
          <w:rFonts w:eastAsia="Calibri" w:cs="Calibri"/>
          <w:lang w:val="en-GB"/>
        </w:rPr>
      </w:pPr>
      <w:r w:rsidRPr="00AB514A">
        <w:rPr>
          <w:rFonts w:eastAsia="Calibri" w:cs="Calibri"/>
          <w:lang w:val="en-GB"/>
        </w:rPr>
        <w:t>1.4</w:t>
      </w:r>
      <w:r w:rsidRPr="001638F3">
        <w:rPr>
          <w:rFonts w:eastAsia="Calibri"/>
          <w:lang w:val="en-GB"/>
        </w:rPr>
        <w:tab/>
      </w:r>
      <w:r w:rsidRPr="00AB514A">
        <w:rPr>
          <w:rFonts w:eastAsia="Calibri" w:cs="Calibri"/>
          <w:lang w:val="en-GB"/>
        </w:rPr>
        <w:t>The President of the ITU Staff Council</w:t>
      </w:r>
      <w:r w:rsidR="003F7231">
        <w:rPr>
          <w:rFonts w:eastAsia="Calibri" w:cs="Calibri"/>
          <w:lang w:val="en-GB"/>
        </w:rPr>
        <w:t>, responding to comments from</w:t>
      </w:r>
      <w:r w:rsidRPr="00AB514A">
        <w:rPr>
          <w:rFonts w:eastAsia="Calibri" w:cs="Calibri"/>
          <w:b/>
          <w:bCs/>
          <w:lang w:val="en-GB"/>
        </w:rPr>
        <w:t xml:space="preserve"> </w:t>
      </w:r>
      <w:r w:rsidRPr="00AB514A">
        <w:rPr>
          <w:rFonts w:eastAsia="Calibri" w:cs="Calibri"/>
          <w:lang w:val="en-GB"/>
        </w:rPr>
        <w:t>Councillors</w:t>
      </w:r>
      <w:r w:rsidR="003F7231">
        <w:rPr>
          <w:rFonts w:eastAsia="Calibri" w:cs="Calibri"/>
          <w:lang w:val="en-GB"/>
        </w:rPr>
        <w:t>,</w:t>
      </w:r>
      <w:r w:rsidRPr="00AB514A">
        <w:rPr>
          <w:rFonts w:eastAsia="Calibri" w:cs="Calibri"/>
          <w:lang w:val="en-GB"/>
        </w:rPr>
        <w:t xml:space="preserve"> said that the Staff Council had contributed to reviews of service orders on the internal justice system over the years, and many of its views had been </w:t>
      </w:r>
      <w:proofErr w:type="gramStart"/>
      <w:r w:rsidRPr="00AB514A">
        <w:rPr>
          <w:rFonts w:eastAsia="Calibri" w:cs="Calibri"/>
          <w:lang w:val="en-GB"/>
        </w:rPr>
        <w:t>taken into account</w:t>
      </w:r>
      <w:proofErr w:type="gramEnd"/>
      <w:r w:rsidRPr="00AB514A">
        <w:rPr>
          <w:rFonts w:eastAsia="Calibri" w:cs="Calibri"/>
          <w:lang w:val="en-GB"/>
        </w:rPr>
        <w:t xml:space="preserve">. The rise in investigation numbers might be attributable to the recent establishment of the oversight function. The Staff Council had a clear position on conflict resolution; when it received communications from individual staff members seeking advice, it made sure to direct them to the appropriate channels. The establishment of the Ombudsman function was particularly </w:t>
      </w:r>
      <w:r w:rsidRPr="00AB514A">
        <w:rPr>
          <w:rFonts w:eastAsia="Calibri" w:cs="Calibri"/>
          <w:lang w:val="en-GB"/>
        </w:rPr>
        <w:lastRenderedPageBreak/>
        <w:t>significant. Challenges faced by staff in the field were multiple and multifaceted. The 2</w:t>
      </w:r>
      <w:r w:rsidR="449A70F2" w:rsidRPr="078318D3">
        <w:rPr>
          <w:rFonts w:eastAsia="Calibri" w:cs="Calibri"/>
          <w:lang w:val="en-GB"/>
        </w:rPr>
        <w:t>0</w:t>
      </w:r>
      <w:r w:rsidRPr="00AB514A">
        <w:rPr>
          <w:rFonts w:eastAsia="Calibri" w:cs="Calibri"/>
          <w:lang w:val="en-GB"/>
        </w:rPr>
        <w:t xml:space="preserve"> members of the Staff Council, from across the Union, strove to leverage the knowledge and experience of staff of all grades across all duty stations to ensure that the Staff Council was truly representative of all. Lastly, availability of resources was crucial; decisions taken throughout the international system, in particular by the </w:t>
      </w:r>
      <w:r w:rsidR="00F66458">
        <w:rPr>
          <w:rFonts w:eastAsia="Calibri" w:cs="Calibri"/>
          <w:lang w:val="en-GB"/>
        </w:rPr>
        <w:t xml:space="preserve">United Nations </w:t>
      </w:r>
      <w:r w:rsidRPr="00AB514A">
        <w:rPr>
          <w:rFonts w:eastAsia="Calibri" w:cs="Calibri"/>
          <w:lang w:val="en-GB"/>
        </w:rPr>
        <w:t>General Assembly</w:t>
      </w:r>
      <w:r w:rsidR="00F66458">
        <w:rPr>
          <w:rFonts w:eastAsia="Calibri" w:cs="Calibri"/>
          <w:lang w:val="en-GB"/>
        </w:rPr>
        <w:t xml:space="preserve"> (UNGA)</w:t>
      </w:r>
      <w:r w:rsidRPr="00AB514A">
        <w:rPr>
          <w:rFonts w:eastAsia="Calibri" w:cs="Calibri"/>
          <w:lang w:val="en-GB"/>
        </w:rPr>
        <w:t xml:space="preserve">, had a direct impact on ITU staff. In-kind support to the Staff Council had </w:t>
      </w:r>
      <w:r w:rsidR="52EB6BD4" w:rsidRPr="078318D3">
        <w:rPr>
          <w:rFonts w:eastAsia="Calibri" w:cs="Calibri"/>
          <w:lang w:val="en-GB"/>
        </w:rPr>
        <w:t>been in place</w:t>
      </w:r>
      <w:r w:rsidRPr="00AB514A">
        <w:rPr>
          <w:rFonts w:eastAsia="Calibri" w:cs="Calibri"/>
          <w:lang w:val="en-GB"/>
        </w:rPr>
        <w:t>, but funding was still needed. The Secretary-General had agreed to a budget allocation to increase the activities of the Staff Council, which was forthcoming.</w:t>
      </w:r>
    </w:p>
    <w:p w14:paraId="1C2E50E0" w14:textId="1E7AE24A" w:rsidR="00324B51" w:rsidRPr="00AB514A" w:rsidRDefault="00324B51" w:rsidP="00324B51">
      <w:pPr>
        <w:rPr>
          <w:rFonts w:eastAsia="Calibri" w:cs="Calibri"/>
          <w:lang w:val="en-GB"/>
        </w:rPr>
      </w:pPr>
      <w:r w:rsidRPr="00AB514A">
        <w:rPr>
          <w:rFonts w:eastAsia="Calibri" w:cs="Calibri"/>
          <w:lang w:val="en-GB"/>
        </w:rPr>
        <w:t>1.5</w:t>
      </w:r>
      <w:r w:rsidRPr="00AB514A">
        <w:rPr>
          <w:rFonts w:eastAsia="Calibri" w:cs="Calibri"/>
          <w:lang w:val="en-GB"/>
        </w:rPr>
        <w:tab/>
        <w:t xml:space="preserve">The Secretary-General added that results of and follow-up to the Employee Engagement Survey were presented in </w:t>
      </w:r>
      <w:r w:rsidR="00567976" w:rsidRPr="00AB514A">
        <w:rPr>
          <w:rFonts w:eastAsia="Calibri" w:cs="Calibri"/>
          <w:lang w:val="en-GB"/>
        </w:rPr>
        <w:t xml:space="preserve">Document </w:t>
      </w:r>
      <w:hyperlink r:id="rId12" w:history="1">
        <w:r w:rsidRPr="003846DD">
          <w:rPr>
            <w:rStyle w:val="Hyperlink"/>
            <w:rFonts w:eastAsia="Calibri" w:cs="Calibri"/>
            <w:szCs w:val="20"/>
            <w:lang w:val="en-GB"/>
          </w:rPr>
          <w:t>C26/INF/2</w:t>
        </w:r>
      </w:hyperlink>
      <w:r w:rsidRPr="00AB514A">
        <w:rPr>
          <w:rFonts w:eastAsia="Calibri" w:cs="Calibri"/>
          <w:lang w:val="en-GB"/>
        </w:rPr>
        <w:t xml:space="preserve">. The Staff Council had been included in the </w:t>
      </w:r>
      <w:r w:rsidR="00A154CF" w:rsidRPr="00AB514A">
        <w:rPr>
          <w:rFonts w:eastAsia="Calibri" w:cs="Calibri"/>
          <w:lang w:val="en-GB"/>
        </w:rPr>
        <w:t xml:space="preserve">recruitment </w:t>
      </w:r>
      <w:r w:rsidRPr="00AB514A">
        <w:rPr>
          <w:rFonts w:eastAsia="Calibri" w:cs="Calibri"/>
          <w:lang w:val="en-GB"/>
        </w:rPr>
        <w:t xml:space="preserve">process for the new Ombudsman. The </w:t>
      </w:r>
      <w:proofErr w:type="spellStart"/>
      <w:r w:rsidR="00535898">
        <w:rPr>
          <w:rFonts w:eastAsia="Calibri" w:cs="Calibri"/>
          <w:lang w:val="en-GB"/>
        </w:rPr>
        <w:t>ToR</w:t>
      </w:r>
      <w:proofErr w:type="spellEnd"/>
      <w:r w:rsidRPr="00AB514A">
        <w:rPr>
          <w:rFonts w:eastAsia="Calibri" w:cs="Calibri"/>
          <w:lang w:val="en-GB"/>
        </w:rPr>
        <w:t xml:space="preserve"> </w:t>
      </w:r>
      <w:r w:rsidR="00A154CF">
        <w:rPr>
          <w:rFonts w:eastAsia="Calibri" w:cs="Calibri"/>
          <w:lang w:val="en-GB"/>
        </w:rPr>
        <w:t>had been</w:t>
      </w:r>
      <w:r w:rsidR="00A154CF" w:rsidRPr="00AB514A">
        <w:rPr>
          <w:rFonts w:eastAsia="Calibri" w:cs="Calibri"/>
          <w:lang w:val="en-GB"/>
        </w:rPr>
        <w:t xml:space="preserve"> </w:t>
      </w:r>
      <w:r w:rsidRPr="00AB514A">
        <w:rPr>
          <w:rFonts w:eastAsia="Calibri" w:cs="Calibri"/>
          <w:lang w:val="en-GB"/>
        </w:rPr>
        <w:t>modelled on th</w:t>
      </w:r>
      <w:r w:rsidR="00535898">
        <w:rPr>
          <w:rFonts w:eastAsia="Calibri" w:cs="Calibri"/>
          <w:lang w:val="en-GB"/>
        </w:rPr>
        <w:t>ose</w:t>
      </w:r>
      <w:r w:rsidRPr="00AB514A">
        <w:rPr>
          <w:rFonts w:eastAsia="Calibri" w:cs="Calibri"/>
          <w:lang w:val="en-GB"/>
        </w:rPr>
        <w:t xml:space="preserve"> for the Office of the United Nations Ombudsman and Mediation Services.</w:t>
      </w:r>
    </w:p>
    <w:p w14:paraId="37E15334" w14:textId="77777777" w:rsidR="00324B51" w:rsidRPr="00AB514A" w:rsidRDefault="00324B51" w:rsidP="00324B51">
      <w:pPr>
        <w:rPr>
          <w:rFonts w:eastAsia="Calibri" w:cs="Calibri"/>
          <w:lang w:val="en-GB"/>
        </w:rPr>
      </w:pPr>
      <w:r w:rsidRPr="00AB514A">
        <w:rPr>
          <w:rFonts w:eastAsia="Calibri" w:cs="Calibri"/>
          <w:lang w:val="en-GB"/>
        </w:rPr>
        <w:t>1.6</w:t>
      </w:r>
      <w:r w:rsidRPr="00AB514A">
        <w:rPr>
          <w:rFonts w:eastAsia="Calibri" w:cs="Calibri"/>
          <w:lang w:val="en-GB"/>
        </w:rPr>
        <w:tab/>
        <w:t xml:space="preserve">The Ombudsman introduced herself and said that she had taken up her role in January 2026, in line with Service Order No.25/18, and, pursuant to the </w:t>
      </w:r>
      <w:proofErr w:type="spellStart"/>
      <w:r w:rsidRPr="00AB514A">
        <w:rPr>
          <w:rFonts w:eastAsia="Calibri" w:cs="Calibri"/>
          <w:lang w:val="en-GB"/>
        </w:rPr>
        <w:t>ToR</w:t>
      </w:r>
      <w:proofErr w:type="spellEnd"/>
      <w:r w:rsidRPr="00AB514A">
        <w:rPr>
          <w:rFonts w:eastAsia="Calibri" w:cs="Calibri"/>
          <w:lang w:val="en-GB"/>
        </w:rPr>
        <w:t xml:space="preserve"> was tasked with providing independent, confidential, neutral and accessible conflict resolution services to staff. She engaged with staff and other ITU stakeholders to promote a harmonious workplace.</w:t>
      </w:r>
    </w:p>
    <w:p w14:paraId="034BAD3B" w14:textId="6C4C8959" w:rsidR="00B651D0" w:rsidRPr="00AB514A" w:rsidRDefault="00324B51" w:rsidP="001F747E">
      <w:pPr>
        <w:rPr>
          <w:rFonts w:eastAsia="Calibri" w:cs="Calibri"/>
          <w:lang w:val="en-GB"/>
        </w:rPr>
      </w:pPr>
      <w:r w:rsidRPr="00AB514A">
        <w:rPr>
          <w:rFonts w:eastAsia="Calibri" w:cs="Calibri"/>
          <w:lang w:val="en-GB"/>
        </w:rPr>
        <w:t>1.7</w:t>
      </w:r>
      <w:r w:rsidRPr="00AB514A">
        <w:rPr>
          <w:rFonts w:eastAsia="Calibri" w:cs="Calibri"/>
          <w:lang w:val="en-GB"/>
        </w:rPr>
        <w:tab/>
        <w:t xml:space="preserve">The </w:t>
      </w:r>
      <w:r w:rsidR="00E4093A">
        <w:rPr>
          <w:rFonts w:eastAsia="Calibri" w:cs="Calibri"/>
          <w:lang w:val="en-GB"/>
        </w:rPr>
        <w:t>committee</w:t>
      </w:r>
      <w:r w:rsidR="00E4093A" w:rsidRPr="00AB514A">
        <w:rPr>
          <w:rFonts w:eastAsia="Calibri" w:cs="Calibri"/>
          <w:lang w:val="en-GB"/>
        </w:rPr>
        <w:t xml:space="preserve"> </w:t>
      </w:r>
      <w:r w:rsidRPr="002B7D0E">
        <w:rPr>
          <w:rFonts w:eastAsia="Calibri" w:cs="Calibri"/>
          <w:b/>
          <w:bCs/>
          <w:lang w:val="en-GB"/>
        </w:rPr>
        <w:t>took note</w:t>
      </w:r>
      <w:r w:rsidRPr="00AB514A">
        <w:rPr>
          <w:rFonts w:eastAsia="Calibri" w:cs="Calibri"/>
          <w:lang w:val="en-GB"/>
        </w:rPr>
        <w:t xml:space="preserve"> of the statement by the President of the Staff Council.</w:t>
      </w:r>
    </w:p>
    <w:p w14:paraId="59AB3FEB" w14:textId="0131C466" w:rsidR="00B651D0" w:rsidRPr="00AB514A" w:rsidRDefault="000D1FFB" w:rsidP="00B651D0">
      <w:pPr>
        <w:pStyle w:val="Heading1"/>
        <w:rPr>
          <w:szCs w:val="28"/>
          <w:lang w:val="en-GB"/>
        </w:rPr>
      </w:pPr>
      <w:r w:rsidRPr="00AB514A">
        <w:rPr>
          <w:lang w:val="en-GB"/>
        </w:rPr>
        <w:t>2</w:t>
      </w:r>
      <w:r w:rsidR="00B651D0" w:rsidRPr="00AB514A">
        <w:rPr>
          <w:lang w:val="en-GB"/>
        </w:rPr>
        <w:tab/>
        <w:t xml:space="preserve">Report by the Chair of the Council Working Group on Financial and Human Resources (Document </w:t>
      </w:r>
      <w:r w:rsidR="00EF6FB6" w:rsidRPr="00C44A2E">
        <w:rPr>
          <w:rFonts w:cs="Calibri"/>
          <w:szCs w:val="28"/>
          <w:lang w:val="en-GB"/>
        </w:rPr>
        <w:t>C26/50</w:t>
      </w:r>
      <w:r w:rsidR="00317586" w:rsidRPr="00C44A2E">
        <w:rPr>
          <w:lang w:val="en-GB"/>
        </w:rPr>
        <w:t xml:space="preserve"> </w:t>
      </w:r>
      <w:r w:rsidR="00317586">
        <w:rPr>
          <w:lang w:val="en-GB"/>
        </w:rPr>
        <w:t xml:space="preserve">and </w:t>
      </w:r>
      <w:hyperlink r:id="rId13" w:history="1">
        <w:r w:rsidR="00317586" w:rsidRPr="00C44A2E">
          <w:rPr>
            <w:rStyle w:val="Hyperlink"/>
            <w:rFonts w:cs="Times New Roman"/>
            <w:szCs w:val="20"/>
            <w:lang w:val="en-GB"/>
          </w:rPr>
          <w:t>C26/50</w:t>
        </w:r>
        <w:r w:rsidR="00F636B3" w:rsidRPr="00C44A2E">
          <w:rPr>
            <w:rStyle w:val="Hyperlink"/>
            <w:rFonts w:cs="Times New Roman"/>
            <w:szCs w:val="20"/>
            <w:lang w:val="en-GB"/>
          </w:rPr>
          <w:t>(</w:t>
        </w:r>
        <w:r w:rsidR="00317586" w:rsidRPr="00C44A2E">
          <w:rPr>
            <w:rStyle w:val="Hyperlink"/>
            <w:rFonts w:cs="Times New Roman"/>
            <w:szCs w:val="20"/>
            <w:lang w:val="en-GB"/>
          </w:rPr>
          <w:t>Rev.1</w:t>
        </w:r>
        <w:r w:rsidR="00F636B3" w:rsidRPr="00C44A2E">
          <w:rPr>
            <w:rStyle w:val="Hyperlink"/>
            <w:rFonts w:cs="Times New Roman"/>
            <w:szCs w:val="20"/>
            <w:lang w:val="en-GB"/>
          </w:rPr>
          <w:t>)</w:t>
        </w:r>
      </w:hyperlink>
      <w:r w:rsidR="00B651D0" w:rsidRPr="00AB514A">
        <w:rPr>
          <w:szCs w:val="28"/>
          <w:lang w:val="en-GB"/>
        </w:rPr>
        <w:t>)</w:t>
      </w:r>
    </w:p>
    <w:p w14:paraId="0C3C7A92" w14:textId="43EB84B3" w:rsidR="007D4059" w:rsidRPr="00026C6D" w:rsidRDefault="007D4059" w:rsidP="007D4059">
      <w:pPr>
        <w:rPr>
          <w:lang w:val="en-GB"/>
        </w:rPr>
      </w:pPr>
      <w:r w:rsidRPr="00026C6D">
        <w:rPr>
          <w:lang w:val="en-GB"/>
        </w:rPr>
        <w:t>2.1</w:t>
      </w:r>
      <w:r w:rsidRPr="00026C6D">
        <w:rPr>
          <w:lang w:val="en-GB"/>
        </w:rPr>
        <w:tab/>
        <w:t>The Chair of the Council Working Group on Financial and Human Resources</w:t>
      </w:r>
      <w:r w:rsidRPr="00026C6D" w:rsidDel="005F2A63">
        <w:rPr>
          <w:lang w:val="en-GB"/>
        </w:rPr>
        <w:t xml:space="preserve"> </w:t>
      </w:r>
      <w:r w:rsidRPr="00026C6D">
        <w:rPr>
          <w:lang w:val="en-GB"/>
        </w:rPr>
        <w:t xml:space="preserve">(CWG-FHR) introduced the report in Document C26/50, which contained the recommendations arising from the CWG-FHR meetings held since the 2025 session of the Council (Council-25). On cost recovery for satellite network filings, however, it had been unable to reach a conclusion. Notwithstanding the best efforts to achieve a consensus, progress on a methodology could not be made owing to differences regarding the interpretation of Resolution 91 (Rev. Guadalajara, 2010) of the Plenipotentiary Conference. CWG-FHR was therefore recommending that the matter be forwarded to the Plenipotentiary Conference for further deliberation. Robust discussions had been held – and would continue to be held – on the contributory unit; future discussions might also consider the contributions of Sector Members and Associates. </w:t>
      </w:r>
    </w:p>
    <w:p w14:paraId="0736E146" w14:textId="7850736C" w:rsidR="007D4059" w:rsidRPr="00026C6D" w:rsidRDefault="007D4059" w:rsidP="007D4059">
      <w:pPr>
        <w:rPr>
          <w:lang w:val="en-GB"/>
        </w:rPr>
      </w:pPr>
      <w:r w:rsidRPr="00026C6D">
        <w:rPr>
          <w:lang w:val="en-GB"/>
        </w:rPr>
        <w:t>2.2</w:t>
      </w:r>
      <w:r w:rsidRPr="00026C6D">
        <w:rPr>
          <w:lang w:val="en-GB"/>
        </w:rPr>
        <w:tab/>
        <w:t xml:space="preserve">In the subsequent discussion, several councillors underscored the importance of the work of CWG-FHR and expressed support for the continuation of its activities. In view of the significant workload and limited meeting time, two councillors proposed that CWG-FHR be strengthened, including through the establishment of a permanent correspondence group. </w:t>
      </w:r>
    </w:p>
    <w:p w14:paraId="5F6CF0AD" w14:textId="14F572DB" w:rsidR="007D4059" w:rsidRPr="00026C6D" w:rsidRDefault="007D4059" w:rsidP="007D4059">
      <w:pPr>
        <w:rPr>
          <w:lang w:val="en-GB"/>
        </w:rPr>
      </w:pPr>
      <w:r w:rsidRPr="00026C6D">
        <w:rPr>
          <w:lang w:val="en-GB"/>
        </w:rPr>
        <w:t>2.3</w:t>
      </w:r>
      <w:r w:rsidRPr="00026C6D">
        <w:rPr>
          <w:lang w:val="en-GB"/>
        </w:rPr>
        <w:tab/>
        <w:t xml:space="preserve">Regarding cost recovery for satellite network filings, a number of councillors voiced support for the multicountry contribution that had been submitted to CWG-FHR concerning the annual free-of-charge entitlement (Document </w:t>
      </w:r>
      <w:hyperlink r:id="rId14" w:history="1">
        <w:r w:rsidRPr="004C473E">
          <w:rPr>
            <w:rStyle w:val="Hyperlink"/>
            <w:rFonts w:cs="Times New Roman"/>
            <w:szCs w:val="20"/>
            <w:lang w:val="en-GB"/>
          </w:rPr>
          <w:t>CWG-FHR-22/33</w:t>
        </w:r>
      </w:hyperlink>
      <w:r w:rsidRPr="00026C6D">
        <w:rPr>
          <w:lang w:val="en-GB"/>
        </w:rPr>
        <w:t xml:space="preserve">). The free entitlement regime was of particular importance to developing countries; the needs and equitable access of developing countries must be </w:t>
      </w:r>
      <w:proofErr w:type="gramStart"/>
      <w:r w:rsidRPr="00026C6D">
        <w:rPr>
          <w:lang w:val="en-GB"/>
        </w:rPr>
        <w:t>taken into account</w:t>
      </w:r>
      <w:proofErr w:type="gramEnd"/>
      <w:r w:rsidRPr="00026C6D">
        <w:rPr>
          <w:lang w:val="en-GB"/>
        </w:rPr>
        <w:t xml:space="preserve"> in whatever approach was ultimately taken. One councillor said that the use of free entitlements should be limited in scope, such as to serve regional satellite projects; currently, developing countries often used their free entitlements to help developed countries. </w:t>
      </w:r>
    </w:p>
    <w:p w14:paraId="715A0A2A" w14:textId="73B46D91" w:rsidR="007D4059" w:rsidRPr="00026C6D" w:rsidRDefault="007D4059" w:rsidP="007D4059">
      <w:pPr>
        <w:rPr>
          <w:lang w:val="en-GB"/>
        </w:rPr>
      </w:pPr>
      <w:r w:rsidRPr="00026C6D">
        <w:rPr>
          <w:lang w:val="en-GB"/>
        </w:rPr>
        <w:lastRenderedPageBreak/>
        <w:t>2.4</w:t>
      </w:r>
      <w:r w:rsidRPr="00026C6D">
        <w:rPr>
          <w:lang w:val="en-GB"/>
        </w:rPr>
        <w:tab/>
        <w:t xml:space="preserve">Several councillors took the floor on the issue of Article 34 of the ITU Convention and efforts to devise a cost-estimate methodology on the financial implications of proposals made at conferences and assemblies. One councillor, highlighting the complexity of the issue, emphasized that any approach taken should improve transparency without creating unnecessary administrative burdens. Given that proposals often underwent substantial changes, </w:t>
      </w:r>
      <w:r w:rsidRPr="00026C6D">
        <w:rPr>
          <w:i/>
          <w:iCs/>
          <w:lang w:val="en-GB"/>
        </w:rPr>
        <w:t>ex ante</w:t>
      </w:r>
      <w:r w:rsidRPr="00026C6D">
        <w:rPr>
          <w:lang w:val="en-GB"/>
        </w:rPr>
        <w:t xml:space="preserve"> cost estimates might not constitute a reliable basis for decision-making. Another councillor stressed the need for a flexible approach, noting that cost estimations might prove more challenging for certain conferences, such as world radiocommunication conferences (WRCs). Other councillors highlighted that cost estimates were useful to aid understanding of potential cost impacts, expressed support for continued work on the matter and encouraged Member States to estimate the financial costs of proposals to enable the Union to function in a sustainable manner.</w:t>
      </w:r>
    </w:p>
    <w:p w14:paraId="2644EDFD" w14:textId="6BDC597F" w:rsidR="007D4059" w:rsidRPr="00026C6D" w:rsidRDefault="007D4059" w:rsidP="007D4059">
      <w:pPr>
        <w:rPr>
          <w:lang w:val="en-GB"/>
        </w:rPr>
      </w:pPr>
      <w:r w:rsidRPr="00026C6D">
        <w:rPr>
          <w:lang w:val="en-GB"/>
        </w:rPr>
        <w:t>2.5</w:t>
      </w:r>
      <w:r w:rsidRPr="00026C6D">
        <w:rPr>
          <w:lang w:val="en-GB"/>
        </w:rPr>
        <w:tab/>
        <w:t xml:space="preserve">Two councillors called for more active support on the part of the secretariat for the work of CWG-FHR, with one noting that progress on certain matters, including on the cost-estimate methodology, had been constrained not by a lack of consensus but by the absence of timely documentation and information. </w:t>
      </w:r>
    </w:p>
    <w:p w14:paraId="3D6AB8C9" w14:textId="7355A2F2" w:rsidR="007D4059" w:rsidRPr="00026C6D" w:rsidDel="00907B46" w:rsidRDefault="007D4059" w:rsidP="007D4059">
      <w:pPr>
        <w:rPr>
          <w:lang w:val="en-GB"/>
        </w:rPr>
      </w:pPr>
      <w:r w:rsidRPr="00026C6D" w:rsidDel="00907B46">
        <w:rPr>
          <w:lang w:val="en-GB"/>
        </w:rPr>
        <w:t>2.6</w:t>
      </w:r>
      <w:r w:rsidRPr="00026C6D" w:rsidDel="00907B46">
        <w:rPr>
          <w:lang w:val="en-GB"/>
        </w:rPr>
        <w:tab/>
        <w:t xml:space="preserve">One councillor, noting that the Union had accepted the </w:t>
      </w:r>
      <w:r w:rsidRPr="00026C6D" w:rsidDel="00BF06CC">
        <w:rPr>
          <w:lang w:val="en-GB"/>
        </w:rPr>
        <w:t>s</w:t>
      </w:r>
      <w:r w:rsidRPr="00026C6D" w:rsidDel="00907B46">
        <w:rPr>
          <w:lang w:val="en-GB"/>
        </w:rPr>
        <w:t>tatute of the Joint Inspection Unit of the United Nations system</w:t>
      </w:r>
      <w:r w:rsidRPr="00026C6D">
        <w:rPr>
          <w:lang w:val="en-GB"/>
        </w:rPr>
        <w:t xml:space="preserve"> (JIU),</w:t>
      </w:r>
      <w:r w:rsidRPr="00026C6D" w:rsidDel="00907B46">
        <w:rPr>
          <w:lang w:val="en-GB"/>
        </w:rPr>
        <w:t xml:space="preserve"> as contained in </w:t>
      </w:r>
      <w:r w:rsidRPr="00026C6D" w:rsidDel="00C41AC4">
        <w:rPr>
          <w:lang w:val="en-GB"/>
        </w:rPr>
        <w:t>General Assembly</w:t>
      </w:r>
      <w:r w:rsidRPr="00026C6D" w:rsidDel="00907B46">
        <w:rPr>
          <w:lang w:val="en-GB"/>
        </w:rPr>
        <w:t xml:space="preserve"> </w:t>
      </w:r>
      <w:r w:rsidR="00567976" w:rsidRPr="00026C6D" w:rsidDel="00907B46">
        <w:rPr>
          <w:lang w:val="en-GB"/>
        </w:rPr>
        <w:t xml:space="preserve">Resolution </w:t>
      </w:r>
      <w:r w:rsidRPr="00026C6D" w:rsidDel="00907B46">
        <w:rPr>
          <w:lang w:val="en-GB"/>
        </w:rPr>
        <w:t xml:space="preserve">31/192, said that consideration should be given by the Plenipotentiary Conference to withdrawing </w:t>
      </w:r>
      <w:r w:rsidRPr="00026C6D">
        <w:rPr>
          <w:lang w:val="en-GB"/>
        </w:rPr>
        <w:t>its</w:t>
      </w:r>
      <w:r w:rsidRPr="00026C6D" w:rsidDel="00907B46">
        <w:rPr>
          <w:lang w:val="en-GB"/>
        </w:rPr>
        <w:t xml:space="preserve"> reservations</w:t>
      </w:r>
      <w:r w:rsidRPr="00026C6D">
        <w:rPr>
          <w:lang w:val="en-GB"/>
        </w:rPr>
        <w:t xml:space="preserve"> to the statute</w:t>
      </w:r>
      <w:r w:rsidRPr="00026C6D" w:rsidDel="00907B46">
        <w:rPr>
          <w:lang w:val="en-GB"/>
        </w:rPr>
        <w:t xml:space="preserve">, </w:t>
      </w:r>
      <w:r w:rsidRPr="00026C6D">
        <w:rPr>
          <w:lang w:val="en-GB"/>
        </w:rPr>
        <w:t>as set out</w:t>
      </w:r>
      <w:r w:rsidRPr="00026C6D" w:rsidDel="0075283A">
        <w:rPr>
          <w:lang w:val="en-GB"/>
        </w:rPr>
        <w:t xml:space="preserve"> </w:t>
      </w:r>
      <w:r w:rsidRPr="00026C6D" w:rsidDel="00907B46">
        <w:rPr>
          <w:lang w:val="en-GB"/>
        </w:rPr>
        <w:t>in Resolution 38 (Nairobi, 1982</w:t>
      </w:r>
      <w:r w:rsidRPr="00026C6D">
        <w:rPr>
          <w:lang w:val="en-GB"/>
        </w:rPr>
        <w:t>) of the Plenipotentiary Conference,</w:t>
      </w:r>
      <w:r w:rsidRPr="00026C6D" w:rsidDel="00907B46">
        <w:rPr>
          <w:lang w:val="en-GB"/>
        </w:rPr>
        <w:t xml:space="preserve"> by which </w:t>
      </w:r>
      <w:r w:rsidRPr="00026C6D">
        <w:rPr>
          <w:lang w:val="en-GB"/>
        </w:rPr>
        <w:t>JIU</w:t>
      </w:r>
      <w:r w:rsidRPr="00026C6D" w:rsidDel="00907B46">
        <w:rPr>
          <w:lang w:val="en-GB"/>
        </w:rPr>
        <w:t xml:space="preserve"> </w:t>
      </w:r>
      <w:r w:rsidRPr="00026C6D" w:rsidDel="0075283A">
        <w:rPr>
          <w:lang w:val="en-GB"/>
        </w:rPr>
        <w:t xml:space="preserve">would </w:t>
      </w:r>
      <w:r w:rsidRPr="00026C6D" w:rsidDel="00907B46">
        <w:rPr>
          <w:lang w:val="en-GB"/>
        </w:rPr>
        <w:t xml:space="preserve">not become a subsidiary organ of the </w:t>
      </w:r>
      <w:r>
        <w:rPr>
          <w:lang w:val="en-GB"/>
        </w:rPr>
        <w:t>legislative organs</w:t>
      </w:r>
      <w:r w:rsidRPr="00026C6D" w:rsidDel="00907B46">
        <w:rPr>
          <w:lang w:val="en-GB"/>
        </w:rPr>
        <w:t xml:space="preserve"> of the Union or have powers of investigation over telecommunication-related matters. The Union would benefit from the independent oversight expertise </w:t>
      </w:r>
      <w:r w:rsidRPr="00026C6D">
        <w:rPr>
          <w:lang w:val="en-GB"/>
        </w:rPr>
        <w:t xml:space="preserve">of JIU </w:t>
      </w:r>
      <w:r w:rsidRPr="00026C6D" w:rsidDel="00907B46">
        <w:rPr>
          <w:lang w:val="en-GB"/>
        </w:rPr>
        <w:t>as a third</w:t>
      </w:r>
      <w:r w:rsidRPr="00026C6D" w:rsidDel="00446F10">
        <w:rPr>
          <w:lang w:val="en-GB"/>
        </w:rPr>
        <w:t xml:space="preserve"> </w:t>
      </w:r>
      <w:r w:rsidRPr="00026C6D" w:rsidDel="00907B46">
        <w:rPr>
          <w:lang w:val="en-GB"/>
        </w:rPr>
        <w:t>line</w:t>
      </w:r>
      <w:r w:rsidRPr="00026C6D" w:rsidDel="00446F10">
        <w:rPr>
          <w:lang w:val="en-GB"/>
        </w:rPr>
        <w:t xml:space="preserve"> </w:t>
      </w:r>
      <w:r w:rsidRPr="00026C6D" w:rsidDel="00907B46">
        <w:rPr>
          <w:lang w:val="en-GB"/>
        </w:rPr>
        <w:t>of</w:t>
      </w:r>
      <w:r w:rsidRPr="00026C6D" w:rsidDel="00446F10">
        <w:rPr>
          <w:lang w:val="en-GB"/>
        </w:rPr>
        <w:t xml:space="preserve"> </w:t>
      </w:r>
      <w:r w:rsidRPr="00026C6D" w:rsidDel="00907B46">
        <w:rPr>
          <w:lang w:val="en-GB"/>
        </w:rPr>
        <w:t xml:space="preserve">defence mechanism. </w:t>
      </w:r>
    </w:p>
    <w:p w14:paraId="3F772E4A" w14:textId="12EE8265" w:rsidR="00D67374" w:rsidRPr="00AB514A" w:rsidRDefault="007D4059" w:rsidP="00512A42">
      <w:pPr>
        <w:rPr>
          <w:lang w:val="en-GB"/>
        </w:rPr>
      </w:pPr>
      <w:r w:rsidRPr="00026C6D">
        <w:rPr>
          <w:lang w:val="en-GB"/>
        </w:rPr>
        <w:t>2.7</w:t>
      </w:r>
      <w:r w:rsidRPr="00026C6D">
        <w:rPr>
          <w:lang w:val="en-GB"/>
        </w:rPr>
        <w:tab/>
        <w:t xml:space="preserve">Subsequently, the Chair of CWG-FHR said that, in view of the comments made during the discussion, she had updated the report, now contained in Document C26/50(Rev.1), to remove Annex A so that all the recommendations contained in the document would be noted by the Council. She had also made the requested adjustments, including to recommend, in § 2.5, that the Council should instruct the secretariat to read the United Nations code of conduct before all meetings, conferences and assemblies and include a link thereto on event websites as part of the registration process. Regarding JIU, and the Union's reservations to </w:t>
      </w:r>
      <w:r>
        <w:rPr>
          <w:lang w:val="en-GB"/>
        </w:rPr>
        <w:t xml:space="preserve">the </w:t>
      </w:r>
      <w:r w:rsidRPr="00026C6D">
        <w:rPr>
          <w:lang w:val="en-GB"/>
        </w:rPr>
        <w:t>JIU statute, the deliberations in CWG-FHR had focused on JIU participation in Council sessions. She therefore recommended that the issue be further discussed, including with regard to Resolution 57 (Kyoto, 1994) of the Plenipotentiary Conference, by CWG-FHR and by the Plenipotentiary Conference. Lastly, some clarification would be useful on the role and responsibilities of the secretariat vis-à-vis CWG-FHR in order to manage expectations regarding documentation and information requested.</w:t>
      </w:r>
    </w:p>
    <w:p w14:paraId="5D24C683" w14:textId="29D4B1FA" w:rsidR="00B651D0" w:rsidRPr="00AB514A" w:rsidRDefault="00D67374" w:rsidP="00F65645">
      <w:pPr>
        <w:rPr>
          <w:lang w:val="en-GB"/>
        </w:rPr>
      </w:pPr>
      <w:r w:rsidRPr="00AB514A">
        <w:rPr>
          <w:lang w:val="en-GB"/>
        </w:rPr>
        <w:t>2.</w:t>
      </w:r>
      <w:r w:rsidR="00132B69">
        <w:rPr>
          <w:lang w:val="en-GB"/>
        </w:rPr>
        <w:t>8</w:t>
      </w:r>
      <w:r w:rsidRPr="00AB514A">
        <w:rPr>
          <w:lang w:val="en-GB"/>
        </w:rPr>
        <w:tab/>
        <w:t xml:space="preserve">The committee </w:t>
      </w:r>
      <w:r w:rsidRPr="00AB514A">
        <w:rPr>
          <w:b/>
          <w:bCs/>
          <w:lang w:val="en-GB"/>
        </w:rPr>
        <w:t>agreed</w:t>
      </w:r>
      <w:r w:rsidRPr="00AB514A">
        <w:rPr>
          <w:lang w:val="en-GB"/>
        </w:rPr>
        <w:t xml:space="preserve"> to conclude as follows on the matter:</w:t>
      </w:r>
    </w:p>
    <w:p w14:paraId="652416B2" w14:textId="77777777" w:rsidR="006F32AD" w:rsidRDefault="00B651D0" w:rsidP="00BE0A1A">
      <w:pPr>
        <w:pBdr>
          <w:top w:val="single" w:sz="4" w:space="1" w:color="auto"/>
          <w:left w:val="single" w:sz="4" w:space="4" w:color="auto"/>
          <w:bottom w:val="single" w:sz="4" w:space="1" w:color="auto"/>
          <w:right w:val="single" w:sz="4" w:space="4" w:color="auto"/>
        </w:pBdr>
        <w:rPr>
          <w:rFonts w:eastAsia="Aptos"/>
          <w:lang w:val="en-GB"/>
        </w:rPr>
      </w:pPr>
      <w:r w:rsidRPr="00AB514A">
        <w:rPr>
          <w:rFonts w:eastAsia="Aptos"/>
          <w:lang w:val="en-GB"/>
        </w:rPr>
        <w:t>2.</w:t>
      </w:r>
      <w:r w:rsidR="00D05287">
        <w:rPr>
          <w:rFonts w:eastAsia="Aptos"/>
          <w:lang w:val="en-GB"/>
        </w:rPr>
        <w:t>9</w:t>
      </w:r>
      <w:r w:rsidRPr="00AB514A">
        <w:rPr>
          <w:lang w:val="en-GB"/>
        </w:rPr>
        <w:tab/>
      </w:r>
      <w:r w:rsidRPr="00AB514A">
        <w:rPr>
          <w:rFonts w:eastAsia="Aptos"/>
          <w:lang w:val="en-GB"/>
        </w:rPr>
        <w:t>The committee recommends that the Council:</w:t>
      </w:r>
    </w:p>
    <w:p w14:paraId="1EF39DCF" w14:textId="77777777" w:rsidR="006F32AD" w:rsidRDefault="00B651D0" w:rsidP="00C44A2E">
      <w:pPr>
        <w:pBdr>
          <w:top w:val="single" w:sz="4" w:space="1" w:color="auto"/>
          <w:left w:val="single" w:sz="4" w:space="4" w:color="auto"/>
          <w:bottom w:val="single" w:sz="4" w:space="1" w:color="auto"/>
          <w:right w:val="single" w:sz="4" w:space="4" w:color="auto"/>
        </w:pBdr>
        <w:spacing w:before="80"/>
        <w:ind w:left="567" w:hanging="567"/>
        <w:rPr>
          <w:lang w:val="en-GB"/>
        </w:rPr>
      </w:pPr>
      <w:r w:rsidRPr="00AB514A">
        <w:rPr>
          <w:rFonts w:eastAsia="Aptos"/>
          <w:lang w:val="en-GB"/>
        </w:rPr>
        <w:t>•</w:t>
      </w:r>
      <w:r w:rsidRPr="00AB514A">
        <w:rPr>
          <w:rFonts w:eastAsia="Aptos"/>
          <w:lang w:val="en-GB"/>
        </w:rPr>
        <w:tab/>
      </w:r>
      <w:r w:rsidR="00B0050A" w:rsidRPr="00026C6D">
        <w:rPr>
          <w:lang w:val="en-GB"/>
        </w:rPr>
        <w:t xml:space="preserve">take note of the work of CWG-FHR; and </w:t>
      </w:r>
    </w:p>
    <w:p w14:paraId="14998F1A" w14:textId="28CDC8BE" w:rsidR="00B651D0" w:rsidRPr="00AB514A" w:rsidRDefault="00B0050A" w:rsidP="00C44A2E">
      <w:pPr>
        <w:pBdr>
          <w:top w:val="single" w:sz="4" w:space="1" w:color="auto"/>
          <w:left w:val="single" w:sz="4" w:space="4" w:color="auto"/>
          <w:bottom w:val="single" w:sz="4" w:space="1" w:color="auto"/>
          <w:right w:val="single" w:sz="4" w:space="4" w:color="auto"/>
        </w:pBdr>
        <w:spacing w:before="80"/>
        <w:ind w:left="567" w:hanging="567"/>
        <w:rPr>
          <w:rFonts w:eastAsia="Aptos"/>
          <w:lang w:val="en-GB"/>
        </w:rPr>
      </w:pPr>
      <w:r w:rsidRPr="00026C6D">
        <w:rPr>
          <w:rFonts w:eastAsia="Aptos"/>
          <w:lang w:val="en-GB"/>
        </w:rPr>
        <w:t>•</w:t>
      </w:r>
      <w:r w:rsidRPr="00026C6D">
        <w:rPr>
          <w:rFonts w:eastAsia="Aptos"/>
          <w:lang w:val="en-GB"/>
        </w:rPr>
        <w:tab/>
      </w:r>
      <w:r w:rsidR="00D01943">
        <w:rPr>
          <w:rFonts w:eastAsia="Aptos"/>
          <w:lang w:val="en-GB"/>
        </w:rPr>
        <w:t xml:space="preserve">endorse the recommendations of CWG-FHR contained in </w:t>
      </w:r>
      <w:r w:rsidRPr="00026C6D">
        <w:rPr>
          <w:lang w:val="en-GB"/>
        </w:rPr>
        <w:t>Document</w:t>
      </w:r>
      <w:r w:rsidR="00567976">
        <w:rPr>
          <w:lang w:val="en-GB"/>
        </w:rPr>
        <w:t> </w:t>
      </w:r>
      <w:hyperlink r:id="rId15" w:history="1">
        <w:r w:rsidRPr="00A62F56">
          <w:rPr>
            <w:rStyle w:val="Hyperlink"/>
            <w:rFonts w:cs="Times New Roman"/>
            <w:szCs w:val="20"/>
            <w:lang w:val="en-GB"/>
          </w:rPr>
          <w:t>C26/50(Rev.1)</w:t>
        </w:r>
      </w:hyperlink>
      <w:r w:rsidR="009549CB" w:rsidRPr="00AB514A">
        <w:rPr>
          <w:lang w:val="en-GB"/>
        </w:rPr>
        <w:t>.</w:t>
      </w:r>
    </w:p>
    <w:p w14:paraId="1B722D85" w14:textId="0636C395" w:rsidR="00EF6FB6" w:rsidRPr="00AB514A" w:rsidRDefault="003C707E" w:rsidP="00B651D0">
      <w:pPr>
        <w:pStyle w:val="Heading1"/>
        <w:rPr>
          <w:szCs w:val="28"/>
          <w:lang w:val="en-GB"/>
        </w:rPr>
      </w:pPr>
      <w:r w:rsidRPr="00AB514A">
        <w:rPr>
          <w:rFonts w:cs="Calibri"/>
          <w:color w:val="000000"/>
          <w:szCs w:val="28"/>
          <w:lang w:val="en-GB"/>
        </w:rPr>
        <w:t>3</w:t>
      </w:r>
      <w:r w:rsidR="00B651D0" w:rsidRPr="00AB514A">
        <w:rPr>
          <w:rFonts w:cs="Calibri"/>
          <w:color w:val="000000"/>
          <w:szCs w:val="28"/>
          <w:lang w:val="en-GB"/>
        </w:rPr>
        <w:tab/>
      </w:r>
      <w:r w:rsidR="00F276F7" w:rsidRPr="00AB514A">
        <w:rPr>
          <w:rFonts w:cs="Calibri"/>
          <w:color w:val="000000"/>
          <w:szCs w:val="28"/>
          <w:lang w:val="en-GB"/>
        </w:rPr>
        <w:t>Four</w:t>
      </w:r>
      <w:r w:rsidR="00EF6FB6" w:rsidRPr="00AB514A">
        <w:rPr>
          <w:rFonts w:cs="Calibri"/>
          <w:color w:val="000000"/>
          <w:szCs w:val="28"/>
          <w:lang w:val="en-GB"/>
        </w:rPr>
        <w:t xml:space="preserve">-year </w:t>
      </w:r>
      <w:proofErr w:type="gramStart"/>
      <w:r w:rsidR="00EF6FB6" w:rsidRPr="00AB514A">
        <w:rPr>
          <w:szCs w:val="28"/>
          <w:lang w:val="en-GB"/>
        </w:rPr>
        <w:t>report</w:t>
      </w:r>
      <w:proofErr w:type="gramEnd"/>
      <w:r w:rsidR="00EF6FB6" w:rsidRPr="00AB514A">
        <w:rPr>
          <w:rFonts w:cs="Calibri"/>
          <w:color w:val="000000"/>
          <w:szCs w:val="28"/>
          <w:lang w:val="en-GB"/>
        </w:rPr>
        <w:t xml:space="preserve"> of CWG-FHR </w:t>
      </w:r>
      <w:r w:rsidR="00F276F7" w:rsidRPr="00AB514A">
        <w:rPr>
          <w:rFonts w:cs="Calibri"/>
          <w:color w:val="000000"/>
          <w:szCs w:val="28"/>
          <w:lang w:val="en-GB"/>
        </w:rPr>
        <w:t xml:space="preserve">(Document </w:t>
      </w:r>
      <w:r w:rsidR="00EF6FB6" w:rsidRPr="00C44A2E">
        <w:rPr>
          <w:rFonts w:cs="Calibri"/>
          <w:szCs w:val="28"/>
          <w:lang w:val="en-GB"/>
        </w:rPr>
        <w:t>C26/53</w:t>
      </w:r>
      <w:r w:rsidR="009E7289" w:rsidRPr="004240F1">
        <w:rPr>
          <w:lang w:val="en-GB"/>
        </w:rPr>
        <w:t xml:space="preserve"> </w:t>
      </w:r>
      <w:r w:rsidR="009E7289">
        <w:rPr>
          <w:lang w:val="en-GB"/>
        </w:rPr>
        <w:t xml:space="preserve">and </w:t>
      </w:r>
      <w:hyperlink r:id="rId16" w:history="1">
        <w:r w:rsidR="009E7289" w:rsidRPr="00C44A2E">
          <w:rPr>
            <w:rStyle w:val="Hyperlink"/>
            <w:rFonts w:cs="Times New Roman"/>
            <w:szCs w:val="20"/>
            <w:lang w:val="en-GB"/>
          </w:rPr>
          <w:t>C26/53</w:t>
        </w:r>
        <w:r w:rsidR="00F636B3" w:rsidRPr="00C44A2E">
          <w:rPr>
            <w:rStyle w:val="Hyperlink"/>
            <w:rFonts w:cs="Times New Roman"/>
            <w:szCs w:val="20"/>
            <w:lang w:val="en-GB"/>
          </w:rPr>
          <w:t>(</w:t>
        </w:r>
        <w:r w:rsidR="009E7289" w:rsidRPr="00C44A2E">
          <w:rPr>
            <w:rStyle w:val="Hyperlink"/>
            <w:rFonts w:cs="Times New Roman"/>
            <w:szCs w:val="20"/>
            <w:lang w:val="en-GB"/>
          </w:rPr>
          <w:t>Rev.1</w:t>
        </w:r>
        <w:r w:rsidR="00F636B3" w:rsidRPr="00C44A2E">
          <w:rPr>
            <w:rStyle w:val="Hyperlink"/>
            <w:rFonts w:cs="Times New Roman"/>
            <w:szCs w:val="20"/>
            <w:lang w:val="en-GB"/>
          </w:rPr>
          <w:t>)</w:t>
        </w:r>
      </w:hyperlink>
      <w:r w:rsidR="00F276F7" w:rsidRPr="00AB514A">
        <w:rPr>
          <w:szCs w:val="28"/>
          <w:lang w:val="en-GB"/>
        </w:rPr>
        <w:t>)</w:t>
      </w:r>
    </w:p>
    <w:p w14:paraId="2CADC6F9" w14:textId="0B574AAA" w:rsidR="002163F3" w:rsidRPr="00026C6D" w:rsidRDefault="002163F3" w:rsidP="002163F3">
      <w:pPr>
        <w:rPr>
          <w:lang w:val="en-GB"/>
        </w:rPr>
      </w:pPr>
      <w:r w:rsidRPr="00026C6D">
        <w:rPr>
          <w:lang w:val="en-GB"/>
        </w:rPr>
        <w:t>3.1</w:t>
      </w:r>
      <w:r w:rsidRPr="00026C6D">
        <w:rPr>
          <w:lang w:val="en-GB"/>
        </w:rPr>
        <w:tab/>
        <w:t xml:space="preserve">The Chair of CWG-FHR introduced Document C26/53, which contained a four-year report on the activities of CWG-FHR, including links to the individual reports of CWG-FHR over that time period, and set out a number of recommendations for the consideration of the Council and for onward transmission, as appropriate, to the Plenipotentiary Conference. Those recommendations included requesting guidance from the Plenipotentiary Conference on the implementation of Article 34 of the Convention to facilitate discussion of cost estimate methodologies. </w:t>
      </w:r>
    </w:p>
    <w:p w14:paraId="21B70232" w14:textId="08F4C098" w:rsidR="002163F3" w:rsidRPr="00026C6D" w:rsidRDefault="002163F3" w:rsidP="002163F3">
      <w:pPr>
        <w:rPr>
          <w:lang w:val="en-GB"/>
        </w:rPr>
      </w:pPr>
      <w:r w:rsidRPr="00026C6D">
        <w:rPr>
          <w:lang w:val="en-GB"/>
        </w:rPr>
        <w:t>3.2</w:t>
      </w:r>
      <w:r w:rsidRPr="00026C6D">
        <w:rPr>
          <w:lang w:val="en-GB"/>
        </w:rPr>
        <w:tab/>
        <w:t xml:space="preserve">In the ensuing discussion, councillors highlighted the significant workload and diversity of topics that had been dealt with by CWG-FHR over the four-year period. Those topics had included financial and administrative matters, the headquarters project, satellite network filings, strengthening the Union’s regional presence, and ethics and oversight issues. Several councillors voiced support for the continuation of the activities of CWG-FHR for the next four years; some councillors emphasized the need to strengthen CWG-FHR, including by updating its working methods, increasing its meeting time allocation and amending Decision 11 (Rev. Bucharest, 2022) of the Plenipotentiary Conference. That could be done as part of a review of the working methods of all Council working groups. Two councillors reiterated the suggestion that a permanent correspondence group be established to handle certain matters </w:t>
      </w:r>
      <w:proofErr w:type="spellStart"/>
      <w:r w:rsidRPr="00026C6D">
        <w:rPr>
          <w:lang w:val="en-GB"/>
        </w:rPr>
        <w:t>intersessionally</w:t>
      </w:r>
      <w:proofErr w:type="spellEnd"/>
      <w:r w:rsidRPr="00026C6D">
        <w:rPr>
          <w:lang w:val="en-GB"/>
        </w:rPr>
        <w:t xml:space="preserve">, thereby relieving some of the pressure on CWG-FHR. One councillor stressed the need to uphold the principle of inclusiveness and Member States’ oversight of CWG-FHR and its work. Another councillor underscored the importance of timely, transparent and clear documentation from the secretariat to support the deliberations and decisions of CWG-FHR. </w:t>
      </w:r>
    </w:p>
    <w:p w14:paraId="3A2668BC" w14:textId="225A3565" w:rsidR="003C707E" w:rsidRPr="00AB514A" w:rsidRDefault="002163F3" w:rsidP="00512A42">
      <w:pPr>
        <w:rPr>
          <w:lang w:val="en-GB"/>
        </w:rPr>
      </w:pPr>
      <w:r w:rsidRPr="00026C6D">
        <w:rPr>
          <w:lang w:val="en-GB"/>
        </w:rPr>
        <w:t>3.3</w:t>
      </w:r>
      <w:r w:rsidRPr="00026C6D">
        <w:rPr>
          <w:lang w:val="en-GB"/>
        </w:rPr>
        <w:tab/>
        <w:t xml:space="preserve">Subsequently, the Chair of CWG-FHR presented Document C26/53(Rev.1), which contained an updated version of the report, </w:t>
      </w:r>
      <w:proofErr w:type="gramStart"/>
      <w:r w:rsidRPr="00026C6D">
        <w:rPr>
          <w:lang w:val="en-GB"/>
        </w:rPr>
        <w:t>taking into account</w:t>
      </w:r>
      <w:proofErr w:type="gramEnd"/>
      <w:r w:rsidRPr="00026C6D">
        <w:rPr>
          <w:lang w:val="en-GB"/>
        </w:rPr>
        <w:t xml:space="preserve"> the comments of councillors</w:t>
      </w:r>
      <w:r w:rsidR="00E07D7A">
        <w:rPr>
          <w:lang w:val="en-GB"/>
        </w:rPr>
        <w:t>.</w:t>
      </w:r>
    </w:p>
    <w:p w14:paraId="6E8CC7FD" w14:textId="249E9DD1" w:rsidR="003C707E" w:rsidRPr="00AB514A" w:rsidRDefault="003C707E" w:rsidP="003C707E">
      <w:pPr>
        <w:rPr>
          <w:lang w:val="en-GB"/>
        </w:rPr>
      </w:pPr>
      <w:r w:rsidRPr="00AB514A">
        <w:rPr>
          <w:lang w:val="en-GB"/>
        </w:rPr>
        <w:t>3.</w:t>
      </w:r>
      <w:r w:rsidR="006F3DBE">
        <w:rPr>
          <w:lang w:val="en-GB"/>
        </w:rPr>
        <w:t>4</w:t>
      </w:r>
      <w:r w:rsidRPr="00AB514A">
        <w:rPr>
          <w:lang w:val="en-GB"/>
        </w:rPr>
        <w:tab/>
        <w:t xml:space="preserve">The committee </w:t>
      </w:r>
      <w:r w:rsidRPr="00AB514A">
        <w:rPr>
          <w:b/>
          <w:bCs/>
          <w:lang w:val="en-GB"/>
        </w:rPr>
        <w:t>agreed</w:t>
      </w:r>
      <w:r w:rsidRPr="00AB514A">
        <w:rPr>
          <w:lang w:val="en-GB"/>
        </w:rPr>
        <w:t xml:space="preserve"> to conclude as follows on the matter:</w:t>
      </w:r>
    </w:p>
    <w:p w14:paraId="489EFB04" w14:textId="78F5688D" w:rsidR="002C4582" w:rsidRDefault="003C707E" w:rsidP="008319CE">
      <w:pPr>
        <w:pBdr>
          <w:top w:val="single" w:sz="4" w:space="4" w:color="000000"/>
          <w:left w:val="single" w:sz="4" w:space="4" w:color="000000"/>
          <w:bottom w:val="single" w:sz="4" w:space="4" w:color="000000"/>
          <w:right w:val="single" w:sz="4" w:space="4" w:color="000000"/>
        </w:pBdr>
        <w:spacing w:line="259" w:lineRule="auto"/>
        <w:rPr>
          <w:rFonts w:eastAsia="Aptos"/>
          <w:lang w:val="en-GB"/>
        </w:rPr>
      </w:pPr>
      <w:r w:rsidRPr="00AB514A">
        <w:rPr>
          <w:rFonts w:eastAsia="Calibri" w:cs="Calibri"/>
          <w:szCs w:val="24"/>
          <w:lang w:val="en-GB"/>
        </w:rPr>
        <w:t>3.</w:t>
      </w:r>
      <w:r w:rsidR="006F3DBE">
        <w:rPr>
          <w:rFonts w:eastAsia="Calibri" w:cs="Calibri"/>
          <w:szCs w:val="24"/>
          <w:lang w:val="en-GB"/>
        </w:rPr>
        <w:t>5</w:t>
      </w:r>
      <w:r w:rsidRPr="00AB514A">
        <w:rPr>
          <w:rFonts w:eastAsia="Calibri" w:cs="Calibri"/>
          <w:szCs w:val="24"/>
          <w:lang w:val="en-GB"/>
        </w:rPr>
        <w:tab/>
      </w:r>
      <w:r w:rsidRPr="00AB514A">
        <w:rPr>
          <w:rFonts w:eastAsia="Calibri" w:cs="Calibri"/>
          <w:lang w:val="en-GB"/>
        </w:rPr>
        <w:t>The committee recommends that the Council</w:t>
      </w:r>
      <w:r w:rsidR="00342B44" w:rsidRPr="00AB514A">
        <w:rPr>
          <w:rFonts w:eastAsia="Calibri" w:cs="Calibri"/>
          <w:lang w:val="en-GB"/>
        </w:rPr>
        <w:t>:</w:t>
      </w:r>
    </w:p>
    <w:p w14:paraId="3049ED81" w14:textId="0FFCFAD6" w:rsidR="002C4582" w:rsidRDefault="00342B44" w:rsidP="00FB71F1">
      <w:pPr>
        <w:pBdr>
          <w:top w:val="single" w:sz="4" w:space="4" w:color="000000"/>
          <w:left w:val="single" w:sz="4" w:space="4" w:color="000000"/>
          <w:bottom w:val="single" w:sz="4" w:space="4" w:color="000000"/>
          <w:right w:val="single" w:sz="4" w:space="4" w:color="000000"/>
        </w:pBdr>
        <w:spacing w:before="80" w:line="259" w:lineRule="auto"/>
        <w:ind w:left="567" w:hanging="567"/>
        <w:rPr>
          <w:rFonts w:eastAsia="Aptos"/>
          <w:lang w:val="en-GB"/>
        </w:rPr>
      </w:pPr>
      <w:r w:rsidRPr="00AB514A">
        <w:rPr>
          <w:rFonts w:eastAsia="Aptos"/>
          <w:lang w:val="en-GB"/>
        </w:rPr>
        <w:t>•</w:t>
      </w:r>
      <w:r w:rsidRPr="00AB514A">
        <w:rPr>
          <w:rFonts w:eastAsia="Aptos"/>
          <w:lang w:val="en-GB"/>
        </w:rPr>
        <w:tab/>
      </w:r>
      <w:r w:rsidR="00A9502B">
        <w:rPr>
          <w:lang w:val="en-GB"/>
        </w:rPr>
        <w:t>note</w:t>
      </w:r>
      <w:r w:rsidR="00A848B2" w:rsidRPr="00026C6D">
        <w:rPr>
          <w:lang w:val="en-GB"/>
        </w:rPr>
        <w:t xml:space="preserve"> the report contained in Document </w:t>
      </w:r>
      <w:hyperlink r:id="rId17" w:history="1">
        <w:r w:rsidR="00A848B2" w:rsidRPr="002C4582">
          <w:rPr>
            <w:rStyle w:val="Hyperlink"/>
            <w:rFonts w:cs="Times New Roman"/>
            <w:szCs w:val="20"/>
            <w:lang w:val="en-GB"/>
          </w:rPr>
          <w:t>C26/53(Rev.1)</w:t>
        </w:r>
      </w:hyperlink>
      <w:r w:rsidR="00A848B2" w:rsidRPr="00026C6D">
        <w:rPr>
          <w:lang w:val="en-GB"/>
        </w:rPr>
        <w:t>; and</w:t>
      </w:r>
    </w:p>
    <w:p w14:paraId="79CA79CC" w14:textId="33647785" w:rsidR="003C707E" w:rsidRPr="00AB514A" w:rsidRDefault="00A848B2" w:rsidP="00FB71F1">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026C6D">
        <w:rPr>
          <w:rFonts w:eastAsia="Aptos"/>
          <w:lang w:val="en-GB"/>
        </w:rPr>
        <w:t>•</w:t>
      </w:r>
      <w:r w:rsidRPr="00026C6D">
        <w:rPr>
          <w:rFonts w:eastAsia="Aptos"/>
          <w:lang w:val="en-GB"/>
        </w:rPr>
        <w:tab/>
      </w:r>
      <w:r w:rsidRPr="00026C6D">
        <w:rPr>
          <w:lang w:val="en-GB"/>
        </w:rPr>
        <w:t>submit the recommendations contained therein to the Plenipotentiary Conference, as appropriate, particularly with regard to the continuation of the activities of CWG-FHR for the next four years</w:t>
      </w:r>
      <w:r w:rsidR="00342B44" w:rsidRPr="00AB514A">
        <w:rPr>
          <w:rFonts w:eastAsia="Calibri" w:cs="Calibri"/>
          <w:lang w:val="en-GB"/>
        </w:rPr>
        <w:t>.</w:t>
      </w:r>
    </w:p>
    <w:p w14:paraId="6BF7AA60" w14:textId="63277C93" w:rsidR="00A93521" w:rsidRPr="00AB514A" w:rsidRDefault="00A93521" w:rsidP="00A93521">
      <w:pPr>
        <w:pStyle w:val="Heading1"/>
        <w:rPr>
          <w:szCs w:val="28"/>
          <w:lang w:val="en-GB"/>
        </w:rPr>
      </w:pPr>
      <w:r w:rsidRPr="00AB514A">
        <w:rPr>
          <w:rFonts w:cs="Calibri"/>
          <w:color w:val="000000"/>
          <w:szCs w:val="28"/>
          <w:lang w:val="en-GB"/>
        </w:rPr>
        <w:t>4</w:t>
      </w:r>
      <w:r w:rsidRPr="00AB514A">
        <w:rPr>
          <w:rFonts w:cs="Calibri"/>
          <w:color w:val="000000"/>
          <w:szCs w:val="28"/>
          <w:lang w:val="en-GB"/>
        </w:rPr>
        <w:tab/>
      </w:r>
      <w:r w:rsidR="000D1FFB" w:rsidRPr="00AB514A">
        <w:rPr>
          <w:rFonts w:cs="Calibri"/>
          <w:color w:val="000000"/>
          <w:szCs w:val="28"/>
          <w:lang w:val="en-GB"/>
        </w:rPr>
        <w:t xml:space="preserve">Statement from the Radiocommunication Advisory Group </w:t>
      </w:r>
      <w:r w:rsidR="00FB71F1">
        <w:rPr>
          <w:rFonts w:cs="Calibri"/>
          <w:color w:val="000000"/>
          <w:szCs w:val="28"/>
          <w:lang w:val="en-GB"/>
        </w:rPr>
        <w:br/>
      </w:r>
      <w:r w:rsidRPr="00AB514A">
        <w:rPr>
          <w:rFonts w:cs="Calibri"/>
          <w:color w:val="000000"/>
          <w:szCs w:val="28"/>
          <w:lang w:val="en-GB"/>
        </w:rPr>
        <w:t xml:space="preserve">(Document </w:t>
      </w:r>
      <w:hyperlink r:id="rId18" w:history="1">
        <w:r w:rsidRPr="00AB514A">
          <w:rPr>
            <w:rStyle w:val="Hyperlink"/>
            <w:rFonts w:cs="Calibri"/>
            <w:szCs w:val="28"/>
            <w:lang w:val="en-GB"/>
          </w:rPr>
          <w:t>C26/</w:t>
        </w:r>
        <w:r w:rsidR="000D1FFB" w:rsidRPr="00AB514A">
          <w:rPr>
            <w:rStyle w:val="Hyperlink"/>
            <w:rFonts w:cs="Calibri"/>
            <w:szCs w:val="28"/>
            <w:lang w:val="en-GB"/>
          </w:rPr>
          <w:t>111</w:t>
        </w:r>
      </w:hyperlink>
      <w:r w:rsidRPr="00AB514A">
        <w:rPr>
          <w:szCs w:val="28"/>
          <w:lang w:val="en-GB"/>
        </w:rPr>
        <w:t>)</w:t>
      </w:r>
    </w:p>
    <w:p w14:paraId="25DBD74D" w14:textId="47E78AFE" w:rsidR="002E0E42" w:rsidRPr="00AB514A" w:rsidRDefault="002E0E42" w:rsidP="002E0E42">
      <w:pPr>
        <w:rPr>
          <w:lang w:val="en-GB"/>
        </w:rPr>
      </w:pPr>
      <w:r w:rsidRPr="00AB514A">
        <w:rPr>
          <w:lang w:val="en-GB"/>
        </w:rPr>
        <w:t>4.1</w:t>
      </w:r>
      <w:r w:rsidRPr="00F61FE8">
        <w:rPr>
          <w:lang w:val="en-GB"/>
        </w:rPr>
        <w:tab/>
      </w:r>
      <w:r w:rsidRPr="00AB514A">
        <w:rPr>
          <w:lang w:val="en-GB"/>
        </w:rPr>
        <w:t xml:space="preserve">The </w:t>
      </w:r>
      <w:r w:rsidR="00FB07B3" w:rsidRPr="00AB514A">
        <w:rPr>
          <w:lang w:val="en-GB"/>
        </w:rPr>
        <w:t>Deputy</w:t>
      </w:r>
      <w:r w:rsidRPr="00AB514A">
        <w:rPr>
          <w:lang w:val="en-GB"/>
        </w:rPr>
        <w:t xml:space="preserve"> to the Director</w:t>
      </w:r>
      <w:r w:rsidR="00FB07B3" w:rsidRPr="00AB514A">
        <w:rPr>
          <w:lang w:val="en-GB"/>
        </w:rPr>
        <w:t xml:space="preserve"> of</w:t>
      </w:r>
      <w:r w:rsidRPr="00AB514A">
        <w:rPr>
          <w:lang w:val="en-GB"/>
        </w:rPr>
        <w:t xml:space="preserve"> </w:t>
      </w:r>
      <w:r w:rsidR="00FB07B3" w:rsidRPr="00AB514A">
        <w:rPr>
          <w:lang w:val="en-GB"/>
        </w:rPr>
        <w:t>the Radiocommunication Bureau (</w:t>
      </w:r>
      <w:r w:rsidRPr="00AB514A">
        <w:rPr>
          <w:lang w:val="en-GB"/>
        </w:rPr>
        <w:t>BR</w:t>
      </w:r>
      <w:r w:rsidR="00FB07B3" w:rsidRPr="00AB514A">
        <w:rPr>
          <w:lang w:val="en-GB"/>
        </w:rPr>
        <w:t>)</w:t>
      </w:r>
      <w:r w:rsidRPr="00AB514A">
        <w:rPr>
          <w:lang w:val="en-GB"/>
        </w:rPr>
        <w:t xml:space="preserve"> introduced Document C26/111</w:t>
      </w:r>
      <w:r w:rsidR="00951177">
        <w:rPr>
          <w:lang w:val="en-GB"/>
        </w:rPr>
        <w:t>, which contained</w:t>
      </w:r>
      <w:r w:rsidRPr="00AB514A">
        <w:rPr>
          <w:lang w:val="en-GB"/>
        </w:rPr>
        <w:t xml:space="preserve"> a response from </w:t>
      </w:r>
      <w:r w:rsidR="00FB07B3" w:rsidRPr="00AB514A">
        <w:rPr>
          <w:lang w:val="en-GB"/>
        </w:rPr>
        <w:t>the Radiocommunication Advisory Group (</w:t>
      </w:r>
      <w:r w:rsidRPr="00AB514A">
        <w:rPr>
          <w:lang w:val="en-GB"/>
        </w:rPr>
        <w:t>RAG</w:t>
      </w:r>
      <w:r w:rsidR="00FB07B3" w:rsidRPr="00AB514A">
        <w:rPr>
          <w:lang w:val="en-GB"/>
        </w:rPr>
        <w:t>)</w:t>
      </w:r>
      <w:r w:rsidRPr="00AB514A">
        <w:rPr>
          <w:lang w:val="en-GB"/>
        </w:rPr>
        <w:t xml:space="preserve"> to a liaison statement from CWG-FHR to the </w:t>
      </w:r>
      <w:r w:rsidR="00FB07B3" w:rsidRPr="00AB514A">
        <w:rPr>
          <w:lang w:val="en-GB"/>
        </w:rPr>
        <w:t>S</w:t>
      </w:r>
      <w:r w:rsidRPr="00AB514A">
        <w:rPr>
          <w:lang w:val="en-GB"/>
        </w:rPr>
        <w:t xml:space="preserve">ector advisory groups and the </w:t>
      </w:r>
      <w:r w:rsidR="00FB07B3" w:rsidRPr="00AB514A">
        <w:rPr>
          <w:lang w:val="en-GB"/>
        </w:rPr>
        <w:t>I</w:t>
      </w:r>
      <w:r w:rsidRPr="00AB514A">
        <w:rPr>
          <w:lang w:val="en-GB"/>
        </w:rPr>
        <w:t>nter</w:t>
      </w:r>
      <w:r w:rsidR="00FB07B3" w:rsidRPr="00AB514A">
        <w:rPr>
          <w:lang w:val="en-GB"/>
        </w:rPr>
        <w:t>-S</w:t>
      </w:r>
      <w:r w:rsidRPr="00AB514A">
        <w:rPr>
          <w:lang w:val="en-GB"/>
        </w:rPr>
        <w:t xml:space="preserve">ector </w:t>
      </w:r>
      <w:r w:rsidR="00FB07B3" w:rsidRPr="00AB514A">
        <w:rPr>
          <w:lang w:val="en-GB"/>
        </w:rPr>
        <w:t>C</w:t>
      </w:r>
      <w:r w:rsidRPr="00AB514A">
        <w:rPr>
          <w:lang w:val="en-GB"/>
        </w:rPr>
        <w:t xml:space="preserve">oordination </w:t>
      </w:r>
      <w:r w:rsidR="00FB07B3" w:rsidRPr="00AB514A">
        <w:rPr>
          <w:lang w:val="en-GB"/>
        </w:rPr>
        <w:t>G</w:t>
      </w:r>
      <w:r w:rsidRPr="00AB514A">
        <w:rPr>
          <w:lang w:val="en-GB"/>
        </w:rPr>
        <w:t>roup</w:t>
      </w:r>
      <w:r w:rsidR="00FB07B3" w:rsidRPr="00AB514A">
        <w:rPr>
          <w:lang w:val="en-GB"/>
        </w:rPr>
        <w:t xml:space="preserve"> concerning</w:t>
      </w:r>
      <w:r w:rsidRPr="00AB514A">
        <w:rPr>
          <w:lang w:val="en-GB"/>
        </w:rPr>
        <w:t xml:space="preserve"> the process for providing estimates of the financial implications of proposed decisions and resolutions emanating from ITU conferences and assemblies. At its 33</w:t>
      </w:r>
      <w:r w:rsidRPr="00AB514A">
        <w:rPr>
          <w:vertAlign w:val="superscript"/>
          <w:lang w:val="en-GB"/>
        </w:rPr>
        <w:t>rd</w:t>
      </w:r>
      <w:r w:rsidRPr="00AB514A">
        <w:rPr>
          <w:lang w:val="en-GB"/>
        </w:rPr>
        <w:t xml:space="preserve"> meeting, RAG had discussed the difficulties in providing estimates by following the proposed cost estimation methodology in the context of W</w:t>
      </w:r>
      <w:r w:rsidR="0075630B">
        <w:rPr>
          <w:lang w:val="en-GB"/>
        </w:rPr>
        <w:t>RC</w:t>
      </w:r>
      <w:r w:rsidRPr="00AB514A">
        <w:rPr>
          <w:lang w:val="en-GB"/>
        </w:rPr>
        <w:t xml:space="preserve">s and had concluded that </w:t>
      </w:r>
      <w:r w:rsidR="00E305FB">
        <w:rPr>
          <w:lang w:val="en-GB"/>
        </w:rPr>
        <w:t xml:space="preserve">it would be challenging to </w:t>
      </w:r>
      <w:r w:rsidRPr="00AB514A">
        <w:rPr>
          <w:lang w:val="en-GB"/>
        </w:rPr>
        <w:t>follow the proposed methodology for WRC-27</w:t>
      </w:r>
      <w:r w:rsidR="68701BA5" w:rsidRPr="516BB788">
        <w:rPr>
          <w:lang w:val="en-GB"/>
        </w:rPr>
        <w:t xml:space="preserve"> at th</w:t>
      </w:r>
      <w:r w:rsidR="00FD368D">
        <w:rPr>
          <w:lang w:val="en-GB"/>
        </w:rPr>
        <w:t>at</w:t>
      </w:r>
      <w:r w:rsidR="68701BA5" w:rsidRPr="516BB788">
        <w:rPr>
          <w:lang w:val="en-GB"/>
        </w:rPr>
        <w:t xml:space="preserve"> point in time</w:t>
      </w:r>
      <w:r w:rsidRPr="00AB514A">
        <w:rPr>
          <w:lang w:val="en-GB"/>
        </w:rPr>
        <w:t>.</w:t>
      </w:r>
    </w:p>
    <w:p w14:paraId="0044D7EE" w14:textId="22041265" w:rsidR="002E0E42" w:rsidRPr="00AB514A" w:rsidRDefault="002E0E42" w:rsidP="002E0E42">
      <w:pPr>
        <w:rPr>
          <w:lang w:val="en-GB"/>
        </w:rPr>
      </w:pPr>
      <w:r w:rsidRPr="00AB514A">
        <w:rPr>
          <w:lang w:val="en-GB"/>
        </w:rPr>
        <w:t>4.2</w:t>
      </w:r>
      <w:r w:rsidRPr="00AB514A">
        <w:rPr>
          <w:lang w:val="en-GB"/>
        </w:rPr>
        <w:tab/>
        <w:t xml:space="preserve">In the ensuing discussion, while acknowledging the complexities of calculating the financial implications of WRC resolutions, some councillors expressed concern that compliance with Article 34 of the Convention could be </w:t>
      </w:r>
      <w:r w:rsidR="00604FC1">
        <w:rPr>
          <w:lang w:val="en-GB"/>
        </w:rPr>
        <w:t>undermined</w:t>
      </w:r>
      <w:r w:rsidRPr="00AB514A">
        <w:rPr>
          <w:lang w:val="en-GB"/>
        </w:rPr>
        <w:t xml:space="preserve"> if the financial impacts of the resolutions adopted at WRC-27 could not be estimated. The complex nature of the decisions taken at WRC did not justify lack of compliance with the Convention. While exact predictions could not be expected, an approximate </w:t>
      </w:r>
      <w:r w:rsidR="00E305FB">
        <w:rPr>
          <w:lang w:val="en-GB"/>
        </w:rPr>
        <w:t xml:space="preserve">cost </w:t>
      </w:r>
      <w:r w:rsidRPr="00AB514A">
        <w:rPr>
          <w:lang w:val="en-GB"/>
        </w:rPr>
        <w:t>estimation should be possible, particularly since WRC was a recurring conference, the agenda of which was planned four years in advance and the outcomes of which were quite predictable. The liaison statement from RAG did not give any information specifying the particular difficulties of calculating cost estimates for WRC resolutions and decisions; a more detailed explanation of the nature of those challenges would therefore be appreciated.</w:t>
      </w:r>
    </w:p>
    <w:p w14:paraId="1C60D4F7" w14:textId="66332F21" w:rsidR="002E0E42" w:rsidRPr="00AB514A" w:rsidRDefault="002E0E42" w:rsidP="002E0E42">
      <w:pPr>
        <w:rPr>
          <w:lang w:val="en-GB"/>
        </w:rPr>
      </w:pPr>
      <w:r w:rsidRPr="00AB514A">
        <w:rPr>
          <w:lang w:val="en-GB"/>
        </w:rPr>
        <w:t>4.3</w:t>
      </w:r>
      <w:r w:rsidRPr="00AB514A">
        <w:rPr>
          <w:lang w:val="en-GB"/>
        </w:rPr>
        <w:tab/>
        <w:t xml:space="preserve">Other councillors </w:t>
      </w:r>
      <w:r w:rsidR="00730095">
        <w:rPr>
          <w:lang w:val="en-GB"/>
        </w:rPr>
        <w:t>said</w:t>
      </w:r>
      <w:r w:rsidR="00F44C40" w:rsidRPr="00AB514A">
        <w:rPr>
          <w:lang w:val="en-GB"/>
        </w:rPr>
        <w:t xml:space="preserve"> </w:t>
      </w:r>
      <w:r w:rsidR="00F44C40">
        <w:rPr>
          <w:lang w:val="en-GB"/>
        </w:rPr>
        <w:t>t</w:t>
      </w:r>
      <w:r w:rsidRPr="00AB514A">
        <w:rPr>
          <w:lang w:val="en-GB"/>
        </w:rPr>
        <w:t xml:space="preserve">he fact that WRC decisions and resolutions were subject to significant amendment during the Conference, meant that it would not be realistic to expect the type of advance calculations that were possible for other conferences. It was not a matter of failing to uphold Article 34, but rather a question of how to ensure that </w:t>
      </w:r>
      <w:r w:rsidR="002C4582" w:rsidRPr="00AB514A">
        <w:rPr>
          <w:lang w:val="en-GB"/>
        </w:rPr>
        <w:t>Article</w:t>
      </w:r>
      <w:r w:rsidR="002C4582">
        <w:rPr>
          <w:lang w:val="en-GB"/>
        </w:rPr>
        <w:t> </w:t>
      </w:r>
      <w:r w:rsidRPr="00AB514A">
        <w:rPr>
          <w:lang w:val="en-GB"/>
        </w:rPr>
        <w:t>34 was respected, despite the difficulties of estimating the financial impacts of the resolutions and decisions of a WRC. Consideration should be given to whether a generic cost calculation methodology applicable to all meetings and conferences was in fact appropriate, or whether specific calculation methods should be used for specific conferences and assemblies. For WRC, the cost calculation methodology should take account of the fact that the Conference not only approved new activities for the Union, but also abrogated and replaced outdated activities. The result of the Conference was therefore not simply the addition of activities requiring additional resources. The Union’s resources were finite and must be managed appropriately; presentation of the budget and financial situation of the Union was therefore a key aspect of understanding the availability of funds and ensuring compliance with Article</w:t>
      </w:r>
      <w:r w:rsidR="002C4582">
        <w:rPr>
          <w:lang w:val="en-GB"/>
        </w:rPr>
        <w:t> </w:t>
      </w:r>
      <w:r w:rsidRPr="00AB514A">
        <w:rPr>
          <w:lang w:val="en-GB"/>
        </w:rPr>
        <w:t xml:space="preserve">34. An appropriate cost </w:t>
      </w:r>
      <w:r w:rsidR="00E305FB">
        <w:rPr>
          <w:lang w:val="en-GB"/>
        </w:rPr>
        <w:t>estimation</w:t>
      </w:r>
      <w:r w:rsidR="00E305FB" w:rsidRPr="00AB514A">
        <w:rPr>
          <w:lang w:val="en-GB"/>
        </w:rPr>
        <w:t xml:space="preserve"> </w:t>
      </w:r>
      <w:r w:rsidRPr="00AB514A">
        <w:rPr>
          <w:lang w:val="en-GB"/>
        </w:rPr>
        <w:t>methodology for the financial implications of resolutions and decisions was therefore an important element of the Union’s financial management and ensuring that it could deliver on its core mandate. The matter required careful consideration and further discussion, taking account of the unique nature of each sector, which should continue under the aegis of CWG-FHR.</w:t>
      </w:r>
    </w:p>
    <w:p w14:paraId="509BD21C" w14:textId="46E85481" w:rsidR="002E0E42" w:rsidRPr="00AB514A" w:rsidRDefault="002E0E42" w:rsidP="009443A7">
      <w:pPr>
        <w:spacing w:line="259" w:lineRule="auto"/>
        <w:rPr>
          <w:lang w:val="en-GB"/>
        </w:rPr>
      </w:pPr>
      <w:r w:rsidRPr="3FC50902">
        <w:rPr>
          <w:lang w:val="en-GB"/>
        </w:rPr>
        <w:t>4.4</w:t>
      </w:r>
      <w:r w:rsidRPr="00AB514A">
        <w:rPr>
          <w:lang w:val="en-GB"/>
        </w:rPr>
        <w:tab/>
      </w:r>
      <w:r w:rsidRPr="3FC50902">
        <w:rPr>
          <w:lang w:val="en-GB"/>
        </w:rPr>
        <w:t xml:space="preserve">The Director </w:t>
      </w:r>
      <w:r w:rsidR="00FB07B3" w:rsidRPr="3FC50902">
        <w:rPr>
          <w:lang w:val="en-GB"/>
        </w:rPr>
        <w:t xml:space="preserve">of </w:t>
      </w:r>
      <w:r w:rsidRPr="3FC50902">
        <w:rPr>
          <w:lang w:val="en-GB"/>
        </w:rPr>
        <w:t>BR said that RAG had considered the methodology, by which Member States and regional organizations had to estimate the costs of their proposals before a conference took place. While that exercise could be carried out, the subsequent procedure for considering and analysing the potential combinations of implications of all of those proposals resulted in numerous possible outcomes. Subsequently, during WRC, the decisions and resolutions could be subject to significant change, and the outcomes could be vastly different from the costs estimated. RAG had wished to highlight the difficulties and challenges in that regard. The suggestion was therefore to consider a different way forward to ensure that the decisions and resolutions of the Conference could be implemented.</w:t>
      </w:r>
      <w:r w:rsidR="08FAFFEE" w:rsidRPr="3FC50902">
        <w:rPr>
          <w:lang w:val="en-GB"/>
        </w:rPr>
        <w:t xml:space="preserve"> </w:t>
      </w:r>
      <w:r w:rsidR="08FAFFEE" w:rsidRPr="3FC50902">
        <w:rPr>
          <w:rFonts w:eastAsia="Calibri" w:cs="Calibri"/>
          <w:szCs w:val="24"/>
          <w:lang w:val="en-GB"/>
        </w:rPr>
        <w:t xml:space="preserve">Attention should be paid to the nature of the proposals submitted to WRC, which </w:t>
      </w:r>
      <w:r w:rsidR="00E55F1C">
        <w:rPr>
          <w:rFonts w:eastAsia="Calibri" w:cs="Calibri"/>
          <w:szCs w:val="24"/>
          <w:lang w:val="en-GB"/>
        </w:rPr>
        <w:t>we</w:t>
      </w:r>
      <w:r w:rsidR="08FAFFEE" w:rsidRPr="3FC50902">
        <w:rPr>
          <w:rFonts w:eastAsia="Calibri" w:cs="Calibri"/>
          <w:szCs w:val="24"/>
          <w:lang w:val="en-GB"/>
        </w:rPr>
        <w:t xml:space="preserve">re in many cases heavily supported by industry, and curtailing them for budgetary reasons would severely erode industry’s trust </w:t>
      </w:r>
      <w:r w:rsidR="08FAFFEE" w:rsidRPr="3FC50902">
        <w:rPr>
          <w:lang w:val="en-GB"/>
        </w:rPr>
        <w:t xml:space="preserve">and </w:t>
      </w:r>
      <w:r w:rsidR="08FAFFEE" w:rsidRPr="3FC50902">
        <w:rPr>
          <w:rFonts w:eastAsia="Calibri" w:cs="Calibri"/>
          <w:szCs w:val="24"/>
          <w:lang w:val="en-GB"/>
        </w:rPr>
        <w:t>confidence in ITU.</w:t>
      </w:r>
    </w:p>
    <w:p w14:paraId="7DA45D83" w14:textId="3DBB62A0" w:rsidR="002E0E42" w:rsidRPr="00AB514A" w:rsidRDefault="002E0E42" w:rsidP="004240F1">
      <w:pPr>
        <w:keepNext/>
        <w:keepLines/>
        <w:spacing w:line="259" w:lineRule="auto"/>
        <w:rPr>
          <w:rFonts w:eastAsia="Calibri" w:cs="Calibri"/>
          <w:lang w:val="en-GB"/>
        </w:rPr>
      </w:pPr>
      <w:r w:rsidRPr="00AB514A">
        <w:rPr>
          <w:lang w:val="en-GB"/>
        </w:rPr>
        <w:t>4.5</w:t>
      </w:r>
      <w:r w:rsidRPr="00AB514A">
        <w:rPr>
          <w:lang w:val="en-GB"/>
        </w:rPr>
        <w:tab/>
      </w:r>
      <w:r w:rsidRPr="00AB514A">
        <w:rPr>
          <w:rFonts w:eastAsia="Calibri" w:cs="Calibri"/>
          <w:lang w:val="en-GB"/>
        </w:rPr>
        <w:t xml:space="preserve">The committee </w:t>
      </w:r>
      <w:r w:rsidRPr="00AB514A">
        <w:rPr>
          <w:rFonts w:eastAsia="Calibri" w:cs="Calibri"/>
          <w:b/>
          <w:bCs/>
          <w:lang w:val="en-GB"/>
        </w:rPr>
        <w:t>agreed</w:t>
      </w:r>
      <w:r w:rsidRPr="00AB514A">
        <w:rPr>
          <w:rFonts w:eastAsia="Calibri" w:cs="Calibri"/>
          <w:lang w:val="en-GB"/>
        </w:rPr>
        <w:t xml:space="preserve"> to conclude as follows on the matter:</w:t>
      </w:r>
    </w:p>
    <w:p w14:paraId="256E8D8D" w14:textId="250583F9" w:rsidR="002C4582" w:rsidRDefault="002E0E42" w:rsidP="004240F1">
      <w:pPr>
        <w:keepNext/>
        <w:keepLines/>
        <w:pBdr>
          <w:top w:val="single" w:sz="4" w:space="4" w:color="000000"/>
          <w:left w:val="single" w:sz="4" w:space="4" w:color="000000"/>
          <w:bottom w:val="single" w:sz="4" w:space="4" w:color="000000"/>
          <w:right w:val="single" w:sz="4" w:space="4" w:color="000000"/>
        </w:pBdr>
        <w:spacing w:line="259" w:lineRule="auto"/>
        <w:rPr>
          <w:rFonts w:eastAsia="Aptos"/>
          <w:lang w:val="en-GB"/>
        </w:rPr>
      </w:pPr>
      <w:r w:rsidRPr="00AB514A">
        <w:rPr>
          <w:rFonts w:eastAsia="Calibri" w:cs="Calibri"/>
          <w:lang w:val="en-GB"/>
        </w:rPr>
        <w:t>4.6</w:t>
      </w:r>
      <w:r w:rsidRPr="00AB514A">
        <w:rPr>
          <w:rFonts w:eastAsia="Calibri" w:cs="Calibri"/>
          <w:lang w:val="en-GB"/>
        </w:rPr>
        <w:tab/>
        <w:t>The committee recommends that the</w:t>
      </w:r>
      <w:r w:rsidRPr="00AB514A">
        <w:rPr>
          <w:rFonts w:eastAsia="Calibri" w:cs="Calibri"/>
          <w:b/>
          <w:lang w:val="en-GB"/>
        </w:rPr>
        <w:t xml:space="preserve"> </w:t>
      </w:r>
      <w:r w:rsidR="003815D4" w:rsidRPr="002B7D0E">
        <w:rPr>
          <w:rFonts w:eastAsia="Calibri" w:cs="Calibri"/>
          <w:bCs/>
          <w:lang w:val="en-GB"/>
        </w:rPr>
        <w:t>Council:</w:t>
      </w:r>
    </w:p>
    <w:p w14:paraId="2FEC7C22" w14:textId="078C1E2E" w:rsidR="002E0E42" w:rsidRPr="00AB514A" w:rsidRDefault="003815D4" w:rsidP="004A7F4F">
      <w:pPr>
        <w:pBdr>
          <w:top w:val="single" w:sz="4" w:space="4" w:color="000000"/>
          <w:left w:val="single" w:sz="4" w:space="4" w:color="000000"/>
          <w:bottom w:val="single" w:sz="4" w:space="4" w:color="000000"/>
          <w:right w:val="single" w:sz="4" w:space="4" w:color="000000"/>
        </w:pBdr>
        <w:spacing w:before="80" w:line="259" w:lineRule="auto"/>
        <w:ind w:left="567" w:hanging="567"/>
        <w:rPr>
          <w:rFonts w:eastAsia="Calibri" w:cs="Calibri"/>
          <w:lang w:val="en-GB"/>
        </w:rPr>
      </w:pPr>
      <w:r w:rsidRPr="00AB514A">
        <w:rPr>
          <w:rFonts w:eastAsia="Aptos"/>
          <w:lang w:val="en-GB"/>
        </w:rPr>
        <w:t>•</w:t>
      </w:r>
      <w:r w:rsidRPr="00AB514A">
        <w:rPr>
          <w:rFonts w:eastAsia="Aptos"/>
          <w:lang w:val="en-GB"/>
        </w:rPr>
        <w:tab/>
      </w:r>
      <w:r>
        <w:rPr>
          <w:rFonts w:eastAsia="Aptos"/>
          <w:lang w:val="en-GB"/>
        </w:rPr>
        <w:t xml:space="preserve">continue the </w:t>
      </w:r>
      <w:r w:rsidR="002E0E42" w:rsidRPr="00AB514A">
        <w:rPr>
          <w:rFonts w:eastAsia="Calibri" w:cs="Calibri"/>
          <w:bCs/>
          <w:lang w:val="en-GB"/>
        </w:rPr>
        <w:t xml:space="preserve">process </w:t>
      </w:r>
      <w:r w:rsidR="007406DE">
        <w:rPr>
          <w:rFonts w:eastAsia="Calibri" w:cs="Calibri"/>
          <w:bCs/>
          <w:lang w:val="en-GB"/>
        </w:rPr>
        <w:t xml:space="preserve">of devising a cost estimation methodology for the </w:t>
      </w:r>
      <w:r w:rsidR="002E0E42" w:rsidRPr="00AB514A">
        <w:rPr>
          <w:rFonts w:eastAsia="Calibri" w:cs="Calibri"/>
          <w:bCs/>
          <w:lang w:val="en-GB"/>
        </w:rPr>
        <w:t xml:space="preserve">financial implications of proposed decisions and resolutions </w:t>
      </w:r>
      <w:r w:rsidR="00E305FB">
        <w:rPr>
          <w:rFonts w:eastAsia="Calibri" w:cs="Calibri"/>
          <w:bCs/>
          <w:lang w:val="en-GB"/>
        </w:rPr>
        <w:t>of</w:t>
      </w:r>
      <w:r w:rsidR="00E305FB" w:rsidRPr="00AB514A">
        <w:rPr>
          <w:rFonts w:eastAsia="Calibri" w:cs="Calibri"/>
          <w:bCs/>
          <w:lang w:val="en-GB"/>
        </w:rPr>
        <w:t xml:space="preserve"> </w:t>
      </w:r>
      <w:r w:rsidR="002E0E42" w:rsidRPr="00AB514A">
        <w:rPr>
          <w:rFonts w:eastAsia="Calibri" w:cs="Calibri"/>
          <w:bCs/>
          <w:lang w:val="en-GB"/>
        </w:rPr>
        <w:t xml:space="preserve">ITU conferences and </w:t>
      </w:r>
      <w:r w:rsidR="00593BCE" w:rsidRPr="00AB514A">
        <w:rPr>
          <w:rFonts w:eastAsia="Calibri" w:cs="Calibri"/>
          <w:bCs/>
          <w:lang w:val="en-GB"/>
        </w:rPr>
        <w:t>a</w:t>
      </w:r>
      <w:r w:rsidR="002E0E42" w:rsidRPr="00AB514A">
        <w:rPr>
          <w:rFonts w:eastAsia="Calibri" w:cs="Calibri"/>
          <w:bCs/>
          <w:lang w:val="en-GB"/>
        </w:rPr>
        <w:t>ssemblies</w:t>
      </w:r>
      <w:r w:rsidR="002E0E42" w:rsidRPr="00AB514A">
        <w:rPr>
          <w:rFonts w:eastAsia="Calibri" w:cs="Calibri"/>
          <w:b/>
          <w:lang w:val="en-GB"/>
        </w:rPr>
        <w:t xml:space="preserve"> </w:t>
      </w:r>
      <w:r w:rsidR="002E0E42" w:rsidRPr="00AB514A">
        <w:rPr>
          <w:rFonts w:eastAsia="Calibri" w:cs="Calibri"/>
          <w:lang w:val="en-GB"/>
        </w:rPr>
        <w:t>under the aegis of CWG-FHR.</w:t>
      </w:r>
    </w:p>
    <w:p w14:paraId="04E958E2" w14:textId="72FD1DCC" w:rsidR="00AB51A1" w:rsidRPr="00AB514A" w:rsidRDefault="00D327C0" w:rsidP="00AB51A1">
      <w:pPr>
        <w:pStyle w:val="Heading1"/>
        <w:rPr>
          <w:lang w:val="en-GB"/>
        </w:rPr>
      </w:pPr>
      <w:r w:rsidRPr="00AB514A">
        <w:rPr>
          <w:lang w:val="en-GB"/>
        </w:rPr>
        <w:t>5</w:t>
      </w:r>
      <w:r w:rsidR="00AB51A1" w:rsidRPr="00AB514A">
        <w:rPr>
          <w:lang w:val="en-GB"/>
        </w:rPr>
        <w:tab/>
        <w:t xml:space="preserve">Information and Communication Technologies Development Fund (Document </w:t>
      </w:r>
      <w:hyperlink r:id="rId19" w:history="1">
        <w:r w:rsidR="00AB51A1" w:rsidRPr="00AB514A">
          <w:rPr>
            <w:rStyle w:val="Hyperlink"/>
            <w:bCs/>
            <w:lang w:val="en-GB"/>
          </w:rPr>
          <w:t>C26/</w:t>
        </w:r>
        <w:r w:rsidR="00AB51A1" w:rsidRPr="00AB514A">
          <w:rPr>
            <w:rStyle w:val="Hyperlink"/>
            <w:lang w:val="en-GB"/>
          </w:rPr>
          <w:t>34</w:t>
        </w:r>
      </w:hyperlink>
      <w:r w:rsidR="00AB51A1" w:rsidRPr="00AB514A">
        <w:rPr>
          <w:lang w:val="en-GB"/>
        </w:rPr>
        <w:t>)</w:t>
      </w:r>
    </w:p>
    <w:p w14:paraId="14E89786" w14:textId="610F0DDC" w:rsidR="00061EFB" w:rsidRPr="00AB514A" w:rsidRDefault="00061EFB" w:rsidP="00061EFB">
      <w:pPr>
        <w:spacing w:line="259" w:lineRule="auto"/>
        <w:rPr>
          <w:rFonts w:eastAsia="Calibri" w:cs="Calibri"/>
          <w:lang w:val="en-GB"/>
        </w:rPr>
      </w:pPr>
      <w:r w:rsidRPr="00B67477">
        <w:rPr>
          <w:rFonts w:eastAsia="Calibri" w:cs="Calibri"/>
          <w:lang w:val="en-GB"/>
        </w:rPr>
        <w:t>5.1</w:t>
      </w:r>
      <w:r w:rsidRPr="00B67477">
        <w:rPr>
          <w:lang w:val="en-GB"/>
        </w:rPr>
        <w:tab/>
      </w:r>
      <w:r w:rsidR="00AB4AF4">
        <w:rPr>
          <w:rFonts w:eastAsia="Calibri" w:cs="Calibri"/>
          <w:lang w:val="en-GB"/>
        </w:rPr>
        <w:t xml:space="preserve">A representative of the </w:t>
      </w:r>
      <w:r w:rsidR="001F6381">
        <w:rPr>
          <w:rFonts w:eastAsia="Calibri" w:cs="Calibri"/>
          <w:lang w:val="en-GB"/>
        </w:rPr>
        <w:t>Telecommunication Development Bureau (</w:t>
      </w:r>
      <w:r w:rsidRPr="00B67477">
        <w:rPr>
          <w:rFonts w:eastAsia="Calibri" w:cs="Calibri"/>
          <w:lang w:val="en-GB"/>
        </w:rPr>
        <w:t>BDT</w:t>
      </w:r>
      <w:r w:rsidR="001F6381">
        <w:rPr>
          <w:rFonts w:eastAsia="Calibri" w:cs="Calibri"/>
          <w:lang w:val="en-GB"/>
        </w:rPr>
        <w:t>)</w:t>
      </w:r>
      <w:r w:rsidR="0006465A" w:rsidDel="001F6381">
        <w:rPr>
          <w:rFonts w:eastAsia="Calibri" w:cs="Calibri"/>
          <w:lang w:val="en-GB"/>
        </w:rPr>
        <w:t xml:space="preserve"> </w:t>
      </w:r>
      <w:r w:rsidRPr="00B67477">
        <w:rPr>
          <w:rFonts w:eastAsia="Calibri" w:cs="Calibri"/>
          <w:lang w:val="en-GB"/>
        </w:rPr>
        <w:t xml:space="preserve">presented the report on the status of the </w:t>
      </w:r>
      <w:r w:rsidR="00A75DFD" w:rsidRPr="00A75DFD">
        <w:rPr>
          <w:rFonts w:eastAsia="Calibri" w:cs="Calibri"/>
          <w:lang w:val="en-GB"/>
        </w:rPr>
        <w:t xml:space="preserve">Information and Communication Technologies Development Fund </w:t>
      </w:r>
      <w:r w:rsidR="00A75DFD">
        <w:rPr>
          <w:rFonts w:eastAsia="Calibri" w:cs="Calibri"/>
          <w:lang w:val="en-GB"/>
        </w:rPr>
        <w:t>(</w:t>
      </w:r>
      <w:r w:rsidRPr="00B67477">
        <w:rPr>
          <w:rFonts w:eastAsia="Calibri" w:cs="Calibri"/>
          <w:lang w:val="en-GB"/>
        </w:rPr>
        <w:t>ICT-DF</w:t>
      </w:r>
      <w:r w:rsidR="00A75DFD">
        <w:rPr>
          <w:rFonts w:eastAsia="Calibri" w:cs="Calibri"/>
          <w:lang w:val="en-GB"/>
        </w:rPr>
        <w:t>)</w:t>
      </w:r>
      <w:r w:rsidRPr="00B67477">
        <w:rPr>
          <w:rFonts w:eastAsia="Calibri" w:cs="Calibri"/>
          <w:lang w:val="en-GB"/>
        </w:rPr>
        <w:t>, contained in Document C26/34, which summarized the key activities of the ICT-DF and showcased the development projects to which it contributed. The report set out the financial situation of the Fund, as well as providing information on the funds available in the Exhibition Working Capital Fund (EWCF), the ICT-DF Capital Account and the Administrative and Operational Services (AOS) amounts generated at the end of 2025.</w:t>
      </w:r>
      <w:r w:rsidRPr="00B67477">
        <w:rPr>
          <w:lang w:val="en-GB"/>
        </w:rPr>
        <w:t xml:space="preserve"> </w:t>
      </w:r>
      <w:r w:rsidRPr="00B67477">
        <w:rPr>
          <w:rFonts w:eastAsia="Calibri" w:cs="Calibri"/>
          <w:lang w:val="en-GB"/>
        </w:rPr>
        <w:t>At the end of 2025, a surplus of CHF 559 800 had been generated over the budgeted AOS of CHF</w:t>
      </w:r>
      <w:r w:rsidR="002C4582">
        <w:rPr>
          <w:rFonts w:eastAsia="Calibri" w:cs="Calibri"/>
          <w:lang w:val="en-GB"/>
        </w:rPr>
        <w:t> </w:t>
      </w:r>
      <w:r w:rsidRPr="00B67477">
        <w:rPr>
          <w:rFonts w:eastAsia="Calibri" w:cs="Calibri"/>
          <w:lang w:val="en-GB"/>
        </w:rPr>
        <w:t>900 000.</w:t>
      </w:r>
    </w:p>
    <w:p w14:paraId="201837F2" w14:textId="1993987A" w:rsidR="00061EFB" w:rsidRPr="00AB514A" w:rsidRDefault="00061EFB" w:rsidP="00061EFB">
      <w:pPr>
        <w:spacing w:line="259" w:lineRule="auto"/>
        <w:rPr>
          <w:rFonts w:eastAsia="Calibri" w:cs="Calibri"/>
          <w:lang w:val="en-GB"/>
        </w:rPr>
      </w:pPr>
      <w:r w:rsidRPr="00AB514A">
        <w:rPr>
          <w:rFonts w:eastAsia="Calibri" w:cs="Calibri"/>
          <w:lang w:val="en-GB"/>
        </w:rPr>
        <w:t>5.2</w:t>
      </w:r>
      <w:r w:rsidRPr="00AB514A">
        <w:rPr>
          <w:rFonts w:eastAsia="Calibri" w:cs="Calibri"/>
          <w:lang w:val="en-GB"/>
        </w:rPr>
        <w:tab/>
        <w:t>Councillors welcomed the status report on the ICT-DF and underscored the importance of the Fund. They noted the growing project portfolio, and the Fund’s contribution to key areas and activities, especially the provision of ICT infrastructure in least developed countries and rural and remote areas. Ensuring sustainable and predic</w:t>
      </w:r>
      <w:r w:rsidR="00ED1D1A">
        <w:rPr>
          <w:rFonts w:eastAsia="Calibri" w:cs="Calibri"/>
          <w:lang w:val="en-GB"/>
        </w:rPr>
        <w:t>t</w:t>
      </w:r>
      <w:r w:rsidRPr="00AB514A">
        <w:rPr>
          <w:rFonts w:eastAsia="Calibri" w:cs="Calibri"/>
          <w:lang w:val="en-GB"/>
        </w:rPr>
        <w:t>able funding was key. The continuous replenishment of the Fund and the suggested way forward, in particular the transfer of the surplus amount from AOS recovery to strengthen the ICT-DF Capital Account, were supported.</w:t>
      </w:r>
    </w:p>
    <w:p w14:paraId="5EF9A34E" w14:textId="0693B9BA" w:rsidR="00061EFB" w:rsidRPr="00AB514A" w:rsidRDefault="00061EFB" w:rsidP="00061EFB">
      <w:pPr>
        <w:spacing w:line="259" w:lineRule="auto"/>
        <w:rPr>
          <w:lang w:val="en-GB"/>
        </w:rPr>
      </w:pPr>
      <w:r w:rsidRPr="00AB514A">
        <w:rPr>
          <w:rFonts w:eastAsia="Calibri" w:cs="Calibri"/>
          <w:lang w:val="en-GB"/>
        </w:rPr>
        <w:t>5.3</w:t>
      </w:r>
      <w:r w:rsidRPr="00AB514A">
        <w:rPr>
          <w:rFonts w:eastAsia="Calibri" w:cs="Calibri"/>
          <w:lang w:val="en-GB"/>
        </w:rPr>
        <w:tab/>
      </w:r>
      <w:r w:rsidR="00A43FEA">
        <w:rPr>
          <w:rFonts w:eastAsia="Calibri" w:cs="Calibri"/>
          <w:lang w:val="en-GB"/>
        </w:rPr>
        <w:t>The representative</w:t>
      </w:r>
      <w:r w:rsidR="00745B1E">
        <w:rPr>
          <w:rFonts w:eastAsia="Calibri" w:cs="Calibri"/>
          <w:lang w:val="en-GB"/>
        </w:rPr>
        <w:t xml:space="preserve"> of BDT</w:t>
      </w:r>
      <w:r w:rsidRPr="00AB514A">
        <w:rPr>
          <w:rFonts w:eastAsia="Calibri" w:cs="Calibri"/>
          <w:lang w:val="en-GB"/>
        </w:rPr>
        <w:t xml:space="preserve"> responding to questions raised, said that </w:t>
      </w:r>
      <w:r w:rsidRPr="00AB514A">
        <w:rPr>
          <w:lang w:val="en-GB"/>
        </w:rPr>
        <w:t xml:space="preserve">at the end of 2025 there had been some CHF 2.9 million in the ICT-DF Capital Account, with projects worth CHF 1.4 million still pending signature. Half of those projects had since been signed. Taking that into account, and on the understanding that </w:t>
      </w:r>
      <w:r w:rsidR="00CC7F9C">
        <w:rPr>
          <w:lang w:val="en-GB"/>
        </w:rPr>
        <w:t xml:space="preserve">the </w:t>
      </w:r>
      <w:r w:rsidRPr="00AB514A">
        <w:rPr>
          <w:lang w:val="en-GB"/>
        </w:rPr>
        <w:t>Council would approve the transfer of the CHF  559 800 surplus</w:t>
      </w:r>
      <w:r w:rsidR="003C686C">
        <w:rPr>
          <w:lang w:val="en-GB"/>
        </w:rPr>
        <w:t xml:space="preserve"> (see Document </w:t>
      </w:r>
      <w:hyperlink r:id="rId20" w:history="1">
        <w:r w:rsidR="003C686C" w:rsidRPr="009E20FA">
          <w:rPr>
            <w:rStyle w:val="Hyperlink"/>
            <w:rFonts w:cs="Times New Roman"/>
            <w:szCs w:val="20"/>
            <w:lang w:val="en-GB"/>
          </w:rPr>
          <w:t>C26/42</w:t>
        </w:r>
      </w:hyperlink>
      <w:r w:rsidR="00EA239D">
        <w:rPr>
          <w:lang w:val="en-GB"/>
        </w:rPr>
        <w:t xml:space="preserve"> </w:t>
      </w:r>
      <w:r w:rsidR="00EA239D" w:rsidRPr="007A6B6C">
        <w:rPr>
          <w:lang w:val="en-GB"/>
        </w:rPr>
        <w:t>and</w:t>
      </w:r>
      <w:r w:rsidR="00EA239D" w:rsidRPr="004F2882">
        <w:rPr>
          <w:lang w:val="en-GB"/>
        </w:rPr>
        <w:t xml:space="preserve"> §</w:t>
      </w:r>
      <w:r w:rsidR="004F2882" w:rsidRPr="004F2882">
        <w:rPr>
          <w:lang w:val="en-GB"/>
        </w:rPr>
        <w:t xml:space="preserve"> 19</w:t>
      </w:r>
      <w:r w:rsidR="00EA239D" w:rsidRPr="004F2882">
        <w:rPr>
          <w:lang w:val="en-GB"/>
        </w:rPr>
        <w:t xml:space="preserve"> below</w:t>
      </w:r>
      <w:r w:rsidR="003C686C">
        <w:rPr>
          <w:lang w:val="en-GB"/>
        </w:rPr>
        <w:t>)</w:t>
      </w:r>
      <w:r w:rsidRPr="00AB514A">
        <w:rPr>
          <w:lang w:val="en-GB"/>
        </w:rPr>
        <w:t>, the total available funding would be around CHF 2 million. With regard to auditing, ICT-DF projects were a sub-set of BDT projects; all BDT projects were subject to internal and external audit.</w:t>
      </w:r>
    </w:p>
    <w:p w14:paraId="2B4D9C9D" w14:textId="5B9C4CD4" w:rsidR="00061EFB" w:rsidRPr="00AB514A" w:rsidRDefault="00061EFB" w:rsidP="00061EFB">
      <w:pPr>
        <w:spacing w:line="259" w:lineRule="auto"/>
        <w:rPr>
          <w:rFonts w:eastAsia="Calibri" w:cs="Calibri"/>
          <w:lang w:val="en-GB"/>
        </w:rPr>
      </w:pPr>
      <w:r w:rsidRPr="00AB514A">
        <w:rPr>
          <w:rFonts w:eastAsia="Calibri" w:cs="Calibri"/>
          <w:lang w:val="en-GB"/>
        </w:rPr>
        <w:t>5.</w:t>
      </w:r>
      <w:r w:rsidR="00EF59F4">
        <w:rPr>
          <w:rFonts w:eastAsia="Calibri" w:cs="Calibri"/>
          <w:lang w:val="en-GB"/>
        </w:rPr>
        <w:t>4</w:t>
      </w:r>
      <w:r w:rsidRPr="00AB514A">
        <w:rPr>
          <w:rFonts w:eastAsia="Calibri" w:cs="Calibri"/>
          <w:lang w:val="en-GB"/>
        </w:rPr>
        <w:tab/>
        <w:t xml:space="preserve">The committee </w:t>
      </w:r>
      <w:r w:rsidRPr="00AB514A">
        <w:rPr>
          <w:rFonts w:eastAsia="Calibri" w:cs="Calibri"/>
          <w:b/>
          <w:bCs/>
          <w:lang w:val="en-GB"/>
        </w:rPr>
        <w:t>agreed</w:t>
      </w:r>
      <w:r w:rsidRPr="00AB514A">
        <w:rPr>
          <w:rFonts w:eastAsia="Calibri" w:cs="Calibri"/>
          <w:lang w:val="en-GB"/>
        </w:rPr>
        <w:t xml:space="preserve"> to conclude as follows on the matter:</w:t>
      </w:r>
    </w:p>
    <w:p w14:paraId="6D1C7F63" w14:textId="2B90E6DA" w:rsidR="009E20FA" w:rsidRDefault="00061EFB" w:rsidP="002541B8">
      <w:pPr>
        <w:pBdr>
          <w:top w:val="single" w:sz="4" w:space="4" w:color="000000"/>
          <w:left w:val="single" w:sz="4" w:space="4" w:color="000000"/>
          <w:bottom w:val="single" w:sz="4" w:space="4" w:color="000000"/>
          <w:right w:val="single" w:sz="4" w:space="4" w:color="000000"/>
        </w:pBdr>
        <w:spacing w:line="259" w:lineRule="auto"/>
        <w:rPr>
          <w:rFonts w:eastAsia="Aptos"/>
          <w:lang w:val="en-GB"/>
        </w:rPr>
      </w:pPr>
      <w:r w:rsidRPr="00AB514A">
        <w:rPr>
          <w:rFonts w:eastAsia="Calibri" w:cs="Calibri"/>
          <w:lang w:val="en-GB"/>
        </w:rPr>
        <w:t>5.</w:t>
      </w:r>
      <w:r w:rsidR="00EF59F4">
        <w:rPr>
          <w:rFonts w:eastAsia="Calibri" w:cs="Calibri"/>
          <w:lang w:val="en-GB"/>
        </w:rPr>
        <w:t>5</w:t>
      </w:r>
      <w:r w:rsidRPr="00AB514A">
        <w:rPr>
          <w:rFonts w:eastAsia="Calibri" w:cs="Calibri"/>
          <w:lang w:val="en-GB"/>
        </w:rPr>
        <w:tab/>
        <w:t>The committee recommends that the Council</w:t>
      </w:r>
      <w:r w:rsidR="00867FEF" w:rsidRPr="00AB514A">
        <w:rPr>
          <w:rFonts w:eastAsia="Calibri" w:cs="Calibri"/>
          <w:lang w:val="en-GB"/>
        </w:rPr>
        <w:t>:</w:t>
      </w:r>
    </w:p>
    <w:p w14:paraId="26C0DC86" w14:textId="4854826E" w:rsidR="00AB51A1" w:rsidRPr="00AB514A" w:rsidRDefault="00867FEF" w:rsidP="00EC1FD7">
      <w:pPr>
        <w:pBdr>
          <w:top w:val="single" w:sz="4" w:space="4" w:color="000000"/>
          <w:left w:val="single" w:sz="4" w:space="4" w:color="000000"/>
          <w:bottom w:val="single" w:sz="4" w:space="4" w:color="000000"/>
          <w:right w:val="single" w:sz="4" w:space="4" w:color="000000"/>
        </w:pBdr>
        <w:spacing w:before="80" w:line="259" w:lineRule="auto"/>
        <w:rPr>
          <w:rFonts w:eastAsia="Calibri" w:cs="Calibri"/>
          <w:lang w:val="en-GB"/>
        </w:rPr>
      </w:pPr>
      <w:r w:rsidRPr="00AB514A">
        <w:rPr>
          <w:rFonts w:eastAsia="Aptos"/>
          <w:lang w:val="en-GB"/>
        </w:rPr>
        <w:t>•</w:t>
      </w:r>
      <w:r w:rsidRPr="00AB514A">
        <w:rPr>
          <w:rFonts w:eastAsia="Aptos"/>
          <w:lang w:val="en-GB"/>
        </w:rPr>
        <w:tab/>
      </w:r>
      <w:r w:rsidR="00061EFB" w:rsidRPr="00AB514A">
        <w:rPr>
          <w:rFonts w:eastAsia="Calibri" w:cs="Calibri"/>
          <w:lang w:val="en-GB"/>
        </w:rPr>
        <w:t>note the report</w:t>
      </w:r>
      <w:r w:rsidR="002541B8">
        <w:rPr>
          <w:rFonts w:eastAsia="Calibri" w:cs="Calibri"/>
          <w:lang w:val="en-GB"/>
        </w:rPr>
        <w:t xml:space="preserve"> contained</w:t>
      </w:r>
      <w:r w:rsidR="00061EFB" w:rsidRPr="00AB514A">
        <w:rPr>
          <w:rFonts w:eastAsia="Calibri" w:cs="Calibri"/>
          <w:lang w:val="en-GB"/>
        </w:rPr>
        <w:t xml:space="preserve"> in Document </w:t>
      </w:r>
      <w:hyperlink r:id="rId21" w:history="1">
        <w:r w:rsidR="00061EFB" w:rsidRPr="00AB514A">
          <w:rPr>
            <w:rStyle w:val="Hyperlink"/>
            <w:rFonts w:eastAsia="Calibri" w:cs="Calibri"/>
            <w:lang w:val="en-GB"/>
          </w:rPr>
          <w:t>C26/34</w:t>
        </w:r>
      </w:hyperlink>
      <w:r w:rsidR="007019BF">
        <w:rPr>
          <w:rFonts w:eastAsia="Calibri" w:cs="Calibri"/>
          <w:lang w:val="en-GB"/>
        </w:rPr>
        <w:t>.</w:t>
      </w:r>
    </w:p>
    <w:p w14:paraId="1A4B27E5" w14:textId="6A93040C" w:rsidR="00444003" w:rsidRPr="00AB514A" w:rsidRDefault="008A6912" w:rsidP="00444003">
      <w:pPr>
        <w:pStyle w:val="Heading1"/>
        <w:rPr>
          <w:lang w:val="en-GB"/>
        </w:rPr>
      </w:pPr>
      <w:r w:rsidRPr="00AB514A">
        <w:rPr>
          <w:lang w:val="en-GB"/>
        </w:rPr>
        <w:t>6</w:t>
      </w:r>
      <w:r w:rsidR="00444003" w:rsidRPr="00AB514A">
        <w:rPr>
          <w:lang w:val="en-GB"/>
        </w:rPr>
        <w:tab/>
        <w:t xml:space="preserve">Annual review of revenue and expenses of the implementation of the budget 2026, including the global reduction of the budget 2026-2027 (Document </w:t>
      </w:r>
      <w:hyperlink r:id="rId22" w:history="1">
        <w:r w:rsidR="00444003" w:rsidRPr="00AB514A">
          <w:rPr>
            <w:rStyle w:val="Hyperlink"/>
            <w:bCs/>
            <w:lang w:val="en-GB"/>
          </w:rPr>
          <w:t>C26/</w:t>
        </w:r>
        <w:r w:rsidR="00444003" w:rsidRPr="00AB514A">
          <w:rPr>
            <w:rStyle w:val="Hyperlink"/>
            <w:lang w:val="en-GB"/>
          </w:rPr>
          <w:t>9</w:t>
        </w:r>
      </w:hyperlink>
      <w:r w:rsidR="00444003" w:rsidRPr="00AB514A">
        <w:rPr>
          <w:lang w:val="en-GB"/>
        </w:rPr>
        <w:t>)</w:t>
      </w:r>
    </w:p>
    <w:p w14:paraId="608A542F" w14:textId="2CB7843D" w:rsidR="008A6912" w:rsidRPr="00AB514A" w:rsidRDefault="008A6912" w:rsidP="008A6912">
      <w:pPr>
        <w:rPr>
          <w:rFonts w:cs="Calibri"/>
          <w:color w:val="000000"/>
          <w:lang w:val="en-GB"/>
        </w:rPr>
      </w:pPr>
      <w:r w:rsidRPr="00AB514A">
        <w:rPr>
          <w:rFonts w:eastAsia="Calibri" w:cs="Calibri"/>
          <w:lang w:val="en-GB"/>
        </w:rPr>
        <w:t>6.1</w:t>
      </w:r>
      <w:r w:rsidRPr="00AB514A">
        <w:rPr>
          <w:lang w:val="en-GB"/>
        </w:rPr>
        <w:tab/>
        <w:t xml:space="preserve">A representative of the General Secretariat introduced Document C26/9, </w:t>
      </w:r>
      <w:r w:rsidRPr="00AB514A">
        <w:rPr>
          <w:rFonts w:eastAsia="Calibri" w:cs="Calibri"/>
          <w:lang w:val="en-GB"/>
        </w:rPr>
        <w:t>which presented the key elements of the implementation of the 2026 budget.</w:t>
      </w:r>
      <w:r w:rsidRPr="00AB514A">
        <w:rPr>
          <w:lang w:val="en-GB"/>
        </w:rPr>
        <w:t xml:space="preserve"> </w:t>
      </w:r>
      <w:r w:rsidRPr="00AB514A">
        <w:rPr>
          <w:rFonts w:cs="Calibri"/>
          <w:color w:val="000000"/>
          <w:lang w:val="en-GB"/>
        </w:rPr>
        <w:t xml:space="preserve">The approved budget for 2026-2027 had incorporated a global reduction of CHF 6 million between the level of approved expenses and projected revenues. The </w:t>
      </w:r>
      <w:r w:rsidR="006C07EA">
        <w:rPr>
          <w:rFonts w:cs="Calibri"/>
          <w:color w:val="000000"/>
          <w:lang w:val="en-GB"/>
        </w:rPr>
        <w:t>s</w:t>
      </w:r>
      <w:r w:rsidRPr="00AB514A">
        <w:rPr>
          <w:rFonts w:cs="Calibri"/>
          <w:color w:val="000000"/>
          <w:lang w:val="en-GB"/>
        </w:rPr>
        <w:t>ecretariat was implementing the reduction in a targeted and controlled manner, with a clear focus on maintaining alignment between resources, priorities and delivery. Reducing special service agreements (SSA) and mission travel for ITU staff had resulted in the recovery of CHF 3 million, leaving an outstanding reduction of CHF 3 million to be achieved for 2026-2027. Efficiency gains were being sought through the expanded use of automation and digital tools in line with transformation, including</w:t>
      </w:r>
      <w:r w:rsidR="006C07EA">
        <w:rPr>
          <w:rFonts w:cs="Calibri"/>
          <w:color w:val="000000"/>
          <w:lang w:val="en-GB"/>
        </w:rPr>
        <w:t xml:space="preserve"> artificial intelligence</w:t>
      </w:r>
      <w:r w:rsidRPr="00AB514A">
        <w:rPr>
          <w:rFonts w:cs="Calibri"/>
          <w:color w:val="000000"/>
          <w:lang w:val="en-GB"/>
        </w:rPr>
        <w:t xml:space="preserve"> </w:t>
      </w:r>
      <w:r w:rsidR="006C07EA">
        <w:rPr>
          <w:rFonts w:cs="Calibri"/>
          <w:color w:val="000000"/>
          <w:lang w:val="en-GB"/>
        </w:rPr>
        <w:t>(</w:t>
      </w:r>
      <w:r w:rsidRPr="00AB514A">
        <w:rPr>
          <w:rFonts w:cs="Calibri"/>
          <w:color w:val="000000"/>
          <w:lang w:val="en-GB"/>
        </w:rPr>
        <w:t>AI</w:t>
      </w:r>
      <w:r w:rsidR="006C07EA">
        <w:rPr>
          <w:rFonts w:cs="Calibri"/>
          <w:color w:val="000000"/>
          <w:lang w:val="en-GB"/>
        </w:rPr>
        <w:t>)</w:t>
      </w:r>
      <w:r w:rsidRPr="00AB514A">
        <w:rPr>
          <w:rFonts w:cs="Calibri"/>
          <w:color w:val="000000"/>
          <w:lang w:val="en-GB"/>
        </w:rPr>
        <w:t>-supported translation and interpreting technologies to complement existing language services. Internal oversight had been strengthened to enhance financial reporting and monitoring</w:t>
      </w:r>
      <w:r w:rsidR="00A87E0B">
        <w:rPr>
          <w:rFonts w:cs="Calibri"/>
          <w:color w:val="000000"/>
          <w:lang w:val="en-GB"/>
        </w:rPr>
        <w:t xml:space="preserve"> through the Coordination Committee (CoCo)</w:t>
      </w:r>
      <w:r w:rsidRPr="00AB514A">
        <w:rPr>
          <w:rFonts w:cs="Calibri"/>
          <w:color w:val="000000"/>
          <w:lang w:val="en-GB"/>
        </w:rPr>
        <w:t>. With regard to revenue, uncertainties were being monitored to ensure that emerging risks were addressed in a timely manner. Every effort was being made to reduce the budget while protecting the Union’s core mandate, through a disciplined financial and management framework, with transparent financial reporting to Member States.</w:t>
      </w:r>
    </w:p>
    <w:p w14:paraId="026536B2" w14:textId="77777777" w:rsidR="008A6912" w:rsidRPr="00AB514A" w:rsidRDefault="008A6912" w:rsidP="008A6912">
      <w:pPr>
        <w:rPr>
          <w:lang w:val="en-GB"/>
        </w:rPr>
      </w:pPr>
      <w:r w:rsidRPr="00AB514A">
        <w:rPr>
          <w:rFonts w:eastAsia="Calibri" w:cs="Calibri"/>
          <w:lang w:val="en-GB"/>
        </w:rPr>
        <w:t>6.2</w:t>
      </w:r>
      <w:r w:rsidRPr="00AB514A">
        <w:rPr>
          <w:rFonts w:eastAsia="Calibri" w:cs="Calibri"/>
          <w:lang w:val="en-GB"/>
        </w:rPr>
        <w:tab/>
      </w:r>
      <w:r w:rsidRPr="00AB514A">
        <w:rPr>
          <w:lang w:val="en-GB"/>
        </w:rPr>
        <w:t>A presentation was made, showcasing the newly developed Programme Budget portal, outlining the features of the corporate financial dashboard.</w:t>
      </w:r>
    </w:p>
    <w:p w14:paraId="33D609B0" w14:textId="77777777" w:rsidR="008A6912" w:rsidRPr="00AB514A" w:rsidRDefault="008A6912" w:rsidP="008A6912">
      <w:pPr>
        <w:rPr>
          <w:lang w:val="en-GB"/>
        </w:rPr>
      </w:pPr>
      <w:r w:rsidRPr="00AB514A">
        <w:rPr>
          <w:lang w:val="en-GB"/>
        </w:rPr>
        <w:t>6.3</w:t>
      </w:r>
      <w:r w:rsidRPr="00AB514A">
        <w:rPr>
          <w:lang w:val="en-GB"/>
        </w:rPr>
        <w:tab/>
        <w:t>Councillors commended the prompt and disciplined efficiency measures and mindful use of resources, and welcomed the corporate financial dashboard and more stringent financial oversight. The results achieved through the specific cost-containment measures of reducing SSAs and travel expenses were applauded. Some councillors considered that SSAs could be reduced further by limiting the use of external contractors and better leveraging the capacity, expertise and institutional knowledge of ITU staff. Reliance on long-term external contract should be reassessed, with clear reporting on contractual services. SSAs must only be used for activities for which there was no existing designated staff capacity. Greater transparency was required in the use of short-term contracts without competition. A functional analysis should be conducted of staff vis-à-vis the operational activities of ITU, in order to identify and bridge gaps as efficiently as possible. There must be no duplication of effort or duplication of spending. Reducing staff travel should not result in a reduction in technical assistance provided to Member States and support for developing countries. Consideration should be given to streamlining the large number of meetings per year to which staff and Member State delegations were required to travel. One councillor requested an explanation of the discrepancy between the projected reduction in travel expenses presented and those that had been published earlier in the year.</w:t>
      </w:r>
    </w:p>
    <w:p w14:paraId="35BB5632" w14:textId="77777777" w:rsidR="008A6912" w:rsidRPr="00AB514A" w:rsidRDefault="008A6912" w:rsidP="008A6912">
      <w:pPr>
        <w:rPr>
          <w:lang w:val="en-GB"/>
        </w:rPr>
      </w:pPr>
      <w:r w:rsidRPr="00AB514A">
        <w:rPr>
          <w:lang w:val="en-GB"/>
        </w:rPr>
        <w:t>6.4</w:t>
      </w:r>
      <w:r w:rsidRPr="00AB514A">
        <w:rPr>
          <w:lang w:val="en-GB"/>
        </w:rPr>
        <w:tab/>
        <w:t xml:space="preserve">While councillors welcomed the use of AI to increase efficiency and save costs, especially with regard to language services, the fact that AI would not be used to replace staff altogether, but rather to assist with certain functions, was equally welcome. The use of AI must not have an adverse effect on quality of documentation or interpreting services. Further information was sought on how the quality of AI-generated output would be monitored, and questions were raised regarding how the overall financial impact of the introduction of AI would be calculated, since the introduction of new technology would come with costs before its use began to generate savings. </w:t>
      </w:r>
    </w:p>
    <w:p w14:paraId="1D830825" w14:textId="7761ED22" w:rsidR="008A6912" w:rsidRPr="00AB514A" w:rsidRDefault="008A6912" w:rsidP="008A6912">
      <w:pPr>
        <w:rPr>
          <w:lang w:val="en-GB"/>
        </w:rPr>
      </w:pPr>
      <w:r w:rsidRPr="00AB514A">
        <w:rPr>
          <w:lang w:val="en-GB"/>
        </w:rPr>
        <w:t>6.5</w:t>
      </w:r>
      <w:r w:rsidRPr="00AB514A">
        <w:rPr>
          <w:lang w:val="en-GB"/>
        </w:rPr>
        <w:tab/>
        <w:t>Several councillors wished to know which activities were currently unfunded, and what would be done to recover the remaining CHF 3 million across what time</w:t>
      </w:r>
      <w:r w:rsidR="00342F1C">
        <w:rPr>
          <w:lang w:val="en-GB"/>
        </w:rPr>
        <w:t>-</w:t>
      </w:r>
      <w:r w:rsidRPr="00AB514A">
        <w:rPr>
          <w:lang w:val="en-GB"/>
        </w:rPr>
        <w:t xml:space="preserve">frame; an explanation of what was meant by “adjustments across the Bureaux and the General Secretariat” was requested. More details would be welcome on where proportionate action was needed and where “business as usual” could be expected. Flexibility was key to ensuring that the timely reallocation of resources could be arranged if needed. While some councillors noted the impact of satellite network filings on the unpredictability of revenue, others cautioned that satellite network filing cost recovery should not be accounted for as budget recovery. Consideration should be given to the ITU’s investment strategy, with a view to minimizing swings and instability in revenue. The impacts of fluctuations in foreign exchange rates should also be assessed. None of the financial adjustments and cost-containment measures undertaken should adversely affect the Union’s capacity to deliver on its core mandate. The risks and practical impacts of all cost-containment measures must be monitored carefully, with regular, transparent reporting to </w:t>
      </w:r>
      <w:r w:rsidR="007005AF">
        <w:rPr>
          <w:lang w:val="en-GB"/>
        </w:rPr>
        <w:t xml:space="preserve">the </w:t>
      </w:r>
      <w:r w:rsidRPr="00AB514A">
        <w:rPr>
          <w:lang w:val="en-GB"/>
        </w:rPr>
        <w:t xml:space="preserve">Council. Lessons learned must guide future work and be reflected in future budget cycles. </w:t>
      </w:r>
    </w:p>
    <w:p w14:paraId="06FBD4FA" w14:textId="1172A35A" w:rsidR="008A6912" w:rsidRPr="00AB514A" w:rsidRDefault="008A6912" w:rsidP="008A6912">
      <w:pPr>
        <w:rPr>
          <w:lang w:val="en-GB"/>
        </w:rPr>
      </w:pPr>
      <w:r w:rsidRPr="00AB514A">
        <w:rPr>
          <w:lang w:val="en-GB"/>
        </w:rPr>
        <w:t>6.6</w:t>
      </w:r>
      <w:r w:rsidRPr="00AB514A">
        <w:rPr>
          <w:lang w:val="en-GB"/>
        </w:rPr>
        <w:tab/>
        <w:t xml:space="preserve">A representative of the General Secretariat said that the CHF 6 million reduction represented a 2 per cent budget cut for the biennium 2026-2027, of which reductions in travel expenses and use of SSAs accounted for half. Further savings would come from staffing and organizational transformation. AI would be used to </w:t>
      </w:r>
      <w:r w:rsidR="00EA239D">
        <w:rPr>
          <w:lang w:val="en-GB"/>
        </w:rPr>
        <w:t>streamline</w:t>
      </w:r>
      <w:r w:rsidR="00EA239D" w:rsidRPr="00AB514A">
        <w:rPr>
          <w:lang w:val="en-GB"/>
        </w:rPr>
        <w:t xml:space="preserve"> </w:t>
      </w:r>
      <w:r w:rsidRPr="00AB514A">
        <w:rPr>
          <w:lang w:val="en-GB"/>
        </w:rPr>
        <w:t>staff numbers for processing work across the Union. Further benchmarking of the cost implications of AI would be addressed in future reporting. Efforts were being made to reduce the overall number of meetings, and to shorten meeting times. The projected savings from travel expenditure presented in the current report only reflected ITU mission travel, whereas previous reports had included other aspects, hence the discrepancy in projections. Satellite network filing cost recovery would not impact revenue streams and did not constitute budget recovery.</w:t>
      </w:r>
    </w:p>
    <w:p w14:paraId="03579970" w14:textId="4A7164C0" w:rsidR="008A6912" w:rsidRPr="00AB514A" w:rsidRDefault="008A6912" w:rsidP="008A6912">
      <w:pPr>
        <w:rPr>
          <w:lang w:val="en-GB"/>
        </w:rPr>
      </w:pPr>
      <w:r w:rsidRPr="00AB514A">
        <w:rPr>
          <w:lang w:val="en-GB"/>
        </w:rPr>
        <w:t>6.7</w:t>
      </w:r>
      <w:r w:rsidRPr="00AB514A">
        <w:rPr>
          <w:lang w:val="en-GB"/>
        </w:rPr>
        <w:tab/>
        <w:t>The Chief</w:t>
      </w:r>
      <w:r w:rsidR="00EA239D">
        <w:rPr>
          <w:lang w:val="en-GB"/>
        </w:rPr>
        <w:t xml:space="preserve"> of the</w:t>
      </w:r>
      <w:r w:rsidRPr="00AB514A">
        <w:rPr>
          <w:lang w:val="en-GB"/>
        </w:rPr>
        <w:t xml:space="preserve"> Human Resources Management Department (HRMD) said that HRMD had been reviewing and strengthening the regulatory framework governing the use of consultants and other non-staff modalities. A new consultant policy was being developed, under which consultants could only be engaged for short-term output-based assignments and not for staff functions. Contractual modalities for the use of SSAs were being clarified, dedicated information sessions for managers were being conducted on the SSA recruitment process, and standard operating procedures were being improved. Enhanced human resources analytics, data integration and systemic tracking were enhancing the visibility and oversight of non-staff engagements, thereby contributing to stronger governance and risk mitigation, while ensuring that SSAs aligned with organizational needs and available resources. Short-term recruitment without competition was governed by the ITU Staff Rules and applicable service orders. Such cases were limited in scope and used only where justified by operational needs. Short-term and non-staff engagements were subject to compliance reviews, audit, oversight and monitoring through established </w:t>
      </w:r>
      <w:r w:rsidR="00EA239D">
        <w:rPr>
          <w:lang w:val="en-GB"/>
        </w:rPr>
        <w:t>human resources</w:t>
      </w:r>
      <w:r w:rsidR="00EA239D" w:rsidRPr="00AB514A">
        <w:rPr>
          <w:lang w:val="en-GB"/>
        </w:rPr>
        <w:t xml:space="preserve"> </w:t>
      </w:r>
      <w:r w:rsidRPr="00AB514A">
        <w:rPr>
          <w:lang w:val="en-GB"/>
        </w:rPr>
        <w:t xml:space="preserve">governance mechanisms. Transparency was ensured by regular reporting to </w:t>
      </w:r>
      <w:r w:rsidR="00EA239D">
        <w:rPr>
          <w:lang w:val="en-GB"/>
        </w:rPr>
        <w:t xml:space="preserve">the </w:t>
      </w:r>
      <w:r w:rsidRPr="00AB514A">
        <w:rPr>
          <w:lang w:val="en-GB"/>
        </w:rPr>
        <w:t>Council and oversight bodies, improved data tracking and human resources analytics, and an ongoing review of recruitment and contractual practices.</w:t>
      </w:r>
    </w:p>
    <w:p w14:paraId="48DEBF11" w14:textId="77777777" w:rsidR="008A6912" w:rsidRPr="00AB514A" w:rsidRDefault="008A6912" w:rsidP="008A6912">
      <w:pPr>
        <w:rPr>
          <w:lang w:val="en-GB"/>
        </w:rPr>
      </w:pPr>
      <w:r w:rsidRPr="00AB514A">
        <w:rPr>
          <w:lang w:val="en-GB"/>
        </w:rPr>
        <w:t>6.8</w:t>
      </w:r>
      <w:r w:rsidRPr="00AB514A">
        <w:rPr>
          <w:lang w:val="en-GB"/>
        </w:rPr>
        <w:tab/>
        <w:t xml:space="preserve">The Deputy Secretary-General added that prudent financial management was the priority of the ITU management team. A CHF 6 million reduction represented only two per cent of the ITU budget. Every effort was being made, in particular through the work of the Coordination Committee, to ensure that the Union’s expenses matched its revenues. Cost reductions did not mean cutting activities or programmes, but rather ensuring more prudent management to optimize operational efficiencies. The use of consultants and SSAs was not a matter of adding staff capacity but rather of bringing in external support where needed. Meeting those needs by adding staff posts would be financially untenable. AI was increasing the efficiency and productivity of translation staff, rather than reducing staff numbers. Business continuity was a </w:t>
      </w:r>
      <w:proofErr w:type="gramStart"/>
      <w:r w:rsidRPr="00AB514A">
        <w:rPr>
          <w:lang w:val="en-GB"/>
        </w:rPr>
        <w:t>priority</w:t>
      </w:r>
      <w:proofErr w:type="gramEnd"/>
      <w:r w:rsidRPr="00AB514A">
        <w:rPr>
          <w:lang w:val="en-GB"/>
        </w:rPr>
        <w:t xml:space="preserve"> and every effort was being made to ensure that the operational activities covered by the regular budget were not compromised. It was hoped that the corporate financial dashboard would improve the visibility, transparency and accountability of the financial management of the Union.</w:t>
      </w:r>
    </w:p>
    <w:p w14:paraId="637CB273" w14:textId="77777777" w:rsidR="008A6912" w:rsidRPr="00AB514A" w:rsidRDefault="008A6912" w:rsidP="008A6912">
      <w:pPr>
        <w:spacing w:line="259" w:lineRule="auto"/>
        <w:rPr>
          <w:rFonts w:eastAsia="Calibri" w:cs="Calibri"/>
          <w:lang w:val="en-GB"/>
        </w:rPr>
      </w:pPr>
      <w:r w:rsidRPr="00AB514A">
        <w:rPr>
          <w:rFonts w:eastAsia="Calibri" w:cs="Calibri"/>
          <w:lang w:val="en-GB"/>
        </w:rPr>
        <w:t>6.9</w:t>
      </w:r>
      <w:r w:rsidRPr="00AB514A">
        <w:rPr>
          <w:rFonts w:eastAsia="Calibri" w:cs="Calibri"/>
          <w:lang w:val="en-GB"/>
        </w:rPr>
        <w:tab/>
        <w:t xml:space="preserve">The committee </w:t>
      </w:r>
      <w:r w:rsidRPr="00AB514A">
        <w:rPr>
          <w:rFonts w:eastAsia="Calibri" w:cs="Calibri"/>
          <w:b/>
          <w:bCs/>
          <w:lang w:val="en-GB"/>
        </w:rPr>
        <w:t>agreed</w:t>
      </w:r>
      <w:r w:rsidRPr="00AB514A">
        <w:rPr>
          <w:rFonts w:eastAsia="Calibri" w:cs="Calibri"/>
          <w:lang w:val="en-GB"/>
        </w:rPr>
        <w:t xml:space="preserve"> to conclude as follows on the matter:</w:t>
      </w:r>
    </w:p>
    <w:p w14:paraId="603FA30F" w14:textId="7AB7527D" w:rsidR="009E20FA" w:rsidRDefault="008A6912" w:rsidP="002144BB">
      <w:pPr>
        <w:pBdr>
          <w:top w:val="single" w:sz="4" w:space="4" w:color="000000"/>
          <w:left w:val="single" w:sz="4" w:space="4" w:color="000000"/>
          <w:bottom w:val="single" w:sz="4" w:space="4" w:color="000000"/>
          <w:right w:val="single" w:sz="4" w:space="4" w:color="000000"/>
        </w:pBdr>
        <w:spacing w:line="259" w:lineRule="auto"/>
        <w:rPr>
          <w:rFonts w:eastAsia="Aptos"/>
          <w:lang w:val="en-GB"/>
        </w:rPr>
      </w:pPr>
      <w:r w:rsidRPr="00AB514A">
        <w:rPr>
          <w:rFonts w:eastAsia="Calibri" w:cs="Calibri"/>
          <w:lang w:val="en-GB"/>
        </w:rPr>
        <w:t>6.10</w:t>
      </w:r>
      <w:r w:rsidRPr="00AB514A">
        <w:rPr>
          <w:lang w:val="en-GB"/>
        </w:rPr>
        <w:tab/>
        <w:t>The committee recommends that the Council</w:t>
      </w:r>
      <w:r w:rsidR="002144BB">
        <w:rPr>
          <w:lang w:val="en-GB"/>
        </w:rPr>
        <w:t>:</w:t>
      </w:r>
    </w:p>
    <w:p w14:paraId="6BCEA507" w14:textId="2440AD28" w:rsidR="008A6912" w:rsidRPr="00AB514A" w:rsidRDefault="002144BB" w:rsidP="009F1836">
      <w:pPr>
        <w:pBdr>
          <w:top w:val="single" w:sz="4" w:space="4" w:color="000000"/>
          <w:left w:val="single" w:sz="4" w:space="4" w:color="000000"/>
          <w:bottom w:val="single" w:sz="4" w:space="4" w:color="000000"/>
          <w:right w:val="single" w:sz="4" w:space="4" w:color="000000"/>
        </w:pBdr>
        <w:spacing w:before="80" w:line="259" w:lineRule="auto"/>
        <w:rPr>
          <w:lang w:val="en-GB"/>
        </w:rPr>
      </w:pPr>
      <w:r w:rsidRPr="00AB514A">
        <w:rPr>
          <w:rFonts w:eastAsia="Aptos"/>
          <w:lang w:val="en-GB"/>
        </w:rPr>
        <w:t>•</w:t>
      </w:r>
      <w:r w:rsidRPr="00AB514A">
        <w:rPr>
          <w:rFonts w:eastAsia="Aptos"/>
          <w:lang w:val="en-GB"/>
        </w:rPr>
        <w:tab/>
      </w:r>
      <w:r w:rsidR="008A6912" w:rsidRPr="00AB514A">
        <w:rPr>
          <w:lang w:val="en-GB"/>
        </w:rPr>
        <w:t>note the report</w:t>
      </w:r>
      <w:r w:rsidR="008A6912" w:rsidRPr="00AB514A">
        <w:rPr>
          <w:rFonts w:cs="Calibri"/>
          <w:lang w:val="en-GB"/>
        </w:rPr>
        <w:t xml:space="preserve"> contained in </w:t>
      </w:r>
      <w:r w:rsidR="008A6912" w:rsidRPr="00AB514A">
        <w:rPr>
          <w:rFonts w:eastAsia="Calibri" w:cs="Calibri"/>
          <w:lang w:val="en-GB"/>
        </w:rPr>
        <w:t xml:space="preserve">Document </w:t>
      </w:r>
      <w:hyperlink r:id="rId23" w:history="1">
        <w:r w:rsidR="008A6912" w:rsidRPr="00AB514A">
          <w:rPr>
            <w:rStyle w:val="Hyperlink"/>
            <w:bCs/>
            <w:lang w:val="en-GB"/>
          </w:rPr>
          <w:t>C26/</w:t>
        </w:r>
        <w:r w:rsidR="008A6912" w:rsidRPr="00AB514A">
          <w:rPr>
            <w:rStyle w:val="Hyperlink"/>
            <w:lang w:val="en-GB"/>
          </w:rPr>
          <w:t>9</w:t>
        </w:r>
      </w:hyperlink>
      <w:r w:rsidR="008A6912" w:rsidRPr="00AB514A">
        <w:rPr>
          <w:rFonts w:eastAsia="Calibri" w:cs="Calibri"/>
          <w:lang w:val="en-GB"/>
        </w:rPr>
        <w:t>.</w:t>
      </w:r>
    </w:p>
    <w:p w14:paraId="3990BBD1" w14:textId="3CDFFDAD" w:rsidR="00F276F7" w:rsidRPr="00AB514A" w:rsidRDefault="00BE6FB3" w:rsidP="00F276F7">
      <w:pPr>
        <w:pStyle w:val="Heading1"/>
        <w:rPr>
          <w:szCs w:val="28"/>
          <w:lang w:val="en-GB"/>
        </w:rPr>
      </w:pPr>
      <w:r>
        <w:rPr>
          <w:lang w:val="en-GB"/>
        </w:rPr>
        <w:t>7</w:t>
      </w:r>
      <w:r w:rsidR="00F276F7" w:rsidRPr="00AB514A">
        <w:rPr>
          <w:lang w:val="en-GB"/>
        </w:rPr>
        <w:tab/>
        <w:t xml:space="preserve">Annual budgetary implications of addressing the WTDC-25 Resolutions </w:t>
      </w:r>
      <w:r w:rsidR="00F276F7" w:rsidRPr="00AB514A">
        <w:rPr>
          <w:szCs w:val="28"/>
          <w:lang w:val="en-GB"/>
        </w:rPr>
        <w:t xml:space="preserve">(Document </w:t>
      </w:r>
      <w:hyperlink r:id="rId24" w:history="1">
        <w:r w:rsidR="00F276F7" w:rsidRPr="00AB514A">
          <w:rPr>
            <w:rStyle w:val="Hyperlink"/>
            <w:bCs/>
            <w:szCs w:val="28"/>
            <w:lang w:val="en-GB"/>
          </w:rPr>
          <w:t>C26/</w:t>
        </w:r>
        <w:r w:rsidR="00F276F7" w:rsidRPr="00AB514A">
          <w:rPr>
            <w:rStyle w:val="Hyperlink"/>
            <w:szCs w:val="28"/>
            <w:lang w:val="en-GB"/>
          </w:rPr>
          <w:t>43</w:t>
        </w:r>
      </w:hyperlink>
      <w:r w:rsidR="00F276F7" w:rsidRPr="00AB514A">
        <w:rPr>
          <w:szCs w:val="28"/>
          <w:lang w:val="en-GB"/>
        </w:rPr>
        <w:t>)</w:t>
      </w:r>
    </w:p>
    <w:p w14:paraId="008209FC" w14:textId="5E9183BE" w:rsidR="00F276F7" w:rsidRPr="00AB514A" w:rsidRDefault="00F276F7" w:rsidP="00AD29C7">
      <w:pPr>
        <w:pStyle w:val="Headingb"/>
        <w:ind w:left="630"/>
        <w:rPr>
          <w:sz w:val="28"/>
          <w:szCs w:val="28"/>
          <w:lang w:val="en-GB"/>
        </w:rPr>
      </w:pPr>
      <w:r w:rsidRPr="00AB514A">
        <w:rPr>
          <w:sz w:val="28"/>
          <w:szCs w:val="28"/>
          <w:lang w:val="en-GB"/>
        </w:rPr>
        <w:t xml:space="preserve">Liaison statement on </w:t>
      </w:r>
      <w:r w:rsidR="004B71FA" w:rsidRPr="00AB514A">
        <w:rPr>
          <w:sz w:val="28"/>
          <w:szCs w:val="28"/>
          <w:lang w:val="en-GB"/>
        </w:rPr>
        <w:t>p</w:t>
      </w:r>
      <w:r w:rsidRPr="00AB514A">
        <w:rPr>
          <w:sz w:val="28"/>
          <w:szCs w:val="28"/>
          <w:lang w:val="en-GB"/>
        </w:rPr>
        <w:t xml:space="preserve">roposed allocation of funds to support the implementation of WTDC-25 Regional Initiatives (Document </w:t>
      </w:r>
      <w:hyperlink r:id="rId25">
        <w:r w:rsidRPr="1043AB56">
          <w:rPr>
            <w:rStyle w:val="Hyperlink"/>
            <w:sz w:val="28"/>
            <w:szCs w:val="28"/>
            <w:lang w:val="en-GB"/>
          </w:rPr>
          <w:t>C26/109</w:t>
        </w:r>
      </w:hyperlink>
      <w:r w:rsidRPr="00AB514A">
        <w:rPr>
          <w:sz w:val="28"/>
          <w:szCs w:val="28"/>
          <w:lang w:val="en-GB"/>
        </w:rPr>
        <w:t>)</w:t>
      </w:r>
    </w:p>
    <w:p w14:paraId="2591B179" w14:textId="6DF33E82" w:rsidR="00F276F7" w:rsidRPr="00AB514A" w:rsidRDefault="00F276F7" w:rsidP="00AD29C7">
      <w:pPr>
        <w:pStyle w:val="Headingb"/>
        <w:ind w:left="630"/>
        <w:rPr>
          <w:sz w:val="28"/>
          <w:szCs w:val="28"/>
          <w:lang w:val="en-GB"/>
        </w:rPr>
      </w:pPr>
      <w:r w:rsidRPr="00AB514A">
        <w:rPr>
          <w:sz w:val="28"/>
          <w:szCs w:val="28"/>
          <w:lang w:val="en-GB"/>
        </w:rPr>
        <w:t xml:space="preserve">Financial implications of the implementation of WTDC-25 outcomes on Strengthening the role of ITU regional offices in accelerating digital transformation and leveraging partnerships (Document </w:t>
      </w:r>
      <w:hyperlink r:id="rId26" w:history="1">
        <w:r w:rsidRPr="00AB514A">
          <w:rPr>
            <w:rStyle w:val="Hyperlink"/>
            <w:sz w:val="28"/>
            <w:szCs w:val="28"/>
            <w:lang w:val="en-GB"/>
          </w:rPr>
          <w:t>C26/103</w:t>
        </w:r>
      </w:hyperlink>
      <w:r w:rsidRPr="00AB514A">
        <w:rPr>
          <w:sz w:val="28"/>
          <w:szCs w:val="28"/>
          <w:lang w:val="en-GB"/>
        </w:rPr>
        <w:t>)</w:t>
      </w:r>
    </w:p>
    <w:p w14:paraId="62112CB6" w14:textId="3DED5484" w:rsidR="00EA09BA" w:rsidRPr="00AB514A" w:rsidRDefault="00BE6FB3" w:rsidP="00EA09BA">
      <w:pPr>
        <w:rPr>
          <w:rFonts w:cs="Calibri"/>
          <w:lang w:val="en-GB"/>
        </w:rPr>
      </w:pPr>
      <w:r>
        <w:rPr>
          <w:rFonts w:cs="Calibri"/>
          <w:lang w:val="en-GB"/>
        </w:rPr>
        <w:t>7</w:t>
      </w:r>
      <w:r w:rsidR="00EA09BA" w:rsidRPr="00AB514A">
        <w:rPr>
          <w:rFonts w:cs="Calibri"/>
          <w:lang w:val="en-GB"/>
        </w:rPr>
        <w:t>.1</w:t>
      </w:r>
      <w:r w:rsidR="00EA09BA" w:rsidRPr="00AB514A">
        <w:rPr>
          <w:rFonts w:cs="Calibri"/>
          <w:lang w:val="en-GB"/>
        </w:rPr>
        <w:tab/>
        <w:t xml:space="preserve">The Chief of FRMD expressed appreciation to the Administration of Azerbaijan for having hosted the </w:t>
      </w:r>
      <w:r w:rsidR="00EA239D">
        <w:rPr>
          <w:rFonts w:cs="Calibri"/>
          <w:lang w:val="en-GB"/>
        </w:rPr>
        <w:t xml:space="preserve">2025 </w:t>
      </w:r>
      <w:r w:rsidR="00EA09BA" w:rsidRPr="00AB514A">
        <w:rPr>
          <w:rFonts w:cs="Calibri"/>
          <w:lang w:val="en-GB"/>
        </w:rPr>
        <w:t>World Telecommunication Development Conference (WTDC-25) and introduced Document C26/43, which contained the report of the Budget Control Committee on the provisional financial implications of WTDC-25 resolutions, which had been estimated at CHF 4.208 million in one-time and annual recurring costs over the period 2026</w:t>
      </w:r>
      <w:r w:rsidR="009F1836">
        <w:rPr>
          <w:rFonts w:cs="Calibri"/>
          <w:lang w:val="en-GB"/>
        </w:rPr>
        <w:t>-</w:t>
      </w:r>
      <w:r w:rsidR="00EA09BA" w:rsidRPr="00AB514A">
        <w:rPr>
          <w:rFonts w:cs="Calibri"/>
          <w:lang w:val="en-GB"/>
        </w:rPr>
        <w:t xml:space="preserve">2029. At the request of CWG-FHR, the </w:t>
      </w:r>
      <w:r w:rsidR="00EA239D">
        <w:rPr>
          <w:rFonts w:cs="Calibri"/>
          <w:lang w:val="en-GB"/>
        </w:rPr>
        <w:t>s</w:t>
      </w:r>
      <w:r w:rsidR="00EA09BA" w:rsidRPr="00AB514A">
        <w:rPr>
          <w:rFonts w:cs="Calibri"/>
          <w:lang w:val="en-GB"/>
        </w:rPr>
        <w:t>ecretariat had organized an information session, held on 3</w:t>
      </w:r>
      <w:r w:rsidR="00CF2C82">
        <w:rPr>
          <w:rFonts w:cs="Calibri"/>
          <w:lang w:val="en-GB"/>
        </w:rPr>
        <w:t> </w:t>
      </w:r>
      <w:r w:rsidR="00EA09BA" w:rsidRPr="00AB514A">
        <w:rPr>
          <w:rFonts w:cs="Calibri"/>
          <w:lang w:val="en-GB"/>
        </w:rPr>
        <w:t xml:space="preserve">March 2026, to provide an overview of the methodology used for calculating the financial implications of resolutions. </w:t>
      </w:r>
    </w:p>
    <w:p w14:paraId="731640F8" w14:textId="59D5494C" w:rsidR="00EA09BA" w:rsidRPr="00AB514A" w:rsidRDefault="00774448" w:rsidP="00EA09BA">
      <w:pPr>
        <w:rPr>
          <w:rFonts w:cs="Calibri"/>
          <w:lang w:val="en-GB"/>
        </w:rPr>
      </w:pPr>
      <w:r>
        <w:rPr>
          <w:rFonts w:cs="Calibri"/>
          <w:lang w:val="en-GB"/>
        </w:rPr>
        <w:t>7</w:t>
      </w:r>
      <w:r w:rsidR="00EA09BA" w:rsidRPr="00AB514A">
        <w:rPr>
          <w:rFonts w:cs="Calibri"/>
          <w:lang w:val="en-GB"/>
        </w:rPr>
        <w:t>.2</w:t>
      </w:r>
      <w:r w:rsidR="00EA09BA" w:rsidRPr="00AB514A">
        <w:rPr>
          <w:rFonts w:cs="Calibri"/>
          <w:lang w:val="en-GB"/>
        </w:rPr>
        <w:tab/>
        <w:t>The Chair of the Telecommunication Development Advisory Group</w:t>
      </w:r>
      <w:r w:rsidR="00EA239D">
        <w:rPr>
          <w:rFonts w:cs="Calibri"/>
          <w:lang w:val="en-GB"/>
        </w:rPr>
        <w:t xml:space="preserve"> (TDAG)</w:t>
      </w:r>
      <w:r w:rsidR="00EA09BA" w:rsidRPr="00AB514A">
        <w:rPr>
          <w:rFonts w:cs="Calibri"/>
          <w:lang w:val="en-GB"/>
        </w:rPr>
        <w:t xml:space="preserve"> introduced Document C26/109, which contained a liaison statement requesting the Council to consider the allocation of necessary funds, including but not limited to the CHF 1.3 million proposed allocation from the savings achieved in 2025 budget implementation (see Document </w:t>
      </w:r>
      <w:hyperlink r:id="rId27" w:history="1">
        <w:r w:rsidR="00EA09BA" w:rsidRPr="00CF2C82">
          <w:rPr>
            <w:rStyle w:val="Hyperlink"/>
            <w:rFonts w:cs="Calibri"/>
            <w:szCs w:val="20"/>
            <w:lang w:val="en-GB"/>
          </w:rPr>
          <w:t>C26/42</w:t>
        </w:r>
      </w:hyperlink>
      <w:r w:rsidR="00EA09BA" w:rsidRPr="00AB514A">
        <w:rPr>
          <w:rFonts w:cs="Calibri"/>
          <w:lang w:val="en-GB"/>
        </w:rPr>
        <w:t xml:space="preserve"> and </w:t>
      </w:r>
      <w:r w:rsidR="00EA09BA" w:rsidRPr="004F2882">
        <w:rPr>
          <w:rFonts w:cs="Calibri"/>
          <w:lang w:val="en-GB"/>
        </w:rPr>
        <w:t>§</w:t>
      </w:r>
      <w:r w:rsidR="004F2882" w:rsidRPr="004F2882">
        <w:rPr>
          <w:rFonts w:cs="Calibri"/>
          <w:lang w:val="en-GB"/>
        </w:rPr>
        <w:t> 19</w:t>
      </w:r>
      <w:r w:rsidR="00EA09BA" w:rsidRPr="004F2882">
        <w:rPr>
          <w:rFonts w:cs="Calibri"/>
          <w:lang w:val="en-GB"/>
        </w:rPr>
        <w:t xml:space="preserve"> below</w:t>
      </w:r>
      <w:r w:rsidR="00EA09BA" w:rsidRPr="00AB514A">
        <w:rPr>
          <w:rFonts w:cs="Calibri"/>
          <w:lang w:val="en-GB"/>
        </w:rPr>
        <w:t>), to support implementation of the WTDC-25 regional initiatives.</w:t>
      </w:r>
    </w:p>
    <w:p w14:paraId="75ADB527" w14:textId="49BE28F9" w:rsidR="00EA09BA" w:rsidRPr="00AB514A" w:rsidRDefault="00774448" w:rsidP="00EA09BA">
      <w:pPr>
        <w:rPr>
          <w:rFonts w:cs="Calibri"/>
          <w:lang w:val="en-GB"/>
        </w:rPr>
      </w:pPr>
      <w:r>
        <w:rPr>
          <w:rFonts w:cs="Calibri"/>
          <w:lang w:val="en-GB"/>
        </w:rPr>
        <w:t>7</w:t>
      </w:r>
      <w:r w:rsidR="00EA09BA" w:rsidRPr="00AB514A">
        <w:rPr>
          <w:rFonts w:cs="Calibri"/>
          <w:lang w:val="en-GB"/>
        </w:rPr>
        <w:t>.3</w:t>
      </w:r>
      <w:r w:rsidR="00EA09BA" w:rsidRPr="00AB514A">
        <w:rPr>
          <w:rFonts w:cs="Calibri"/>
          <w:lang w:val="en-GB"/>
        </w:rPr>
        <w:tab/>
        <w:t>The councillor from South Africa introduced the multicountry contribution in Document C26/103, sponsored by five countries, in which the Council was requested to consider the timely allocation of any available surplus funds as catalytic, time-bound seed funding to support the implementation of new delivery models, such as regional accelerator frameworks, to advance digital transformation, and to provide guidance on establishing a predictable catalytic funding mechanism.</w:t>
      </w:r>
    </w:p>
    <w:p w14:paraId="6AE55065" w14:textId="0F1E0DE6" w:rsidR="00EA09BA" w:rsidRPr="00AB514A" w:rsidRDefault="00774448" w:rsidP="00EA09BA">
      <w:pPr>
        <w:rPr>
          <w:rFonts w:cs="Calibri"/>
          <w:lang w:val="en-GB"/>
        </w:rPr>
      </w:pPr>
      <w:r>
        <w:rPr>
          <w:rFonts w:cs="Calibri"/>
          <w:lang w:val="en-GB"/>
        </w:rPr>
        <w:t>7</w:t>
      </w:r>
      <w:r w:rsidR="00EA09BA" w:rsidRPr="00AB514A">
        <w:rPr>
          <w:rFonts w:cs="Calibri"/>
          <w:lang w:val="en-GB"/>
        </w:rPr>
        <w:t>.4</w:t>
      </w:r>
      <w:r w:rsidR="00EA09BA" w:rsidRPr="00AB514A">
        <w:rPr>
          <w:rFonts w:cs="Calibri"/>
          <w:lang w:val="en-GB"/>
        </w:rPr>
        <w:tab/>
        <w:t xml:space="preserve">Several councillors expressed support for the proposed funding approach to implement WTDC-25 resolutions, which included leveraging the regular budget and extrabudgetary funds from voluntary contributions and project funding. One councillor highlighted the need to ensure continued financial discipline and reporting, alignment with development priorities and equitable support for regional initiatives. Several councillors called for greater transparency on the methodology used; the overall resource requirements, including the level of voluntary contributions expected; how costs were linked to the content of resolutions; and the criteria for determining the allocation of the resources outlined. One councillor suggested that the financial implications of resolutions should be presented in two parts: those that could be covered by existing funding and those that could not. She wondered how the proposed recruitment of experts would be funded. Some councillors noted that the cost estimates provided could not be expected to be completely accurate; that fact should be </w:t>
      </w:r>
      <w:proofErr w:type="gramStart"/>
      <w:r w:rsidR="00EA09BA" w:rsidRPr="00AB514A">
        <w:rPr>
          <w:rFonts w:cs="Calibri"/>
          <w:lang w:val="en-GB"/>
        </w:rPr>
        <w:t>taken into account</w:t>
      </w:r>
      <w:proofErr w:type="gramEnd"/>
      <w:r w:rsidR="00EA09BA" w:rsidRPr="00AB514A">
        <w:rPr>
          <w:rFonts w:cs="Calibri"/>
          <w:lang w:val="en-GB"/>
        </w:rPr>
        <w:t xml:space="preserve"> in the preparation of future budgets. The methodology could be further improved in cooperation with stakeholders and partners.</w:t>
      </w:r>
    </w:p>
    <w:p w14:paraId="06F7A1E9" w14:textId="3D7EB02C" w:rsidR="00EA09BA" w:rsidRPr="00AB514A" w:rsidRDefault="00774448" w:rsidP="00EA09BA">
      <w:pPr>
        <w:rPr>
          <w:rFonts w:cs="Calibri"/>
          <w:lang w:val="en-GB"/>
        </w:rPr>
      </w:pPr>
      <w:r>
        <w:rPr>
          <w:rFonts w:cs="Calibri"/>
          <w:lang w:val="en-GB"/>
        </w:rPr>
        <w:t>7</w:t>
      </w:r>
      <w:r w:rsidR="00EA09BA" w:rsidRPr="00AB514A">
        <w:rPr>
          <w:rFonts w:cs="Calibri"/>
          <w:lang w:val="en-GB"/>
        </w:rPr>
        <w:t>.5</w:t>
      </w:r>
      <w:r w:rsidR="00EA09BA" w:rsidRPr="00AB514A">
        <w:rPr>
          <w:rFonts w:cs="Calibri"/>
          <w:lang w:val="en-GB"/>
        </w:rPr>
        <w:tab/>
        <w:t>A number of councillors encouraged stronger cross-</w:t>
      </w:r>
      <w:r w:rsidR="00557B1B">
        <w:rPr>
          <w:rFonts w:cs="Calibri"/>
          <w:lang w:val="en-GB"/>
        </w:rPr>
        <w:t>S</w:t>
      </w:r>
      <w:r w:rsidR="00EA09BA" w:rsidRPr="00AB514A">
        <w:rPr>
          <w:rFonts w:cs="Calibri"/>
          <w:lang w:val="en-GB"/>
        </w:rPr>
        <w:t xml:space="preserve">ector coordination to reduce duplication, achieve efficiency gains, maximize impact and strengthen collaboration. One councillor noted that the information provided was focused solely on increased expenditure; it lacked any analysis of potential cost savings achieved through streamlining efforts, for example. Another councillor noted the expanded mandate of BDT and that the proposed funding fell short of the goals and needs of Member States. She suggested that the </w:t>
      </w:r>
      <w:r w:rsidR="00557B1B">
        <w:rPr>
          <w:rFonts w:cs="Calibri"/>
          <w:lang w:val="en-GB"/>
        </w:rPr>
        <w:t>s</w:t>
      </w:r>
      <w:r w:rsidR="00EA09BA" w:rsidRPr="00AB514A">
        <w:rPr>
          <w:rFonts w:cs="Calibri"/>
          <w:lang w:val="en-GB"/>
        </w:rPr>
        <w:t xml:space="preserve">ecretariat should conduct a comprehensive review of existing mechanisms, consolidate resources and explore increased investment and seed funding with a view to attracting extrabudgetary resources. One councillor wondered whether prioritization or phased implementation would be considered if resources were limited; another suggested that priority should be given to high-impact development areas, such as </w:t>
      </w:r>
      <w:r w:rsidR="00557B1B">
        <w:rPr>
          <w:rFonts w:cs="Calibri"/>
          <w:lang w:val="en-GB"/>
        </w:rPr>
        <w:t>AI</w:t>
      </w:r>
      <w:r w:rsidR="00EA09BA" w:rsidRPr="00AB514A">
        <w:rPr>
          <w:rFonts w:cs="Calibri"/>
          <w:lang w:val="en-GB"/>
        </w:rPr>
        <w:t xml:space="preserve">, capacity-building, disaster resilience and youth empowerment. </w:t>
      </w:r>
    </w:p>
    <w:p w14:paraId="77C5B2CA" w14:textId="54D026B1" w:rsidR="00EA09BA" w:rsidRPr="00AB514A" w:rsidRDefault="00774448" w:rsidP="00EA09BA">
      <w:pPr>
        <w:rPr>
          <w:rFonts w:cs="Calibri"/>
          <w:lang w:val="en-GB"/>
        </w:rPr>
      </w:pPr>
      <w:r>
        <w:rPr>
          <w:rFonts w:cs="Calibri"/>
          <w:lang w:val="en-GB"/>
        </w:rPr>
        <w:t>7</w:t>
      </w:r>
      <w:r w:rsidR="00EA09BA" w:rsidRPr="00AB514A">
        <w:rPr>
          <w:rFonts w:cs="Calibri"/>
          <w:lang w:val="en-GB"/>
        </w:rPr>
        <w:t>.6</w:t>
      </w:r>
      <w:r w:rsidR="00EA09BA" w:rsidRPr="00AB514A">
        <w:rPr>
          <w:rFonts w:cs="Calibri"/>
          <w:lang w:val="en-GB"/>
        </w:rPr>
        <w:tab/>
        <w:t>Several councillors expressed support for the proposed allocation of CHF 1.3 million from the 2025 cost savings for the implementation of regional initiatives. Some also voiced support for the allocation of any available surplus as time-bound catalytic seed funding to initiate the enabling layer needed for project implementation. They also welcomed the proposal to explore predictable specialized funding mechanisms, based on partnerships and structural resource mobilization, to bridge the funding gap. One councillor stressed that, while useful, targeted seed funding could not replace predictable, sustainable financing. Another emphasized that a results-based, pragmatic approach was needed to attract resources from partners and stakeholders, strengthen capacity in developing countries and ensure tangible and inclusive digital transformation benefits, especially in the African region. Another councillor said that more information was needed on how the seed funding would be used, since she had understood that implementation of activities under Resolutions 17</w:t>
      </w:r>
      <w:r w:rsidR="00CF2C82">
        <w:rPr>
          <w:rFonts w:cs="Calibri"/>
          <w:lang w:val="en-GB"/>
        </w:rPr>
        <w:t> </w:t>
      </w:r>
      <w:r w:rsidR="00EA09BA" w:rsidRPr="00AB514A">
        <w:rPr>
          <w:rFonts w:cs="Calibri"/>
          <w:lang w:val="en-GB"/>
        </w:rPr>
        <w:t>(Rev. Baku, 2025) and 92 (Baku, 2025) would be absorbed into the regular budget.</w:t>
      </w:r>
    </w:p>
    <w:p w14:paraId="3340594B" w14:textId="7A86ED54" w:rsidR="00EA09BA" w:rsidRPr="00AB514A" w:rsidRDefault="00774448" w:rsidP="00EA09BA">
      <w:pPr>
        <w:rPr>
          <w:rFonts w:cs="Calibri"/>
          <w:lang w:val="en-GB"/>
        </w:rPr>
      </w:pPr>
      <w:r>
        <w:rPr>
          <w:rFonts w:cs="Calibri"/>
          <w:lang w:val="en-GB"/>
        </w:rPr>
        <w:t>7</w:t>
      </w:r>
      <w:r w:rsidR="00EA09BA" w:rsidRPr="00AB514A">
        <w:rPr>
          <w:rFonts w:cs="Calibri"/>
          <w:lang w:val="en-GB"/>
        </w:rPr>
        <w:t>.7</w:t>
      </w:r>
      <w:r w:rsidR="00EA09BA" w:rsidRPr="00AB514A">
        <w:rPr>
          <w:rFonts w:cs="Calibri"/>
          <w:lang w:val="en-GB"/>
        </w:rPr>
        <w:tab/>
        <w:t xml:space="preserve">Responding to questions concerning the methodology used to determine the financial </w:t>
      </w:r>
      <w:r w:rsidR="00EA09BA" w:rsidRPr="00BE1DA5">
        <w:rPr>
          <w:rFonts w:cs="Calibri"/>
          <w:spacing w:val="-2"/>
          <w:lang w:val="en-GB"/>
        </w:rPr>
        <w:t>implications of resolutions, why the cost estimates for only six of the new or revised</w:t>
      </w:r>
      <w:r w:rsidR="00EA09BA" w:rsidRPr="00AB514A">
        <w:rPr>
          <w:rFonts w:cs="Calibri"/>
          <w:lang w:val="en-GB"/>
        </w:rPr>
        <w:t xml:space="preserve"> WTDC-25 resolutions had been specified in Document C26/43 and how those allocations had been calculated, the Chief of FRMD explained that the methodology applied universally to all Sectors and ITU conferences and assemblies. He recalled that the methodology had been presented at several of the meetings of CWG-FHR, most recently in January 2026. At the September 2025 meeting, the Chair of CWG-FHR had encouraged Member States to make comments to further improve the calculation methods, but none had been received. The </w:t>
      </w:r>
      <w:r w:rsidR="00CC5A20">
        <w:rPr>
          <w:rFonts w:cs="Calibri"/>
          <w:lang w:val="en-GB"/>
        </w:rPr>
        <w:t>s</w:t>
      </w:r>
      <w:r w:rsidR="00EA09BA" w:rsidRPr="00AB514A">
        <w:rPr>
          <w:rFonts w:cs="Calibri"/>
          <w:lang w:val="en-GB"/>
        </w:rPr>
        <w:t xml:space="preserve">ecretariat would therefore welcome Member States’ suggestions in that regard. </w:t>
      </w:r>
    </w:p>
    <w:p w14:paraId="2808CC9F" w14:textId="5FEF4236" w:rsidR="00EA09BA" w:rsidRPr="00AB514A" w:rsidRDefault="00774448" w:rsidP="00EA09BA">
      <w:pPr>
        <w:rPr>
          <w:rFonts w:cs="Calibri"/>
          <w:lang w:val="en-GB"/>
        </w:rPr>
      </w:pPr>
      <w:r>
        <w:rPr>
          <w:rFonts w:cs="Calibri"/>
          <w:lang w:val="en-GB"/>
        </w:rPr>
        <w:t>7</w:t>
      </w:r>
      <w:r w:rsidR="00EA09BA" w:rsidRPr="00AB514A">
        <w:rPr>
          <w:rFonts w:cs="Calibri"/>
          <w:lang w:val="en-GB"/>
        </w:rPr>
        <w:t>.8</w:t>
      </w:r>
      <w:r w:rsidR="00EA09BA" w:rsidRPr="00AB514A">
        <w:rPr>
          <w:rFonts w:cs="Calibri"/>
          <w:lang w:val="en-GB"/>
        </w:rPr>
        <w:tab/>
        <w:t xml:space="preserve">He clarified that the methodology </w:t>
      </w:r>
      <w:proofErr w:type="gramStart"/>
      <w:r w:rsidR="00EA09BA" w:rsidRPr="00AB514A">
        <w:rPr>
          <w:rFonts w:cs="Calibri"/>
          <w:lang w:val="en-GB"/>
        </w:rPr>
        <w:t>took into account</w:t>
      </w:r>
      <w:proofErr w:type="gramEnd"/>
      <w:r w:rsidR="00EA09BA" w:rsidRPr="00AB514A">
        <w:rPr>
          <w:rFonts w:cs="Calibri"/>
          <w:lang w:val="en-GB"/>
        </w:rPr>
        <w:t xml:space="preserve"> estimated costs associated with, </w:t>
      </w:r>
      <w:r w:rsidR="00CC5A20">
        <w:rPr>
          <w:rFonts w:cs="Calibri"/>
          <w:i/>
          <w:iCs/>
          <w:lang w:val="en-GB"/>
        </w:rPr>
        <w:t>inter alia</w:t>
      </w:r>
      <w:r w:rsidR="00EA09BA" w:rsidRPr="00AB514A">
        <w:rPr>
          <w:rFonts w:cs="Calibri"/>
          <w:lang w:val="en-GB"/>
        </w:rPr>
        <w:t xml:space="preserve">, recruiting experts to implement the resolutions, organizing training and providing grants to participants from developing countries. Many WTDC-25 resolutions did not entail any financial implications owing to the fact that they would be implemented by BDT through the regional initiatives. The </w:t>
      </w:r>
      <w:r w:rsidR="00557B1B">
        <w:rPr>
          <w:rFonts w:cs="Calibri"/>
          <w:lang w:val="en-GB"/>
        </w:rPr>
        <w:t>s</w:t>
      </w:r>
      <w:r w:rsidR="00EA09BA" w:rsidRPr="00AB514A">
        <w:rPr>
          <w:rFonts w:cs="Calibri"/>
          <w:lang w:val="en-GB"/>
        </w:rPr>
        <w:t>ecretariat had requested that the Council consider allocating CHF 1.3 million for that purpose from the savings achieved in 2025 budget implementation.</w:t>
      </w:r>
    </w:p>
    <w:p w14:paraId="06B51825" w14:textId="46112B44" w:rsidR="00EA09BA" w:rsidRDefault="00774448" w:rsidP="00EA09BA">
      <w:pPr>
        <w:rPr>
          <w:rFonts w:cs="Calibri"/>
          <w:lang w:val="en-GB"/>
        </w:rPr>
      </w:pPr>
      <w:r>
        <w:rPr>
          <w:rFonts w:cs="Calibri"/>
          <w:lang w:val="en-GB"/>
        </w:rPr>
        <w:t>7</w:t>
      </w:r>
      <w:r w:rsidR="00EA09BA" w:rsidRPr="00AB514A">
        <w:rPr>
          <w:rFonts w:cs="Calibri"/>
          <w:lang w:val="en-GB"/>
        </w:rPr>
        <w:t>.9</w:t>
      </w:r>
      <w:r w:rsidR="00EA09BA" w:rsidRPr="00AB514A">
        <w:rPr>
          <w:rFonts w:cs="Calibri"/>
          <w:lang w:val="en-GB"/>
        </w:rPr>
        <w:tab/>
        <w:t>He added that Document C26/43, which concerned the report of the Budget Control Committee to WTDC, required no specific action on the part of the Council beyond noting its contents and providing any further guidance. A similar report had been presented to Council</w:t>
      </w:r>
      <w:r w:rsidR="00CC5A20">
        <w:rPr>
          <w:rFonts w:cs="Calibri"/>
          <w:lang w:val="en-GB"/>
        </w:rPr>
        <w:t>-25</w:t>
      </w:r>
      <w:r w:rsidR="00EA09BA" w:rsidRPr="00AB514A">
        <w:rPr>
          <w:rFonts w:cs="Calibri"/>
          <w:lang w:val="en-GB"/>
        </w:rPr>
        <w:t xml:space="preserve"> with regard to the provisional financial implications of the World Telecommunication Standardization Assembly (WTSA-24). </w:t>
      </w:r>
    </w:p>
    <w:p w14:paraId="57C326B9" w14:textId="13E1EEDC" w:rsidR="004C36BE" w:rsidRPr="004C36BE" w:rsidRDefault="004C36BE" w:rsidP="004C36BE">
      <w:pPr>
        <w:rPr>
          <w:rFonts w:cs="Calibri"/>
          <w:lang w:val="en-GB"/>
        </w:rPr>
      </w:pPr>
      <w:r>
        <w:rPr>
          <w:rFonts w:cs="Calibri"/>
          <w:lang w:val="en-GB"/>
        </w:rPr>
        <w:t>7</w:t>
      </w:r>
      <w:r w:rsidRPr="004C36BE">
        <w:rPr>
          <w:rFonts w:cs="Calibri"/>
          <w:lang w:val="en-GB"/>
        </w:rPr>
        <w:t>.10</w:t>
      </w:r>
      <w:r w:rsidRPr="004C36BE">
        <w:rPr>
          <w:rFonts w:cs="Calibri"/>
          <w:lang w:val="en-GB"/>
        </w:rPr>
        <w:tab/>
        <w:t>The Director of BDT, by way of introducing his remarks</w:t>
      </w:r>
      <w:r w:rsidR="00C603FD">
        <w:rPr>
          <w:rFonts w:cs="Calibri"/>
          <w:lang w:val="en-GB"/>
        </w:rPr>
        <w:t>,</w:t>
      </w:r>
      <w:r w:rsidRPr="004C36BE">
        <w:rPr>
          <w:rFonts w:cs="Calibri"/>
          <w:lang w:val="en-GB"/>
        </w:rPr>
        <w:t xml:space="preserve"> said that in BDT projects </w:t>
      </w:r>
      <w:r w:rsidR="00FE7CB8">
        <w:rPr>
          <w:rFonts w:cs="Calibri"/>
          <w:lang w:val="en-GB"/>
        </w:rPr>
        <w:t>of a</w:t>
      </w:r>
      <w:r w:rsidRPr="004C36BE">
        <w:rPr>
          <w:rFonts w:cs="Calibri"/>
          <w:lang w:val="en-GB"/>
        </w:rPr>
        <w:t xml:space="preserve"> national, regional and global nature</w:t>
      </w:r>
      <w:r w:rsidR="00FE7CB8">
        <w:rPr>
          <w:rFonts w:cs="Calibri"/>
          <w:lang w:val="en-GB"/>
        </w:rPr>
        <w:t xml:space="preserve"> were implemented</w:t>
      </w:r>
      <w:r w:rsidRPr="004C36BE">
        <w:rPr>
          <w:rFonts w:cs="Calibri"/>
          <w:lang w:val="en-GB"/>
        </w:rPr>
        <w:t xml:space="preserve">. National and </w:t>
      </w:r>
      <w:r w:rsidR="00FE7CB8">
        <w:rPr>
          <w:rFonts w:cs="Calibri"/>
          <w:lang w:val="en-GB"/>
        </w:rPr>
        <w:t>r</w:t>
      </w:r>
      <w:r w:rsidRPr="004C36BE">
        <w:rPr>
          <w:rFonts w:cs="Calibri"/>
          <w:lang w:val="en-GB"/>
        </w:rPr>
        <w:t xml:space="preserve">egional projects </w:t>
      </w:r>
      <w:r w:rsidR="00FE7CB8">
        <w:rPr>
          <w:rFonts w:cs="Calibri"/>
          <w:lang w:val="en-GB"/>
        </w:rPr>
        <w:t>we</w:t>
      </w:r>
      <w:r w:rsidRPr="004C36BE">
        <w:rPr>
          <w:rFonts w:cs="Calibri"/>
          <w:lang w:val="en-GB"/>
        </w:rPr>
        <w:t xml:space="preserve">re managed by project managers based in the </w:t>
      </w:r>
      <w:r w:rsidR="007A72D6">
        <w:rPr>
          <w:rFonts w:cs="Calibri"/>
          <w:lang w:val="en-GB"/>
        </w:rPr>
        <w:t>a</w:t>
      </w:r>
      <w:r w:rsidRPr="004C36BE">
        <w:rPr>
          <w:rFonts w:cs="Calibri"/>
          <w:lang w:val="en-GB"/>
        </w:rPr>
        <w:t xml:space="preserve">rea or </w:t>
      </w:r>
      <w:r w:rsidR="007A72D6">
        <w:rPr>
          <w:rFonts w:cs="Calibri"/>
          <w:lang w:val="en-GB"/>
        </w:rPr>
        <w:t>r</w:t>
      </w:r>
      <w:r w:rsidRPr="004C36BE">
        <w:rPr>
          <w:rFonts w:cs="Calibri"/>
          <w:lang w:val="en-GB"/>
        </w:rPr>
        <w:t xml:space="preserve">egional </w:t>
      </w:r>
      <w:r w:rsidR="007A72D6">
        <w:rPr>
          <w:rFonts w:cs="Calibri"/>
          <w:lang w:val="en-GB"/>
        </w:rPr>
        <w:t>o</w:t>
      </w:r>
      <w:r w:rsidRPr="004C36BE">
        <w:rPr>
          <w:rFonts w:cs="Calibri"/>
          <w:lang w:val="en-GB"/>
        </w:rPr>
        <w:t xml:space="preserve">ffices in the beneficiary regions as a way of strengthening regional presence. Projects of a global nature </w:t>
      </w:r>
      <w:r w:rsidR="006E0656">
        <w:rPr>
          <w:rFonts w:cs="Calibri"/>
          <w:lang w:val="en-GB"/>
        </w:rPr>
        <w:t>we</w:t>
      </w:r>
      <w:r w:rsidRPr="004C36BE">
        <w:rPr>
          <w:rFonts w:cs="Calibri"/>
          <w:lang w:val="en-GB"/>
        </w:rPr>
        <w:t xml:space="preserve">re managed by project managers based in Geneva at </w:t>
      </w:r>
      <w:r w:rsidR="00403A6A">
        <w:rPr>
          <w:rFonts w:cs="Calibri"/>
          <w:lang w:val="en-GB"/>
        </w:rPr>
        <w:t>h</w:t>
      </w:r>
      <w:r w:rsidRPr="004C36BE">
        <w:rPr>
          <w:rFonts w:cs="Calibri"/>
          <w:lang w:val="en-GB"/>
        </w:rPr>
        <w:t>eadquarters in order to effectively manage cr</w:t>
      </w:r>
      <w:r>
        <w:rPr>
          <w:rFonts w:cs="Calibri"/>
          <w:lang w:val="en-GB"/>
        </w:rPr>
        <w:t>o</w:t>
      </w:r>
      <w:r w:rsidRPr="004C36BE">
        <w:rPr>
          <w:rFonts w:cs="Calibri"/>
          <w:lang w:val="en-GB"/>
        </w:rPr>
        <w:t>ss-regional projects in order to achieve coherence.</w:t>
      </w:r>
    </w:p>
    <w:p w14:paraId="74B17499" w14:textId="17B7F97B" w:rsidR="004C36BE" w:rsidRPr="004C36BE" w:rsidRDefault="004C36BE" w:rsidP="004C36BE">
      <w:pPr>
        <w:rPr>
          <w:rFonts w:cs="Calibri"/>
          <w:lang w:val="en-GB"/>
        </w:rPr>
      </w:pPr>
      <w:r w:rsidRPr="004C36BE">
        <w:rPr>
          <w:rFonts w:cs="Calibri"/>
          <w:lang w:val="en-GB"/>
        </w:rPr>
        <w:t>7.11</w:t>
      </w:r>
      <w:r w:rsidRPr="004C36BE">
        <w:rPr>
          <w:rFonts w:cs="Calibri"/>
          <w:lang w:val="en-GB"/>
        </w:rPr>
        <w:tab/>
        <w:t xml:space="preserve">Responding to questions concerning the financial implications of WTDC-25, he clarified that </w:t>
      </w:r>
      <w:r w:rsidR="000B6902">
        <w:rPr>
          <w:rFonts w:cs="Calibri"/>
          <w:lang w:val="en-GB"/>
        </w:rPr>
        <w:t xml:space="preserve">the </w:t>
      </w:r>
      <w:r w:rsidRPr="004C36BE">
        <w:rPr>
          <w:rFonts w:cs="Calibri"/>
          <w:lang w:val="en-GB"/>
        </w:rPr>
        <w:t>Budget Control Committee</w:t>
      </w:r>
      <w:r w:rsidR="000B6902">
        <w:rPr>
          <w:rFonts w:cs="Calibri"/>
          <w:lang w:val="en-GB"/>
        </w:rPr>
        <w:t xml:space="preserve"> of WTDC-25</w:t>
      </w:r>
      <w:r w:rsidRPr="004C36BE">
        <w:rPr>
          <w:rFonts w:cs="Calibri"/>
          <w:lang w:val="en-GB"/>
        </w:rPr>
        <w:t xml:space="preserve"> </w:t>
      </w:r>
      <w:r w:rsidR="00844796">
        <w:rPr>
          <w:rFonts w:cs="Calibri"/>
          <w:lang w:val="en-GB"/>
        </w:rPr>
        <w:t>had made</w:t>
      </w:r>
      <w:r w:rsidRPr="004C36BE">
        <w:rPr>
          <w:rFonts w:cs="Calibri"/>
          <w:lang w:val="en-GB"/>
        </w:rPr>
        <w:t xml:space="preserve"> its estimates but BDT management, upon return from WTDC-25</w:t>
      </w:r>
      <w:r w:rsidR="00844796">
        <w:rPr>
          <w:rFonts w:cs="Calibri"/>
          <w:lang w:val="en-GB"/>
        </w:rPr>
        <w:t>, had</w:t>
      </w:r>
      <w:r w:rsidRPr="004C36BE">
        <w:rPr>
          <w:rFonts w:cs="Calibri"/>
          <w:lang w:val="en-GB"/>
        </w:rPr>
        <w:t xml:space="preserve"> assessed the various ongoing projects a</w:t>
      </w:r>
      <w:r w:rsidR="00130B71">
        <w:rPr>
          <w:rFonts w:cs="Calibri"/>
          <w:lang w:val="en-GB"/>
        </w:rPr>
        <w:t>n</w:t>
      </w:r>
      <w:r w:rsidRPr="004C36BE">
        <w:rPr>
          <w:rFonts w:cs="Calibri"/>
          <w:lang w:val="en-GB"/>
        </w:rPr>
        <w:t>d new projects to see whether existing resources could address the financing of some of the outcomes. The financial requests</w:t>
      </w:r>
      <w:r w:rsidR="00C92FB0">
        <w:rPr>
          <w:rFonts w:cs="Calibri"/>
          <w:lang w:val="en-GB"/>
        </w:rPr>
        <w:t>,</w:t>
      </w:r>
      <w:r w:rsidRPr="004C36BE">
        <w:rPr>
          <w:rFonts w:cs="Calibri"/>
          <w:lang w:val="en-GB"/>
        </w:rPr>
        <w:t xml:space="preserve"> as determined by </w:t>
      </w:r>
      <w:r w:rsidR="00C92FB0">
        <w:rPr>
          <w:rFonts w:cs="Calibri"/>
          <w:lang w:val="en-GB"/>
        </w:rPr>
        <w:t xml:space="preserve">the </w:t>
      </w:r>
      <w:r w:rsidR="00C92FB0" w:rsidRPr="004C36BE">
        <w:rPr>
          <w:rFonts w:cs="Calibri"/>
          <w:lang w:val="en-GB"/>
        </w:rPr>
        <w:t>Budget Control Committee</w:t>
      </w:r>
      <w:r w:rsidRPr="004C36BE">
        <w:rPr>
          <w:rFonts w:cs="Calibri"/>
          <w:lang w:val="en-GB"/>
        </w:rPr>
        <w:t>, on the four new resolutions were not needed as th</w:t>
      </w:r>
      <w:r w:rsidR="00C92FB0">
        <w:rPr>
          <w:rFonts w:cs="Calibri"/>
          <w:lang w:val="en-GB"/>
        </w:rPr>
        <w:t>o</w:t>
      </w:r>
      <w:r w:rsidRPr="004C36BE">
        <w:rPr>
          <w:rFonts w:cs="Calibri"/>
          <w:lang w:val="en-GB"/>
        </w:rPr>
        <w:t xml:space="preserve">se could be subsumed </w:t>
      </w:r>
      <w:r w:rsidR="00BE231E">
        <w:rPr>
          <w:rFonts w:cs="Calibri"/>
          <w:lang w:val="en-GB"/>
        </w:rPr>
        <w:t>under</w:t>
      </w:r>
      <w:r w:rsidRPr="004C36BE">
        <w:rPr>
          <w:rFonts w:cs="Calibri"/>
          <w:lang w:val="en-GB"/>
        </w:rPr>
        <w:t xml:space="preserve"> existing projects or </w:t>
      </w:r>
      <w:r w:rsidR="00BE231E">
        <w:rPr>
          <w:rFonts w:cs="Calibri"/>
          <w:lang w:val="en-GB"/>
        </w:rPr>
        <w:t>o</w:t>
      </w:r>
      <w:r w:rsidRPr="004C36BE">
        <w:rPr>
          <w:rFonts w:cs="Calibri"/>
          <w:lang w:val="en-GB"/>
        </w:rPr>
        <w:t xml:space="preserve">perational </w:t>
      </w:r>
      <w:r w:rsidR="00BE231E">
        <w:rPr>
          <w:rFonts w:cs="Calibri"/>
          <w:lang w:val="en-GB"/>
        </w:rPr>
        <w:t>p</w:t>
      </w:r>
      <w:r w:rsidRPr="004C36BE">
        <w:rPr>
          <w:rFonts w:cs="Calibri"/>
          <w:lang w:val="en-GB"/>
        </w:rPr>
        <w:t xml:space="preserve">lan activities. However, as per discussions on TDAG communicated through a liaison statement to </w:t>
      </w:r>
      <w:r w:rsidR="00BE231E">
        <w:rPr>
          <w:rFonts w:cs="Calibri"/>
          <w:lang w:val="en-GB"/>
        </w:rPr>
        <w:t xml:space="preserve">the </w:t>
      </w:r>
      <w:r w:rsidRPr="004C36BE">
        <w:rPr>
          <w:rFonts w:cs="Calibri"/>
          <w:lang w:val="en-GB"/>
        </w:rPr>
        <w:t xml:space="preserve">Council, the only resources being required </w:t>
      </w:r>
      <w:r w:rsidR="006E0272">
        <w:rPr>
          <w:rFonts w:cs="Calibri"/>
          <w:lang w:val="en-GB"/>
        </w:rPr>
        <w:t>we</w:t>
      </w:r>
      <w:r w:rsidRPr="004C36BE">
        <w:rPr>
          <w:rFonts w:cs="Calibri"/>
          <w:lang w:val="en-GB"/>
        </w:rPr>
        <w:t xml:space="preserve">re those for the financing of </w:t>
      </w:r>
      <w:r w:rsidR="006E0272">
        <w:rPr>
          <w:rFonts w:cs="Calibri"/>
          <w:lang w:val="en-GB"/>
        </w:rPr>
        <w:t>r</w:t>
      </w:r>
      <w:r w:rsidRPr="004C36BE">
        <w:rPr>
          <w:rFonts w:cs="Calibri"/>
          <w:lang w:val="en-GB"/>
        </w:rPr>
        <w:t xml:space="preserve">egional </w:t>
      </w:r>
      <w:r w:rsidR="006E0272">
        <w:rPr>
          <w:rFonts w:cs="Calibri"/>
          <w:lang w:val="en-GB"/>
        </w:rPr>
        <w:t>i</w:t>
      </w:r>
      <w:r w:rsidRPr="004C36BE">
        <w:rPr>
          <w:rFonts w:cs="Calibri"/>
          <w:lang w:val="en-GB"/>
        </w:rPr>
        <w:t xml:space="preserve">nitiatives. </w:t>
      </w:r>
    </w:p>
    <w:p w14:paraId="34492228" w14:textId="68ABBADF" w:rsidR="004C36BE" w:rsidRPr="00AB514A" w:rsidRDefault="004C36BE" w:rsidP="004C36BE">
      <w:pPr>
        <w:rPr>
          <w:rFonts w:cs="Calibri"/>
          <w:lang w:val="en-GB"/>
        </w:rPr>
      </w:pPr>
      <w:r w:rsidRPr="004C36BE">
        <w:rPr>
          <w:rFonts w:cs="Calibri"/>
          <w:lang w:val="en-GB"/>
        </w:rPr>
        <w:t>7.12</w:t>
      </w:r>
      <w:r w:rsidRPr="004C36BE">
        <w:rPr>
          <w:rFonts w:cs="Calibri"/>
          <w:lang w:val="en-GB"/>
        </w:rPr>
        <w:tab/>
        <w:t xml:space="preserve">Responding to a comment by an observer, the Director </w:t>
      </w:r>
      <w:r w:rsidR="006E0272">
        <w:rPr>
          <w:rFonts w:cs="Calibri"/>
          <w:lang w:val="en-GB"/>
        </w:rPr>
        <w:t>of</w:t>
      </w:r>
      <w:r w:rsidRPr="004C36BE">
        <w:rPr>
          <w:rFonts w:cs="Calibri"/>
          <w:lang w:val="en-GB"/>
        </w:rPr>
        <w:t xml:space="preserve"> BDT s</w:t>
      </w:r>
      <w:r w:rsidR="006E0272">
        <w:rPr>
          <w:rFonts w:cs="Calibri"/>
          <w:lang w:val="en-GB"/>
        </w:rPr>
        <w:t>aid</w:t>
      </w:r>
      <w:r w:rsidRPr="004C36BE">
        <w:rPr>
          <w:rFonts w:cs="Calibri"/>
          <w:lang w:val="en-GB"/>
        </w:rPr>
        <w:t xml:space="preserve"> that</w:t>
      </w:r>
      <w:r w:rsidR="006E0272">
        <w:rPr>
          <w:rFonts w:cs="Calibri"/>
          <w:lang w:val="en-GB"/>
        </w:rPr>
        <w:t>,</w:t>
      </w:r>
      <w:r w:rsidRPr="004C36BE">
        <w:rPr>
          <w:rFonts w:cs="Calibri"/>
          <w:lang w:val="en-GB"/>
        </w:rPr>
        <w:t xml:space="preserve"> as resolutions d</w:t>
      </w:r>
      <w:r w:rsidR="006E0272">
        <w:rPr>
          <w:rFonts w:cs="Calibri"/>
          <w:lang w:val="en-GB"/>
        </w:rPr>
        <w:t>id</w:t>
      </w:r>
      <w:r w:rsidRPr="004C36BE">
        <w:rPr>
          <w:rFonts w:cs="Calibri"/>
          <w:lang w:val="en-GB"/>
        </w:rPr>
        <w:t xml:space="preserve"> not have </w:t>
      </w:r>
      <w:r w:rsidR="00130B71">
        <w:rPr>
          <w:rFonts w:cs="Calibri"/>
          <w:lang w:val="en-GB"/>
        </w:rPr>
        <w:t>k</w:t>
      </w:r>
      <w:r w:rsidRPr="004C36BE">
        <w:rPr>
          <w:rFonts w:cs="Calibri"/>
          <w:lang w:val="en-GB"/>
        </w:rPr>
        <w:t>ey performance indicators</w:t>
      </w:r>
      <w:r w:rsidR="0092077D">
        <w:rPr>
          <w:rFonts w:cs="Calibri"/>
          <w:lang w:val="en-GB"/>
        </w:rPr>
        <w:t xml:space="preserve"> (KPIs)</w:t>
      </w:r>
      <w:r w:rsidRPr="004C36BE">
        <w:rPr>
          <w:rFonts w:cs="Calibri"/>
          <w:lang w:val="en-GB"/>
        </w:rPr>
        <w:t xml:space="preserve">, results </w:t>
      </w:r>
      <w:r w:rsidR="0092077D">
        <w:rPr>
          <w:rFonts w:cs="Calibri"/>
          <w:lang w:val="en-GB"/>
        </w:rPr>
        <w:t>were measured</w:t>
      </w:r>
      <w:r w:rsidRPr="004C36BE">
        <w:rPr>
          <w:rFonts w:cs="Calibri"/>
          <w:lang w:val="en-GB"/>
        </w:rPr>
        <w:t xml:space="preserve"> through KPIs in projects </w:t>
      </w:r>
      <w:r w:rsidR="00355FC4">
        <w:rPr>
          <w:rFonts w:cs="Calibri"/>
          <w:lang w:val="en-GB"/>
        </w:rPr>
        <w:t>to</w:t>
      </w:r>
      <w:r w:rsidRPr="004C36BE">
        <w:rPr>
          <w:rFonts w:cs="Calibri"/>
          <w:lang w:val="en-GB"/>
        </w:rPr>
        <w:t xml:space="preserve"> mainstream resolutions. The </w:t>
      </w:r>
      <w:r w:rsidR="00355FC4">
        <w:rPr>
          <w:rFonts w:cs="Calibri"/>
          <w:lang w:val="en-GB"/>
        </w:rPr>
        <w:t>r</w:t>
      </w:r>
      <w:r w:rsidRPr="004C36BE">
        <w:rPr>
          <w:rFonts w:cs="Calibri"/>
          <w:lang w:val="en-GB"/>
        </w:rPr>
        <w:t xml:space="preserve">egional </w:t>
      </w:r>
      <w:r w:rsidR="00355FC4">
        <w:rPr>
          <w:rFonts w:cs="Calibri"/>
          <w:lang w:val="en-GB"/>
        </w:rPr>
        <w:t>i</w:t>
      </w:r>
      <w:r w:rsidRPr="004C36BE">
        <w:rPr>
          <w:rFonts w:cs="Calibri"/>
          <w:lang w:val="en-GB"/>
        </w:rPr>
        <w:t>nitiatives c</w:t>
      </w:r>
      <w:r w:rsidR="00355FC4">
        <w:rPr>
          <w:rFonts w:cs="Calibri"/>
          <w:lang w:val="en-GB"/>
        </w:rPr>
        <w:t>a</w:t>
      </w:r>
      <w:r w:rsidRPr="004C36BE">
        <w:rPr>
          <w:rFonts w:cs="Calibri"/>
          <w:lang w:val="en-GB"/>
        </w:rPr>
        <w:t xml:space="preserve">me under Resolution 17 (Rev. Baku, 2025) </w:t>
      </w:r>
      <w:r w:rsidR="00355FC4">
        <w:rPr>
          <w:rFonts w:cs="Calibri"/>
          <w:lang w:val="en-GB"/>
        </w:rPr>
        <w:t>of WTDC,</w:t>
      </w:r>
      <w:r w:rsidRPr="004C36BE">
        <w:rPr>
          <w:rFonts w:cs="Calibri"/>
          <w:lang w:val="en-GB"/>
        </w:rPr>
        <w:t xml:space="preserve"> which could be implemented only through a set of projects. The implementation of operational plans, activities, resolutions and global, regional and national projects were inextricably linked through results-based management, which focused on impact, outcome and deliverables; no one resolution could be considered in isolation f</w:t>
      </w:r>
      <w:r w:rsidR="00355FC4">
        <w:rPr>
          <w:rFonts w:cs="Calibri"/>
          <w:lang w:val="en-GB"/>
        </w:rPr>
        <w:t>rom</w:t>
      </w:r>
      <w:r w:rsidRPr="004C36BE">
        <w:rPr>
          <w:rFonts w:cs="Calibri"/>
          <w:lang w:val="en-GB"/>
        </w:rPr>
        <w:t xml:space="preserve"> the rest of the work. Separate funding was however required for the implementation of regional initiatives. Each region </w:t>
      </w:r>
      <w:r w:rsidR="00355FC4">
        <w:rPr>
          <w:rFonts w:cs="Calibri"/>
          <w:lang w:val="en-GB"/>
        </w:rPr>
        <w:t xml:space="preserve">had </w:t>
      </w:r>
      <w:r w:rsidRPr="004C36BE">
        <w:rPr>
          <w:rFonts w:cs="Calibri"/>
          <w:lang w:val="en-GB"/>
        </w:rPr>
        <w:t>submitted to WTDC-25 five regional initiatives</w:t>
      </w:r>
      <w:r w:rsidR="00355FC4">
        <w:rPr>
          <w:rFonts w:cs="Calibri"/>
          <w:lang w:val="en-GB"/>
        </w:rPr>
        <w:t>,</w:t>
      </w:r>
      <w:r w:rsidRPr="004C36BE">
        <w:rPr>
          <w:rFonts w:cs="Calibri"/>
          <w:lang w:val="en-GB"/>
        </w:rPr>
        <w:t xml:space="preserve"> which </w:t>
      </w:r>
      <w:r w:rsidR="00355FC4">
        <w:rPr>
          <w:rFonts w:cs="Calibri"/>
          <w:lang w:val="en-GB"/>
        </w:rPr>
        <w:t>had</w:t>
      </w:r>
      <w:r w:rsidRPr="004C36BE">
        <w:rPr>
          <w:rFonts w:cs="Calibri"/>
          <w:lang w:val="en-GB"/>
        </w:rPr>
        <w:t xml:space="preserve"> all </w:t>
      </w:r>
      <w:r w:rsidR="00355FC4">
        <w:rPr>
          <w:rFonts w:cs="Calibri"/>
          <w:lang w:val="en-GB"/>
        </w:rPr>
        <w:t>been</w:t>
      </w:r>
      <w:r w:rsidRPr="004C36BE">
        <w:rPr>
          <w:rFonts w:cs="Calibri"/>
          <w:lang w:val="en-GB"/>
        </w:rPr>
        <w:t xml:space="preserve"> approved by the Conference. The </w:t>
      </w:r>
      <w:r w:rsidR="00355FC4">
        <w:rPr>
          <w:rFonts w:cs="Calibri"/>
          <w:lang w:val="en-GB"/>
        </w:rPr>
        <w:t>r</w:t>
      </w:r>
      <w:r w:rsidRPr="004C36BE">
        <w:rPr>
          <w:rFonts w:cs="Calibri"/>
          <w:lang w:val="en-GB"/>
        </w:rPr>
        <w:t xml:space="preserve">egional </w:t>
      </w:r>
      <w:r w:rsidR="00355FC4">
        <w:rPr>
          <w:rFonts w:cs="Calibri"/>
          <w:lang w:val="en-GB"/>
        </w:rPr>
        <w:t>i</w:t>
      </w:r>
      <w:r w:rsidRPr="004C36BE">
        <w:rPr>
          <w:rFonts w:cs="Calibri"/>
          <w:lang w:val="en-GB"/>
        </w:rPr>
        <w:t>nitiatives represented the interests and priorities of individual regions, for which reason an amount was being requested, as noted by TDAG in its liaison statement and by the secretariat in its request for the targeted allocation of CHF 1.3 million from the 2025 cost savings. Th</w:t>
      </w:r>
      <w:r w:rsidR="00B748CC">
        <w:rPr>
          <w:rFonts w:cs="Calibri"/>
          <w:lang w:val="en-GB"/>
        </w:rPr>
        <w:t>at</w:t>
      </w:r>
      <w:r w:rsidRPr="004C36BE">
        <w:rPr>
          <w:rFonts w:cs="Calibri"/>
          <w:lang w:val="en-GB"/>
        </w:rPr>
        <w:t xml:space="preserve"> </w:t>
      </w:r>
      <w:r w:rsidR="00B748CC">
        <w:rPr>
          <w:rFonts w:cs="Calibri"/>
          <w:lang w:val="en-GB"/>
        </w:rPr>
        <w:t>wa</w:t>
      </w:r>
      <w:r w:rsidRPr="004C36BE">
        <w:rPr>
          <w:rFonts w:cs="Calibri"/>
          <w:lang w:val="en-GB"/>
        </w:rPr>
        <w:t>s in line with past practice. After WTDC-17</w:t>
      </w:r>
      <w:r w:rsidR="00C906CF">
        <w:rPr>
          <w:rFonts w:cs="Calibri"/>
          <w:lang w:val="en-GB"/>
        </w:rPr>
        <w:t>,</w:t>
      </w:r>
      <w:r w:rsidRPr="004C36BE">
        <w:rPr>
          <w:rFonts w:cs="Calibri"/>
          <w:lang w:val="en-GB"/>
        </w:rPr>
        <w:t xml:space="preserve"> </w:t>
      </w:r>
      <w:r w:rsidR="00C906CF">
        <w:rPr>
          <w:rFonts w:cs="Calibri"/>
          <w:lang w:val="en-GB"/>
        </w:rPr>
        <w:t xml:space="preserve">the </w:t>
      </w:r>
      <w:r w:rsidRPr="004C36BE">
        <w:rPr>
          <w:rFonts w:cs="Calibri"/>
          <w:lang w:val="en-GB"/>
        </w:rPr>
        <w:t xml:space="preserve">Council </w:t>
      </w:r>
      <w:r w:rsidR="00C906CF">
        <w:rPr>
          <w:rFonts w:cs="Calibri"/>
          <w:lang w:val="en-GB"/>
        </w:rPr>
        <w:t>at its 2018 session had</w:t>
      </w:r>
      <w:r w:rsidRPr="004C36BE">
        <w:rPr>
          <w:rFonts w:cs="Calibri"/>
          <w:lang w:val="en-GB"/>
        </w:rPr>
        <w:t xml:space="preserve"> made an injection of the same requested amount</w:t>
      </w:r>
      <w:r w:rsidR="00E46C90">
        <w:rPr>
          <w:rFonts w:cs="Calibri"/>
          <w:lang w:val="en-GB"/>
        </w:rPr>
        <w:t>.</w:t>
      </w:r>
      <w:r w:rsidRPr="004C36BE">
        <w:rPr>
          <w:rFonts w:cs="Calibri"/>
          <w:lang w:val="en-GB"/>
        </w:rPr>
        <w:t xml:space="preserve"> </w:t>
      </w:r>
      <w:r w:rsidR="0003032D">
        <w:rPr>
          <w:rFonts w:cs="Calibri"/>
          <w:lang w:val="en-GB"/>
        </w:rPr>
        <w:t>Also,</w:t>
      </w:r>
      <w:r w:rsidRPr="004C36BE">
        <w:rPr>
          <w:rFonts w:cs="Calibri"/>
          <w:lang w:val="en-GB"/>
        </w:rPr>
        <w:t xml:space="preserve"> after WTDC-22, </w:t>
      </w:r>
      <w:r w:rsidR="0003032D">
        <w:rPr>
          <w:rFonts w:cs="Calibri"/>
          <w:lang w:val="en-GB"/>
        </w:rPr>
        <w:t>the</w:t>
      </w:r>
      <w:r w:rsidRPr="004C36BE">
        <w:rPr>
          <w:rFonts w:cs="Calibri"/>
          <w:lang w:val="en-GB"/>
        </w:rPr>
        <w:t xml:space="preserve"> Council </w:t>
      </w:r>
      <w:r w:rsidR="007A0A5B">
        <w:rPr>
          <w:rFonts w:cs="Calibri"/>
          <w:lang w:val="en-GB"/>
        </w:rPr>
        <w:t>at its 202</w:t>
      </w:r>
      <w:r w:rsidR="006A6ED2">
        <w:rPr>
          <w:rFonts w:cs="Calibri"/>
          <w:lang w:val="en-GB"/>
        </w:rPr>
        <w:t xml:space="preserve">3 session had </w:t>
      </w:r>
      <w:r w:rsidRPr="004C36BE">
        <w:rPr>
          <w:rFonts w:cs="Calibri"/>
          <w:lang w:val="en-GB"/>
        </w:rPr>
        <w:t xml:space="preserve">also allocated funds for implementation of </w:t>
      </w:r>
      <w:r w:rsidR="006A6ED2">
        <w:rPr>
          <w:rFonts w:cs="Calibri"/>
          <w:lang w:val="en-GB"/>
        </w:rPr>
        <w:t>the regional initiatives</w:t>
      </w:r>
      <w:r w:rsidRPr="004C36BE">
        <w:rPr>
          <w:rFonts w:cs="Calibri"/>
          <w:lang w:val="en-GB"/>
        </w:rPr>
        <w:t>. That allowed BDT to successfully mobilize extra-budgetary resources that helped us finance impactful projects in all the regions.</w:t>
      </w:r>
    </w:p>
    <w:p w14:paraId="2A903D80" w14:textId="0520FE81" w:rsidR="00704FE2" w:rsidRPr="00AB514A" w:rsidRDefault="00774448" w:rsidP="00704FE2">
      <w:pPr>
        <w:spacing w:line="259" w:lineRule="auto"/>
        <w:rPr>
          <w:rFonts w:eastAsia="Calibri" w:cs="Calibri"/>
          <w:lang w:val="en-GB"/>
        </w:rPr>
      </w:pPr>
      <w:r>
        <w:rPr>
          <w:rFonts w:cs="Calibri"/>
          <w:lang w:val="en-GB"/>
        </w:rPr>
        <w:t>7</w:t>
      </w:r>
      <w:r w:rsidR="00EA09BA" w:rsidRPr="00AB514A">
        <w:rPr>
          <w:rFonts w:cs="Calibri"/>
          <w:lang w:val="en-GB"/>
        </w:rPr>
        <w:t>.13.</w:t>
      </w:r>
      <w:r w:rsidR="00EA09BA" w:rsidRPr="00AB514A">
        <w:rPr>
          <w:rFonts w:cs="Calibri"/>
          <w:lang w:val="en-GB"/>
        </w:rPr>
        <w:tab/>
      </w:r>
      <w:r w:rsidR="00704FE2" w:rsidRPr="00AB514A">
        <w:rPr>
          <w:rFonts w:eastAsia="Calibri" w:cs="Calibri"/>
          <w:lang w:val="en-GB"/>
        </w:rPr>
        <w:t xml:space="preserve">The committee </w:t>
      </w:r>
      <w:r w:rsidR="00704FE2" w:rsidRPr="00AB514A">
        <w:rPr>
          <w:rFonts w:eastAsia="Calibri" w:cs="Calibri"/>
          <w:b/>
          <w:bCs/>
          <w:lang w:val="en-GB"/>
        </w:rPr>
        <w:t>agreed</w:t>
      </w:r>
      <w:r w:rsidR="00704FE2" w:rsidRPr="00AB514A">
        <w:rPr>
          <w:rFonts w:eastAsia="Calibri" w:cs="Calibri"/>
          <w:lang w:val="en-GB"/>
        </w:rPr>
        <w:t xml:space="preserve"> to conclude as follows on the matter:</w:t>
      </w:r>
    </w:p>
    <w:p w14:paraId="4A45AF32" w14:textId="4BBDF822" w:rsidR="00B7384D" w:rsidRDefault="00774448" w:rsidP="00152876">
      <w:pPr>
        <w:pBdr>
          <w:top w:val="single" w:sz="4" w:space="4" w:color="000000"/>
          <w:left w:val="single" w:sz="4" w:space="4" w:color="000000"/>
          <w:bottom w:val="single" w:sz="4" w:space="4" w:color="000000"/>
          <w:right w:val="single" w:sz="4" w:space="4" w:color="000000"/>
        </w:pBdr>
        <w:spacing w:before="0" w:line="259" w:lineRule="auto"/>
        <w:rPr>
          <w:rFonts w:eastAsia="Aptos"/>
          <w:lang w:val="en-GB"/>
        </w:rPr>
      </w:pPr>
      <w:r>
        <w:rPr>
          <w:rFonts w:eastAsia="Calibri" w:cs="Calibri"/>
          <w:lang w:val="en-GB"/>
        </w:rPr>
        <w:t>7</w:t>
      </w:r>
      <w:r w:rsidR="00704FE2" w:rsidRPr="00AB514A">
        <w:rPr>
          <w:rFonts w:eastAsia="Calibri" w:cs="Calibri"/>
          <w:lang w:val="en-GB"/>
        </w:rPr>
        <w:t>.14</w:t>
      </w:r>
      <w:r w:rsidR="00704FE2" w:rsidRPr="00AB514A">
        <w:rPr>
          <w:lang w:val="en-GB"/>
        </w:rPr>
        <w:tab/>
        <w:t>The committee recommends that the Council:</w:t>
      </w:r>
    </w:p>
    <w:p w14:paraId="7EB725C0" w14:textId="51E51401" w:rsidR="00512862" w:rsidRDefault="00704FE2" w:rsidP="00D53CD6">
      <w:pPr>
        <w:pBdr>
          <w:top w:val="single" w:sz="4" w:space="4" w:color="000000"/>
          <w:left w:val="single" w:sz="4" w:space="4" w:color="000000"/>
          <w:bottom w:val="single" w:sz="4" w:space="4" w:color="000000"/>
          <w:right w:val="single" w:sz="4" w:space="4" w:color="000000"/>
        </w:pBdr>
        <w:spacing w:before="80" w:line="259" w:lineRule="auto"/>
        <w:rPr>
          <w:rFonts w:eastAsia="Aptos"/>
          <w:lang w:val="en-GB"/>
        </w:rPr>
      </w:pPr>
      <w:r w:rsidRPr="00AB514A">
        <w:rPr>
          <w:rFonts w:eastAsia="Aptos"/>
          <w:lang w:val="en-GB"/>
        </w:rPr>
        <w:t>•</w:t>
      </w:r>
      <w:r w:rsidRPr="00AB514A">
        <w:rPr>
          <w:rFonts w:eastAsia="Aptos"/>
          <w:lang w:val="en-GB"/>
        </w:rPr>
        <w:tab/>
      </w:r>
      <w:r w:rsidR="006E47B8" w:rsidRPr="00AB514A">
        <w:rPr>
          <w:rFonts w:cs="Calibri"/>
          <w:lang w:val="en-GB"/>
        </w:rPr>
        <w:t xml:space="preserve">note the report contained in Document </w:t>
      </w:r>
      <w:hyperlink r:id="rId28" w:history="1">
        <w:r w:rsidR="006E47B8" w:rsidRPr="00512862">
          <w:rPr>
            <w:rStyle w:val="Hyperlink"/>
            <w:rFonts w:cs="Calibri"/>
            <w:szCs w:val="20"/>
            <w:lang w:val="en-GB"/>
          </w:rPr>
          <w:t>C26/43</w:t>
        </w:r>
      </w:hyperlink>
      <w:r w:rsidR="006E47B8" w:rsidRPr="00AB514A">
        <w:rPr>
          <w:rFonts w:cs="Calibri"/>
          <w:lang w:val="en-GB"/>
        </w:rPr>
        <w:t xml:space="preserve"> and provide any further </w:t>
      </w:r>
      <w:proofErr w:type="gramStart"/>
      <w:r w:rsidR="006E47B8" w:rsidRPr="00AB514A">
        <w:rPr>
          <w:rFonts w:cs="Calibri"/>
          <w:lang w:val="en-GB"/>
        </w:rPr>
        <w:t>guidance;</w:t>
      </w:r>
      <w:proofErr w:type="gramEnd"/>
    </w:p>
    <w:p w14:paraId="5FE38E6F" w14:textId="5C3D5A88" w:rsidR="00512862" w:rsidRDefault="00704FE2" w:rsidP="00D53CD6">
      <w:pPr>
        <w:pBdr>
          <w:top w:val="single" w:sz="4" w:space="4" w:color="000000"/>
          <w:left w:val="single" w:sz="4" w:space="4" w:color="000000"/>
          <w:bottom w:val="single" w:sz="4" w:space="4" w:color="000000"/>
          <w:right w:val="single" w:sz="4" w:space="4" w:color="000000"/>
        </w:pBdr>
        <w:spacing w:before="80" w:line="259" w:lineRule="auto"/>
        <w:ind w:left="567" w:hanging="567"/>
        <w:rPr>
          <w:rFonts w:eastAsia="Aptos"/>
          <w:lang w:val="en-GB"/>
        </w:rPr>
      </w:pPr>
      <w:r w:rsidRPr="00AB514A">
        <w:rPr>
          <w:rFonts w:eastAsia="Aptos"/>
          <w:lang w:val="en-GB"/>
        </w:rPr>
        <w:t>•</w:t>
      </w:r>
      <w:r w:rsidRPr="00AB514A">
        <w:rPr>
          <w:rFonts w:eastAsia="Aptos"/>
          <w:lang w:val="en-GB"/>
        </w:rPr>
        <w:tab/>
      </w:r>
      <w:r w:rsidR="00076973" w:rsidRPr="00AB514A">
        <w:rPr>
          <w:rFonts w:cs="Calibri"/>
          <w:lang w:val="en-GB"/>
        </w:rPr>
        <w:t xml:space="preserve">note the TDAG liaison statement contained in Document </w:t>
      </w:r>
      <w:hyperlink r:id="rId29" w:history="1">
        <w:r w:rsidR="00076973" w:rsidRPr="00512862">
          <w:rPr>
            <w:rStyle w:val="Hyperlink"/>
            <w:rFonts w:cs="Calibri"/>
            <w:szCs w:val="20"/>
            <w:lang w:val="en-GB"/>
          </w:rPr>
          <w:t>C26/109</w:t>
        </w:r>
      </w:hyperlink>
      <w:r w:rsidR="00076973" w:rsidRPr="00AB514A">
        <w:rPr>
          <w:rFonts w:cs="Calibri"/>
          <w:lang w:val="en-GB"/>
        </w:rPr>
        <w:t xml:space="preserve"> and consider the allocation of necessary funds to support the implementation of the WTDC-25 outcomes on regional initiatives</w:t>
      </w:r>
      <w:r w:rsidR="00F93DCD" w:rsidRPr="00AB514A">
        <w:rPr>
          <w:rFonts w:cs="Calibri"/>
          <w:lang w:val="en-GB"/>
        </w:rPr>
        <w:t>;</w:t>
      </w:r>
      <w:r w:rsidR="00CC5A20">
        <w:rPr>
          <w:rFonts w:cs="Calibri"/>
          <w:lang w:val="en-GB"/>
        </w:rPr>
        <w:t xml:space="preserve"> and</w:t>
      </w:r>
    </w:p>
    <w:p w14:paraId="3AAB6189" w14:textId="38C6EA06" w:rsidR="00704FE2" w:rsidRPr="00AB514A" w:rsidRDefault="00704FE2" w:rsidP="00D53CD6">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AB514A">
        <w:rPr>
          <w:rFonts w:eastAsia="Aptos"/>
          <w:lang w:val="en-GB"/>
        </w:rPr>
        <w:t>•</w:t>
      </w:r>
      <w:r w:rsidRPr="00AB514A">
        <w:rPr>
          <w:rFonts w:eastAsia="Aptos"/>
          <w:lang w:val="en-GB"/>
        </w:rPr>
        <w:tab/>
      </w:r>
      <w:r w:rsidR="00F93DCD" w:rsidRPr="00AB514A">
        <w:rPr>
          <w:rFonts w:cs="Calibri"/>
          <w:lang w:val="en-GB"/>
        </w:rPr>
        <w:t xml:space="preserve">note the multicountry contribution contained in Document </w:t>
      </w:r>
      <w:hyperlink r:id="rId30" w:history="1">
        <w:r w:rsidR="00F93DCD" w:rsidRPr="0071566F">
          <w:rPr>
            <w:rStyle w:val="Hyperlink"/>
            <w:rFonts w:cs="Calibri"/>
            <w:szCs w:val="20"/>
            <w:lang w:val="en-GB"/>
          </w:rPr>
          <w:t>C26/103</w:t>
        </w:r>
      </w:hyperlink>
      <w:r w:rsidR="00F93DCD" w:rsidRPr="00AB514A">
        <w:rPr>
          <w:rFonts w:cs="Calibri"/>
          <w:lang w:val="en-GB"/>
        </w:rPr>
        <w:t xml:space="preserve"> and consider the allocation of </w:t>
      </w:r>
      <w:r w:rsidR="007D51BD">
        <w:rPr>
          <w:rFonts w:cs="Calibri"/>
          <w:lang w:val="en-GB"/>
        </w:rPr>
        <w:t xml:space="preserve">part </w:t>
      </w:r>
      <w:r w:rsidR="0046465B">
        <w:rPr>
          <w:rFonts w:cs="Calibri"/>
          <w:lang w:val="en-GB"/>
        </w:rPr>
        <w:t xml:space="preserve">of </w:t>
      </w:r>
      <w:r w:rsidR="00F93DCD" w:rsidRPr="00AB514A">
        <w:rPr>
          <w:rFonts w:cs="Calibri"/>
          <w:lang w:val="en-GB"/>
        </w:rPr>
        <w:t>any available surplus to regional initiatives in order to initiate the implementation of activities in accordance with the relevant WTDC-25 resolutions.</w:t>
      </w:r>
    </w:p>
    <w:p w14:paraId="7D48379F" w14:textId="0E52F3F7" w:rsidR="00FC7AAE" w:rsidRPr="00EA5615" w:rsidRDefault="00774448" w:rsidP="00F93DCD">
      <w:pPr>
        <w:pStyle w:val="Heading1"/>
        <w:rPr>
          <w:lang w:val="en-GB"/>
        </w:rPr>
      </w:pPr>
      <w:r>
        <w:rPr>
          <w:lang w:val="en-GB"/>
        </w:rPr>
        <w:t>8</w:t>
      </w:r>
      <w:r w:rsidR="006C5E35" w:rsidRPr="00AB514A">
        <w:rPr>
          <w:lang w:val="en-GB"/>
        </w:rPr>
        <w:tab/>
      </w:r>
      <w:r w:rsidR="006C5E35" w:rsidRPr="00EA5615">
        <w:rPr>
          <w:lang w:val="en-GB"/>
        </w:rPr>
        <w:t xml:space="preserve">Contributory units – Provisional choices (Document </w:t>
      </w:r>
      <w:hyperlink r:id="rId31" w:history="1">
        <w:r w:rsidR="006C5E35" w:rsidRPr="001820AA">
          <w:rPr>
            <w:rStyle w:val="Hyperlink"/>
            <w:lang w:val="en-GB"/>
          </w:rPr>
          <w:t>C26/47</w:t>
        </w:r>
      </w:hyperlink>
      <w:r w:rsidR="006C5E35" w:rsidRPr="00EA5615">
        <w:rPr>
          <w:lang w:val="en-GB"/>
        </w:rPr>
        <w:t>)</w:t>
      </w:r>
    </w:p>
    <w:p w14:paraId="69393E98" w14:textId="27077B46" w:rsidR="009C3B2B" w:rsidRPr="009C3B2B" w:rsidRDefault="009C3B2B" w:rsidP="009C3B2B">
      <w:pPr>
        <w:rPr>
          <w:lang w:val="en-GB"/>
        </w:rPr>
      </w:pPr>
      <w:r w:rsidRPr="009C3B2B">
        <w:rPr>
          <w:lang w:val="en-GB"/>
        </w:rPr>
        <w:t>8.1</w:t>
      </w:r>
      <w:r w:rsidRPr="009C3B2B">
        <w:rPr>
          <w:lang w:val="en-GB"/>
        </w:rPr>
        <w:tab/>
        <w:t>The Chief of FRMD introduced Document C26/47, informing the Council of the provisional choices of Member States before the 2026 plenipotentiary conference</w:t>
      </w:r>
      <w:r w:rsidR="00357CD2">
        <w:rPr>
          <w:lang w:val="en-GB"/>
        </w:rPr>
        <w:t xml:space="preserve"> (PP-26)</w:t>
      </w:r>
      <w:r w:rsidRPr="009C3B2B">
        <w:rPr>
          <w:lang w:val="en-GB"/>
        </w:rPr>
        <w:t xml:space="preserve">, pursuant to the 42 replies received to the Secretary-General’s circular letter inviting Member States to announce, before the end of the calendar year 2025, their provisional class of contribution for the period 2028-2031. The document also presented the results of a comprehensive review, undertaken by the secretariat, of Member States’ application of and compliance with the ITU contributory unit framework. Targeted communications were being addressed to Member States to clarify obligations and inform them of adjustments, where needed. The review had also identified Member States subject to Council-approved exceptions granted between 1967 and 2006, the current unit level of which might no longer align with the eligibility criteria set out in Council Document </w:t>
      </w:r>
      <w:hyperlink r:id="rId32" w:history="1">
        <w:r w:rsidRPr="00D65E0D">
          <w:rPr>
            <w:rStyle w:val="Hyperlink"/>
            <w:rFonts w:cs="Times New Roman"/>
            <w:szCs w:val="20"/>
            <w:lang w:val="en-GB"/>
          </w:rPr>
          <w:t>C10/67</w:t>
        </w:r>
      </w:hyperlink>
      <w:r w:rsidRPr="009C3B2B">
        <w:rPr>
          <w:lang w:val="en-GB"/>
        </w:rPr>
        <w:t>.</w:t>
      </w:r>
    </w:p>
    <w:p w14:paraId="54233119" w14:textId="77777777" w:rsidR="009C3B2B" w:rsidRPr="009C3B2B" w:rsidRDefault="009C3B2B" w:rsidP="009C3B2B">
      <w:pPr>
        <w:rPr>
          <w:lang w:val="en-GB"/>
        </w:rPr>
      </w:pPr>
      <w:r w:rsidRPr="009C3B2B">
        <w:rPr>
          <w:lang w:val="en-GB"/>
        </w:rPr>
        <w:t>8.2</w:t>
      </w:r>
      <w:r w:rsidRPr="009C3B2B">
        <w:rPr>
          <w:lang w:val="en-GB"/>
        </w:rPr>
        <w:tab/>
        <w:t>Councillors welcomed the report and expressed support for efforts to revise the criteria for contributions and for Council-approved exceptional reductions to enhance transparency and consistency. Exceptional reductions should be timebound and reviewed periodically. Regular reporting to Council on the status of exceptions would be welcome, as it would inform and facilitate decision-making and the timely reassessment of those measures. The approach to exceptions should remain flexible and development-oriented, and must not disadvantage small and vulnerable economies. Several councillors cautioned against the automatic upward adjustment of contributions when a Member State graduated from least developed country (LDC) status; graduation did not necessarily translate into an immediate increase in fiscal capacity. Upward adjustments should take account of the specific circumstances of the Member State concerned, and must ensure fairness and equity in the contributory system. A balanced approach would be essential to maintain the financial sustainability of the Union while safeguarding inclusiveness and the ability of developing countries to participate effectively. One councillor expressed concern that so few Member States had replied to the letter requesting statements of provisional choice of contributions, and cautioned that while the fact that the total number of contributory units had remained almost unchanged might suggest stability, it might also mean limited responsiveness to changing economic realities.</w:t>
      </w:r>
    </w:p>
    <w:p w14:paraId="651F6ACA" w14:textId="77777777" w:rsidR="009C3B2B" w:rsidRPr="009C3B2B" w:rsidRDefault="009C3B2B" w:rsidP="009C3B2B">
      <w:pPr>
        <w:rPr>
          <w:lang w:val="en-GB"/>
        </w:rPr>
      </w:pPr>
      <w:r w:rsidRPr="009C3B2B">
        <w:rPr>
          <w:lang w:val="en-GB"/>
        </w:rPr>
        <w:t>8.3</w:t>
      </w:r>
      <w:r w:rsidRPr="009C3B2B">
        <w:rPr>
          <w:lang w:val="en-GB"/>
        </w:rPr>
        <w:tab/>
        <w:t xml:space="preserve">One councillor said that longstanding exceptions that had not been subject to review had weakened the contributory system. The contributions of graduating LDCs should be immediately adjusted, and exceptions should not be issued for countries that did not have LDC status. Long-term exceptions should be terminated and the States concerned should reapply for temporary exceptional reductions under the new criteria, once those were in place. </w:t>
      </w:r>
    </w:p>
    <w:p w14:paraId="0150B801" w14:textId="77777777" w:rsidR="009C3B2B" w:rsidRPr="009C3B2B" w:rsidRDefault="009C3B2B" w:rsidP="009C3B2B">
      <w:pPr>
        <w:rPr>
          <w:lang w:val="en-GB"/>
        </w:rPr>
      </w:pPr>
      <w:r w:rsidRPr="009C3B2B">
        <w:rPr>
          <w:lang w:val="en-GB"/>
        </w:rPr>
        <w:t>8.4</w:t>
      </w:r>
      <w:r w:rsidRPr="009C3B2B">
        <w:rPr>
          <w:lang w:val="en-GB"/>
        </w:rPr>
        <w:tab/>
        <w:t>The Chief of FRMD said that the criteria for contributory units were based on Decision 5 (Rev. Bucharest, 2022) of the Plenipotentiary Conference, pursuant to which, the Secretary-General had announced that the preliminary amount of the contributory unit would remain at 318 000 Swiss francs, and had sent a circular letter was sent to all Member States requesting a provisional statement of their contributions. The absence of a reply to that letter was understood to mean that the Member State concerned wished to maintain its current level of contribution. The provisional contributions per Member State were set out in the annex to Document C26/47.</w:t>
      </w:r>
    </w:p>
    <w:p w14:paraId="0F055BDA" w14:textId="530D7758" w:rsidR="007B585F" w:rsidRPr="007B585F" w:rsidRDefault="009C3B2B" w:rsidP="009C3B2B">
      <w:pPr>
        <w:rPr>
          <w:rFonts w:eastAsia="Calibri" w:cs="Calibri"/>
          <w:szCs w:val="24"/>
          <w:lang w:val="en-GB"/>
        </w:rPr>
      </w:pPr>
      <w:r w:rsidRPr="009C3B2B">
        <w:rPr>
          <w:lang w:val="en-GB"/>
        </w:rPr>
        <w:t>8.5</w:t>
      </w:r>
      <w:r w:rsidR="006502D9">
        <w:rPr>
          <w:lang w:val="en-GB"/>
        </w:rPr>
        <w:tab/>
      </w:r>
      <w:r w:rsidRPr="009C3B2B">
        <w:rPr>
          <w:rFonts w:eastAsia="Calibri" w:cs="Calibri"/>
          <w:szCs w:val="24"/>
          <w:lang w:val="en-GB"/>
        </w:rPr>
        <w:t>The committee</w:t>
      </w:r>
      <w:r w:rsidR="007B585F">
        <w:rPr>
          <w:rFonts w:eastAsia="Calibri" w:cs="Calibri"/>
          <w:szCs w:val="24"/>
          <w:lang w:val="en-GB"/>
        </w:rPr>
        <w:t xml:space="preserve"> </w:t>
      </w:r>
      <w:r w:rsidR="007E038C">
        <w:rPr>
          <w:rFonts w:eastAsia="Calibri" w:cs="Calibri"/>
          <w:b/>
          <w:bCs/>
          <w:szCs w:val="24"/>
          <w:lang w:val="en-GB"/>
        </w:rPr>
        <w:t>co</w:t>
      </w:r>
      <w:r w:rsidR="007B585F">
        <w:rPr>
          <w:rFonts w:eastAsia="Calibri" w:cs="Calibri"/>
          <w:b/>
          <w:bCs/>
          <w:szCs w:val="24"/>
          <w:lang w:val="en-GB"/>
        </w:rPr>
        <w:t>mmended</w:t>
      </w:r>
      <w:r w:rsidR="007B585F">
        <w:rPr>
          <w:rFonts w:eastAsia="Calibri" w:cs="Calibri"/>
          <w:szCs w:val="24"/>
          <w:lang w:val="en-GB"/>
        </w:rPr>
        <w:t xml:space="preserve"> the secretariat </w:t>
      </w:r>
      <w:r w:rsidR="007E038C" w:rsidRPr="007E038C">
        <w:rPr>
          <w:rFonts w:eastAsia="Calibri" w:cs="Calibri"/>
          <w:szCs w:val="24"/>
          <w:lang w:val="en-GB"/>
        </w:rPr>
        <w:t xml:space="preserve">for undertaking a comprehensive review of Member States’ application of and compliance with the ITU contributory unit framework established under the </w:t>
      </w:r>
      <w:r w:rsidR="007E038C">
        <w:rPr>
          <w:rFonts w:eastAsia="Calibri" w:cs="Calibri"/>
          <w:szCs w:val="24"/>
          <w:lang w:val="en-GB"/>
        </w:rPr>
        <w:t xml:space="preserve">ITU </w:t>
      </w:r>
      <w:r w:rsidR="007E038C" w:rsidRPr="007E038C">
        <w:rPr>
          <w:rFonts w:eastAsia="Calibri" w:cs="Calibri"/>
          <w:szCs w:val="24"/>
          <w:lang w:val="en-GB"/>
        </w:rPr>
        <w:t>Constitution and Convention and relevant Council and Plenipotentiary</w:t>
      </w:r>
      <w:r w:rsidR="007E038C">
        <w:rPr>
          <w:rFonts w:eastAsia="Calibri" w:cs="Calibri"/>
          <w:szCs w:val="24"/>
          <w:lang w:val="en-GB"/>
        </w:rPr>
        <w:t xml:space="preserve"> Conference</w:t>
      </w:r>
      <w:r w:rsidR="007E038C" w:rsidRPr="007E038C">
        <w:rPr>
          <w:rFonts w:eastAsia="Calibri" w:cs="Calibri"/>
          <w:szCs w:val="24"/>
          <w:lang w:val="en-GB"/>
        </w:rPr>
        <w:t xml:space="preserve"> resolutions</w:t>
      </w:r>
      <w:r w:rsidR="007E038C">
        <w:rPr>
          <w:rFonts w:eastAsia="Calibri" w:cs="Calibri"/>
          <w:szCs w:val="24"/>
          <w:lang w:val="en-GB"/>
        </w:rPr>
        <w:t>.</w:t>
      </w:r>
    </w:p>
    <w:p w14:paraId="10AFB211" w14:textId="46A844A8" w:rsidR="009C3B2B" w:rsidRPr="009C3B2B" w:rsidRDefault="007E038C" w:rsidP="009C3B2B">
      <w:pPr>
        <w:rPr>
          <w:lang w:val="en-GB"/>
        </w:rPr>
      </w:pPr>
      <w:r>
        <w:rPr>
          <w:rFonts w:eastAsia="Calibri" w:cs="Calibri"/>
          <w:szCs w:val="24"/>
          <w:lang w:val="en-GB"/>
        </w:rPr>
        <w:t>8.6</w:t>
      </w:r>
      <w:r w:rsidR="006502D9">
        <w:rPr>
          <w:rFonts w:eastAsia="Calibri" w:cs="Calibri"/>
          <w:szCs w:val="24"/>
          <w:lang w:val="en-GB"/>
        </w:rPr>
        <w:tab/>
      </w:r>
      <w:r>
        <w:rPr>
          <w:rFonts w:eastAsia="Calibri" w:cs="Calibri"/>
          <w:szCs w:val="24"/>
          <w:lang w:val="en-GB"/>
        </w:rPr>
        <w:t>In reviewing Document C26/47, the committee</w:t>
      </w:r>
      <w:r w:rsidR="009C3B2B" w:rsidRPr="009C3B2B">
        <w:rPr>
          <w:rFonts w:eastAsia="Calibri" w:cs="Calibri"/>
          <w:szCs w:val="24"/>
          <w:lang w:val="en-GB"/>
        </w:rPr>
        <w:t xml:space="preserve"> </w:t>
      </w:r>
      <w:r w:rsidR="009C3B2B" w:rsidRPr="009C3B2B">
        <w:rPr>
          <w:rFonts w:eastAsia="Calibri" w:cs="Calibri"/>
          <w:b/>
          <w:bCs/>
          <w:szCs w:val="24"/>
          <w:lang w:val="en-GB"/>
        </w:rPr>
        <w:t>agreed</w:t>
      </w:r>
      <w:r w:rsidR="009C3B2B" w:rsidRPr="009C3B2B">
        <w:rPr>
          <w:rFonts w:eastAsia="Calibri" w:cs="Calibri"/>
          <w:szCs w:val="24"/>
          <w:lang w:val="en-GB"/>
        </w:rPr>
        <w:t xml:space="preserve"> to conclude as follows on the matter:</w:t>
      </w:r>
    </w:p>
    <w:p w14:paraId="371F7F27" w14:textId="405ECB21" w:rsidR="00870DE1" w:rsidRDefault="009C3B2B" w:rsidP="009C3B2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9C3B2B">
        <w:rPr>
          <w:lang w:val="en-GB"/>
        </w:rPr>
        <w:t>The committee recommends that the Council</w:t>
      </w:r>
      <w:r w:rsidR="007E038C">
        <w:rPr>
          <w:lang w:val="en-GB"/>
        </w:rPr>
        <w:t xml:space="preserve"> instruct the Secretary-General to</w:t>
      </w:r>
      <w:r w:rsidRPr="009C3B2B">
        <w:rPr>
          <w:lang w:val="en-GB"/>
        </w:rPr>
        <w:t>:</w:t>
      </w:r>
    </w:p>
    <w:p w14:paraId="42D20A6B" w14:textId="546FD2E1" w:rsidR="00870DE1" w:rsidRDefault="009C3B2B"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C3B2B">
        <w:rPr>
          <w:lang w:val="en-GB"/>
        </w:rPr>
        <w:t>•</w:t>
      </w:r>
      <w:r w:rsidRPr="009C3B2B">
        <w:rPr>
          <w:lang w:val="en-GB"/>
        </w:rPr>
        <w:tab/>
      </w:r>
      <w:r w:rsidR="00B7408F" w:rsidRPr="00B7408F">
        <w:rPr>
          <w:lang w:val="en-GB"/>
        </w:rPr>
        <w:t xml:space="preserve">report annually to </w:t>
      </w:r>
      <w:r w:rsidR="006502D9">
        <w:rPr>
          <w:lang w:val="en-GB"/>
        </w:rPr>
        <w:t>the</w:t>
      </w:r>
      <w:r w:rsidR="00B7408F" w:rsidRPr="00B7408F">
        <w:rPr>
          <w:lang w:val="en-GB"/>
        </w:rPr>
        <w:t xml:space="preserve"> Council on the status of all exceptions to the class of contributions to allow for timely reassessment of their continued applicability</w:t>
      </w:r>
      <w:r w:rsidRPr="009C3B2B">
        <w:rPr>
          <w:lang w:val="en-GB"/>
        </w:rPr>
        <w:t>;</w:t>
      </w:r>
    </w:p>
    <w:p w14:paraId="534F32DB" w14:textId="168C2B58" w:rsidR="009C3B2B" w:rsidRPr="009C3B2B" w:rsidRDefault="009C3B2B"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C3B2B">
        <w:rPr>
          <w:lang w:val="en-GB"/>
        </w:rPr>
        <w:t>•</w:t>
      </w:r>
      <w:r w:rsidRPr="009C3B2B">
        <w:rPr>
          <w:lang w:val="en-GB"/>
        </w:rPr>
        <w:tab/>
      </w:r>
      <w:r w:rsidR="003F3174" w:rsidRPr="003F3174">
        <w:rPr>
          <w:lang w:val="en-GB"/>
        </w:rPr>
        <w:t>prepare a draft revision of the criteria</w:t>
      </w:r>
      <w:r w:rsidR="006502D9">
        <w:rPr>
          <w:lang w:val="en-GB"/>
        </w:rPr>
        <w:t xml:space="preserve"> applicable for the choice of class of contribution, contained in Document C10/</w:t>
      </w:r>
      <w:r w:rsidR="005F7C8F">
        <w:rPr>
          <w:lang w:val="en-GB"/>
        </w:rPr>
        <w:t>4</w:t>
      </w:r>
      <w:r w:rsidR="006502D9">
        <w:rPr>
          <w:lang w:val="en-GB"/>
        </w:rPr>
        <w:t>7,</w:t>
      </w:r>
      <w:r w:rsidR="003F3174" w:rsidRPr="003F3174">
        <w:rPr>
          <w:lang w:val="en-GB"/>
        </w:rPr>
        <w:t xml:space="preserve"> with a view to ensuring </w:t>
      </w:r>
      <w:r w:rsidR="006502D9">
        <w:rPr>
          <w:lang w:val="en-GB"/>
        </w:rPr>
        <w:t>their</w:t>
      </w:r>
      <w:r w:rsidR="003F3174" w:rsidRPr="003F3174">
        <w:rPr>
          <w:lang w:val="en-GB"/>
        </w:rPr>
        <w:t xml:space="preserve"> continued relevance and consistency, and submit the draft revised procedure to the 2027 session of the Council</w:t>
      </w:r>
      <w:r w:rsidRPr="009C3B2B">
        <w:rPr>
          <w:rFonts w:cs="Calibri"/>
          <w:szCs w:val="24"/>
          <w:lang w:val="en-GB"/>
        </w:rPr>
        <w:t>.</w:t>
      </w:r>
    </w:p>
    <w:p w14:paraId="43818608" w14:textId="79F8B48E" w:rsidR="006C5E35" w:rsidRPr="00EA5615" w:rsidRDefault="00774448" w:rsidP="00FC7AAE">
      <w:pPr>
        <w:pStyle w:val="Heading1"/>
        <w:rPr>
          <w:lang w:val="en-GB"/>
        </w:rPr>
      </w:pPr>
      <w:r>
        <w:rPr>
          <w:lang w:val="en-GB"/>
        </w:rPr>
        <w:t>9</w:t>
      </w:r>
      <w:r w:rsidR="00FC7AAE" w:rsidRPr="00EA5615">
        <w:rPr>
          <w:lang w:val="en-GB"/>
        </w:rPr>
        <w:tab/>
      </w:r>
      <w:r w:rsidR="00633AD4" w:rsidRPr="00EA5615">
        <w:rPr>
          <w:lang w:val="en-GB"/>
        </w:rPr>
        <w:t xml:space="preserve">Contributory shares of Ecuador for defraying </w:t>
      </w:r>
      <w:r w:rsidR="006C2BFE">
        <w:rPr>
          <w:lang w:val="en-GB"/>
        </w:rPr>
        <w:t>the</w:t>
      </w:r>
      <w:r w:rsidR="006C2BFE" w:rsidRPr="00ED1E8C">
        <w:rPr>
          <w:lang w:val="en-GB"/>
        </w:rPr>
        <w:t xml:space="preserve"> </w:t>
      </w:r>
      <w:r w:rsidR="00633AD4" w:rsidRPr="00EA5615">
        <w:rPr>
          <w:lang w:val="en-GB"/>
        </w:rPr>
        <w:t xml:space="preserve">expenses </w:t>
      </w:r>
      <w:r w:rsidR="006C2BFE">
        <w:rPr>
          <w:lang w:val="en-GB"/>
        </w:rPr>
        <w:t>of the Union</w:t>
      </w:r>
      <w:r w:rsidR="00633AD4" w:rsidRPr="00ED1E8C">
        <w:rPr>
          <w:lang w:val="en-GB"/>
        </w:rPr>
        <w:t xml:space="preserve"> </w:t>
      </w:r>
      <w:r w:rsidR="00633AD4" w:rsidRPr="00EA5615">
        <w:rPr>
          <w:lang w:val="en-GB"/>
        </w:rPr>
        <w:t xml:space="preserve">(Document </w:t>
      </w:r>
      <w:hyperlink r:id="rId33" w:history="1">
        <w:r w:rsidR="00633AD4" w:rsidRPr="00EA5615">
          <w:rPr>
            <w:rStyle w:val="Hyperlink"/>
            <w:bCs/>
            <w:lang w:val="en-GB"/>
          </w:rPr>
          <w:t>C26/</w:t>
        </w:r>
        <w:r w:rsidR="00633AD4" w:rsidRPr="00EA5615">
          <w:rPr>
            <w:rStyle w:val="Hyperlink"/>
            <w:lang w:val="en-GB"/>
          </w:rPr>
          <w:t>54</w:t>
        </w:r>
      </w:hyperlink>
      <w:r w:rsidR="0095433D" w:rsidRPr="00C44A2E">
        <w:rPr>
          <w:lang w:val="en-GB"/>
        </w:rPr>
        <w:t xml:space="preserve"> </w:t>
      </w:r>
      <w:r w:rsidR="0095433D">
        <w:rPr>
          <w:lang w:val="en-GB"/>
        </w:rPr>
        <w:t xml:space="preserve">and </w:t>
      </w:r>
      <w:hyperlink r:id="rId34" w:history="1">
        <w:r w:rsidR="00CA4344" w:rsidRPr="00CA4344">
          <w:rPr>
            <w:rStyle w:val="Hyperlink"/>
            <w:rFonts w:cs="Times New Roman"/>
            <w:szCs w:val="20"/>
            <w:lang w:val="en-GB"/>
          </w:rPr>
          <w:t>C26/DT/5(Rev.2)</w:t>
        </w:r>
      </w:hyperlink>
      <w:r w:rsidR="00633AD4" w:rsidRPr="00EA5615">
        <w:rPr>
          <w:lang w:val="en-GB"/>
        </w:rPr>
        <w:t>)</w:t>
      </w:r>
    </w:p>
    <w:p w14:paraId="29B815E3" w14:textId="6E8D7EE6" w:rsidR="00ED1E8C" w:rsidRPr="00ED1E8C" w:rsidRDefault="00ED1E8C" w:rsidP="00ED1E8C">
      <w:pPr>
        <w:rPr>
          <w:lang w:val="en-GB"/>
        </w:rPr>
      </w:pPr>
      <w:r w:rsidRPr="00ED1E8C">
        <w:rPr>
          <w:lang w:val="en-GB"/>
        </w:rPr>
        <w:t>9.1</w:t>
      </w:r>
      <w:r w:rsidRPr="00ED1E8C">
        <w:rPr>
          <w:lang w:val="en-GB"/>
        </w:rPr>
        <w:tab/>
        <w:t xml:space="preserve">The Chief of FRMD introduced Document </w:t>
      </w:r>
      <w:r w:rsidRPr="00ED1E8C">
        <w:rPr>
          <w:rFonts w:cs="Calibri"/>
          <w:lang w:val="en-GB"/>
        </w:rPr>
        <w:t xml:space="preserve">C26/54, informing the Council of a letter from the Republic of Ecuador, dated 12 October 2025, by which it requested to contribute under a reduced contribution class (1/8 or 1/16, which according to </w:t>
      </w:r>
      <w:r w:rsidR="000D2C08">
        <w:rPr>
          <w:rFonts w:cs="Calibri"/>
          <w:lang w:val="en-GB"/>
        </w:rPr>
        <w:t>§ </w:t>
      </w:r>
      <w:r w:rsidRPr="00ED1E8C">
        <w:rPr>
          <w:rFonts w:cs="Calibri"/>
          <w:lang w:val="en-GB"/>
        </w:rPr>
        <w:t>468a of the Convention of the International Telecommunication Union applied to least developed countries (LDCs)). Despite Ecuador not being included in the United Nations list of LDCs, the letter stated that an internal armed conflict was significantly affecting Ecuador’s economic and fiscal capacity, and that granting such flexibility would enable Ecuador to continue to fulfil its financial obligations as a Member State, while also ensuring its active participation in the Union’s work and in the advancement of global telecommunications. Ecuador had settled all annual contributory shares (including for the year 2026) with no amount outstanding. If approved by the Council, the request would cover the period from 1 January 2028 to 31 December 2031.</w:t>
      </w:r>
      <w:r w:rsidRPr="00ED1E8C">
        <w:rPr>
          <w:lang w:val="en-GB"/>
        </w:rPr>
        <w:t xml:space="preserve"> A reduction from 1/4 to 1/8 would translate as a loss of CHF</w:t>
      </w:r>
      <w:r w:rsidR="000501A9">
        <w:rPr>
          <w:lang w:val="en-GB"/>
        </w:rPr>
        <w:t> </w:t>
      </w:r>
      <w:r w:rsidRPr="00ED1E8C">
        <w:rPr>
          <w:lang w:val="en-GB"/>
        </w:rPr>
        <w:t>39 750 for the Union, while a reduction from 1/4 to 1/16 would amount to a loss of CHF</w:t>
      </w:r>
      <w:r w:rsidR="000501A9">
        <w:rPr>
          <w:lang w:val="en-GB"/>
        </w:rPr>
        <w:t> </w:t>
      </w:r>
      <w:r w:rsidRPr="00ED1E8C">
        <w:rPr>
          <w:lang w:val="en-GB"/>
        </w:rPr>
        <w:t>59 </w:t>
      </w:r>
      <w:r w:rsidR="00AD3D51">
        <w:rPr>
          <w:lang w:val="en-GB"/>
        </w:rPr>
        <w:t>625</w:t>
      </w:r>
      <w:r w:rsidRPr="00ED1E8C">
        <w:rPr>
          <w:lang w:val="en-GB"/>
        </w:rPr>
        <w:t xml:space="preserve">. </w:t>
      </w:r>
    </w:p>
    <w:p w14:paraId="162C73EB" w14:textId="4CE77877" w:rsidR="00ED1E8C" w:rsidRPr="00ED1E8C" w:rsidRDefault="00ED1E8C" w:rsidP="00ED1E8C">
      <w:pPr>
        <w:rPr>
          <w:rFonts w:cs="Calibri"/>
          <w:lang w:val="en-GB"/>
        </w:rPr>
      </w:pPr>
      <w:r w:rsidRPr="00ED1E8C">
        <w:rPr>
          <w:rFonts w:cs="Calibri"/>
          <w:lang w:val="en-GB"/>
        </w:rPr>
        <w:t>9.2</w:t>
      </w:r>
      <w:r w:rsidRPr="00ED1E8C">
        <w:rPr>
          <w:rFonts w:cs="Calibri"/>
          <w:lang w:val="en-GB"/>
        </w:rPr>
        <w:tab/>
      </w:r>
      <w:r w:rsidR="006279CE">
        <w:rPr>
          <w:rFonts w:cs="Calibri"/>
          <w:lang w:val="en-GB"/>
        </w:rPr>
        <w:t xml:space="preserve">Councillors supported the request made by Ecuador and requested that that be reflected in the report. </w:t>
      </w:r>
      <w:r w:rsidRPr="00ED1E8C">
        <w:rPr>
          <w:rFonts w:cs="Calibri"/>
          <w:lang w:val="en-GB"/>
        </w:rPr>
        <w:t>Councillors expressed concern regarding the situation in Ecuador and agreed that measures should be taken to allow it to continue to participate fully in the work of the ITU as a Member State. One councillor cautioned that any exceptional reductions must only be granted on a timebound and exceptional basis, and must not perpetuate or exacerbate the problems outlined in document C26/47.</w:t>
      </w:r>
    </w:p>
    <w:p w14:paraId="4267B8AA" w14:textId="454A3391" w:rsidR="00ED1E8C" w:rsidRPr="00ED1E8C" w:rsidRDefault="00ED1E8C" w:rsidP="00ED1E8C">
      <w:pPr>
        <w:rPr>
          <w:rFonts w:cs="Calibri"/>
          <w:lang w:val="en-GB"/>
        </w:rPr>
      </w:pPr>
      <w:r w:rsidRPr="00ED1E8C">
        <w:rPr>
          <w:rFonts w:cs="Calibri"/>
          <w:lang w:val="en-GB"/>
        </w:rPr>
        <w:t>9.3</w:t>
      </w:r>
      <w:r w:rsidRPr="00ED1E8C">
        <w:rPr>
          <w:rFonts w:cs="Calibri"/>
          <w:lang w:val="en-GB"/>
        </w:rPr>
        <w:tab/>
        <w:t xml:space="preserve">Following informal consultations, the secretariat prepared a draft resolution, </w:t>
      </w:r>
      <w:r w:rsidRPr="006502D9">
        <w:rPr>
          <w:rFonts w:cs="Calibri"/>
          <w:lang w:val="en-GB"/>
        </w:rPr>
        <w:t xml:space="preserve">contained in Document </w:t>
      </w:r>
      <w:hyperlink r:id="rId35" w:history="1">
        <w:r w:rsidRPr="006502D9">
          <w:rPr>
            <w:rStyle w:val="Hyperlink"/>
            <w:rFonts w:cs="Calibri"/>
            <w:szCs w:val="20"/>
            <w:lang w:val="en-GB"/>
          </w:rPr>
          <w:t>C26/DT/</w:t>
        </w:r>
        <w:r w:rsidR="008A0F91" w:rsidRPr="006502D9">
          <w:rPr>
            <w:rStyle w:val="Hyperlink"/>
            <w:rFonts w:cs="Calibri"/>
            <w:szCs w:val="20"/>
            <w:lang w:val="en-GB"/>
          </w:rPr>
          <w:t>5</w:t>
        </w:r>
        <w:r w:rsidR="002F16A0" w:rsidRPr="006502D9">
          <w:rPr>
            <w:rStyle w:val="Hyperlink"/>
            <w:rFonts w:cs="Calibri"/>
            <w:szCs w:val="20"/>
            <w:lang w:val="en-GB"/>
          </w:rPr>
          <w:t>(Rev.</w:t>
        </w:r>
        <w:r w:rsidR="0095433D">
          <w:rPr>
            <w:rStyle w:val="Hyperlink"/>
            <w:rFonts w:cs="Calibri"/>
            <w:szCs w:val="20"/>
            <w:lang w:val="en-GB"/>
          </w:rPr>
          <w:t>2</w:t>
        </w:r>
        <w:r w:rsidR="002F16A0" w:rsidRPr="006502D9">
          <w:rPr>
            <w:rStyle w:val="Hyperlink"/>
            <w:rFonts w:cs="Calibri"/>
            <w:szCs w:val="20"/>
            <w:lang w:val="en-GB"/>
          </w:rPr>
          <w:t>)</w:t>
        </w:r>
      </w:hyperlink>
      <w:r w:rsidRPr="006502D9">
        <w:rPr>
          <w:rFonts w:cs="Calibri"/>
          <w:color w:val="000000" w:themeColor="text1"/>
          <w:lang w:val="en-GB"/>
        </w:rPr>
        <w:t>,</w:t>
      </w:r>
      <w:r w:rsidRPr="00ED1E8C">
        <w:rPr>
          <w:rFonts w:cs="Calibri"/>
          <w:color w:val="000000" w:themeColor="text1"/>
          <w:lang w:val="en-GB"/>
        </w:rPr>
        <w:t xml:space="preserve"> which it submitted </w:t>
      </w:r>
      <w:r w:rsidRPr="00ED1E8C">
        <w:rPr>
          <w:rFonts w:cs="Calibri"/>
          <w:lang w:val="en-GB"/>
        </w:rPr>
        <w:t>for the committee’s consideration.</w:t>
      </w:r>
    </w:p>
    <w:p w14:paraId="202437BD" w14:textId="77777777" w:rsidR="00ED1E8C" w:rsidRPr="00ED1E8C" w:rsidRDefault="00ED1E8C" w:rsidP="00ED1E8C">
      <w:pPr>
        <w:rPr>
          <w:rFonts w:cs="Calibri"/>
          <w:lang w:val="en-GB"/>
        </w:rPr>
      </w:pPr>
      <w:r w:rsidRPr="00ED1E8C">
        <w:rPr>
          <w:rFonts w:cs="Calibri"/>
          <w:lang w:val="en-GB"/>
        </w:rPr>
        <w:t>9.4</w:t>
      </w:r>
      <w:r w:rsidRPr="00ED1E8C">
        <w:rPr>
          <w:rFonts w:cs="Calibri"/>
          <w:lang w:val="en-GB"/>
        </w:rPr>
        <w:tab/>
        <w:t>Councillors agreed that the situation in Ecuador was temporary and that the reduction in its contribution would not have a significant impact on the Union’s finances. In a spirit of solidarity, they could therefore agree to grant Ecuador’s request. One councillor proposed amendments to the draft resolution to underscore the temporary nature of the exemption and to instruct the Secretary-General to seek annual situation updates from the Government of Ecuador regarding the ongoing nature of the exceptional circumstances, and to report annually to Council to allow for the timely reassessment of the applicability of the exception. Other councillors supported that caveat and cautioned against setting precedents; appropriate guidance and criteria for exemptions must be clearly stipulated. The resolution must be aligned with the established procedural mandate of the Council, with respect to the assessment of requests for exceptions.</w:t>
      </w:r>
    </w:p>
    <w:p w14:paraId="6FA9E57E" w14:textId="6840641F" w:rsidR="001034FE" w:rsidRPr="009C3B2B" w:rsidRDefault="00ED1E8C" w:rsidP="00ED1E8C">
      <w:pPr>
        <w:spacing w:line="259" w:lineRule="auto"/>
        <w:rPr>
          <w:lang w:val="en-GB"/>
        </w:rPr>
      </w:pPr>
      <w:r w:rsidRPr="006502D9">
        <w:rPr>
          <w:rFonts w:cs="Calibri"/>
          <w:lang w:val="en-GB"/>
        </w:rPr>
        <w:t>9.5</w:t>
      </w:r>
      <w:r w:rsidRPr="006502D9">
        <w:rPr>
          <w:rFonts w:cs="Calibri"/>
          <w:lang w:val="en-GB"/>
        </w:rPr>
        <w:tab/>
        <w:t xml:space="preserve">Following informal </w:t>
      </w:r>
      <w:r w:rsidRPr="006502D9">
        <w:rPr>
          <w:rFonts w:eastAsia="Calibri" w:cs="Calibri"/>
          <w:lang w:val="en-GB"/>
        </w:rPr>
        <w:t xml:space="preserve">consultations, the committee </w:t>
      </w:r>
      <w:r w:rsidRPr="006502D9">
        <w:rPr>
          <w:rFonts w:eastAsia="Calibri" w:cs="Calibri"/>
          <w:b/>
          <w:bCs/>
          <w:lang w:val="en-GB"/>
        </w:rPr>
        <w:t>agreed</w:t>
      </w:r>
      <w:r w:rsidRPr="006502D9">
        <w:rPr>
          <w:rFonts w:eastAsia="Calibri" w:cs="Calibri"/>
          <w:lang w:val="en-GB"/>
        </w:rPr>
        <w:t xml:space="preserve"> to conclude as follows on the matter:</w:t>
      </w:r>
    </w:p>
    <w:p w14:paraId="63D5FC0C" w14:textId="77777777" w:rsidR="001034FE" w:rsidRDefault="001034FE" w:rsidP="001034FE">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9C3B2B">
        <w:rPr>
          <w:lang w:val="en-GB"/>
        </w:rPr>
        <w:t>The committee recommends that the Council:</w:t>
      </w:r>
    </w:p>
    <w:p w14:paraId="4A91CA44" w14:textId="47ED5519" w:rsidR="00047EFE" w:rsidRPr="009C3B2B" w:rsidRDefault="0071641C"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C3B2B">
        <w:rPr>
          <w:lang w:val="en-GB"/>
        </w:rPr>
        <w:t>•</w:t>
      </w:r>
      <w:r w:rsidRPr="009C3B2B">
        <w:rPr>
          <w:lang w:val="en-GB"/>
        </w:rPr>
        <w:tab/>
      </w:r>
      <w:r w:rsidR="00636DE9">
        <w:rPr>
          <w:lang w:val="en-GB"/>
        </w:rPr>
        <w:t>instruct the Secretary-General to</w:t>
      </w:r>
      <w:r w:rsidR="00636DE9" w:rsidRPr="006502D9">
        <w:rPr>
          <w:lang w:val="en-GB"/>
        </w:rPr>
        <w:t xml:space="preserve"> </w:t>
      </w:r>
      <w:r w:rsidR="00047EFE" w:rsidRPr="006502D9">
        <w:rPr>
          <w:lang w:val="en-GB"/>
        </w:rPr>
        <w:t>prepare a structured procedure to guide Council's approach to exceptional reductions pursuant to No. 165A of the Convention such that they are explicitly time-bound and subject to regular review, and provide to the 2027 session of Council</w:t>
      </w:r>
      <w:r w:rsidR="006279CE">
        <w:rPr>
          <w:lang w:val="en-GB"/>
        </w:rPr>
        <w:t>; and</w:t>
      </w:r>
    </w:p>
    <w:p w14:paraId="614B7653" w14:textId="708F8B18" w:rsidR="001034FE" w:rsidRPr="009C3B2B" w:rsidRDefault="001034FE"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C3B2B">
        <w:rPr>
          <w:lang w:val="en-GB"/>
        </w:rPr>
        <w:t>•</w:t>
      </w:r>
      <w:r w:rsidRPr="009C3B2B">
        <w:rPr>
          <w:lang w:val="en-GB"/>
        </w:rPr>
        <w:tab/>
      </w:r>
      <w:r w:rsidR="00AD61F4" w:rsidRPr="006502D9">
        <w:rPr>
          <w:lang w:val="en-GB"/>
        </w:rPr>
        <w:t>adopt the resolution</w:t>
      </w:r>
      <w:r w:rsidR="00AD61F4" w:rsidRPr="006502D9">
        <w:rPr>
          <w:rFonts w:cs="Calibri"/>
          <w:lang w:val="en-GB"/>
        </w:rPr>
        <w:t xml:space="preserve"> contained in </w:t>
      </w:r>
      <w:hyperlink w:anchor="Annex_A" w:history="1">
        <w:r w:rsidR="00AD61F4" w:rsidRPr="006502D9">
          <w:rPr>
            <w:rStyle w:val="Hyperlink"/>
            <w:rFonts w:eastAsia="Calibri" w:cs="Calibri"/>
            <w:b/>
            <w:bCs/>
            <w:szCs w:val="20"/>
            <w:lang w:val="en-GB"/>
          </w:rPr>
          <w:t xml:space="preserve">Annex </w:t>
        </w:r>
        <w:r w:rsidR="00470497" w:rsidRPr="006502D9">
          <w:rPr>
            <w:rStyle w:val="Hyperlink"/>
            <w:rFonts w:eastAsia="Calibri" w:cs="Calibri"/>
            <w:b/>
            <w:bCs/>
            <w:szCs w:val="20"/>
            <w:lang w:val="en-GB"/>
          </w:rPr>
          <w:t>A</w:t>
        </w:r>
      </w:hyperlink>
      <w:r w:rsidR="00AD61F4" w:rsidRPr="006502D9">
        <w:rPr>
          <w:rFonts w:eastAsia="Calibri" w:cs="Calibri"/>
          <w:lang w:val="en-GB"/>
        </w:rPr>
        <w:t xml:space="preserve"> hereto.</w:t>
      </w:r>
    </w:p>
    <w:p w14:paraId="5AFFB9EB" w14:textId="2AC7EB02" w:rsidR="006C5E35" w:rsidRPr="00EA5615" w:rsidRDefault="006C5E35" w:rsidP="006C5E35">
      <w:pPr>
        <w:pStyle w:val="Heading1"/>
        <w:rPr>
          <w:lang w:val="en-GB"/>
        </w:rPr>
      </w:pPr>
      <w:r w:rsidRPr="00EA5615">
        <w:rPr>
          <w:lang w:val="en-GB"/>
        </w:rPr>
        <w:t>1</w:t>
      </w:r>
      <w:r w:rsidR="00774448">
        <w:rPr>
          <w:lang w:val="en-GB"/>
        </w:rPr>
        <w:t>0</w:t>
      </w:r>
      <w:r w:rsidRPr="00EA5615">
        <w:rPr>
          <w:lang w:val="en-GB"/>
        </w:rPr>
        <w:tab/>
        <w:t xml:space="preserve">Contributory units – Methodology for review and revision </w:t>
      </w:r>
      <w:r w:rsidR="0037518A">
        <w:rPr>
          <w:lang w:val="en-GB"/>
        </w:rPr>
        <w:br/>
      </w:r>
      <w:r w:rsidRPr="00EA5615">
        <w:rPr>
          <w:lang w:val="en-GB"/>
        </w:rPr>
        <w:t xml:space="preserve">(Document </w:t>
      </w:r>
      <w:hyperlink r:id="rId36" w:history="1">
        <w:r w:rsidRPr="00EA5615">
          <w:rPr>
            <w:rStyle w:val="Hyperlink"/>
            <w:lang w:val="en-GB"/>
          </w:rPr>
          <w:t>C26/72</w:t>
        </w:r>
      </w:hyperlink>
      <w:r w:rsidRPr="00EA5615">
        <w:rPr>
          <w:lang w:val="en-GB"/>
        </w:rPr>
        <w:t>)</w:t>
      </w:r>
    </w:p>
    <w:p w14:paraId="1F8C647C" w14:textId="2E9A7BC5" w:rsidR="006C5E35" w:rsidRPr="00EA5615" w:rsidRDefault="006C5E35" w:rsidP="005740AB">
      <w:pPr>
        <w:pStyle w:val="Headingb"/>
        <w:ind w:left="540"/>
        <w:rPr>
          <w:sz w:val="28"/>
          <w:szCs w:val="28"/>
          <w:lang w:val="en-GB"/>
        </w:rPr>
      </w:pPr>
      <w:r w:rsidRPr="00EA5615">
        <w:rPr>
          <w:sz w:val="28"/>
          <w:szCs w:val="28"/>
          <w:lang w:val="en-GB"/>
        </w:rPr>
        <w:t xml:space="preserve">Methodology for review and revision of the </w:t>
      </w:r>
      <w:r w:rsidR="00E92501">
        <w:rPr>
          <w:sz w:val="28"/>
          <w:szCs w:val="28"/>
          <w:lang w:val="en-GB"/>
        </w:rPr>
        <w:t>c</w:t>
      </w:r>
      <w:r w:rsidRPr="003F0F98">
        <w:rPr>
          <w:sz w:val="28"/>
          <w:szCs w:val="28"/>
          <w:lang w:val="en-GB"/>
        </w:rPr>
        <w:t xml:space="preserve">ontributory </w:t>
      </w:r>
      <w:r w:rsidR="00E92501">
        <w:rPr>
          <w:sz w:val="28"/>
          <w:szCs w:val="28"/>
          <w:lang w:val="en-GB"/>
        </w:rPr>
        <w:t>u</w:t>
      </w:r>
      <w:r w:rsidRPr="003F0F98">
        <w:rPr>
          <w:sz w:val="28"/>
          <w:szCs w:val="28"/>
          <w:lang w:val="en-GB"/>
        </w:rPr>
        <w:t>nit</w:t>
      </w:r>
      <w:r w:rsidRPr="00EA5615">
        <w:rPr>
          <w:sz w:val="28"/>
          <w:szCs w:val="28"/>
          <w:lang w:val="en-GB"/>
        </w:rPr>
        <w:t xml:space="preserve"> (Document </w:t>
      </w:r>
      <w:hyperlink r:id="rId37" w:history="1">
        <w:r w:rsidRPr="00EA5615">
          <w:rPr>
            <w:rStyle w:val="Hyperlink"/>
            <w:sz w:val="28"/>
            <w:szCs w:val="28"/>
            <w:lang w:val="en-GB"/>
          </w:rPr>
          <w:t>C26/100</w:t>
        </w:r>
      </w:hyperlink>
      <w:r w:rsidRPr="00EA5615">
        <w:rPr>
          <w:sz w:val="28"/>
          <w:szCs w:val="28"/>
          <w:lang w:val="en-GB"/>
        </w:rPr>
        <w:t>)</w:t>
      </w:r>
    </w:p>
    <w:p w14:paraId="45A045F5" w14:textId="4F599D4B" w:rsidR="000C78D4" w:rsidRPr="003F0F98" w:rsidRDefault="000C78D4" w:rsidP="000C78D4">
      <w:pPr>
        <w:rPr>
          <w:lang w:val="en-GB"/>
        </w:rPr>
      </w:pPr>
      <w:r w:rsidRPr="003F0F98">
        <w:rPr>
          <w:lang w:val="en-GB"/>
        </w:rPr>
        <w:t>10.1 The Chief of FRMD introduced the report contained in Document C26/72 on the methodology for review and revision of contributory units. The methodology would be implemented in the lead-up to the 2030 plenipotentiary conference and any adjustments to the contributory unit would come into force from 2032. No increase would be proposed at PP-26; the Union would continue to operate within the constraints of its current budget, through strengthened financial discipline. The secretariat proposed to continue to monitor the financial situation and implement measures to boost efficiency, improve focus and coordination and enhance financial discipline. The proposed methodology contained three prospective approaches: adjusting the contributory unit to reflect inflation; linking contributory unit increases to performance improvements; and linking increases to the additional costs associated with new mandates approved by the membership.</w:t>
      </w:r>
    </w:p>
    <w:p w14:paraId="30A89675" w14:textId="08E2CFB1" w:rsidR="000C78D4" w:rsidRPr="003F0F98" w:rsidRDefault="000C78D4" w:rsidP="000C78D4">
      <w:pPr>
        <w:rPr>
          <w:lang w:val="en-GB"/>
        </w:rPr>
      </w:pPr>
      <w:r w:rsidRPr="003F0F98">
        <w:rPr>
          <w:lang w:val="en-GB"/>
        </w:rPr>
        <w:t>10.2</w:t>
      </w:r>
      <w:r w:rsidRPr="003F0F98">
        <w:rPr>
          <w:lang w:val="en-GB"/>
        </w:rPr>
        <w:tab/>
        <w:t>The Councillor from South Africa introduced the multicountry contribution in Document C26/100 on behalf of five countries, proposing that: the secretariat should establish a clear benchmark for what would trigger a revision of the contributory unit; it should set thresholds that automatically prompted reconsideration of the contributory unit; and it should consider conducting annual monitoring and presenting a rolling three- to six-year financial outlook, including revenue projections and expenditure trends, cost implications of new mandates and scenario analyses. To address the vagueness of efficiency measures, quantified targets should be set. A contributory unit adequacy dashboard should be established for more systematic monitoring and evaluation, allowing Member States to make informed decisions. Such measures would avoid deferred financial pressure, reduced delivery and a potentially abrupt need for revision in the future.</w:t>
      </w:r>
    </w:p>
    <w:p w14:paraId="4EA0C0CC" w14:textId="672743AF" w:rsidR="000C78D4" w:rsidRPr="003F0F98" w:rsidRDefault="000C78D4" w:rsidP="000C78D4">
      <w:pPr>
        <w:rPr>
          <w:lang w:val="en-GB"/>
        </w:rPr>
      </w:pPr>
      <w:r w:rsidRPr="003F0F98">
        <w:rPr>
          <w:lang w:val="en-GB"/>
        </w:rPr>
        <w:t>10.3</w:t>
      </w:r>
      <w:r w:rsidRPr="003F0F98">
        <w:rPr>
          <w:lang w:val="en-GB"/>
        </w:rPr>
        <w:tab/>
        <w:t xml:space="preserve">Councillors welcomed the continued zero nominal growth in the contributory unit and commended the secretariat’s efforts to ensure the sound financial management of the Union, which were essential to enable the Union to operate within its existing budgetary framework, and to avoid placing additional financial strain on Member States. Member States had a clear sensitivity regarding the financial implications of potential adjustments, while also demonstrating a common interest in maintaining stability and predictability. Any future evaluation of the contributory unit should </w:t>
      </w:r>
      <w:proofErr w:type="gramStart"/>
      <w:r w:rsidRPr="003F0F98">
        <w:rPr>
          <w:lang w:val="en-GB"/>
        </w:rPr>
        <w:t>take into account</w:t>
      </w:r>
      <w:proofErr w:type="gramEnd"/>
      <w:r w:rsidRPr="003F0F98">
        <w:rPr>
          <w:lang w:val="en-GB"/>
        </w:rPr>
        <w:t xml:space="preserve"> Member States’ circumstances.</w:t>
      </w:r>
    </w:p>
    <w:p w14:paraId="08113817" w14:textId="3502C8C2" w:rsidR="000C78D4" w:rsidRPr="003F0F98" w:rsidRDefault="000C78D4" w:rsidP="000C78D4">
      <w:pPr>
        <w:rPr>
          <w:lang w:val="en-GB"/>
        </w:rPr>
      </w:pPr>
      <w:r w:rsidRPr="003F0F98">
        <w:rPr>
          <w:lang w:val="en-GB"/>
        </w:rPr>
        <w:t>10.4</w:t>
      </w:r>
      <w:r w:rsidRPr="003F0F98">
        <w:rPr>
          <w:lang w:val="en-GB"/>
        </w:rPr>
        <w:tab/>
        <w:t>ITU was facing a situation of stagnating revenue and increasing costs, which needed to be addressed. It could not remain static in such a situation. Many councillors felt that the Union should continue to operate within its existing budgetary framework by tightening its financial management, tackling duplications in spending, and prioritizing and streamlining activities. Work to diversify revenue sources should continue. Prioritization was key; if ITU wished to undertake a new activity, it should consider where cuts could be made to liberate the necessary resources. Some councillors felt that a robust contributory unit adjustment methodology was needed alongside efforts to tighten financial management, however, to allow for financial predictability. They welcomed efforts to ensure a balance between efficiency measures and the value of the contributory unit. Any proposal for increasing the contributory unit should be accompanied by clear, measurable improvements in outcome delivery.</w:t>
      </w:r>
    </w:p>
    <w:p w14:paraId="17A18600" w14:textId="04FB9182" w:rsidR="000C78D4" w:rsidRPr="003F0F98" w:rsidRDefault="000C78D4" w:rsidP="000C78D4">
      <w:pPr>
        <w:rPr>
          <w:lang w:val="en-GB"/>
        </w:rPr>
      </w:pPr>
      <w:r w:rsidRPr="003F0F98">
        <w:rPr>
          <w:lang w:val="en-GB"/>
        </w:rPr>
        <w:t>10.5</w:t>
      </w:r>
      <w:r w:rsidRPr="003F0F98">
        <w:rPr>
          <w:lang w:val="en-GB"/>
        </w:rPr>
        <w:tab/>
        <w:t xml:space="preserve"> Turning to the measures proposed in the methodology, several councillors cautioned against the adjustment of the contributory unit in line with inflation, which could result in unpredictability in assessed contributions. Further clarification was needed regarding linking increases to performance and adjusting in line with the impacts of the additional costs of new mandates, both of which seemed vague and unpredictable, particularly given the difficulties estimating the financial implications of the outcomes of conferences. Concerns were raised regarding the risk that any increase in the value of the contributory unit could be off-set by the fact that administrations had the right to reduce their units by up to 15 per cent, which could result in a de facto reduction in budget. It should also be borne in mind that any increase in the contributory unit would not only affect Member States but also Sector members and associates. A consultation process was therefore needed, to ensure that the matter was discussed collectively. One councillor cautioned against establishing mechanisms that could trigger an increase in contributory unit value without a decision by Member States. Another suggested that adjustments in the contributory unit should be linked to Member States’ economic circumstances, such as their gross domestic product or their position on the global development index.</w:t>
      </w:r>
    </w:p>
    <w:p w14:paraId="2A9E77F5" w14:textId="02AEB6AF" w:rsidR="000C78D4" w:rsidRPr="003F0F98" w:rsidRDefault="000C78D4" w:rsidP="000C78D4">
      <w:pPr>
        <w:rPr>
          <w:lang w:val="en-GB"/>
        </w:rPr>
      </w:pPr>
      <w:r w:rsidRPr="003F0F98">
        <w:rPr>
          <w:lang w:val="en-GB"/>
        </w:rPr>
        <w:t>10.6</w:t>
      </w:r>
      <w:r w:rsidRPr="003F0F98">
        <w:rPr>
          <w:lang w:val="en-GB"/>
        </w:rPr>
        <w:tab/>
        <w:t>Further discussion was needed to reach consensus on the content of the methodology and the timeline for its implementation. A more detailed situation analysis would enable the Council to make an informed decision on the matter at an appropriate time.</w:t>
      </w:r>
    </w:p>
    <w:p w14:paraId="67F7A30A" w14:textId="6B0099FA" w:rsidR="006C5E35" w:rsidRPr="00EA5615" w:rsidRDefault="000C78D4" w:rsidP="006C5E35">
      <w:pPr>
        <w:rPr>
          <w:lang w:val="en-GB"/>
        </w:rPr>
      </w:pPr>
      <w:r w:rsidRPr="003F0F98">
        <w:rPr>
          <w:lang w:val="en-GB"/>
        </w:rPr>
        <w:t>10.7</w:t>
      </w:r>
      <w:r w:rsidRPr="003F0F98">
        <w:rPr>
          <w:lang w:val="en-GB"/>
        </w:rPr>
        <w:tab/>
        <w:t>Councillors welcomed the multicountry contribution, the proposals contained in which provided useful reflections for further discussion. A more robust methodology that contributed to better financial planning would be welcome. The introduction of quantifiable efficiency targets and multiyear financial outlooks would contribute significantly to transparency, accountability and technical rigour, as well as to stability and predictability, and would therefore facilitate informed decision-making, and robust planning. The proposals in the contribution were a good first step towards considering a different approach to addressing the Union’s financial constraints and ever-increasing mandate</w:t>
      </w:r>
      <w:r w:rsidR="005E319D" w:rsidRPr="003F0F98">
        <w:rPr>
          <w:lang w:val="en-GB"/>
        </w:rPr>
        <w:t>.</w:t>
      </w:r>
    </w:p>
    <w:p w14:paraId="1A635B9E" w14:textId="39858D1D" w:rsidR="005E319D" w:rsidRPr="003F0F98" w:rsidRDefault="005E319D" w:rsidP="005E319D">
      <w:pPr>
        <w:spacing w:line="259" w:lineRule="auto"/>
        <w:rPr>
          <w:rFonts w:eastAsia="Calibri" w:cs="Calibri"/>
          <w:lang w:val="en-GB"/>
        </w:rPr>
      </w:pPr>
      <w:r w:rsidRPr="003F0F98">
        <w:rPr>
          <w:rFonts w:eastAsia="Calibri" w:cs="Calibri"/>
          <w:lang w:val="en-GB"/>
        </w:rPr>
        <w:t>1</w:t>
      </w:r>
      <w:r w:rsidR="00107513">
        <w:rPr>
          <w:rFonts w:eastAsia="Calibri" w:cs="Calibri"/>
          <w:lang w:val="en-GB"/>
        </w:rPr>
        <w:t>0</w:t>
      </w:r>
      <w:r w:rsidRPr="003F0F98">
        <w:rPr>
          <w:rFonts w:eastAsia="Calibri" w:cs="Calibri"/>
          <w:lang w:val="en-GB"/>
        </w:rPr>
        <w:t>.</w:t>
      </w:r>
      <w:r w:rsidR="00107513">
        <w:rPr>
          <w:rFonts w:eastAsia="Calibri" w:cs="Calibri"/>
          <w:lang w:val="en-GB"/>
        </w:rPr>
        <w:t>8</w:t>
      </w:r>
      <w:r w:rsidRPr="003F0F98">
        <w:rPr>
          <w:rFonts w:eastAsia="Calibri" w:cs="Calibri"/>
          <w:lang w:val="en-GB"/>
        </w:rPr>
        <w:tab/>
        <w:t xml:space="preserve">The committee </w:t>
      </w:r>
      <w:r w:rsidRPr="003F0F98">
        <w:rPr>
          <w:rFonts w:eastAsia="Calibri" w:cs="Calibri"/>
          <w:b/>
          <w:bCs/>
          <w:lang w:val="en-GB"/>
        </w:rPr>
        <w:t>agreed</w:t>
      </w:r>
      <w:r w:rsidRPr="003F0F98">
        <w:rPr>
          <w:rFonts w:eastAsia="Calibri" w:cs="Calibri"/>
          <w:lang w:val="en-GB"/>
        </w:rPr>
        <w:t xml:space="preserve"> to conclude as follows on the matter:</w:t>
      </w:r>
    </w:p>
    <w:p w14:paraId="1E65DED9" w14:textId="71093295" w:rsidR="005E319D" w:rsidRPr="003F0F98" w:rsidRDefault="00107513" w:rsidP="005E319D">
      <w:pPr>
        <w:pBdr>
          <w:top w:val="single" w:sz="4" w:space="4" w:color="000000"/>
          <w:left w:val="single" w:sz="4" w:space="4" w:color="000000"/>
          <w:bottom w:val="single" w:sz="4" w:space="4" w:color="000000"/>
          <w:right w:val="single" w:sz="4" w:space="4" w:color="000000"/>
        </w:pBdr>
        <w:spacing w:line="259" w:lineRule="auto"/>
        <w:rPr>
          <w:lang w:val="en-GB"/>
        </w:rPr>
      </w:pPr>
      <w:r>
        <w:rPr>
          <w:rFonts w:eastAsia="Calibri" w:cs="Calibri"/>
          <w:lang w:val="en-GB"/>
        </w:rPr>
        <w:t>10</w:t>
      </w:r>
      <w:r w:rsidR="005E319D" w:rsidRPr="003F0F98">
        <w:rPr>
          <w:rFonts w:eastAsia="Calibri" w:cs="Calibri"/>
          <w:lang w:val="en-GB"/>
        </w:rPr>
        <w:t>.</w:t>
      </w:r>
      <w:r>
        <w:rPr>
          <w:rFonts w:eastAsia="Calibri" w:cs="Calibri"/>
          <w:lang w:val="en-GB"/>
        </w:rPr>
        <w:t>9</w:t>
      </w:r>
      <w:r w:rsidR="005E319D" w:rsidRPr="003F0F98">
        <w:rPr>
          <w:lang w:val="en-GB"/>
        </w:rPr>
        <w:tab/>
        <w:t>The committee recommends that the Council:</w:t>
      </w:r>
    </w:p>
    <w:p w14:paraId="19FE8FB1" w14:textId="721B9D8C" w:rsidR="005E319D" w:rsidRPr="003F0F98" w:rsidRDefault="005E319D"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rStyle w:val="Hyperlink"/>
          <w:color w:val="000000" w:themeColor="text1"/>
          <w:lang w:val="en-GB"/>
        </w:rPr>
      </w:pPr>
      <w:r w:rsidRPr="003F0F98">
        <w:rPr>
          <w:lang w:val="en-GB"/>
        </w:rPr>
        <w:t>•</w:t>
      </w:r>
      <w:r w:rsidRPr="003F0F98">
        <w:rPr>
          <w:lang w:val="en-GB"/>
        </w:rPr>
        <w:tab/>
        <w:t>consider the report</w:t>
      </w:r>
      <w:r w:rsidRPr="003F0F98">
        <w:rPr>
          <w:rFonts w:cs="Calibri"/>
          <w:lang w:val="en-GB"/>
        </w:rPr>
        <w:t xml:space="preserve"> contained in </w:t>
      </w:r>
      <w:r w:rsidRPr="003F0F98">
        <w:rPr>
          <w:rFonts w:eastAsia="Calibri" w:cs="Calibri"/>
          <w:lang w:val="en-GB"/>
        </w:rPr>
        <w:t xml:space="preserve">Document </w:t>
      </w:r>
      <w:hyperlink r:id="rId38" w:history="1">
        <w:r w:rsidRPr="003F0F98">
          <w:rPr>
            <w:rStyle w:val="Hyperlink"/>
            <w:lang w:val="en-GB"/>
          </w:rPr>
          <w:t>C26/72</w:t>
        </w:r>
      </w:hyperlink>
      <w:r w:rsidRPr="003F0F98">
        <w:rPr>
          <w:rStyle w:val="Hyperlink"/>
          <w:lang w:val="en-GB"/>
        </w:rPr>
        <w:t xml:space="preserve"> </w:t>
      </w:r>
      <w:r w:rsidRPr="00C44A2E">
        <w:rPr>
          <w:rStyle w:val="Hyperlink"/>
          <w:color w:val="000000" w:themeColor="text1"/>
          <w:u w:val="none"/>
          <w:lang w:val="en-GB"/>
        </w:rPr>
        <w:t xml:space="preserve">and </w:t>
      </w:r>
      <w:r w:rsidR="00EB60B1">
        <w:rPr>
          <w:rStyle w:val="Hyperlink"/>
          <w:color w:val="000000" w:themeColor="text1"/>
          <w:u w:val="none"/>
          <w:lang w:val="en-GB"/>
        </w:rPr>
        <w:t xml:space="preserve">request the secretariat to further study the proposals in </w:t>
      </w:r>
      <w:r w:rsidRPr="00C44A2E">
        <w:rPr>
          <w:rStyle w:val="Hyperlink"/>
          <w:color w:val="000000" w:themeColor="text1"/>
          <w:u w:val="none"/>
          <w:lang w:val="en-GB"/>
        </w:rPr>
        <w:t xml:space="preserve">the multicountry contribution contained in Document </w:t>
      </w:r>
      <w:hyperlink r:id="rId39" w:history="1">
        <w:r w:rsidRPr="003F0F98">
          <w:rPr>
            <w:rStyle w:val="Hyperlink"/>
            <w:lang w:val="en-GB"/>
          </w:rPr>
          <w:t>C26/100</w:t>
        </w:r>
      </w:hyperlink>
      <w:r w:rsidRPr="00C44A2E">
        <w:rPr>
          <w:rStyle w:val="Hyperlink"/>
          <w:color w:val="000000" w:themeColor="text1"/>
          <w:u w:val="none"/>
          <w:lang w:val="en-GB"/>
        </w:rPr>
        <w:t>; and</w:t>
      </w:r>
    </w:p>
    <w:p w14:paraId="587457E7" w14:textId="5314931B" w:rsidR="005E319D" w:rsidRPr="003F0F98" w:rsidRDefault="005E319D"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3F0F98">
        <w:rPr>
          <w:lang w:val="en-GB"/>
        </w:rPr>
        <w:t>•</w:t>
      </w:r>
      <w:r w:rsidRPr="003F0F98">
        <w:rPr>
          <w:lang w:val="en-GB"/>
        </w:rPr>
        <w:tab/>
      </w:r>
      <w:r w:rsidRPr="00C44A2E">
        <w:rPr>
          <w:rStyle w:val="Hyperlink"/>
          <w:color w:val="000000" w:themeColor="text1"/>
          <w:u w:val="none"/>
          <w:lang w:val="en-GB"/>
        </w:rPr>
        <w:t>task CWG-FHR to work with the secretariat to further develop the proposed methodology.</w:t>
      </w:r>
    </w:p>
    <w:p w14:paraId="2E67759A" w14:textId="1A9DC7A0" w:rsidR="00E072A7" w:rsidRPr="00EA5615" w:rsidRDefault="00E072A7" w:rsidP="00E072A7">
      <w:pPr>
        <w:pStyle w:val="Heading1"/>
        <w:rPr>
          <w:lang w:val="en-GB"/>
        </w:rPr>
      </w:pPr>
      <w:r w:rsidRPr="00EA5615">
        <w:rPr>
          <w:lang w:val="en-GB"/>
        </w:rPr>
        <w:t>1</w:t>
      </w:r>
      <w:r w:rsidR="00774448">
        <w:rPr>
          <w:lang w:val="en-GB"/>
        </w:rPr>
        <w:t>1</w:t>
      </w:r>
      <w:r w:rsidRPr="00EA5615">
        <w:rPr>
          <w:lang w:val="en-GB"/>
        </w:rPr>
        <w:tab/>
        <w:t>Update on implementation of ITU’s resource mobilization strategy (Document</w:t>
      </w:r>
      <w:r w:rsidR="00064DBB">
        <w:rPr>
          <w:lang w:val="en-GB"/>
        </w:rPr>
        <w:t>s</w:t>
      </w:r>
      <w:r w:rsidRPr="00EA5615">
        <w:rPr>
          <w:lang w:val="en-GB"/>
        </w:rPr>
        <w:t xml:space="preserve"> </w:t>
      </w:r>
      <w:hyperlink r:id="rId40" w:history="1">
        <w:r w:rsidRPr="00EA5615">
          <w:rPr>
            <w:rStyle w:val="Hyperlink"/>
            <w:lang w:val="en-GB"/>
          </w:rPr>
          <w:t>C26/73</w:t>
        </w:r>
      </w:hyperlink>
      <w:r w:rsidR="00064DBB">
        <w:rPr>
          <w:lang w:val="en-GB"/>
        </w:rPr>
        <w:t xml:space="preserve"> and </w:t>
      </w:r>
      <w:hyperlink r:id="rId41" w:history="1">
        <w:r w:rsidR="00064DBB" w:rsidRPr="00A5494E">
          <w:rPr>
            <w:rStyle w:val="Hyperlink"/>
            <w:lang w:val="en-GB"/>
          </w:rPr>
          <w:t>C26/INF/14</w:t>
        </w:r>
      </w:hyperlink>
      <w:r w:rsidR="00064DBB">
        <w:rPr>
          <w:lang w:val="en-GB"/>
        </w:rPr>
        <w:t>)</w:t>
      </w:r>
    </w:p>
    <w:p w14:paraId="211B9D7F" w14:textId="4AA91ED0" w:rsidR="005576EC" w:rsidRPr="001F3114" w:rsidRDefault="00573D51" w:rsidP="005576EC">
      <w:pPr>
        <w:rPr>
          <w:lang w:val="en-GB"/>
        </w:rPr>
      </w:pPr>
      <w:r w:rsidRPr="001F3114">
        <w:rPr>
          <w:rFonts w:eastAsia="Calibri" w:cs="Calibri"/>
          <w:lang w:val="en-GB"/>
        </w:rPr>
        <w:t>1</w:t>
      </w:r>
      <w:r w:rsidR="00774448" w:rsidRPr="001F3114">
        <w:rPr>
          <w:rFonts w:eastAsia="Calibri" w:cs="Calibri"/>
          <w:lang w:val="en-GB"/>
        </w:rPr>
        <w:t>1</w:t>
      </w:r>
      <w:r w:rsidRPr="001F3114">
        <w:rPr>
          <w:rFonts w:eastAsia="Calibri" w:cs="Calibri"/>
          <w:lang w:val="en-GB"/>
        </w:rPr>
        <w:t>.1</w:t>
      </w:r>
      <w:r w:rsidR="00C03858" w:rsidRPr="001F3114">
        <w:rPr>
          <w:rFonts w:eastAsia="Calibri" w:cs="Calibri"/>
          <w:lang w:val="en-GB"/>
        </w:rPr>
        <w:t xml:space="preserve"> </w:t>
      </w:r>
      <w:r w:rsidR="005576EC" w:rsidRPr="001F3114">
        <w:rPr>
          <w:lang w:val="en-GB"/>
        </w:rPr>
        <w:t>A representative of the General Secretariat introduced Document 26/73, which contained an update on the implementation of the ITU resource mobilization strategy since Council-25. The strategy focused on three main areas: strengthening membership; leveraging events, products and services; and increasing voluntary contributions. Following the request of Council-25 for a roadmap to guide implementation, a dashboard had been developed to monitor progress and enhance transparency in respect of the strategy’s 24</w:t>
      </w:r>
      <w:r w:rsidR="009B4AD2">
        <w:rPr>
          <w:lang w:val="en-GB"/>
        </w:rPr>
        <w:t> </w:t>
      </w:r>
      <w:r w:rsidR="005576EC" w:rsidRPr="001F3114">
        <w:rPr>
          <w:lang w:val="en-GB"/>
        </w:rPr>
        <w:t xml:space="preserve">lines of action (see Document C26/INF/14). </w:t>
      </w:r>
    </w:p>
    <w:p w14:paraId="3B75D420" w14:textId="5D81CEB4" w:rsidR="005576EC" w:rsidRPr="001F3114" w:rsidRDefault="005576EC" w:rsidP="005576EC">
      <w:pPr>
        <w:rPr>
          <w:lang w:val="en-GB"/>
        </w:rPr>
      </w:pPr>
      <w:r w:rsidRPr="001F3114">
        <w:rPr>
          <w:lang w:val="en-GB"/>
        </w:rPr>
        <w:t>11.2</w:t>
      </w:r>
      <w:r w:rsidRPr="001F3114">
        <w:rPr>
          <w:lang w:val="en-GB"/>
        </w:rPr>
        <w:tab/>
        <w:t>Responding to comments and questions, she explained that, among the lines of action, priority had been given to securing the unit contributions of Member States and strengthening Sector Member engagement and revenue, which together accounted for some 80 per cent of the Union’s regular budget, with the ITU transformation roadmap serving as an implementation enabler. Prioritization would be aligned with the strategic, financial and operational plans; implementation would be conducted in close cooperation with the finance team. Progress on all lines of action would be reported in the dashboard, which, as some councillors had requested, would be updated to include risk analysis</w:t>
      </w:r>
      <w:r w:rsidR="00046832">
        <w:rPr>
          <w:lang w:val="en-GB"/>
        </w:rPr>
        <w:t>.</w:t>
      </w:r>
      <w:r w:rsidRPr="001F3114">
        <w:rPr>
          <w:lang w:val="en-GB"/>
        </w:rPr>
        <w:t xml:space="preserve"> Regarding focal points, she clarified that a cross-Sector resource mobilization group contributed to the implementation of the strategy; efforts were made across the Sectors, the General Secretariat and the field offices, enabling efforts to be streamlined.</w:t>
      </w:r>
    </w:p>
    <w:p w14:paraId="325791F0" w14:textId="556ADE17" w:rsidR="005576EC" w:rsidRPr="001F3114" w:rsidRDefault="005576EC" w:rsidP="005576EC">
      <w:pPr>
        <w:rPr>
          <w:lang w:val="en-GB"/>
        </w:rPr>
      </w:pPr>
      <w:r w:rsidRPr="001F3114">
        <w:rPr>
          <w:lang w:val="en-GB"/>
        </w:rPr>
        <w:t>11.3</w:t>
      </w:r>
      <w:r w:rsidRPr="001F3114">
        <w:rPr>
          <w:lang w:val="en-GB"/>
        </w:rPr>
        <w:tab/>
        <w:t>Regarding the request for new materials, such as value propositions and country briefs, to promote ITU membership, mobilize resources and emphasize the Union’s impact, Sector membership-related presentations had been created, as had an investment case e-brochure entitled “Why ITU matters: case for investment, 2028</w:t>
      </w:r>
      <w:r w:rsidR="00010474">
        <w:rPr>
          <w:lang w:val="en-GB"/>
        </w:rPr>
        <w:t>-</w:t>
      </w:r>
      <w:r w:rsidRPr="001F3114">
        <w:rPr>
          <w:lang w:val="en-GB"/>
        </w:rPr>
        <w:t>2031”. Member States were encouraged to make use of such materials to assist the Union in mobilizing resources and strengthening Sector Member, Associate and Academia membership. The request for country briefs and materials with a regional focus was well noted. Information on products and services, including publications, was included in the dashboard. Lastly, work on identifying new voluntary contributions and improving how they were recognized was ongoing; progress in that regard would be reported in future Council sessions.</w:t>
      </w:r>
    </w:p>
    <w:p w14:paraId="64867482" w14:textId="01C2BC9D" w:rsidR="005576EC" w:rsidRPr="001F3114" w:rsidRDefault="005576EC" w:rsidP="005576EC">
      <w:pPr>
        <w:rPr>
          <w:lang w:val="en-GB"/>
        </w:rPr>
      </w:pPr>
      <w:r w:rsidRPr="001F3114">
        <w:rPr>
          <w:lang w:val="en-GB"/>
        </w:rPr>
        <w:t>11.4</w:t>
      </w:r>
      <w:r w:rsidRPr="001F3114">
        <w:rPr>
          <w:lang w:val="en-GB"/>
        </w:rPr>
        <w:tab/>
        <w:t xml:space="preserve">Regarding Member State contributions, which were the backbone of the Union’s funding, some councillors noted the low response rate to Circular Letter </w:t>
      </w:r>
      <w:hyperlink r:id="rId42" w:history="1">
        <w:r w:rsidRPr="00B90A6D">
          <w:rPr>
            <w:rStyle w:val="Hyperlink"/>
            <w:rFonts w:cs="Times New Roman"/>
            <w:szCs w:val="20"/>
            <w:lang w:val="en-GB"/>
          </w:rPr>
          <w:t>CL-25/36</w:t>
        </w:r>
      </w:hyperlink>
      <w:r w:rsidRPr="001F3114">
        <w:rPr>
          <w:lang w:val="en-GB"/>
        </w:rPr>
        <w:t>, in which Member States were encouraged to increase their unit contributions, and called for an assessment of the current situation, including in relation to those Member States that had yet to respond. One councillor drew attention to the fact that some Member States had indicated their intention to decrease their unit contribution level. Some councillors stressed the need for close monitoring of Member States’ commitments and collective efforts to strengthen the existing contribution base, reinforce the Union’s value and relevance and support administrations in securing national commitments. One councillor expressed concern that emphasis had been placed solely on securing Member State unit contributions, when the aim had been to diversify the Union’s sources of revenue. Clear timelines on implementation of all 24 lines of action would be useful. Another councillor expressed interest in hearing how the secretariat planned to increase voluntary contributions.</w:t>
      </w:r>
    </w:p>
    <w:p w14:paraId="153094A4" w14:textId="5D7A7359" w:rsidR="005576EC" w:rsidRPr="001F3114" w:rsidRDefault="005576EC" w:rsidP="005576EC">
      <w:pPr>
        <w:rPr>
          <w:lang w:val="en-GB"/>
        </w:rPr>
      </w:pPr>
      <w:r w:rsidRPr="001F3114">
        <w:rPr>
          <w:lang w:val="en-GB"/>
        </w:rPr>
        <w:t>11.5</w:t>
      </w:r>
      <w:r w:rsidRPr="001F3114">
        <w:rPr>
          <w:lang w:val="en-GB"/>
        </w:rPr>
        <w:tab/>
        <w:t xml:space="preserve">Some councillors welcomed efforts to expand the Sector membership, particularly regarding under-represented parts of the digital ecosystem and Sector Members, Associates and Academia from unrepresented Member States. Increased Sector membership would not only increase revenue but also connect the Union’s membership to ITU knowledge networks, products, services and development work. </w:t>
      </w:r>
    </w:p>
    <w:p w14:paraId="7B712965" w14:textId="7FD6FEEE" w:rsidR="00E072A7" w:rsidRPr="00EA5615" w:rsidRDefault="005576EC" w:rsidP="00E072A7">
      <w:pPr>
        <w:spacing w:line="259" w:lineRule="auto"/>
        <w:rPr>
          <w:rFonts w:eastAsia="Calibri" w:cs="Calibri"/>
          <w:lang w:val="en-GB"/>
        </w:rPr>
      </w:pPr>
      <w:r w:rsidRPr="001F3114">
        <w:rPr>
          <w:lang w:val="en-GB"/>
        </w:rPr>
        <w:t>11.6</w:t>
      </w:r>
      <w:r w:rsidRPr="001F3114">
        <w:rPr>
          <w:lang w:val="en-GB"/>
        </w:rPr>
        <w:tab/>
        <w:t xml:space="preserve">When it came to leveraging events, products and services, some councillors said that consideration should be given to actions </w:t>
      </w:r>
      <w:r w:rsidR="00A14095">
        <w:rPr>
          <w:lang w:val="en-GB"/>
        </w:rPr>
        <w:t>with</w:t>
      </w:r>
      <w:r w:rsidRPr="001F3114">
        <w:rPr>
          <w:lang w:val="en-GB"/>
        </w:rPr>
        <w:t xml:space="preserve"> clear outputs and were aimed at strengthening targeted partnerships. Information on how certain externally funded initiatives and focus groups contributed to increasing resource mobilization was requested. One councillor pointed out that Sector groups and events, such as study groups and workshops, attracted industry players and were therefore another resource mobilization opportunity that could be leveraged. In that connection, it would be useful in future reporting to have information on the contribution of the Sectors to </w:t>
      </w:r>
      <w:r w:rsidRPr="00061196">
        <w:rPr>
          <w:lang w:val="en-GB"/>
        </w:rPr>
        <w:t>implementation of the strategy. Consideration might be given to launching further flagship publications, given the success of ITU-R in that regard.</w:t>
      </w:r>
    </w:p>
    <w:p w14:paraId="3F4E0FE0" w14:textId="066422EF" w:rsidR="00E072A7" w:rsidRPr="00EA5615" w:rsidRDefault="00C03858" w:rsidP="00C44A2E">
      <w:pPr>
        <w:keepNext/>
        <w:keepLines/>
        <w:spacing w:line="259" w:lineRule="auto"/>
        <w:rPr>
          <w:rFonts w:eastAsia="Calibri" w:cs="Calibri"/>
          <w:szCs w:val="24"/>
          <w:lang w:val="en-GB"/>
        </w:rPr>
      </w:pPr>
      <w:r w:rsidRPr="00EA5615">
        <w:rPr>
          <w:rFonts w:eastAsia="Calibri" w:cs="Calibri"/>
          <w:szCs w:val="24"/>
          <w:lang w:val="en-GB"/>
        </w:rPr>
        <w:t>1</w:t>
      </w:r>
      <w:r w:rsidR="00774448">
        <w:rPr>
          <w:rFonts w:eastAsia="Calibri" w:cs="Calibri"/>
          <w:szCs w:val="24"/>
          <w:lang w:val="en-GB"/>
        </w:rPr>
        <w:t>1</w:t>
      </w:r>
      <w:r w:rsidR="00E072A7" w:rsidRPr="00EA5615">
        <w:rPr>
          <w:rFonts w:eastAsia="Calibri" w:cs="Calibri"/>
          <w:szCs w:val="24"/>
          <w:lang w:val="en-GB"/>
        </w:rPr>
        <w:t>.</w:t>
      </w:r>
      <w:r w:rsidR="00064DBB" w:rsidRPr="00061196">
        <w:rPr>
          <w:rFonts w:eastAsia="Calibri" w:cs="Calibri"/>
          <w:szCs w:val="24"/>
          <w:lang w:val="en-GB"/>
        </w:rPr>
        <w:t>7</w:t>
      </w:r>
      <w:r w:rsidR="00E072A7" w:rsidRPr="00EA5615">
        <w:rPr>
          <w:rFonts w:eastAsia="Calibri" w:cs="Calibri"/>
          <w:szCs w:val="24"/>
          <w:lang w:val="en-GB"/>
        </w:rPr>
        <w:tab/>
        <w:t xml:space="preserve">The committee </w:t>
      </w:r>
      <w:r w:rsidR="00E072A7" w:rsidRPr="00EA5615">
        <w:rPr>
          <w:rFonts w:eastAsia="Calibri" w:cs="Calibri"/>
          <w:b/>
          <w:bCs/>
          <w:szCs w:val="24"/>
          <w:lang w:val="en-GB"/>
        </w:rPr>
        <w:t>agreed</w:t>
      </w:r>
      <w:r w:rsidR="00E072A7" w:rsidRPr="00EA5615">
        <w:rPr>
          <w:rFonts w:eastAsia="Calibri" w:cs="Calibri"/>
          <w:szCs w:val="24"/>
          <w:lang w:val="en-GB"/>
        </w:rPr>
        <w:t xml:space="preserve"> to conclude as follows on the matter:</w:t>
      </w:r>
    </w:p>
    <w:p w14:paraId="30C3D021" w14:textId="4A9CE9FD" w:rsidR="00E072A7" w:rsidRPr="00EA5615" w:rsidRDefault="00C03858" w:rsidP="00C44A2E">
      <w:pPr>
        <w:keepNext/>
        <w:keepLines/>
        <w:pBdr>
          <w:top w:val="single" w:sz="4" w:space="4" w:color="000000"/>
          <w:left w:val="single" w:sz="4" w:space="4" w:color="000000"/>
          <w:bottom w:val="single" w:sz="4" w:space="4" w:color="000000"/>
          <w:right w:val="single" w:sz="4" w:space="4" w:color="000000"/>
        </w:pBdr>
        <w:spacing w:line="259" w:lineRule="auto"/>
        <w:rPr>
          <w:rFonts w:eastAsia="Calibri" w:cs="Calibri"/>
          <w:lang w:val="en-GB"/>
        </w:rPr>
      </w:pPr>
      <w:r w:rsidRPr="00EA5615">
        <w:rPr>
          <w:rFonts w:eastAsia="Calibri" w:cs="Calibri"/>
          <w:szCs w:val="24"/>
          <w:lang w:val="en-GB"/>
        </w:rPr>
        <w:t>1</w:t>
      </w:r>
      <w:r w:rsidR="00774448">
        <w:rPr>
          <w:rFonts w:eastAsia="Calibri" w:cs="Calibri"/>
          <w:szCs w:val="24"/>
          <w:lang w:val="en-GB"/>
        </w:rPr>
        <w:t>1</w:t>
      </w:r>
      <w:r w:rsidR="00E072A7" w:rsidRPr="00EA5615">
        <w:rPr>
          <w:rFonts w:eastAsia="Calibri" w:cs="Calibri"/>
          <w:szCs w:val="24"/>
          <w:lang w:val="en-GB"/>
        </w:rPr>
        <w:t>.</w:t>
      </w:r>
      <w:r w:rsidR="00064DBB" w:rsidRPr="00061196">
        <w:rPr>
          <w:rFonts w:eastAsia="Calibri" w:cs="Calibri"/>
          <w:szCs w:val="24"/>
          <w:lang w:val="en-GB"/>
        </w:rPr>
        <w:t>8</w:t>
      </w:r>
      <w:r w:rsidR="00E072A7" w:rsidRPr="00EA5615">
        <w:rPr>
          <w:rFonts w:eastAsia="Calibri" w:cs="Calibri"/>
          <w:szCs w:val="24"/>
          <w:lang w:val="en-GB"/>
        </w:rPr>
        <w:tab/>
      </w:r>
      <w:r w:rsidR="00E072A7" w:rsidRPr="00EA5615">
        <w:rPr>
          <w:rFonts w:eastAsia="Calibri" w:cs="Calibri"/>
          <w:lang w:val="en-GB"/>
        </w:rPr>
        <w:t>The committee recommends that the Council:</w:t>
      </w:r>
    </w:p>
    <w:p w14:paraId="63144DF7" w14:textId="6722C79E" w:rsidR="00E072A7" w:rsidRPr="00F61FE8" w:rsidRDefault="00E072A7"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eastAsia="Calibri" w:cs="Calibri"/>
          <w:lang w:val="en-GB"/>
        </w:rPr>
      </w:pPr>
      <w:r w:rsidRPr="00061196">
        <w:rPr>
          <w:rFonts w:eastAsia="Calibri" w:cs="Calibri"/>
          <w:lang w:val="en-GB"/>
        </w:rPr>
        <w:t>•</w:t>
      </w:r>
      <w:r w:rsidRPr="00061196">
        <w:rPr>
          <w:rFonts w:eastAsia="Calibri"/>
          <w:lang w:val="en-GB"/>
        </w:rPr>
        <w:tab/>
      </w:r>
      <w:r w:rsidR="00916DDF" w:rsidRPr="00061196">
        <w:rPr>
          <w:lang w:val="en-GB"/>
        </w:rPr>
        <w:t xml:space="preserve">note the update contained in Document </w:t>
      </w:r>
      <w:hyperlink r:id="rId43" w:history="1">
        <w:r w:rsidR="00916DDF" w:rsidRPr="00B90A6D">
          <w:rPr>
            <w:rStyle w:val="Hyperlink"/>
            <w:rFonts w:cs="Times New Roman"/>
            <w:szCs w:val="20"/>
            <w:lang w:val="en-GB"/>
          </w:rPr>
          <w:t>C26/73</w:t>
        </w:r>
      </w:hyperlink>
      <w:r w:rsidR="00916DDF" w:rsidRPr="00061196">
        <w:rPr>
          <w:lang w:val="en-GB"/>
        </w:rPr>
        <w:t xml:space="preserve"> and the dashboard contained in Document </w:t>
      </w:r>
      <w:hyperlink r:id="rId44" w:history="1">
        <w:r w:rsidR="00916DDF" w:rsidRPr="00EE7B5F">
          <w:rPr>
            <w:rStyle w:val="Hyperlink"/>
            <w:rFonts w:cs="Times New Roman"/>
            <w:szCs w:val="20"/>
            <w:lang w:val="en-GB"/>
          </w:rPr>
          <w:t>C26/INF/14</w:t>
        </w:r>
      </w:hyperlink>
      <w:r w:rsidRPr="00061196">
        <w:rPr>
          <w:rFonts w:eastAsia="Calibri" w:cs="Calibri"/>
          <w:lang w:val="en-GB"/>
        </w:rPr>
        <w:t>; and</w:t>
      </w:r>
    </w:p>
    <w:p w14:paraId="1CFFDD9D" w14:textId="75FEE3D9" w:rsidR="00E072A7" w:rsidRPr="00EA5615" w:rsidRDefault="00E072A7"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061196">
        <w:rPr>
          <w:rFonts w:eastAsia="Calibri" w:cs="Calibri"/>
          <w:lang w:val="en-GB"/>
        </w:rPr>
        <w:t>•</w:t>
      </w:r>
      <w:r w:rsidRPr="00061196">
        <w:rPr>
          <w:rFonts w:eastAsia="Calibri" w:cs="Calibri"/>
          <w:lang w:val="en-GB"/>
        </w:rPr>
        <w:tab/>
      </w:r>
      <w:r w:rsidR="006A6CF4" w:rsidRPr="00061196">
        <w:rPr>
          <w:lang w:val="en-GB"/>
        </w:rPr>
        <w:t xml:space="preserve">request the </w:t>
      </w:r>
      <w:r w:rsidR="000D7FEC">
        <w:rPr>
          <w:lang w:val="en-GB"/>
        </w:rPr>
        <w:t>s</w:t>
      </w:r>
      <w:r w:rsidR="000D7FEC" w:rsidRPr="00061196">
        <w:rPr>
          <w:lang w:val="en-GB"/>
        </w:rPr>
        <w:t xml:space="preserve">ecretariat </w:t>
      </w:r>
      <w:r w:rsidR="006A6CF4" w:rsidRPr="00061196">
        <w:rPr>
          <w:lang w:val="en-GB"/>
        </w:rPr>
        <w:t xml:space="preserve">continue to implement the ITU resource mobilization strategy, </w:t>
      </w:r>
      <w:proofErr w:type="gramStart"/>
      <w:r w:rsidR="006A6CF4" w:rsidRPr="00061196">
        <w:rPr>
          <w:lang w:val="en-GB"/>
        </w:rPr>
        <w:t>taking into account</w:t>
      </w:r>
      <w:proofErr w:type="gramEnd"/>
      <w:r w:rsidR="006A6CF4" w:rsidRPr="00061196">
        <w:rPr>
          <w:lang w:val="en-GB"/>
        </w:rPr>
        <w:t xml:space="preserve"> feedback from Member States, and report progress thereon to the Council.</w:t>
      </w:r>
    </w:p>
    <w:p w14:paraId="73EE9824" w14:textId="794E9ECE" w:rsidR="00F076E0" w:rsidRPr="00EA5615" w:rsidRDefault="00F076E0" w:rsidP="00E92501">
      <w:pPr>
        <w:pStyle w:val="Heading1"/>
        <w:rPr>
          <w:lang w:val="en-GB"/>
        </w:rPr>
      </w:pPr>
      <w:r w:rsidRPr="00EA5615">
        <w:rPr>
          <w:szCs w:val="22"/>
          <w:lang w:val="en-GB"/>
        </w:rPr>
        <w:t>1</w:t>
      </w:r>
      <w:r w:rsidR="00774448">
        <w:rPr>
          <w:szCs w:val="22"/>
          <w:lang w:val="en-GB"/>
        </w:rPr>
        <w:t>2</w:t>
      </w:r>
      <w:r w:rsidRPr="00EA5615">
        <w:rPr>
          <w:szCs w:val="22"/>
          <w:lang w:val="en-GB"/>
        </w:rPr>
        <w:tab/>
      </w:r>
      <w:r w:rsidRPr="00EA5615">
        <w:rPr>
          <w:lang w:val="en-GB"/>
        </w:rPr>
        <w:t xml:space="preserve">Arrears and special arrears accounts (Document </w:t>
      </w:r>
      <w:hyperlink r:id="rId45" w:history="1">
        <w:r w:rsidRPr="00EA5615">
          <w:rPr>
            <w:rStyle w:val="Hyperlink"/>
            <w:lang w:val="en-GB"/>
          </w:rPr>
          <w:t>C26/11(Rev.1)</w:t>
        </w:r>
      </w:hyperlink>
      <w:r w:rsidRPr="00EA5615">
        <w:rPr>
          <w:lang w:val="en-GB"/>
        </w:rPr>
        <w:t>)</w:t>
      </w:r>
    </w:p>
    <w:p w14:paraId="420C3DBF" w14:textId="2322E982" w:rsidR="001B2494" w:rsidRPr="006871DC" w:rsidRDefault="00F076E0" w:rsidP="00C44A2E">
      <w:pPr>
        <w:keepNext/>
        <w:keepLines/>
        <w:spacing w:line="259" w:lineRule="auto"/>
        <w:rPr>
          <w:rFonts w:cs="Calibri"/>
          <w:lang w:val="en-GB"/>
        </w:rPr>
      </w:pPr>
      <w:r w:rsidRPr="002D21FA">
        <w:rPr>
          <w:rFonts w:cs="Calibri"/>
          <w:lang w:val="en-GB"/>
        </w:rPr>
        <w:t>1</w:t>
      </w:r>
      <w:r w:rsidR="00774448" w:rsidRPr="002D21FA">
        <w:rPr>
          <w:rFonts w:cs="Calibri"/>
          <w:lang w:val="en-GB"/>
        </w:rPr>
        <w:t>2</w:t>
      </w:r>
      <w:r w:rsidRPr="002D21FA">
        <w:rPr>
          <w:rFonts w:cs="Calibri"/>
          <w:lang w:val="en-GB"/>
        </w:rPr>
        <w:t>.1</w:t>
      </w:r>
      <w:r w:rsidRPr="002D21FA">
        <w:rPr>
          <w:rFonts w:cs="Calibri"/>
          <w:lang w:val="en-GB"/>
        </w:rPr>
        <w:tab/>
      </w:r>
      <w:r w:rsidR="001B2494" w:rsidRPr="006871DC">
        <w:rPr>
          <w:rFonts w:cs="Calibri"/>
          <w:lang w:val="en-GB"/>
        </w:rPr>
        <w:t>The Chief of FRMD introduced the annual report to the Council, in Document C26/11(Rev.1), on the measures taken and the progress made towards collection of the debts of Member States, Sector Members, Associates and Academia in arrears or having special arrears accounts. He said that the total in arrears and special arrears accounts had decreased by 6 per cent since 2018 and amounted to CHF 37.3 million as at 31 December 2025. The Council was requested to authorize the Secretary-General to write off interest on arrears and irrecoverable debts totalling CHF 566 815.60, in accordance with the guidelines set by the Council in 1999, against a corresponding withdrawal from the Reserve for Debtors' Accounts. He thanked those Member States that had assisted the secretariat with debt recovery in recent years and encouraged others to take similar action.</w:t>
      </w:r>
    </w:p>
    <w:p w14:paraId="6AA9915D" w14:textId="4E77F18B" w:rsidR="001B2494" w:rsidRPr="005A381F" w:rsidRDefault="001B2494" w:rsidP="002D21FA">
      <w:pPr>
        <w:spacing w:line="259" w:lineRule="auto"/>
        <w:rPr>
          <w:rFonts w:cs="Calibri"/>
          <w:lang w:val="en-GB"/>
        </w:rPr>
      </w:pPr>
      <w:r w:rsidRPr="005A381F">
        <w:rPr>
          <w:rFonts w:cs="Calibri"/>
          <w:lang w:val="en-GB"/>
        </w:rPr>
        <w:t>12.2</w:t>
      </w:r>
      <w:r w:rsidRPr="005A381F">
        <w:rPr>
          <w:lang w:val="en-GB"/>
        </w:rPr>
        <w:tab/>
      </w:r>
      <w:r w:rsidRPr="005A381F">
        <w:rPr>
          <w:rFonts w:cs="Calibri"/>
          <w:lang w:val="en-GB"/>
        </w:rPr>
        <w:t xml:space="preserve">Responding to questions, he explained that the Secretary-General had some flexibility in negotiating repayment agreements, in accordance with Resolutions 41 (Rev. Dubai, 2018) and 152 (Rev. Busan, 2014) of the Plenipotentiary Conference. For Member States, that included taking account of the situation of the country concerned; the Council’s 1999 guidelines included provision for longer-term payment plans for developing countries and least developed countries. For Sector Members and Associates, however, if their contributions were not paid within the allotted time-frame, they risked exclusion from participation in the work of the relevant Sector and, ultimately, withdrawal of their Union membership. Sector Members were required to give six months’ notice of their intention to leave the Sector and to pay their contribution on a pro rata basis. Debts remained on the books until the Union was notified that a Sector Member or Associate had ceased trading, at which point the debt became irrecoverable and the appropriate measures were taken, in accordance with </w:t>
      </w:r>
      <w:r w:rsidR="00FA5619" w:rsidRPr="005A381F">
        <w:rPr>
          <w:rFonts w:cs="Calibri"/>
          <w:lang w:val="en-GB"/>
        </w:rPr>
        <w:t>International Public Sector Accounting Standards (</w:t>
      </w:r>
      <w:r w:rsidRPr="005A381F">
        <w:rPr>
          <w:rFonts w:cs="Calibri"/>
          <w:lang w:val="en-GB"/>
        </w:rPr>
        <w:t>IPSAS</w:t>
      </w:r>
      <w:r w:rsidR="00FA5619" w:rsidRPr="005A381F">
        <w:rPr>
          <w:rFonts w:cs="Calibri"/>
          <w:lang w:val="en-GB"/>
        </w:rPr>
        <w:t>)</w:t>
      </w:r>
      <w:r w:rsidRPr="005A381F">
        <w:rPr>
          <w:rFonts w:cs="Calibri"/>
          <w:lang w:val="en-GB"/>
        </w:rPr>
        <w:t>.</w:t>
      </w:r>
    </w:p>
    <w:p w14:paraId="3F23D28F" w14:textId="72B36869" w:rsidR="00F076E0" w:rsidRPr="006871DC" w:rsidRDefault="001B2494" w:rsidP="0031251C">
      <w:pPr>
        <w:spacing w:line="259" w:lineRule="auto"/>
        <w:rPr>
          <w:rFonts w:eastAsia="Calibri" w:cs="Calibri"/>
          <w:lang w:val="en-GB"/>
        </w:rPr>
      </w:pPr>
      <w:r w:rsidRPr="006871DC">
        <w:rPr>
          <w:rFonts w:cs="Calibri"/>
          <w:lang w:val="en-GB"/>
        </w:rPr>
        <w:t>12.3</w:t>
      </w:r>
      <w:r w:rsidRPr="006871DC">
        <w:rPr>
          <w:rFonts w:cs="Calibri"/>
          <w:lang w:val="en-GB"/>
        </w:rPr>
        <w:tab/>
        <w:t>Councillors commended the secretariat’s efforts to recover debt and the increased recovery rate of 21 per cent. Several councillors nevertheless voiced concerns, including with regard to the amount in arrears, which had risen slightly in comparison with 2024, and the cancellation of a number of repayment agreements. Some councillors stressed the need for strengthened repayment mechanisms and stronger enforcement mechanisms; others highlighted the importance of maintaining a flexible approach, taking account of the realities of developing countries and those facing genuine difficulties. Some councillors suggested that an analysis of the current challenges, including the extent to which the arrears were attributable to inactive or former Sector Members, Associates or Academia, and any recommendations by the secretariat would be useful in pinpointing any systematic financial compliance issues and identifying possible ways to strengthen efforts on arrears, repayment plans and irrecoverable debt, which the Plenipotentiary Conference might consider in relation to Resolutions 41 (Rev. Dubai, 2018) and 152 (Rev. Busan, 2014)</w:t>
      </w:r>
      <w:r w:rsidR="00F076E0" w:rsidRPr="006871DC">
        <w:rPr>
          <w:rFonts w:eastAsia="Calibri" w:cs="Calibri"/>
          <w:lang w:val="en-GB"/>
        </w:rPr>
        <w:t>.</w:t>
      </w:r>
    </w:p>
    <w:p w14:paraId="5C5183A0" w14:textId="08CDF8F4" w:rsidR="00F076E0" w:rsidRPr="00EA5615" w:rsidRDefault="00F076E0" w:rsidP="00C44A2E">
      <w:pPr>
        <w:keepNext/>
        <w:keepLines/>
        <w:spacing w:line="259" w:lineRule="auto"/>
        <w:rPr>
          <w:rFonts w:eastAsia="Calibri" w:cs="Calibri"/>
          <w:szCs w:val="24"/>
          <w:lang w:val="en-GB"/>
        </w:rPr>
      </w:pPr>
      <w:r w:rsidRPr="00EA5615">
        <w:rPr>
          <w:rFonts w:eastAsia="Calibri" w:cs="Calibri"/>
          <w:szCs w:val="24"/>
          <w:lang w:val="en-GB"/>
        </w:rPr>
        <w:t>1</w:t>
      </w:r>
      <w:r w:rsidR="00774448">
        <w:rPr>
          <w:rFonts w:eastAsia="Calibri" w:cs="Calibri"/>
          <w:szCs w:val="24"/>
          <w:lang w:val="en-GB"/>
        </w:rPr>
        <w:t>2</w:t>
      </w:r>
      <w:r w:rsidRPr="00EA5615">
        <w:rPr>
          <w:rFonts w:eastAsia="Calibri" w:cs="Calibri"/>
          <w:szCs w:val="24"/>
          <w:lang w:val="en-GB"/>
        </w:rPr>
        <w:t>.</w:t>
      </w:r>
      <w:r w:rsidR="00596C4A" w:rsidRPr="006871DC">
        <w:rPr>
          <w:rFonts w:eastAsia="Calibri" w:cs="Calibri"/>
          <w:szCs w:val="24"/>
          <w:lang w:val="en-GB"/>
        </w:rPr>
        <w:t>4</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66B1C1FC" w14:textId="6A7A491F" w:rsidR="00C91090" w:rsidRDefault="00F076E0" w:rsidP="00C44A2E">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6871DC">
        <w:rPr>
          <w:rFonts w:eastAsia="Calibri" w:cs="Calibri"/>
          <w:szCs w:val="24"/>
          <w:lang w:val="en-GB"/>
        </w:rPr>
        <w:t>1</w:t>
      </w:r>
      <w:r w:rsidR="00375AC6" w:rsidRPr="006871DC">
        <w:rPr>
          <w:rFonts w:eastAsia="Calibri" w:cs="Calibri"/>
          <w:szCs w:val="24"/>
          <w:lang w:val="en-GB"/>
        </w:rPr>
        <w:t>2</w:t>
      </w:r>
      <w:r w:rsidRPr="006871DC">
        <w:rPr>
          <w:rFonts w:eastAsia="Calibri" w:cs="Calibri"/>
          <w:szCs w:val="24"/>
          <w:lang w:val="en-GB"/>
        </w:rPr>
        <w:t>.</w:t>
      </w:r>
      <w:r w:rsidR="00596C4A" w:rsidRPr="006871DC">
        <w:rPr>
          <w:rFonts w:eastAsia="Calibri" w:cs="Calibri"/>
          <w:szCs w:val="24"/>
          <w:lang w:val="en-GB"/>
        </w:rPr>
        <w:t>5</w:t>
      </w:r>
      <w:r w:rsidRPr="006871DC">
        <w:rPr>
          <w:lang w:val="en-GB"/>
        </w:rPr>
        <w:tab/>
        <w:t>The committee recommends that the Council:</w:t>
      </w:r>
    </w:p>
    <w:p w14:paraId="7287E835" w14:textId="70540C1E" w:rsidR="00C91090" w:rsidRDefault="00F076E0"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6871DC">
        <w:rPr>
          <w:lang w:val="en-GB"/>
        </w:rPr>
        <w:t>•</w:t>
      </w:r>
      <w:r w:rsidRPr="006871DC">
        <w:rPr>
          <w:lang w:val="en-GB"/>
        </w:rPr>
        <w:tab/>
      </w:r>
      <w:r w:rsidR="000458C0" w:rsidRPr="006871DC">
        <w:rPr>
          <w:rFonts w:cs="Calibri"/>
          <w:lang w:val="en-GB"/>
        </w:rPr>
        <w:t xml:space="preserve">note the report contained in Document </w:t>
      </w:r>
      <w:hyperlink r:id="rId46" w:history="1">
        <w:r w:rsidR="000458C0" w:rsidRPr="00302719">
          <w:rPr>
            <w:rStyle w:val="Hyperlink"/>
            <w:rFonts w:cs="Calibri"/>
            <w:szCs w:val="20"/>
            <w:lang w:val="en-GB"/>
          </w:rPr>
          <w:t>C26/11(Rev.1)</w:t>
        </w:r>
      </w:hyperlink>
      <w:r w:rsidRPr="006871DC">
        <w:rPr>
          <w:lang w:val="en-GB"/>
        </w:rPr>
        <w:t>;</w:t>
      </w:r>
    </w:p>
    <w:p w14:paraId="7357BB59" w14:textId="77777777" w:rsidR="00EB60B1" w:rsidRDefault="00F076E0"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lang w:val="en-GB"/>
        </w:rPr>
      </w:pPr>
      <w:r w:rsidRPr="006871DC">
        <w:rPr>
          <w:lang w:val="en-GB"/>
        </w:rPr>
        <w:t>•</w:t>
      </w:r>
      <w:r w:rsidRPr="006871DC">
        <w:rPr>
          <w:lang w:val="en-GB"/>
        </w:rPr>
        <w:tab/>
      </w:r>
      <w:r w:rsidR="00B15C81" w:rsidRPr="006871DC">
        <w:rPr>
          <w:rFonts w:cs="Calibri"/>
          <w:lang w:val="en-GB"/>
        </w:rPr>
        <w:t>authorize the Secretary-General to write off CHF 566 815.60 of interest on arrears and irrecoverable debts;</w:t>
      </w:r>
    </w:p>
    <w:p w14:paraId="7129ECFA" w14:textId="76E675B9" w:rsidR="00C91090" w:rsidRDefault="00EB60B1"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6871DC">
        <w:rPr>
          <w:lang w:val="en-GB"/>
        </w:rPr>
        <w:t>•</w:t>
      </w:r>
      <w:r w:rsidRPr="006871DC">
        <w:rPr>
          <w:lang w:val="en-GB"/>
        </w:rPr>
        <w:tab/>
      </w:r>
      <w:r>
        <w:rPr>
          <w:lang w:val="en-GB"/>
        </w:rPr>
        <w:t>instruct the secretariat in its report to the Plenipotentiary Conference (Doha, 2026) on the status of arrears</w:t>
      </w:r>
      <w:r w:rsidR="00D0380A">
        <w:rPr>
          <w:lang w:val="en-GB"/>
        </w:rPr>
        <w:t>, to include</w:t>
      </w:r>
      <w:r>
        <w:rPr>
          <w:lang w:val="en-GB"/>
        </w:rPr>
        <w:t xml:space="preserve"> an analysis of current challenges, and provide recommendations on ways in which to strengthen these efforts;</w:t>
      </w:r>
      <w:r w:rsidR="00B15C81" w:rsidRPr="006871DC">
        <w:rPr>
          <w:rFonts w:cs="Calibri"/>
          <w:lang w:val="en-GB"/>
        </w:rPr>
        <w:t xml:space="preserve"> and</w:t>
      </w:r>
    </w:p>
    <w:p w14:paraId="0993BBB1" w14:textId="5AA0343A" w:rsidR="00501324" w:rsidRPr="006871DC" w:rsidRDefault="00501324"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6871DC">
        <w:rPr>
          <w:lang w:val="en-GB"/>
        </w:rPr>
        <w:t>•</w:t>
      </w:r>
      <w:r w:rsidRPr="006871DC">
        <w:rPr>
          <w:lang w:val="en-GB"/>
        </w:rPr>
        <w:tab/>
      </w:r>
      <w:r w:rsidR="005B081B" w:rsidRPr="006871DC">
        <w:rPr>
          <w:rFonts w:cs="Calibri"/>
          <w:lang w:val="en-GB"/>
        </w:rPr>
        <w:t xml:space="preserve">adopt the draft decision set out in </w:t>
      </w:r>
      <w:hyperlink w:anchor="Annex_B" w:history="1">
        <w:r w:rsidR="00526C83" w:rsidRPr="00C44A2E">
          <w:rPr>
            <w:rStyle w:val="Hyperlink"/>
            <w:rFonts w:cs="Calibri"/>
            <w:b/>
            <w:bCs/>
            <w:szCs w:val="20"/>
            <w:lang w:val="en-GB"/>
          </w:rPr>
          <w:t>Annex B</w:t>
        </w:r>
      </w:hyperlink>
      <w:r w:rsidR="00E23570">
        <w:rPr>
          <w:rFonts w:cs="Calibri"/>
          <w:lang w:val="en-GB"/>
        </w:rPr>
        <w:t xml:space="preserve"> </w:t>
      </w:r>
      <w:r w:rsidR="00A62102">
        <w:rPr>
          <w:rFonts w:cs="Calibri"/>
          <w:lang w:val="en-GB"/>
        </w:rPr>
        <w:t>hereto</w:t>
      </w:r>
      <w:r w:rsidR="00843F05" w:rsidRPr="006871DC">
        <w:rPr>
          <w:rFonts w:cs="Calibri"/>
          <w:lang w:val="en-GB"/>
        </w:rPr>
        <w:t>.</w:t>
      </w:r>
    </w:p>
    <w:p w14:paraId="57CE378E" w14:textId="764CA6F2" w:rsidR="00033AB0" w:rsidRPr="00EA5615" w:rsidRDefault="00033AB0" w:rsidP="00033AB0">
      <w:pPr>
        <w:pStyle w:val="Heading1"/>
        <w:rPr>
          <w:lang w:val="en-GB"/>
        </w:rPr>
      </w:pPr>
      <w:r w:rsidRPr="00EA5615">
        <w:rPr>
          <w:lang w:val="en-GB"/>
        </w:rPr>
        <w:t>1</w:t>
      </w:r>
      <w:r w:rsidR="00375AC6">
        <w:rPr>
          <w:lang w:val="en-GB"/>
        </w:rPr>
        <w:t>3</w:t>
      </w:r>
      <w:r w:rsidRPr="00EA5615">
        <w:rPr>
          <w:lang w:val="en-GB"/>
        </w:rPr>
        <w:tab/>
        <w:t xml:space="preserve">Status </w:t>
      </w:r>
      <w:r w:rsidR="00041FBF">
        <w:rPr>
          <w:lang w:val="en-GB"/>
        </w:rPr>
        <w:t>r</w:t>
      </w:r>
      <w:r w:rsidRPr="007F3E4F">
        <w:rPr>
          <w:lang w:val="en-GB"/>
        </w:rPr>
        <w:t>eport</w:t>
      </w:r>
      <w:r w:rsidRPr="00EA5615">
        <w:rPr>
          <w:lang w:val="en-GB"/>
        </w:rPr>
        <w:t xml:space="preserve"> on implementation of Council Decisions 600 </w:t>
      </w:r>
      <w:r w:rsidR="00041FBF">
        <w:rPr>
          <w:lang w:val="en-GB"/>
        </w:rPr>
        <w:t>(C17)</w:t>
      </w:r>
      <w:r w:rsidRPr="007F3E4F">
        <w:rPr>
          <w:lang w:val="en-GB"/>
        </w:rPr>
        <w:t xml:space="preserve"> </w:t>
      </w:r>
      <w:r w:rsidRPr="00EA5615">
        <w:rPr>
          <w:lang w:val="en-GB"/>
        </w:rPr>
        <w:t>and 601 (</w:t>
      </w:r>
      <w:r w:rsidR="00041FBF">
        <w:rPr>
          <w:lang w:val="en-GB"/>
        </w:rPr>
        <w:t>C17</w:t>
      </w:r>
      <w:r w:rsidRPr="00EA5615">
        <w:rPr>
          <w:lang w:val="en-GB"/>
        </w:rPr>
        <w:t xml:space="preserve">) (Document </w:t>
      </w:r>
      <w:hyperlink r:id="rId47" w:history="1">
        <w:r w:rsidRPr="00EA5615">
          <w:rPr>
            <w:rStyle w:val="Hyperlink"/>
            <w:bCs/>
            <w:lang w:val="en-GB"/>
          </w:rPr>
          <w:t>C26/</w:t>
        </w:r>
        <w:r w:rsidRPr="00EA5615">
          <w:rPr>
            <w:rStyle w:val="Hyperlink"/>
            <w:lang w:val="en-GB"/>
          </w:rPr>
          <w:t>38</w:t>
        </w:r>
      </w:hyperlink>
      <w:r w:rsidRPr="00EA5615">
        <w:rPr>
          <w:lang w:val="en-GB"/>
        </w:rPr>
        <w:t>)</w:t>
      </w:r>
    </w:p>
    <w:p w14:paraId="7D5B28B2" w14:textId="746AC0F7" w:rsidR="00AA216B" w:rsidRPr="007F3E4F" w:rsidRDefault="00033AB0" w:rsidP="00AA216B">
      <w:pPr>
        <w:rPr>
          <w:rFonts w:cs="Calibri"/>
          <w:lang w:val="en-GB"/>
        </w:rPr>
      </w:pPr>
      <w:r w:rsidRPr="007F3E4F">
        <w:rPr>
          <w:rFonts w:eastAsia="Calibri" w:cs="Calibri"/>
          <w:lang w:val="en-GB"/>
        </w:rPr>
        <w:t>1</w:t>
      </w:r>
      <w:r w:rsidR="00375AC6" w:rsidRPr="007F3E4F">
        <w:rPr>
          <w:rFonts w:eastAsia="Calibri" w:cs="Calibri"/>
          <w:lang w:val="en-GB"/>
        </w:rPr>
        <w:t>3</w:t>
      </w:r>
      <w:r w:rsidRPr="007F3E4F">
        <w:rPr>
          <w:rFonts w:eastAsia="Calibri" w:cs="Calibri"/>
          <w:lang w:val="en-GB"/>
        </w:rPr>
        <w:t>.1</w:t>
      </w:r>
      <w:r w:rsidRPr="007F3E4F">
        <w:rPr>
          <w:lang w:val="en-GB"/>
        </w:rPr>
        <w:tab/>
      </w:r>
      <w:r w:rsidR="00AA216B" w:rsidRPr="007F3E4F">
        <w:rPr>
          <w:rFonts w:cs="Calibri"/>
          <w:lang w:val="en-GB"/>
        </w:rPr>
        <w:t xml:space="preserve">The Deputy to the Director of the Telecommunication Standardization Bureau (TSB) introduced Document C26/38, which contained a status report on the implementation of Decisions 600 (C17) and 601 (C17), concerning universal international freephone numbers (UIFNs) and issuer identifier numbers (IINs), respectively, and a recommendation for Council to consider abrogating Decision 601 (C17). He explained that the UIFN framework remained stable, relevant and financially sustainable, generating around CHF 235 000 annually since 2018; the IIN mechanism, on the other hand, had experienced a sustained decline in industry use, with average annual revenues falling short of the associated maintenance costs. Decision 601 had also been overtaken by technical developments in the Telecommunication Standardization Sector (ITU-T): revisions made by ITU-T Study Group 2 to Recommendation ITU-T E.118 had removed the IIN registrar function and underlying standards framework entirely. Maintaining Decision 601 (C17) now constituted an administrative burden that neither delivered meaningful value to the membership nor reflected market realities. </w:t>
      </w:r>
    </w:p>
    <w:p w14:paraId="1D3617C8" w14:textId="6ED8ABD2" w:rsidR="00033AB0" w:rsidRPr="00F61FE8" w:rsidRDefault="00AA216B" w:rsidP="007F3E4F">
      <w:pPr>
        <w:rPr>
          <w:rFonts w:eastAsia="Calibri" w:cs="Calibri"/>
          <w:lang w:val="en-GB"/>
        </w:rPr>
      </w:pPr>
      <w:r w:rsidRPr="007F3E4F">
        <w:rPr>
          <w:rFonts w:cs="Calibri"/>
          <w:lang w:val="en-GB"/>
        </w:rPr>
        <w:t>13.2</w:t>
      </w:r>
      <w:r w:rsidRPr="007F3E4F">
        <w:rPr>
          <w:rFonts w:cs="Calibri"/>
          <w:lang w:val="en-GB"/>
        </w:rPr>
        <w:tab/>
        <w:t>In the subsequent discussion, councillors and an observer agreed that, given the rationale provided, it seemed appropriate to abrogate Decision 601 (C17). One councillor encouraged continued transparency on the cumulative effect of discontinuing a revenue stream; another suggested that Study Group 2 might consider the allocation of numbering resources, in coordination with Member States, Sector Members, Associates or other entities, as a means of increasing ITU membership and contributing to the financial sustainability of the Union. Several councillors, noting the amount in invoices that remained unpaid by UIFN service providers, as listed in the Annex to Document C26/38, encouraged the secretariat to strengthen efforts in collaboration with Member States to recover those outstanding debts.</w:t>
      </w:r>
      <w:r w:rsidR="00033AB0" w:rsidRPr="007F3E4F">
        <w:rPr>
          <w:rFonts w:eastAsia="Calibri" w:cs="Calibri"/>
          <w:lang w:val="en-GB"/>
        </w:rPr>
        <w:t xml:space="preserve"> </w:t>
      </w:r>
    </w:p>
    <w:p w14:paraId="3F3B1B4A" w14:textId="094482BD" w:rsidR="00033AB0" w:rsidRPr="00EA5615" w:rsidRDefault="00033AB0" w:rsidP="00AA406B">
      <w:pPr>
        <w:keepNext/>
        <w:keepLines/>
        <w:spacing w:line="259" w:lineRule="auto"/>
        <w:rPr>
          <w:rFonts w:eastAsia="Calibri" w:cs="Calibri"/>
          <w:szCs w:val="24"/>
          <w:lang w:val="en-GB"/>
        </w:rPr>
      </w:pPr>
      <w:r w:rsidRPr="00EA5615">
        <w:rPr>
          <w:rFonts w:eastAsia="Calibri" w:cs="Calibri"/>
          <w:szCs w:val="24"/>
          <w:lang w:val="en-GB"/>
        </w:rPr>
        <w:t>1</w:t>
      </w:r>
      <w:r w:rsidR="00375AC6">
        <w:rPr>
          <w:rFonts w:eastAsia="Calibri" w:cs="Calibri"/>
          <w:szCs w:val="24"/>
          <w:lang w:val="en-GB"/>
        </w:rPr>
        <w:t>3</w:t>
      </w:r>
      <w:r w:rsidRPr="00EA5615">
        <w:rPr>
          <w:rFonts w:eastAsia="Calibri" w:cs="Calibri"/>
          <w:szCs w:val="24"/>
          <w:lang w:val="en-GB"/>
        </w:rPr>
        <w:t>.</w:t>
      </w:r>
      <w:r w:rsidR="00E307A0" w:rsidRPr="007F3E4F">
        <w:rPr>
          <w:rFonts w:eastAsia="Calibri" w:cs="Calibri"/>
          <w:szCs w:val="24"/>
          <w:lang w:val="en-GB"/>
        </w:rPr>
        <w:t>3</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68F30FD8" w14:textId="346FF6BD" w:rsidR="007F3E4F" w:rsidRPr="007F3E4F" w:rsidRDefault="00033AB0" w:rsidP="00AA406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7F3E4F">
        <w:rPr>
          <w:rFonts w:eastAsia="Calibri" w:cs="Calibri"/>
          <w:szCs w:val="24"/>
          <w:lang w:val="en-GB"/>
        </w:rPr>
        <w:t>1</w:t>
      </w:r>
      <w:r w:rsidR="00375AC6" w:rsidRPr="007F3E4F">
        <w:rPr>
          <w:rFonts w:eastAsia="Calibri" w:cs="Calibri"/>
          <w:szCs w:val="24"/>
          <w:lang w:val="en-GB"/>
        </w:rPr>
        <w:t>3</w:t>
      </w:r>
      <w:r w:rsidR="00147D70">
        <w:rPr>
          <w:rFonts w:eastAsia="Calibri" w:cs="Calibri"/>
          <w:szCs w:val="24"/>
          <w:lang w:val="en-GB"/>
        </w:rPr>
        <w:t>.</w:t>
      </w:r>
      <w:r w:rsidR="00E307A0" w:rsidRPr="007F3E4F">
        <w:rPr>
          <w:rFonts w:eastAsia="Calibri" w:cs="Calibri"/>
          <w:szCs w:val="24"/>
          <w:lang w:val="en-GB"/>
        </w:rPr>
        <w:t>4</w:t>
      </w:r>
      <w:r w:rsidRPr="00EA5615">
        <w:rPr>
          <w:lang w:val="en-GB"/>
        </w:rPr>
        <w:tab/>
        <w:t>The committee recommends that the Council</w:t>
      </w:r>
      <w:r w:rsidR="00CF2D95" w:rsidRPr="00EA5615">
        <w:rPr>
          <w:lang w:val="en-GB"/>
        </w:rPr>
        <w:t>:</w:t>
      </w:r>
    </w:p>
    <w:p w14:paraId="74042011" w14:textId="023F2BA7" w:rsidR="007E69A0" w:rsidRPr="007F3E4F" w:rsidRDefault="00CF2D95" w:rsidP="00AA406B">
      <w:pPr>
        <w:keepNext/>
        <w:keepLines/>
        <w:pBdr>
          <w:top w:val="single" w:sz="4" w:space="4" w:color="000000"/>
          <w:left w:val="single" w:sz="4" w:space="4" w:color="000000"/>
          <w:bottom w:val="single" w:sz="4" w:space="4" w:color="000000"/>
          <w:right w:val="single" w:sz="4" w:space="4" w:color="000000"/>
        </w:pBdr>
        <w:spacing w:before="0" w:line="259" w:lineRule="auto"/>
        <w:ind w:left="567" w:hanging="567"/>
        <w:rPr>
          <w:lang w:val="en-GB"/>
        </w:rPr>
      </w:pPr>
      <w:r w:rsidRPr="007F3E4F">
        <w:rPr>
          <w:lang w:val="en-GB"/>
        </w:rPr>
        <w:t>•</w:t>
      </w:r>
      <w:r w:rsidRPr="007F3E4F">
        <w:rPr>
          <w:lang w:val="en-GB"/>
        </w:rPr>
        <w:tab/>
      </w:r>
      <w:r w:rsidR="007E69A0" w:rsidRPr="007F3E4F">
        <w:rPr>
          <w:rFonts w:cs="Calibri"/>
          <w:lang w:val="en-GB"/>
        </w:rPr>
        <w:t xml:space="preserve">note the status update on the implementation of Council Decision 600 (C17), concerning universal international freephone </w:t>
      </w:r>
      <w:proofErr w:type="gramStart"/>
      <w:r w:rsidR="007E69A0" w:rsidRPr="007F3E4F">
        <w:rPr>
          <w:rFonts w:cs="Calibri"/>
          <w:lang w:val="en-GB"/>
        </w:rPr>
        <w:t>numbers;</w:t>
      </w:r>
      <w:proofErr w:type="gramEnd"/>
    </w:p>
    <w:p w14:paraId="00D7329D" w14:textId="77777777" w:rsidR="005E789C" w:rsidRDefault="007E69A0" w:rsidP="00AA406B">
      <w:pPr>
        <w:keepNext/>
        <w:keepLines/>
        <w:pBdr>
          <w:top w:val="single" w:sz="4" w:space="4" w:color="000000"/>
          <w:left w:val="single" w:sz="4" w:space="4" w:color="000000"/>
          <w:bottom w:val="single" w:sz="4" w:space="4" w:color="000000"/>
          <w:right w:val="single" w:sz="4" w:space="4" w:color="000000"/>
        </w:pBdr>
        <w:spacing w:before="0" w:line="259" w:lineRule="auto"/>
        <w:ind w:left="567" w:hanging="567"/>
        <w:rPr>
          <w:rFonts w:cs="Calibri"/>
          <w:lang w:val="en-GB"/>
        </w:rPr>
      </w:pPr>
      <w:r w:rsidRPr="007F3E4F">
        <w:rPr>
          <w:lang w:val="en-GB"/>
        </w:rPr>
        <w:t>•</w:t>
      </w:r>
      <w:r w:rsidRPr="007F3E4F">
        <w:rPr>
          <w:lang w:val="en-GB"/>
        </w:rPr>
        <w:tab/>
      </w:r>
      <w:r w:rsidR="007F3E4F" w:rsidRPr="007F3E4F">
        <w:rPr>
          <w:rFonts w:cs="Calibri"/>
          <w:lang w:val="en-GB"/>
        </w:rPr>
        <w:t>abrogate Council Decision 601 (C17), on issuer identifier numbers</w:t>
      </w:r>
      <w:r w:rsidR="005E789C">
        <w:rPr>
          <w:rFonts w:cs="Calibri"/>
          <w:lang w:val="en-GB"/>
        </w:rPr>
        <w:t>; and</w:t>
      </w:r>
    </w:p>
    <w:p w14:paraId="5992B23C" w14:textId="66441F7A" w:rsidR="00033AB0" w:rsidRPr="00EA5615" w:rsidRDefault="005E789C" w:rsidP="005A381F">
      <w:pPr>
        <w:pBdr>
          <w:top w:val="single" w:sz="4" w:space="4" w:color="000000"/>
          <w:left w:val="single" w:sz="4" w:space="4" w:color="000000"/>
          <w:bottom w:val="single" w:sz="4" w:space="4" w:color="000000"/>
          <w:right w:val="single" w:sz="4" w:space="4" w:color="000000"/>
        </w:pBdr>
        <w:spacing w:before="0" w:line="259" w:lineRule="auto"/>
        <w:ind w:left="567" w:hanging="567"/>
        <w:rPr>
          <w:lang w:val="en-GB"/>
        </w:rPr>
      </w:pPr>
      <w:r w:rsidRPr="007F3E4F">
        <w:rPr>
          <w:lang w:val="en-GB"/>
        </w:rPr>
        <w:t>•</w:t>
      </w:r>
      <w:r w:rsidRPr="007F3E4F">
        <w:rPr>
          <w:lang w:val="en-GB"/>
        </w:rPr>
        <w:tab/>
      </w:r>
      <w:r>
        <w:rPr>
          <w:lang w:val="en-GB"/>
        </w:rPr>
        <w:t>invite ITU-T Study Group 2, in coordination with the Telecommunication Standardization Bureau, to consider the comments by councillors above</w:t>
      </w:r>
      <w:r w:rsidR="002D5B39" w:rsidRPr="007F3E4F">
        <w:rPr>
          <w:lang w:val="en-GB"/>
        </w:rPr>
        <w:t>.</w:t>
      </w:r>
    </w:p>
    <w:p w14:paraId="0898637B" w14:textId="3951CD0D" w:rsidR="00495C00" w:rsidRPr="00EA6AD6" w:rsidRDefault="00495C00" w:rsidP="00E92501">
      <w:pPr>
        <w:pStyle w:val="Heading1"/>
        <w:rPr>
          <w:lang w:val="en-GB"/>
        </w:rPr>
      </w:pPr>
      <w:r w:rsidRPr="00EA6AD6">
        <w:rPr>
          <w:lang w:val="en-GB"/>
        </w:rPr>
        <w:t>1</w:t>
      </w:r>
      <w:r w:rsidR="00375AC6" w:rsidRPr="00EA6AD6">
        <w:rPr>
          <w:lang w:val="en-GB"/>
        </w:rPr>
        <w:t>4</w:t>
      </w:r>
      <w:r w:rsidRPr="00EA6AD6">
        <w:rPr>
          <w:lang w:val="en-GB"/>
        </w:rPr>
        <w:tab/>
        <w:t xml:space="preserve">The After-Service Health Insurance (ASHI) liability (Document </w:t>
      </w:r>
      <w:hyperlink r:id="rId48" w:history="1">
        <w:r w:rsidRPr="00EA6AD6">
          <w:rPr>
            <w:rStyle w:val="Hyperlink"/>
            <w:bCs/>
            <w:lang w:val="en-GB"/>
          </w:rPr>
          <w:t>C26/</w:t>
        </w:r>
        <w:r w:rsidRPr="00EA6AD6">
          <w:rPr>
            <w:rStyle w:val="Hyperlink"/>
            <w:lang w:val="en-GB"/>
          </w:rPr>
          <w:t>46</w:t>
        </w:r>
      </w:hyperlink>
      <w:r w:rsidRPr="00EA6AD6">
        <w:rPr>
          <w:lang w:val="en-GB"/>
        </w:rPr>
        <w:t>)</w:t>
      </w:r>
    </w:p>
    <w:p w14:paraId="17D32AB6" w14:textId="4C7A5971" w:rsidR="00EA6AD6" w:rsidRPr="00EA6AD6" w:rsidRDefault="0019519C" w:rsidP="00C44A2E">
      <w:pPr>
        <w:keepNext/>
        <w:keepLines/>
        <w:rPr>
          <w:lang w:val="en-GB"/>
        </w:rPr>
      </w:pPr>
      <w:r w:rsidRPr="00EA6AD6">
        <w:rPr>
          <w:rFonts w:eastAsia="Calibri" w:cs="Calibri"/>
          <w:lang w:val="en-GB"/>
        </w:rPr>
        <w:t>1</w:t>
      </w:r>
      <w:r w:rsidR="00375AC6" w:rsidRPr="00EA6AD6">
        <w:rPr>
          <w:rFonts w:eastAsia="Calibri" w:cs="Calibri"/>
          <w:lang w:val="en-GB"/>
        </w:rPr>
        <w:t>4</w:t>
      </w:r>
      <w:r w:rsidRPr="00EA6AD6">
        <w:rPr>
          <w:rFonts w:eastAsia="Calibri" w:cs="Calibri"/>
          <w:lang w:val="en-GB"/>
        </w:rPr>
        <w:t>.1</w:t>
      </w:r>
      <w:r w:rsidR="00495C00" w:rsidRPr="00EA6AD6">
        <w:rPr>
          <w:lang w:val="en-GB"/>
        </w:rPr>
        <w:tab/>
      </w:r>
      <w:r w:rsidR="00EA6AD6" w:rsidRPr="00EA6AD6">
        <w:rPr>
          <w:lang w:val="en-GB"/>
        </w:rPr>
        <w:t xml:space="preserve">A representative of the General Secretariat, introducing Document C26/46, said that as at the end of 2025, the after-service health insurance (ASHI) liability had decreased by CHF 37 million, largely owing to improved financial assumptions, including an increase in the discount rate and a decrease in the medical trend inflation rate. Such positive developments offset slight negative demographic trends in mortality and retirement rates, although the liability remained volatile. In the draft decision in Annex A, the secretariat sought the Council's approval to introduce a 5.35 per cent salary-based contribution for all staff recruited from 1 January 2026; that measure had been included in the report of the Independent Management Advisory Committee (IMAC) (see Document </w:t>
      </w:r>
      <w:r w:rsidR="635C29D0" w:rsidRPr="17CC2624">
        <w:rPr>
          <w:lang w:val="en-GB"/>
        </w:rPr>
        <w:t>C24/22</w:t>
      </w:r>
      <w:r w:rsidR="627D5C2A" w:rsidRPr="17CC2624">
        <w:rPr>
          <w:lang w:val="en-GB"/>
        </w:rPr>
        <w:t xml:space="preserve"> and </w:t>
      </w:r>
      <w:r w:rsidR="635C29D0" w:rsidRPr="17CC2624">
        <w:rPr>
          <w:rStyle w:val="Hyperlink"/>
          <w:rFonts w:cs="Times New Roman"/>
          <w:lang w:val="en-GB"/>
        </w:rPr>
        <w:t xml:space="preserve"> </w:t>
      </w:r>
      <w:hyperlink r:id="rId49" w:history="1">
        <w:r w:rsidR="00EA6AD6" w:rsidRPr="17CC2624">
          <w:rPr>
            <w:rStyle w:val="Hyperlink"/>
            <w:rFonts w:cs="Times New Roman"/>
            <w:lang w:val="en-GB"/>
          </w:rPr>
          <w:t>C25/46</w:t>
        </w:r>
      </w:hyperlink>
      <w:r w:rsidR="00EA6AD6" w:rsidRPr="00EA6AD6">
        <w:rPr>
          <w:lang w:val="en-GB"/>
        </w:rPr>
        <w:t>).</w:t>
      </w:r>
    </w:p>
    <w:p w14:paraId="1B1A3D52" w14:textId="6A4DDFD1" w:rsidR="00EA6AD6" w:rsidRPr="00EA6AD6" w:rsidRDefault="00EA6AD6" w:rsidP="00EA6AD6">
      <w:pPr>
        <w:rPr>
          <w:lang w:val="en-GB"/>
        </w:rPr>
      </w:pPr>
      <w:r w:rsidRPr="00EA6AD6">
        <w:rPr>
          <w:lang w:val="en-GB"/>
        </w:rPr>
        <w:t>14.2</w:t>
      </w:r>
      <w:r w:rsidRPr="00EA6AD6">
        <w:rPr>
          <w:lang w:val="en-GB"/>
        </w:rPr>
        <w:tab/>
        <w:t>Councillors expressed support for the report and the draft decision. However, one councillor requested clarification on the expected annual yield of the 5.35 per cent contribution and its projected impact on the ASHI funding ratio, and on whether ITU had benchmarked that measure against wider United Nations practices.</w:t>
      </w:r>
    </w:p>
    <w:p w14:paraId="58AF24EA" w14:textId="54604703" w:rsidR="00EA6AD6" w:rsidRPr="00EA6AD6" w:rsidRDefault="00EA6AD6" w:rsidP="00EA6AD6">
      <w:pPr>
        <w:rPr>
          <w:lang w:val="en-GB"/>
        </w:rPr>
      </w:pPr>
      <w:r w:rsidRPr="00EA6AD6">
        <w:rPr>
          <w:lang w:val="en-GB"/>
        </w:rPr>
        <w:t>14.3</w:t>
      </w:r>
      <w:r w:rsidRPr="00EA6AD6">
        <w:rPr>
          <w:lang w:val="en-GB"/>
        </w:rPr>
        <w:tab/>
        <w:t>The councillor from the United States of America, while supporting the draft decision, questioned the utility of the 5.35 per cent measure in the 2028-2031 financial planning cycle, and would propose to terminate that fee in future and work with Member States on alternative solutions for the long-term ASHI liability. It would not endorse the measure in subsequent budget cycles and requested an updated report on the ASHI liability to be submitted to the Plenipotentiary Conference, to inform Member States of ITU's recommendations on how to address the liability.</w:t>
      </w:r>
    </w:p>
    <w:p w14:paraId="522812B4" w14:textId="64CCFFAF" w:rsidR="00EA6AD6" w:rsidRPr="00EA6AD6" w:rsidRDefault="00EA6AD6" w:rsidP="00EA6AD6">
      <w:pPr>
        <w:rPr>
          <w:lang w:val="en-GB"/>
        </w:rPr>
      </w:pPr>
      <w:r w:rsidRPr="00EA6AD6">
        <w:rPr>
          <w:lang w:val="en-GB"/>
        </w:rPr>
        <w:t>14.4</w:t>
      </w:r>
      <w:r w:rsidRPr="00EA6AD6">
        <w:rPr>
          <w:lang w:val="en-GB"/>
        </w:rPr>
        <w:tab/>
        <w:t>One councillor drew attention to the External Auditor’s recommendation that ITU should revisit its original business case for joining the United Nations Staff Mutual Insurance Society against Sickness and Accident (UNSMIS), which had entailed a significant financial commitment, and report to a subsequent Council session. Consideration of using financial reserves with limited activity, such as the ITU Staff Superannuation and Benevolent Funds, to fund the ASHI liability would be welcomed.</w:t>
      </w:r>
    </w:p>
    <w:p w14:paraId="66625A3B" w14:textId="255C05AD" w:rsidR="00EA6AD6" w:rsidRPr="00EA6AD6" w:rsidRDefault="00EA6AD6" w:rsidP="00EA6AD6">
      <w:pPr>
        <w:rPr>
          <w:lang w:val="en-GB"/>
        </w:rPr>
      </w:pPr>
      <w:r w:rsidRPr="00EA6AD6">
        <w:rPr>
          <w:lang w:val="en-GB"/>
        </w:rPr>
        <w:t>14.5</w:t>
      </w:r>
      <w:r w:rsidRPr="00EA6AD6">
        <w:rPr>
          <w:lang w:val="en-GB"/>
        </w:rPr>
        <w:tab/>
        <w:t>The Chief of FRMD, responding to questions from councillors, said that the United Nations ASHI working group made recommendations to the United Nations Secretary-General of the to ensure that the 5.35 per cent contribution was applied; the United Nations Secretary-General must submit the recommendation to the General Assembly.  Each individual organization must take steps to implement the contribution; ITU had received recommendations to that end from JIU and IMAC, as approved at Council</w:t>
      </w:r>
      <w:r w:rsidR="1A543691" w:rsidRPr="17CC2624">
        <w:rPr>
          <w:lang w:val="en-GB"/>
        </w:rPr>
        <w:t xml:space="preserve"> </w:t>
      </w:r>
      <w:r w:rsidR="137F990A" w:rsidRPr="17CC2624">
        <w:rPr>
          <w:lang w:val="en-GB"/>
        </w:rPr>
        <w:t>24 and</w:t>
      </w:r>
      <w:r w:rsidR="4B2DF150" w:rsidRPr="17CC2624">
        <w:rPr>
          <w:lang w:val="en-GB"/>
        </w:rPr>
        <w:t xml:space="preserve"> </w:t>
      </w:r>
      <w:r w:rsidRPr="17CC2624">
        <w:rPr>
          <w:lang w:val="en-GB"/>
        </w:rPr>
        <w:t>25.</w:t>
      </w:r>
      <w:r w:rsidRPr="00EA6AD6">
        <w:rPr>
          <w:lang w:val="en-GB"/>
        </w:rPr>
        <w:t xml:space="preserve"> As ITU participated in the United Nations ASHI working group, which had a holistic view of organizations in the United Nations system, it was not necessary to develop an internal mechanism to discuss ASHI-related issues, as one councillor had suggested.</w:t>
      </w:r>
    </w:p>
    <w:p w14:paraId="52E8C392" w14:textId="392BB6AE" w:rsidR="00EA6AD6" w:rsidRPr="00EA6AD6" w:rsidRDefault="00EA6AD6" w:rsidP="00EA6AD6">
      <w:pPr>
        <w:rPr>
          <w:lang w:val="en-GB"/>
        </w:rPr>
      </w:pPr>
      <w:r w:rsidRPr="00EA6AD6">
        <w:rPr>
          <w:lang w:val="en-GB"/>
        </w:rPr>
        <w:t>14.6</w:t>
      </w:r>
      <w:r w:rsidRPr="00EA6AD6">
        <w:rPr>
          <w:lang w:val="en-GB"/>
        </w:rPr>
        <w:tab/>
        <w:t xml:space="preserve">Responding to a question about Article 26 of the Regulations of the United Nations Joint Staff Pension Fund (UNJSPF), under which each member organization would pay the sum necessary to make good the deficiency if the Fund’s assets were insufficient to meet its liabilities, he said that no organization included that liability in its financial </w:t>
      </w:r>
      <w:r w:rsidR="003E615F">
        <w:rPr>
          <w:lang w:val="en-GB"/>
        </w:rPr>
        <w:t xml:space="preserve">year </w:t>
      </w:r>
      <w:r w:rsidRPr="00EA6AD6">
        <w:rPr>
          <w:lang w:val="en-GB"/>
        </w:rPr>
        <w:t xml:space="preserve">reporting. The Fund was managed independently of the organizations. </w:t>
      </w:r>
      <w:r w:rsidR="0006300F">
        <w:rPr>
          <w:lang w:val="en-GB"/>
        </w:rPr>
        <w:t xml:space="preserve">Only </w:t>
      </w:r>
      <w:r w:rsidR="00780599">
        <w:rPr>
          <w:lang w:val="en-GB"/>
        </w:rPr>
        <w:t xml:space="preserve">ASHI </w:t>
      </w:r>
      <w:r w:rsidR="00221A26">
        <w:rPr>
          <w:lang w:val="en-GB"/>
        </w:rPr>
        <w:t>wa</w:t>
      </w:r>
      <w:r w:rsidR="00780599">
        <w:rPr>
          <w:lang w:val="en-GB"/>
        </w:rPr>
        <w:t>s recorded in financial position by each U</w:t>
      </w:r>
      <w:r w:rsidR="00CB394C">
        <w:rPr>
          <w:lang w:val="en-GB"/>
        </w:rPr>
        <w:t xml:space="preserve">nited </w:t>
      </w:r>
      <w:r w:rsidR="00780599">
        <w:rPr>
          <w:lang w:val="en-GB"/>
        </w:rPr>
        <w:t>N</w:t>
      </w:r>
      <w:r w:rsidR="00CB394C">
        <w:rPr>
          <w:lang w:val="en-GB"/>
        </w:rPr>
        <w:t>ations</w:t>
      </w:r>
      <w:r w:rsidR="00780599">
        <w:rPr>
          <w:lang w:val="en-GB"/>
        </w:rPr>
        <w:t xml:space="preserve"> organization. </w:t>
      </w:r>
      <w:r w:rsidRPr="00EA6AD6">
        <w:rPr>
          <w:lang w:val="en-GB"/>
        </w:rPr>
        <w:t>Lastly, he highlighted that ITU had duly paid its initial contribution to UNSMIS and was playing a key role in that Society, demonstrating solidarity with other organizations.</w:t>
      </w:r>
    </w:p>
    <w:p w14:paraId="34A7D64D" w14:textId="2D04D852" w:rsidR="00495C00" w:rsidRPr="00EA6AD6" w:rsidRDefault="0073622C" w:rsidP="00E92501">
      <w:pPr>
        <w:spacing w:line="259" w:lineRule="auto"/>
        <w:rPr>
          <w:rFonts w:eastAsia="Calibri"/>
          <w:lang w:val="en-GB"/>
        </w:rPr>
      </w:pPr>
      <w:r w:rsidRPr="6D6A5C68">
        <w:rPr>
          <w:rFonts w:eastAsia="Calibri" w:cs="Calibri"/>
          <w:lang w:val="en-GB"/>
        </w:rPr>
        <w:t>1</w:t>
      </w:r>
      <w:r w:rsidR="00375AC6" w:rsidRPr="6D6A5C68">
        <w:rPr>
          <w:rFonts w:eastAsia="Calibri" w:cs="Calibri"/>
          <w:lang w:val="en-GB"/>
        </w:rPr>
        <w:t>4</w:t>
      </w:r>
      <w:r w:rsidR="00495C00" w:rsidRPr="6D6A5C68">
        <w:rPr>
          <w:rFonts w:eastAsia="Calibri" w:cs="Calibri"/>
          <w:lang w:val="en-GB"/>
        </w:rPr>
        <w:t>.</w:t>
      </w:r>
      <w:r w:rsidR="00EA6AD6" w:rsidRPr="6D6A5C68">
        <w:rPr>
          <w:rFonts w:eastAsia="Calibri" w:cs="Calibri"/>
          <w:lang w:val="en-GB"/>
        </w:rPr>
        <w:t>7</w:t>
      </w:r>
      <w:r w:rsidR="00495C00" w:rsidRPr="000F75B3">
        <w:rPr>
          <w:rFonts w:eastAsia="Calibri"/>
          <w:lang w:val="en-GB"/>
        </w:rPr>
        <w:tab/>
      </w:r>
      <w:r w:rsidR="00495C00" w:rsidRPr="00EA6AD6">
        <w:rPr>
          <w:rFonts w:eastAsia="Calibri" w:cs="Calibri"/>
          <w:lang w:val="en-GB"/>
        </w:rPr>
        <w:t xml:space="preserve">The committee </w:t>
      </w:r>
      <w:r w:rsidR="00495C00" w:rsidRPr="6D6A5C68">
        <w:rPr>
          <w:rFonts w:eastAsia="Calibri" w:cs="Calibri"/>
          <w:b/>
          <w:lang w:val="en-GB"/>
        </w:rPr>
        <w:t>agreed</w:t>
      </w:r>
      <w:r w:rsidR="00495C00" w:rsidRPr="00EA6AD6">
        <w:rPr>
          <w:rFonts w:eastAsia="Calibri" w:cs="Calibri"/>
          <w:lang w:val="en-GB"/>
        </w:rPr>
        <w:t xml:space="preserve"> to conclude on the matter as follows:</w:t>
      </w:r>
    </w:p>
    <w:p w14:paraId="29825096" w14:textId="6AF0CF81" w:rsidR="00B07DFA" w:rsidRDefault="0073622C" w:rsidP="00495C00">
      <w:pPr>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1</w:t>
      </w:r>
      <w:r w:rsidR="00375AC6" w:rsidRPr="6D6A5C68">
        <w:rPr>
          <w:rFonts w:eastAsia="Calibri" w:cs="Calibri"/>
          <w:lang w:val="en-GB"/>
        </w:rPr>
        <w:t>4</w:t>
      </w:r>
      <w:r w:rsidR="00495C00" w:rsidRPr="6D6A5C68">
        <w:rPr>
          <w:rFonts w:eastAsia="Calibri" w:cs="Calibri"/>
          <w:lang w:val="en-GB"/>
        </w:rPr>
        <w:t>.</w:t>
      </w:r>
      <w:r w:rsidR="00EA6AD6" w:rsidRPr="6D6A5C68">
        <w:rPr>
          <w:rFonts w:eastAsia="Calibri" w:cs="Calibri"/>
          <w:lang w:val="en-GB"/>
        </w:rPr>
        <w:t>8</w:t>
      </w:r>
      <w:r w:rsidR="00495C00" w:rsidRPr="00EA6AD6">
        <w:rPr>
          <w:lang w:val="en-GB"/>
        </w:rPr>
        <w:tab/>
      </w:r>
      <w:r w:rsidR="00495C00" w:rsidRPr="6D6A5C68">
        <w:rPr>
          <w:rFonts w:eastAsia="Calibri" w:cs="Calibri"/>
          <w:lang w:val="en-GB"/>
        </w:rPr>
        <w:t>The committee recommends that the Council</w:t>
      </w:r>
      <w:r w:rsidRPr="6D6A5C68">
        <w:rPr>
          <w:rFonts w:eastAsia="Calibri" w:cs="Calibri"/>
          <w:lang w:val="en-GB"/>
        </w:rPr>
        <w:t>:</w:t>
      </w:r>
    </w:p>
    <w:p w14:paraId="68C64DA3" w14:textId="77777777" w:rsidR="005E789C" w:rsidRDefault="001023B5" w:rsidP="00C44A2E">
      <w:pPr>
        <w:pBdr>
          <w:top w:val="single" w:sz="4" w:space="4" w:color="000000"/>
          <w:left w:val="single" w:sz="4" w:space="4" w:color="000000"/>
          <w:bottom w:val="single" w:sz="4" w:space="4" w:color="000000"/>
          <w:right w:val="single" w:sz="4" w:space="4" w:color="000000"/>
        </w:pBdr>
        <w:spacing w:before="80" w:line="259" w:lineRule="auto"/>
        <w:rPr>
          <w:lang w:val="en-GB"/>
        </w:rPr>
      </w:pPr>
      <w:r w:rsidRPr="00EA6AD6">
        <w:rPr>
          <w:lang w:val="en-GB"/>
        </w:rPr>
        <w:t>•</w:t>
      </w:r>
      <w:r w:rsidRPr="00EA6AD6">
        <w:rPr>
          <w:lang w:val="en-GB"/>
        </w:rPr>
        <w:tab/>
      </w:r>
      <w:r w:rsidR="00EA6AD6" w:rsidRPr="00EA6AD6">
        <w:rPr>
          <w:lang w:val="en-GB"/>
        </w:rPr>
        <w:t xml:space="preserve">adopt the draft decision </w:t>
      </w:r>
      <w:r w:rsidR="00EA6AD6" w:rsidRPr="00D95425">
        <w:rPr>
          <w:lang w:val="en-GB"/>
        </w:rPr>
        <w:t xml:space="preserve">contained in </w:t>
      </w:r>
      <w:hyperlink w:anchor="Annex_C" w:history="1">
        <w:r w:rsidR="00E23570" w:rsidRPr="00C44A2E">
          <w:rPr>
            <w:rStyle w:val="Hyperlink"/>
            <w:rFonts w:cs="Times New Roman"/>
            <w:b/>
            <w:szCs w:val="20"/>
            <w:lang w:val="en-US"/>
          </w:rPr>
          <w:t xml:space="preserve">Annex </w:t>
        </w:r>
        <w:r w:rsidR="00E23570" w:rsidRPr="00C44A2E">
          <w:rPr>
            <w:rStyle w:val="Hyperlink"/>
            <w:rFonts w:cs="Times New Roman"/>
            <w:b/>
            <w:szCs w:val="20"/>
            <w:lang w:val="en-GB"/>
          </w:rPr>
          <w:t>C</w:t>
        </w:r>
      </w:hyperlink>
      <w:r w:rsidR="00EA6AD6" w:rsidRPr="00EA6AD6">
        <w:rPr>
          <w:lang w:val="en-GB"/>
        </w:rPr>
        <w:t xml:space="preserve"> hereto</w:t>
      </w:r>
      <w:r w:rsidR="005E789C">
        <w:rPr>
          <w:lang w:val="en-GB"/>
        </w:rPr>
        <w:t>; and</w:t>
      </w:r>
    </w:p>
    <w:p w14:paraId="25D51321" w14:textId="2A699A7E" w:rsidR="00495C00" w:rsidRPr="00EA6AD6" w:rsidRDefault="005E789C"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7F3E4F">
        <w:rPr>
          <w:lang w:val="en-GB"/>
        </w:rPr>
        <w:t>•</w:t>
      </w:r>
      <w:r w:rsidRPr="007F3E4F">
        <w:rPr>
          <w:lang w:val="en-GB"/>
        </w:rPr>
        <w:tab/>
      </w:r>
      <w:r>
        <w:rPr>
          <w:lang w:val="en-GB"/>
        </w:rPr>
        <w:t>instruct the secretariat to provide an updated report on the status of the ASHI liability</w:t>
      </w:r>
      <w:r w:rsidR="006279CE">
        <w:rPr>
          <w:lang w:val="en-GB"/>
        </w:rPr>
        <w:t>, including the implementation of the related recommendations of the External Auditor,</w:t>
      </w:r>
      <w:r>
        <w:rPr>
          <w:lang w:val="en-GB"/>
        </w:rPr>
        <w:t xml:space="preserve"> to inform discussions on the </w:t>
      </w:r>
      <w:r w:rsidR="00D0380A">
        <w:rPr>
          <w:lang w:val="en-GB"/>
        </w:rPr>
        <w:t>f</w:t>
      </w:r>
      <w:r>
        <w:rPr>
          <w:lang w:val="en-GB"/>
        </w:rPr>
        <w:t xml:space="preserve">inancial </w:t>
      </w:r>
      <w:r w:rsidR="00D0380A">
        <w:rPr>
          <w:lang w:val="en-GB"/>
        </w:rPr>
        <w:t>p</w:t>
      </w:r>
      <w:r>
        <w:rPr>
          <w:lang w:val="en-GB"/>
        </w:rPr>
        <w:t>lan</w:t>
      </w:r>
      <w:r w:rsidR="00D0380A">
        <w:rPr>
          <w:lang w:val="en-GB"/>
        </w:rPr>
        <w:t xml:space="preserve"> for the period 2028-2031</w:t>
      </w:r>
      <w:r>
        <w:rPr>
          <w:lang w:val="en-GB"/>
        </w:rPr>
        <w:t xml:space="preserve"> at </w:t>
      </w:r>
      <w:r w:rsidR="00D0380A">
        <w:rPr>
          <w:lang w:val="en-GB"/>
        </w:rPr>
        <w:t>the Plenipotentiary Conference (Doha, 2026)</w:t>
      </w:r>
      <w:r w:rsidR="00EA6AD6" w:rsidRPr="00EA6AD6">
        <w:rPr>
          <w:lang w:val="en-GB"/>
        </w:rPr>
        <w:t>.</w:t>
      </w:r>
    </w:p>
    <w:p w14:paraId="07C711D9" w14:textId="35FAB412" w:rsidR="00160B9E" w:rsidRPr="00EA5615" w:rsidRDefault="00160B9E" w:rsidP="00160B9E">
      <w:pPr>
        <w:pStyle w:val="Heading1"/>
        <w:rPr>
          <w:lang w:val="en-GB"/>
        </w:rPr>
      </w:pPr>
      <w:r w:rsidRPr="00EA5615">
        <w:rPr>
          <w:lang w:val="en-GB"/>
        </w:rPr>
        <w:t>1</w:t>
      </w:r>
      <w:r w:rsidR="00375AC6">
        <w:rPr>
          <w:lang w:val="en-GB"/>
        </w:rPr>
        <w:t>5</w:t>
      </w:r>
      <w:r w:rsidRPr="00EA5615">
        <w:rPr>
          <w:lang w:val="en-GB"/>
        </w:rPr>
        <w:tab/>
        <w:t xml:space="preserve">New requests for exemption from fees for organizations of an international character (Document </w:t>
      </w:r>
      <w:hyperlink r:id="rId50" w:history="1">
        <w:r w:rsidRPr="00EA5615">
          <w:rPr>
            <w:rStyle w:val="Hyperlink"/>
            <w:bCs/>
            <w:lang w:val="en-GB"/>
          </w:rPr>
          <w:t>C26/</w:t>
        </w:r>
        <w:r w:rsidRPr="00EA5615">
          <w:rPr>
            <w:rStyle w:val="Hyperlink"/>
            <w:lang w:val="en-GB"/>
          </w:rPr>
          <w:t>56</w:t>
        </w:r>
      </w:hyperlink>
      <w:r w:rsidRPr="00EA5615">
        <w:rPr>
          <w:lang w:val="en-GB"/>
        </w:rPr>
        <w:t>)</w:t>
      </w:r>
    </w:p>
    <w:p w14:paraId="5DDCCF17" w14:textId="2B1F46D6" w:rsidR="00E65821" w:rsidRPr="009302C2" w:rsidRDefault="00160B9E" w:rsidP="00E65821">
      <w:pPr>
        <w:spacing w:line="259" w:lineRule="auto"/>
        <w:rPr>
          <w:rFonts w:eastAsia="Calibri" w:cs="Calibri"/>
          <w:lang w:val="en-GB"/>
        </w:rPr>
      </w:pPr>
      <w:r w:rsidRPr="00605DF6">
        <w:rPr>
          <w:rFonts w:eastAsia="Calibri" w:cs="Calibri"/>
          <w:lang w:val="en-GB"/>
        </w:rPr>
        <w:t>1</w:t>
      </w:r>
      <w:r w:rsidR="00375AC6" w:rsidRPr="00605DF6">
        <w:rPr>
          <w:rFonts w:eastAsia="Calibri" w:cs="Calibri"/>
          <w:lang w:val="en-GB"/>
        </w:rPr>
        <w:t>5</w:t>
      </w:r>
      <w:r w:rsidRPr="00605DF6">
        <w:rPr>
          <w:rFonts w:eastAsia="Calibri" w:cs="Calibri"/>
          <w:lang w:val="en-GB"/>
        </w:rPr>
        <w:t>.1</w:t>
      </w:r>
      <w:r w:rsidRPr="009302C2">
        <w:rPr>
          <w:lang w:val="en-GB"/>
        </w:rPr>
        <w:tab/>
      </w:r>
      <w:r w:rsidR="00E65821" w:rsidRPr="009302C2">
        <w:rPr>
          <w:rFonts w:eastAsia="Calibri" w:cs="Calibri"/>
          <w:lang w:val="en-GB"/>
        </w:rPr>
        <w:t>A representative</w:t>
      </w:r>
      <w:r w:rsidR="00E65821" w:rsidRPr="009302C2" w:rsidDel="006C38AB">
        <w:rPr>
          <w:rFonts w:eastAsia="Calibri" w:cs="Calibri"/>
          <w:lang w:val="en-GB"/>
        </w:rPr>
        <w:t xml:space="preserve"> </w:t>
      </w:r>
      <w:r w:rsidR="00E65821" w:rsidRPr="009302C2">
        <w:rPr>
          <w:rFonts w:eastAsia="Calibri" w:cs="Calibri"/>
          <w:lang w:val="en-GB"/>
        </w:rPr>
        <w:t>of the General Secretariat introduced Document C26/56, which set out five new requests from entities for exemption from Sector membership fees, and the Secretary-General’s recommendations thereon, on the basis of the applicable criteria and procedure established by the Council.</w:t>
      </w:r>
    </w:p>
    <w:p w14:paraId="7B019B70" w14:textId="5E4892D6" w:rsidR="00E65821" w:rsidRPr="009302C2" w:rsidRDefault="00676FA6" w:rsidP="00E65821">
      <w:pPr>
        <w:spacing w:line="259" w:lineRule="auto"/>
        <w:rPr>
          <w:rFonts w:eastAsia="Calibri" w:cs="Calibri"/>
          <w:lang w:val="en-GB"/>
        </w:rPr>
      </w:pPr>
      <w:r w:rsidRPr="009302C2">
        <w:rPr>
          <w:rFonts w:eastAsia="Calibri" w:cs="Calibri"/>
          <w:lang w:val="en-GB"/>
        </w:rPr>
        <w:t>15.2</w:t>
      </w:r>
      <w:r w:rsidRPr="009302C2">
        <w:rPr>
          <w:rFonts w:eastAsia="Calibri" w:cs="Calibri"/>
          <w:lang w:val="en-GB"/>
        </w:rPr>
        <w:tab/>
      </w:r>
      <w:r w:rsidR="00E65821" w:rsidRPr="009302C2">
        <w:rPr>
          <w:rFonts w:eastAsia="Calibri" w:cs="Calibri"/>
          <w:lang w:val="en-GB"/>
        </w:rPr>
        <w:t>The councillor from India welcomed the recommendation to grant a fee exemption to the Bay of Bengal Initiative for Multi-Sectoral Technical and Economic Cooperation (BIMSTEC).</w:t>
      </w:r>
    </w:p>
    <w:p w14:paraId="07B52215" w14:textId="334A154D" w:rsidR="00E65821" w:rsidRPr="009302C2" w:rsidRDefault="00676FA6" w:rsidP="00E65821">
      <w:pPr>
        <w:spacing w:line="259" w:lineRule="auto"/>
        <w:rPr>
          <w:rFonts w:eastAsia="Calibri" w:cs="Calibri"/>
          <w:lang w:val="en-GB"/>
        </w:rPr>
      </w:pPr>
      <w:r w:rsidRPr="009302C2">
        <w:rPr>
          <w:rFonts w:eastAsia="Calibri" w:cs="Calibri"/>
          <w:lang w:val="en-GB"/>
        </w:rPr>
        <w:t>15.3</w:t>
      </w:r>
      <w:r w:rsidRPr="009302C2">
        <w:rPr>
          <w:rFonts w:eastAsia="Calibri" w:cs="Calibri"/>
          <w:lang w:val="en-GB"/>
        </w:rPr>
        <w:tab/>
      </w:r>
      <w:r w:rsidR="00E65821" w:rsidRPr="009302C2">
        <w:rPr>
          <w:rFonts w:eastAsia="Calibri" w:cs="Calibri"/>
          <w:lang w:val="en-GB"/>
        </w:rPr>
        <w:t xml:space="preserve">Several councillors were of the view that the existing criteria for fee exemptions did not clearly define certain key concepts, leading to subjective and inconsistent application. The criteria were largely qualitative and lacked measurable indicators, transparency requirements, enforcement mechanisms or a system for monitoring or periodic review. It remained vital to maintain consistency, transparency and fairness in the application of the existing framework, particularly in light of the growing number of exempted entities and the associated financial implications. One councillor suggested that an independent review of the exempted entities be conducted. The secretariat was encouraged to provide guidance on alternative forms of engagement with ITU for organizations, particularly those with a development focus, that did not meet the exemption criteria, such as </w:t>
      </w:r>
      <w:proofErr w:type="spellStart"/>
      <w:r w:rsidR="00E65821" w:rsidRPr="009302C2">
        <w:rPr>
          <w:rFonts w:eastAsia="Calibri" w:cs="Calibri"/>
          <w:lang w:val="en-GB"/>
        </w:rPr>
        <w:t>Digihub</w:t>
      </w:r>
      <w:proofErr w:type="spellEnd"/>
      <w:r w:rsidR="00E65821" w:rsidRPr="009302C2">
        <w:rPr>
          <w:rFonts w:eastAsia="Calibri" w:cs="Calibri"/>
          <w:lang w:val="en-GB"/>
        </w:rPr>
        <w:t xml:space="preserve"> Africa.</w:t>
      </w:r>
    </w:p>
    <w:p w14:paraId="4AE945FC" w14:textId="62374288" w:rsidR="00E65821" w:rsidRPr="009302C2" w:rsidRDefault="00676FA6" w:rsidP="00E65821">
      <w:pPr>
        <w:spacing w:line="259" w:lineRule="auto"/>
        <w:rPr>
          <w:rFonts w:eastAsia="Calibri" w:cs="Calibri"/>
          <w:lang w:val="en-GB"/>
        </w:rPr>
      </w:pPr>
      <w:r w:rsidRPr="009302C2">
        <w:rPr>
          <w:rFonts w:eastAsia="Calibri" w:cs="Calibri"/>
          <w:lang w:val="en-GB"/>
        </w:rPr>
        <w:t>15.4</w:t>
      </w:r>
      <w:r w:rsidRPr="009302C2">
        <w:rPr>
          <w:rFonts w:eastAsia="Calibri" w:cs="Calibri"/>
          <w:lang w:val="en-GB"/>
        </w:rPr>
        <w:tab/>
      </w:r>
      <w:r w:rsidR="00E65821" w:rsidRPr="009302C2">
        <w:rPr>
          <w:rFonts w:eastAsia="Calibri" w:cs="Calibri"/>
          <w:lang w:val="en-GB"/>
        </w:rPr>
        <w:t>Responding to a question from councillor</w:t>
      </w:r>
      <w:r w:rsidR="00AE01C3">
        <w:rPr>
          <w:rFonts w:eastAsia="Calibri" w:cs="Calibri"/>
          <w:lang w:val="en-GB"/>
        </w:rPr>
        <w:t>s</w:t>
      </w:r>
      <w:r w:rsidR="00E65821" w:rsidRPr="009302C2">
        <w:rPr>
          <w:rFonts w:eastAsia="Calibri" w:cs="Calibri"/>
          <w:lang w:val="en-GB"/>
        </w:rPr>
        <w:t xml:space="preserve"> on</w:t>
      </w:r>
      <w:r w:rsidR="00301349">
        <w:rPr>
          <w:rFonts w:eastAsia="Calibri" w:cs="Calibri"/>
          <w:lang w:val="en-GB"/>
        </w:rPr>
        <w:t xml:space="preserve"> </w:t>
      </w:r>
      <w:r w:rsidR="00CC16FE">
        <w:rPr>
          <w:rFonts w:eastAsia="Calibri" w:cs="Calibri"/>
          <w:lang w:val="en-GB"/>
        </w:rPr>
        <w:t>exemption criteria</w:t>
      </w:r>
      <w:r w:rsidR="00B457AB">
        <w:rPr>
          <w:rFonts w:eastAsia="Calibri" w:cs="Calibri"/>
          <w:lang w:val="en-GB"/>
        </w:rPr>
        <w:t xml:space="preserve"> and reciprocity</w:t>
      </w:r>
      <w:r w:rsidR="00E65821" w:rsidRPr="009302C2">
        <w:rPr>
          <w:rFonts w:eastAsia="Calibri" w:cs="Calibri"/>
          <w:lang w:val="en-GB"/>
        </w:rPr>
        <w:t>, the representative of the General Secretariat said that exemption requests were analysed internally, with the Secretary-General’s recommendations to the Council based on that analysis and the advice of the Director of the relevant Bureau. Sectors and regional offices were also consulted.</w:t>
      </w:r>
    </w:p>
    <w:p w14:paraId="722EC3E3" w14:textId="400628A2" w:rsidR="00E65821" w:rsidRPr="009302C2" w:rsidRDefault="00676FA6" w:rsidP="00E65821">
      <w:pPr>
        <w:spacing w:line="259" w:lineRule="auto"/>
        <w:rPr>
          <w:rFonts w:eastAsia="Calibri" w:cs="Calibri"/>
          <w:lang w:val="en-GB"/>
        </w:rPr>
      </w:pPr>
      <w:r w:rsidRPr="009302C2">
        <w:rPr>
          <w:rFonts w:eastAsia="Calibri" w:cs="Calibri"/>
          <w:lang w:val="en-GB"/>
        </w:rPr>
        <w:t>15.5</w:t>
      </w:r>
      <w:r w:rsidRPr="009302C2">
        <w:rPr>
          <w:rFonts w:eastAsia="Calibri" w:cs="Calibri"/>
          <w:lang w:val="en-GB"/>
        </w:rPr>
        <w:tab/>
      </w:r>
      <w:r w:rsidR="00E65821" w:rsidRPr="009302C2">
        <w:rPr>
          <w:rFonts w:eastAsia="Calibri" w:cs="Calibri"/>
          <w:lang w:val="en-GB"/>
        </w:rPr>
        <w:t>She recalled that a review of the exemption criteria had already been conducted. Organizations that had been approved for exemptions prior to the approval of revised criteria at the 2017 session of the Council had been permitted by the Council to retain their exempt status. Additional information could be provided on the 145 exempted organizations and the financial value that they represented. The list of entities formally requesting exemptions for the period 2028-2031 would be submitted to the Council prior to the Plenipotentiary Conference (Doha, 2026) (PP-26), which would review the list and decide which entities would be exempted. Alternative means of participating in ITU activities, as well as paid membership, were open to organizations not granted exemptions.</w:t>
      </w:r>
    </w:p>
    <w:p w14:paraId="0AB3A1A1" w14:textId="0C917D5B" w:rsidR="00160B9E" w:rsidRPr="00605DF6" w:rsidRDefault="00676FA6" w:rsidP="001023B5">
      <w:pPr>
        <w:spacing w:line="259" w:lineRule="auto"/>
        <w:rPr>
          <w:rFonts w:eastAsia="Calibri" w:cs="Calibri"/>
          <w:lang w:val="en-GB"/>
        </w:rPr>
      </w:pPr>
      <w:r w:rsidRPr="009302C2">
        <w:rPr>
          <w:rFonts w:eastAsia="Calibri" w:cs="Calibri"/>
          <w:lang w:val="en-GB"/>
        </w:rPr>
        <w:t>15.6</w:t>
      </w:r>
      <w:r w:rsidRPr="009302C2">
        <w:rPr>
          <w:rFonts w:eastAsia="Calibri" w:cs="Calibri"/>
          <w:lang w:val="en-GB"/>
        </w:rPr>
        <w:tab/>
      </w:r>
      <w:r w:rsidR="00E65821" w:rsidRPr="009302C2">
        <w:rPr>
          <w:rFonts w:eastAsia="Calibri" w:cs="Calibri"/>
          <w:lang w:val="en-GB"/>
        </w:rPr>
        <w:t xml:space="preserve">Regarding reciprocity, she said that the main benefits of Sector membership were participation in study groups and access to documents, and ITU expected to receive </w:t>
      </w:r>
      <w:r w:rsidR="00551CC6">
        <w:rPr>
          <w:rFonts w:eastAsia="Calibri" w:cs="Calibri"/>
          <w:lang w:val="en-GB"/>
        </w:rPr>
        <w:t>a</w:t>
      </w:r>
      <w:r w:rsidR="00E65821" w:rsidRPr="009302C2">
        <w:rPr>
          <w:rFonts w:eastAsia="Calibri" w:cs="Calibri"/>
          <w:lang w:val="en-GB"/>
        </w:rPr>
        <w:t xml:space="preserve"> similar</w:t>
      </w:r>
      <w:r w:rsidR="00551CC6">
        <w:rPr>
          <w:rFonts w:eastAsia="Calibri" w:cs="Calibri"/>
          <w:lang w:val="en-GB"/>
        </w:rPr>
        <w:t xml:space="preserve"> level of</w:t>
      </w:r>
      <w:r w:rsidR="00E65821" w:rsidRPr="009302C2">
        <w:rPr>
          <w:rFonts w:eastAsia="Calibri" w:cs="Calibri"/>
          <w:lang w:val="en-GB"/>
        </w:rPr>
        <w:t xml:space="preserve"> benefit from the organizations granted exemptions.</w:t>
      </w:r>
    </w:p>
    <w:p w14:paraId="284C41FB" w14:textId="7FB34260" w:rsidR="00160B9E" w:rsidRPr="00EA5615" w:rsidRDefault="00160B9E" w:rsidP="00160B9E">
      <w:pPr>
        <w:spacing w:line="259" w:lineRule="auto"/>
        <w:rPr>
          <w:rFonts w:eastAsia="Calibri" w:cs="Calibri"/>
          <w:szCs w:val="24"/>
          <w:lang w:val="en-GB"/>
        </w:rPr>
      </w:pPr>
      <w:r w:rsidRPr="00EA5615">
        <w:rPr>
          <w:rFonts w:eastAsia="Calibri" w:cs="Calibri"/>
          <w:szCs w:val="24"/>
          <w:lang w:val="en-GB"/>
        </w:rPr>
        <w:t>1</w:t>
      </w:r>
      <w:r w:rsidR="00375AC6">
        <w:rPr>
          <w:rFonts w:eastAsia="Calibri" w:cs="Calibri"/>
          <w:szCs w:val="24"/>
          <w:lang w:val="en-GB"/>
        </w:rPr>
        <w:t>5</w:t>
      </w:r>
      <w:r w:rsidRPr="00EA5615">
        <w:rPr>
          <w:rFonts w:eastAsia="Calibri" w:cs="Calibri"/>
          <w:szCs w:val="24"/>
          <w:lang w:val="en-GB"/>
        </w:rPr>
        <w:t>.</w:t>
      </w:r>
      <w:r w:rsidR="00676FA6" w:rsidRPr="009302C2">
        <w:rPr>
          <w:rFonts w:eastAsia="Calibri" w:cs="Calibri"/>
          <w:szCs w:val="24"/>
          <w:lang w:val="en-GB"/>
        </w:rPr>
        <w:t>7</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5DF420A3" w14:textId="4482B93E" w:rsidR="006C6F95" w:rsidRDefault="00160B9E" w:rsidP="00160B9E">
      <w:pPr>
        <w:pBdr>
          <w:top w:val="single" w:sz="4" w:space="4" w:color="000000"/>
          <w:left w:val="single" w:sz="4" w:space="4" w:color="000000"/>
          <w:bottom w:val="single" w:sz="4" w:space="4" w:color="000000"/>
          <w:right w:val="single" w:sz="4" w:space="4" w:color="000000"/>
        </w:pBdr>
        <w:spacing w:line="259" w:lineRule="auto"/>
        <w:rPr>
          <w:lang w:val="en-GB"/>
        </w:rPr>
      </w:pPr>
      <w:r w:rsidRPr="009302C2">
        <w:rPr>
          <w:rFonts w:eastAsia="Calibri" w:cs="Calibri"/>
          <w:szCs w:val="24"/>
          <w:lang w:val="en-GB"/>
        </w:rPr>
        <w:t>1</w:t>
      </w:r>
      <w:r w:rsidR="00375AC6" w:rsidRPr="009302C2">
        <w:rPr>
          <w:rFonts w:eastAsia="Calibri" w:cs="Calibri"/>
          <w:szCs w:val="24"/>
          <w:lang w:val="en-GB"/>
        </w:rPr>
        <w:t>5</w:t>
      </w:r>
      <w:r w:rsidRPr="009302C2">
        <w:rPr>
          <w:rFonts w:eastAsia="Calibri" w:cs="Calibri"/>
          <w:szCs w:val="24"/>
          <w:lang w:val="en-GB"/>
        </w:rPr>
        <w:t>.</w:t>
      </w:r>
      <w:r w:rsidR="00676FA6" w:rsidRPr="009302C2">
        <w:rPr>
          <w:rFonts w:eastAsia="Calibri" w:cs="Calibri"/>
          <w:szCs w:val="24"/>
          <w:lang w:val="en-GB"/>
        </w:rPr>
        <w:t>8</w:t>
      </w:r>
      <w:r w:rsidRPr="009302C2">
        <w:rPr>
          <w:lang w:val="en-GB"/>
        </w:rPr>
        <w:tab/>
        <w:t>The committee recommends that the Council</w:t>
      </w:r>
      <w:r w:rsidR="007519C2" w:rsidRPr="009302C2">
        <w:rPr>
          <w:lang w:val="en-GB"/>
        </w:rPr>
        <w:t>:</w:t>
      </w:r>
    </w:p>
    <w:p w14:paraId="108BFF45" w14:textId="30589A6F" w:rsidR="00160B9E" w:rsidRDefault="007519C2"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302C2">
        <w:rPr>
          <w:lang w:val="en-GB"/>
        </w:rPr>
        <w:t>•</w:t>
      </w:r>
      <w:r w:rsidRPr="009302C2">
        <w:rPr>
          <w:lang w:val="en-GB"/>
        </w:rPr>
        <w:tab/>
      </w:r>
      <w:r w:rsidR="00554991" w:rsidRPr="00605DF6">
        <w:rPr>
          <w:lang w:val="en-GB"/>
        </w:rPr>
        <w:t>endorse the recommendations from the Secretary-General on requests for exemption from Sector Member fees, as set out in Document</w:t>
      </w:r>
      <w:r w:rsidR="00554991" w:rsidRPr="009302C2">
        <w:rPr>
          <w:lang w:val="en-GB"/>
        </w:rPr>
        <w:t xml:space="preserve"> </w:t>
      </w:r>
      <w:hyperlink r:id="rId51" w:history="1">
        <w:r w:rsidR="00554991" w:rsidRPr="00E40CCA">
          <w:rPr>
            <w:rStyle w:val="Hyperlink"/>
            <w:rFonts w:cs="Times New Roman"/>
            <w:szCs w:val="20"/>
            <w:lang w:val="en-GB"/>
          </w:rPr>
          <w:t>C26/56</w:t>
        </w:r>
      </w:hyperlink>
      <w:r w:rsidR="006279CE">
        <w:rPr>
          <w:lang w:val="en-GB"/>
        </w:rPr>
        <w:t>; and</w:t>
      </w:r>
    </w:p>
    <w:p w14:paraId="1811CEF9" w14:textId="7ED5301B" w:rsidR="006279CE" w:rsidRPr="00EA5615" w:rsidRDefault="006279CE"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302C2">
        <w:rPr>
          <w:lang w:val="en-GB"/>
        </w:rPr>
        <w:t>•</w:t>
      </w:r>
      <w:r w:rsidRPr="009302C2">
        <w:rPr>
          <w:lang w:val="en-GB"/>
        </w:rPr>
        <w:tab/>
      </w:r>
      <w:r>
        <w:rPr>
          <w:lang w:val="en-GB"/>
        </w:rPr>
        <w:t xml:space="preserve">instruct the secretariat to provide further </w:t>
      </w:r>
      <w:r w:rsidR="00DF6D21">
        <w:rPr>
          <w:lang w:val="en-GB"/>
        </w:rPr>
        <w:t>clarity</w:t>
      </w:r>
      <w:r>
        <w:rPr>
          <w:lang w:val="en-GB"/>
        </w:rPr>
        <w:t xml:space="preserve"> on the applicable criteria and procedures established by the Council, specifically the </w:t>
      </w:r>
      <w:r w:rsidR="00DF6D21">
        <w:rPr>
          <w:lang w:val="en-GB"/>
        </w:rPr>
        <w:t>conditions that need to be met by the applicant for the Union to grant exemptions to organizations whose members are not-for-profit entities</w:t>
      </w:r>
      <w:r>
        <w:rPr>
          <w:lang w:val="en-GB"/>
        </w:rPr>
        <w:t>.</w:t>
      </w:r>
    </w:p>
    <w:p w14:paraId="3AE382A8" w14:textId="74FD7CEE" w:rsidR="00C4791B" w:rsidRPr="00EA5615" w:rsidRDefault="006354CC" w:rsidP="00C4791B">
      <w:pPr>
        <w:pStyle w:val="Heading1"/>
        <w:rPr>
          <w:szCs w:val="22"/>
          <w:lang w:val="en-GB"/>
        </w:rPr>
      </w:pPr>
      <w:r w:rsidRPr="00EA5615">
        <w:rPr>
          <w:lang w:val="en-GB"/>
        </w:rPr>
        <w:t>1</w:t>
      </w:r>
      <w:r w:rsidR="00375AC6">
        <w:rPr>
          <w:lang w:val="en-GB"/>
        </w:rPr>
        <w:t>6</w:t>
      </w:r>
      <w:r w:rsidR="00C4791B" w:rsidRPr="00EA5615">
        <w:rPr>
          <w:lang w:val="en-GB"/>
        </w:rPr>
        <w:tab/>
        <w:t xml:space="preserve">Provisional participation of entities dealing with telecommunication matters in the activities of ITU (Document </w:t>
      </w:r>
      <w:hyperlink r:id="rId52" w:history="1">
        <w:r w:rsidR="00C4791B" w:rsidRPr="00EA5615">
          <w:rPr>
            <w:rStyle w:val="Hyperlink"/>
            <w:bCs/>
            <w:lang w:val="en-GB"/>
          </w:rPr>
          <w:t>C26/</w:t>
        </w:r>
        <w:r w:rsidR="00C4791B" w:rsidRPr="00EA5615">
          <w:rPr>
            <w:rStyle w:val="Hyperlink"/>
            <w:lang w:val="en-GB"/>
          </w:rPr>
          <w:t>20</w:t>
        </w:r>
      </w:hyperlink>
      <w:r w:rsidR="00C4791B" w:rsidRPr="00EA5615">
        <w:rPr>
          <w:lang w:val="en-GB"/>
        </w:rPr>
        <w:t>)</w:t>
      </w:r>
    </w:p>
    <w:p w14:paraId="451836C1" w14:textId="55C39A8F" w:rsidR="00C4791B" w:rsidRPr="00FF71BE" w:rsidRDefault="00C4791B" w:rsidP="00C4791B">
      <w:pPr>
        <w:spacing w:line="259" w:lineRule="auto"/>
        <w:rPr>
          <w:rFonts w:eastAsia="Calibri" w:cs="Calibri"/>
          <w:lang w:val="en-GB"/>
        </w:rPr>
      </w:pPr>
      <w:r w:rsidRPr="00FF71BE">
        <w:rPr>
          <w:rFonts w:eastAsia="Calibri" w:cs="Calibri"/>
          <w:lang w:val="en-GB"/>
        </w:rPr>
        <w:t>1</w:t>
      </w:r>
      <w:r w:rsidR="00375AC6" w:rsidRPr="00FF71BE">
        <w:rPr>
          <w:rFonts w:eastAsia="Calibri" w:cs="Calibri"/>
          <w:lang w:val="en-GB"/>
        </w:rPr>
        <w:t>6</w:t>
      </w:r>
      <w:r w:rsidRPr="00FF71BE">
        <w:rPr>
          <w:rFonts w:eastAsia="Calibri" w:cs="Calibri"/>
          <w:lang w:val="en-GB"/>
        </w:rPr>
        <w:t>.1</w:t>
      </w:r>
      <w:r w:rsidRPr="00FF71BE">
        <w:rPr>
          <w:lang w:val="en-GB"/>
        </w:rPr>
        <w:tab/>
      </w:r>
      <w:r w:rsidR="00A67903" w:rsidRPr="00FF71BE">
        <w:rPr>
          <w:lang w:val="en-GB"/>
        </w:rPr>
        <w:t>A representative of the General Secretariat introduced Document C26/20, which reported on the action taken by the Secretary-General regarding the admission of entities dealing with telecommunication matters (No. 230 of the ITU Convention) in the activities of the ITU Sectors as Sector Members or as Associates. Each entity had been approved by their respective Member States and provisionally included in the list of members, pending Council confirmation.</w:t>
      </w:r>
    </w:p>
    <w:p w14:paraId="4CF96E24" w14:textId="4C0D4DCB" w:rsidR="00C4791B" w:rsidRPr="00EA5615" w:rsidRDefault="00C4791B" w:rsidP="00C4791B">
      <w:pPr>
        <w:spacing w:line="259" w:lineRule="auto"/>
        <w:rPr>
          <w:rFonts w:eastAsia="Calibri" w:cs="Calibri"/>
          <w:szCs w:val="24"/>
          <w:lang w:val="en-GB"/>
        </w:rPr>
      </w:pPr>
      <w:r w:rsidRPr="00EA5615">
        <w:rPr>
          <w:rFonts w:eastAsia="Calibri" w:cs="Calibri"/>
          <w:szCs w:val="24"/>
          <w:lang w:val="en-GB"/>
        </w:rPr>
        <w:t>1</w:t>
      </w:r>
      <w:r w:rsidR="00375AC6">
        <w:rPr>
          <w:rFonts w:eastAsia="Calibri" w:cs="Calibri"/>
          <w:szCs w:val="24"/>
          <w:lang w:val="en-GB"/>
        </w:rPr>
        <w:t>6</w:t>
      </w:r>
      <w:r w:rsidRPr="00EA5615">
        <w:rPr>
          <w:rFonts w:eastAsia="Calibri" w:cs="Calibri"/>
          <w:szCs w:val="24"/>
          <w:lang w:val="en-GB"/>
        </w:rPr>
        <w:t>.</w:t>
      </w:r>
      <w:r w:rsidR="00411517" w:rsidRPr="00FF71BE">
        <w:rPr>
          <w:rFonts w:eastAsia="Calibri" w:cs="Calibri"/>
          <w:szCs w:val="24"/>
          <w:lang w:val="en-GB"/>
        </w:rPr>
        <w:t>2</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552F1905" w14:textId="6609474E" w:rsidR="00773CA8" w:rsidRDefault="00C4791B" w:rsidP="00C4791B">
      <w:pPr>
        <w:pBdr>
          <w:top w:val="single" w:sz="4" w:space="4" w:color="000000"/>
          <w:left w:val="single" w:sz="4" w:space="4" w:color="000000"/>
          <w:bottom w:val="single" w:sz="4" w:space="4" w:color="000000"/>
          <w:right w:val="single" w:sz="4" w:space="4" w:color="000000"/>
        </w:pBdr>
        <w:spacing w:line="259" w:lineRule="auto"/>
        <w:rPr>
          <w:lang w:val="en-GB"/>
        </w:rPr>
      </w:pPr>
      <w:r w:rsidRPr="00FF71BE">
        <w:rPr>
          <w:rFonts w:eastAsia="Calibri" w:cs="Calibri"/>
          <w:szCs w:val="24"/>
          <w:lang w:val="en-GB"/>
        </w:rPr>
        <w:t>1</w:t>
      </w:r>
      <w:r w:rsidR="00375AC6" w:rsidRPr="00FF71BE">
        <w:rPr>
          <w:rFonts w:eastAsia="Calibri" w:cs="Calibri"/>
          <w:szCs w:val="24"/>
          <w:lang w:val="en-GB"/>
        </w:rPr>
        <w:t>6</w:t>
      </w:r>
      <w:r w:rsidRPr="00FF71BE">
        <w:rPr>
          <w:rFonts w:eastAsia="Calibri" w:cs="Calibri"/>
          <w:szCs w:val="24"/>
          <w:lang w:val="en-GB"/>
        </w:rPr>
        <w:t>.</w:t>
      </w:r>
      <w:r w:rsidR="00411517" w:rsidRPr="00FF71BE">
        <w:rPr>
          <w:rFonts w:eastAsia="Calibri" w:cs="Calibri"/>
          <w:szCs w:val="24"/>
          <w:lang w:val="en-GB"/>
        </w:rPr>
        <w:t>3</w:t>
      </w:r>
      <w:r w:rsidRPr="00FF71BE">
        <w:rPr>
          <w:lang w:val="en-GB"/>
        </w:rPr>
        <w:tab/>
        <w:t>The committee recommends that the Council</w:t>
      </w:r>
      <w:r w:rsidR="00913373" w:rsidRPr="00FF71BE">
        <w:rPr>
          <w:lang w:val="en-GB"/>
        </w:rPr>
        <w:t>:</w:t>
      </w:r>
    </w:p>
    <w:p w14:paraId="180347BA" w14:textId="0D0155A1" w:rsidR="00C4791B" w:rsidRPr="00EA5615" w:rsidRDefault="00913373"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FF71BE">
        <w:rPr>
          <w:lang w:val="en-GB"/>
        </w:rPr>
        <w:t>•</w:t>
      </w:r>
      <w:r w:rsidRPr="00FF71BE">
        <w:rPr>
          <w:lang w:val="en-GB"/>
        </w:rPr>
        <w:tab/>
      </w:r>
      <w:r w:rsidR="00251277" w:rsidRPr="00FF71BE">
        <w:rPr>
          <w:lang w:val="en-GB"/>
        </w:rPr>
        <w:t xml:space="preserve">confirm the action taken by the Secretary-General regarding the admission of entities dealing with telecommunication matters, listed in annex to Document </w:t>
      </w:r>
      <w:hyperlink r:id="rId53" w:history="1">
        <w:r w:rsidR="00251277" w:rsidRPr="00773CA8">
          <w:rPr>
            <w:rStyle w:val="Hyperlink"/>
            <w:rFonts w:cs="Times New Roman"/>
            <w:szCs w:val="20"/>
            <w:lang w:val="en-GB"/>
          </w:rPr>
          <w:t>C26/20</w:t>
        </w:r>
      </w:hyperlink>
      <w:r w:rsidR="00251277" w:rsidRPr="00FF71BE">
        <w:rPr>
          <w:lang w:val="en-GB"/>
        </w:rPr>
        <w:t>.</w:t>
      </w:r>
    </w:p>
    <w:p w14:paraId="15F46199" w14:textId="320FBC75" w:rsidR="00333AE2" w:rsidRPr="00EA5615" w:rsidRDefault="00333AE2" w:rsidP="00333AE2">
      <w:pPr>
        <w:pStyle w:val="Heading1"/>
        <w:rPr>
          <w:lang w:val="en-GB"/>
        </w:rPr>
      </w:pPr>
      <w:r w:rsidRPr="00EA5615">
        <w:rPr>
          <w:lang w:val="en-GB"/>
        </w:rPr>
        <w:t>1</w:t>
      </w:r>
      <w:r w:rsidR="00375AC6">
        <w:rPr>
          <w:lang w:val="en-GB"/>
        </w:rPr>
        <w:t>7</w:t>
      </w:r>
      <w:r w:rsidRPr="00EA5615">
        <w:rPr>
          <w:lang w:val="en-GB"/>
        </w:rPr>
        <w:tab/>
        <w:t xml:space="preserve">Cost Recovery for the processing of satellite network filings </w:t>
      </w:r>
      <w:r w:rsidR="00DB23C0">
        <w:rPr>
          <w:lang w:val="en-GB"/>
        </w:rPr>
        <w:br/>
      </w:r>
      <w:r w:rsidRPr="00EA5615">
        <w:rPr>
          <w:lang w:val="en-GB"/>
        </w:rPr>
        <w:t xml:space="preserve">(Document </w:t>
      </w:r>
      <w:hyperlink r:id="rId54" w:history="1">
        <w:r w:rsidRPr="00EA5615">
          <w:rPr>
            <w:rStyle w:val="Hyperlink"/>
            <w:bCs/>
            <w:lang w:val="en-GB"/>
          </w:rPr>
          <w:t>C26/</w:t>
        </w:r>
        <w:r w:rsidRPr="00EA5615">
          <w:rPr>
            <w:rStyle w:val="Hyperlink"/>
            <w:lang w:val="en-GB"/>
          </w:rPr>
          <w:t>16</w:t>
        </w:r>
      </w:hyperlink>
      <w:r w:rsidRPr="00EA5615">
        <w:rPr>
          <w:lang w:val="en-GB"/>
        </w:rPr>
        <w:t>)</w:t>
      </w:r>
    </w:p>
    <w:p w14:paraId="5EE961B3" w14:textId="1C118380" w:rsidR="00916C0B" w:rsidRPr="00EA5615" w:rsidRDefault="00916C0B" w:rsidP="00916C0B">
      <w:pPr>
        <w:pStyle w:val="Headingb"/>
        <w:ind w:left="540"/>
        <w:rPr>
          <w:sz w:val="28"/>
          <w:szCs w:val="28"/>
          <w:lang w:val="en-GB"/>
        </w:rPr>
      </w:pPr>
      <w:r w:rsidRPr="00EA5615">
        <w:rPr>
          <w:sz w:val="28"/>
          <w:szCs w:val="28"/>
          <w:lang w:val="en-GB"/>
        </w:rPr>
        <w:t xml:space="preserve">Note on resource allocation for the constitutional activities of the Radiocommunication Bureau, including the processing of space notices (Document </w:t>
      </w:r>
      <w:hyperlink r:id="rId55" w:history="1">
        <w:r w:rsidRPr="00EA5615">
          <w:rPr>
            <w:rStyle w:val="Hyperlink"/>
            <w:sz w:val="28"/>
            <w:szCs w:val="28"/>
            <w:lang w:val="en-GB"/>
          </w:rPr>
          <w:t>C26/107</w:t>
        </w:r>
      </w:hyperlink>
      <w:r w:rsidRPr="00EA5615">
        <w:rPr>
          <w:sz w:val="28"/>
          <w:szCs w:val="28"/>
          <w:lang w:val="en-GB"/>
        </w:rPr>
        <w:t>)</w:t>
      </w:r>
    </w:p>
    <w:p w14:paraId="7FB86556" w14:textId="642F4991" w:rsidR="00916C0B" w:rsidRPr="00EA5615" w:rsidRDefault="00916C0B" w:rsidP="00916C0B">
      <w:pPr>
        <w:pStyle w:val="Headingb"/>
        <w:ind w:left="540"/>
        <w:rPr>
          <w:sz w:val="28"/>
          <w:szCs w:val="28"/>
          <w:lang w:val="en-GB"/>
        </w:rPr>
      </w:pPr>
      <w:r w:rsidRPr="00EA5615">
        <w:rPr>
          <w:sz w:val="28"/>
          <w:szCs w:val="28"/>
          <w:lang w:val="en-GB"/>
        </w:rPr>
        <w:t xml:space="preserve">Proposal for the reduction of the backlog in the processing of satellite network and system filings in the ITU Space Services Department (Document </w:t>
      </w:r>
      <w:hyperlink r:id="rId56" w:history="1">
        <w:r w:rsidRPr="00EA5615">
          <w:rPr>
            <w:rStyle w:val="Hyperlink"/>
            <w:sz w:val="28"/>
            <w:szCs w:val="28"/>
            <w:lang w:val="en-GB"/>
          </w:rPr>
          <w:t>C26/75</w:t>
        </w:r>
      </w:hyperlink>
      <w:r w:rsidRPr="00EA5615">
        <w:rPr>
          <w:sz w:val="28"/>
          <w:szCs w:val="28"/>
          <w:lang w:val="en-GB"/>
        </w:rPr>
        <w:t>)</w:t>
      </w:r>
    </w:p>
    <w:p w14:paraId="6CF266CD" w14:textId="073EB03F" w:rsidR="003777B4" w:rsidRPr="00EA5615" w:rsidRDefault="003777B4" w:rsidP="003777B4">
      <w:pPr>
        <w:rPr>
          <w:rFonts w:cs="Calibri"/>
          <w:color w:val="000000" w:themeColor="text1"/>
          <w:lang w:val="en-GB"/>
        </w:rPr>
      </w:pPr>
      <w:r w:rsidRPr="00EA5615">
        <w:rPr>
          <w:rFonts w:cs="Calibri"/>
          <w:color w:val="000000" w:themeColor="text1"/>
          <w:lang w:val="en-GB"/>
        </w:rPr>
        <w:t>1</w:t>
      </w:r>
      <w:r w:rsidR="00375AC6">
        <w:rPr>
          <w:rFonts w:cs="Calibri"/>
          <w:color w:val="000000" w:themeColor="text1"/>
          <w:lang w:val="en-GB"/>
        </w:rPr>
        <w:t>7</w:t>
      </w:r>
      <w:r w:rsidRPr="00EA5615">
        <w:rPr>
          <w:rFonts w:cs="Calibri"/>
          <w:color w:val="000000" w:themeColor="text1"/>
          <w:lang w:val="en-GB"/>
        </w:rPr>
        <w:t>.1</w:t>
      </w:r>
      <w:r w:rsidRPr="00EA5615">
        <w:rPr>
          <w:rFonts w:cs="Calibri"/>
          <w:color w:val="000000" w:themeColor="text1"/>
          <w:lang w:val="en-GB"/>
        </w:rPr>
        <w:tab/>
        <w:t>The Chief</w:t>
      </w:r>
      <w:r w:rsidR="00CC5A20" w:rsidRPr="00EA5615">
        <w:rPr>
          <w:rFonts w:cs="Calibri"/>
          <w:color w:val="000000" w:themeColor="text1"/>
          <w:lang w:val="en-GB"/>
        </w:rPr>
        <w:t xml:space="preserve"> of the</w:t>
      </w:r>
      <w:r w:rsidRPr="00EA5615">
        <w:rPr>
          <w:rFonts w:cs="Calibri"/>
          <w:color w:val="000000" w:themeColor="text1"/>
          <w:lang w:val="en-GB"/>
        </w:rPr>
        <w:t xml:space="preserve"> Space Services Department (SSD) introduced Document C26/16, containing the annual report on cost recovery for the processing of satellite network filings, drawing attention to th</w:t>
      </w:r>
      <w:r w:rsidRPr="00EA5615">
        <w:rPr>
          <w:spacing w:val="-2"/>
          <w:lang w:val="en-GB"/>
        </w:rPr>
        <w:t>e difference between the budgeted amounts for cost recovery and the actual invoiced amounts, which stemmed from a shift in balance between submissions of geostationary satellite</w:t>
      </w:r>
      <w:r w:rsidR="0045689E" w:rsidRPr="00EA5615">
        <w:rPr>
          <w:spacing w:val="-2"/>
          <w:lang w:val="en-GB"/>
        </w:rPr>
        <w:t xml:space="preserve"> (GSO)</w:t>
      </w:r>
      <w:r w:rsidRPr="00EA5615">
        <w:rPr>
          <w:spacing w:val="-2"/>
          <w:lang w:val="en-GB"/>
        </w:rPr>
        <w:t xml:space="preserve"> </w:t>
      </w:r>
      <w:r w:rsidRPr="00EA5615">
        <w:rPr>
          <w:rFonts w:eastAsia="SimSun"/>
          <w:spacing w:val="-2"/>
          <w:lang w:val="en-GB"/>
        </w:rPr>
        <w:t>networks</w:t>
      </w:r>
      <w:r w:rsidRPr="00EA5615">
        <w:rPr>
          <w:spacing w:val="-2"/>
          <w:lang w:val="en-GB"/>
        </w:rPr>
        <w:t xml:space="preserve"> and non-geostationary satellite</w:t>
      </w:r>
      <w:r w:rsidR="0045689E" w:rsidRPr="00EA5615">
        <w:rPr>
          <w:spacing w:val="-2"/>
          <w:lang w:val="en-GB"/>
        </w:rPr>
        <w:t xml:space="preserve"> (non-GSO)</w:t>
      </w:r>
      <w:r w:rsidRPr="00EA5615">
        <w:rPr>
          <w:spacing w:val="-2"/>
          <w:lang w:val="en-GB"/>
        </w:rPr>
        <w:t xml:space="preserve"> systems</w:t>
      </w:r>
      <w:r w:rsidR="0022782C" w:rsidRPr="00EA5615">
        <w:rPr>
          <w:spacing w:val="-2"/>
          <w:lang w:val="en-GB"/>
        </w:rPr>
        <w:t>, with the former generally subject to higher fees</w:t>
      </w:r>
      <w:r w:rsidRPr="00EA5615">
        <w:rPr>
          <w:spacing w:val="-2"/>
          <w:lang w:val="en-GB"/>
        </w:rPr>
        <w:t>.</w:t>
      </w:r>
      <w:r w:rsidR="0022782C" w:rsidRPr="00EA5615">
        <w:rPr>
          <w:spacing w:val="-2"/>
          <w:lang w:val="en-GB"/>
        </w:rPr>
        <w:t xml:space="preserve"> Decision 482 (C01, last amended C25) would address that, but its effect would only be seen from 2026. In addition,</w:t>
      </w:r>
      <w:r w:rsidRPr="00EA5615">
        <w:rPr>
          <w:spacing w:val="-2"/>
          <w:lang w:val="en-GB"/>
        </w:rPr>
        <w:t xml:space="preserve"> </w:t>
      </w:r>
      <w:r w:rsidR="0022782C" w:rsidRPr="00EA5615">
        <w:rPr>
          <w:spacing w:val="-2"/>
          <w:lang w:val="en-GB"/>
        </w:rPr>
        <w:t>p</w:t>
      </w:r>
      <w:r w:rsidRPr="00EA5615">
        <w:rPr>
          <w:spacing w:val="-2"/>
          <w:lang w:val="en-GB"/>
        </w:rPr>
        <w:t xml:space="preserve">ursuant to the auditing rules, </w:t>
      </w:r>
      <w:r w:rsidRPr="00EA5615">
        <w:rPr>
          <w:lang w:val="en-GB"/>
        </w:rPr>
        <w:t>payments of invoices related to satellite cost recovery were included in the accounted revenues only after the publication of the corresponding special sections</w:t>
      </w:r>
      <w:r w:rsidR="0022782C" w:rsidRPr="00EA5615">
        <w:rPr>
          <w:lang w:val="en-GB"/>
        </w:rPr>
        <w:t>, which was held up by a backlog in the processing of satellite network filings</w:t>
      </w:r>
      <w:r w:rsidRPr="00EA5615">
        <w:rPr>
          <w:lang w:val="en-GB"/>
        </w:rPr>
        <w:t>. BR did not have the necessary resources to clear the backlog and thereby reduce the amount of deferred revenues</w:t>
      </w:r>
      <w:r w:rsidR="0022782C" w:rsidRPr="00EA5615">
        <w:rPr>
          <w:lang w:val="en-GB"/>
        </w:rPr>
        <w:t>, which had amounted to CHF 4 237 520 at the end of 2025</w:t>
      </w:r>
      <w:r w:rsidRPr="00EA5615">
        <w:rPr>
          <w:lang w:val="en-GB"/>
        </w:rPr>
        <w:t xml:space="preserve">. </w:t>
      </w:r>
      <w:r w:rsidR="00A53F29">
        <w:rPr>
          <w:lang w:val="en-GB"/>
        </w:rPr>
        <w:t>Finally, t</w:t>
      </w:r>
      <w:r w:rsidR="00A53F29" w:rsidRPr="00EA5615">
        <w:rPr>
          <w:lang w:val="en-GB"/>
        </w:rPr>
        <w:t>he</w:t>
      </w:r>
      <w:r w:rsidRPr="00EA5615">
        <w:rPr>
          <w:lang w:val="en-GB"/>
        </w:rPr>
        <w:t xml:space="preserve"> implementation of Resolutions 35 (Rev.WRC-23) and 8 (WRC-23) required the examination of the deployment characteristics of each satellite in a constellation, which was manageable when systems only include a small number of satellites, but became problematic when the number of satellites increased. Council might therefore wish to task CWG-FHR with conducting a thorough cost assessment of the work implied by Resolutions 35 (Rev.WRC-23) and 8 (WRC-23).</w:t>
      </w:r>
    </w:p>
    <w:p w14:paraId="493BB3B5" w14:textId="53C03AB1" w:rsidR="00916C0B" w:rsidRPr="00EA5615" w:rsidRDefault="00916C0B" w:rsidP="00916C0B">
      <w:pPr>
        <w:rPr>
          <w:lang w:val="en-GB"/>
        </w:rPr>
      </w:pPr>
      <w:r w:rsidRPr="00EA5615">
        <w:rPr>
          <w:lang w:val="en-GB"/>
        </w:rPr>
        <w:t>1</w:t>
      </w:r>
      <w:r w:rsidR="00375AC6">
        <w:rPr>
          <w:lang w:val="en-GB"/>
        </w:rPr>
        <w:t>7</w:t>
      </w:r>
      <w:r w:rsidRPr="00EA5615">
        <w:rPr>
          <w:lang w:val="en-GB"/>
        </w:rPr>
        <w:t>.</w:t>
      </w:r>
      <w:r w:rsidR="00190E6B" w:rsidRPr="00EA5615">
        <w:rPr>
          <w:lang w:val="en-GB"/>
        </w:rPr>
        <w:t>2</w:t>
      </w:r>
      <w:r w:rsidRPr="00EA5615">
        <w:rPr>
          <w:lang w:val="en-GB"/>
        </w:rPr>
        <w:tab/>
        <w:t>The Vice-Chair of RAG introduced Document C26/107, containing a note from RAG on resource allocation for the constitutional activities of BR, including the processing of space notices. RAG recognized the difficulties that the Bureau had been facing in processing satellite network filings, which had led to delays in the processing of space notices resulting in backlogs three times beyond the four-month statutory deadline set out in No. 9.38 of the Radio Regulations. RAG also recognized that the challenges facing the Bureau extended beyond the processing of space notices. While cognizant of the budgetary constraints currently facing the Union, RAG emphasized the need for BR to have adequate resources to fulfil its constitutional mandate and invited the Council to take the necessary action to address the situation and enable BR to carry out its duties effectively and in accordance with the relevant regulatory framework.</w:t>
      </w:r>
    </w:p>
    <w:p w14:paraId="6452561E" w14:textId="433BC027" w:rsidR="00916C0B" w:rsidRPr="00EA5615" w:rsidRDefault="00916C0B" w:rsidP="00735484">
      <w:pPr>
        <w:rPr>
          <w:lang w:val="en-GB"/>
        </w:rPr>
      </w:pPr>
      <w:r w:rsidRPr="00EA5615">
        <w:rPr>
          <w:rFonts w:cs="Calibri"/>
          <w:color w:val="000000" w:themeColor="text1"/>
          <w:lang w:val="en-GB"/>
        </w:rPr>
        <w:t>1</w:t>
      </w:r>
      <w:r w:rsidR="00375AC6">
        <w:rPr>
          <w:rFonts w:cs="Calibri"/>
          <w:color w:val="000000" w:themeColor="text1"/>
          <w:lang w:val="en-GB"/>
        </w:rPr>
        <w:t>7</w:t>
      </w:r>
      <w:r w:rsidRPr="00EA5615">
        <w:rPr>
          <w:rFonts w:cs="Calibri"/>
          <w:color w:val="000000" w:themeColor="text1"/>
          <w:lang w:val="en-GB"/>
        </w:rPr>
        <w:t>.</w:t>
      </w:r>
      <w:r w:rsidR="00190E6B" w:rsidRPr="00EA5615">
        <w:rPr>
          <w:rFonts w:cs="Calibri"/>
          <w:color w:val="000000" w:themeColor="text1"/>
          <w:lang w:val="en-GB"/>
        </w:rPr>
        <w:t>3</w:t>
      </w:r>
      <w:r w:rsidRPr="00EA5615">
        <w:rPr>
          <w:lang w:val="en-GB"/>
        </w:rPr>
        <w:tab/>
      </w:r>
      <w:r w:rsidRPr="00EA5615">
        <w:rPr>
          <w:rFonts w:cs="Calibri"/>
          <w:color w:val="000000" w:themeColor="text1"/>
          <w:lang w:val="en-GB"/>
        </w:rPr>
        <w:t xml:space="preserve">The Councillor from </w:t>
      </w:r>
      <w:r w:rsidRPr="00EA5615">
        <w:rPr>
          <w:lang w:val="en-GB"/>
        </w:rPr>
        <w:t xml:space="preserve">Argentina introduced </w:t>
      </w:r>
      <w:r w:rsidR="009E0FBF">
        <w:rPr>
          <w:lang w:val="en-GB"/>
        </w:rPr>
        <w:t xml:space="preserve">Document </w:t>
      </w:r>
      <w:r w:rsidRPr="00EA5615">
        <w:rPr>
          <w:lang w:val="en-GB"/>
        </w:rPr>
        <w:t xml:space="preserve">C26/75 containing a proposal for the reduction of the backlog in the processing of satellite network and system filings, by authorizing the strengthening of </w:t>
      </w:r>
      <w:r w:rsidR="00735484" w:rsidRPr="00EA5615">
        <w:rPr>
          <w:lang w:val="en-GB"/>
        </w:rPr>
        <w:t>SSD</w:t>
      </w:r>
      <w:r w:rsidRPr="00EA5615">
        <w:rPr>
          <w:lang w:val="en-GB"/>
        </w:rPr>
        <w:t xml:space="preserve"> through the recruitment of professional</w:t>
      </w:r>
      <w:r w:rsidR="00735484" w:rsidRPr="00EA5615">
        <w:rPr>
          <w:lang w:val="en-GB"/>
        </w:rPr>
        <w:t>-category staff in the form of</w:t>
      </w:r>
      <w:r w:rsidRPr="00EA5615">
        <w:rPr>
          <w:lang w:val="en-GB"/>
        </w:rPr>
        <w:t xml:space="preserve"> engineers specializing in technical-regulatory analysis of satellite networks and systems</w:t>
      </w:r>
      <w:r w:rsidR="00464056" w:rsidRPr="00EA5615">
        <w:rPr>
          <w:lang w:val="en-GB"/>
        </w:rPr>
        <w:t>,</w:t>
      </w:r>
      <w:r w:rsidRPr="00EA5615">
        <w:rPr>
          <w:lang w:val="en-GB"/>
        </w:rPr>
        <w:t xml:space="preserve"> and software engineers, focused on the development, maintenance and optimization of IT tools for the processing and analysis of filings. Such an approach would significantly reduce the current backlog in the processing of satellite network and system filings, strengthen the efficiency of </w:t>
      </w:r>
      <w:r w:rsidR="00735484" w:rsidRPr="00EA5615">
        <w:rPr>
          <w:lang w:val="en-GB"/>
        </w:rPr>
        <w:t>SSD</w:t>
      </w:r>
      <w:r w:rsidRPr="00EA5615">
        <w:rPr>
          <w:lang w:val="en-GB"/>
        </w:rPr>
        <w:t xml:space="preserve"> and ensure the financial and operational sustainability of ITU in space services.</w:t>
      </w:r>
    </w:p>
    <w:p w14:paraId="0E9FE7B4" w14:textId="0AFC218E" w:rsidR="003777B4" w:rsidRPr="00EA5615" w:rsidRDefault="003777B4" w:rsidP="003777B4">
      <w:pPr>
        <w:rPr>
          <w:lang w:val="en-GB"/>
        </w:rPr>
      </w:pPr>
      <w:r w:rsidRPr="00EA5615">
        <w:rPr>
          <w:lang w:val="en-GB"/>
        </w:rPr>
        <w:t>1</w:t>
      </w:r>
      <w:r w:rsidR="00375AC6">
        <w:rPr>
          <w:lang w:val="en-GB"/>
        </w:rPr>
        <w:t>7</w:t>
      </w:r>
      <w:r w:rsidRPr="00EA5615">
        <w:rPr>
          <w:lang w:val="en-GB"/>
        </w:rPr>
        <w:t>.</w:t>
      </w:r>
      <w:r w:rsidR="00190E6B" w:rsidRPr="00EA5615">
        <w:rPr>
          <w:lang w:val="en-GB"/>
        </w:rPr>
        <w:t>4</w:t>
      </w:r>
      <w:r w:rsidRPr="00EA5615">
        <w:rPr>
          <w:lang w:val="en-GB"/>
        </w:rPr>
        <w:tab/>
        <w:t xml:space="preserve">Councillors </w:t>
      </w:r>
      <w:r w:rsidR="00735484" w:rsidRPr="00EA5615">
        <w:rPr>
          <w:lang w:val="en-GB"/>
        </w:rPr>
        <w:t>welcomed</w:t>
      </w:r>
      <w:r w:rsidRPr="00EA5615">
        <w:rPr>
          <w:lang w:val="en-GB"/>
        </w:rPr>
        <w:t xml:space="preserve"> the report </w:t>
      </w:r>
      <w:r w:rsidR="008E5CE9" w:rsidRPr="00EA5615">
        <w:rPr>
          <w:lang w:val="en-GB"/>
        </w:rPr>
        <w:t>contained in Document C26/16</w:t>
      </w:r>
      <w:r w:rsidRPr="00EA5615">
        <w:rPr>
          <w:lang w:val="en-GB"/>
        </w:rPr>
        <w:t xml:space="preserve">, which highlighted the growing mismatch between revenue performance and cost attribution. They expressed concern regarding the unprecedented backlog and delays in processing satellite network filings, and the fact that the cost of processing significantly outweighed the revenue generated. The current cost recovery model was under significant strain, particularly given the rapid growth of </w:t>
      </w:r>
      <w:r w:rsidR="0082007C">
        <w:rPr>
          <w:lang w:val="en-GB"/>
        </w:rPr>
        <w:t xml:space="preserve">large </w:t>
      </w:r>
      <w:r w:rsidRPr="00EA5615">
        <w:rPr>
          <w:lang w:val="en-GB"/>
        </w:rPr>
        <w:t>non-geostationary constellations. Mechanisms must therefore be introduced to ensure that filing fees accurately reflected the cost of processing. Every effort should be made to avoid a situation in which administrations that did not operate their own satellite systems were bearing the costs of regulatory processes that primarily served global commercial operators. Any cost-recovery measures undertaken should therefore be accompanied by measures to address the structural causes of the backlog, rather than administrations shouldering the burden.</w:t>
      </w:r>
    </w:p>
    <w:p w14:paraId="3D149E62" w14:textId="549F29BB" w:rsidR="003777B4" w:rsidRPr="00EA5615" w:rsidRDefault="003777B4" w:rsidP="003777B4">
      <w:pPr>
        <w:rPr>
          <w:lang w:val="en-GB"/>
        </w:rPr>
      </w:pPr>
      <w:r w:rsidRPr="00EA5615">
        <w:rPr>
          <w:lang w:val="en-GB"/>
        </w:rPr>
        <w:t>1</w:t>
      </w:r>
      <w:r w:rsidR="00375AC6">
        <w:rPr>
          <w:lang w:val="en-GB"/>
        </w:rPr>
        <w:t>7</w:t>
      </w:r>
      <w:r w:rsidRPr="00EA5615">
        <w:rPr>
          <w:lang w:val="en-GB"/>
        </w:rPr>
        <w:t>.</w:t>
      </w:r>
      <w:r w:rsidR="00190E6B" w:rsidRPr="00EA5615">
        <w:rPr>
          <w:lang w:val="en-GB"/>
        </w:rPr>
        <w:t>5</w:t>
      </w:r>
      <w:r w:rsidRPr="00EA5615">
        <w:rPr>
          <w:lang w:val="en-GB"/>
        </w:rPr>
        <w:tab/>
        <w:t xml:space="preserve">With regard to the </w:t>
      </w:r>
      <w:r w:rsidR="00735484" w:rsidRPr="00EA5615">
        <w:rPr>
          <w:lang w:val="en-GB"/>
        </w:rPr>
        <w:t>issue of deferred revenues</w:t>
      </w:r>
      <w:r w:rsidRPr="00EA5615">
        <w:rPr>
          <w:lang w:val="en-GB"/>
        </w:rPr>
        <w:t>, one councillor wished to know what the resulting challenges were, and whether they could be overcome internally or whether they required action by Member States, through Council or the Plenipotentiary Conference.</w:t>
      </w:r>
    </w:p>
    <w:p w14:paraId="195BFE76" w14:textId="059FEEB3" w:rsidR="003777B4" w:rsidRPr="00EA5615" w:rsidRDefault="003777B4" w:rsidP="003777B4">
      <w:pPr>
        <w:rPr>
          <w:lang w:val="en-GB"/>
        </w:rPr>
      </w:pPr>
      <w:r w:rsidRPr="00EA5615">
        <w:rPr>
          <w:lang w:val="en-GB"/>
        </w:rPr>
        <w:t>1</w:t>
      </w:r>
      <w:r w:rsidR="00375AC6">
        <w:rPr>
          <w:lang w:val="en-GB"/>
        </w:rPr>
        <w:t>7</w:t>
      </w:r>
      <w:r w:rsidRPr="00EA5615">
        <w:rPr>
          <w:lang w:val="en-GB"/>
        </w:rPr>
        <w:t>.</w:t>
      </w:r>
      <w:r w:rsidR="00190E6B" w:rsidRPr="00EA5615">
        <w:rPr>
          <w:lang w:val="en-GB"/>
        </w:rPr>
        <w:t>6</w:t>
      </w:r>
      <w:r w:rsidRPr="00EA5615">
        <w:rPr>
          <w:lang w:val="en-GB"/>
        </w:rPr>
        <w:tab/>
        <w:t>While councillors agreed that a cost assessment of the work implied by Resolutions 35</w:t>
      </w:r>
      <w:r w:rsidR="002F06EC">
        <w:rPr>
          <w:lang w:val="en-GB"/>
        </w:rPr>
        <w:t> </w:t>
      </w:r>
      <w:r w:rsidRPr="00EA5615">
        <w:rPr>
          <w:lang w:val="en-GB"/>
        </w:rPr>
        <w:t>(Rev.WRC-23) and 8 (WRC-23) was needed, some thought that such an assessment should be conducted by CWG-FHR, while others said they would prefer to re-establish the Council Expert Group on Decision 482, the members of which had relevant expertise that could be leveraged. A further revision of Decision 482 might also be useful. One councillor suggested that the Plenipotentiary Conference would be best placed to decide in what forum those assessments should be conducted, under its agenda item on the establishment of working groups and the scope of their work. Those assessments should be conducted in coordination with the development of the new methodology for the recovery of satellite network filing costs. One councillor asked when consolidated data would be available for the first few months of 2026, to understand the impact</w:t>
      </w:r>
      <w:r w:rsidR="00100493" w:rsidRPr="00EA5615">
        <w:rPr>
          <w:lang w:val="en-GB"/>
        </w:rPr>
        <w:t xml:space="preserve"> of </w:t>
      </w:r>
      <w:r w:rsidR="00100493" w:rsidRPr="00EA5615">
        <w:rPr>
          <w:spacing w:val="-2"/>
          <w:lang w:val="en-GB"/>
        </w:rPr>
        <w:t>Decision 482 (C01, last amended C25)</w:t>
      </w:r>
      <w:r w:rsidRPr="00EA5615">
        <w:rPr>
          <w:lang w:val="en-GB"/>
        </w:rPr>
        <w:t>.</w:t>
      </w:r>
    </w:p>
    <w:p w14:paraId="4CE32FFA" w14:textId="3CDB1049" w:rsidR="003777B4" w:rsidRPr="00EA5615" w:rsidRDefault="003777B4" w:rsidP="003777B4">
      <w:pPr>
        <w:rPr>
          <w:lang w:val="en-GB"/>
        </w:rPr>
      </w:pPr>
      <w:r w:rsidRPr="00EA5615">
        <w:rPr>
          <w:lang w:val="en-GB"/>
        </w:rPr>
        <w:t>1</w:t>
      </w:r>
      <w:r w:rsidR="00375AC6">
        <w:rPr>
          <w:lang w:val="en-GB"/>
        </w:rPr>
        <w:t>7</w:t>
      </w:r>
      <w:r w:rsidRPr="00EA5615">
        <w:rPr>
          <w:lang w:val="en-GB"/>
        </w:rPr>
        <w:t>.</w:t>
      </w:r>
      <w:r w:rsidR="00190E6B" w:rsidRPr="00EA5615">
        <w:rPr>
          <w:lang w:val="en-GB"/>
        </w:rPr>
        <w:t>7</w:t>
      </w:r>
      <w:r w:rsidRPr="00EA5615">
        <w:rPr>
          <w:lang w:val="en-GB"/>
        </w:rPr>
        <w:tab/>
        <w:t xml:space="preserve">Given the foregoing, the imposition of a </w:t>
      </w:r>
      <w:r w:rsidR="00735484" w:rsidRPr="00EA5615">
        <w:rPr>
          <w:lang w:val="en-GB"/>
        </w:rPr>
        <w:t>secretariat</w:t>
      </w:r>
      <w:r w:rsidRPr="00EA5615">
        <w:rPr>
          <w:lang w:val="en-GB"/>
        </w:rPr>
        <w:t>-wide recruitment freeze</w:t>
      </w:r>
      <w:r w:rsidR="00626920">
        <w:rPr>
          <w:lang w:val="en-GB"/>
        </w:rPr>
        <w:t>s</w:t>
      </w:r>
      <w:r w:rsidRPr="00EA5615">
        <w:rPr>
          <w:lang w:val="en-GB"/>
        </w:rPr>
        <w:t xml:space="preserve"> in a </w:t>
      </w:r>
      <w:r w:rsidR="00464056" w:rsidRPr="00EA5615">
        <w:rPr>
          <w:lang w:val="en-GB"/>
        </w:rPr>
        <w:t>"</w:t>
      </w:r>
      <w:r w:rsidRPr="00EA5615">
        <w:rPr>
          <w:lang w:val="en-GB"/>
        </w:rPr>
        <w:t>one-size-fits-all</w:t>
      </w:r>
      <w:r w:rsidR="00464056" w:rsidRPr="00EA5615">
        <w:rPr>
          <w:lang w:val="en-GB"/>
        </w:rPr>
        <w:t>"</w:t>
      </w:r>
      <w:r w:rsidRPr="00EA5615">
        <w:rPr>
          <w:lang w:val="en-GB"/>
        </w:rPr>
        <w:t xml:space="preserve"> cost-containment exercise seemed inappropriate; BR required more human and financial resources to be able to fulfil its mandate. An overview of the current vacant posts in BR and how those could be filled would therefore be appreciated. Equitable, transparent and sustainable management of resources for space services was essential. Furthermore, WRC-27 would have numerous items on its agenda related to satellites, which would generate more work and new activities. Requests for additional human resources were therefore well-founded.</w:t>
      </w:r>
    </w:p>
    <w:p w14:paraId="2CF6F9B8" w14:textId="6A808359" w:rsidR="009B3DC3" w:rsidRPr="00EA5615" w:rsidRDefault="009B3DC3" w:rsidP="009B3DC3">
      <w:pPr>
        <w:rPr>
          <w:lang w:val="en-GB"/>
        </w:rPr>
      </w:pPr>
      <w:r w:rsidRPr="00EA5615">
        <w:rPr>
          <w:lang w:val="en-GB"/>
        </w:rPr>
        <w:t>1</w:t>
      </w:r>
      <w:r w:rsidR="00375AC6">
        <w:rPr>
          <w:lang w:val="en-GB"/>
        </w:rPr>
        <w:t>7</w:t>
      </w:r>
      <w:r w:rsidRPr="00EA5615">
        <w:rPr>
          <w:lang w:val="en-GB"/>
        </w:rPr>
        <w:t>.</w:t>
      </w:r>
      <w:r w:rsidR="00190E6B" w:rsidRPr="00EA5615">
        <w:rPr>
          <w:lang w:val="en-GB"/>
        </w:rPr>
        <w:t>8</w:t>
      </w:r>
      <w:r w:rsidRPr="00EA5615">
        <w:rPr>
          <w:lang w:val="en-GB"/>
        </w:rPr>
        <w:tab/>
        <w:t xml:space="preserve">Councillors shared the concerns regarding the backlog and encouraged the </w:t>
      </w:r>
      <w:r w:rsidR="00100493" w:rsidRPr="00EA5615">
        <w:rPr>
          <w:lang w:val="en-GB"/>
        </w:rPr>
        <w:t>s</w:t>
      </w:r>
      <w:r w:rsidRPr="00EA5615">
        <w:rPr>
          <w:lang w:val="en-GB"/>
        </w:rPr>
        <w:t xml:space="preserve">ecretariat to consider short-term strategies to ensure that BR was sufficiently well resourced to fulfil its mandate and process filings in a timely manner. One Councillor queried the use of the term “constitutional activities” of the </w:t>
      </w:r>
      <w:r w:rsidR="00100493" w:rsidRPr="00EA5615">
        <w:rPr>
          <w:lang w:val="en-GB"/>
        </w:rPr>
        <w:t xml:space="preserve">ITU </w:t>
      </w:r>
      <w:r w:rsidRPr="00EA5615">
        <w:rPr>
          <w:lang w:val="en-GB"/>
        </w:rPr>
        <w:t xml:space="preserve">Radiocommunication </w:t>
      </w:r>
      <w:r w:rsidR="00100493" w:rsidRPr="00EA5615">
        <w:rPr>
          <w:lang w:val="en-GB"/>
        </w:rPr>
        <w:t>S</w:t>
      </w:r>
      <w:r w:rsidRPr="00EA5615">
        <w:rPr>
          <w:lang w:val="en-GB"/>
        </w:rPr>
        <w:t>ector</w:t>
      </w:r>
      <w:r w:rsidR="00100493" w:rsidRPr="00EA5615">
        <w:rPr>
          <w:lang w:val="en-GB"/>
        </w:rPr>
        <w:t xml:space="preserve"> (ITU-R)</w:t>
      </w:r>
      <w:r w:rsidRPr="00EA5615">
        <w:rPr>
          <w:lang w:val="en-GB"/>
        </w:rPr>
        <w:t>. He wished to know the origin of the concept of constitutional activities, and whether activities in other sectors were also considered to be “constitutional”.</w:t>
      </w:r>
    </w:p>
    <w:p w14:paraId="4CF8178C" w14:textId="17DE0069" w:rsidR="006556B0" w:rsidRPr="00EA5615" w:rsidRDefault="006556B0" w:rsidP="006556B0">
      <w:pPr>
        <w:rPr>
          <w:lang w:val="en-GB"/>
        </w:rPr>
      </w:pPr>
      <w:r w:rsidRPr="00EA5615">
        <w:rPr>
          <w:lang w:val="en-GB"/>
        </w:rPr>
        <w:t>1</w:t>
      </w:r>
      <w:r w:rsidR="00375AC6">
        <w:rPr>
          <w:lang w:val="en-GB"/>
        </w:rPr>
        <w:t>7</w:t>
      </w:r>
      <w:r w:rsidRPr="00EA5615">
        <w:rPr>
          <w:lang w:val="en-GB"/>
        </w:rPr>
        <w:t>.9</w:t>
      </w:r>
      <w:r w:rsidRPr="00EA5615">
        <w:rPr>
          <w:lang w:val="en-GB"/>
        </w:rPr>
        <w:tab/>
        <w:t>Several councillors welcomed the proposal</w:t>
      </w:r>
      <w:r w:rsidR="00190E6B" w:rsidRPr="00EA5615">
        <w:rPr>
          <w:lang w:val="en-GB"/>
        </w:rPr>
        <w:t xml:space="preserve"> by Argentina</w:t>
      </w:r>
      <w:r w:rsidRPr="00EA5615">
        <w:rPr>
          <w:lang w:val="en-GB"/>
        </w:rPr>
        <w:t xml:space="preserve"> and agreed with the need to strengthen the BR workforce and streamline its processes through software support. Internal staffing issues were not a legitimate reason to fail to comply with the Radio Regulations. Measures must therefore be taken to enable BR to fulfil its mandate. The filing of large non-geostationary satellite constellations was putting significant pressure on BR. While human resources should be strengthened, any new recruitment should be consistent with the updated policy direction on streamlining the use of SSAs. One councillor suggested that the cost of hiring additional experts could be met by satellite network filing cost recovery funds. Another expressed concerns about expanding staffing. Temporary measures should be taken to address the backlog, since software and workflow efficiency improvements would have an impact on workload and staffing increases might not be necessary. Consideration should therefore be given to using short-term contractors. </w:t>
      </w:r>
    </w:p>
    <w:p w14:paraId="4B52A182" w14:textId="05066A92" w:rsidR="001253FC" w:rsidRPr="00EA5615" w:rsidRDefault="001253FC" w:rsidP="001253FC">
      <w:pPr>
        <w:rPr>
          <w:rFonts w:cs="Calibri"/>
          <w:color w:val="000000" w:themeColor="text1"/>
          <w:lang w:val="en-GB"/>
        </w:rPr>
      </w:pPr>
      <w:r w:rsidRPr="00EA5615">
        <w:rPr>
          <w:rFonts w:cs="Calibri"/>
          <w:color w:val="000000" w:themeColor="text1"/>
          <w:lang w:val="en-GB"/>
        </w:rPr>
        <w:t>1</w:t>
      </w:r>
      <w:r w:rsidR="00E13DB2">
        <w:rPr>
          <w:rFonts w:cs="Calibri"/>
          <w:color w:val="000000" w:themeColor="text1"/>
          <w:lang w:val="en-GB"/>
        </w:rPr>
        <w:t>7</w:t>
      </w:r>
      <w:r w:rsidRPr="00EA5615">
        <w:rPr>
          <w:rFonts w:cs="Calibri"/>
          <w:color w:val="000000" w:themeColor="text1"/>
          <w:lang w:val="en-GB"/>
        </w:rPr>
        <w:t>.10</w:t>
      </w:r>
      <w:r w:rsidRPr="00EA5615">
        <w:rPr>
          <w:lang w:val="en-GB"/>
        </w:rPr>
        <w:tab/>
      </w:r>
      <w:r w:rsidRPr="00EA5615">
        <w:rPr>
          <w:rFonts w:cs="Calibri"/>
          <w:color w:val="000000" w:themeColor="text1"/>
          <w:lang w:val="en-GB"/>
        </w:rPr>
        <w:t>The Chief</w:t>
      </w:r>
      <w:r w:rsidR="00100493" w:rsidRPr="00EA5615">
        <w:rPr>
          <w:rFonts w:cs="Calibri"/>
          <w:color w:val="000000" w:themeColor="text1"/>
          <w:lang w:val="en-GB"/>
        </w:rPr>
        <w:t xml:space="preserve"> of</w:t>
      </w:r>
      <w:r w:rsidRPr="00EA5615">
        <w:rPr>
          <w:rFonts w:cs="Calibri"/>
          <w:color w:val="000000" w:themeColor="text1"/>
          <w:lang w:val="en-GB"/>
        </w:rPr>
        <w:t xml:space="preserve"> SSD said that, with regard to conducting the assessments of </w:t>
      </w:r>
      <w:r w:rsidRPr="00EA5615">
        <w:rPr>
          <w:lang w:val="en-GB"/>
        </w:rPr>
        <w:t xml:space="preserve">Resolutions </w:t>
      </w:r>
      <w:r w:rsidR="00A9294A" w:rsidRPr="00EA5615">
        <w:rPr>
          <w:lang w:val="en-GB"/>
        </w:rPr>
        <w:t>35</w:t>
      </w:r>
      <w:r w:rsidR="00A9294A">
        <w:rPr>
          <w:lang w:val="en-GB"/>
        </w:rPr>
        <w:t> </w:t>
      </w:r>
      <w:r w:rsidRPr="00EA5615">
        <w:rPr>
          <w:lang w:val="en-GB"/>
        </w:rPr>
        <w:t xml:space="preserve">(Rev.WRC-23) and 8 (WRC-23), the </w:t>
      </w:r>
      <w:r w:rsidR="00464056" w:rsidRPr="00EA5615">
        <w:rPr>
          <w:lang w:val="en-GB"/>
        </w:rPr>
        <w:t>s</w:t>
      </w:r>
      <w:r w:rsidRPr="00EA5615">
        <w:rPr>
          <w:lang w:val="en-GB"/>
        </w:rPr>
        <w:t xml:space="preserve">ecretariat was proposing to request CWG-FHR to conduct the assessment, since the task was limited and the establishment of an expert group would incur costs. It was, however, the prerogative of the Council to extend the mandate of its Expert Group. </w:t>
      </w:r>
      <w:r w:rsidR="001B42A4">
        <w:rPr>
          <w:lang w:val="en-GB"/>
        </w:rPr>
        <w:t>While precise s</w:t>
      </w:r>
      <w:r w:rsidR="001B42A4" w:rsidRPr="00EA5615">
        <w:rPr>
          <w:lang w:val="en-GB"/>
        </w:rPr>
        <w:t>ubmission</w:t>
      </w:r>
      <w:r w:rsidRPr="00EA5615">
        <w:rPr>
          <w:lang w:val="en-GB"/>
        </w:rPr>
        <w:t xml:space="preserve"> figures for 2026 could be provided to the Plenipotentiary Conference</w:t>
      </w:r>
      <w:r w:rsidR="001B42A4">
        <w:rPr>
          <w:lang w:val="en-GB"/>
        </w:rPr>
        <w:t>,</w:t>
      </w:r>
      <w:r w:rsidR="001B42A4" w:rsidRPr="00EA5615">
        <w:rPr>
          <w:lang w:val="en-GB"/>
        </w:rPr>
        <w:t xml:space="preserve"> </w:t>
      </w:r>
      <w:r w:rsidRPr="00EA5615">
        <w:rPr>
          <w:lang w:val="en-GB"/>
        </w:rPr>
        <w:t xml:space="preserve">submissions had </w:t>
      </w:r>
      <w:r w:rsidR="003D2616">
        <w:rPr>
          <w:lang w:val="en-GB"/>
        </w:rPr>
        <w:t xml:space="preserve">generally </w:t>
      </w:r>
      <w:r w:rsidRPr="00EA5615">
        <w:rPr>
          <w:lang w:val="en-GB"/>
        </w:rPr>
        <w:t xml:space="preserve">returned to normal rates, following </w:t>
      </w:r>
      <w:r w:rsidR="00100493" w:rsidRPr="00EA5615">
        <w:rPr>
          <w:lang w:val="en-GB"/>
        </w:rPr>
        <w:t xml:space="preserve">a </w:t>
      </w:r>
      <w:r w:rsidRPr="00EA5615">
        <w:rPr>
          <w:lang w:val="en-GB"/>
        </w:rPr>
        <w:t>spike in December 2025. The delay in processing only affected one type of submission. The resources of SSD therefore did not need to be tripled, but simply increased to deal with the processing of those cases. All other notifications were being managed within the statutory deadlines. With regard to resourcing needs, it should be borne in mind that the introduction of IT developments and automation processes would ultimately generate savings,</w:t>
      </w:r>
      <w:r w:rsidR="00464056" w:rsidRPr="00EA5615">
        <w:rPr>
          <w:lang w:val="en-GB"/>
        </w:rPr>
        <w:t xml:space="preserve"> but</w:t>
      </w:r>
      <w:r w:rsidRPr="00EA5615">
        <w:rPr>
          <w:lang w:val="en-GB"/>
        </w:rPr>
        <w:t xml:space="preserve"> in the short-term they would require investment. On the question of human resources, while SSD needed permanent engineers, short-term recruitments would be needed to eliminate the filing processing backlog, for a period of two to three years.</w:t>
      </w:r>
    </w:p>
    <w:p w14:paraId="089C4BA9" w14:textId="5A91BE47" w:rsidR="001253FC" w:rsidRPr="00EA5615" w:rsidRDefault="001253FC" w:rsidP="001253FC">
      <w:pPr>
        <w:rPr>
          <w:lang w:val="en-GB"/>
        </w:rPr>
      </w:pPr>
      <w:r w:rsidRPr="00EA5615">
        <w:rPr>
          <w:lang w:val="en-GB"/>
        </w:rPr>
        <w:t>1</w:t>
      </w:r>
      <w:r w:rsidR="00E13DB2">
        <w:rPr>
          <w:lang w:val="en-GB"/>
        </w:rPr>
        <w:t>7</w:t>
      </w:r>
      <w:r w:rsidRPr="00EA5615">
        <w:rPr>
          <w:lang w:val="en-GB"/>
        </w:rPr>
        <w:t>.11</w:t>
      </w:r>
      <w:r w:rsidRPr="00EA5615">
        <w:rPr>
          <w:lang w:val="en-GB"/>
        </w:rPr>
        <w:tab/>
        <w:t>The Chief</w:t>
      </w:r>
      <w:r w:rsidR="00100493" w:rsidRPr="00EA5615">
        <w:rPr>
          <w:lang w:val="en-GB"/>
        </w:rPr>
        <w:t xml:space="preserve"> of</w:t>
      </w:r>
      <w:r w:rsidRPr="00EA5615">
        <w:rPr>
          <w:lang w:val="en-GB"/>
        </w:rPr>
        <w:t xml:space="preserve"> FRMD said, with regard to the inclusion in accounted revenues of payments of invoice, that since 2010, ITU ha</w:t>
      </w:r>
      <w:r w:rsidR="00100493" w:rsidRPr="00EA5615">
        <w:rPr>
          <w:lang w:val="en-GB"/>
        </w:rPr>
        <w:t>d</w:t>
      </w:r>
      <w:r w:rsidRPr="00EA5615">
        <w:rPr>
          <w:lang w:val="en-GB"/>
        </w:rPr>
        <w:t xml:space="preserve"> adhered to the IPSAS system, under which it could only account for revenue when a service had been delivered. The revenue was not “lost” pending service delivery, but rather was accounted for as “deferred”. The income could only be recognized once the service had been completed.</w:t>
      </w:r>
    </w:p>
    <w:p w14:paraId="357FEA23" w14:textId="3145EA69" w:rsidR="001253FC" w:rsidRPr="00E8213D" w:rsidRDefault="001253FC" w:rsidP="001253FC">
      <w:pPr>
        <w:rPr>
          <w:rFonts w:asciiTheme="minorHAnsi" w:eastAsiaTheme="minorEastAsia" w:hAnsiTheme="minorHAnsi" w:cstheme="minorBidi"/>
          <w:szCs w:val="24"/>
          <w:lang w:val="en-GB"/>
        </w:rPr>
      </w:pPr>
      <w:r w:rsidRPr="00EA5615">
        <w:rPr>
          <w:lang w:val="en-GB"/>
        </w:rPr>
        <w:t>1</w:t>
      </w:r>
      <w:r w:rsidR="00E13DB2">
        <w:rPr>
          <w:lang w:val="en-GB"/>
        </w:rPr>
        <w:t>7</w:t>
      </w:r>
      <w:r w:rsidRPr="00EA5615">
        <w:rPr>
          <w:lang w:val="en-GB"/>
        </w:rPr>
        <w:t>.12</w:t>
      </w:r>
      <w:r w:rsidRPr="00EA5615">
        <w:rPr>
          <w:lang w:val="en-GB"/>
        </w:rPr>
        <w:tab/>
        <w:t>T</w:t>
      </w:r>
      <w:r w:rsidRPr="00AA51B2">
        <w:rPr>
          <w:rFonts w:asciiTheme="minorHAnsi" w:eastAsiaTheme="minorEastAsia" w:hAnsiTheme="minorHAnsi" w:cstheme="minorBidi"/>
          <w:lang w:val="en-GB"/>
        </w:rPr>
        <w:t>he Director</w:t>
      </w:r>
      <w:r w:rsidR="000354B8" w:rsidRPr="00AA51B2">
        <w:rPr>
          <w:rFonts w:asciiTheme="minorHAnsi" w:eastAsiaTheme="minorEastAsia" w:hAnsiTheme="minorHAnsi" w:cstheme="minorBidi"/>
          <w:lang w:val="en-GB"/>
        </w:rPr>
        <w:t xml:space="preserve"> of</w:t>
      </w:r>
      <w:r w:rsidRPr="00AA51B2">
        <w:rPr>
          <w:rFonts w:asciiTheme="minorHAnsi" w:eastAsiaTheme="minorEastAsia" w:hAnsiTheme="minorHAnsi" w:cstheme="minorBidi"/>
          <w:lang w:val="en-GB"/>
        </w:rPr>
        <w:t xml:space="preserve"> BR thanked councillors for their understanding of the importance of the appropriate all</w:t>
      </w:r>
      <w:r w:rsidRPr="00AA51B2">
        <w:rPr>
          <w:rFonts w:asciiTheme="minorHAnsi" w:eastAsiaTheme="minorEastAsia" w:hAnsiTheme="minorHAnsi" w:cstheme="minorBidi"/>
          <w:szCs w:val="24"/>
          <w:lang w:val="en-GB"/>
        </w:rPr>
        <w:t xml:space="preserve">ocation of resources to BR for the activities it was undertaking in the regulatory domain. The activities mentioned in the contribution from RAG were statutory, rather than “constitutional”; those activities were obligatory, and must be done within a particular </w:t>
      </w:r>
      <w:r w:rsidRPr="00EA5615">
        <w:rPr>
          <w:lang w:val="en-GB"/>
        </w:rPr>
        <w:t>time</w:t>
      </w:r>
      <w:r w:rsidR="00342F1C">
        <w:rPr>
          <w:lang w:val="en-GB"/>
        </w:rPr>
        <w:t>-</w:t>
      </w:r>
      <w:r w:rsidRPr="00EA5615">
        <w:rPr>
          <w:lang w:val="en-GB"/>
        </w:rPr>
        <w:t>frame.</w:t>
      </w:r>
      <w:r w:rsidRPr="00AA51B2">
        <w:rPr>
          <w:rFonts w:asciiTheme="minorHAnsi" w:eastAsiaTheme="minorEastAsia" w:hAnsiTheme="minorHAnsi" w:cstheme="minorBidi"/>
          <w:szCs w:val="24"/>
          <w:lang w:val="en-GB"/>
        </w:rPr>
        <w:t xml:space="preserve"> </w:t>
      </w:r>
      <w:r w:rsidR="79F4A203" w:rsidRPr="00457F4A">
        <w:rPr>
          <w:rFonts w:asciiTheme="minorHAnsi" w:eastAsiaTheme="minorEastAsia" w:hAnsiTheme="minorHAnsi" w:cstheme="minorBidi"/>
          <w:szCs w:val="24"/>
          <w:lang w:val="en-GB"/>
        </w:rPr>
        <w:t xml:space="preserve">According to the Radio Regulations, </w:t>
      </w:r>
      <w:r w:rsidRPr="00AA51B2">
        <w:rPr>
          <w:rFonts w:asciiTheme="minorHAnsi" w:eastAsiaTheme="minorEastAsia" w:hAnsiTheme="minorHAnsi" w:cstheme="minorBidi"/>
          <w:szCs w:val="24"/>
          <w:lang w:val="en-GB"/>
        </w:rPr>
        <w:t xml:space="preserve">BR was obliged to report to </w:t>
      </w:r>
      <w:r w:rsidR="000B04E9" w:rsidRPr="00AA51B2">
        <w:rPr>
          <w:rFonts w:asciiTheme="minorHAnsi" w:eastAsiaTheme="minorEastAsia" w:hAnsiTheme="minorHAnsi" w:cstheme="minorBidi"/>
          <w:szCs w:val="24"/>
          <w:lang w:val="en-GB"/>
        </w:rPr>
        <w:t xml:space="preserve">the </w:t>
      </w:r>
      <w:r w:rsidR="00395AA7" w:rsidRPr="00AA51B2">
        <w:rPr>
          <w:rFonts w:asciiTheme="minorHAnsi" w:eastAsiaTheme="minorEastAsia" w:hAnsiTheme="minorHAnsi" w:cstheme="minorBidi"/>
          <w:szCs w:val="24"/>
          <w:lang w:val="en-GB"/>
        </w:rPr>
        <w:t>membership</w:t>
      </w:r>
      <w:r w:rsidRPr="00AA51B2">
        <w:rPr>
          <w:rFonts w:asciiTheme="minorHAnsi" w:eastAsiaTheme="minorEastAsia" w:hAnsiTheme="minorHAnsi" w:cstheme="minorBidi"/>
          <w:szCs w:val="24"/>
          <w:lang w:val="en-GB"/>
        </w:rPr>
        <w:t xml:space="preserve"> when the deadlines were not met. BR had been appropriately resourced for the geostationary satellite era, which had entailed one satellite per filing, and a relatively straightforward examination process. When low earth orbit satellites had come into use, efforts had been made to accommodate those filings. However, they were now being submitted in tens of thousands; in December 2025, </w:t>
      </w:r>
      <w:r w:rsidR="00BA53AC" w:rsidRPr="00AA51B2">
        <w:rPr>
          <w:rFonts w:asciiTheme="minorHAnsi" w:eastAsiaTheme="minorEastAsia" w:hAnsiTheme="minorHAnsi" w:cstheme="minorBidi"/>
          <w:szCs w:val="24"/>
          <w:lang w:val="en-GB"/>
        </w:rPr>
        <w:t>about</w:t>
      </w:r>
      <w:r w:rsidRPr="00AA51B2">
        <w:rPr>
          <w:rFonts w:asciiTheme="minorHAnsi" w:eastAsiaTheme="minorEastAsia" w:hAnsiTheme="minorHAnsi" w:cstheme="minorBidi"/>
          <w:szCs w:val="24"/>
          <w:lang w:val="en-GB"/>
        </w:rPr>
        <w:t xml:space="preserve"> 200</w:t>
      </w:r>
      <w:r w:rsidR="000354B8" w:rsidRPr="00AA51B2">
        <w:rPr>
          <w:rFonts w:asciiTheme="minorHAnsi" w:eastAsiaTheme="minorEastAsia" w:hAnsiTheme="minorHAnsi" w:cstheme="minorBidi"/>
          <w:szCs w:val="24"/>
          <w:lang w:val="en-GB"/>
        </w:rPr>
        <w:t> </w:t>
      </w:r>
      <w:r w:rsidRPr="00AA51B2">
        <w:rPr>
          <w:rFonts w:asciiTheme="minorHAnsi" w:eastAsiaTheme="minorEastAsia" w:hAnsiTheme="minorHAnsi" w:cstheme="minorBidi"/>
          <w:szCs w:val="24"/>
          <w:lang w:val="en-GB"/>
        </w:rPr>
        <w:t xml:space="preserve">000 satellites had been </w:t>
      </w:r>
      <w:proofErr w:type="gramStart"/>
      <w:r w:rsidRPr="00AA51B2">
        <w:rPr>
          <w:rFonts w:asciiTheme="minorHAnsi" w:eastAsiaTheme="minorEastAsia" w:hAnsiTheme="minorHAnsi" w:cstheme="minorBidi"/>
          <w:szCs w:val="24"/>
          <w:lang w:val="en-GB"/>
        </w:rPr>
        <w:t>received ,</w:t>
      </w:r>
      <w:proofErr w:type="gramEnd"/>
      <w:r w:rsidRPr="00AA51B2">
        <w:rPr>
          <w:rFonts w:asciiTheme="minorHAnsi" w:eastAsiaTheme="minorEastAsia" w:hAnsiTheme="minorHAnsi" w:cstheme="minorBidi"/>
          <w:szCs w:val="24"/>
          <w:lang w:val="en-GB"/>
        </w:rPr>
        <w:t xml:space="preserve"> following which a concurrent operator had declared that it would file one million</w:t>
      </w:r>
      <w:r w:rsidR="1EB87CF3" w:rsidRPr="00AA51B2">
        <w:rPr>
          <w:rFonts w:asciiTheme="minorHAnsi" w:eastAsiaTheme="minorEastAsia" w:hAnsiTheme="minorHAnsi" w:cstheme="minorBidi"/>
          <w:szCs w:val="24"/>
          <w:lang w:val="en-GB"/>
        </w:rPr>
        <w:t xml:space="preserve"> satellites</w:t>
      </w:r>
      <w:r w:rsidRPr="00AA51B2">
        <w:rPr>
          <w:rFonts w:asciiTheme="minorHAnsi" w:eastAsiaTheme="minorEastAsia" w:hAnsiTheme="minorHAnsi" w:cstheme="minorBidi"/>
          <w:szCs w:val="24"/>
          <w:lang w:val="en-GB"/>
        </w:rPr>
        <w:t>. While it was unclear how many filings would be made, or whether the satellites would indeed be launched, BR was nevertheless required to process all of them. A long-term solution was needed. Any new staff recruited would need to be trained</w:t>
      </w:r>
      <w:r w:rsidR="00E62898">
        <w:rPr>
          <w:rFonts w:asciiTheme="minorHAnsi" w:eastAsiaTheme="minorEastAsia" w:hAnsiTheme="minorHAnsi" w:cstheme="minorBidi"/>
          <w:szCs w:val="24"/>
          <w:lang w:val="en-GB"/>
        </w:rPr>
        <w:t>,</w:t>
      </w:r>
      <w:r w:rsidR="06AD249D" w:rsidRPr="00E8213D">
        <w:rPr>
          <w:rFonts w:asciiTheme="minorHAnsi" w:eastAsiaTheme="minorEastAsia" w:hAnsiTheme="minorHAnsi" w:cstheme="minorBidi"/>
          <w:szCs w:val="24"/>
          <w:lang w:val="en-GB"/>
        </w:rPr>
        <w:t xml:space="preserve"> so their impact would not be immediate</w:t>
      </w:r>
      <w:r w:rsidRPr="00AA51B2">
        <w:rPr>
          <w:rFonts w:asciiTheme="minorHAnsi" w:eastAsiaTheme="minorEastAsia" w:hAnsiTheme="minorHAnsi" w:cstheme="minorBidi"/>
          <w:szCs w:val="24"/>
          <w:lang w:val="en-GB"/>
        </w:rPr>
        <w:t xml:space="preserve">. Financial contributions from Member States towards the acquisition of software IT solutions were greatly appreciated. </w:t>
      </w:r>
      <w:r w:rsidR="0B1949D5" w:rsidRPr="00C44A2E">
        <w:rPr>
          <w:rFonts w:asciiTheme="minorHAnsi" w:eastAsiaTheme="minorEastAsia" w:hAnsiTheme="minorHAnsi" w:cstheme="minorBidi"/>
          <w:szCs w:val="24"/>
          <w:lang w:val="en-GB"/>
        </w:rPr>
        <w:t>Similarly, th</w:t>
      </w:r>
      <w:r w:rsidR="00E62898">
        <w:rPr>
          <w:rFonts w:asciiTheme="minorHAnsi" w:eastAsiaTheme="minorEastAsia" w:hAnsiTheme="minorHAnsi" w:cstheme="minorBidi"/>
          <w:szCs w:val="24"/>
          <w:lang w:val="en-GB"/>
        </w:rPr>
        <w:t>at</w:t>
      </w:r>
      <w:r w:rsidR="0B1949D5" w:rsidRPr="00C44A2E">
        <w:rPr>
          <w:rFonts w:asciiTheme="minorHAnsi" w:eastAsiaTheme="minorEastAsia" w:hAnsiTheme="minorHAnsi" w:cstheme="minorBidi"/>
          <w:szCs w:val="24"/>
          <w:lang w:val="en-GB"/>
        </w:rPr>
        <w:t xml:space="preserve"> would not be a short</w:t>
      </w:r>
      <w:r w:rsidR="00AA51B2" w:rsidRPr="00C44A2E">
        <w:rPr>
          <w:rFonts w:asciiTheme="minorHAnsi" w:eastAsiaTheme="minorEastAsia" w:hAnsiTheme="minorHAnsi" w:cstheme="minorBidi"/>
          <w:szCs w:val="24"/>
          <w:lang w:val="en-GB"/>
        </w:rPr>
        <w:t>-</w:t>
      </w:r>
      <w:r w:rsidR="0B1949D5" w:rsidRPr="00C44A2E">
        <w:rPr>
          <w:rFonts w:asciiTheme="minorHAnsi" w:eastAsiaTheme="minorEastAsia" w:hAnsiTheme="minorHAnsi" w:cstheme="minorBidi"/>
          <w:szCs w:val="24"/>
          <w:lang w:val="en-GB"/>
        </w:rPr>
        <w:t>term solution, as</w:t>
      </w:r>
      <w:r w:rsidRPr="00C44A2E">
        <w:rPr>
          <w:rFonts w:asciiTheme="minorHAnsi" w:eastAsiaTheme="minorEastAsia" w:hAnsiTheme="minorHAnsi" w:cstheme="minorBidi"/>
          <w:szCs w:val="24"/>
          <w:lang w:val="en-GB"/>
        </w:rPr>
        <w:t xml:space="preserve"> the </w:t>
      </w:r>
      <w:r w:rsidRPr="00E8213D">
        <w:rPr>
          <w:rFonts w:asciiTheme="minorHAnsi" w:eastAsiaTheme="minorEastAsia" w:hAnsiTheme="minorHAnsi" w:cstheme="minorBidi"/>
          <w:szCs w:val="24"/>
          <w:lang w:val="en-GB"/>
        </w:rPr>
        <w:t xml:space="preserve">design, development, testing and implementation of software would take time. With the significant increase in satellite launches, the situation in BR was not a temporary one. </w:t>
      </w:r>
      <w:r w:rsidR="2805E460" w:rsidRPr="00E8213D">
        <w:rPr>
          <w:rFonts w:asciiTheme="minorHAnsi" w:eastAsiaTheme="minorEastAsia" w:hAnsiTheme="minorHAnsi" w:cstheme="minorBidi"/>
          <w:szCs w:val="24"/>
          <w:lang w:val="en-GB"/>
        </w:rPr>
        <w:t xml:space="preserve">Therefore, </w:t>
      </w:r>
      <w:r w:rsidRPr="00E8213D">
        <w:rPr>
          <w:rFonts w:asciiTheme="minorHAnsi" w:eastAsiaTheme="minorEastAsia" w:hAnsiTheme="minorHAnsi" w:cstheme="minorBidi"/>
          <w:szCs w:val="24"/>
          <w:lang w:val="en-GB"/>
        </w:rPr>
        <w:t>BR needed to be appropriately and sustainably resourced.</w:t>
      </w:r>
    </w:p>
    <w:p w14:paraId="254DA417" w14:textId="2E8644B7" w:rsidR="001253FC" w:rsidRPr="00EA5615" w:rsidRDefault="001253FC" w:rsidP="001253FC">
      <w:pPr>
        <w:spacing w:line="259" w:lineRule="auto"/>
        <w:rPr>
          <w:rFonts w:eastAsia="Calibri" w:cs="Calibri"/>
          <w:lang w:val="en-GB"/>
        </w:rPr>
      </w:pPr>
      <w:r w:rsidRPr="00EA5615">
        <w:rPr>
          <w:rFonts w:eastAsia="Calibri" w:cs="Calibri"/>
          <w:lang w:val="en-GB"/>
        </w:rPr>
        <w:t>1</w:t>
      </w:r>
      <w:r w:rsidR="00E13DB2">
        <w:rPr>
          <w:rFonts w:eastAsia="Calibri" w:cs="Calibri"/>
          <w:lang w:val="en-GB"/>
        </w:rPr>
        <w:t>7</w:t>
      </w:r>
      <w:r w:rsidR="004272FD" w:rsidRPr="00EA5615">
        <w:rPr>
          <w:rFonts w:eastAsia="Calibri" w:cs="Calibri"/>
          <w:lang w:val="en-GB"/>
        </w:rPr>
        <w:t>.</w:t>
      </w:r>
      <w:r w:rsidRPr="00EA5615">
        <w:rPr>
          <w:rFonts w:eastAsia="Calibri" w:cs="Calibri"/>
          <w:lang w:val="en-GB"/>
        </w:rPr>
        <w:t>13</w:t>
      </w:r>
      <w:r w:rsidRPr="00EA5615">
        <w:rPr>
          <w:lang w:val="en-GB"/>
        </w:rPr>
        <w:tab/>
      </w:r>
      <w:r w:rsidRPr="00EA5615">
        <w:rPr>
          <w:rFonts w:eastAsia="Calibri" w:cs="Calibri"/>
          <w:lang w:val="en-GB"/>
        </w:rPr>
        <w:t xml:space="preserve">The committee </w:t>
      </w:r>
      <w:r w:rsidRPr="00EA5615">
        <w:rPr>
          <w:rFonts w:eastAsia="Calibri" w:cs="Calibri"/>
          <w:b/>
          <w:bCs/>
          <w:lang w:val="en-GB"/>
        </w:rPr>
        <w:t>agreed</w:t>
      </w:r>
      <w:r w:rsidRPr="00EA5615">
        <w:rPr>
          <w:rFonts w:eastAsia="Calibri" w:cs="Calibri"/>
          <w:lang w:val="en-GB"/>
        </w:rPr>
        <w:t xml:space="preserve"> to conclude as follows on the matter:</w:t>
      </w:r>
    </w:p>
    <w:p w14:paraId="76D5265E" w14:textId="623E78BD" w:rsidR="00177292" w:rsidRDefault="001253FC" w:rsidP="001253FC">
      <w:pPr>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0" w:line="259" w:lineRule="auto"/>
        <w:textAlignment w:val="auto"/>
        <w:rPr>
          <w:rFonts w:eastAsia="Aptos"/>
          <w:lang w:val="en-GB"/>
        </w:rPr>
      </w:pPr>
      <w:r w:rsidRPr="00EA5615">
        <w:rPr>
          <w:rFonts w:eastAsia="Calibri" w:cs="Calibri"/>
          <w:lang w:val="en-GB"/>
        </w:rPr>
        <w:t>1</w:t>
      </w:r>
      <w:r w:rsidR="00E13DB2">
        <w:rPr>
          <w:rFonts w:eastAsia="Calibri" w:cs="Calibri"/>
          <w:lang w:val="en-GB"/>
        </w:rPr>
        <w:t>7</w:t>
      </w:r>
      <w:r w:rsidRPr="00EA5615">
        <w:rPr>
          <w:rFonts w:eastAsia="Calibri" w:cs="Calibri"/>
          <w:lang w:val="en-GB"/>
        </w:rPr>
        <w:t>.14</w:t>
      </w:r>
      <w:r w:rsidRPr="00EA5615">
        <w:rPr>
          <w:lang w:val="en-GB"/>
        </w:rPr>
        <w:tab/>
        <w:t>The committee recommends that the Council:</w:t>
      </w:r>
    </w:p>
    <w:p w14:paraId="70C0AA01" w14:textId="77777777" w:rsidR="00DF6D21" w:rsidRDefault="000354B8" w:rsidP="00C44A2E">
      <w:pPr>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80" w:line="259" w:lineRule="auto"/>
        <w:ind w:left="567" w:hanging="567"/>
        <w:textAlignment w:val="auto"/>
        <w:rPr>
          <w:rFonts w:eastAsia="Calibri" w:cs="Calibri"/>
          <w:lang w:val="en-GB"/>
        </w:rPr>
      </w:pPr>
      <w:r w:rsidRPr="00EA5615">
        <w:rPr>
          <w:rFonts w:eastAsia="Aptos"/>
          <w:lang w:val="en-GB"/>
        </w:rPr>
        <w:t>•</w:t>
      </w:r>
      <w:r w:rsidRPr="00EA5615">
        <w:rPr>
          <w:rFonts w:eastAsia="Aptos"/>
          <w:lang w:val="en-GB"/>
        </w:rPr>
        <w:tab/>
      </w:r>
      <w:r w:rsidRPr="00EA5615">
        <w:rPr>
          <w:rFonts w:eastAsia="Calibri" w:cs="Calibri"/>
          <w:lang w:val="en-GB"/>
        </w:rPr>
        <w:t xml:space="preserve">note the report contained in Document </w:t>
      </w:r>
      <w:hyperlink r:id="rId57">
        <w:r w:rsidRPr="00EA5615">
          <w:rPr>
            <w:rStyle w:val="Hyperlink"/>
            <w:lang w:val="en-GB"/>
          </w:rPr>
          <w:t>C26/16</w:t>
        </w:r>
      </w:hyperlink>
      <w:r w:rsidRPr="00EA5615">
        <w:rPr>
          <w:rFonts w:eastAsia="Calibri" w:cs="Calibri"/>
          <w:lang w:val="en-GB"/>
        </w:rPr>
        <w:t>;</w:t>
      </w:r>
    </w:p>
    <w:p w14:paraId="7C360389" w14:textId="36D1463B" w:rsidR="001253FC" w:rsidRPr="00EA5615" w:rsidRDefault="000354B8" w:rsidP="00C44A2E">
      <w:pPr>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80" w:line="259" w:lineRule="auto"/>
        <w:ind w:left="567" w:hanging="567"/>
        <w:textAlignment w:val="auto"/>
        <w:rPr>
          <w:lang w:val="en-GB"/>
        </w:rPr>
      </w:pPr>
      <w:r w:rsidRPr="00EA5615">
        <w:rPr>
          <w:rFonts w:eastAsia="Calibri" w:cs="Calibri"/>
          <w:lang w:val="en-GB"/>
        </w:rPr>
        <w:t xml:space="preserve"> </w:t>
      </w:r>
      <w:r w:rsidR="00DF6D21" w:rsidRPr="00EA5615">
        <w:rPr>
          <w:rFonts w:eastAsia="Aptos"/>
          <w:lang w:val="en-GB"/>
        </w:rPr>
        <w:t>•</w:t>
      </w:r>
      <w:r w:rsidR="00DF6D21" w:rsidRPr="00EA5615">
        <w:rPr>
          <w:rFonts w:eastAsia="Aptos"/>
          <w:lang w:val="en-GB"/>
        </w:rPr>
        <w:tab/>
      </w:r>
      <w:r w:rsidR="00DF6D21">
        <w:rPr>
          <w:rFonts w:eastAsia="Aptos"/>
          <w:lang w:val="en-GB"/>
        </w:rPr>
        <w:t xml:space="preserve">consider the contribution contained in Document C26/75, aimed at strengthening the resources of the Space Services Department to address the backlog in the processing of satellite network and system filings, including in the context of the allocation of the 2025 savings (Document C26/42(Rev.2)); </w:t>
      </w:r>
      <w:r w:rsidRPr="00EA5615">
        <w:rPr>
          <w:rFonts w:eastAsia="Calibri" w:cs="Calibri"/>
          <w:lang w:val="en-GB"/>
        </w:rPr>
        <w:t>and</w:t>
      </w:r>
    </w:p>
    <w:p w14:paraId="51188971" w14:textId="522952D0" w:rsidR="001253FC" w:rsidRPr="00EA5615" w:rsidRDefault="001253FC" w:rsidP="00C44A2E">
      <w:pPr>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80" w:line="259" w:lineRule="auto"/>
        <w:ind w:left="567" w:hanging="567"/>
        <w:textAlignment w:val="auto"/>
        <w:rPr>
          <w:rFonts w:eastAsia="Calibri" w:cs="Calibri"/>
          <w:lang w:val="en-GB"/>
        </w:rPr>
      </w:pPr>
      <w:r w:rsidRPr="00EA5615">
        <w:rPr>
          <w:rFonts w:eastAsia="Aptos"/>
          <w:lang w:val="en-GB"/>
        </w:rPr>
        <w:t>•</w:t>
      </w:r>
      <w:r w:rsidRPr="00EA5615">
        <w:rPr>
          <w:rFonts w:eastAsia="Aptos"/>
          <w:lang w:val="en-GB"/>
        </w:rPr>
        <w:tab/>
      </w:r>
      <w:r w:rsidRPr="00EA5615">
        <w:rPr>
          <w:rFonts w:eastAsia="Calibri" w:cs="Calibri"/>
          <w:lang w:val="en-GB"/>
        </w:rPr>
        <w:t xml:space="preserve">task CWG-FHR </w:t>
      </w:r>
      <w:r w:rsidR="00DF6D21">
        <w:rPr>
          <w:rFonts w:eastAsia="Calibri" w:cs="Calibri"/>
          <w:lang w:val="en-GB"/>
        </w:rPr>
        <w:t xml:space="preserve">to conduct a cost assessment related to the implementation of </w:t>
      </w:r>
      <w:r w:rsidRPr="00EA5615">
        <w:rPr>
          <w:rFonts w:eastAsia="Calibri" w:cs="Calibri"/>
          <w:lang w:val="en-GB"/>
        </w:rPr>
        <w:t>Resolutions 35 (Rev.WRC-23) and 8 (WRC-23).</w:t>
      </w:r>
    </w:p>
    <w:p w14:paraId="568E0239" w14:textId="0735E5BB" w:rsidR="00E8764E" w:rsidRPr="00EA5615" w:rsidRDefault="00E8764E" w:rsidP="00E8764E">
      <w:pPr>
        <w:pStyle w:val="Heading1"/>
        <w:rPr>
          <w:lang w:val="en-GB"/>
        </w:rPr>
      </w:pPr>
      <w:r w:rsidRPr="00EA5615">
        <w:rPr>
          <w:lang w:val="en-GB"/>
        </w:rPr>
        <w:t>1</w:t>
      </w:r>
      <w:r w:rsidR="00E13DB2">
        <w:rPr>
          <w:lang w:val="en-GB"/>
        </w:rPr>
        <w:t>8</w:t>
      </w:r>
      <w:r w:rsidRPr="00EA5615">
        <w:rPr>
          <w:lang w:val="en-GB"/>
        </w:rPr>
        <w:tab/>
        <w:t xml:space="preserve">Satellite network filings – Draft methodology (Document </w:t>
      </w:r>
      <w:hyperlink r:id="rId58" w:history="1">
        <w:r w:rsidRPr="00EA5615">
          <w:rPr>
            <w:rStyle w:val="Hyperlink"/>
            <w:bCs/>
            <w:lang w:val="en-GB"/>
          </w:rPr>
          <w:t>C26/</w:t>
        </w:r>
        <w:r w:rsidRPr="00EA5615">
          <w:rPr>
            <w:rStyle w:val="Hyperlink"/>
            <w:lang w:val="en-GB"/>
          </w:rPr>
          <w:t>19</w:t>
        </w:r>
      </w:hyperlink>
      <w:r w:rsidRPr="00EA5615">
        <w:rPr>
          <w:lang w:val="en-GB"/>
        </w:rPr>
        <w:t>)</w:t>
      </w:r>
    </w:p>
    <w:p w14:paraId="20F82212" w14:textId="2B271E26" w:rsidR="00E8764E" w:rsidRPr="00EA5615" w:rsidRDefault="00E8764E" w:rsidP="006A4CE1">
      <w:pPr>
        <w:pStyle w:val="Headingb"/>
        <w:ind w:left="540"/>
        <w:rPr>
          <w:sz w:val="28"/>
          <w:szCs w:val="28"/>
          <w:lang w:val="en-GB"/>
        </w:rPr>
      </w:pPr>
      <w:r w:rsidRPr="00EA5615">
        <w:rPr>
          <w:sz w:val="28"/>
          <w:szCs w:val="28"/>
          <w:lang w:val="en-GB"/>
        </w:rPr>
        <w:t xml:space="preserve">Application of Decision 482 - Case study on indirect costs associated with satellite network and system filings and proposed methodological framework (Document </w:t>
      </w:r>
      <w:hyperlink r:id="rId59" w:history="1">
        <w:r w:rsidRPr="00EA5615">
          <w:rPr>
            <w:rStyle w:val="Hyperlink"/>
            <w:sz w:val="28"/>
            <w:szCs w:val="28"/>
            <w:lang w:val="en-GB"/>
          </w:rPr>
          <w:t>C26/84</w:t>
        </w:r>
      </w:hyperlink>
      <w:r w:rsidRPr="00EA5615">
        <w:rPr>
          <w:sz w:val="28"/>
          <w:szCs w:val="28"/>
          <w:lang w:val="en-GB"/>
        </w:rPr>
        <w:t>)</w:t>
      </w:r>
    </w:p>
    <w:p w14:paraId="6A3FCC73" w14:textId="16BC61C3" w:rsidR="00E8764E" w:rsidRPr="00EA5615" w:rsidRDefault="00E8764E" w:rsidP="006A4CE1">
      <w:pPr>
        <w:pStyle w:val="Headingb"/>
        <w:ind w:left="540"/>
        <w:rPr>
          <w:sz w:val="28"/>
          <w:szCs w:val="28"/>
          <w:lang w:val="en-GB"/>
        </w:rPr>
      </w:pPr>
      <w:r w:rsidRPr="00EA5615">
        <w:rPr>
          <w:sz w:val="28"/>
          <w:szCs w:val="28"/>
          <w:lang w:val="en-GB"/>
        </w:rPr>
        <w:t>Comments and proposals on satellite network filings draft methodology</w:t>
      </w:r>
      <w:r w:rsidRPr="00EA5615">
        <w:rPr>
          <w:sz w:val="28"/>
          <w:szCs w:val="28"/>
          <w:lang w:val="en-GB"/>
        </w:rPr>
        <w:tab/>
        <w:t xml:space="preserve">(Document </w:t>
      </w:r>
      <w:hyperlink r:id="rId60" w:history="1">
        <w:r w:rsidRPr="00EA5615">
          <w:rPr>
            <w:rStyle w:val="Hyperlink"/>
            <w:sz w:val="28"/>
            <w:szCs w:val="28"/>
            <w:lang w:val="en-GB"/>
          </w:rPr>
          <w:t>C26/96</w:t>
        </w:r>
      </w:hyperlink>
      <w:r w:rsidRPr="00EA5615">
        <w:rPr>
          <w:sz w:val="28"/>
          <w:szCs w:val="28"/>
          <w:lang w:val="en-GB"/>
        </w:rPr>
        <w:t>)</w:t>
      </w:r>
    </w:p>
    <w:p w14:paraId="476B52CF" w14:textId="640BC263" w:rsidR="00A747A1" w:rsidRPr="00EA5615" w:rsidRDefault="00A747A1" w:rsidP="006A4CE1">
      <w:pPr>
        <w:pStyle w:val="Headingb"/>
        <w:ind w:left="540"/>
        <w:rPr>
          <w:sz w:val="28"/>
          <w:szCs w:val="28"/>
          <w:lang w:val="en-GB"/>
        </w:rPr>
      </w:pPr>
      <w:r w:rsidRPr="00EA5615">
        <w:rPr>
          <w:sz w:val="28"/>
          <w:szCs w:val="28"/>
          <w:lang w:val="en-GB"/>
        </w:rPr>
        <w:t xml:space="preserve">Enhancing satellite network filing (SNF) cost recovery and addressing processing delays in the Radiocommunication Bureau </w:t>
      </w:r>
      <w:r w:rsidR="007A6925">
        <w:rPr>
          <w:sz w:val="28"/>
          <w:szCs w:val="28"/>
          <w:lang w:val="en-GB"/>
        </w:rPr>
        <w:br/>
      </w:r>
      <w:r w:rsidRPr="00EA5615">
        <w:rPr>
          <w:sz w:val="28"/>
          <w:szCs w:val="28"/>
          <w:lang w:val="en-GB"/>
        </w:rPr>
        <w:t xml:space="preserve">(Document </w:t>
      </w:r>
      <w:hyperlink r:id="rId61" w:history="1">
        <w:r w:rsidRPr="00EA5615">
          <w:rPr>
            <w:rStyle w:val="Hyperlink"/>
            <w:sz w:val="28"/>
            <w:szCs w:val="28"/>
            <w:lang w:val="en-GB"/>
          </w:rPr>
          <w:t>C26/98</w:t>
        </w:r>
      </w:hyperlink>
      <w:r w:rsidRPr="00EA5615">
        <w:rPr>
          <w:sz w:val="28"/>
          <w:szCs w:val="28"/>
          <w:lang w:val="en-GB"/>
        </w:rPr>
        <w:t>)</w:t>
      </w:r>
    </w:p>
    <w:p w14:paraId="7B549986" w14:textId="43B89D78" w:rsidR="00A747A1" w:rsidRPr="00EA5615" w:rsidRDefault="00A747A1" w:rsidP="006A4CE1">
      <w:pPr>
        <w:pStyle w:val="Headingb"/>
        <w:ind w:left="540"/>
        <w:rPr>
          <w:sz w:val="28"/>
          <w:szCs w:val="28"/>
          <w:lang w:val="en-GB"/>
        </w:rPr>
      </w:pPr>
      <w:r w:rsidRPr="00EA5615">
        <w:rPr>
          <w:sz w:val="28"/>
          <w:szCs w:val="28"/>
          <w:lang w:val="en-GB"/>
        </w:rPr>
        <w:t xml:space="preserve">Improvement of cost recovery mechanism for satellite network filings (Document </w:t>
      </w:r>
      <w:hyperlink r:id="rId62" w:history="1">
        <w:r w:rsidRPr="00EA5615">
          <w:rPr>
            <w:rStyle w:val="Hyperlink"/>
            <w:sz w:val="28"/>
            <w:szCs w:val="28"/>
            <w:lang w:val="en-GB"/>
          </w:rPr>
          <w:t>C26/90</w:t>
        </w:r>
      </w:hyperlink>
      <w:r w:rsidRPr="00EA5615">
        <w:rPr>
          <w:sz w:val="28"/>
          <w:szCs w:val="28"/>
          <w:lang w:val="en-GB"/>
        </w:rPr>
        <w:t>)</w:t>
      </w:r>
    </w:p>
    <w:p w14:paraId="269BC599" w14:textId="5D886EF8"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.1</w:t>
      </w:r>
      <w:r w:rsidRPr="00EA5615">
        <w:rPr>
          <w:rFonts w:cs="Calibri"/>
          <w:lang w:val="en-GB"/>
        </w:rPr>
        <w:tab/>
        <w:t xml:space="preserve">A representative of </w:t>
      </w:r>
      <w:r w:rsidR="0045689E" w:rsidRPr="00EA5615">
        <w:rPr>
          <w:rFonts w:cs="Calibri"/>
          <w:lang w:val="en-GB"/>
        </w:rPr>
        <w:t>the General Secretariat</w:t>
      </w:r>
      <w:r w:rsidRPr="00EA5615">
        <w:rPr>
          <w:rFonts w:cs="Calibri"/>
          <w:lang w:val="en-GB"/>
        </w:rPr>
        <w:t xml:space="preserve"> introduced Document C26/19, which contained an overview of the proposed methodology for the recovery of costs associated with </w:t>
      </w:r>
      <w:r w:rsidR="0045689E" w:rsidRPr="00EA5615">
        <w:rPr>
          <w:rFonts w:cs="Calibri"/>
          <w:lang w:val="en-GB"/>
        </w:rPr>
        <w:t xml:space="preserve">the processing of </w:t>
      </w:r>
      <w:r w:rsidRPr="00EA5615">
        <w:rPr>
          <w:rFonts w:cs="Calibri"/>
          <w:lang w:val="en-GB"/>
        </w:rPr>
        <w:t xml:space="preserve">satellite network filings. He explained that, following comments from CWG-FHR, the proposed “true-up/true-down” methodology, which had been considered overly complex, was no longer being pursued. The General Secretariat proposed two options to reduce the scope of the free entitlement regime for Member States: the first option was to restrict the free entitlement to the least expensive filing for the year; the second was to limit its application to </w:t>
      </w:r>
      <w:r w:rsidR="00347198" w:rsidRPr="00EA5615">
        <w:rPr>
          <w:rFonts w:cs="Calibri"/>
          <w:lang w:val="en-GB"/>
        </w:rPr>
        <w:t>LDCs</w:t>
      </w:r>
      <w:r w:rsidRPr="00EA5615">
        <w:rPr>
          <w:rFonts w:cs="Calibri"/>
          <w:lang w:val="en-GB"/>
        </w:rPr>
        <w:t>, small island developing States</w:t>
      </w:r>
      <w:r w:rsidR="00347198" w:rsidRPr="00EA5615">
        <w:rPr>
          <w:rFonts w:cs="Calibri"/>
          <w:lang w:val="en-GB"/>
        </w:rPr>
        <w:t xml:space="preserve"> (SIDS)</w:t>
      </w:r>
      <w:r w:rsidRPr="00EA5615">
        <w:rPr>
          <w:rFonts w:cs="Calibri"/>
          <w:lang w:val="en-GB"/>
        </w:rPr>
        <w:t>, landlocked developing countries</w:t>
      </w:r>
      <w:r w:rsidR="00347198" w:rsidRPr="00EA5615">
        <w:rPr>
          <w:rFonts w:cs="Calibri"/>
          <w:lang w:val="en-GB"/>
        </w:rPr>
        <w:t xml:space="preserve"> (LLDCs)</w:t>
      </w:r>
      <w:r w:rsidRPr="00EA5615">
        <w:rPr>
          <w:rFonts w:cs="Calibri"/>
          <w:lang w:val="en-GB"/>
        </w:rPr>
        <w:t xml:space="preserve"> and countries with economies in transition. Lastly, he outlined the costs associated with direct costs, which were those costs that were directly attributable to the processing of satellite network filings, such as the costs of BR staff, systems and software, as well as certain costs of other departments; and indirect costs, which included facilities management, human resources, oversight, training and development, and after-service health insurance (ASHI) liabilities.</w:t>
      </w:r>
    </w:p>
    <w:p w14:paraId="0E65A6F3" w14:textId="1E80D7A7"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.2</w:t>
      </w:r>
      <w:r w:rsidRPr="00EA5615">
        <w:rPr>
          <w:rFonts w:cs="Calibri"/>
          <w:lang w:val="en-GB"/>
        </w:rPr>
        <w:tab/>
        <w:t>The councillor from Argentina presented the contribution in Document C26/84, which contained an analysis of the direct and indirect costs associated with the application of Decision 482 (C01, last amended C25), on the implementation of cost recovery for satellite network filings, and proposed introducing a clear framework and capping indirect costs at 30 per cent of total direct costs.</w:t>
      </w:r>
    </w:p>
    <w:p w14:paraId="7AFFCD85" w14:textId="0FEA1437"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.3</w:t>
      </w:r>
      <w:r w:rsidRPr="00EA5615">
        <w:rPr>
          <w:rFonts w:cs="Calibri"/>
          <w:lang w:val="en-GB"/>
        </w:rPr>
        <w:tab/>
        <w:t>The councillor from the United States presented the contribution in Document C26/96, which contained comments and proposals on the proposed methodology for the recovery of costs associated with satellite network filings. The processing of satellite network filings and re</w:t>
      </w:r>
      <w:r w:rsidR="0045689E" w:rsidRPr="00EA5615">
        <w:rPr>
          <w:rFonts w:cs="Calibri"/>
          <w:lang w:val="en-GB"/>
        </w:rPr>
        <w:t>cording</w:t>
      </w:r>
      <w:r w:rsidRPr="00EA5615">
        <w:rPr>
          <w:rFonts w:cs="Calibri"/>
          <w:lang w:val="en-GB"/>
        </w:rPr>
        <w:t xml:space="preserve"> of frequency assignments were treaty-mandated, core activities of BR; an appropriate level of the direct and indirect costs incurred should therefore be recovered. However, clarification on the intended scope of “full cost recovery” in Resolution 91 (Rev. Guadalajara, 2010) of the Plenipotentiary Conference was needed before any cost-recovery methodology could be agreed. Further discussion of what constituted indirect costs was likewise necessary.</w:t>
      </w:r>
    </w:p>
    <w:p w14:paraId="3B68165F" w14:textId="4A1BCF05"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.4</w:t>
      </w:r>
      <w:r w:rsidRPr="00EA5615">
        <w:rPr>
          <w:rFonts w:cs="Calibri"/>
          <w:lang w:val="en-GB"/>
        </w:rPr>
        <w:tab/>
        <w:t>The councillor from Saudi Arabia presented the multicountry contribution in Document C26/98, sponsored by five countries, which contained several proposals aimed at enhancing the recovery of costs associated with satellite network filings and addressing processing delays in BR.</w:t>
      </w:r>
    </w:p>
    <w:p w14:paraId="6012B388" w14:textId="1BD421F3"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.5</w:t>
      </w:r>
      <w:r w:rsidRPr="00EA5615">
        <w:rPr>
          <w:rFonts w:cs="Calibri"/>
          <w:lang w:val="en-GB"/>
        </w:rPr>
        <w:tab/>
      </w:r>
      <w:r w:rsidR="00347198" w:rsidRPr="00EA5615">
        <w:rPr>
          <w:rFonts w:cs="Calibri"/>
          <w:lang w:val="en-GB"/>
        </w:rPr>
        <w:t xml:space="preserve">Having received </w:t>
      </w:r>
      <w:r w:rsidRPr="00EA5615">
        <w:rPr>
          <w:rFonts w:cs="Calibri"/>
          <w:lang w:val="en-GB"/>
        </w:rPr>
        <w:t>the support of a councillor, the observer from the Russian Federation presented the multicountry contribution in Document C26/90, sponsored by three observer countries. It contained a proposal to revise the cost recovery mechanism to exclude from satellite operators’ fees the indirect costs associated with processing satellite network filings, which should instead be financed from the regular budget.</w:t>
      </w:r>
    </w:p>
    <w:p w14:paraId="2E7E1F89" w14:textId="0C4EC682"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.6</w:t>
      </w:r>
      <w:r w:rsidRPr="00EA5615">
        <w:rPr>
          <w:rFonts w:cs="Calibri"/>
          <w:lang w:val="en-GB"/>
        </w:rPr>
        <w:tab/>
        <w:t xml:space="preserve">Several councillors welcomed the </w:t>
      </w:r>
      <w:r w:rsidR="0045689E" w:rsidRPr="00EA5615">
        <w:rPr>
          <w:rFonts w:cs="Calibri"/>
          <w:lang w:val="en-GB"/>
        </w:rPr>
        <w:t>s</w:t>
      </w:r>
      <w:r w:rsidRPr="00EA5615">
        <w:rPr>
          <w:rFonts w:cs="Calibri"/>
          <w:lang w:val="en-GB"/>
        </w:rPr>
        <w:t>ecretariat’s proposed cost-recovery methodology, including the activity-based costing model, as an important step towards greater transparency, sustainability and fairness. Appreciation was expressed for the efforts made to address the concerns of members of CWG-FHR and to provide clear distinctions between direct and indirect costs. It was noted that, under the current system, not all costs were fully recovered, hinting at a degree of hidden subsidization</w:t>
      </w:r>
      <w:r w:rsidR="000D4885">
        <w:rPr>
          <w:rFonts w:cs="Calibri"/>
          <w:lang w:val="en-GB"/>
        </w:rPr>
        <w:t xml:space="preserve"> </w:t>
      </w:r>
      <w:r w:rsidR="000257B5">
        <w:rPr>
          <w:rFonts w:cs="Calibri"/>
          <w:lang w:val="en-GB"/>
        </w:rPr>
        <w:t>from the regular budget</w:t>
      </w:r>
      <w:r w:rsidRPr="00EA5615">
        <w:rPr>
          <w:rFonts w:cs="Calibri"/>
          <w:lang w:val="en-GB"/>
        </w:rPr>
        <w:t>. Some councillors underscored the need for a balanced approach to cost recovery that avoided placing a disproportionate burden on developing countries or creating barriers to entry. One councillor emphasized the importance of the predictability and stability of fees and the need for differentiated approaches in respect of GSO and non-GSO satellite projects. Some councillors said that they considered the indirect cost benchmark of 23.7 per cent of total costs to be reasonable; another councillor wondered whether a lower benchmark had been considered.</w:t>
      </w:r>
    </w:p>
    <w:p w14:paraId="26778A2B" w14:textId="5615F68F" w:rsidR="004E6A08" w:rsidRPr="00EA5615" w:rsidRDefault="004E6A08" w:rsidP="004E6A08">
      <w:pPr>
        <w:rPr>
          <w:rFonts w:cs="Calibri"/>
          <w:lang w:val="en-GB"/>
        </w:rPr>
      </w:pPr>
      <w:r w:rsidRPr="00EA5615">
        <w:rPr>
          <w:rFonts w:cs="Calibri"/>
          <w:lang w:val="en-GB"/>
        </w:rPr>
        <w:t>1</w:t>
      </w:r>
      <w:r w:rsidR="00E13DB2">
        <w:rPr>
          <w:rFonts w:cs="Calibri"/>
          <w:lang w:val="en-GB"/>
        </w:rPr>
        <w:t>8</w:t>
      </w:r>
      <w:r w:rsidRPr="00EA5615">
        <w:rPr>
          <w:rFonts w:cs="Calibri"/>
          <w:lang w:val="en-GB"/>
        </w:rPr>
        <w:t>.7</w:t>
      </w:r>
      <w:r w:rsidRPr="00EA5615">
        <w:rPr>
          <w:rFonts w:cs="Calibri"/>
          <w:lang w:val="en-GB"/>
        </w:rPr>
        <w:tab/>
        <w:t xml:space="preserve">A number of councillors drew attention to the principle of full cost recovery that was enshrined in Resolution 91 (Rev. Guadalajara, 2010) of the Plenipotentiary Conference. Some councillors voiced support for those costs to include direct and indirect costs associated with the processing of satellite network filings. Other councillors and an observer recalled that discussions in CWG-FHR had served to highlight different interpretations of Resolution 91 (Rev. Guadalajara, 2010) and the cost-recovery regime. It was therefore premature to consider endorsing the </w:t>
      </w:r>
      <w:r w:rsidR="00347198" w:rsidRPr="00EA5615">
        <w:rPr>
          <w:rFonts w:cs="Calibri"/>
          <w:lang w:val="en-GB"/>
        </w:rPr>
        <w:t>s</w:t>
      </w:r>
      <w:r w:rsidRPr="00EA5615">
        <w:rPr>
          <w:rFonts w:cs="Calibri"/>
          <w:lang w:val="en-GB"/>
        </w:rPr>
        <w:t>ecretariat’s proposed methodology. The logical approach was to await the discussions and outcomes of the Plenipotentiary Conference, which might include modification of Resolution 91 (Rev. Guadalajara, 2010), and to continue deliberations thereon in CWG-FHR in the run up to the 2027 session of the Council.</w:t>
      </w:r>
    </w:p>
    <w:p w14:paraId="37878A7B" w14:textId="445DCCB9" w:rsidR="004E6A08" w:rsidRPr="00EA5615" w:rsidRDefault="004E6A08" w:rsidP="004E6A08">
      <w:pPr>
        <w:rPr>
          <w:rFonts w:cs="Calibri"/>
          <w:lang w:val="en-GB"/>
        </w:rPr>
      </w:pPr>
      <w:r w:rsidRPr="00EA5615">
        <w:rPr>
          <w:rFonts w:cs="Calibri"/>
          <w:lang w:val="en-GB"/>
        </w:rPr>
        <w:t>1</w:t>
      </w:r>
      <w:r w:rsidR="00C76D7E">
        <w:rPr>
          <w:rFonts w:cs="Calibri"/>
          <w:lang w:val="en-GB"/>
        </w:rPr>
        <w:t>8</w:t>
      </w:r>
      <w:r w:rsidRPr="00EA5615">
        <w:rPr>
          <w:rFonts w:cs="Calibri"/>
          <w:lang w:val="en-GB"/>
        </w:rPr>
        <w:t>.8</w:t>
      </w:r>
      <w:r w:rsidRPr="00EA5615">
        <w:rPr>
          <w:rFonts w:cs="Calibri"/>
          <w:lang w:val="en-GB"/>
        </w:rPr>
        <w:tab/>
        <w:t>Regarding free entitlements, several councillors emphasized that the regime was a critical component of the system and that all Member States had an equal right to an adequate level of products or services free of charge. Some councillors noted concerns about abuse or misuse of the regime, inequities in its application and the possibility of hidden subsidization in favour of the strongest entities. Some councillors stressed that, in its current format, the regime did not adequately address the needs of developing countries, nor was it aligned with the spirit and intent of Resolution 91 (Rev. Guadalajara, 2010). A number of councillors expressed support for the revision of Decision 482 (C01, last amended C25); one councillor pointed out that its most recent amendments, through which certain categories had been excluded from free entitlements, had only entered into force in January 2026. Time was needed for those changes to be implemented before further modifications were made. Some councillors voiced opposition to any structural changes or restrictions placed on free entitlements. Two councillors stressed that the costs of free entitlements should not be included in cost recovery efforts.</w:t>
      </w:r>
    </w:p>
    <w:p w14:paraId="3AD48458" w14:textId="5D2154FB" w:rsidR="004E6A08" w:rsidRPr="00EA5615" w:rsidRDefault="004E6A08" w:rsidP="004E6A08">
      <w:pPr>
        <w:rPr>
          <w:rFonts w:cs="Calibri"/>
          <w:lang w:val="en-GB"/>
        </w:rPr>
      </w:pPr>
      <w:r w:rsidRPr="00EA5615">
        <w:rPr>
          <w:rFonts w:cs="Calibri"/>
          <w:lang w:val="en-GB"/>
        </w:rPr>
        <w:t>1</w:t>
      </w:r>
      <w:r w:rsidR="00C76D7E">
        <w:rPr>
          <w:rFonts w:cs="Calibri"/>
          <w:lang w:val="en-GB"/>
        </w:rPr>
        <w:t>8</w:t>
      </w:r>
      <w:r w:rsidRPr="00EA5615">
        <w:rPr>
          <w:rFonts w:cs="Calibri"/>
          <w:lang w:val="en-GB"/>
        </w:rPr>
        <w:t>.9</w:t>
      </w:r>
      <w:r w:rsidRPr="00EA5615">
        <w:rPr>
          <w:rFonts w:cs="Calibri"/>
          <w:lang w:val="en-GB"/>
        </w:rPr>
        <w:tab/>
        <w:t xml:space="preserve">Two councillors sought information on how the </w:t>
      </w:r>
      <w:r w:rsidR="00347198" w:rsidRPr="00EA5615">
        <w:rPr>
          <w:rFonts w:cs="Calibri"/>
          <w:lang w:val="en-GB"/>
        </w:rPr>
        <w:t>s</w:t>
      </w:r>
      <w:r w:rsidRPr="00EA5615">
        <w:rPr>
          <w:rFonts w:cs="Calibri"/>
          <w:lang w:val="en-GB"/>
        </w:rPr>
        <w:t xml:space="preserve">ecretariat’s two proposed options for reform of the free entitlements regime incorporated the principles of equal access and fairness, took account of financial and technological aspects and prevented abuse of the system. One councillor expressed support for the first option, limiting the annual free filing to the least expensive filing; two councillors favoured the second option, limiting free entitlements to </w:t>
      </w:r>
      <w:r w:rsidR="00347198" w:rsidRPr="00EA5615">
        <w:rPr>
          <w:rFonts w:cs="Calibri"/>
          <w:lang w:val="en-GB"/>
        </w:rPr>
        <w:t>LDCs</w:t>
      </w:r>
      <w:r w:rsidRPr="00EA5615">
        <w:rPr>
          <w:rFonts w:cs="Calibri"/>
          <w:lang w:val="en-GB"/>
        </w:rPr>
        <w:t xml:space="preserve">, </w:t>
      </w:r>
      <w:r w:rsidR="00347198" w:rsidRPr="00EA5615">
        <w:rPr>
          <w:rFonts w:cs="Calibri"/>
          <w:lang w:val="en-GB"/>
        </w:rPr>
        <w:t>SIDS</w:t>
      </w:r>
      <w:r w:rsidRPr="00EA5615">
        <w:rPr>
          <w:rFonts w:cs="Calibri"/>
          <w:lang w:val="en-GB"/>
        </w:rPr>
        <w:t xml:space="preserve">, </w:t>
      </w:r>
      <w:r w:rsidR="00347198" w:rsidRPr="00EA5615">
        <w:rPr>
          <w:rFonts w:cs="Calibri"/>
          <w:lang w:val="en-GB"/>
        </w:rPr>
        <w:t>LLDCs</w:t>
      </w:r>
      <w:r w:rsidRPr="00EA5615">
        <w:rPr>
          <w:rFonts w:cs="Calibri"/>
          <w:lang w:val="en-GB"/>
        </w:rPr>
        <w:t xml:space="preserve"> and countries with economies in transition; some councillors found neither option to be workable. Alternatives could be considered, such as the introduction of a maximum </w:t>
      </w:r>
      <w:r w:rsidR="00347198" w:rsidRPr="00EA5615">
        <w:rPr>
          <w:rFonts w:cs="Calibri"/>
          <w:lang w:val="en-GB"/>
        </w:rPr>
        <w:t xml:space="preserve">limit </w:t>
      </w:r>
      <w:r w:rsidRPr="00EA5615">
        <w:rPr>
          <w:rFonts w:cs="Calibri"/>
          <w:lang w:val="en-GB"/>
        </w:rPr>
        <w:t xml:space="preserve">for free filing and a reduction in the frequency of free filings. Some councillors </w:t>
      </w:r>
      <w:r w:rsidR="002A441B" w:rsidRPr="00EA5615">
        <w:rPr>
          <w:rFonts w:cs="Calibri"/>
          <w:lang w:val="en-GB"/>
        </w:rPr>
        <w:t xml:space="preserve">said it was necessary </w:t>
      </w:r>
      <w:r w:rsidRPr="00EA5615">
        <w:rPr>
          <w:rFonts w:cs="Calibri"/>
          <w:lang w:val="en-GB"/>
        </w:rPr>
        <w:t>to await the</w:t>
      </w:r>
      <w:r w:rsidR="00347198" w:rsidRPr="00EA5615">
        <w:rPr>
          <w:rFonts w:cs="Calibri"/>
          <w:lang w:val="en-GB"/>
        </w:rPr>
        <w:t xml:space="preserve"> outcomes of </w:t>
      </w:r>
      <w:r w:rsidR="006B0B6B">
        <w:rPr>
          <w:rFonts w:cs="Calibri"/>
          <w:lang w:val="en-GB"/>
        </w:rPr>
        <w:t>PP-26</w:t>
      </w:r>
      <w:r w:rsidRPr="00EA5615">
        <w:rPr>
          <w:rFonts w:cs="Calibri"/>
          <w:lang w:val="en-GB"/>
        </w:rPr>
        <w:t xml:space="preserve">. Further work on the matter could also continue in CWG-FHR. </w:t>
      </w:r>
    </w:p>
    <w:p w14:paraId="614FB680" w14:textId="4188ADD1" w:rsidR="004E6A08" w:rsidRPr="00EA5615" w:rsidRDefault="004E6A08" w:rsidP="004E6A08">
      <w:pPr>
        <w:rPr>
          <w:rFonts w:cs="Calibri"/>
          <w:lang w:val="en-GB"/>
        </w:rPr>
      </w:pPr>
      <w:r w:rsidRPr="00EA5615">
        <w:rPr>
          <w:rFonts w:cs="Calibri"/>
          <w:lang w:val="en-GB"/>
        </w:rPr>
        <w:t>1</w:t>
      </w:r>
      <w:r w:rsidR="00C76D7E">
        <w:rPr>
          <w:rFonts w:cs="Calibri"/>
          <w:lang w:val="en-GB"/>
        </w:rPr>
        <w:t>8</w:t>
      </w:r>
      <w:r w:rsidRPr="00EA5615">
        <w:rPr>
          <w:rFonts w:cs="Calibri"/>
          <w:lang w:val="en-GB"/>
        </w:rPr>
        <w:t>.10</w:t>
      </w:r>
      <w:r w:rsidRPr="00EA5615">
        <w:rPr>
          <w:rFonts w:cs="Calibri"/>
          <w:lang w:val="en-GB"/>
        </w:rPr>
        <w:tab/>
        <w:t>Regarding the multicountry contributions, some councillors expressed appreciation for the contribution of Argentina but considered that further study of the proposed cap on indirect costs was needed. One councillor opposed the introduction of a cap at the current time; efforts should be focused on developing and agreeing a cost-recovery methodology. Two councillors supported the main findings of the document presented by Saudi Arabia. Some councillors and an observer supported the United States contribution, including with regard to excluding the ASHI liability from indirect costs; another councillor emphasized that all BR personnel costs, including ASHI liability, should be included in the calculations. Two councillors, referring to the contribution presented by the observer from the Russian Federation, voiced opposition to the proposal to shift indirect costs to the regular budget, although one agreed that a comprehensive report on BR funding from the previous four-year cycle would be useful.</w:t>
      </w:r>
    </w:p>
    <w:p w14:paraId="46671529" w14:textId="78EB3600" w:rsidR="004E6A08" w:rsidRPr="00EA5615" w:rsidRDefault="004E6A08" w:rsidP="004E6A08">
      <w:pPr>
        <w:rPr>
          <w:rFonts w:cs="Calibri"/>
          <w:lang w:val="en-GB"/>
        </w:rPr>
      </w:pPr>
      <w:r w:rsidRPr="00EA5615">
        <w:rPr>
          <w:rFonts w:cs="Calibri"/>
          <w:lang w:val="en-GB"/>
        </w:rPr>
        <w:t>1</w:t>
      </w:r>
      <w:r w:rsidR="00C76D7E">
        <w:rPr>
          <w:rFonts w:cs="Calibri"/>
          <w:lang w:val="en-GB"/>
        </w:rPr>
        <w:t>8</w:t>
      </w:r>
      <w:r w:rsidRPr="00EA5615">
        <w:rPr>
          <w:rFonts w:cs="Calibri"/>
          <w:lang w:val="en-GB"/>
        </w:rPr>
        <w:t>.11</w:t>
      </w:r>
      <w:r w:rsidRPr="00EA5615">
        <w:rPr>
          <w:rFonts w:cs="Calibri"/>
          <w:lang w:val="en-GB"/>
        </w:rPr>
        <w:tab/>
      </w:r>
      <w:r w:rsidR="00347198" w:rsidRPr="00EA5615">
        <w:rPr>
          <w:rFonts w:cs="Calibri"/>
          <w:lang w:val="en-GB"/>
        </w:rPr>
        <w:t xml:space="preserve">A </w:t>
      </w:r>
      <w:r w:rsidRPr="00EA5615">
        <w:rPr>
          <w:rFonts w:cs="Calibri"/>
          <w:lang w:val="en-GB"/>
        </w:rPr>
        <w:t xml:space="preserve">representative of </w:t>
      </w:r>
      <w:r w:rsidR="00347198" w:rsidRPr="00EA5615">
        <w:rPr>
          <w:rFonts w:cs="Calibri"/>
          <w:lang w:val="en-GB"/>
        </w:rPr>
        <w:t xml:space="preserve">the General Secretariat </w:t>
      </w:r>
      <w:r w:rsidRPr="00EA5615">
        <w:rPr>
          <w:rFonts w:cs="Calibri"/>
          <w:lang w:val="en-GB"/>
        </w:rPr>
        <w:t xml:space="preserve">noted that there seemed to be general agreement on the methodology, albeit with further refinement. Responding to specific comments and questions, he explained that all BR staff costs, such as pension and health insurance costs, had been included in the calculations. The indirect cost of the ASHI liability, for example, had been calculated </w:t>
      </w:r>
      <w:proofErr w:type="gramStart"/>
      <w:r w:rsidRPr="00EA5615">
        <w:rPr>
          <w:rFonts w:cs="Calibri"/>
          <w:lang w:val="en-GB"/>
        </w:rPr>
        <w:t>on the basis of</w:t>
      </w:r>
      <w:proofErr w:type="gramEnd"/>
      <w:r w:rsidRPr="00EA5615">
        <w:rPr>
          <w:rFonts w:cs="Calibri"/>
          <w:lang w:val="en-GB"/>
        </w:rPr>
        <w:t xml:space="preserve"> the number of staff involved in satellite network filings versus total Union staff. Regarding the proposal by Argentina, it would be useful to have sight of the model used to calculate the proposed 30 per cent cap on indirect costs, although it seemed reasonable and within the benchmark set out in Document C26/19. Regarding the calculation of costs associated with the Information Services Department, he clarified that direct costs included activities specifically related to </w:t>
      </w:r>
      <w:r w:rsidR="00347198" w:rsidRPr="00EA5615">
        <w:rPr>
          <w:rFonts w:cs="Calibri"/>
          <w:lang w:val="en-GB"/>
        </w:rPr>
        <w:t xml:space="preserve">the processing of </w:t>
      </w:r>
      <w:r w:rsidRPr="00EA5615">
        <w:rPr>
          <w:rFonts w:cs="Calibri"/>
          <w:lang w:val="en-GB"/>
        </w:rPr>
        <w:t xml:space="preserve">satellite network filings, whereas indirect costs were based on the number of </w:t>
      </w:r>
      <w:r w:rsidR="00EF5453" w:rsidRPr="00EA5615">
        <w:rPr>
          <w:rFonts w:cs="Calibri"/>
          <w:lang w:val="en-GB"/>
        </w:rPr>
        <w:t xml:space="preserve">staff involved in the processing of </w:t>
      </w:r>
      <w:r w:rsidRPr="00EA5615">
        <w:rPr>
          <w:rFonts w:cs="Calibri"/>
          <w:lang w:val="en-GB"/>
        </w:rPr>
        <w:t xml:space="preserve">satellite network filings relative to total ITU headcount, reflecting the general use of IT infrastructure by staff across the Union. Information related to implementation of </w:t>
      </w:r>
      <w:r w:rsidR="00347198" w:rsidRPr="00EA5615">
        <w:rPr>
          <w:rFonts w:cs="Calibri"/>
          <w:lang w:val="en-GB"/>
        </w:rPr>
        <w:t>JIU</w:t>
      </w:r>
      <w:r w:rsidRPr="00EA5615">
        <w:rPr>
          <w:rFonts w:cs="Calibri"/>
          <w:lang w:val="en-GB"/>
        </w:rPr>
        <w:t xml:space="preserve"> recommendations regarding direct and indirect costs would be provided in future discussions. </w:t>
      </w:r>
    </w:p>
    <w:p w14:paraId="4D763504" w14:textId="4BE10536" w:rsidR="004E6A08" w:rsidRPr="00EA5615" w:rsidRDefault="004E6A08" w:rsidP="004E6A08">
      <w:pPr>
        <w:rPr>
          <w:rFonts w:cs="Calibri"/>
          <w:lang w:val="en-GB"/>
        </w:rPr>
      </w:pPr>
      <w:r w:rsidRPr="00EA5615">
        <w:rPr>
          <w:rFonts w:cs="Calibri"/>
          <w:lang w:val="en-GB"/>
        </w:rPr>
        <w:t>1</w:t>
      </w:r>
      <w:r w:rsidR="00C76D7E">
        <w:rPr>
          <w:rFonts w:cs="Calibri"/>
          <w:lang w:val="en-GB"/>
        </w:rPr>
        <w:t>8</w:t>
      </w:r>
      <w:r w:rsidRPr="00EA5615">
        <w:rPr>
          <w:rFonts w:cs="Calibri"/>
          <w:lang w:val="en-GB"/>
        </w:rPr>
        <w:t>.12</w:t>
      </w:r>
      <w:r w:rsidRPr="00EA5615">
        <w:rPr>
          <w:rFonts w:cs="Calibri"/>
          <w:lang w:val="en-GB"/>
        </w:rPr>
        <w:tab/>
        <w:t xml:space="preserve">Following further comments from councillors on finding a way forward, the Deputy Secretary-General </w:t>
      </w:r>
      <w:r w:rsidR="00A630F9" w:rsidRPr="00EA5615">
        <w:rPr>
          <w:rFonts w:cs="Calibri"/>
          <w:lang w:val="en-GB"/>
        </w:rPr>
        <w:t>suggest</w:t>
      </w:r>
      <w:r w:rsidR="00EF5453" w:rsidRPr="00EA5615">
        <w:rPr>
          <w:rFonts w:cs="Calibri"/>
          <w:lang w:val="en-GB"/>
        </w:rPr>
        <w:t>ed</w:t>
      </w:r>
      <w:r w:rsidR="00A630F9" w:rsidRPr="00EA5615">
        <w:rPr>
          <w:rFonts w:cs="Calibri"/>
          <w:lang w:val="en-GB"/>
        </w:rPr>
        <w:t xml:space="preserve"> </w:t>
      </w:r>
      <w:r w:rsidRPr="00EA5615">
        <w:rPr>
          <w:rFonts w:cs="Calibri"/>
          <w:lang w:val="en-GB"/>
        </w:rPr>
        <w:t>task</w:t>
      </w:r>
      <w:r w:rsidR="00A630F9" w:rsidRPr="00EA5615">
        <w:rPr>
          <w:rFonts w:cs="Calibri"/>
          <w:lang w:val="en-GB"/>
        </w:rPr>
        <w:t>ing</w:t>
      </w:r>
      <w:r w:rsidRPr="00EA5615">
        <w:rPr>
          <w:rFonts w:cs="Calibri"/>
          <w:lang w:val="en-GB"/>
        </w:rPr>
        <w:t xml:space="preserve"> CWG-FHR with </w:t>
      </w:r>
      <w:r w:rsidR="000B0B8C" w:rsidRPr="00EA5615">
        <w:rPr>
          <w:rFonts w:cs="Calibri"/>
          <w:lang w:val="en-GB"/>
        </w:rPr>
        <w:t xml:space="preserve">further consideration of </w:t>
      </w:r>
      <w:r w:rsidRPr="00EA5615">
        <w:rPr>
          <w:rFonts w:cs="Calibri"/>
          <w:lang w:val="en-GB"/>
        </w:rPr>
        <w:t xml:space="preserve">the main </w:t>
      </w:r>
      <w:r w:rsidR="00EF5453" w:rsidRPr="00EA5615">
        <w:rPr>
          <w:rFonts w:cs="Calibri"/>
          <w:lang w:val="en-GB"/>
        </w:rPr>
        <w:t xml:space="preserve">sticking </w:t>
      </w:r>
      <w:r w:rsidRPr="00EA5615">
        <w:rPr>
          <w:rFonts w:cs="Calibri"/>
          <w:lang w:val="en-GB"/>
        </w:rPr>
        <w:t xml:space="preserve">points, namely the calculation of indirect costs and possible modification </w:t>
      </w:r>
      <w:r w:rsidR="0030226F" w:rsidRPr="00EA5615">
        <w:rPr>
          <w:rFonts w:cs="Calibri"/>
          <w:lang w:val="en-GB"/>
        </w:rPr>
        <w:t xml:space="preserve">of </w:t>
      </w:r>
      <w:r w:rsidRPr="00EA5615">
        <w:rPr>
          <w:rFonts w:cs="Calibri"/>
          <w:lang w:val="en-GB"/>
        </w:rPr>
        <w:t xml:space="preserve">the free entitlement regime, taking into account the deliberations and outcomes of </w:t>
      </w:r>
      <w:r w:rsidR="006B0B6B">
        <w:rPr>
          <w:rFonts w:cs="Calibri"/>
          <w:lang w:val="en-GB"/>
        </w:rPr>
        <w:t>PP-26</w:t>
      </w:r>
      <w:r w:rsidRPr="00EA5615">
        <w:rPr>
          <w:rFonts w:cs="Calibri"/>
          <w:lang w:val="en-GB"/>
        </w:rPr>
        <w:t>, including any amendments to Resolution 91 (Rev. Guadalajara, 2010).</w:t>
      </w:r>
    </w:p>
    <w:p w14:paraId="24F83F89" w14:textId="52783C91" w:rsidR="00122CE7" w:rsidRPr="00EA5615" w:rsidRDefault="00122CE7" w:rsidP="00C44A2E">
      <w:pPr>
        <w:keepNext/>
        <w:keepLines/>
        <w:spacing w:line="259" w:lineRule="auto"/>
        <w:rPr>
          <w:rFonts w:eastAsia="Calibri" w:cs="Calibri"/>
          <w:lang w:val="en-GB"/>
        </w:rPr>
      </w:pPr>
      <w:r w:rsidRPr="00EA5615">
        <w:rPr>
          <w:rFonts w:eastAsia="Calibri" w:cs="Calibri"/>
          <w:lang w:val="en-GB"/>
        </w:rPr>
        <w:t>1</w:t>
      </w:r>
      <w:r w:rsidR="00C76D7E">
        <w:rPr>
          <w:rFonts w:eastAsia="Calibri" w:cs="Calibri"/>
          <w:lang w:val="en-GB"/>
        </w:rPr>
        <w:t>8</w:t>
      </w:r>
      <w:r w:rsidRPr="00EA5615">
        <w:rPr>
          <w:rFonts w:eastAsia="Calibri" w:cs="Calibri"/>
          <w:lang w:val="en-GB"/>
        </w:rPr>
        <w:t>.13</w:t>
      </w:r>
      <w:r w:rsidRPr="00EA5615">
        <w:rPr>
          <w:lang w:val="en-GB"/>
        </w:rPr>
        <w:tab/>
      </w:r>
      <w:r w:rsidRPr="00EA5615">
        <w:rPr>
          <w:rFonts w:eastAsia="Calibri" w:cs="Calibri"/>
          <w:lang w:val="en-GB"/>
        </w:rPr>
        <w:t xml:space="preserve">The committee </w:t>
      </w:r>
      <w:r w:rsidRPr="00EA5615">
        <w:rPr>
          <w:rFonts w:eastAsia="Calibri" w:cs="Calibri"/>
          <w:b/>
          <w:bCs/>
          <w:lang w:val="en-GB"/>
        </w:rPr>
        <w:t>agreed</w:t>
      </w:r>
      <w:r w:rsidRPr="00EA5615">
        <w:rPr>
          <w:rFonts w:eastAsia="Calibri" w:cs="Calibri"/>
          <w:lang w:val="en-GB"/>
        </w:rPr>
        <w:t xml:space="preserve"> to conclude as follows on the matter:</w:t>
      </w:r>
    </w:p>
    <w:p w14:paraId="62AA2B22" w14:textId="65550BD7" w:rsidR="00122CE7" w:rsidRPr="00EA5615" w:rsidRDefault="00122CE7" w:rsidP="00C44A2E">
      <w:pPr>
        <w:keepNext/>
        <w:keepLines/>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0" w:line="259" w:lineRule="auto"/>
        <w:textAlignment w:val="auto"/>
        <w:rPr>
          <w:lang w:val="en-GB"/>
        </w:rPr>
      </w:pPr>
      <w:r w:rsidRPr="00EA5615">
        <w:rPr>
          <w:rFonts w:eastAsia="Calibri" w:cs="Calibri"/>
          <w:lang w:val="en-GB"/>
        </w:rPr>
        <w:t>1</w:t>
      </w:r>
      <w:r w:rsidR="00C76D7E">
        <w:rPr>
          <w:rFonts w:eastAsia="Calibri" w:cs="Calibri"/>
          <w:lang w:val="en-GB"/>
        </w:rPr>
        <w:t>8</w:t>
      </w:r>
      <w:r w:rsidRPr="00EA5615">
        <w:rPr>
          <w:rFonts w:eastAsia="Calibri" w:cs="Calibri"/>
          <w:lang w:val="en-GB"/>
        </w:rPr>
        <w:t>.14</w:t>
      </w:r>
      <w:r w:rsidRPr="00EA5615">
        <w:rPr>
          <w:lang w:val="en-GB"/>
        </w:rPr>
        <w:tab/>
        <w:t>The committee recommends that the Council:</w:t>
      </w:r>
    </w:p>
    <w:p w14:paraId="35459251" w14:textId="7153999B" w:rsidR="00122CE7" w:rsidRPr="00EA5615" w:rsidRDefault="000354B8" w:rsidP="00C44A2E">
      <w:pPr>
        <w:pBdr>
          <w:top w:val="single" w:sz="4" w:space="4" w:color="000000"/>
          <w:left w:val="single" w:sz="4" w:space="4" w:color="000000"/>
          <w:bottom w:val="single" w:sz="4" w:space="4" w:color="000000"/>
          <w:right w:val="single" w:sz="4" w:space="4" w:color="000000"/>
        </w:pBdr>
        <w:tabs>
          <w:tab w:val="clear" w:pos="567"/>
          <w:tab w:val="clear" w:pos="1134"/>
          <w:tab w:val="clear" w:pos="1701"/>
          <w:tab w:val="clear" w:pos="2268"/>
          <w:tab w:val="clear" w:pos="2835"/>
        </w:tabs>
        <w:overflowPunct/>
        <w:autoSpaceDE/>
        <w:autoSpaceDN/>
        <w:adjustRightInd/>
        <w:spacing w:before="80" w:line="259" w:lineRule="auto"/>
        <w:ind w:left="567" w:hanging="567"/>
        <w:textAlignment w:val="auto"/>
        <w:rPr>
          <w:rFonts w:eastAsia="Calibri" w:cs="Calibri"/>
          <w:lang w:val="en-GB"/>
        </w:rPr>
      </w:pPr>
      <w:r w:rsidRPr="00EA5615">
        <w:rPr>
          <w:rFonts w:eastAsia="Aptos"/>
          <w:lang w:val="en-GB"/>
        </w:rPr>
        <w:t>•</w:t>
      </w:r>
      <w:r w:rsidRPr="00EA5615">
        <w:rPr>
          <w:rFonts w:eastAsia="Aptos"/>
          <w:lang w:val="en-GB"/>
        </w:rPr>
        <w:tab/>
      </w:r>
      <w:r w:rsidR="0045689E" w:rsidRPr="00EA5615">
        <w:rPr>
          <w:rFonts w:cs="Calibri"/>
          <w:lang w:val="en-GB"/>
        </w:rPr>
        <w:t xml:space="preserve">request CWG-FHR </w:t>
      </w:r>
      <w:r w:rsidR="00DF6D21">
        <w:rPr>
          <w:rFonts w:cs="Calibri"/>
          <w:lang w:val="en-GB"/>
        </w:rPr>
        <w:t xml:space="preserve">to </w:t>
      </w:r>
      <w:r w:rsidR="00DF6D21" w:rsidRPr="00EA5615">
        <w:rPr>
          <w:rFonts w:cs="Calibri"/>
          <w:lang w:val="en-GB"/>
        </w:rPr>
        <w:t xml:space="preserve">consider the comments and proposals contained in the contributions in Documents </w:t>
      </w:r>
      <w:hyperlink r:id="rId63" w:history="1">
        <w:r w:rsidR="00DF6D21" w:rsidRPr="00592713">
          <w:rPr>
            <w:rStyle w:val="Hyperlink"/>
            <w:rFonts w:cs="Calibri"/>
            <w:szCs w:val="20"/>
            <w:lang w:val="en-GB"/>
          </w:rPr>
          <w:t>C26/84</w:t>
        </w:r>
      </w:hyperlink>
      <w:r w:rsidR="00DF6D21" w:rsidRPr="00EA5615">
        <w:rPr>
          <w:rFonts w:cs="Calibri"/>
          <w:lang w:val="en-GB"/>
        </w:rPr>
        <w:t xml:space="preserve">, </w:t>
      </w:r>
      <w:hyperlink r:id="rId64" w:history="1">
        <w:r w:rsidR="00DF6D21" w:rsidRPr="00592713">
          <w:rPr>
            <w:rStyle w:val="Hyperlink"/>
            <w:rFonts w:cs="Calibri"/>
            <w:szCs w:val="20"/>
            <w:lang w:val="en-GB"/>
          </w:rPr>
          <w:t>C26/96</w:t>
        </w:r>
      </w:hyperlink>
      <w:r w:rsidR="00DF6D21" w:rsidRPr="00EA5615">
        <w:rPr>
          <w:rFonts w:cs="Calibri"/>
          <w:lang w:val="en-GB"/>
        </w:rPr>
        <w:t xml:space="preserve">, </w:t>
      </w:r>
      <w:hyperlink r:id="rId65" w:history="1">
        <w:r w:rsidR="00DF6D21" w:rsidRPr="00592713">
          <w:rPr>
            <w:rStyle w:val="Hyperlink"/>
            <w:rFonts w:cs="Calibri"/>
            <w:szCs w:val="20"/>
            <w:lang w:val="en-GB"/>
          </w:rPr>
          <w:t>C26/98</w:t>
        </w:r>
      </w:hyperlink>
      <w:r w:rsidR="00DF6D21" w:rsidRPr="00EA5615">
        <w:rPr>
          <w:rFonts w:cs="Calibri"/>
          <w:lang w:val="en-GB"/>
        </w:rPr>
        <w:t xml:space="preserve"> and </w:t>
      </w:r>
      <w:hyperlink r:id="rId66" w:history="1">
        <w:r w:rsidR="00DF6D21" w:rsidRPr="00592713">
          <w:rPr>
            <w:rStyle w:val="Hyperlink"/>
            <w:rFonts w:cs="Calibri"/>
            <w:szCs w:val="20"/>
            <w:lang w:val="en-GB"/>
          </w:rPr>
          <w:t>C26/90</w:t>
        </w:r>
      </w:hyperlink>
      <w:r w:rsidR="00DF6D21">
        <w:rPr>
          <w:rStyle w:val="Hyperlink"/>
          <w:rFonts w:cs="Calibri"/>
          <w:szCs w:val="20"/>
          <w:lang w:val="en-GB"/>
        </w:rPr>
        <w:t xml:space="preserve">, and </w:t>
      </w:r>
      <w:r w:rsidR="0045689E" w:rsidRPr="00EA5615">
        <w:rPr>
          <w:rFonts w:cs="Calibri"/>
          <w:lang w:val="en-GB"/>
        </w:rPr>
        <w:t>to continue its deliberations on the calculation of indirect costs and possible modification of the free entitlement regime, taking into account the deliberations and outcomes of the Plenipotentiary Conference</w:t>
      </w:r>
      <w:r w:rsidR="002A441B" w:rsidRPr="00EA5615">
        <w:rPr>
          <w:rFonts w:cs="Calibri"/>
          <w:lang w:val="en-GB"/>
        </w:rPr>
        <w:t xml:space="preserve"> (Doha, 2026)</w:t>
      </w:r>
      <w:r w:rsidR="0045689E" w:rsidRPr="00EA5615">
        <w:rPr>
          <w:rFonts w:cs="Calibri"/>
          <w:lang w:val="en-GB"/>
        </w:rPr>
        <w:t>, including any amendments to Resolution 91 (Rev. Guadalajara, 2010)</w:t>
      </w:r>
      <w:r w:rsidR="00122CE7" w:rsidRPr="00EA5615">
        <w:rPr>
          <w:rFonts w:eastAsia="Calibri" w:cs="Calibri"/>
          <w:lang w:val="en-GB"/>
        </w:rPr>
        <w:t>.</w:t>
      </w:r>
    </w:p>
    <w:p w14:paraId="4C434BDE" w14:textId="518A96A5" w:rsidR="00787126" w:rsidRPr="00EA5615" w:rsidRDefault="00C76D7E" w:rsidP="00787126">
      <w:pPr>
        <w:pStyle w:val="Heading1"/>
        <w:rPr>
          <w:lang w:val="en-GB"/>
        </w:rPr>
      </w:pPr>
      <w:r w:rsidRPr="6D6A5C68">
        <w:rPr>
          <w:lang w:val="en-GB"/>
        </w:rPr>
        <w:t>19</w:t>
      </w:r>
      <w:r w:rsidRPr="00C44A2E">
        <w:rPr>
          <w:lang w:val="en-GB"/>
        </w:rPr>
        <w:tab/>
      </w:r>
      <w:r w:rsidR="00787126" w:rsidRPr="6D6A5C68">
        <w:rPr>
          <w:lang w:val="en-GB"/>
        </w:rPr>
        <w:t xml:space="preserve">Allocation of 2025 savings (Document </w:t>
      </w:r>
      <w:hyperlink r:id="rId67">
        <w:r w:rsidR="00787126" w:rsidRPr="6D6A5C68">
          <w:rPr>
            <w:rStyle w:val="Hyperlink"/>
            <w:lang w:val="en-GB"/>
          </w:rPr>
          <w:t>C26/42(Rev.1)</w:t>
        </w:r>
      </w:hyperlink>
      <w:r w:rsidR="007F4B69" w:rsidRPr="00C44A2E">
        <w:rPr>
          <w:lang w:val="en-GB"/>
        </w:rPr>
        <w:t xml:space="preserve"> </w:t>
      </w:r>
      <w:r w:rsidR="007F4B69">
        <w:rPr>
          <w:lang w:val="en-GB"/>
        </w:rPr>
        <w:t>and C26/42 Rev.2</w:t>
      </w:r>
      <w:r w:rsidR="00787126" w:rsidRPr="6D6A5C68">
        <w:rPr>
          <w:lang w:val="en-GB"/>
        </w:rPr>
        <w:t>)</w:t>
      </w:r>
    </w:p>
    <w:p w14:paraId="0E07017E" w14:textId="77E3539C" w:rsidR="00275B34" w:rsidRPr="00F4493B" w:rsidRDefault="00275B34" w:rsidP="00275B34">
      <w:pPr>
        <w:rPr>
          <w:lang w:val="en-GB"/>
        </w:rPr>
      </w:pPr>
      <w:r w:rsidRPr="00F4493B">
        <w:rPr>
          <w:rFonts w:eastAsia="Calibri" w:cs="Calibri"/>
          <w:lang w:val="en-GB"/>
        </w:rPr>
        <w:t>19</w:t>
      </w:r>
      <w:r w:rsidR="00787126" w:rsidRPr="00F4493B">
        <w:rPr>
          <w:rFonts w:eastAsia="Calibri" w:cs="Calibri"/>
          <w:lang w:val="en-GB"/>
        </w:rPr>
        <w:t>.1</w:t>
      </w:r>
      <w:r w:rsidR="00787126" w:rsidRPr="00C8562D">
        <w:rPr>
          <w:lang w:val="en-GB"/>
        </w:rPr>
        <w:tab/>
      </w:r>
      <w:r w:rsidRPr="00F4493B">
        <w:rPr>
          <w:lang w:val="en-GB"/>
        </w:rPr>
        <w:t xml:space="preserve">The Chief of FRMD, introducing Document C26/42(Rev.1), said that savings of CHF 11.44 million had been achieved in 2025. In accordance with a proposal from the Secretary-General, the Council was asked to confirm allocations of CHF 559 800 to the ICT-DF and CHF 1.2 million to the Young Professionals Programme (YPP) Fund and to authorize use of the remaining CHF 10.24 million to finance other specific activities not covered by the approved regular budget, as set out in Table 1 in the document. </w:t>
      </w:r>
    </w:p>
    <w:p w14:paraId="3DD0F3E6" w14:textId="40D69362" w:rsidR="00275B34" w:rsidRPr="00F4493B" w:rsidRDefault="00275B34" w:rsidP="00275B34">
      <w:pPr>
        <w:rPr>
          <w:lang w:val="en-GB"/>
        </w:rPr>
      </w:pPr>
      <w:r w:rsidRPr="00F4493B">
        <w:rPr>
          <w:rFonts w:eastAsia="Calibri" w:cs="Calibri"/>
          <w:lang w:val="en-GB"/>
        </w:rPr>
        <w:t>19</w:t>
      </w:r>
      <w:r w:rsidRPr="00F4493B">
        <w:rPr>
          <w:lang w:val="en-GB"/>
        </w:rPr>
        <w:t>.2</w:t>
      </w:r>
      <w:r w:rsidRPr="00C8562D">
        <w:rPr>
          <w:lang w:val="en-GB"/>
        </w:rPr>
        <w:tab/>
      </w:r>
      <w:r w:rsidRPr="00F4493B">
        <w:rPr>
          <w:lang w:val="en-GB"/>
        </w:rPr>
        <w:t>Councillors welcomed the savings made, commended the secretariat for its prudent financial management and emphasized the importance of using the savings effectively in line with the agreed priorities of the Union. As they were largely non-recurrent in nature, they should ideally be allocated to one-off strategic priorities, rather than subsumed into the baseline regular budget. One councillor, emphasizing the need to distinguish clearly between efficiency savings, recurring income from accounting and timing-related savings, asked what proportion of the total savings represented genuine structural efficiency gains. Ad hoc savings could provide useful short-term support, but should not become the main means of financing ongoing mandated activities. Another councillor expressed the view that the savings resulted mainly from delayed recruitment and deferred implementation, which created constraints on a number of essential activities. In future, efficiencies should be derived from ongoing initiatives, such as internal restructuring, digital transformation and activities related to the ITU transformation process. The secretariat should explore ways to increase revenue streams and seek targeted reductions in expenses. One observer, questioning the overall approach to the allocation of savings, which was becoming a regular activity, suggested that relevant best practice across the United Nations system should be examined. Setting priorities in how savings were allocated would help to shore up the financial stability of the Union.</w:t>
      </w:r>
    </w:p>
    <w:p w14:paraId="14299014" w14:textId="7D0BFB3B" w:rsidR="00275B34" w:rsidRPr="00F4493B" w:rsidRDefault="00275B34" w:rsidP="00275B34">
      <w:pPr>
        <w:rPr>
          <w:lang w:val="en-GB"/>
        </w:rPr>
      </w:pPr>
      <w:r w:rsidRPr="00F4493B">
        <w:rPr>
          <w:rFonts w:eastAsia="Calibri" w:cs="Calibri"/>
          <w:lang w:val="en-GB"/>
        </w:rPr>
        <w:t>19</w:t>
      </w:r>
      <w:r w:rsidRPr="00F4493B">
        <w:rPr>
          <w:lang w:val="en-GB"/>
        </w:rPr>
        <w:t>.3</w:t>
      </w:r>
      <w:r w:rsidRPr="00C8562D">
        <w:rPr>
          <w:lang w:val="en-GB"/>
        </w:rPr>
        <w:tab/>
      </w:r>
      <w:r w:rsidRPr="00F4493B">
        <w:rPr>
          <w:lang w:val="en-GB"/>
        </w:rPr>
        <w:t>One councillor, drawing attention to an apparent discrepancy in the figures given for the total budget surplus in various documents before the Council, sought clarification as to the correct amount. Another observed that the sum of the allocations appeared to exceed the total savings by CHF 550 000. A third asked why there was such a significant difference between the original version of Document C26/42 and Revision 1 thereto.</w:t>
      </w:r>
    </w:p>
    <w:p w14:paraId="19891AB9" w14:textId="4797F91D" w:rsidR="00275B34" w:rsidRPr="00F4493B" w:rsidRDefault="00275B34" w:rsidP="00275B34">
      <w:pPr>
        <w:rPr>
          <w:lang w:val="en-GB"/>
        </w:rPr>
      </w:pPr>
      <w:r w:rsidRPr="00F4493B">
        <w:rPr>
          <w:rFonts w:eastAsia="Calibri" w:cs="Calibri"/>
          <w:lang w:val="en-GB"/>
        </w:rPr>
        <w:t>19</w:t>
      </w:r>
      <w:r w:rsidRPr="00F4493B">
        <w:rPr>
          <w:lang w:val="en-GB"/>
        </w:rPr>
        <w:t>.4</w:t>
      </w:r>
      <w:r w:rsidRPr="00BC125A">
        <w:rPr>
          <w:lang w:val="en-GB"/>
        </w:rPr>
        <w:tab/>
      </w:r>
      <w:r w:rsidRPr="00F4493B">
        <w:rPr>
          <w:lang w:val="en-GB"/>
        </w:rPr>
        <w:t xml:space="preserve">The proposals to allocate some savings to reducing the backlog in processing satellite network filings (SNF), which had operative, regulatory and financial implications and required a priority response, and to modernizing BR software and systems were particularly welcome. Reducing the backlog would have a direct impact on the correct implementation of cost recovery mechanisms, thereby improving the financial stability of the system as a whole. While the proposal to allocate some of the savings to tackling the problem with additional staff support in the short term was welcome, the persistent nature of the issue suggested that a more structured approach was also needed. Modernizing the relevant BR software would go some way towards addressing the situation, ensuring sustainable solutions to strengthen the operational capacity of the Union in the long term. One councillor asked how the secretariat planned to provide targeted financial support to tackle the shortage of staff in BR. Several councillors asked when SNF processing times were expected to return to normal. Others sought assurance that the proposed allocation would be sufficient to resolve the problem definitively and expressed concern at the notion of effectively subsidizing a full-cost recovery activity. Recalling the Council’s extensive discussions of the same issue in 2025 and its decision to allocate CHF 500 000 to the modernizing of BR systems, she also queried the amount of the proposed allocations to addressing the SNF backlog and modernizing SNF core systems. </w:t>
      </w:r>
    </w:p>
    <w:p w14:paraId="3BD2DB50" w14:textId="69C47417" w:rsidR="00275B34" w:rsidRPr="00F4493B" w:rsidRDefault="00275B34" w:rsidP="00275B34">
      <w:pPr>
        <w:rPr>
          <w:lang w:val="en-GB"/>
        </w:rPr>
      </w:pPr>
      <w:r w:rsidRPr="00F4493B">
        <w:rPr>
          <w:rFonts w:eastAsia="Calibri" w:cs="Calibri"/>
          <w:lang w:val="en-GB"/>
        </w:rPr>
        <w:t>19</w:t>
      </w:r>
      <w:r w:rsidRPr="00F4493B">
        <w:rPr>
          <w:lang w:val="en-GB"/>
        </w:rPr>
        <w:t>.5</w:t>
      </w:r>
      <w:r w:rsidRPr="00C8562D">
        <w:rPr>
          <w:lang w:val="en-GB"/>
        </w:rPr>
        <w:tab/>
      </w:r>
      <w:r w:rsidRPr="00F4493B">
        <w:rPr>
          <w:lang w:val="en-GB"/>
        </w:rPr>
        <w:t>Several councillors stressed that savings should be used to deliver tangible impact for developing countries, while maintaining transparency, accountability and financial sustainability.  Several councillors expressed particular support for the proposal to allocate some of the savings to the implementation of the regional initiatives adopted by WTDC-25. Another particularly supported the proposed allocation of CHF 1.5 million to business continuity at headquarters to ensure that the Union could pursue its operational and statutory activities.</w:t>
      </w:r>
    </w:p>
    <w:p w14:paraId="23345711" w14:textId="242791E1" w:rsidR="00275B34" w:rsidRPr="00F4493B" w:rsidRDefault="00275B34" w:rsidP="00275B34">
      <w:pPr>
        <w:rPr>
          <w:lang w:val="en-GB"/>
        </w:rPr>
      </w:pPr>
      <w:r w:rsidRPr="00F4493B">
        <w:rPr>
          <w:rFonts w:eastAsia="Calibri" w:cs="Calibri"/>
          <w:lang w:val="en-GB"/>
        </w:rPr>
        <w:t>19</w:t>
      </w:r>
      <w:r w:rsidRPr="00F4493B">
        <w:rPr>
          <w:lang w:val="en-GB"/>
        </w:rPr>
        <w:t>.6</w:t>
      </w:r>
      <w:r w:rsidRPr="00C8562D">
        <w:rPr>
          <w:lang w:val="en-GB"/>
        </w:rPr>
        <w:tab/>
      </w:r>
      <w:r w:rsidRPr="00F4493B">
        <w:rPr>
          <w:lang w:val="en-GB"/>
        </w:rPr>
        <w:t>One councillor asked whether the CHF 6 million previously allocated to the voluntary separation programme had been exhausted, whether the 42 posts vacated as a result of the programme had been refilled with external appointees, which went against the aims of the scheme, and whether the funds allocated to voluntary separation could be used for separating staff to retrain with a view to finding employment elsewhere. Another asked whether the proposed allocation of CHF 2.5 million to agreed separations was additional to the previous CHF 6 million and which Sectors would be affected by new rounds of separation. An observer sought information on how many staff were likely to be lost through agreed separation and what new posts would be created.</w:t>
      </w:r>
    </w:p>
    <w:p w14:paraId="29FCFA33" w14:textId="029849B9" w:rsidR="00275B34" w:rsidRPr="00F4493B" w:rsidRDefault="00275B34" w:rsidP="00275B34">
      <w:pPr>
        <w:rPr>
          <w:lang w:val="en-GB"/>
        </w:rPr>
      </w:pPr>
      <w:r w:rsidRPr="00F4493B">
        <w:rPr>
          <w:rFonts w:eastAsia="Calibri" w:cs="Calibri"/>
          <w:lang w:val="en-GB"/>
        </w:rPr>
        <w:t>19</w:t>
      </w:r>
      <w:r w:rsidRPr="00F4493B">
        <w:rPr>
          <w:lang w:val="en-GB"/>
        </w:rPr>
        <w:t>.7</w:t>
      </w:r>
      <w:r w:rsidRPr="00C8562D">
        <w:rPr>
          <w:lang w:val="en-GB"/>
        </w:rPr>
        <w:tab/>
      </w:r>
      <w:r w:rsidRPr="00F4493B">
        <w:rPr>
          <w:lang w:val="en-GB"/>
        </w:rPr>
        <w:t>One councillor asked whether the proposed allocation of CHF 1.44 million to corporate systems modernization would be used for activities relating to the ITU website project, recalling the concerns expressed in discussions on other agenda items to the effect that resources for the ITU transformation process should come only from the regular budget, rather than from savings. Another councillor sought clarification on how the proposed allocations to corporate systems modernization and AI initiatives would be spent and whether there would be any overlap in activities. A third pointed to a similar potential overlap between activities to modernize the ERP system and those supporting the modernization of BR’s space-related software, both of which involved preparations for cloud migration and the systematic introduction of AI tools. Several councillors expressed support for the proposed allocation of CHF 1 million to AI initiatives, which would enable the Union to consolidate its position as a leader on AI within the United Nations system; one enquired exactly how the allocation would be spent and sought more information on current AI expenditure, given that such initiatives were intended to be funded using external voluntary resources. Another, noting that savings made in 2024 had also been allocated to AI activities, asked whether it was envisaged that such a practice would continue. A third, while underscoring the importance of integrating young professionals into the ITU workforce, enquired about the extent of demand for the YPP Fund.</w:t>
      </w:r>
    </w:p>
    <w:p w14:paraId="691733E4" w14:textId="62C60596" w:rsidR="00275B34" w:rsidRPr="00F4493B" w:rsidRDefault="00275B34" w:rsidP="00275B34">
      <w:pPr>
        <w:rPr>
          <w:lang w:val="en-GB"/>
        </w:rPr>
      </w:pPr>
      <w:r w:rsidRPr="00F4493B">
        <w:rPr>
          <w:rFonts w:eastAsia="Calibri" w:cs="Calibri"/>
          <w:lang w:val="en-GB"/>
        </w:rPr>
        <w:t>19</w:t>
      </w:r>
      <w:r w:rsidRPr="00F4493B">
        <w:rPr>
          <w:lang w:val="en-GB"/>
        </w:rPr>
        <w:t>.8</w:t>
      </w:r>
      <w:r w:rsidRPr="00C8562D">
        <w:rPr>
          <w:lang w:val="en-GB"/>
        </w:rPr>
        <w:tab/>
      </w:r>
      <w:r w:rsidRPr="00F4493B">
        <w:rPr>
          <w:lang w:val="en-GB"/>
        </w:rPr>
        <w:t xml:space="preserve">The Chief of FRMD, responding to comments, said that, of the CHF 6 million previously allocated to fund voluntary separation, only CHF 900 had remained after the rounds of separation in 2023 and 2025. The savings from that process had been invested in areas such as IT, buildings, business continuity and various activities not covered by the regular budget. Voluntary separations were to be encouraged: in addition to allowing savings to be made, they enabled the Union to bring in staff with new knowledge and skills. The Chair of IMAC was supporting the efforts of ITU management in that regard. The new proposed allocation of CHF 2.5 million would facilitate that process, though it was not intended to be used for training staff members who separated from the Union, many of whom opted to take early retirement, partly to provide opportunities to their younger colleagues. HRMD had a separate earmarked budget for internal and external staff training. The YPP was not managed within the regular budget; as a result, funds could be carried over from one year to the next, providing a degree of continuity. The total savings figure of CHF 11.44 million included the CHF 1.2 million proposed allocation to the YPP Fund. The figures had been presented as they appeared in Document C26/42(Rev.1) in line with accounting requests from the External Auditor. ITU management was constantly seeking ways to ensure that funds were used as efficiently and effectively as possible, including in the context of the UN80 initiative; in that regard, modernizing systems would make a significant contribution. Updating the Union’s website was part of such efforts.  </w:t>
      </w:r>
    </w:p>
    <w:p w14:paraId="3A2EA8F7" w14:textId="064C47A1" w:rsidR="00275B34" w:rsidRPr="00F4493B" w:rsidRDefault="00275B34" w:rsidP="00275B34">
      <w:pPr>
        <w:rPr>
          <w:lang w:val="en-GB"/>
        </w:rPr>
      </w:pPr>
      <w:r w:rsidRPr="00F4493B">
        <w:rPr>
          <w:rFonts w:eastAsia="Calibri" w:cs="Calibri"/>
          <w:lang w:val="en-GB"/>
        </w:rPr>
        <w:t>19</w:t>
      </w:r>
      <w:r w:rsidRPr="00F4493B">
        <w:rPr>
          <w:lang w:val="en-GB"/>
        </w:rPr>
        <w:t xml:space="preserve">.9 The Deputy to the Director of TSB said that the AI initiatives referred to in the document were intended to support the priority mandates emerging from WTSA-24 – solutions, standards and skills – and to reinforce the Union’s leadership in AI innovation. To continue to support the AI for Good platform, as instructed by WTSA, TSB needed staff to work on related activities. Some 20 new members had joined through the </w:t>
      </w:r>
      <w:r w:rsidR="00734985">
        <w:rPr>
          <w:lang w:val="en-GB"/>
        </w:rPr>
        <w:t>AI for Good</w:t>
      </w:r>
      <w:r w:rsidRPr="00F4493B">
        <w:rPr>
          <w:lang w:val="en-GB"/>
        </w:rPr>
        <w:t xml:space="preserve"> platform. In pursuit of collaboration with other standards organizations, the Bureau had launched a multimedia authenticity collaboration. It maintained a standards exchange database and held regular meetings with other standard-settings organizations to harmonize AI standards work. A range of skills-related activities, such as the AI Skills Coalition</w:t>
      </w:r>
      <w:r w:rsidR="0083468C">
        <w:rPr>
          <w:lang w:val="en-GB"/>
        </w:rPr>
        <w:t xml:space="preserve"> and Machine Learning </w:t>
      </w:r>
      <w:r w:rsidR="00E9096A">
        <w:rPr>
          <w:lang w:val="en-GB"/>
        </w:rPr>
        <w:t>competitions</w:t>
      </w:r>
      <w:r w:rsidRPr="00F4493B">
        <w:rPr>
          <w:lang w:val="en-GB"/>
        </w:rPr>
        <w:t xml:space="preserve">, also leveraged AI. The proposed allocation of CHF 1 million to AI initiatives would be spent </w:t>
      </w:r>
      <w:r w:rsidR="0074442C">
        <w:rPr>
          <w:lang w:val="en-GB"/>
        </w:rPr>
        <w:t>on short-term staff</w:t>
      </w:r>
      <w:r w:rsidR="00A20B8C">
        <w:rPr>
          <w:lang w:val="en-GB"/>
        </w:rPr>
        <w:t xml:space="preserve"> </w:t>
      </w:r>
      <w:r w:rsidRPr="00F4493B">
        <w:rPr>
          <w:lang w:val="en-GB"/>
        </w:rPr>
        <w:t>in line with WTSA</w:t>
      </w:r>
      <w:r w:rsidR="00DD27B4">
        <w:rPr>
          <w:lang w:val="en-GB"/>
        </w:rPr>
        <w:t xml:space="preserve"> 24 Resolution 101</w:t>
      </w:r>
      <w:r w:rsidRPr="00F4493B">
        <w:rPr>
          <w:lang w:val="en-GB"/>
        </w:rPr>
        <w:t xml:space="preserve">. </w:t>
      </w:r>
    </w:p>
    <w:p w14:paraId="2B14DE3A" w14:textId="6D417CA7" w:rsidR="00275B34" w:rsidRPr="00F4493B" w:rsidRDefault="00275B34" w:rsidP="00275B34">
      <w:pPr>
        <w:rPr>
          <w:lang w:val="en-GB"/>
        </w:rPr>
      </w:pPr>
      <w:r w:rsidRPr="00F4493B">
        <w:rPr>
          <w:rFonts w:eastAsia="Calibri" w:cs="Calibri"/>
          <w:lang w:val="en-GB"/>
        </w:rPr>
        <w:t>19</w:t>
      </w:r>
      <w:r w:rsidRPr="00F4493B">
        <w:rPr>
          <w:lang w:val="en-GB"/>
        </w:rPr>
        <w:t>.10</w:t>
      </w:r>
      <w:r w:rsidRPr="00C44A2E">
        <w:rPr>
          <w:lang w:val="en-GB"/>
        </w:rPr>
        <w:tab/>
      </w:r>
      <w:r w:rsidRPr="00F4493B">
        <w:rPr>
          <w:lang w:val="en-GB"/>
        </w:rPr>
        <w:t xml:space="preserve">The Director of BR said that the complex software used by BR for various SNF-related purposes was updated after every WRC to reflect the latest decisions taken. However, older software </w:t>
      </w:r>
      <w:r w:rsidR="006510A4">
        <w:rPr>
          <w:lang w:val="en-GB"/>
        </w:rPr>
        <w:t>also</w:t>
      </w:r>
      <w:r w:rsidRPr="00F4493B">
        <w:rPr>
          <w:lang w:val="en-GB"/>
        </w:rPr>
        <w:t xml:space="preserve"> had to be maintained for processes that remained unchanged. Modernizing BR software to keep pace with developments of satellite </w:t>
      </w:r>
      <w:r w:rsidR="00D9539A">
        <w:rPr>
          <w:lang w:val="en-GB"/>
        </w:rPr>
        <w:t xml:space="preserve">systems </w:t>
      </w:r>
      <w:r w:rsidRPr="00F4493B">
        <w:rPr>
          <w:lang w:val="en-GB"/>
        </w:rPr>
        <w:t xml:space="preserve">presented a significant challenge, as did the fact that it was running on outdated in-house servers. Programs needed to be written to run on the cloud and in parallel, rather than in series, so as to provide higher processing capacity and help reduce the SNF backlog. The cost of software modernization was estimated at around CHF 3 million. It was hoped that the proposed allocation for SNF core systems and modernization capacity would be supplemented from other potential sources of funding. The proposed allocation to address the SNF backlog would be used to fund 2.5 of the 3 engineer positions needed to tackle the situation in the short term, though it might take up to one year to </w:t>
      </w:r>
      <w:r w:rsidR="08253BD6" w:rsidRPr="68A7F7E0">
        <w:rPr>
          <w:lang w:val="en-GB"/>
        </w:rPr>
        <w:t xml:space="preserve">allow for enough time to </w:t>
      </w:r>
      <w:r w:rsidRPr="00F4493B">
        <w:rPr>
          <w:lang w:val="en-GB"/>
        </w:rPr>
        <w:t xml:space="preserve">train the new staff </w:t>
      </w:r>
      <w:r w:rsidR="66985598" w:rsidRPr="7E734C4B">
        <w:rPr>
          <w:lang w:val="en-GB"/>
        </w:rPr>
        <w:t xml:space="preserve">until they </w:t>
      </w:r>
      <w:r w:rsidR="006510A4">
        <w:rPr>
          <w:lang w:val="en-GB"/>
        </w:rPr>
        <w:t>we</w:t>
      </w:r>
      <w:r w:rsidR="66985598" w:rsidRPr="7E734C4B">
        <w:rPr>
          <w:lang w:val="en-GB"/>
        </w:rPr>
        <w:t xml:space="preserve">re </w:t>
      </w:r>
      <w:r w:rsidRPr="00AA406B">
        <w:rPr>
          <w:spacing w:val="-4"/>
          <w:lang w:val="en-GB"/>
        </w:rPr>
        <w:t xml:space="preserve">fully </w:t>
      </w:r>
      <w:r w:rsidR="7A73D085" w:rsidRPr="00AA406B">
        <w:rPr>
          <w:spacing w:val="-4"/>
          <w:lang w:val="en-GB"/>
        </w:rPr>
        <w:t>functional so that</w:t>
      </w:r>
      <w:r w:rsidRPr="00AA406B">
        <w:rPr>
          <w:spacing w:val="-4"/>
          <w:lang w:val="en-GB"/>
        </w:rPr>
        <w:t xml:space="preserve"> </w:t>
      </w:r>
      <w:r w:rsidR="5B669E77" w:rsidRPr="00AA406B">
        <w:rPr>
          <w:spacing w:val="-4"/>
          <w:lang w:val="en-GB"/>
        </w:rPr>
        <w:t>BR could</w:t>
      </w:r>
      <w:r w:rsidRPr="00AA406B">
        <w:rPr>
          <w:spacing w:val="-4"/>
          <w:lang w:val="en-GB"/>
        </w:rPr>
        <w:t xml:space="preserve"> return to the usual regulatory time</w:t>
      </w:r>
      <w:r w:rsidR="006510A4" w:rsidRPr="00AA406B">
        <w:rPr>
          <w:spacing w:val="-4"/>
          <w:lang w:val="en-GB"/>
        </w:rPr>
        <w:t>-</w:t>
      </w:r>
      <w:r w:rsidRPr="00AA406B">
        <w:rPr>
          <w:spacing w:val="-4"/>
          <w:lang w:val="en-GB"/>
        </w:rPr>
        <w:t>frames for SNF processing.</w:t>
      </w:r>
    </w:p>
    <w:p w14:paraId="5A9E3062" w14:textId="31791CA8" w:rsidR="00275B34" w:rsidRPr="00F4493B" w:rsidRDefault="00275B34" w:rsidP="00275B34">
      <w:pPr>
        <w:rPr>
          <w:lang w:val="en-GB"/>
        </w:rPr>
      </w:pPr>
      <w:r w:rsidRPr="00F4493B">
        <w:rPr>
          <w:rFonts w:eastAsia="Calibri" w:cs="Calibri"/>
          <w:lang w:val="en-GB"/>
        </w:rPr>
        <w:t>19</w:t>
      </w:r>
      <w:r w:rsidRPr="00F4493B">
        <w:rPr>
          <w:lang w:val="en-GB"/>
        </w:rPr>
        <w:t>.11</w:t>
      </w:r>
      <w:r w:rsidRPr="00C8562D">
        <w:rPr>
          <w:lang w:val="en-GB"/>
        </w:rPr>
        <w:tab/>
      </w:r>
      <w:r w:rsidRPr="00F4493B">
        <w:rPr>
          <w:lang w:val="en-GB"/>
        </w:rPr>
        <w:t>The Director of BDT said that the Bureau aimed to be innovative and creative in finding ways to act on WTDC resolutions and deliver within the framework of results-based management. The extra funding being requested for regional initiatives would benefit all regions. Following WTDC-25, each region had five initiatives that were being implemented through a range of projects. The proposed allocation of CHF 1.3 million would be used in part as seed funding to facilitate co-financing by multiple partners and donor organizations, including under United Nations-to-United Nations arrangements.</w:t>
      </w:r>
    </w:p>
    <w:p w14:paraId="01B30D3A" w14:textId="0D24FAFC" w:rsidR="00275B34" w:rsidRPr="00F4493B" w:rsidRDefault="00275B34" w:rsidP="00275B34">
      <w:pPr>
        <w:rPr>
          <w:lang w:val="en-GB"/>
        </w:rPr>
      </w:pPr>
      <w:r w:rsidRPr="00F4493B">
        <w:rPr>
          <w:rFonts w:eastAsia="Calibri" w:cs="Calibri"/>
          <w:lang w:val="en-GB"/>
        </w:rPr>
        <w:t>19</w:t>
      </w:r>
      <w:r w:rsidRPr="00F4493B">
        <w:rPr>
          <w:lang w:val="en-GB"/>
        </w:rPr>
        <w:t>.12</w:t>
      </w:r>
      <w:r w:rsidRPr="00C8562D">
        <w:rPr>
          <w:lang w:val="en-GB"/>
        </w:rPr>
        <w:tab/>
      </w:r>
      <w:r w:rsidRPr="00F4493B">
        <w:rPr>
          <w:lang w:val="en-GB"/>
        </w:rPr>
        <w:t>A representative of the Secretariat said that there would be no overlap in the cloud migration initiatives undertaken by BR and the Information Systems Department: the former related specifically to modernizing BR software, while the latter involved services for the broader Union.</w:t>
      </w:r>
    </w:p>
    <w:p w14:paraId="4D0F1395" w14:textId="243EA2E2" w:rsidR="00275B34" w:rsidRPr="00F4493B" w:rsidRDefault="00275B34" w:rsidP="00275B34">
      <w:pPr>
        <w:rPr>
          <w:lang w:val="en-GB"/>
        </w:rPr>
      </w:pPr>
      <w:r w:rsidRPr="00F4493B">
        <w:rPr>
          <w:rFonts w:eastAsia="Calibri" w:cs="Calibri"/>
          <w:lang w:val="en-GB"/>
        </w:rPr>
        <w:t>19</w:t>
      </w:r>
      <w:r w:rsidRPr="00F4493B">
        <w:rPr>
          <w:lang w:val="en-GB"/>
        </w:rPr>
        <w:t>.13</w:t>
      </w:r>
      <w:r w:rsidRPr="00C8562D">
        <w:rPr>
          <w:lang w:val="en-GB"/>
        </w:rPr>
        <w:tab/>
      </w:r>
      <w:r w:rsidRPr="00F4493B">
        <w:rPr>
          <w:lang w:val="en-GB"/>
        </w:rPr>
        <w:t>A number of councillors reiterated their requests for specific information, particularly in relation to the total savings allocations requested and the use of the proposed allocation to AI initiatives, and for changes to be made to Document C26/42(Rev.1), without which they would not be in a position to take a decision on the item.</w:t>
      </w:r>
    </w:p>
    <w:p w14:paraId="566F06BC" w14:textId="2E366D80" w:rsidR="00275B34" w:rsidRPr="00F4493B" w:rsidRDefault="00275B34" w:rsidP="00275B34">
      <w:pPr>
        <w:rPr>
          <w:lang w:val="en-GB"/>
        </w:rPr>
      </w:pPr>
      <w:r w:rsidRPr="00F4493B">
        <w:rPr>
          <w:rFonts w:eastAsia="Calibri" w:cs="Calibri"/>
          <w:lang w:val="en-GB"/>
        </w:rPr>
        <w:t>19</w:t>
      </w:r>
      <w:r w:rsidRPr="00F4493B">
        <w:rPr>
          <w:lang w:val="en-GB"/>
        </w:rPr>
        <w:t>.14</w:t>
      </w:r>
      <w:r w:rsidRPr="00C8562D">
        <w:rPr>
          <w:lang w:val="en-GB"/>
        </w:rPr>
        <w:tab/>
      </w:r>
      <w:r w:rsidRPr="00F4493B">
        <w:rPr>
          <w:lang w:val="en-GB"/>
        </w:rPr>
        <w:t xml:space="preserve">The Chief of FRMD clarified that the budget surplus for 2025 amounted to CHF 10.24 million; the figure of CHF 11.44 million included the CHF 559 800 already approved for transfer to the ICT-DF, on the basis of Document </w:t>
      </w:r>
      <w:hyperlink r:id="rId68" w:history="1">
        <w:r w:rsidRPr="002775D5">
          <w:rPr>
            <w:rStyle w:val="Hyperlink"/>
            <w:rFonts w:cs="Times New Roman"/>
            <w:szCs w:val="20"/>
            <w:lang w:val="en-GB"/>
          </w:rPr>
          <w:t>C26/34</w:t>
        </w:r>
      </w:hyperlink>
      <w:r w:rsidRPr="00F4493B">
        <w:rPr>
          <w:lang w:val="en-GB"/>
        </w:rPr>
        <w:t xml:space="preserve">, and the CHF 1.2 million previously requested for the YPP Fund in Document </w:t>
      </w:r>
      <w:hyperlink r:id="rId69" w:history="1">
        <w:r w:rsidRPr="002775D5">
          <w:rPr>
            <w:rStyle w:val="Hyperlink"/>
            <w:rFonts w:cs="Times New Roman"/>
            <w:szCs w:val="20"/>
            <w:lang w:val="en-GB"/>
          </w:rPr>
          <w:t>C24/31</w:t>
        </w:r>
      </w:hyperlink>
      <w:r w:rsidRPr="00F4493B">
        <w:rPr>
          <w:lang w:val="en-GB"/>
        </w:rPr>
        <w:t xml:space="preserve">. With regard to agreed separations, it was difficult to predict how many staff might avail themselves of the programme. Any sum allocated but not used would be transferred to the reserve account. </w:t>
      </w:r>
    </w:p>
    <w:p w14:paraId="7C622F56" w14:textId="6A48F633" w:rsidR="00275B34" w:rsidRPr="00F4493B" w:rsidRDefault="00275B34" w:rsidP="00275B34">
      <w:pPr>
        <w:rPr>
          <w:lang w:val="en-GB"/>
        </w:rPr>
      </w:pPr>
      <w:r w:rsidRPr="00F4493B">
        <w:rPr>
          <w:rFonts w:eastAsia="Calibri" w:cs="Calibri"/>
          <w:lang w:val="en-GB"/>
        </w:rPr>
        <w:t>19</w:t>
      </w:r>
      <w:r w:rsidRPr="00F4493B">
        <w:rPr>
          <w:lang w:val="en-GB"/>
        </w:rPr>
        <w:t>.15</w:t>
      </w:r>
      <w:r w:rsidRPr="00C8562D">
        <w:rPr>
          <w:lang w:val="en-GB"/>
        </w:rPr>
        <w:tab/>
      </w:r>
      <w:r w:rsidRPr="00F4493B">
        <w:rPr>
          <w:lang w:val="en-GB"/>
        </w:rPr>
        <w:t xml:space="preserve">The Deputy Secretary-General emphasized that the allocations proposed were intended to cover expenditure that could not be funded from the regular budget within the framework of the current Financial Plan, strategically targeting important needs. The allocations requested for BR activities would help to reduce the SNF backlog not only in the short term, with the support of additional staff, but in the longer term through software modernization, at which point the additional staff would no longer be needed, generating further savings. The secretariat was seeking various sources of funding to that end. A distinction should be drawn between the AI initiatives referred to in Document C26/42(Rev.1) and those used to meet the Union’s internal needs, such as in the areas of translation, interpreting and captioning, where AI was already being employed to reduce the use of human resources. The proposed allocation of CHF 1 million for AI initiatives was intended to complement the annual sponsorship arrangements under the AI for Good platform, effectively providing a working capital fund to bridge gaps while not placing a continuous burden on the regular budget. The secretariat would continue to strive to find the right funding models to ensure that initiatives requested by Member States could be implemented, </w:t>
      </w:r>
      <w:proofErr w:type="gramStart"/>
      <w:r w:rsidRPr="00F4493B">
        <w:rPr>
          <w:lang w:val="en-GB"/>
        </w:rPr>
        <w:t>taking into account</w:t>
      </w:r>
      <w:proofErr w:type="gramEnd"/>
      <w:r w:rsidRPr="00F4493B">
        <w:rPr>
          <w:lang w:val="en-GB"/>
        </w:rPr>
        <w:t xml:space="preserve"> the need for continuity in staffing.</w:t>
      </w:r>
    </w:p>
    <w:p w14:paraId="3FD666AC" w14:textId="1713C59E" w:rsidR="00C8562D" w:rsidRDefault="00275B34" w:rsidP="00F4493B">
      <w:pPr>
        <w:rPr>
          <w:lang w:val="en-GB"/>
        </w:rPr>
      </w:pPr>
      <w:r w:rsidRPr="00F4493B">
        <w:rPr>
          <w:rFonts w:eastAsia="Calibri" w:cs="Calibri"/>
          <w:lang w:val="en-GB"/>
        </w:rPr>
        <w:t>19</w:t>
      </w:r>
      <w:r w:rsidRPr="00F4493B">
        <w:rPr>
          <w:lang w:val="en-GB"/>
        </w:rPr>
        <w:t>.16</w:t>
      </w:r>
      <w:r w:rsidRPr="00C8562D">
        <w:rPr>
          <w:lang w:val="en-GB"/>
        </w:rPr>
        <w:tab/>
      </w:r>
      <w:r w:rsidRPr="00F4493B">
        <w:rPr>
          <w:lang w:val="en-GB"/>
        </w:rPr>
        <w:t xml:space="preserve">Following informal consultations, it was announced that an ad hoc group would convene to discuss the matter, including a revised version of Document C26/42(Rev.1) and the draft new resolution annexed thereto, which was issued as Document </w:t>
      </w:r>
      <w:hyperlink r:id="rId70" w:history="1">
        <w:r w:rsidRPr="00065310">
          <w:rPr>
            <w:rStyle w:val="Hyperlink"/>
            <w:rFonts w:cs="Times New Roman"/>
            <w:szCs w:val="20"/>
            <w:lang w:val="en-GB"/>
          </w:rPr>
          <w:t>C26/DT/6</w:t>
        </w:r>
      </w:hyperlink>
      <w:r w:rsidRPr="00F4493B">
        <w:rPr>
          <w:lang w:val="en-GB"/>
        </w:rPr>
        <w:t>. The ad hoc group held two meetings.</w:t>
      </w:r>
    </w:p>
    <w:p w14:paraId="18182C3A" w14:textId="68641E5F" w:rsidR="0088638F" w:rsidRDefault="00C8562D" w:rsidP="00F4493B">
      <w:pPr>
        <w:rPr>
          <w:lang w:val="en-GB"/>
        </w:rPr>
      </w:pPr>
      <w:r>
        <w:rPr>
          <w:lang w:val="en-GB"/>
        </w:rPr>
        <w:t>19.17</w:t>
      </w:r>
      <w:r>
        <w:rPr>
          <w:lang w:val="en-GB"/>
        </w:rPr>
        <w:tab/>
        <w:t xml:space="preserve">The </w:t>
      </w:r>
      <w:r w:rsidR="00AC2742">
        <w:rPr>
          <w:lang w:val="en-GB"/>
        </w:rPr>
        <w:t>C</w:t>
      </w:r>
      <w:r>
        <w:rPr>
          <w:lang w:val="en-GB"/>
        </w:rPr>
        <w:t xml:space="preserve">hair of the ad hoc group </w:t>
      </w:r>
      <w:r w:rsidR="001D341D">
        <w:rPr>
          <w:lang w:val="en-GB"/>
        </w:rPr>
        <w:t>subsequently presented Document C26/42(Rev.2)</w:t>
      </w:r>
      <w:r w:rsidR="00E24E52">
        <w:rPr>
          <w:lang w:val="en-GB"/>
        </w:rPr>
        <w:t xml:space="preserve">, </w:t>
      </w:r>
      <w:r w:rsidR="00782638">
        <w:rPr>
          <w:lang w:val="en-GB"/>
        </w:rPr>
        <w:t xml:space="preserve">which contained </w:t>
      </w:r>
      <w:r w:rsidR="00895BCB">
        <w:rPr>
          <w:lang w:val="en-GB"/>
        </w:rPr>
        <w:t>an updated version of the report</w:t>
      </w:r>
      <w:r w:rsidR="003E3662">
        <w:rPr>
          <w:rFonts w:eastAsia="Calibri"/>
          <w:lang w:val="en-GB"/>
        </w:rPr>
        <w:t xml:space="preserve"> </w:t>
      </w:r>
      <w:r w:rsidR="003E3662">
        <w:rPr>
          <w:lang w:val="en-GB"/>
        </w:rPr>
        <w:t>and revisions</w:t>
      </w:r>
      <w:r w:rsidR="006671AB" w:rsidRPr="00F4493B">
        <w:rPr>
          <w:rFonts w:eastAsia="Calibri" w:cs="Calibri"/>
          <w:lang w:val="en-GB"/>
        </w:rPr>
        <w:t xml:space="preserve"> </w:t>
      </w:r>
      <w:r w:rsidR="006671AB">
        <w:rPr>
          <w:lang w:val="en-GB"/>
        </w:rPr>
        <w:t>to the draft decision</w:t>
      </w:r>
      <w:r w:rsidR="00B6710C" w:rsidRPr="00F4493B">
        <w:rPr>
          <w:rFonts w:eastAsia="Calibri" w:cs="Calibri"/>
          <w:lang w:val="en-GB"/>
        </w:rPr>
        <w:t xml:space="preserve"> </w:t>
      </w:r>
      <w:r w:rsidR="00B6710C">
        <w:rPr>
          <w:lang w:val="en-GB"/>
        </w:rPr>
        <w:t>that reflected a consensus position on the allocation of savings from 2025</w:t>
      </w:r>
      <w:r w:rsidR="00230AA8">
        <w:rPr>
          <w:lang w:val="en-GB"/>
        </w:rPr>
        <w:t>.</w:t>
      </w:r>
    </w:p>
    <w:p w14:paraId="4CC2723E" w14:textId="7C0D78B9" w:rsidR="00787126" w:rsidRPr="00C8562D" w:rsidRDefault="0088638F" w:rsidP="00F4493B">
      <w:pPr>
        <w:rPr>
          <w:rFonts w:eastAsia="Calibri" w:cs="Calibri"/>
          <w:lang w:val="en-GB"/>
        </w:rPr>
      </w:pPr>
      <w:r>
        <w:rPr>
          <w:lang w:val="en-GB"/>
        </w:rPr>
        <w:t>19.18</w:t>
      </w:r>
      <w:r>
        <w:rPr>
          <w:lang w:val="en-GB"/>
        </w:rPr>
        <w:tab/>
        <w:t>The Secretary-General</w:t>
      </w:r>
      <w:r w:rsidR="008E7CD1">
        <w:rPr>
          <w:rFonts w:eastAsia="Calibri"/>
          <w:lang w:val="en-GB"/>
        </w:rPr>
        <w:t xml:space="preserve"> </w:t>
      </w:r>
      <w:r w:rsidR="00AC2742">
        <w:rPr>
          <w:lang w:val="en-GB"/>
        </w:rPr>
        <w:t xml:space="preserve">thanked the Chair </w:t>
      </w:r>
      <w:r w:rsidR="009041D7">
        <w:rPr>
          <w:lang w:val="en-GB"/>
        </w:rPr>
        <w:t xml:space="preserve">and members </w:t>
      </w:r>
      <w:r w:rsidR="00AC2742">
        <w:rPr>
          <w:lang w:val="en-GB"/>
        </w:rPr>
        <w:t>of the ad hoc group</w:t>
      </w:r>
      <w:r w:rsidR="00787126" w:rsidRPr="00F4493B">
        <w:rPr>
          <w:rFonts w:eastAsia="Calibri" w:cs="Calibri"/>
          <w:lang w:val="en-GB"/>
        </w:rPr>
        <w:t xml:space="preserve"> </w:t>
      </w:r>
      <w:r w:rsidR="009041D7">
        <w:rPr>
          <w:rFonts w:eastAsia="Calibri" w:cs="Calibri"/>
          <w:lang w:val="en-GB"/>
        </w:rPr>
        <w:t>for the</w:t>
      </w:r>
      <w:r w:rsidR="00394878">
        <w:rPr>
          <w:rFonts w:eastAsia="Calibri" w:cs="Calibri"/>
          <w:lang w:val="en-GB"/>
        </w:rPr>
        <w:t xml:space="preserve">ir </w:t>
      </w:r>
      <w:r w:rsidR="00E62E47">
        <w:rPr>
          <w:rFonts w:eastAsia="Calibri" w:cs="Calibri"/>
          <w:lang w:val="en-GB"/>
        </w:rPr>
        <w:t>commitment</w:t>
      </w:r>
      <w:r w:rsidR="00394878">
        <w:rPr>
          <w:rFonts w:eastAsia="Calibri" w:cs="Calibri"/>
          <w:lang w:val="en-GB"/>
        </w:rPr>
        <w:t xml:space="preserve"> and </w:t>
      </w:r>
      <w:r w:rsidR="008D446C">
        <w:rPr>
          <w:rFonts w:eastAsia="Calibri" w:cs="Calibri"/>
          <w:lang w:val="en-GB"/>
        </w:rPr>
        <w:t>spirit of compromise in</w:t>
      </w:r>
      <w:r w:rsidR="000D0AA7">
        <w:rPr>
          <w:rFonts w:eastAsia="Calibri" w:cs="Calibri"/>
          <w:lang w:val="en-GB"/>
        </w:rPr>
        <w:t xml:space="preserve"> arriving at </w:t>
      </w:r>
      <w:r w:rsidR="004C5C3E">
        <w:rPr>
          <w:rFonts w:eastAsia="Calibri" w:cs="Calibri"/>
          <w:lang w:val="en-GB"/>
        </w:rPr>
        <w:t>a consensus proposal.</w:t>
      </w:r>
    </w:p>
    <w:p w14:paraId="5AA59242" w14:textId="7B6DEFDE" w:rsidR="00787126" w:rsidRPr="00EA5615" w:rsidRDefault="00275B34" w:rsidP="00787126">
      <w:pPr>
        <w:spacing w:line="259" w:lineRule="auto"/>
        <w:rPr>
          <w:rFonts w:eastAsia="Calibri" w:cs="Calibri"/>
          <w:lang w:val="en-GB"/>
        </w:rPr>
      </w:pPr>
      <w:r w:rsidRPr="6D6A5C68">
        <w:rPr>
          <w:rFonts w:eastAsia="Calibri" w:cs="Calibri"/>
          <w:spacing w:val="-4"/>
          <w:lang w:val="en-GB"/>
        </w:rPr>
        <w:t>19</w:t>
      </w:r>
      <w:r w:rsidR="00787126" w:rsidRPr="6D6A5C68">
        <w:rPr>
          <w:rFonts w:eastAsia="Calibri" w:cs="Calibri"/>
          <w:spacing w:val="-4"/>
          <w:lang w:val="en-GB"/>
        </w:rPr>
        <w:t>.</w:t>
      </w:r>
      <w:r w:rsidRPr="6D6A5C68">
        <w:rPr>
          <w:rFonts w:eastAsia="Calibri" w:cs="Calibri"/>
          <w:spacing w:val="-4"/>
          <w:lang w:val="en-GB"/>
        </w:rPr>
        <w:t>17</w:t>
      </w:r>
      <w:r w:rsidR="00787126" w:rsidRPr="00EA5615">
        <w:rPr>
          <w:rFonts w:eastAsia="Calibri" w:cs="Calibri"/>
          <w:szCs w:val="24"/>
          <w:lang w:val="en-GB"/>
        </w:rPr>
        <w:tab/>
      </w:r>
      <w:r w:rsidR="00787126" w:rsidRPr="6D6A5C68">
        <w:rPr>
          <w:rFonts w:eastAsia="Calibri" w:cs="Calibri"/>
          <w:lang w:val="en-GB"/>
        </w:rPr>
        <w:t xml:space="preserve">The committee </w:t>
      </w:r>
      <w:r w:rsidR="00787126" w:rsidRPr="6D6A5C68">
        <w:rPr>
          <w:rFonts w:eastAsia="Calibri" w:cs="Calibri"/>
          <w:b/>
          <w:lang w:val="en-GB"/>
        </w:rPr>
        <w:t>agreed</w:t>
      </w:r>
      <w:r w:rsidR="00787126" w:rsidRPr="6D6A5C68">
        <w:rPr>
          <w:rFonts w:eastAsia="Calibri" w:cs="Calibri"/>
          <w:lang w:val="en-GB"/>
        </w:rPr>
        <w:t xml:space="preserve"> to conclude as follows on the matter:</w:t>
      </w:r>
    </w:p>
    <w:p w14:paraId="4CEC6368" w14:textId="04580BE8" w:rsidR="00C86F0D" w:rsidRDefault="00275B34" w:rsidP="00787126">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19</w:t>
      </w:r>
      <w:r w:rsidR="00787126" w:rsidRPr="6D6A5C68">
        <w:rPr>
          <w:rFonts w:eastAsia="Calibri" w:cs="Calibri"/>
          <w:lang w:val="en-GB"/>
        </w:rPr>
        <w:t>.</w:t>
      </w:r>
      <w:r w:rsidRPr="6D6A5C68">
        <w:rPr>
          <w:rFonts w:eastAsia="Calibri" w:cs="Calibri"/>
          <w:lang w:val="en-GB"/>
        </w:rPr>
        <w:t>18</w:t>
      </w:r>
      <w:r w:rsidR="00787126" w:rsidRPr="00C8562D">
        <w:rPr>
          <w:lang w:val="en-GB"/>
        </w:rPr>
        <w:tab/>
      </w:r>
      <w:r w:rsidR="00787126" w:rsidRPr="00EA5615">
        <w:rPr>
          <w:lang w:val="en-GB"/>
        </w:rPr>
        <w:t>The committee recommends that the Council:</w:t>
      </w:r>
    </w:p>
    <w:p w14:paraId="5C88FF24" w14:textId="664482E1" w:rsidR="00D1609A" w:rsidRPr="00F4493B" w:rsidRDefault="00787126" w:rsidP="00C44A2E">
      <w:pPr>
        <w:keepNext/>
        <w:keepLines/>
        <w:pBdr>
          <w:top w:val="single" w:sz="4" w:space="4" w:color="000000"/>
          <w:left w:val="single" w:sz="4" w:space="4" w:color="000000"/>
          <w:bottom w:val="single" w:sz="4" w:space="4" w:color="000000"/>
          <w:right w:val="single" w:sz="4" w:space="4" w:color="000000"/>
        </w:pBdr>
        <w:spacing w:before="80" w:line="259" w:lineRule="auto"/>
        <w:rPr>
          <w:lang w:val="en-GB"/>
        </w:rPr>
      </w:pPr>
      <w:r w:rsidRPr="00EA5615">
        <w:rPr>
          <w:lang w:val="en-GB"/>
        </w:rPr>
        <w:t>•</w:t>
      </w:r>
      <w:r w:rsidRPr="00EA5615">
        <w:rPr>
          <w:lang w:val="en-GB"/>
        </w:rPr>
        <w:tab/>
      </w:r>
      <w:r w:rsidR="00D1609A" w:rsidRPr="00F4493B">
        <w:rPr>
          <w:lang w:val="en-GB"/>
        </w:rPr>
        <w:t xml:space="preserve">note the revised report contained in Document </w:t>
      </w:r>
      <w:hyperlink r:id="rId71" w:history="1">
        <w:r w:rsidR="003B5606" w:rsidRPr="002775D5">
          <w:rPr>
            <w:rStyle w:val="Hyperlink"/>
            <w:rFonts w:cs="Times New Roman"/>
            <w:szCs w:val="20"/>
            <w:lang w:val="en-GB"/>
          </w:rPr>
          <w:t>C26/</w:t>
        </w:r>
        <w:r w:rsidR="00881EE0" w:rsidRPr="002775D5">
          <w:rPr>
            <w:rStyle w:val="Hyperlink"/>
            <w:rFonts w:cs="Times New Roman"/>
            <w:szCs w:val="20"/>
            <w:lang w:val="en-GB"/>
          </w:rPr>
          <w:t>42Rev.2</w:t>
        </w:r>
      </w:hyperlink>
      <w:r w:rsidR="00D1609A" w:rsidRPr="00F4493B">
        <w:rPr>
          <w:lang w:val="en-GB"/>
        </w:rPr>
        <w:t>;</w:t>
      </w:r>
      <w:r w:rsidRPr="00EA5615">
        <w:rPr>
          <w:lang w:val="en-GB"/>
        </w:rPr>
        <w:t xml:space="preserve"> and</w:t>
      </w:r>
    </w:p>
    <w:p w14:paraId="1CE8D0BC" w14:textId="03DFC78D" w:rsidR="00787126" w:rsidRPr="00EA5615" w:rsidRDefault="00D1609A" w:rsidP="00C44A2E">
      <w:pPr>
        <w:keepNext/>
        <w:keepLines/>
        <w:pBdr>
          <w:top w:val="single" w:sz="4" w:space="4" w:color="000000"/>
          <w:left w:val="single" w:sz="4" w:space="4" w:color="000000"/>
          <w:bottom w:val="single" w:sz="4" w:space="4" w:color="000000"/>
          <w:right w:val="single" w:sz="4" w:space="4" w:color="000000"/>
        </w:pBdr>
        <w:spacing w:before="80" w:line="259" w:lineRule="auto"/>
        <w:rPr>
          <w:lang w:val="en-GB"/>
        </w:rPr>
      </w:pPr>
      <w:r w:rsidRPr="00F4493B">
        <w:rPr>
          <w:lang w:val="en-GB"/>
        </w:rPr>
        <w:t>•</w:t>
      </w:r>
      <w:r w:rsidRPr="00F4493B">
        <w:rPr>
          <w:lang w:val="en-GB"/>
        </w:rPr>
        <w:tab/>
      </w:r>
      <w:r w:rsidR="00F4493B" w:rsidRPr="00F4493B">
        <w:rPr>
          <w:lang w:val="en-GB"/>
        </w:rPr>
        <w:t xml:space="preserve">adopt the draft new resolution contained in </w:t>
      </w:r>
      <w:hyperlink w:anchor="Annex_D" w:history="1">
        <w:r w:rsidR="00F4493B" w:rsidRPr="00C44A2E">
          <w:rPr>
            <w:rStyle w:val="Hyperlink"/>
            <w:rFonts w:cs="Times New Roman"/>
            <w:b/>
            <w:szCs w:val="20"/>
            <w:lang w:val="en-GB"/>
          </w:rPr>
          <w:t xml:space="preserve">Annex </w:t>
        </w:r>
        <w:r w:rsidR="0078003E" w:rsidRPr="00C44A2E">
          <w:rPr>
            <w:rStyle w:val="Hyperlink"/>
            <w:rFonts w:cs="Times New Roman"/>
            <w:b/>
            <w:szCs w:val="20"/>
            <w:lang w:val="en-GB"/>
          </w:rPr>
          <w:t>D</w:t>
        </w:r>
      </w:hyperlink>
      <w:r w:rsidR="00F4493B" w:rsidRPr="00F4493B">
        <w:rPr>
          <w:lang w:val="en-GB"/>
        </w:rPr>
        <w:t xml:space="preserve"> hereto</w:t>
      </w:r>
      <w:r w:rsidR="00787126" w:rsidRPr="00F4493B">
        <w:rPr>
          <w:rFonts w:cs="Calibri"/>
          <w:szCs w:val="24"/>
          <w:lang w:val="en-GB"/>
        </w:rPr>
        <w:t>.</w:t>
      </w:r>
    </w:p>
    <w:p w14:paraId="7F9BAA7A" w14:textId="5849CA06" w:rsidR="000010A6" w:rsidRPr="00116988" w:rsidRDefault="000010A6" w:rsidP="00787126">
      <w:pPr>
        <w:pStyle w:val="Heading1"/>
        <w:rPr>
          <w:szCs w:val="28"/>
          <w:lang w:val="en-GB"/>
        </w:rPr>
      </w:pPr>
      <w:r w:rsidRPr="00116988">
        <w:rPr>
          <w:lang w:val="en-GB"/>
        </w:rPr>
        <w:t>2</w:t>
      </w:r>
      <w:r w:rsidR="00116988" w:rsidRPr="00116988">
        <w:rPr>
          <w:lang w:val="en-GB"/>
        </w:rPr>
        <w:t>0</w:t>
      </w:r>
      <w:r w:rsidRPr="00116988">
        <w:rPr>
          <w:lang w:val="en-GB"/>
        </w:rPr>
        <w:tab/>
      </w:r>
      <w:r w:rsidR="00CB5F78" w:rsidRPr="00116988">
        <w:rPr>
          <w:lang w:val="en-GB"/>
        </w:rPr>
        <w:t xml:space="preserve">Report by the Chair of CWG-FHR and the Chair of </w:t>
      </w:r>
      <w:r w:rsidR="007E1F79" w:rsidRPr="00116988">
        <w:rPr>
          <w:lang w:val="en-GB"/>
        </w:rPr>
        <w:t>CWG-SFP</w:t>
      </w:r>
      <w:r w:rsidR="008B6504" w:rsidRPr="00116988">
        <w:rPr>
          <w:lang w:val="en-GB"/>
        </w:rPr>
        <w:t xml:space="preserve"> on the joint meeting of CWG-FHR and CWG-SFP</w:t>
      </w:r>
      <w:r w:rsidR="00CB5F78" w:rsidRPr="00116988">
        <w:rPr>
          <w:lang w:val="en-GB"/>
        </w:rPr>
        <w:t xml:space="preserve"> (Document </w:t>
      </w:r>
      <w:hyperlink r:id="rId72" w:history="1">
        <w:r w:rsidR="00CB5F78" w:rsidRPr="00742E7A">
          <w:rPr>
            <w:rStyle w:val="Hyperlink"/>
            <w:rFonts w:cs="Times New Roman"/>
            <w:szCs w:val="20"/>
            <w:lang w:val="en-GB"/>
          </w:rPr>
          <w:t>C26/112</w:t>
        </w:r>
      </w:hyperlink>
      <w:r w:rsidR="00CB5F78" w:rsidRPr="00116988">
        <w:rPr>
          <w:lang w:val="en-GB"/>
        </w:rPr>
        <w:t>)</w:t>
      </w:r>
    </w:p>
    <w:p w14:paraId="11E7F7A5" w14:textId="6355C725" w:rsidR="000010A6" w:rsidRPr="00116988" w:rsidRDefault="000010A6" w:rsidP="000010A6">
      <w:pPr>
        <w:spacing w:line="259" w:lineRule="auto"/>
        <w:rPr>
          <w:rFonts w:eastAsia="Calibri" w:cs="Calibri"/>
          <w:lang w:val="en-GB"/>
        </w:rPr>
      </w:pPr>
      <w:r w:rsidRPr="00116988">
        <w:rPr>
          <w:rFonts w:eastAsia="Calibri" w:cs="Calibri"/>
          <w:lang w:val="en-GB"/>
        </w:rPr>
        <w:t>20.1</w:t>
      </w:r>
      <w:r w:rsidRPr="00116988">
        <w:rPr>
          <w:lang w:val="en-GB"/>
        </w:rPr>
        <w:tab/>
      </w:r>
      <w:r w:rsidR="003E2C49" w:rsidRPr="00116988">
        <w:rPr>
          <w:rFonts w:cs="Calibri"/>
          <w:lang w:val="en-GB"/>
        </w:rPr>
        <w:t>The Chair of CWG-FHR presented the report, in Document C26/112, on the joint meeting of CWG-FHR and CWG-SFP, held on 27 April 2026, to discuss the draft financial plan for the period 2028</w:t>
      </w:r>
      <w:r w:rsidR="002758C9">
        <w:rPr>
          <w:rFonts w:cs="Calibri"/>
          <w:lang w:val="en-GB"/>
        </w:rPr>
        <w:t>-</w:t>
      </w:r>
      <w:r w:rsidR="003E2C49" w:rsidRPr="00116988">
        <w:rPr>
          <w:rFonts w:cs="Calibri"/>
          <w:lang w:val="en-GB"/>
        </w:rPr>
        <w:t xml:space="preserve">2031 (see Document </w:t>
      </w:r>
      <w:hyperlink r:id="rId73" w:history="1">
        <w:r w:rsidR="003E2C49" w:rsidRPr="005C6A6A">
          <w:rPr>
            <w:rStyle w:val="Hyperlink"/>
            <w:rFonts w:cs="Calibri"/>
            <w:szCs w:val="20"/>
            <w:lang w:val="en-GB"/>
          </w:rPr>
          <w:t>C26/32</w:t>
        </w:r>
      </w:hyperlink>
      <w:r w:rsidR="003E2C49" w:rsidRPr="00116988">
        <w:rPr>
          <w:rFonts w:cs="Calibri"/>
          <w:lang w:val="en-GB"/>
        </w:rPr>
        <w:t xml:space="preserve">). An information session had also been held on </w:t>
      </w:r>
      <w:r w:rsidR="00A3449E" w:rsidRPr="00116988">
        <w:rPr>
          <w:rFonts w:cs="Calibri"/>
          <w:lang w:val="en-GB"/>
        </w:rPr>
        <w:t>1</w:t>
      </w:r>
      <w:r w:rsidR="00A3449E">
        <w:rPr>
          <w:rFonts w:cs="Calibri"/>
          <w:lang w:val="en-GB"/>
        </w:rPr>
        <w:t> </w:t>
      </w:r>
      <w:r w:rsidR="003E2C49" w:rsidRPr="00116988">
        <w:rPr>
          <w:rFonts w:cs="Calibri"/>
          <w:lang w:val="en-GB"/>
        </w:rPr>
        <w:t>May. Members had welcomed the secretariat’s new approach to the draft financial plan and its commitment to implementing a results-based management approach in support of the strategic and operational plans. More in-depth information on the draft financial plan would nevertheless be appreciated, as was noted in §</w:t>
      </w:r>
      <w:r w:rsidR="002758C9">
        <w:rPr>
          <w:rFonts w:cs="Calibri"/>
          <w:lang w:val="en-GB"/>
        </w:rPr>
        <w:t> </w:t>
      </w:r>
      <w:r w:rsidR="003E2C49" w:rsidRPr="00116988">
        <w:rPr>
          <w:rFonts w:cs="Calibri"/>
          <w:lang w:val="en-GB"/>
        </w:rPr>
        <w:t xml:space="preserve">2.12 of the report and in line with </w:t>
      </w:r>
      <w:r w:rsidR="00A3449E" w:rsidRPr="00116988">
        <w:rPr>
          <w:rFonts w:cs="Calibri"/>
          <w:lang w:val="en-GB"/>
        </w:rPr>
        <w:t>Decision</w:t>
      </w:r>
      <w:r w:rsidR="00A3449E">
        <w:rPr>
          <w:rFonts w:cs="Calibri"/>
          <w:lang w:val="en-GB"/>
        </w:rPr>
        <w:t> </w:t>
      </w:r>
      <w:r w:rsidR="003E2C49" w:rsidRPr="00116988">
        <w:rPr>
          <w:rFonts w:cs="Calibri"/>
          <w:lang w:val="en-GB"/>
        </w:rPr>
        <w:t xml:space="preserve">5 (Rev. Bucharest, 2022) of the Plenipotentiary Conference, to enable Member States to gain a better understanding of progress in terms of results-based budgeting. It was recommended that a further information session on the draft financial plan be held at least six weeks before </w:t>
      </w:r>
      <w:r w:rsidR="006B0B6B">
        <w:rPr>
          <w:rFonts w:cs="Calibri"/>
          <w:lang w:val="en-GB"/>
        </w:rPr>
        <w:t>PP-26</w:t>
      </w:r>
      <w:r w:rsidR="003E2C49" w:rsidRPr="00116988">
        <w:rPr>
          <w:rFonts w:cs="Calibri"/>
          <w:lang w:val="en-GB"/>
        </w:rPr>
        <w:t>.</w:t>
      </w:r>
      <w:r w:rsidRPr="00116988">
        <w:rPr>
          <w:rFonts w:eastAsia="Calibri" w:cs="Calibri"/>
          <w:lang w:val="en-GB"/>
        </w:rPr>
        <w:t xml:space="preserve"> </w:t>
      </w:r>
    </w:p>
    <w:p w14:paraId="0B142905" w14:textId="39F582AE" w:rsidR="000010A6" w:rsidRPr="00116988" w:rsidRDefault="000010A6" w:rsidP="00AA406B">
      <w:pPr>
        <w:keepNext/>
        <w:keepLines/>
        <w:spacing w:line="259" w:lineRule="auto"/>
        <w:rPr>
          <w:rFonts w:eastAsia="Calibri" w:cs="Calibri"/>
          <w:szCs w:val="24"/>
          <w:lang w:val="en-GB"/>
        </w:rPr>
      </w:pPr>
      <w:r w:rsidRPr="00116988">
        <w:rPr>
          <w:rFonts w:eastAsia="Calibri" w:cs="Calibri"/>
          <w:spacing w:val="-4"/>
          <w:szCs w:val="24"/>
          <w:lang w:val="en-GB"/>
        </w:rPr>
        <w:t>20.</w:t>
      </w:r>
      <w:r w:rsidR="00116988" w:rsidRPr="00116988">
        <w:rPr>
          <w:rFonts w:eastAsia="Calibri" w:cs="Calibri"/>
          <w:spacing w:val="-4"/>
          <w:szCs w:val="24"/>
          <w:lang w:val="en-GB"/>
        </w:rPr>
        <w:t>2</w:t>
      </w:r>
      <w:r w:rsidRPr="00116988">
        <w:rPr>
          <w:rFonts w:eastAsia="Calibri" w:cs="Calibri"/>
          <w:szCs w:val="24"/>
          <w:lang w:val="en-GB"/>
        </w:rPr>
        <w:tab/>
        <w:t xml:space="preserve">The committee </w:t>
      </w:r>
      <w:r w:rsidRPr="00116988">
        <w:rPr>
          <w:rFonts w:eastAsia="Calibri" w:cs="Calibri"/>
          <w:b/>
          <w:bCs/>
          <w:szCs w:val="24"/>
          <w:lang w:val="en-GB"/>
        </w:rPr>
        <w:t>agreed</w:t>
      </w:r>
      <w:r w:rsidRPr="00116988">
        <w:rPr>
          <w:rFonts w:eastAsia="Calibri" w:cs="Calibri"/>
          <w:szCs w:val="24"/>
          <w:lang w:val="en-GB"/>
        </w:rPr>
        <w:t xml:space="preserve"> to conclude as follows on the matter:</w:t>
      </w:r>
    </w:p>
    <w:p w14:paraId="798C46D4" w14:textId="6CC5D00C" w:rsidR="00A3449E" w:rsidRDefault="000010A6" w:rsidP="00AA406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116988">
        <w:rPr>
          <w:rFonts w:eastAsia="Calibri" w:cs="Calibri"/>
          <w:szCs w:val="24"/>
          <w:lang w:val="en-GB"/>
        </w:rPr>
        <w:t>20.</w:t>
      </w:r>
      <w:r w:rsidR="00116988" w:rsidRPr="00116988">
        <w:rPr>
          <w:rFonts w:eastAsia="Calibri" w:cs="Calibri"/>
          <w:szCs w:val="24"/>
          <w:lang w:val="en-GB"/>
        </w:rPr>
        <w:t>3</w:t>
      </w:r>
      <w:r w:rsidRPr="00116988">
        <w:rPr>
          <w:lang w:val="en-GB"/>
        </w:rPr>
        <w:tab/>
        <w:t>The committee recommends that the Council:</w:t>
      </w:r>
    </w:p>
    <w:p w14:paraId="32254E7E" w14:textId="77816A80" w:rsidR="008E05B9" w:rsidRDefault="000010A6"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lang w:val="en-GB"/>
        </w:rPr>
      </w:pPr>
      <w:r w:rsidRPr="00116988">
        <w:rPr>
          <w:lang w:val="en-GB"/>
        </w:rPr>
        <w:t>•</w:t>
      </w:r>
      <w:r w:rsidRPr="00116988">
        <w:rPr>
          <w:lang w:val="en-GB"/>
        </w:rPr>
        <w:tab/>
      </w:r>
      <w:r w:rsidR="006875A1" w:rsidRPr="00116988">
        <w:rPr>
          <w:rFonts w:cs="Calibri"/>
          <w:lang w:val="en-GB"/>
        </w:rPr>
        <w:t xml:space="preserve">note the report on the work of CWG-FHR and CWG-SFP contained in Document </w:t>
      </w:r>
      <w:hyperlink r:id="rId74" w:history="1">
        <w:r w:rsidR="006875A1" w:rsidRPr="00A3449E">
          <w:rPr>
            <w:rStyle w:val="Hyperlink"/>
            <w:rFonts w:cs="Calibri"/>
            <w:szCs w:val="20"/>
            <w:lang w:val="en-GB"/>
          </w:rPr>
          <w:t>C26/112</w:t>
        </w:r>
      </w:hyperlink>
      <w:r w:rsidR="008E05B9">
        <w:rPr>
          <w:rFonts w:cs="Calibri"/>
          <w:lang w:val="en-GB"/>
        </w:rPr>
        <w:t xml:space="preserve">; </w:t>
      </w:r>
    </w:p>
    <w:p w14:paraId="3F9CFF02" w14:textId="2B4C4C2D" w:rsidR="008E05B9" w:rsidRDefault="008E05B9"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lang w:val="en-US"/>
        </w:rPr>
      </w:pPr>
      <w:r w:rsidRPr="00116988">
        <w:rPr>
          <w:lang w:val="en-GB"/>
        </w:rPr>
        <w:t>•</w:t>
      </w:r>
      <w:r w:rsidRPr="00116988">
        <w:rPr>
          <w:lang w:val="en-GB"/>
        </w:rPr>
        <w:tab/>
      </w:r>
      <w:r w:rsidRPr="008E05B9">
        <w:rPr>
          <w:rFonts w:cs="Calibri"/>
          <w:lang w:val="en-US"/>
        </w:rPr>
        <w:t xml:space="preserve">recommend the secretariat host an information session </w:t>
      </w:r>
      <w:r w:rsidR="00447355">
        <w:rPr>
          <w:rFonts w:cs="Calibri"/>
          <w:lang w:val="en-US"/>
        </w:rPr>
        <w:t xml:space="preserve">prior to </w:t>
      </w:r>
      <w:r w:rsidR="00D0380A">
        <w:rPr>
          <w:rFonts w:cs="Calibri"/>
          <w:lang w:val="en-US"/>
        </w:rPr>
        <w:t>the Plenipotentiary Conference (Doha, 2026)</w:t>
      </w:r>
      <w:r w:rsidRPr="008E05B9">
        <w:rPr>
          <w:rFonts w:cs="Calibri"/>
          <w:lang w:val="en-US"/>
        </w:rPr>
        <w:t xml:space="preserve"> to address Member State questions</w:t>
      </w:r>
      <w:r>
        <w:rPr>
          <w:rFonts w:cs="Calibri"/>
          <w:lang w:val="en-US"/>
        </w:rPr>
        <w:t>; and</w:t>
      </w:r>
    </w:p>
    <w:p w14:paraId="7EDB0F2B" w14:textId="44688869" w:rsidR="008E05B9" w:rsidRPr="00116988" w:rsidRDefault="008E05B9"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116988">
        <w:rPr>
          <w:lang w:val="en-GB"/>
        </w:rPr>
        <w:t>•</w:t>
      </w:r>
      <w:r w:rsidRPr="00116988">
        <w:rPr>
          <w:lang w:val="en-GB"/>
        </w:rPr>
        <w:tab/>
      </w:r>
      <w:r w:rsidRPr="008E05B9">
        <w:rPr>
          <w:rFonts w:cs="Calibri"/>
          <w:lang w:val="en-US"/>
        </w:rPr>
        <w:t xml:space="preserve">recommend the </w:t>
      </w:r>
      <w:r>
        <w:rPr>
          <w:rFonts w:cs="Calibri"/>
          <w:lang w:val="en-US"/>
        </w:rPr>
        <w:t>s</w:t>
      </w:r>
      <w:r w:rsidRPr="008E05B9">
        <w:rPr>
          <w:rFonts w:cs="Calibri"/>
          <w:lang w:val="en-US"/>
        </w:rPr>
        <w:t xml:space="preserve">ecretariat provide greater detail on the Financial Plan, including </w:t>
      </w:r>
      <w:r w:rsidRPr="00AA406B">
        <w:rPr>
          <w:rFonts w:cs="Calibri"/>
          <w:spacing w:val="-4"/>
          <w:lang w:val="en-US"/>
        </w:rPr>
        <w:t>itemized monetary amounts for the expenses of each Bureau and the General Secretariat, as well as a detailed explanation of the budget process.  The Financial Plan should include details on how  the listed priorities are linked to the Operational Plan budget</w:t>
      </w:r>
      <w:r w:rsidRPr="00AA406B">
        <w:rPr>
          <w:spacing w:val="-4"/>
          <w:lang w:val="en-GB"/>
        </w:rPr>
        <w:t>.</w:t>
      </w:r>
    </w:p>
    <w:p w14:paraId="3F60D262" w14:textId="0F04803B" w:rsidR="00EC7432" w:rsidRPr="00263EC5" w:rsidRDefault="00FF16D6" w:rsidP="00E92501">
      <w:pPr>
        <w:pStyle w:val="Heading1"/>
        <w:rPr>
          <w:lang w:val="fr-CH"/>
        </w:rPr>
      </w:pPr>
      <w:r w:rsidRPr="00263EC5">
        <w:rPr>
          <w:lang w:val="fr-CH"/>
        </w:rPr>
        <w:t>21</w:t>
      </w:r>
      <w:r w:rsidR="00763021" w:rsidRPr="00263EC5">
        <w:rPr>
          <w:lang w:val="fr-CH"/>
        </w:rPr>
        <w:tab/>
        <w:t xml:space="preserve">Draft Financial Plan 2028-2031 (Document </w:t>
      </w:r>
      <w:hyperlink r:id="rId75" w:history="1">
        <w:r w:rsidR="00F067FC" w:rsidRPr="00263EC5">
          <w:rPr>
            <w:rStyle w:val="Hyperlink"/>
            <w:lang w:val="fr-CH"/>
          </w:rPr>
          <w:t>C26/32</w:t>
        </w:r>
      </w:hyperlink>
      <w:r w:rsidR="00F067FC" w:rsidRPr="00263EC5">
        <w:rPr>
          <w:lang w:val="fr-CH"/>
        </w:rPr>
        <w:t>)</w:t>
      </w:r>
    </w:p>
    <w:p w14:paraId="52B34DF9" w14:textId="02D5576F" w:rsidR="008E6221" w:rsidRPr="00EA5615" w:rsidRDefault="008E6221" w:rsidP="00E92501">
      <w:pPr>
        <w:pStyle w:val="Headingb"/>
        <w:ind w:left="540"/>
        <w:rPr>
          <w:sz w:val="28"/>
          <w:szCs w:val="28"/>
          <w:lang w:val="en-GB"/>
        </w:rPr>
      </w:pPr>
      <w:r w:rsidRPr="00EA5615">
        <w:rPr>
          <w:sz w:val="28"/>
          <w:szCs w:val="28"/>
          <w:lang w:val="en-GB"/>
        </w:rPr>
        <w:t xml:space="preserve">Recommendations on enhancing transparency in the financial </w:t>
      </w:r>
      <w:r w:rsidR="00C15698">
        <w:rPr>
          <w:sz w:val="28"/>
          <w:szCs w:val="28"/>
          <w:lang w:val="en-GB"/>
        </w:rPr>
        <w:t>m</w:t>
      </w:r>
      <w:r w:rsidR="00C15698" w:rsidRPr="00EA5615">
        <w:rPr>
          <w:sz w:val="28"/>
          <w:szCs w:val="28"/>
          <w:lang w:val="en-GB"/>
        </w:rPr>
        <w:t xml:space="preserve">anagement </w:t>
      </w:r>
      <w:r w:rsidRPr="00EA5615">
        <w:rPr>
          <w:sz w:val="28"/>
          <w:szCs w:val="28"/>
          <w:lang w:val="en-GB"/>
        </w:rPr>
        <w:t>of ITU</w:t>
      </w:r>
      <w:r w:rsidRPr="00EA5615">
        <w:rPr>
          <w:i/>
          <w:iCs/>
          <w:sz w:val="28"/>
          <w:szCs w:val="28"/>
          <w:lang w:val="en-GB"/>
        </w:rPr>
        <w:t xml:space="preserve"> </w:t>
      </w:r>
      <w:r w:rsidRPr="00EA5615">
        <w:rPr>
          <w:sz w:val="28"/>
          <w:szCs w:val="28"/>
          <w:lang w:val="en-GB"/>
        </w:rPr>
        <w:t xml:space="preserve">(Document </w:t>
      </w:r>
      <w:hyperlink r:id="rId76" w:history="1">
        <w:r w:rsidR="00CD6D2C" w:rsidRPr="00EA5615">
          <w:rPr>
            <w:rStyle w:val="Hyperlink"/>
            <w:sz w:val="28"/>
            <w:szCs w:val="28"/>
            <w:lang w:val="en-GB"/>
          </w:rPr>
          <w:t>C26/80</w:t>
        </w:r>
      </w:hyperlink>
      <w:r w:rsidR="00CD6D2C" w:rsidRPr="00EA5615">
        <w:rPr>
          <w:sz w:val="28"/>
          <w:szCs w:val="28"/>
          <w:lang w:val="en-GB"/>
        </w:rPr>
        <w:t>)</w:t>
      </w:r>
    </w:p>
    <w:p w14:paraId="43C32339" w14:textId="4656A962" w:rsidR="008E6221" w:rsidRPr="00EA5615" w:rsidRDefault="008E6221" w:rsidP="00E92501">
      <w:pPr>
        <w:pStyle w:val="Headingb"/>
        <w:ind w:left="540"/>
        <w:rPr>
          <w:sz w:val="28"/>
          <w:szCs w:val="28"/>
          <w:lang w:val="en-GB"/>
        </w:rPr>
      </w:pPr>
      <w:r w:rsidRPr="00EA5615">
        <w:rPr>
          <w:sz w:val="28"/>
          <w:szCs w:val="28"/>
          <w:lang w:val="en-GB"/>
        </w:rPr>
        <w:t>Recommendations for further optimization of the draft Financial Plan of the ITU for 2028-2031</w:t>
      </w:r>
      <w:r w:rsidR="00CD6D2C" w:rsidRPr="00EA5615">
        <w:rPr>
          <w:sz w:val="28"/>
          <w:szCs w:val="28"/>
          <w:lang w:val="en-GB"/>
        </w:rPr>
        <w:t xml:space="preserve"> (Document </w:t>
      </w:r>
      <w:hyperlink r:id="rId77" w:history="1">
        <w:r w:rsidR="00DC2B66" w:rsidRPr="00EA5615">
          <w:rPr>
            <w:rStyle w:val="Hyperlink"/>
            <w:sz w:val="28"/>
            <w:szCs w:val="28"/>
            <w:lang w:val="en-GB"/>
          </w:rPr>
          <w:t>C26/81</w:t>
        </w:r>
      </w:hyperlink>
      <w:r w:rsidR="00DC2B66" w:rsidRPr="00EA5615">
        <w:rPr>
          <w:sz w:val="28"/>
          <w:szCs w:val="28"/>
          <w:lang w:val="en-GB"/>
        </w:rPr>
        <w:t>)</w:t>
      </w:r>
    </w:p>
    <w:p w14:paraId="762D2B99" w14:textId="05ACF1D1" w:rsidR="00EC7432" w:rsidRPr="00EA5615" w:rsidRDefault="008E6221" w:rsidP="00C44A2E">
      <w:pPr>
        <w:pStyle w:val="Headingb"/>
        <w:keepNext w:val="0"/>
        <w:keepLines w:val="0"/>
        <w:ind w:left="540"/>
        <w:rPr>
          <w:sz w:val="28"/>
          <w:szCs w:val="28"/>
          <w:lang w:val="en-GB"/>
        </w:rPr>
      </w:pPr>
      <w:r w:rsidRPr="00EA5615">
        <w:rPr>
          <w:sz w:val="28"/>
          <w:szCs w:val="28"/>
          <w:lang w:val="en-GB"/>
        </w:rPr>
        <w:t>Proposal to optimize the allocation of ITU resources to better serve the purposes of the Union</w:t>
      </w:r>
      <w:r w:rsidR="00DC2B66" w:rsidRPr="00EA5615">
        <w:rPr>
          <w:sz w:val="28"/>
          <w:szCs w:val="28"/>
          <w:lang w:val="en-GB"/>
        </w:rPr>
        <w:t xml:space="preserve"> (Document </w:t>
      </w:r>
      <w:hyperlink r:id="rId78" w:history="1">
        <w:r w:rsidR="006A5A89" w:rsidRPr="00EA5615">
          <w:rPr>
            <w:rStyle w:val="Hyperlink"/>
            <w:sz w:val="28"/>
            <w:szCs w:val="28"/>
            <w:lang w:val="en-GB"/>
          </w:rPr>
          <w:t>C26/91</w:t>
        </w:r>
      </w:hyperlink>
      <w:r w:rsidR="006A5A89" w:rsidRPr="00EA5615">
        <w:rPr>
          <w:sz w:val="28"/>
          <w:szCs w:val="28"/>
          <w:lang w:val="en-GB"/>
        </w:rPr>
        <w:t>)</w:t>
      </w:r>
    </w:p>
    <w:p w14:paraId="6D634CFF" w14:textId="466D23EB" w:rsidR="00313B44" w:rsidRPr="00931D63" w:rsidRDefault="00B0332A" w:rsidP="00E92501">
      <w:pPr>
        <w:rPr>
          <w:rFonts w:cs="Calibri"/>
          <w:lang w:val="en-GB"/>
        </w:rPr>
      </w:pPr>
      <w:r w:rsidRPr="00931D63">
        <w:rPr>
          <w:rFonts w:eastAsia="Calibri" w:cs="Calibri"/>
          <w:lang w:val="en-GB"/>
        </w:rPr>
        <w:t>2</w:t>
      </w:r>
      <w:r w:rsidR="00EA080F" w:rsidRPr="00931D63">
        <w:rPr>
          <w:rFonts w:eastAsia="Calibri" w:cs="Calibri"/>
          <w:lang w:val="en-GB"/>
        </w:rPr>
        <w:t>1</w:t>
      </w:r>
      <w:r w:rsidRPr="00931D63">
        <w:rPr>
          <w:rFonts w:eastAsia="Calibri" w:cs="Calibri"/>
          <w:lang w:val="en-GB"/>
        </w:rPr>
        <w:t>.1</w:t>
      </w:r>
      <w:r>
        <w:rPr>
          <w:rFonts w:eastAsia="Calibri" w:cs="Calibri"/>
          <w:lang w:val="en-GB"/>
        </w:rPr>
        <w:tab/>
      </w:r>
      <w:r w:rsidR="00313B44" w:rsidRPr="00931D63">
        <w:rPr>
          <w:rFonts w:cs="Calibri"/>
          <w:lang w:val="en-GB"/>
        </w:rPr>
        <w:t>The Chief of FRMD introduced Document C26/32, containing the draft financial plan for the period 2028-2031. The financial resources available during the 2028-2031 period would be applied to achieve the strategic goals and priorities identified in the strategic plan 2028-2031, which was still under development.</w:t>
      </w:r>
    </w:p>
    <w:p w14:paraId="7C06BD79" w14:textId="12D3B774" w:rsidR="00313B44" w:rsidRPr="00931D63" w:rsidRDefault="00274A7A" w:rsidP="00313B44">
      <w:pPr>
        <w:rPr>
          <w:lang w:val="en-GB"/>
        </w:rPr>
      </w:pPr>
      <w:r w:rsidRPr="00931D63">
        <w:rPr>
          <w:lang w:val="en-GB"/>
        </w:rPr>
        <w:t>2</w:t>
      </w:r>
      <w:r w:rsidR="00313B44" w:rsidRPr="00931D63">
        <w:rPr>
          <w:lang w:val="en-GB"/>
        </w:rPr>
        <w:t>1.2</w:t>
      </w:r>
      <w:r w:rsidR="00313B44" w:rsidRPr="00931D63">
        <w:rPr>
          <w:lang w:val="en-GB"/>
        </w:rPr>
        <w:tab/>
        <w:t>The Councillor from China introduced Document C26/80 containing a multicountry contribution from three countries, on the importance of ensuring that ITU's financial management not only alleviated short-term pressures but also established a forward-looking framework to enhance financial sustainability, and proposing four recommendations to that end.</w:t>
      </w:r>
    </w:p>
    <w:p w14:paraId="7283D2BD" w14:textId="7BCB54FE" w:rsidR="00313B44" w:rsidRPr="00931D63" w:rsidRDefault="00274A7A" w:rsidP="00313B44">
      <w:pPr>
        <w:rPr>
          <w:lang w:val="en-GB"/>
        </w:rPr>
      </w:pPr>
      <w:r w:rsidRPr="00931D63">
        <w:rPr>
          <w:lang w:val="en-GB"/>
        </w:rPr>
        <w:t>2</w:t>
      </w:r>
      <w:r w:rsidR="00313B44" w:rsidRPr="00931D63">
        <w:rPr>
          <w:lang w:val="en-GB"/>
        </w:rPr>
        <w:t>1.3</w:t>
      </w:r>
      <w:r w:rsidR="00313B44" w:rsidRPr="00931D63">
        <w:rPr>
          <w:lang w:val="en-GB"/>
        </w:rPr>
        <w:tab/>
        <w:t>The Councillor from China introduced Document C26/</w:t>
      </w:r>
      <w:r w:rsidR="00684C35" w:rsidRPr="00931D63">
        <w:rPr>
          <w:lang w:val="en-GB"/>
        </w:rPr>
        <w:t>8</w:t>
      </w:r>
      <w:r w:rsidR="00684C35">
        <w:rPr>
          <w:lang w:val="en-GB"/>
        </w:rPr>
        <w:t>1</w:t>
      </w:r>
      <w:r w:rsidR="00684C35" w:rsidRPr="00931D63">
        <w:rPr>
          <w:lang w:val="en-GB"/>
        </w:rPr>
        <w:t xml:space="preserve"> </w:t>
      </w:r>
      <w:r w:rsidR="00313B44" w:rsidRPr="00931D63">
        <w:rPr>
          <w:lang w:val="en-GB"/>
        </w:rPr>
        <w:t xml:space="preserve">containing a multicountry contribution from two countries, providing </w:t>
      </w:r>
      <w:r w:rsidR="00313B44" w:rsidRPr="00931D63">
        <w:rPr>
          <w:rFonts w:cs="Calibri"/>
          <w:lang w:val="en-GB"/>
        </w:rPr>
        <w:t>observations and recommendations for improving the draft financial plan for 2028-2031.</w:t>
      </w:r>
    </w:p>
    <w:p w14:paraId="04374400" w14:textId="298BFB9E" w:rsidR="00313B44" w:rsidRPr="00931D63" w:rsidRDefault="00274A7A" w:rsidP="00313B44">
      <w:pPr>
        <w:rPr>
          <w:rFonts w:cs="Calibri"/>
          <w:lang w:val="en-GB"/>
        </w:rPr>
      </w:pPr>
      <w:r w:rsidRPr="00931D63">
        <w:rPr>
          <w:rFonts w:cs="Calibri"/>
          <w:lang w:val="en-GB"/>
        </w:rPr>
        <w:t>2</w:t>
      </w:r>
      <w:r w:rsidR="00313B44" w:rsidRPr="00931D63">
        <w:rPr>
          <w:rFonts w:cs="Calibri"/>
          <w:lang w:val="en-GB"/>
        </w:rPr>
        <w:t>1.4</w:t>
      </w:r>
      <w:r w:rsidR="00313B44" w:rsidRPr="00931D63">
        <w:rPr>
          <w:rFonts w:cs="Calibri"/>
          <w:lang w:val="en-GB"/>
        </w:rPr>
        <w:tab/>
        <w:t xml:space="preserve">Having received the support of two Council members, the observer for the Russian Federation introduced Document C26/91, which contained a proposal for PP-26 to </w:t>
      </w:r>
      <w:r w:rsidR="00313B44" w:rsidRPr="00931D63">
        <w:rPr>
          <w:lang w:val="en-GB"/>
        </w:rPr>
        <w:t>establish an interim high-level expert working group to define how resources should be allocated in accordance with the purposes of the Union</w:t>
      </w:r>
      <w:r w:rsidR="00313B44" w:rsidRPr="00931D63">
        <w:rPr>
          <w:rFonts w:cs="Calibri"/>
          <w:lang w:val="en-GB"/>
        </w:rPr>
        <w:t xml:space="preserve">, which would allow the Union to prioritize its core functions and objectives. The proposal also suggested that the Council should authorize a full, independent review by an external entity of all ITU activities and subsequently </w:t>
      </w:r>
      <w:r w:rsidR="00313B44" w:rsidRPr="00931D63">
        <w:rPr>
          <w:lang w:val="en-GB"/>
        </w:rPr>
        <w:t>establish a standing committee on the allocation of resources</w:t>
      </w:r>
      <w:r w:rsidR="00313B44" w:rsidRPr="00931D63">
        <w:rPr>
          <w:rFonts w:cs="Calibri"/>
          <w:lang w:val="en-GB"/>
        </w:rPr>
        <w:t>.</w:t>
      </w:r>
    </w:p>
    <w:p w14:paraId="2959AB55" w14:textId="7058C0B3" w:rsidR="00313B44" w:rsidRPr="00931D63" w:rsidRDefault="00274A7A" w:rsidP="00313B44">
      <w:pPr>
        <w:rPr>
          <w:rFonts w:cs="Calibri"/>
          <w:lang w:val="en-GB"/>
        </w:rPr>
      </w:pPr>
      <w:r w:rsidRPr="00931D63">
        <w:rPr>
          <w:rFonts w:cs="Calibri"/>
          <w:lang w:val="en-GB"/>
        </w:rPr>
        <w:t>2</w:t>
      </w:r>
      <w:r w:rsidR="00313B44" w:rsidRPr="00931D63">
        <w:rPr>
          <w:rFonts w:cs="Calibri"/>
          <w:lang w:val="en-GB"/>
        </w:rPr>
        <w:t>1.5</w:t>
      </w:r>
      <w:r w:rsidR="00313B44" w:rsidRPr="00931D63">
        <w:rPr>
          <w:rFonts w:cs="Calibri"/>
          <w:lang w:val="en-GB"/>
        </w:rPr>
        <w:tab/>
        <w:t>In the ensuing discussion, while commending the secretariat’s efforts to ensure realistic revenue projection and acknowledging the steps being taken to maintain the long-term financial stability and sustainability of the Union and balance the budget in a context of resource stagnation and inflation, councillors nevertheless noted that the draft financial plan lacked clarity and transparency, and that links with strategic priorities and operational aspects were insufficient. Clearer links with the strategic plan were needed. Accountability and transparency in financial reporting were crucial. A prolonged period of zero nominal growth had resulted in significant economic challenges for the Union. Any consideration of an upward adjustment of the contributory unit must, however, take account of the fiscal capacities of developing countries. One councillor added that steps must be taken to hold to account any Member that had not met its commitments with regard to the payment of its contributory units.</w:t>
      </w:r>
    </w:p>
    <w:p w14:paraId="7B11370B" w14:textId="4B119682" w:rsidR="00313B44" w:rsidRPr="00931D63" w:rsidRDefault="00274A7A" w:rsidP="00313B44">
      <w:pPr>
        <w:rPr>
          <w:rFonts w:cs="Calibri"/>
          <w:lang w:val="en-GB"/>
        </w:rPr>
      </w:pPr>
      <w:r w:rsidRPr="00931D63">
        <w:rPr>
          <w:rFonts w:cs="Calibri"/>
          <w:lang w:val="en-GB"/>
        </w:rPr>
        <w:t>2</w:t>
      </w:r>
      <w:r w:rsidR="00313B44" w:rsidRPr="00931D63">
        <w:rPr>
          <w:rFonts w:cs="Calibri"/>
          <w:lang w:val="en-GB"/>
        </w:rPr>
        <w:t>1.6</w:t>
      </w:r>
      <w:r w:rsidR="00313B44" w:rsidRPr="00931D63">
        <w:rPr>
          <w:rFonts w:cs="Calibri"/>
          <w:lang w:val="en-GB"/>
        </w:rPr>
        <w:tab/>
        <w:t>Disciplined financial management was crucial. Councillors urged caution in the calculation and accounting of revenue from satellite network filings, particularly any estimates made in anticipation of the approval of the new cost recovery methodology</w:t>
      </w:r>
      <w:r w:rsidR="00313B44" w:rsidRPr="00931D63">
        <w:rPr>
          <w:lang w:val="en-GB"/>
        </w:rPr>
        <w:t xml:space="preserve"> </w:t>
      </w:r>
      <w:r w:rsidR="00313B44" w:rsidRPr="00931D63">
        <w:rPr>
          <w:rFonts w:cs="Calibri"/>
          <w:lang w:val="en-GB"/>
        </w:rPr>
        <w:t xml:space="preserve">for satellite network filings. Particular concerns were raised with regard to the financial plan’s lack of resource allocation to business continuity and investment in ICT infrastructure and services, which were crucial for the future of the Union. Business continuity and a coherent activity framework were particularly important. The absence of a clear method of calculating the financial implications of the decisions of conferences was also a cause of concern; further increases in the already high number of unfunded mandates must be avoided. Overwhelming support was expressed for the suggestion, made by the Chair of CWG-FHR, that an information session on the financial plan should be held prior to PP-26 in order for the secretariat to provide stronger links with the strategic plan and explain how it intended to address important areas of activity where funds were lacking. Clear and detailed information should be provided on all aspects of concern, and Member States’ feedback should be </w:t>
      </w:r>
      <w:proofErr w:type="gramStart"/>
      <w:r w:rsidR="00313B44" w:rsidRPr="00931D63">
        <w:rPr>
          <w:rFonts w:cs="Calibri"/>
          <w:lang w:val="en-GB"/>
        </w:rPr>
        <w:t>taken into account</w:t>
      </w:r>
      <w:proofErr w:type="gramEnd"/>
      <w:r w:rsidR="00313B44" w:rsidRPr="00931D63">
        <w:rPr>
          <w:rFonts w:cs="Calibri"/>
          <w:lang w:val="en-GB"/>
        </w:rPr>
        <w:t>.</w:t>
      </w:r>
    </w:p>
    <w:p w14:paraId="7BED6A7A" w14:textId="32ABE898" w:rsidR="00313B44" w:rsidRPr="00931D63" w:rsidRDefault="00274A7A" w:rsidP="00313B44">
      <w:pPr>
        <w:rPr>
          <w:rFonts w:cs="Calibri"/>
          <w:lang w:val="en-GB"/>
        </w:rPr>
      </w:pPr>
      <w:r w:rsidRPr="00931D63">
        <w:rPr>
          <w:rFonts w:cs="Calibri"/>
          <w:lang w:val="en-GB"/>
        </w:rPr>
        <w:t>2</w:t>
      </w:r>
      <w:r w:rsidR="00313B44" w:rsidRPr="00931D63">
        <w:rPr>
          <w:rFonts w:cs="Calibri"/>
          <w:lang w:val="en-GB"/>
        </w:rPr>
        <w:t>1.7</w:t>
      </w:r>
      <w:r w:rsidR="00313B44" w:rsidRPr="00931D63">
        <w:rPr>
          <w:rFonts w:cs="Calibri"/>
          <w:lang w:val="en-GB"/>
        </w:rPr>
        <w:tab/>
        <w:t>Councillors noted the cost-containment measures taken to reduce the budget for the biennium 2026-2027 and requested further information on the results yielded thus far. Efficiency measures should be quantified, and a set of indicators developed, to allow for periodic assessment and review, and clear corrective measures should be set out to be implemented if efficiencies were not achieved. One councillor emphasised the need for clear measures to reduce staff travel including a targeted reduction in spending, a greater reliance on virtual participation, and no business class travel. Clarification was sought on what was meant by “a moderate reduction in overall staffing levels”, which had been deemed necessary to maintain the balance between expenses and anticipated revenues in the context of zero nominal growth and increasing costs. Councillors wished to know how many staff posts would be eliminated and which posts would be consolidated, and in what time</w:t>
      </w:r>
      <w:r w:rsidR="00342F1C">
        <w:rPr>
          <w:rFonts w:cs="Calibri"/>
          <w:lang w:val="en-GB"/>
        </w:rPr>
        <w:t>-</w:t>
      </w:r>
      <w:r w:rsidR="00313B44" w:rsidRPr="00931D63">
        <w:rPr>
          <w:rFonts w:cs="Calibri"/>
          <w:lang w:val="en-GB"/>
        </w:rPr>
        <w:t>frame, while also seeking assurances that that project and service delivery would not be impacted. One councillor underscored that vacant posts should not be backfilled by consultancy contracts, while another said that the use of contractors to fill gaps and enable ITU to deliver on its mandate would be inevitable if staff positions were abolished. Clear reporting on contractual service needs was essential.</w:t>
      </w:r>
    </w:p>
    <w:p w14:paraId="4411F16D" w14:textId="63EA1B82" w:rsidR="00313B44" w:rsidRPr="00931D63" w:rsidRDefault="009570C4" w:rsidP="00313B44">
      <w:pPr>
        <w:rPr>
          <w:rFonts w:cs="Calibri"/>
          <w:lang w:val="en-GB"/>
        </w:rPr>
      </w:pPr>
      <w:r w:rsidRPr="00931D63">
        <w:rPr>
          <w:rFonts w:cs="Calibri"/>
          <w:lang w:val="en-GB"/>
        </w:rPr>
        <w:t>2</w:t>
      </w:r>
      <w:r w:rsidR="00313B44" w:rsidRPr="00931D63">
        <w:rPr>
          <w:rFonts w:cs="Calibri"/>
          <w:lang w:val="en-GB"/>
        </w:rPr>
        <w:t>1.8</w:t>
      </w:r>
      <w:r w:rsidR="00313B44" w:rsidRPr="00931D63">
        <w:rPr>
          <w:rFonts w:cs="Calibri"/>
          <w:lang w:val="en-GB"/>
        </w:rPr>
        <w:tab/>
        <w:t>Prioritization in the allocation of resources was crucial; a clear and transparent prioritization process was needed, to which Member States could contribute through the governing bodies. Priorities should be mapped across the Bureaux. While complementary and innovative funding mechanisms should be explored, several councillors felt that a dedicated fund for AI would be premature at present. The use of AI, including “AI for Good” must be in line with the needs and priorities of the Union, and should remain voluntarily funded. Others expressed concern that relying on voluntary funding for AI was not in line with the ambitions of the Union and raised questions of sustainability and equity, especially for developing countries. One councillor asked what more could be done to mobilize funds and cautioned against reliance on voluntary contributions, which were often earmarked; the Union must be free to use its financial contributions appropriately, and its digital transformation must be supported by adequate resources. The transparency of activities with significant financial and strategic implications should be enhanced, while maintaining flexibility and efficiency in the functioning of the Union. The increase in publications should be leveraged to increase revenue, and consideration should be given to minimizing the losses associated with foreign exchange rates and optimizing revenue generation through ITU’s investment portfolio.</w:t>
      </w:r>
    </w:p>
    <w:p w14:paraId="48591602" w14:textId="42887F32" w:rsidR="00313B44" w:rsidRPr="00931D63" w:rsidRDefault="009570C4" w:rsidP="00313B44">
      <w:pPr>
        <w:rPr>
          <w:rFonts w:cs="Calibri"/>
          <w:lang w:val="en-GB"/>
        </w:rPr>
      </w:pPr>
      <w:r w:rsidRPr="00931D63">
        <w:rPr>
          <w:rFonts w:cs="Calibri"/>
          <w:lang w:val="en-GB"/>
        </w:rPr>
        <w:t>2</w:t>
      </w:r>
      <w:r w:rsidR="00313B44" w:rsidRPr="00931D63">
        <w:rPr>
          <w:rFonts w:cs="Calibri"/>
          <w:lang w:val="en-GB"/>
        </w:rPr>
        <w:t>1.9</w:t>
      </w:r>
      <w:r w:rsidR="00313B44" w:rsidRPr="00931D63">
        <w:rPr>
          <w:rFonts w:cs="Calibri"/>
          <w:lang w:val="en-GB"/>
        </w:rPr>
        <w:tab/>
        <w:t xml:space="preserve">Councillors welcomed the multicountry contributions contained in </w:t>
      </w:r>
      <w:r w:rsidR="00ED697B">
        <w:rPr>
          <w:rFonts w:cs="Calibri"/>
          <w:lang w:val="en-GB"/>
        </w:rPr>
        <w:t>D</w:t>
      </w:r>
      <w:r w:rsidR="00313B44" w:rsidRPr="00931D63">
        <w:rPr>
          <w:rFonts w:cs="Calibri"/>
          <w:lang w:val="en-GB"/>
        </w:rPr>
        <w:t xml:space="preserve">ocuments C26/80 and </w:t>
      </w:r>
      <w:r w:rsidR="00ED697B">
        <w:rPr>
          <w:rFonts w:cs="Calibri"/>
          <w:lang w:val="en-GB"/>
        </w:rPr>
        <w:t>C26/</w:t>
      </w:r>
      <w:r w:rsidR="00313B44" w:rsidRPr="00931D63">
        <w:rPr>
          <w:rFonts w:cs="Calibri"/>
          <w:lang w:val="en-GB"/>
        </w:rPr>
        <w:t>81, and agreed on importance of transparency in financial management to enable the Council to fully understand the costs of ITU’s various activities and thereby guide ITU in its strategic priorities. A prioritization exercise would be crucial to ensure the optimal use of the Union’s limited resources. That notwithstanding, they cautioned against adding to the complexity of ITU’s governance processes and increasing the possibility of micromanagement. Any additional reporting requirements should not increase the administrative burden on Member States or the secretariat. On the contrary, simplifying governance structures and making the ITU more agile and accessible for Member States would be preferable. Duplication of work should be avoided. Further consideration of how to foster a results-based approach would be needed.</w:t>
      </w:r>
    </w:p>
    <w:p w14:paraId="5FAC611F" w14:textId="629271A6" w:rsidR="00313B44" w:rsidRPr="00931D63" w:rsidRDefault="009570C4" w:rsidP="00313B44">
      <w:pPr>
        <w:rPr>
          <w:rFonts w:cs="Calibri"/>
          <w:lang w:val="en-GB"/>
        </w:rPr>
      </w:pPr>
      <w:r w:rsidRPr="00931D63">
        <w:rPr>
          <w:rFonts w:cs="Calibri"/>
          <w:lang w:val="en-GB"/>
        </w:rPr>
        <w:t>2</w:t>
      </w:r>
      <w:r w:rsidR="00313B44" w:rsidRPr="00931D63">
        <w:rPr>
          <w:rFonts w:cs="Calibri"/>
          <w:lang w:val="en-GB"/>
        </w:rPr>
        <w:t>1.10</w:t>
      </w:r>
      <w:r w:rsidR="00313B44" w:rsidRPr="00931D63">
        <w:rPr>
          <w:rFonts w:cs="Calibri"/>
          <w:lang w:val="en-GB"/>
        </w:rPr>
        <w:tab/>
        <w:t xml:space="preserve">Regarding the contribution by the Russian Federation contained in Document C26/91, councillors agreed on the importance of aligning the use of resources with the priorities and purposes of the ITU, and emphasised the need to focus on the Union’s core mandate. They did not, however, wish to create any extra bodies or additional layers of supervision and management, but rather expressed a strong preference for using the capacities of existing structures to discuss the matter further, in particular CWG-FHR. </w:t>
      </w:r>
    </w:p>
    <w:p w14:paraId="4DDE5937" w14:textId="77D04A40" w:rsidR="00313B44" w:rsidRPr="00931D63" w:rsidRDefault="009570C4" w:rsidP="00313B44">
      <w:pPr>
        <w:rPr>
          <w:rFonts w:cs="Calibri"/>
          <w:lang w:val="en-GB"/>
        </w:rPr>
      </w:pPr>
      <w:r w:rsidRPr="00931D63">
        <w:rPr>
          <w:rFonts w:cs="Calibri"/>
          <w:lang w:val="en-GB"/>
        </w:rPr>
        <w:t>2</w:t>
      </w:r>
      <w:r w:rsidR="00313B44" w:rsidRPr="00931D63">
        <w:rPr>
          <w:rFonts w:cs="Calibri"/>
          <w:lang w:val="en-GB"/>
        </w:rPr>
        <w:t>1.11</w:t>
      </w:r>
      <w:r w:rsidR="00313B44" w:rsidRPr="00931D63">
        <w:rPr>
          <w:rFonts w:cs="Calibri"/>
          <w:lang w:val="en-GB"/>
        </w:rPr>
        <w:tab/>
        <w:t xml:space="preserve"> The Chief of FRMD said that due note had been taken of the significant interest from Member States in an information session, which would be organized prior to PP-26. Links with the strategic plan and operational plan would be strengthened once those had been approved, following which, and with the guidance of Council, the financial plan would be finalized for submission to PP-26. The ICT capital fund had been allocated CHF 6 million for the duration of the financial plan, as opposed to the CHF 3 million allocated for the previous four-year cycle. Details on the impacts of the two voluntary separation programmes to reduce staff numbers, and the implementation of staff travel reduction targets would be provided under other agenda items</w:t>
      </w:r>
      <w:r w:rsidR="00313B44" w:rsidRPr="00931D63">
        <w:rPr>
          <w:rStyle w:val="Hyperlink"/>
          <w:rFonts w:cs="Calibri"/>
          <w:color w:val="000000" w:themeColor="text1"/>
          <w:lang w:val="en-GB"/>
        </w:rPr>
        <w:t>.</w:t>
      </w:r>
      <w:r w:rsidR="00313B44" w:rsidRPr="00931D63">
        <w:rPr>
          <w:rFonts w:cs="Calibri"/>
          <w:lang w:val="en-GB"/>
        </w:rPr>
        <w:t xml:space="preserve"> Every effort would be made to leverage the increase in publications to generate further income. On the impacts of foreign exchange rates, losses in that regard were minor. The accounting of the Union was done in Swiss francs, except for contributions to the staff health insurance and pension funds, which were calculated in United States dollars. ITU was also implementing efficiency measures set out in the UN80 initiative.</w:t>
      </w:r>
    </w:p>
    <w:p w14:paraId="78544E8F" w14:textId="122652E9" w:rsidR="00B0332A" w:rsidRPr="00931D63" w:rsidRDefault="009570C4" w:rsidP="00931D63">
      <w:pPr>
        <w:rPr>
          <w:rFonts w:eastAsia="Calibri" w:cs="Calibri"/>
          <w:lang w:val="en-GB"/>
        </w:rPr>
      </w:pPr>
      <w:r w:rsidRPr="00931D63">
        <w:rPr>
          <w:rFonts w:cs="Calibri"/>
          <w:lang w:val="en-GB"/>
        </w:rPr>
        <w:t>2</w:t>
      </w:r>
      <w:r w:rsidR="00313B44" w:rsidRPr="00931D63">
        <w:rPr>
          <w:rFonts w:cs="Calibri"/>
          <w:lang w:val="en-GB"/>
        </w:rPr>
        <w:t>1.12</w:t>
      </w:r>
      <w:r w:rsidR="00313B44" w:rsidRPr="00931D63">
        <w:rPr>
          <w:rFonts w:cs="Calibri"/>
          <w:lang w:val="en-GB"/>
        </w:rPr>
        <w:tab/>
        <w:t>The Deputy Secretary-General said that the new financial planning cycle that would govern financial planning for the period 2028-2031 was in its early stages. The key priority was currently to ensure strong links between the strategic and financial plans, and to ensure that the financial plan reflected the strategic thematic priorities identified by Member States. Through the operational planning process, resources would be allocated to the Bureaux and General Secretariat, in line with the strategic plan, to ensure that those priorities were met. Calls for clear and transparent financial reporting had been noted. Transparency would be improved through the resource management dashboard. Efforts were being made to ensure prudent management of resources. Using ITU savings to fund otherwise unfunded mandates from conference was not sustainable. The situation would only improve once the methodology for calculating the financial implications of the decisions and resolutions of conferences and assemblies had been finalised in CWG-FHR. Funds were being allocated to the ICT capital fund and to the development of software to assist in satellite network filing claims. The secretariat was particularly grateful for the allocation of additional resources from Switzerland for business continuity, which would enable ITU to continue its work throughout the headquarters renovation project</w:t>
      </w:r>
      <w:r w:rsidR="00313B44" w:rsidRPr="00EA5615">
        <w:rPr>
          <w:rFonts w:eastAsia="Calibri" w:cs="Calibri"/>
          <w:lang w:val="en-GB"/>
        </w:rPr>
        <w:t>.</w:t>
      </w:r>
      <w:r w:rsidR="00B0332A" w:rsidRPr="00931D63">
        <w:rPr>
          <w:rFonts w:eastAsia="Calibri" w:cs="Calibri"/>
          <w:lang w:val="en-GB"/>
        </w:rPr>
        <w:t xml:space="preserve"> </w:t>
      </w:r>
    </w:p>
    <w:p w14:paraId="5556B53D" w14:textId="4788E6E1" w:rsidR="00B0332A" w:rsidRPr="00EA5615" w:rsidRDefault="00B0332A" w:rsidP="00C44A2E">
      <w:pPr>
        <w:keepNext/>
        <w:keepLines/>
        <w:spacing w:line="259" w:lineRule="auto"/>
        <w:rPr>
          <w:rFonts w:eastAsia="Calibri" w:cs="Calibri"/>
          <w:szCs w:val="24"/>
          <w:lang w:val="en-GB"/>
        </w:rPr>
      </w:pPr>
      <w:r w:rsidRPr="00931D63">
        <w:rPr>
          <w:rFonts w:eastAsia="Calibri" w:cs="Calibri"/>
          <w:spacing w:val="-4"/>
          <w:szCs w:val="24"/>
          <w:lang w:val="en-GB"/>
        </w:rPr>
        <w:t>2</w:t>
      </w:r>
      <w:r w:rsidR="00EA080F" w:rsidRPr="00931D63">
        <w:rPr>
          <w:rFonts w:eastAsia="Calibri" w:cs="Calibri"/>
          <w:spacing w:val="-4"/>
          <w:szCs w:val="24"/>
          <w:lang w:val="en-GB"/>
        </w:rPr>
        <w:t>1</w:t>
      </w:r>
      <w:r w:rsidRPr="00931D63">
        <w:rPr>
          <w:rFonts w:eastAsia="Calibri" w:cs="Calibri"/>
          <w:spacing w:val="-4"/>
          <w:szCs w:val="24"/>
          <w:lang w:val="en-GB"/>
        </w:rPr>
        <w:t>.</w:t>
      </w:r>
      <w:r w:rsidR="00BA53EA" w:rsidRPr="00931D63">
        <w:rPr>
          <w:rFonts w:eastAsia="Calibri" w:cs="Calibri"/>
          <w:spacing w:val="-4"/>
          <w:szCs w:val="24"/>
          <w:lang w:val="en-GB"/>
        </w:rPr>
        <w:t>13</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69C2D709" w14:textId="098482CD" w:rsidR="00E70CE2" w:rsidRDefault="00B0332A" w:rsidP="00E92501">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931D63">
        <w:rPr>
          <w:rFonts w:eastAsia="Calibri" w:cs="Calibri"/>
          <w:szCs w:val="24"/>
          <w:lang w:val="en-GB"/>
        </w:rPr>
        <w:t>2</w:t>
      </w:r>
      <w:r w:rsidR="00932319" w:rsidRPr="00931D63">
        <w:rPr>
          <w:rFonts w:eastAsia="Calibri" w:cs="Calibri"/>
          <w:szCs w:val="24"/>
          <w:lang w:val="en-GB"/>
        </w:rPr>
        <w:t>1</w:t>
      </w:r>
      <w:r w:rsidRPr="00931D63">
        <w:rPr>
          <w:rFonts w:eastAsia="Calibri" w:cs="Calibri"/>
          <w:szCs w:val="24"/>
          <w:lang w:val="en-GB"/>
        </w:rPr>
        <w:t>.</w:t>
      </w:r>
      <w:r w:rsidR="0025143A" w:rsidRPr="00931D63">
        <w:rPr>
          <w:rFonts w:eastAsia="Calibri" w:cs="Calibri"/>
          <w:szCs w:val="24"/>
          <w:lang w:val="en-GB"/>
        </w:rPr>
        <w:t>14</w:t>
      </w:r>
      <w:r w:rsidRPr="00931D63">
        <w:rPr>
          <w:lang w:val="en-GB"/>
        </w:rPr>
        <w:tab/>
        <w:t>The committee recommends that the Council:</w:t>
      </w:r>
    </w:p>
    <w:p w14:paraId="766AFFBE" w14:textId="3ADF97D4" w:rsidR="00931D63" w:rsidRDefault="00B0332A"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Style w:val="Hyperlink"/>
          <w:color w:val="000000" w:themeColor="text1"/>
          <w:u w:val="none"/>
          <w:lang w:val="en-GB"/>
        </w:rPr>
      </w:pPr>
      <w:r w:rsidRPr="00931D63">
        <w:rPr>
          <w:lang w:val="en-GB"/>
        </w:rPr>
        <w:t>•</w:t>
      </w:r>
      <w:r w:rsidRPr="00931D63">
        <w:rPr>
          <w:lang w:val="en-GB"/>
        </w:rPr>
        <w:tab/>
      </w:r>
      <w:r w:rsidR="00931D63" w:rsidRPr="00931D63">
        <w:rPr>
          <w:lang w:val="en-GB"/>
        </w:rPr>
        <w:t>note of the report</w:t>
      </w:r>
      <w:r w:rsidR="00931D63" w:rsidRPr="00931D63">
        <w:rPr>
          <w:rFonts w:cs="Calibri"/>
          <w:lang w:val="en-GB"/>
        </w:rPr>
        <w:t xml:space="preserve"> contained in </w:t>
      </w:r>
      <w:r w:rsidR="00931D63" w:rsidRPr="00931D63">
        <w:rPr>
          <w:rFonts w:eastAsia="Calibri" w:cs="Calibri"/>
          <w:lang w:val="en-GB"/>
        </w:rPr>
        <w:t xml:space="preserve">Document </w:t>
      </w:r>
      <w:hyperlink r:id="rId79" w:history="1">
        <w:r w:rsidR="00931D63" w:rsidRPr="00931D63">
          <w:rPr>
            <w:rStyle w:val="Hyperlink"/>
            <w:lang w:val="en-GB"/>
          </w:rPr>
          <w:t>C26/32</w:t>
        </w:r>
      </w:hyperlink>
      <w:r w:rsidR="00931D63" w:rsidRPr="00931D63">
        <w:rPr>
          <w:rFonts w:eastAsia="Calibri" w:cs="Calibri"/>
          <w:lang w:val="en-GB"/>
        </w:rPr>
        <w:t xml:space="preserve"> and the contributions contained in </w:t>
      </w:r>
      <w:r w:rsidR="003E5CFA">
        <w:rPr>
          <w:rFonts w:eastAsia="Calibri" w:cs="Calibri"/>
          <w:lang w:val="en-GB"/>
        </w:rPr>
        <w:t>D</w:t>
      </w:r>
      <w:r w:rsidR="00931D63" w:rsidRPr="00931D63">
        <w:rPr>
          <w:rFonts w:eastAsia="Calibri" w:cs="Calibri"/>
          <w:lang w:val="en-GB"/>
        </w:rPr>
        <w:t xml:space="preserve">ocuments </w:t>
      </w:r>
      <w:hyperlink r:id="rId80" w:history="1">
        <w:r w:rsidR="00931D63" w:rsidRPr="00931D63">
          <w:rPr>
            <w:rStyle w:val="Hyperlink"/>
            <w:lang w:val="en-GB"/>
          </w:rPr>
          <w:t>C26/80</w:t>
        </w:r>
      </w:hyperlink>
      <w:r w:rsidR="00931D63" w:rsidRPr="00AA406B">
        <w:rPr>
          <w:rStyle w:val="Hyperlink"/>
          <w:color w:val="000000" w:themeColor="text1"/>
          <w:u w:val="none"/>
          <w:lang w:val="en-GB"/>
        </w:rPr>
        <w:t>,</w:t>
      </w:r>
      <w:r w:rsidR="00931D63" w:rsidRPr="00AA406B">
        <w:rPr>
          <w:lang w:val="en-GB"/>
        </w:rPr>
        <w:t xml:space="preserve"> </w:t>
      </w:r>
      <w:hyperlink r:id="rId81" w:history="1">
        <w:r w:rsidR="00931D63" w:rsidRPr="00931D63">
          <w:rPr>
            <w:rStyle w:val="Hyperlink"/>
            <w:lang w:val="en-GB"/>
          </w:rPr>
          <w:t>C26/81</w:t>
        </w:r>
      </w:hyperlink>
      <w:r w:rsidR="00931D63" w:rsidRPr="00347EBE">
        <w:rPr>
          <w:rStyle w:val="Hyperlink"/>
          <w:u w:val="none"/>
          <w:lang w:val="en-GB"/>
        </w:rPr>
        <w:t xml:space="preserve"> </w:t>
      </w:r>
      <w:r w:rsidR="00931D63" w:rsidRPr="00347EBE">
        <w:rPr>
          <w:rStyle w:val="Hyperlink"/>
          <w:color w:val="000000" w:themeColor="text1"/>
          <w:u w:val="none"/>
          <w:lang w:val="en-GB"/>
        </w:rPr>
        <w:t>and</w:t>
      </w:r>
      <w:r w:rsidR="00931D63" w:rsidRPr="00347EBE">
        <w:rPr>
          <w:lang w:val="en-GB"/>
        </w:rPr>
        <w:t xml:space="preserve"> </w:t>
      </w:r>
      <w:hyperlink r:id="rId82" w:history="1">
        <w:r w:rsidR="00931D63" w:rsidRPr="00931D63">
          <w:rPr>
            <w:rStyle w:val="Hyperlink"/>
            <w:lang w:val="en-GB"/>
          </w:rPr>
          <w:t>C26/91</w:t>
        </w:r>
      </w:hyperlink>
      <w:r w:rsidR="00931D63" w:rsidRPr="00C44A2E">
        <w:rPr>
          <w:rStyle w:val="Hyperlink"/>
          <w:color w:val="auto"/>
          <w:u w:val="none"/>
          <w:lang w:val="en-GB"/>
        </w:rPr>
        <w:t>;</w:t>
      </w:r>
    </w:p>
    <w:p w14:paraId="0BEB8CB5" w14:textId="5A1FEF40" w:rsidR="00447355" w:rsidRPr="00931D63" w:rsidRDefault="00447355"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Style w:val="Hyperlink"/>
          <w:color w:val="000000" w:themeColor="text1"/>
          <w:lang w:val="en-GB"/>
        </w:rPr>
      </w:pPr>
      <w:r w:rsidRPr="00931D63">
        <w:rPr>
          <w:lang w:val="en-GB"/>
        </w:rPr>
        <w:t>•</w:t>
      </w:r>
      <w:r w:rsidRPr="00931D63">
        <w:rPr>
          <w:lang w:val="en-GB"/>
        </w:rPr>
        <w:tab/>
      </w:r>
      <w:r w:rsidRPr="00AA406B">
        <w:rPr>
          <w:rStyle w:val="Hyperlink"/>
          <w:color w:val="000000" w:themeColor="text1"/>
          <w:u w:val="none"/>
          <w:lang w:val="en-GB"/>
        </w:rPr>
        <w:t>encourage that financial planning and management be further enhanced in terms of clarity, transparency and accountability, and strengthen its connection to strategic and operational planning; and</w:t>
      </w:r>
    </w:p>
    <w:p w14:paraId="7A73D793" w14:textId="0BE8BA60" w:rsidR="00B0332A" w:rsidRPr="00EA5615" w:rsidRDefault="00931D63"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31D63">
        <w:rPr>
          <w:lang w:val="en-GB"/>
        </w:rPr>
        <w:t>•</w:t>
      </w:r>
      <w:r w:rsidRPr="00931D63">
        <w:rPr>
          <w:lang w:val="en-GB"/>
        </w:rPr>
        <w:tab/>
      </w:r>
      <w:r w:rsidR="00447355">
        <w:rPr>
          <w:rStyle w:val="Hyperlink"/>
          <w:color w:val="000000" w:themeColor="text1"/>
          <w:u w:val="none"/>
          <w:lang w:val="en-GB"/>
        </w:rPr>
        <w:t>instruct</w:t>
      </w:r>
      <w:r w:rsidR="00447355" w:rsidRPr="00347EBE">
        <w:rPr>
          <w:rStyle w:val="Hyperlink"/>
          <w:color w:val="000000" w:themeColor="text1"/>
          <w:u w:val="none"/>
          <w:lang w:val="en-GB"/>
        </w:rPr>
        <w:t xml:space="preserve"> </w:t>
      </w:r>
      <w:r w:rsidRPr="00347EBE">
        <w:rPr>
          <w:rStyle w:val="Hyperlink"/>
          <w:color w:val="000000" w:themeColor="text1"/>
          <w:u w:val="none"/>
          <w:lang w:val="en-GB"/>
        </w:rPr>
        <w:t>the secretariat to organize information session</w:t>
      </w:r>
      <w:r w:rsidR="00447355">
        <w:rPr>
          <w:rStyle w:val="Hyperlink"/>
          <w:color w:val="000000" w:themeColor="text1"/>
          <w:u w:val="none"/>
          <w:lang w:val="en-GB"/>
        </w:rPr>
        <w:t>s</w:t>
      </w:r>
      <w:r w:rsidRPr="00347EBE">
        <w:rPr>
          <w:rStyle w:val="Hyperlink"/>
          <w:color w:val="000000" w:themeColor="text1"/>
          <w:u w:val="none"/>
          <w:lang w:val="en-GB"/>
        </w:rPr>
        <w:t xml:space="preserve"> prior to PP-26</w:t>
      </w:r>
      <w:r w:rsidR="00447355">
        <w:rPr>
          <w:rStyle w:val="Hyperlink"/>
          <w:color w:val="000000" w:themeColor="text1"/>
          <w:u w:val="none"/>
          <w:lang w:val="en-GB"/>
        </w:rPr>
        <w:t>, on the 2028-2031 financial plan, including on the 2025 audited financial statements and financial operating report</w:t>
      </w:r>
      <w:r w:rsidRPr="00931D63">
        <w:rPr>
          <w:rFonts w:cs="Calibri"/>
          <w:szCs w:val="24"/>
          <w:lang w:val="en-GB"/>
        </w:rPr>
        <w:t>.</w:t>
      </w:r>
    </w:p>
    <w:p w14:paraId="3D92E71E" w14:textId="73964FDE" w:rsidR="00895EAB" w:rsidRPr="00EA5615" w:rsidRDefault="0020567E" w:rsidP="002775D5">
      <w:pPr>
        <w:pStyle w:val="Heading1"/>
        <w:rPr>
          <w:lang w:val="en-GB"/>
        </w:rPr>
      </w:pPr>
      <w:r w:rsidRPr="00EA5615">
        <w:rPr>
          <w:lang w:val="en-GB"/>
        </w:rPr>
        <w:t>2</w:t>
      </w:r>
      <w:r>
        <w:rPr>
          <w:lang w:val="en-GB"/>
        </w:rPr>
        <w:t>2</w:t>
      </w:r>
      <w:r w:rsidR="00895EAB" w:rsidRPr="00EA5615">
        <w:rPr>
          <w:bCs/>
          <w:lang w:val="en-GB"/>
        </w:rPr>
        <w:tab/>
      </w:r>
      <w:r w:rsidR="00895EAB" w:rsidRPr="00EA5615">
        <w:rPr>
          <w:lang w:val="en-GB"/>
        </w:rPr>
        <w:t>Update on the Union’s headquarters premises project</w:t>
      </w:r>
      <w:r w:rsidR="00895EAB" w:rsidRPr="00EA5615">
        <w:rPr>
          <w:i/>
          <w:iCs/>
          <w:lang w:val="en-GB"/>
        </w:rPr>
        <w:t xml:space="preserve"> </w:t>
      </w:r>
      <w:r w:rsidR="00895EAB" w:rsidRPr="00EA5615">
        <w:rPr>
          <w:lang w:val="en-GB"/>
        </w:rPr>
        <w:t xml:space="preserve">(Document </w:t>
      </w:r>
      <w:hyperlink r:id="rId83" w:history="1">
        <w:r w:rsidR="00895EAB" w:rsidRPr="00EA5615">
          <w:rPr>
            <w:rStyle w:val="Hyperlink"/>
            <w:bCs/>
            <w:lang w:val="en-GB"/>
          </w:rPr>
          <w:t>C26/7</w:t>
        </w:r>
      </w:hyperlink>
      <w:r w:rsidR="00895EAB" w:rsidRPr="00EA5615">
        <w:rPr>
          <w:lang w:val="en-GB"/>
        </w:rPr>
        <w:t>)</w:t>
      </w:r>
    </w:p>
    <w:p w14:paraId="503CE7D1" w14:textId="00443BAD" w:rsidR="004F0A3E" w:rsidRPr="00EA5615" w:rsidRDefault="004F0A3E" w:rsidP="002775D5">
      <w:pPr>
        <w:pStyle w:val="Heading1"/>
        <w:tabs>
          <w:tab w:val="clear" w:pos="567"/>
          <w:tab w:val="left" w:pos="720"/>
        </w:tabs>
        <w:spacing w:before="160"/>
        <w:ind w:left="540" w:firstLine="0"/>
        <w:rPr>
          <w:lang w:val="en-GB"/>
        </w:rPr>
      </w:pPr>
      <w:r w:rsidRPr="00EA5615">
        <w:rPr>
          <w:lang w:val="en-GB"/>
        </w:rPr>
        <w:t xml:space="preserve">Report from the Member States Advisory Group (MSAG) </w:t>
      </w:r>
      <w:r w:rsidR="003E5CFA">
        <w:rPr>
          <w:lang w:val="en-GB"/>
        </w:rPr>
        <w:br/>
      </w:r>
      <w:r w:rsidRPr="00EA5615">
        <w:rPr>
          <w:lang w:val="en-GB"/>
        </w:rPr>
        <w:t xml:space="preserve">(Document </w:t>
      </w:r>
      <w:hyperlink r:id="rId84" w:history="1">
        <w:r w:rsidRPr="00EA5615">
          <w:rPr>
            <w:rStyle w:val="Hyperlink"/>
            <w:bCs/>
            <w:lang w:val="en-GB"/>
          </w:rPr>
          <w:t>C26/48</w:t>
        </w:r>
      </w:hyperlink>
      <w:r w:rsidRPr="00EA5615">
        <w:rPr>
          <w:lang w:val="en-GB"/>
        </w:rPr>
        <w:t>)</w:t>
      </w:r>
    </w:p>
    <w:p w14:paraId="14D14320" w14:textId="43697933" w:rsidR="00E576FF" w:rsidRPr="008D6C4A" w:rsidRDefault="3D2EED9E" w:rsidP="00C44A2E">
      <w:pPr>
        <w:keepNext/>
        <w:keepLines/>
        <w:rPr>
          <w:lang w:val="en-GB"/>
        </w:rPr>
      </w:pPr>
      <w:r w:rsidRPr="008D6C4A">
        <w:rPr>
          <w:rFonts w:eastAsia="Calibri" w:cs="Calibri"/>
          <w:lang w:val="en-GB"/>
        </w:rPr>
        <w:t>2</w:t>
      </w:r>
      <w:r w:rsidR="00E576FF" w:rsidRPr="008D6C4A">
        <w:rPr>
          <w:rFonts w:eastAsia="Calibri" w:cs="Calibri"/>
          <w:lang w:val="en-GB"/>
        </w:rPr>
        <w:t>2</w:t>
      </w:r>
      <w:r w:rsidR="5FF55364" w:rsidRPr="008D6C4A">
        <w:rPr>
          <w:rFonts w:eastAsia="Calibri" w:cs="Calibri"/>
          <w:lang w:val="en-GB"/>
        </w:rPr>
        <w:t>.1</w:t>
      </w:r>
      <w:r w:rsidR="0020567E" w:rsidRPr="008D6C4A">
        <w:rPr>
          <w:lang w:val="en-GB"/>
        </w:rPr>
        <w:tab/>
      </w:r>
      <w:r w:rsidR="00E576FF" w:rsidRPr="008D6C4A">
        <w:rPr>
          <w:lang w:val="en-GB"/>
        </w:rPr>
        <w:t>A representative of the General Secretariat introduced Document C26/7, which provided an update on the implementation of Council Decision 640 (C24) on the alternative reassessed project for ITU’s headquarters premises. It also detailed steps taken to enhance governance and oversight and guarantee business continuity during the construction period. He expressed appreciation for the sponsors, donors and host country, as well as the technical expert for the Member States Advisory Group (MSAG) provided by Germany.</w:t>
      </w:r>
    </w:p>
    <w:p w14:paraId="3B08F20D" w14:textId="5CF19FE3" w:rsidR="00E576FF" w:rsidRPr="008D6C4A" w:rsidRDefault="00E576FF" w:rsidP="00E576FF">
      <w:pPr>
        <w:rPr>
          <w:lang w:val="en-GB"/>
        </w:rPr>
      </w:pPr>
      <w:r w:rsidRPr="008D6C4A">
        <w:rPr>
          <w:lang w:val="en-GB"/>
        </w:rPr>
        <w:t>22.2</w:t>
      </w:r>
      <w:r w:rsidRPr="008D6C4A">
        <w:rPr>
          <w:lang w:val="en-GB"/>
        </w:rPr>
        <w:tab/>
        <w:t xml:space="preserve">The councillor from Brazil, speaking in his capacity as Chair of MSAG, introduced Document C26/48, which provided information on MSAG activities since Council-25. </w:t>
      </w:r>
      <w:r w:rsidR="00A644A7">
        <w:rPr>
          <w:lang w:val="en-GB"/>
        </w:rPr>
        <w:t>He</w:t>
      </w:r>
      <w:r w:rsidR="00D13D47">
        <w:rPr>
          <w:lang w:val="en-GB"/>
        </w:rPr>
        <w:t xml:space="preserve"> highlighted </w:t>
      </w:r>
      <w:r w:rsidR="003D2596">
        <w:rPr>
          <w:lang w:val="en-GB"/>
        </w:rPr>
        <w:t>th</w:t>
      </w:r>
      <w:r w:rsidR="00367000">
        <w:rPr>
          <w:lang w:val="en-GB"/>
        </w:rPr>
        <w:t xml:space="preserve">at a </w:t>
      </w:r>
      <w:r w:rsidR="00367000" w:rsidRPr="00367000">
        <w:rPr>
          <w:lang w:val="en-GB"/>
        </w:rPr>
        <w:t>comprehensive risk register is actively maintained and regularly updated</w:t>
      </w:r>
      <w:r w:rsidR="00B11A31">
        <w:rPr>
          <w:lang w:val="en-GB"/>
        </w:rPr>
        <w:t>.</w:t>
      </w:r>
      <w:r w:rsidR="003D2596">
        <w:rPr>
          <w:lang w:val="en-GB"/>
        </w:rPr>
        <w:t xml:space="preserve"> </w:t>
      </w:r>
      <w:r w:rsidRPr="008D6C4A">
        <w:rPr>
          <w:lang w:val="en-GB"/>
        </w:rPr>
        <w:t>He emphasized the importance of maintaining close alignment with project sponsors, in particular to ensure that the agreed requirements, such as those related to the auditorium, were properly reflected in the design.</w:t>
      </w:r>
    </w:p>
    <w:p w14:paraId="613AA4E0" w14:textId="3065B924" w:rsidR="00E576FF" w:rsidRPr="008D6C4A" w:rsidRDefault="00E576FF" w:rsidP="00E576FF">
      <w:pPr>
        <w:rPr>
          <w:lang w:val="en-GB"/>
        </w:rPr>
      </w:pPr>
      <w:r w:rsidRPr="008D6C4A">
        <w:rPr>
          <w:lang w:val="en-GB"/>
        </w:rPr>
        <w:t>22.3</w:t>
      </w:r>
      <w:r w:rsidRPr="008D6C4A">
        <w:rPr>
          <w:lang w:val="en-GB"/>
        </w:rPr>
        <w:tab/>
        <w:t xml:space="preserve">Councillors commended the progress made on the headquarters premises project, welcoming that it remained on schedule and within the approved budget. They expressed support for strengthened governance and oversight mechanisms, in particular the new risk register and methodology. A number of councillors stressed the need for business continuity arrangements to remain inclusive and avoid additional burdens on Member States, in particular developing countries. One councillor said that Document C26/7 lacked detail compared to reporting on similar projects across the United Nations system. Future reports on the project would benefit from a consolidated cost-tracking table; further information on risk, including mitigation and residual risks; a decision matrix showing potential modalities and costs for holding future meetings at ITU headquarters and impacts on developing country delegations; and detail on the expected benefits of the project. </w:t>
      </w:r>
    </w:p>
    <w:p w14:paraId="21D42282" w14:textId="7D1A7CA4" w:rsidR="00E576FF" w:rsidRPr="008D6C4A" w:rsidRDefault="00E576FF" w:rsidP="00E576FF">
      <w:pPr>
        <w:rPr>
          <w:lang w:val="en-GB"/>
        </w:rPr>
      </w:pPr>
      <w:r w:rsidRPr="008D6C4A">
        <w:rPr>
          <w:lang w:val="en-GB"/>
        </w:rPr>
        <w:t>22.4</w:t>
      </w:r>
      <w:r w:rsidRPr="008D6C4A">
        <w:rPr>
          <w:lang w:val="en-GB"/>
        </w:rPr>
        <w:tab/>
        <w:t>The councillor from Brazil, speaking in his capacity as Chair of MSAG, said that suggestions for future reporting would be discussed at the subsequent MSAG meeting.</w:t>
      </w:r>
    </w:p>
    <w:p w14:paraId="623C95BD" w14:textId="3C8FBF33" w:rsidR="00E576FF" w:rsidRPr="008D6C4A" w:rsidRDefault="00E576FF" w:rsidP="00E576FF">
      <w:pPr>
        <w:rPr>
          <w:lang w:val="en-GB"/>
        </w:rPr>
      </w:pPr>
      <w:r w:rsidRPr="008D6C4A">
        <w:rPr>
          <w:lang w:val="en-GB"/>
        </w:rPr>
        <w:t>22.5</w:t>
      </w:r>
      <w:r w:rsidRPr="00C44A2E">
        <w:rPr>
          <w:lang w:val="en-GB"/>
        </w:rPr>
        <w:tab/>
      </w:r>
      <w:r w:rsidRPr="008D6C4A">
        <w:rPr>
          <w:lang w:val="en-GB"/>
        </w:rPr>
        <w:t xml:space="preserve">The representative of the General Secretariat said that there had been a concerted effort to hold regular meetings of MSAG meetings and the Steering Committee in order to ensure that the project remained on track and aligned with Member States’ guidance. Recalling that Annex A of the document provided information on the total budget committed and expenditure to date, he informed councillors that a more granular budget report was provided to the project team on a </w:t>
      </w:r>
      <w:r w:rsidR="59C01BD9" w:rsidRPr="0B7F2D42">
        <w:rPr>
          <w:lang w:val="en-GB"/>
        </w:rPr>
        <w:t>regular</w:t>
      </w:r>
      <w:r w:rsidRPr="008D6C4A">
        <w:rPr>
          <w:lang w:val="en-GB"/>
        </w:rPr>
        <w:t xml:space="preserve"> basis; the Steering Committee and MSAG also received more detailed information. If requested, the next report on the project could contain further detail on all budget lines; it could also include the additional information on risks and mitigation that was provided to the Steering Committee. He highlighted that by using the design-to-cost approach and ensuring that the three key parameters approved by the Council – scope, timeline and cost – remained on track, the project had been able to absorb the withdrawal of one of its expected sponsors within the contingency provisions.</w:t>
      </w:r>
    </w:p>
    <w:p w14:paraId="49495C8F" w14:textId="312FDA09" w:rsidR="00E576FF" w:rsidRPr="008D6C4A" w:rsidRDefault="00E576FF" w:rsidP="00E576FF">
      <w:pPr>
        <w:rPr>
          <w:lang w:val="en-GB"/>
        </w:rPr>
      </w:pPr>
      <w:r w:rsidRPr="008D6C4A">
        <w:rPr>
          <w:lang w:val="en-GB"/>
        </w:rPr>
        <w:t>22.6</w:t>
      </w:r>
      <w:r w:rsidRPr="00AF5923">
        <w:rPr>
          <w:lang w:val="en-GB"/>
        </w:rPr>
        <w:tab/>
      </w:r>
      <w:r w:rsidRPr="008D6C4A">
        <w:rPr>
          <w:lang w:val="en-GB"/>
        </w:rPr>
        <w:t xml:space="preserve">Responding to a question about noise levels, he said that acoustic tests had determined that </w:t>
      </w:r>
      <w:r w:rsidR="4FDAE8F6" w:rsidRPr="2B0C76CB">
        <w:rPr>
          <w:lang w:val="en-GB"/>
        </w:rPr>
        <w:t xml:space="preserve">structurally transmitted </w:t>
      </w:r>
      <w:r w:rsidRPr="008D6C4A">
        <w:rPr>
          <w:lang w:val="en-GB"/>
        </w:rPr>
        <w:t xml:space="preserve">noise from machinery would affect only Room A and a breakout area outside the Popov room. Airborne noise levels, which were more subjective, were being assessed. To mitigate the impact of noise, it </w:t>
      </w:r>
      <w:r w:rsidR="47D148AA" w:rsidRPr="161C1FEE">
        <w:rPr>
          <w:lang w:val="en-GB"/>
        </w:rPr>
        <w:t>could</w:t>
      </w:r>
      <w:r w:rsidRPr="008D6C4A">
        <w:rPr>
          <w:lang w:val="en-GB"/>
        </w:rPr>
        <w:t xml:space="preserve"> be </w:t>
      </w:r>
      <w:r w:rsidR="003E1590">
        <w:rPr>
          <w:lang w:val="en-GB"/>
        </w:rPr>
        <w:t>arranged</w:t>
      </w:r>
      <w:r w:rsidRPr="008D6C4A">
        <w:rPr>
          <w:lang w:val="en-GB"/>
        </w:rPr>
        <w:t xml:space="preserve"> with the contractor that construction work could be suspended when important events were being held at headquarters, and some particularly disruptive activities could be undertaken offsite. The noisiest period would be during demolition of the Varembé building</w:t>
      </w:r>
      <w:r w:rsidR="00B26CCD">
        <w:rPr>
          <w:lang w:val="en-GB"/>
        </w:rPr>
        <w:t xml:space="preserve"> and foundation work</w:t>
      </w:r>
      <w:r w:rsidRPr="008D6C4A">
        <w:rPr>
          <w:lang w:val="en-GB"/>
        </w:rPr>
        <w:t xml:space="preserve">, which would take place between October 2028 and August 2029. He confirmed that when staff were moved from the Varembé building to the Tower complex and </w:t>
      </w:r>
      <w:proofErr w:type="spellStart"/>
      <w:r w:rsidRPr="008D6C4A">
        <w:rPr>
          <w:lang w:val="en-GB"/>
        </w:rPr>
        <w:t>Montbrillant</w:t>
      </w:r>
      <w:proofErr w:type="spellEnd"/>
      <w:r w:rsidRPr="008D6C4A">
        <w:rPr>
          <w:lang w:val="en-GB"/>
        </w:rPr>
        <w:t xml:space="preserve"> building, hybrid working arrangements would be put in place and desk-sharing would be implemented, significantly improving the efficient use of space.</w:t>
      </w:r>
    </w:p>
    <w:p w14:paraId="1E70BF2E" w14:textId="4F137200" w:rsidR="00E576FF" w:rsidRPr="008D6C4A" w:rsidRDefault="00E576FF" w:rsidP="00E576FF">
      <w:pPr>
        <w:rPr>
          <w:lang w:val="en-GB"/>
        </w:rPr>
      </w:pPr>
      <w:r w:rsidRPr="008D6C4A">
        <w:rPr>
          <w:lang w:val="en-GB"/>
        </w:rPr>
        <w:t>22.7</w:t>
      </w:r>
      <w:r w:rsidRPr="008D6C4A">
        <w:rPr>
          <w:lang w:val="en-GB"/>
        </w:rPr>
        <w:tab/>
        <w:t xml:space="preserve">A representative of the Legal Affairs Unit, responding to a question from a councillor, recalled that Annex B of Document C26/7 contained an account of which provisions of operative parts of Council decisions remained effective and which had been superseded, either by subsequent Council decisions or </w:t>
      </w:r>
      <w:r w:rsidR="00457E84">
        <w:rPr>
          <w:lang w:val="en-GB"/>
        </w:rPr>
        <w:t>rendered no longer practically applicable by</w:t>
      </w:r>
      <w:r w:rsidRPr="008D6C4A">
        <w:rPr>
          <w:lang w:val="en-GB"/>
        </w:rPr>
        <w:t xml:space="preserve"> factual developments. He acknowledged </w:t>
      </w:r>
      <w:r w:rsidR="007E0181">
        <w:rPr>
          <w:lang w:val="en-GB"/>
        </w:rPr>
        <w:t xml:space="preserve">that </w:t>
      </w:r>
      <w:r w:rsidRPr="008D6C4A">
        <w:rPr>
          <w:lang w:val="en-GB"/>
        </w:rPr>
        <w:t xml:space="preserve">a certain degree of dissonance </w:t>
      </w:r>
      <w:r w:rsidR="007E0181">
        <w:rPr>
          <w:lang w:val="en-GB"/>
        </w:rPr>
        <w:t xml:space="preserve">exists </w:t>
      </w:r>
      <w:r w:rsidRPr="008D6C4A">
        <w:rPr>
          <w:lang w:val="en-GB"/>
        </w:rPr>
        <w:t xml:space="preserve">between </w:t>
      </w:r>
      <w:r w:rsidR="00A44509" w:rsidRPr="008D6C4A">
        <w:rPr>
          <w:lang w:val="en-GB"/>
        </w:rPr>
        <w:t>Council Decision 640 (C24)</w:t>
      </w:r>
      <w:r w:rsidR="009C6004">
        <w:rPr>
          <w:lang w:val="en-GB"/>
        </w:rPr>
        <w:t xml:space="preserve"> and </w:t>
      </w:r>
      <w:r w:rsidR="003A6E26">
        <w:rPr>
          <w:lang w:val="en-GB"/>
        </w:rPr>
        <w:t xml:space="preserve">previous </w:t>
      </w:r>
      <w:r w:rsidR="00B65D3F">
        <w:rPr>
          <w:lang w:val="en-GB"/>
        </w:rPr>
        <w:t>Council</w:t>
      </w:r>
      <w:r w:rsidRPr="008D6C4A">
        <w:rPr>
          <w:lang w:val="en-GB"/>
        </w:rPr>
        <w:t xml:space="preserve"> Decision</w:t>
      </w:r>
      <w:r w:rsidR="002875C7">
        <w:rPr>
          <w:lang w:val="en-GB"/>
        </w:rPr>
        <w:t>s 588</w:t>
      </w:r>
      <w:r w:rsidR="000A76E5">
        <w:rPr>
          <w:lang w:val="en-GB"/>
        </w:rPr>
        <w:t xml:space="preserve"> (C16)</w:t>
      </w:r>
      <w:r w:rsidR="003A6E26">
        <w:rPr>
          <w:lang w:val="en-GB"/>
        </w:rPr>
        <w:t xml:space="preserve"> and</w:t>
      </w:r>
      <w:r w:rsidR="002875C7">
        <w:rPr>
          <w:lang w:val="en-GB"/>
        </w:rPr>
        <w:t xml:space="preserve"> 619</w:t>
      </w:r>
      <w:r w:rsidR="00552A75">
        <w:rPr>
          <w:lang w:val="en-GB"/>
        </w:rPr>
        <w:t xml:space="preserve"> (C19, last amended C21)</w:t>
      </w:r>
      <w:r w:rsidR="002D120D">
        <w:rPr>
          <w:lang w:val="en-GB"/>
        </w:rPr>
        <w:t xml:space="preserve">, and </w:t>
      </w:r>
      <w:r w:rsidR="00141B9D">
        <w:rPr>
          <w:lang w:val="en-GB"/>
        </w:rPr>
        <w:t xml:space="preserve">any alignment between </w:t>
      </w:r>
      <w:r w:rsidR="00CA5197">
        <w:rPr>
          <w:lang w:val="en-GB"/>
        </w:rPr>
        <w:t>them</w:t>
      </w:r>
      <w:r w:rsidR="003D6607">
        <w:rPr>
          <w:lang w:val="en-GB"/>
        </w:rPr>
        <w:t xml:space="preserve"> </w:t>
      </w:r>
      <w:r w:rsidR="00CA5197">
        <w:rPr>
          <w:lang w:val="en-GB"/>
        </w:rPr>
        <w:t>in the context</w:t>
      </w:r>
      <w:r w:rsidR="003D6607">
        <w:rPr>
          <w:lang w:val="en-GB"/>
        </w:rPr>
        <w:t xml:space="preserve"> of </w:t>
      </w:r>
      <w:r w:rsidR="00743B0E">
        <w:rPr>
          <w:lang w:val="en-GB"/>
        </w:rPr>
        <w:t xml:space="preserve">regulatory upkeeping </w:t>
      </w:r>
      <w:r w:rsidR="00D036A8">
        <w:rPr>
          <w:lang w:val="en-GB"/>
        </w:rPr>
        <w:t>would be for the Council to consider</w:t>
      </w:r>
      <w:r w:rsidRPr="008D6C4A">
        <w:rPr>
          <w:lang w:val="en-GB"/>
        </w:rPr>
        <w:t>.</w:t>
      </w:r>
    </w:p>
    <w:p w14:paraId="66630A65" w14:textId="7A386E7B" w:rsidR="00E576FF" w:rsidRPr="008D6C4A" w:rsidRDefault="00E576FF" w:rsidP="00E576FF">
      <w:pPr>
        <w:rPr>
          <w:lang w:val="en-GB"/>
        </w:rPr>
      </w:pPr>
      <w:r w:rsidRPr="008D6C4A">
        <w:rPr>
          <w:lang w:val="en-GB"/>
        </w:rPr>
        <w:t>22.8</w:t>
      </w:r>
      <w:r w:rsidRPr="008D6C4A">
        <w:rPr>
          <w:lang w:val="en-GB"/>
        </w:rPr>
        <w:tab/>
        <w:t xml:space="preserve">The Deputy Secretary-General said that risk management had been well integrated into </w:t>
      </w:r>
      <w:r w:rsidR="006F5977">
        <w:rPr>
          <w:lang w:val="en-GB"/>
        </w:rPr>
        <w:t>MSAG</w:t>
      </w:r>
      <w:r w:rsidR="00917DDB">
        <w:rPr>
          <w:lang w:val="en-GB"/>
        </w:rPr>
        <w:t xml:space="preserve"> w</w:t>
      </w:r>
      <w:r w:rsidR="00965FA9">
        <w:rPr>
          <w:lang w:val="en-GB"/>
        </w:rPr>
        <w:t>ork</w:t>
      </w:r>
      <w:r w:rsidRPr="008D6C4A">
        <w:rPr>
          <w:lang w:val="en-GB"/>
        </w:rPr>
        <w:t>, as had previously been requested</w:t>
      </w:r>
      <w:r w:rsidR="00CF13A7">
        <w:rPr>
          <w:lang w:val="en-GB"/>
        </w:rPr>
        <w:t xml:space="preserve"> and thanked </w:t>
      </w:r>
      <w:r w:rsidR="00CB5955">
        <w:rPr>
          <w:lang w:val="en-GB"/>
        </w:rPr>
        <w:t>Germany</w:t>
      </w:r>
      <w:r w:rsidR="000E5CDC">
        <w:rPr>
          <w:lang w:val="en-GB"/>
        </w:rPr>
        <w:t xml:space="preserve"> for</w:t>
      </w:r>
      <w:r w:rsidRPr="008D6C4A">
        <w:rPr>
          <w:lang w:val="en-GB"/>
        </w:rPr>
        <w:t xml:space="preserve"> strengthen</w:t>
      </w:r>
      <w:r w:rsidR="004C47D2">
        <w:rPr>
          <w:lang w:val="en-GB"/>
        </w:rPr>
        <w:t>ing</w:t>
      </w:r>
      <w:r w:rsidRPr="008D6C4A">
        <w:rPr>
          <w:lang w:val="en-GB"/>
        </w:rPr>
        <w:t xml:space="preserve"> the technical capacity of MSAG </w:t>
      </w:r>
      <w:r w:rsidR="000E5CDC">
        <w:rPr>
          <w:lang w:val="en-GB"/>
        </w:rPr>
        <w:t>by providin</w:t>
      </w:r>
      <w:r w:rsidR="00ED0DEC">
        <w:rPr>
          <w:lang w:val="en-GB"/>
        </w:rPr>
        <w:t>g a technical expert</w:t>
      </w:r>
      <w:r w:rsidRPr="008D6C4A">
        <w:rPr>
          <w:lang w:val="en-GB"/>
        </w:rPr>
        <w:t xml:space="preserve">. He was grateful for the continued support and pragmatism of sponsors and would endeavour to ensure that their requirements were met. Noting councillors’ support for diversified funding sources, he emphasized that additional sponsorship opportunities would be available for interested parties, with details provided </w:t>
      </w:r>
      <w:r w:rsidR="005D40F7">
        <w:rPr>
          <w:lang w:val="en-GB"/>
        </w:rPr>
        <w:t>for</w:t>
      </w:r>
      <w:r w:rsidR="005D40F7" w:rsidRPr="008D6C4A">
        <w:rPr>
          <w:lang w:val="en-GB"/>
        </w:rPr>
        <w:t xml:space="preserve"> </w:t>
      </w:r>
      <w:r w:rsidRPr="008D6C4A">
        <w:rPr>
          <w:lang w:val="en-GB"/>
        </w:rPr>
        <w:t>PP-26.</w:t>
      </w:r>
    </w:p>
    <w:p w14:paraId="0092B7DC" w14:textId="52DAF032" w:rsidR="00E576FF" w:rsidRPr="008D6C4A" w:rsidRDefault="00E576FF" w:rsidP="00E576FF">
      <w:pPr>
        <w:rPr>
          <w:lang w:val="en-GB"/>
        </w:rPr>
      </w:pPr>
      <w:r w:rsidRPr="008D6C4A">
        <w:rPr>
          <w:lang w:val="en-GB"/>
        </w:rPr>
        <w:t>22.9</w:t>
      </w:r>
      <w:r w:rsidRPr="008D6C4A">
        <w:rPr>
          <w:lang w:val="en-GB"/>
        </w:rPr>
        <w:tab/>
        <w:t xml:space="preserve">The councillor from Saudi Arabia, recalling the existing sponsorship agreement between his country and ITU, requested that the secretariat submit an official letter through diplomatic channels to the Administration of Saudi Arabia, explaining which points in that agreement were difficult to implement for, </w:t>
      </w:r>
      <w:r w:rsidRPr="008D6C4A">
        <w:rPr>
          <w:i/>
          <w:iCs/>
          <w:lang w:val="en-GB"/>
        </w:rPr>
        <w:t>inter alia</w:t>
      </w:r>
      <w:r w:rsidRPr="008D6C4A">
        <w:rPr>
          <w:lang w:val="en-GB"/>
        </w:rPr>
        <w:t>, financial and design reasons with a view to addressing them.</w:t>
      </w:r>
    </w:p>
    <w:p w14:paraId="39B752A2" w14:textId="0B1D9CD6" w:rsidR="00B0332A" w:rsidRPr="008D6C4A" w:rsidRDefault="00E576FF" w:rsidP="008D6C4A">
      <w:pPr>
        <w:rPr>
          <w:rFonts w:eastAsia="Calibri"/>
          <w:lang w:val="en-GB"/>
        </w:rPr>
      </w:pPr>
      <w:r w:rsidRPr="008D6C4A">
        <w:rPr>
          <w:lang w:val="en-GB"/>
        </w:rPr>
        <w:t>22.10</w:t>
      </w:r>
      <w:r w:rsidRPr="008D6C4A">
        <w:rPr>
          <w:lang w:val="en-GB"/>
        </w:rPr>
        <w:tab/>
        <w:t>The representative of the General Secretariat agreed that such a letter would be sent and he confirmed the secretariat’s readiness to work with all sponsors to ensure that their interests were reflected in the final design. The secretariat’s priority was to have a greater capacity for large meetings</w:t>
      </w:r>
      <w:r w:rsidR="5FF55364" w:rsidRPr="008D6C4A">
        <w:rPr>
          <w:rFonts w:eastAsia="Calibri" w:cs="Calibri"/>
          <w:lang w:val="en-GB"/>
        </w:rPr>
        <w:t xml:space="preserve">. </w:t>
      </w:r>
    </w:p>
    <w:p w14:paraId="48E9ED50" w14:textId="65393533" w:rsidR="00B0332A" w:rsidRPr="00EA5615" w:rsidRDefault="0020567E" w:rsidP="00C44A2E">
      <w:pPr>
        <w:keepNext/>
        <w:keepLines/>
        <w:spacing w:line="259" w:lineRule="auto"/>
        <w:rPr>
          <w:rFonts w:eastAsia="Calibri" w:cs="Calibri"/>
          <w:szCs w:val="24"/>
          <w:lang w:val="en-GB"/>
        </w:rPr>
      </w:pPr>
      <w:r w:rsidRPr="008D6C4A">
        <w:rPr>
          <w:rFonts w:eastAsia="Calibri" w:cs="Calibri"/>
          <w:spacing w:val="-4"/>
          <w:szCs w:val="24"/>
          <w:lang w:val="en-GB"/>
        </w:rPr>
        <w:t>2</w:t>
      </w:r>
      <w:r w:rsidR="00E576FF" w:rsidRPr="008D6C4A">
        <w:rPr>
          <w:rFonts w:eastAsia="Calibri" w:cs="Calibri"/>
          <w:spacing w:val="-4"/>
          <w:szCs w:val="24"/>
          <w:lang w:val="en-GB"/>
        </w:rPr>
        <w:t>2</w:t>
      </w:r>
      <w:r w:rsidR="00B0332A" w:rsidRPr="008D6C4A">
        <w:rPr>
          <w:rFonts w:eastAsia="Calibri" w:cs="Calibri"/>
          <w:spacing w:val="-4"/>
          <w:szCs w:val="24"/>
          <w:lang w:val="en-GB"/>
        </w:rPr>
        <w:t>.</w:t>
      </w:r>
      <w:r w:rsidR="00E576FF" w:rsidRPr="008D6C4A">
        <w:rPr>
          <w:rFonts w:eastAsia="Calibri" w:cs="Calibri"/>
          <w:spacing w:val="-4"/>
          <w:szCs w:val="24"/>
          <w:lang w:val="en-GB"/>
        </w:rPr>
        <w:t>11</w:t>
      </w:r>
      <w:r w:rsidR="00B0332A" w:rsidRPr="00EA5615">
        <w:rPr>
          <w:rFonts w:eastAsia="Calibri" w:cs="Calibri"/>
          <w:szCs w:val="24"/>
          <w:lang w:val="en-GB"/>
        </w:rPr>
        <w:tab/>
        <w:t xml:space="preserve">The committee </w:t>
      </w:r>
      <w:r w:rsidR="00B0332A" w:rsidRPr="00EA5615">
        <w:rPr>
          <w:rFonts w:eastAsia="Calibri" w:cs="Calibri"/>
          <w:b/>
          <w:bCs/>
          <w:szCs w:val="24"/>
          <w:lang w:val="en-GB"/>
        </w:rPr>
        <w:t>agreed</w:t>
      </w:r>
      <w:r w:rsidR="00B0332A" w:rsidRPr="00EA5615">
        <w:rPr>
          <w:rFonts w:eastAsia="Calibri" w:cs="Calibri"/>
          <w:szCs w:val="24"/>
          <w:lang w:val="en-GB"/>
        </w:rPr>
        <w:t xml:space="preserve"> to conclude as follows on the matter:</w:t>
      </w:r>
    </w:p>
    <w:p w14:paraId="63F1F9AE" w14:textId="61F35C0B" w:rsidR="008F376C" w:rsidRDefault="0020567E" w:rsidP="00E92501">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8D6C4A">
        <w:rPr>
          <w:rFonts w:eastAsia="Calibri" w:cs="Calibri"/>
          <w:szCs w:val="24"/>
          <w:lang w:val="en-GB"/>
        </w:rPr>
        <w:t>2</w:t>
      </w:r>
      <w:r w:rsidR="00E576FF" w:rsidRPr="008D6C4A">
        <w:rPr>
          <w:rFonts w:eastAsia="Calibri" w:cs="Calibri"/>
          <w:szCs w:val="24"/>
          <w:lang w:val="en-GB"/>
        </w:rPr>
        <w:t>2</w:t>
      </w:r>
      <w:r w:rsidR="00B0332A" w:rsidRPr="008D6C4A">
        <w:rPr>
          <w:rFonts w:eastAsia="Calibri" w:cs="Calibri"/>
          <w:szCs w:val="24"/>
          <w:lang w:val="en-GB"/>
        </w:rPr>
        <w:t>.</w:t>
      </w:r>
      <w:r w:rsidR="00E576FF" w:rsidRPr="008D6C4A">
        <w:rPr>
          <w:rFonts w:eastAsia="Calibri" w:cs="Calibri"/>
          <w:szCs w:val="24"/>
          <w:lang w:val="en-GB"/>
        </w:rPr>
        <w:t>12</w:t>
      </w:r>
      <w:r w:rsidR="00B0332A" w:rsidRPr="00EA5615">
        <w:rPr>
          <w:lang w:val="en-GB"/>
        </w:rPr>
        <w:tab/>
        <w:t>The committee recommends that the Council:</w:t>
      </w:r>
    </w:p>
    <w:p w14:paraId="5141F572" w14:textId="7BE05FE0" w:rsidR="00B0332A" w:rsidRDefault="00B0332A" w:rsidP="00C44A2E">
      <w:pPr>
        <w:pBdr>
          <w:top w:val="single" w:sz="4" w:space="4" w:color="000000"/>
          <w:left w:val="single" w:sz="4" w:space="4" w:color="000000"/>
          <w:bottom w:val="single" w:sz="4" w:space="4" w:color="000000"/>
          <w:right w:val="single" w:sz="4" w:space="4" w:color="000000"/>
        </w:pBdr>
        <w:spacing w:before="80" w:line="259" w:lineRule="auto"/>
        <w:rPr>
          <w:rFonts w:cs="Calibri"/>
          <w:szCs w:val="24"/>
          <w:lang w:val="en-GB"/>
        </w:rPr>
      </w:pPr>
      <w:r w:rsidRPr="00EA5615">
        <w:rPr>
          <w:lang w:val="en-GB"/>
        </w:rPr>
        <w:t>•</w:t>
      </w:r>
      <w:r w:rsidRPr="00EA5615">
        <w:rPr>
          <w:lang w:val="en-GB"/>
        </w:rPr>
        <w:tab/>
      </w:r>
      <w:r w:rsidR="008D6C4A" w:rsidRPr="008D6C4A">
        <w:rPr>
          <w:lang w:val="en-GB"/>
        </w:rPr>
        <w:t>note the reports contained in Document</w:t>
      </w:r>
      <w:r w:rsidR="007C214E">
        <w:rPr>
          <w:lang w:val="en-GB"/>
        </w:rPr>
        <w:t>s</w:t>
      </w:r>
      <w:r w:rsidR="008D6C4A" w:rsidRPr="008D6C4A">
        <w:rPr>
          <w:lang w:val="en-GB"/>
        </w:rPr>
        <w:t xml:space="preserve"> </w:t>
      </w:r>
      <w:hyperlink r:id="rId85" w:history="1">
        <w:r w:rsidR="008D6C4A" w:rsidRPr="008F376C">
          <w:rPr>
            <w:rStyle w:val="Hyperlink"/>
            <w:rFonts w:cs="Times New Roman"/>
            <w:szCs w:val="20"/>
            <w:lang w:val="en-GB"/>
          </w:rPr>
          <w:t>C26/7</w:t>
        </w:r>
      </w:hyperlink>
      <w:r w:rsidRPr="00EA5615">
        <w:rPr>
          <w:lang w:val="en-GB"/>
        </w:rPr>
        <w:t xml:space="preserve"> and</w:t>
      </w:r>
      <w:r w:rsidR="008D6C4A" w:rsidRPr="008D6C4A">
        <w:rPr>
          <w:lang w:val="en-GB"/>
        </w:rPr>
        <w:t xml:space="preserve"> </w:t>
      </w:r>
      <w:hyperlink r:id="rId86" w:history="1">
        <w:r w:rsidR="008D6C4A" w:rsidRPr="008F376C">
          <w:rPr>
            <w:rStyle w:val="Hyperlink"/>
            <w:rFonts w:cs="Times New Roman"/>
            <w:szCs w:val="20"/>
            <w:lang w:val="en-GB"/>
          </w:rPr>
          <w:t>C26/48</w:t>
        </w:r>
      </w:hyperlink>
      <w:r w:rsidRPr="008D6C4A">
        <w:rPr>
          <w:rFonts w:cs="Calibri"/>
          <w:szCs w:val="24"/>
          <w:lang w:val="en-GB"/>
        </w:rPr>
        <w:t>.</w:t>
      </w:r>
      <w:r w:rsidR="005D1EF9">
        <w:rPr>
          <w:rFonts w:cs="Calibri"/>
          <w:szCs w:val="24"/>
          <w:lang w:val="en-GB"/>
        </w:rPr>
        <w:t>; and</w:t>
      </w:r>
    </w:p>
    <w:p w14:paraId="69CAFDB9" w14:textId="4CCD4DA6" w:rsidR="005D1EF9" w:rsidRPr="00EA5615" w:rsidRDefault="005D1EF9"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Pr>
          <w:lang w:val="en-GB"/>
        </w:rPr>
        <w:t xml:space="preserve">instruct the General Secretariat to submit an official communication as detailed in </w:t>
      </w:r>
      <w:r w:rsidR="00D0380A">
        <w:rPr>
          <w:lang w:val="en-GB"/>
        </w:rPr>
        <w:t>§ </w:t>
      </w:r>
      <w:r>
        <w:rPr>
          <w:lang w:val="en-GB"/>
        </w:rPr>
        <w:t>22.9 above.</w:t>
      </w:r>
    </w:p>
    <w:p w14:paraId="50DFFB59" w14:textId="39BC6AB7" w:rsidR="008B07BC" w:rsidRPr="00EA5615" w:rsidRDefault="0020567E" w:rsidP="00C44A2E">
      <w:pPr>
        <w:pStyle w:val="Heading1"/>
        <w:keepNext w:val="0"/>
        <w:keepLines w:val="0"/>
        <w:rPr>
          <w:lang w:val="en-GB"/>
        </w:rPr>
      </w:pPr>
      <w:r w:rsidRPr="00EA5615">
        <w:rPr>
          <w:lang w:val="en-GB"/>
        </w:rPr>
        <w:t>2</w:t>
      </w:r>
      <w:r w:rsidR="007168B2">
        <w:rPr>
          <w:lang w:val="en-GB"/>
        </w:rPr>
        <w:t>3</w:t>
      </w:r>
      <w:r w:rsidR="008B07BC" w:rsidRPr="00EA5615">
        <w:rPr>
          <w:bCs/>
          <w:lang w:val="en-GB"/>
        </w:rPr>
        <w:tab/>
      </w:r>
      <w:r w:rsidR="008B07BC" w:rsidRPr="00EA5615">
        <w:rPr>
          <w:lang w:val="en-GB"/>
        </w:rPr>
        <w:t xml:space="preserve">Update on the Campus strategic plan (Document </w:t>
      </w:r>
      <w:hyperlink r:id="rId87" w:history="1">
        <w:r w:rsidR="008B07BC" w:rsidRPr="00EA5615">
          <w:rPr>
            <w:rStyle w:val="Hyperlink"/>
            <w:bCs/>
            <w:lang w:val="en-GB"/>
          </w:rPr>
          <w:t>C26/63</w:t>
        </w:r>
      </w:hyperlink>
      <w:r w:rsidR="008B07BC" w:rsidRPr="00EA5615">
        <w:rPr>
          <w:lang w:val="en-GB"/>
        </w:rPr>
        <w:t>)</w:t>
      </w:r>
    </w:p>
    <w:p w14:paraId="34272154" w14:textId="3C3215D1" w:rsidR="0009493C" w:rsidRPr="00B56D44" w:rsidRDefault="3D2EED9E" w:rsidP="00E92501">
      <w:pPr>
        <w:rPr>
          <w:lang w:val="en-GB"/>
        </w:rPr>
      </w:pPr>
      <w:r w:rsidRPr="00B56D44">
        <w:rPr>
          <w:rFonts w:eastAsia="Calibri" w:cs="Calibri"/>
          <w:lang w:val="en-GB"/>
        </w:rPr>
        <w:t>2</w:t>
      </w:r>
      <w:r w:rsidR="007168B2" w:rsidRPr="00B56D44">
        <w:rPr>
          <w:rFonts w:eastAsia="Calibri" w:cs="Calibri"/>
          <w:lang w:val="en-GB"/>
        </w:rPr>
        <w:t>3</w:t>
      </w:r>
      <w:r w:rsidR="3888EE2C" w:rsidRPr="00B56D44">
        <w:rPr>
          <w:rFonts w:eastAsia="Calibri" w:cs="Calibri"/>
          <w:lang w:val="en-GB"/>
        </w:rPr>
        <w:t>.1</w:t>
      </w:r>
      <w:r w:rsidR="0020567E" w:rsidRPr="00B56D44">
        <w:rPr>
          <w:lang w:val="en-GB"/>
        </w:rPr>
        <w:tab/>
      </w:r>
      <w:r w:rsidR="0009493C" w:rsidRPr="00B56D44">
        <w:rPr>
          <w:lang w:val="en-GB"/>
        </w:rPr>
        <w:t>A representative of the General Secretariat introduced Document C26/63, which contained an update on the work undertaken since Council-25 to develop a strategic plan for the ITU campus. It concluded that the present legal, market and operational context, maintaining the existing three-building campus footprint, was the most appropriate strategy to preserve flexibility and safeguard ITU’s long-term interests. The secretariat therefore proposed a way forward focusing on strategic flexibility and exploring synergies with other Geneva-based organizations.</w:t>
      </w:r>
    </w:p>
    <w:p w14:paraId="5C3675E5" w14:textId="5033EAB1" w:rsidR="0009493C" w:rsidRPr="00B56D44" w:rsidRDefault="0009493C" w:rsidP="0009493C">
      <w:pPr>
        <w:rPr>
          <w:lang w:val="en-GB"/>
        </w:rPr>
      </w:pPr>
      <w:r w:rsidRPr="00B56D44">
        <w:rPr>
          <w:lang w:val="en-GB"/>
        </w:rPr>
        <w:t>23.2</w:t>
      </w:r>
      <w:r w:rsidRPr="00AC62F7">
        <w:rPr>
          <w:lang w:val="en-GB"/>
        </w:rPr>
        <w:tab/>
      </w:r>
      <w:r w:rsidRPr="00B56D44">
        <w:rPr>
          <w:lang w:val="en-GB"/>
        </w:rPr>
        <w:t xml:space="preserve">Councillors expressed their support for the ongoing work on the campus strategic plan and the broader headquarters renovation efforts. They encouraged the exploration of space-sharing, cost recovery and diversified financing arrangements, cooperation with other international organizations and hybrid working models. Related decisions should be based on comprehensive and transparent cost-benefit analysis. Further information on the timeframe for the next steps under the campus strategic plan would be appreciated. One councillor suggested that the ITU’s facility management function </w:t>
      </w:r>
      <w:r w:rsidR="008C4D1C">
        <w:rPr>
          <w:lang w:val="en-GB"/>
        </w:rPr>
        <w:t xml:space="preserve">should be incorporated </w:t>
      </w:r>
      <w:r w:rsidR="00C864E3">
        <w:rPr>
          <w:lang w:val="en-GB"/>
        </w:rPr>
        <w:t>into</w:t>
      </w:r>
      <w:r w:rsidR="008C4D1C">
        <w:rPr>
          <w:lang w:val="en-GB"/>
        </w:rPr>
        <w:t xml:space="preserve"> </w:t>
      </w:r>
      <w:r w:rsidRPr="00B56D44">
        <w:rPr>
          <w:lang w:val="en-GB"/>
        </w:rPr>
        <w:t>the campus strategic plan.</w:t>
      </w:r>
    </w:p>
    <w:p w14:paraId="3055BEFD" w14:textId="06C8C906" w:rsidR="0009493C" w:rsidRPr="00B56D44" w:rsidRDefault="0009493C" w:rsidP="0009493C">
      <w:pPr>
        <w:rPr>
          <w:lang w:val="en-GB"/>
        </w:rPr>
      </w:pPr>
      <w:r w:rsidRPr="00B56D44">
        <w:rPr>
          <w:lang w:val="en-GB"/>
        </w:rPr>
        <w:t>23.3</w:t>
      </w:r>
      <w:r w:rsidRPr="00AF5923">
        <w:rPr>
          <w:lang w:val="en-GB"/>
        </w:rPr>
        <w:tab/>
      </w:r>
      <w:r w:rsidRPr="00B56D44">
        <w:rPr>
          <w:lang w:val="en-GB"/>
        </w:rPr>
        <w:t xml:space="preserve">Regarding the funding of the feasibility study for the Tower complex renovation, the representative of the General Secretariat confirmed that the study </w:t>
      </w:r>
      <w:r w:rsidR="005D7877">
        <w:rPr>
          <w:lang w:val="en-GB"/>
        </w:rPr>
        <w:t>could</w:t>
      </w:r>
      <w:r w:rsidR="005D7877" w:rsidRPr="00B56D44">
        <w:rPr>
          <w:lang w:val="en-GB"/>
        </w:rPr>
        <w:t xml:space="preserve"> </w:t>
      </w:r>
      <w:r w:rsidRPr="00B56D44">
        <w:rPr>
          <w:lang w:val="en-GB"/>
        </w:rPr>
        <w:t xml:space="preserve">be financed under the Building Maintenance Fund, which received CHF 750 000 per year. The cost of CHF 843 000 for the study was an initial estimate, pending further assessment of the specific, long-term needs of the Tower complex. As the secretariat was presently engaged in design work, the study </w:t>
      </w:r>
      <w:r w:rsidR="0B985121" w:rsidRPr="70324350">
        <w:rPr>
          <w:lang w:val="en-GB"/>
        </w:rPr>
        <w:t>could</w:t>
      </w:r>
      <w:r w:rsidRPr="00B56D44">
        <w:rPr>
          <w:lang w:val="en-GB"/>
        </w:rPr>
        <w:t xml:space="preserve"> be conducted from 2028 onwards. Th</w:t>
      </w:r>
      <w:r w:rsidR="003B38F6">
        <w:rPr>
          <w:lang w:val="en-GB"/>
        </w:rPr>
        <w:t>is</w:t>
      </w:r>
      <w:r w:rsidRPr="00B56D44">
        <w:rPr>
          <w:lang w:val="en-GB"/>
        </w:rPr>
        <w:t xml:space="preserve"> proposed </w:t>
      </w:r>
      <w:r w:rsidR="003B38F6">
        <w:rPr>
          <w:lang w:val="en-GB"/>
        </w:rPr>
        <w:t xml:space="preserve">timeframe for </w:t>
      </w:r>
      <w:r w:rsidRPr="00B56D44">
        <w:rPr>
          <w:lang w:val="en-GB"/>
        </w:rPr>
        <w:t xml:space="preserve">the feasibility study would allow </w:t>
      </w:r>
      <w:r w:rsidR="003D69AC">
        <w:rPr>
          <w:lang w:val="en-GB"/>
        </w:rPr>
        <w:t>to focus current resources on the new building project and putting in place business continuity measures</w:t>
      </w:r>
      <w:r w:rsidR="00CC5493">
        <w:rPr>
          <w:lang w:val="en-GB"/>
        </w:rPr>
        <w:t xml:space="preserve">, as well as </w:t>
      </w:r>
      <w:r w:rsidR="006147BA">
        <w:rPr>
          <w:lang w:val="en-GB"/>
        </w:rPr>
        <w:t>allow</w:t>
      </w:r>
      <w:r w:rsidR="003D69AC">
        <w:rPr>
          <w:lang w:val="en-GB"/>
        </w:rPr>
        <w:t xml:space="preserve"> </w:t>
      </w:r>
      <w:r w:rsidR="006A2F3C">
        <w:rPr>
          <w:lang w:val="en-GB"/>
        </w:rPr>
        <w:t>better vison of the future</w:t>
      </w:r>
      <w:r w:rsidR="003D69AC">
        <w:rPr>
          <w:lang w:val="en-GB"/>
        </w:rPr>
        <w:t xml:space="preserve"> </w:t>
      </w:r>
      <w:r w:rsidRPr="00B56D44">
        <w:rPr>
          <w:lang w:val="en-GB"/>
        </w:rPr>
        <w:t>Geneva property market</w:t>
      </w:r>
      <w:r w:rsidR="006A2F3C">
        <w:rPr>
          <w:lang w:val="en-GB"/>
        </w:rPr>
        <w:t xml:space="preserve"> trends</w:t>
      </w:r>
      <w:r w:rsidRPr="00B56D44">
        <w:rPr>
          <w:lang w:val="en-GB"/>
        </w:rPr>
        <w:t>.</w:t>
      </w:r>
    </w:p>
    <w:p w14:paraId="648CBFDB" w14:textId="71E8F634" w:rsidR="0009493C" w:rsidRPr="00B56D44" w:rsidRDefault="0009493C" w:rsidP="0009493C">
      <w:pPr>
        <w:rPr>
          <w:lang w:val="en-GB"/>
        </w:rPr>
      </w:pPr>
      <w:r w:rsidRPr="00B56D44">
        <w:rPr>
          <w:lang w:val="en-GB"/>
        </w:rPr>
        <w:t>23.4</w:t>
      </w:r>
      <w:r w:rsidRPr="00B56D44">
        <w:rPr>
          <w:lang w:val="en-GB"/>
        </w:rPr>
        <w:tab/>
        <w:t>In that context, he noted that progress was being made in discussions with other Geneva-based international organizations, including the World Health Organization (WHO) and the World Intellectual Property Organization, on potential cost mitigation through the sharing of office space. The United Nations Office at Geneva (UNOG) had provided information on rates charged for the rental of meeting rooms. He confirmed that the campus strategic plan would contain information on the long-term financial impact of the renovation project, including financing options such as additional types of loan from the Government of Switzerland.</w:t>
      </w:r>
    </w:p>
    <w:p w14:paraId="06A92D7F" w14:textId="00DA2B6A" w:rsidR="0009493C" w:rsidRPr="00B56D44" w:rsidRDefault="0009493C" w:rsidP="0009493C">
      <w:pPr>
        <w:rPr>
          <w:lang w:val="en-GB"/>
        </w:rPr>
      </w:pPr>
      <w:r w:rsidRPr="00B56D44">
        <w:rPr>
          <w:lang w:val="en-GB"/>
        </w:rPr>
        <w:t>23.5</w:t>
      </w:r>
      <w:r w:rsidRPr="009138DA">
        <w:rPr>
          <w:lang w:val="en-GB"/>
        </w:rPr>
        <w:tab/>
      </w:r>
      <w:r w:rsidRPr="00B56D44">
        <w:rPr>
          <w:lang w:val="en-GB"/>
        </w:rPr>
        <w:t xml:space="preserve">Responding to a question from an observer, he said that the </w:t>
      </w:r>
      <w:r w:rsidR="00C60500">
        <w:rPr>
          <w:lang w:val="en-GB"/>
        </w:rPr>
        <w:t xml:space="preserve">planned maintenance works </w:t>
      </w:r>
      <w:r w:rsidR="008D0F96">
        <w:rPr>
          <w:lang w:val="en-GB"/>
        </w:rPr>
        <w:t xml:space="preserve">for </w:t>
      </w:r>
      <w:r w:rsidRPr="00B56D44">
        <w:rPr>
          <w:lang w:val="en-GB"/>
        </w:rPr>
        <w:t xml:space="preserve">the </w:t>
      </w:r>
      <w:proofErr w:type="spellStart"/>
      <w:r w:rsidRPr="00B56D44">
        <w:rPr>
          <w:lang w:val="en-GB"/>
        </w:rPr>
        <w:t>Montbrillant</w:t>
      </w:r>
      <w:proofErr w:type="spellEnd"/>
      <w:r w:rsidRPr="00B56D44">
        <w:rPr>
          <w:lang w:val="en-GB"/>
        </w:rPr>
        <w:t xml:space="preserve"> building </w:t>
      </w:r>
      <w:r w:rsidR="008D0F96">
        <w:rPr>
          <w:lang w:val="en-GB"/>
        </w:rPr>
        <w:t>were</w:t>
      </w:r>
      <w:r w:rsidR="008D0F96" w:rsidRPr="00B56D44">
        <w:rPr>
          <w:lang w:val="en-GB"/>
        </w:rPr>
        <w:t xml:space="preserve"> </w:t>
      </w:r>
      <w:r w:rsidRPr="00B56D44">
        <w:rPr>
          <w:lang w:val="en-GB"/>
        </w:rPr>
        <w:t xml:space="preserve">less extensive, and thus less costly, than the work planned for the Tower complex. It was expected that the Tower complex would require investment of </w:t>
      </w:r>
      <w:r w:rsidR="001B3670">
        <w:rPr>
          <w:lang w:val="en-GB"/>
        </w:rPr>
        <w:t xml:space="preserve">approximately </w:t>
      </w:r>
      <w:r w:rsidRPr="00B56D44">
        <w:rPr>
          <w:lang w:val="en-GB"/>
        </w:rPr>
        <w:t xml:space="preserve">CHF 7 million over the subsequent decade, compared to </w:t>
      </w:r>
      <w:r w:rsidR="00F93557" w:rsidRPr="00F93557">
        <w:rPr>
          <w:lang w:val="en-GB"/>
        </w:rPr>
        <w:t>approximately</w:t>
      </w:r>
      <w:r w:rsidR="78157C88" w:rsidRPr="0D7F9F33">
        <w:rPr>
          <w:lang w:val="en-GB"/>
        </w:rPr>
        <w:t xml:space="preserve">. </w:t>
      </w:r>
      <w:r w:rsidRPr="00B56D44">
        <w:rPr>
          <w:lang w:val="en-GB"/>
        </w:rPr>
        <w:t xml:space="preserve">CHF 3 million for the </w:t>
      </w:r>
      <w:proofErr w:type="spellStart"/>
      <w:r w:rsidRPr="00B56D44">
        <w:rPr>
          <w:lang w:val="en-GB"/>
        </w:rPr>
        <w:t>Montbrillant</w:t>
      </w:r>
      <w:proofErr w:type="spellEnd"/>
      <w:r w:rsidRPr="00B56D44">
        <w:rPr>
          <w:lang w:val="en-GB"/>
        </w:rPr>
        <w:t xml:space="preserve"> building over the same period.</w:t>
      </w:r>
    </w:p>
    <w:p w14:paraId="23431B0F" w14:textId="22E7CBD4" w:rsidR="0009493C" w:rsidRPr="00B56D44" w:rsidRDefault="0009493C" w:rsidP="0009493C">
      <w:pPr>
        <w:rPr>
          <w:lang w:val="en-GB"/>
        </w:rPr>
      </w:pPr>
      <w:r w:rsidRPr="00B56D44">
        <w:rPr>
          <w:lang w:val="en-GB"/>
        </w:rPr>
        <w:t>23.6</w:t>
      </w:r>
      <w:r w:rsidRPr="00B56D44">
        <w:rPr>
          <w:lang w:val="en-GB"/>
        </w:rPr>
        <w:tab/>
        <w:t xml:space="preserve">A representative of the Legal Affairs Unit, responding to questions from councillors, </w:t>
      </w:r>
      <w:r w:rsidR="00154B06">
        <w:rPr>
          <w:lang w:val="en-GB"/>
        </w:rPr>
        <w:t>noted</w:t>
      </w:r>
      <w:r w:rsidR="00154B06" w:rsidRPr="00B56D44">
        <w:rPr>
          <w:lang w:val="en-GB"/>
        </w:rPr>
        <w:t xml:space="preserve"> </w:t>
      </w:r>
      <w:r w:rsidRPr="00B56D44">
        <w:rPr>
          <w:lang w:val="en-GB"/>
        </w:rPr>
        <w:t xml:space="preserve">the provisions of Council Decision 588 (C16), Council Decision </w:t>
      </w:r>
      <w:r w:rsidR="00D4691C">
        <w:rPr>
          <w:lang w:val="en-GB"/>
        </w:rPr>
        <w:t>619 (C19, last amended C21)</w:t>
      </w:r>
      <w:r w:rsidR="00946560">
        <w:rPr>
          <w:lang w:val="en-GB"/>
        </w:rPr>
        <w:t xml:space="preserve">, </w:t>
      </w:r>
      <w:r w:rsidRPr="00B56D44">
        <w:rPr>
          <w:lang w:val="en-GB"/>
        </w:rPr>
        <w:t xml:space="preserve">Council Decision 640 (C24) and Resolution 212 (Rev. Bucharest, 2022) of the Plenipotentiary Conference </w:t>
      </w:r>
      <w:r w:rsidR="006459CC">
        <w:rPr>
          <w:lang w:val="en-GB"/>
        </w:rPr>
        <w:t>may benefit from further alignment in light of subsequent developments in</w:t>
      </w:r>
      <w:r w:rsidRPr="00B56D44">
        <w:rPr>
          <w:lang w:val="en-GB"/>
        </w:rPr>
        <w:t xml:space="preserve"> the </w:t>
      </w:r>
      <w:r w:rsidR="006459CC">
        <w:rPr>
          <w:lang w:val="en-GB"/>
        </w:rPr>
        <w:t>head</w:t>
      </w:r>
      <w:r w:rsidR="007150C5">
        <w:rPr>
          <w:lang w:val="en-GB"/>
        </w:rPr>
        <w:t>quarters premises project, including regar</w:t>
      </w:r>
      <w:r w:rsidRPr="00B56D44">
        <w:rPr>
          <w:lang w:val="en-GB"/>
        </w:rPr>
        <w:t xml:space="preserve">ding the potential sale of the Tower complex. The </w:t>
      </w:r>
      <w:r w:rsidR="00EB48E5">
        <w:rPr>
          <w:lang w:val="en-GB"/>
        </w:rPr>
        <w:t>s</w:t>
      </w:r>
      <w:r w:rsidR="00EB48E5" w:rsidRPr="00B56D44">
        <w:rPr>
          <w:lang w:val="en-GB"/>
        </w:rPr>
        <w:t>ecretariat’s</w:t>
      </w:r>
      <w:r w:rsidRPr="00B56D44">
        <w:rPr>
          <w:lang w:val="en-GB"/>
        </w:rPr>
        <w:t xml:space="preserve"> most recent guidance from the Council was that, under Decision 640 (C24), it was requested to undertake studies that took the entire ITU Geneva campus into account, including the Tower complex. In that context, the secretariat submitted that the provisions of Decision 588 (C16) had been superseded by those of Decision 640 (C24). However, that view was </w:t>
      </w:r>
      <w:r w:rsidR="00350833">
        <w:rPr>
          <w:lang w:val="en-GB"/>
        </w:rPr>
        <w:t>provided</w:t>
      </w:r>
      <w:r w:rsidR="00B64473">
        <w:rPr>
          <w:lang w:val="en-GB"/>
        </w:rPr>
        <w:t xml:space="preserve"> without</w:t>
      </w:r>
      <w:r w:rsidRPr="00B56D44">
        <w:rPr>
          <w:lang w:val="en-GB"/>
        </w:rPr>
        <w:t xml:space="preserve"> prejudice the prerogative of Member States to decide whether </w:t>
      </w:r>
      <w:r w:rsidR="00632843">
        <w:rPr>
          <w:lang w:val="en-GB"/>
        </w:rPr>
        <w:t>and</w:t>
      </w:r>
      <w:r w:rsidRPr="00B56D44">
        <w:rPr>
          <w:lang w:val="en-GB"/>
        </w:rPr>
        <w:t xml:space="preserve"> </w:t>
      </w:r>
      <w:r w:rsidR="00632843">
        <w:rPr>
          <w:lang w:val="en-GB"/>
        </w:rPr>
        <w:t>how</w:t>
      </w:r>
      <w:r w:rsidR="00632843" w:rsidRPr="00B56D44">
        <w:rPr>
          <w:lang w:val="en-GB"/>
        </w:rPr>
        <w:t xml:space="preserve"> </w:t>
      </w:r>
      <w:r w:rsidRPr="00B56D44">
        <w:rPr>
          <w:lang w:val="en-GB"/>
        </w:rPr>
        <w:t>to revise Resolution 212 (Rev. Bucharest, 2022) at PP-26 to address the situation.</w:t>
      </w:r>
    </w:p>
    <w:p w14:paraId="3BBA7281" w14:textId="5AFC044B" w:rsidR="008B07BC" w:rsidRPr="00BE1EB3" w:rsidRDefault="0009493C" w:rsidP="008B07BC">
      <w:pPr>
        <w:spacing w:line="259" w:lineRule="auto"/>
        <w:rPr>
          <w:rFonts w:eastAsia="Calibri" w:cs="Calibri"/>
          <w:lang w:val="en-GB"/>
        </w:rPr>
      </w:pPr>
      <w:r w:rsidRPr="00BE1EB3">
        <w:rPr>
          <w:lang w:val="en-GB"/>
        </w:rPr>
        <w:t>23.7</w:t>
      </w:r>
      <w:r w:rsidRPr="00AC62F7">
        <w:rPr>
          <w:lang w:val="en-GB"/>
        </w:rPr>
        <w:tab/>
      </w:r>
      <w:r w:rsidRPr="00BE1EB3">
        <w:rPr>
          <w:lang w:val="en-GB"/>
        </w:rPr>
        <w:t>The Deputy Secretary-General expressed his gratitude to Switzerland, as the ITU’s host country, for its support for the building project and strategic alignment on issues such as campus security. He thanked Member States for their support for the proposed feasibility study and potential collaboration with other international organizations in Geneva. Consideration of space-sharing and cost recovery could be useful for ensuring the effective and efficient use of existing ITU assets for the benefit of the membership. He noted that an independent expert advised the ITU management team on the facilities management function</w:t>
      </w:r>
      <w:r w:rsidR="00CE7B89">
        <w:rPr>
          <w:lang w:val="en-GB"/>
        </w:rPr>
        <w:t xml:space="preserve"> in relation to the </w:t>
      </w:r>
      <w:r w:rsidR="00623B14">
        <w:rPr>
          <w:lang w:val="en-GB"/>
        </w:rPr>
        <w:t>headquarters</w:t>
      </w:r>
      <w:r w:rsidR="00CE7B89">
        <w:rPr>
          <w:lang w:val="en-GB"/>
        </w:rPr>
        <w:t xml:space="preserve"> premises project</w:t>
      </w:r>
      <w:r w:rsidRPr="00BE1EB3">
        <w:rPr>
          <w:lang w:val="en-GB"/>
        </w:rPr>
        <w:t>, which was continuously improving</w:t>
      </w:r>
      <w:r w:rsidR="5859FEE8" w:rsidRPr="21CBDDCF">
        <w:rPr>
          <w:lang w:val="en-GB"/>
        </w:rPr>
        <w:t>.</w:t>
      </w:r>
    </w:p>
    <w:p w14:paraId="7AC78B49" w14:textId="0C28FC32" w:rsidR="008B07BC" w:rsidRPr="00EA5615" w:rsidRDefault="0020567E" w:rsidP="00AA406B">
      <w:pPr>
        <w:keepNext/>
        <w:keepLines/>
        <w:spacing w:line="259" w:lineRule="auto"/>
        <w:rPr>
          <w:rFonts w:eastAsia="Calibri" w:cs="Calibri"/>
          <w:szCs w:val="24"/>
          <w:lang w:val="en-GB"/>
        </w:rPr>
      </w:pPr>
      <w:r w:rsidRPr="00EA5615">
        <w:rPr>
          <w:rFonts w:eastAsia="Calibri" w:cs="Calibri"/>
          <w:szCs w:val="24"/>
          <w:lang w:val="en-GB"/>
        </w:rPr>
        <w:t>2</w:t>
      </w:r>
      <w:r w:rsidR="007168B2">
        <w:rPr>
          <w:rFonts w:eastAsia="Calibri" w:cs="Calibri"/>
          <w:szCs w:val="24"/>
          <w:lang w:val="en-GB"/>
        </w:rPr>
        <w:t>3</w:t>
      </w:r>
      <w:r w:rsidR="008B07BC" w:rsidRPr="00EA5615">
        <w:rPr>
          <w:rFonts w:eastAsia="Calibri" w:cs="Calibri"/>
          <w:szCs w:val="24"/>
          <w:lang w:val="en-GB"/>
        </w:rPr>
        <w:t>.</w:t>
      </w:r>
      <w:r w:rsidR="0009493C" w:rsidRPr="00B56D44">
        <w:rPr>
          <w:rFonts w:eastAsia="Calibri" w:cs="Calibri"/>
          <w:szCs w:val="24"/>
          <w:lang w:val="en-GB"/>
        </w:rPr>
        <w:t>8</w:t>
      </w:r>
      <w:r w:rsidR="008B07BC" w:rsidRPr="00EA5615">
        <w:rPr>
          <w:rFonts w:eastAsia="Calibri" w:cs="Calibri"/>
          <w:szCs w:val="24"/>
          <w:lang w:val="en-GB"/>
        </w:rPr>
        <w:tab/>
        <w:t xml:space="preserve">The committee </w:t>
      </w:r>
      <w:r w:rsidR="008B07BC" w:rsidRPr="00EA5615">
        <w:rPr>
          <w:rFonts w:eastAsia="Calibri" w:cs="Calibri"/>
          <w:b/>
          <w:bCs/>
          <w:szCs w:val="24"/>
          <w:lang w:val="en-GB"/>
        </w:rPr>
        <w:t>agreed</w:t>
      </w:r>
      <w:r w:rsidR="008B07BC" w:rsidRPr="00EA5615">
        <w:rPr>
          <w:rFonts w:eastAsia="Calibri" w:cs="Calibri"/>
          <w:szCs w:val="24"/>
          <w:lang w:val="en-GB"/>
        </w:rPr>
        <w:t xml:space="preserve"> to conclude as follows on the matter:</w:t>
      </w:r>
    </w:p>
    <w:p w14:paraId="6B4D3460" w14:textId="1B5FAF55" w:rsidR="00F71683" w:rsidRPr="00B56D44" w:rsidRDefault="0020567E" w:rsidP="00AA406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B56D44">
        <w:rPr>
          <w:rFonts w:eastAsia="Calibri" w:cs="Calibri"/>
          <w:szCs w:val="24"/>
          <w:lang w:val="en-GB"/>
        </w:rPr>
        <w:t>2</w:t>
      </w:r>
      <w:r w:rsidR="007168B2" w:rsidRPr="00B56D44">
        <w:rPr>
          <w:rFonts w:eastAsia="Calibri" w:cs="Calibri"/>
          <w:szCs w:val="24"/>
          <w:lang w:val="en-GB"/>
        </w:rPr>
        <w:t>3</w:t>
      </w:r>
      <w:r w:rsidR="008B07BC" w:rsidRPr="00B56D44">
        <w:rPr>
          <w:rFonts w:eastAsia="Calibri" w:cs="Calibri"/>
          <w:szCs w:val="24"/>
          <w:lang w:val="en-GB"/>
        </w:rPr>
        <w:t>.</w:t>
      </w:r>
      <w:r w:rsidR="00F71683" w:rsidRPr="00B56D44">
        <w:rPr>
          <w:rFonts w:eastAsia="Calibri" w:cs="Calibri"/>
          <w:szCs w:val="24"/>
          <w:lang w:val="en-GB"/>
        </w:rPr>
        <w:t>9</w:t>
      </w:r>
      <w:r w:rsidR="008B07BC" w:rsidRPr="00B56D44">
        <w:rPr>
          <w:lang w:val="en-GB"/>
        </w:rPr>
        <w:tab/>
      </w:r>
      <w:r w:rsidR="00F71683" w:rsidRPr="00B56D44">
        <w:rPr>
          <w:lang w:val="en-GB"/>
        </w:rPr>
        <w:t>The committee recommends that the Council:</w:t>
      </w:r>
    </w:p>
    <w:p w14:paraId="54377A36" w14:textId="4111E060" w:rsidR="008B07BC" w:rsidRPr="00B56D44" w:rsidRDefault="00F71683"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eastAsia="Calibri" w:cs="Calibri"/>
          <w:szCs w:val="24"/>
          <w:lang w:val="en-GB"/>
        </w:rPr>
      </w:pPr>
      <w:r w:rsidRPr="00B56D44">
        <w:rPr>
          <w:lang w:val="en-GB"/>
        </w:rPr>
        <w:t>•</w:t>
      </w:r>
      <w:r w:rsidRPr="00B56D44">
        <w:rPr>
          <w:lang w:val="en-GB"/>
        </w:rPr>
        <w:tab/>
        <w:t>note</w:t>
      </w:r>
      <w:r w:rsidRPr="00B56D44">
        <w:rPr>
          <w:rFonts w:eastAsia="Calibri" w:cs="Calibri"/>
          <w:szCs w:val="24"/>
          <w:lang w:val="en-GB"/>
        </w:rPr>
        <w:t xml:space="preserve"> </w:t>
      </w:r>
      <w:r w:rsidR="00180093" w:rsidRPr="00B56D44">
        <w:rPr>
          <w:rFonts w:eastAsia="Calibri" w:cs="Calibri"/>
          <w:szCs w:val="24"/>
          <w:lang w:val="en-GB"/>
        </w:rPr>
        <w:t xml:space="preserve">the report contained in Document </w:t>
      </w:r>
      <w:hyperlink r:id="rId88" w:history="1">
        <w:r w:rsidR="00180093" w:rsidRPr="00603D06">
          <w:rPr>
            <w:rStyle w:val="Hyperlink"/>
            <w:rFonts w:eastAsia="Calibri" w:cs="Calibri"/>
            <w:szCs w:val="24"/>
            <w:lang w:val="en-GB"/>
          </w:rPr>
          <w:t>C26/63</w:t>
        </w:r>
      </w:hyperlink>
      <w:r w:rsidR="00180093" w:rsidRPr="00B56D44">
        <w:rPr>
          <w:rFonts w:eastAsia="Calibri" w:cs="Calibri"/>
          <w:szCs w:val="24"/>
          <w:lang w:val="en-GB"/>
        </w:rPr>
        <w:t xml:space="preserve"> and the comments made during the </w:t>
      </w:r>
      <w:proofErr w:type="gramStart"/>
      <w:r w:rsidR="00180093" w:rsidRPr="00B56D44">
        <w:rPr>
          <w:rFonts w:eastAsia="Calibri" w:cs="Calibri"/>
          <w:szCs w:val="24"/>
          <w:lang w:val="en-GB"/>
        </w:rPr>
        <w:t>meeting;</w:t>
      </w:r>
      <w:proofErr w:type="gramEnd"/>
    </w:p>
    <w:p w14:paraId="451682C4" w14:textId="77777777" w:rsidR="005D1EF9" w:rsidRDefault="00180093"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B56D44">
        <w:rPr>
          <w:lang w:val="en-GB"/>
        </w:rPr>
        <w:t>•</w:t>
      </w:r>
      <w:r w:rsidRPr="00B56D44">
        <w:rPr>
          <w:lang w:val="en-GB"/>
        </w:rPr>
        <w:tab/>
      </w:r>
      <w:r w:rsidR="00212927" w:rsidRPr="00B56D44">
        <w:rPr>
          <w:lang w:val="en-GB"/>
        </w:rPr>
        <w:t xml:space="preserve">instruct the secretariat to </w:t>
      </w:r>
      <w:r w:rsidR="342C5879" w:rsidRPr="54F97E1D">
        <w:rPr>
          <w:lang w:val="en-GB"/>
        </w:rPr>
        <w:t>proceed as</w:t>
      </w:r>
      <w:r w:rsidR="00212927" w:rsidRPr="00B56D44">
        <w:rPr>
          <w:lang w:val="en-GB"/>
        </w:rPr>
        <w:t xml:space="preserve"> </w:t>
      </w:r>
      <w:r w:rsidR="342C5879" w:rsidRPr="238D6F74">
        <w:rPr>
          <w:lang w:val="en-GB"/>
        </w:rPr>
        <w:t>proposed</w:t>
      </w:r>
      <w:r w:rsidR="00087997">
        <w:rPr>
          <w:lang w:val="en-GB"/>
        </w:rPr>
        <w:t>,</w:t>
      </w:r>
      <w:r w:rsidR="342C5879" w:rsidRPr="238D6F74">
        <w:rPr>
          <w:lang w:val="en-GB"/>
        </w:rPr>
        <w:t xml:space="preserve"> including </w:t>
      </w:r>
      <w:r w:rsidR="00212927" w:rsidRPr="00B56D44">
        <w:rPr>
          <w:lang w:val="en-GB"/>
        </w:rPr>
        <w:t xml:space="preserve">a feasibility </w:t>
      </w:r>
      <w:proofErr w:type="gramStart"/>
      <w:r w:rsidR="00212927" w:rsidRPr="00B56D44">
        <w:rPr>
          <w:lang w:val="en-GB"/>
        </w:rPr>
        <w:t>study,  for</w:t>
      </w:r>
      <w:proofErr w:type="gramEnd"/>
      <w:r w:rsidR="00212927" w:rsidRPr="00B56D44">
        <w:rPr>
          <w:lang w:val="en-GB"/>
        </w:rPr>
        <w:t xml:space="preserve"> the renovation of the Tower </w:t>
      </w:r>
      <w:proofErr w:type="gramStart"/>
      <w:r w:rsidR="00212927" w:rsidRPr="00B56D44">
        <w:rPr>
          <w:lang w:val="en-GB"/>
        </w:rPr>
        <w:t>complex</w:t>
      </w:r>
      <w:r w:rsidRPr="00B56D44">
        <w:rPr>
          <w:lang w:val="en-GB"/>
        </w:rPr>
        <w:t>;</w:t>
      </w:r>
      <w:proofErr w:type="gramEnd"/>
      <w:r w:rsidRPr="00B56D44">
        <w:rPr>
          <w:lang w:val="en-GB"/>
        </w:rPr>
        <w:t xml:space="preserve"> </w:t>
      </w:r>
    </w:p>
    <w:p w14:paraId="7D7B74F7" w14:textId="291C0A2A" w:rsidR="00180093" w:rsidRPr="00B56D44" w:rsidRDefault="005D1EF9"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B56D44">
        <w:rPr>
          <w:lang w:val="en-GB"/>
        </w:rPr>
        <w:t>•</w:t>
      </w:r>
      <w:r w:rsidRPr="00B56D44">
        <w:rPr>
          <w:lang w:val="en-GB"/>
        </w:rPr>
        <w:tab/>
      </w:r>
      <w:r>
        <w:rPr>
          <w:lang w:val="en-GB"/>
        </w:rPr>
        <w:t xml:space="preserve">instruct the secretariat to provide a report on current facility management practice in ITU; </w:t>
      </w:r>
      <w:r w:rsidR="00180093" w:rsidRPr="00B56D44">
        <w:rPr>
          <w:lang w:val="en-GB"/>
        </w:rPr>
        <w:t>and</w:t>
      </w:r>
    </w:p>
    <w:p w14:paraId="1DA1111B" w14:textId="288B2E9D" w:rsidR="00180093" w:rsidRPr="00B56D44" w:rsidRDefault="00180093"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B56D44">
        <w:rPr>
          <w:lang w:val="en-GB"/>
        </w:rPr>
        <w:t>•</w:t>
      </w:r>
      <w:r w:rsidRPr="00B56D44">
        <w:rPr>
          <w:lang w:val="en-GB"/>
        </w:rPr>
        <w:tab/>
      </w:r>
      <w:r w:rsidR="00B56D44" w:rsidRPr="00B56D44">
        <w:rPr>
          <w:lang w:val="en-GB"/>
        </w:rPr>
        <w:t>invite Member States to submit contributions to the Plenipotentiary Conference (Doha, 2026) aimed at aligning Resolution 212 (Rev. Bucharest, 2022) with latest developments in the headquarters premises project.</w:t>
      </w:r>
    </w:p>
    <w:p w14:paraId="7BA6B58B" w14:textId="0F52D8EE" w:rsidR="008B07BC" w:rsidRPr="00EA5615" w:rsidRDefault="0020567E" w:rsidP="00AA406B">
      <w:pPr>
        <w:pStyle w:val="Heading1"/>
        <w:keepNext w:val="0"/>
        <w:keepLines w:val="0"/>
        <w:rPr>
          <w:lang w:val="en-GB"/>
        </w:rPr>
      </w:pPr>
      <w:r w:rsidRPr="00EA5615">
        <w:rPr>
          <w:lang w:val="en-GB"/>
        </w:rPr>
        <w:t>2</w:t>
      </w:r>
      <w:r w:rsidR="007168B2">
        <w:rPr>
          <w:lang w:val="en-GB"/>
        </w:rPr>
        <w:t>4</w:t>
      </w:r>
      <w:r w:rsidR="008B07BC" w:rsidRPr="00EA5615">
        <w:rPr>
          <w:bCs/>
          <w:lang w:val="en-GB"/>
        </w:rPr>
        <w:tab/>
      </w:r>
      <w:r w:rsidR="008B07BC" w:rsidRPr="00EA5615">
        <w:rPr>
          <w:lang w:val="en-GB"/>
        </w:rPr>
        <w:t xml:space="preserve">Update on business continuity during the construction period of the new ITU building (Document </w:t>
      </w:r>
      <w:hyperlink r:id="rId89">
        <w:r w:rsidR="008B07BC" w:rsidRPr="0B7F2D42">
          <w:rPr>
            <w:rStyle w:val="Hyperlink"/>
            <w:lang w:val="en-GB"/>
          </w:rPr>
          <w:t>C26/65</w:t>
        </w:r>
      </w:hyperlink>
      <w:r w:rsidR="008B07BC" w:rsidRPr="00EA5615">
        <w:rPr>
          <w:lang w:val="en-GB"/>
        </w:rPr>
        <w:t>)</w:t>
      </w:r>
    </w:p>
    <w:p w14:paraId="458F7EFF" w14:textId="7F9948D4" w:rsidR="008B07BC" w:rsidRPr="00EA5615" w:rsidRDefault="008B07BC" w:rsidP="00AA406B">
      <w:pPr>
        <w:pStyle w:val="Headingb"/>
        <w:keepNext w:val="0"/>
        <w:keepLines w:val="0"/>
        <w:ind w:left="540"/>
        <w:rPr>
          <w:sz w:val="28"/>
          <w:szCs w:val="28"/>
          <w:lang w:val="en-GB"/>
        </w:rPr>
      </w:pPr>
      <w:r w:rsidRPr="00EA5615">
        <w:rPr>
          <w:sz w:val="28"/>
          <w:szCs w:val="28"/>
          <w:lang w:val="en-GB"/>
        </w:rPr>
        <w:t xml:space="preserve">Business Continuity of Council Working Group meetings </w:t>
      </w:r>
      <w:r w:rsidR="003E5CFA">
        <w:rPr>
          <w:sz w:val="28"/>
          <w:szCs w:val="28"/>
          <w:lang w:val="en-GB"/>
        </w:rPr>
        <w:br/>
      </w:r>
      <w:r w:rsidRPr="00EA5615">
        <w:rPr>
          <w:sz w:val="28"/>
          <w:szCs w:val="28"/>
          <w:lang w:val="en-GB"/>
        </w:rPr>
        <w:t xml:space="preserve">(Document </w:t>
      </w:r>
      <w:hyperlink r:id="rId90" w:history="1">
        <w:r w:rsidRPr="00EA5615">
          <w:rPr>
            <w:rStyle w:val="Hyperlink"/>
            <w:bCs/>
            <w:sz w:val="28"/>
            <w:szCs w:val="28"/>
            <w:lang w:val="en-GB"/>
          </w:rPr>
          <w:t>C26/105</w:t>
        </w:r>
      </w:hyperlink>
      <w:r w:rsidRPr="00EA5615">
        <w:rPr>
          <w:sz w:val="28"/>
          <w:szCs w:val="28"/>
          <w:lang w:val="en-GB"/>
        </w:rPr>
        <w:t>)</w:t>
      </w:r>
    </w:p>
    <w:p w14:paraId="2D07CCE3" w14:textId="3C856CB3" w:rsidR="008B07BC" w:rsidRPr="00EA5615" w:rsidRDefault="008B07BC" w:rsidP="00AA406B">
      <w:pPr>
        <w:pStyle w:val="Headingb"/>
        <w:keepNext w:val="0"/>
        <w:keepLines w:val="0"/>
        <w:ind w:left="540"/>
        <w:rPr>
          <w:sz w:val="28"/>
          <w:szCs w:val="28"/>
          <w:lang w:val="en-GB"/>
        </w:rPr>
      </w:pPr>
      <w:r w:rsidRPr="00EA5615">
        <w:rPr>
          <w:sz w:val="28"/>
          <w:szCs w:val="28"/>
          <w:lang w:val="en-GB"/>
        </w:rPr>
        <w:t xml:space="preserve">Proposed dates and duration for the 2027, 2028 and 2029 Council sessions and the series of meetings of the CWGs for the period 2027-2029 (Document </w:t>
      </w:r>
      <w:hyperlink r:id="rId91" w:history="1">
        <w:r w:rsidRPr="00EA5615">
          <w:rPr>
            <w:rStyle w:val="Hyperlink"/>
            <w:sz w:val="28"/>
            <w:szCs w:val="28"/>
            <w:lang w:val="en-GB"/>
          </w:rPr>
          <w:t>C26/106</w:t>
        </w:r>
      </w:hyperlink>
      <w:r w:rsidRPr="00EA5615">
        <w:rPr>
          <w:sz w:val="28"/>
          <w:szCs w:val="28"/>
          <w:lang w:val="en-GB"/>
        </w:rPr>
        <w:t>)</w:t>
      </w:r>
    </w:p>
    <w:p w14:paraId="417D98B9" w14:textId="07C8D0CC" w:rsidR="00CD6630" w:rsidRPr="00C45393" w:rsidRDefault="0020567E" w:rsidP="00AA406B">
      <w:pPr>
        <w:rPr>
          <w:lang w:val="en-GB"/>
        </w:rPr>
      </w:pPr>
      <w:r w:rsidRPr="00EE3191">
        <w:rPr>
          <w:rFonts w:asciiTheme="minorHAnsi" w:eastAsia="Calibri" w:hAnsiTheme="minorHAnsi" w:cstheme="minorBidi"/>
          <w:lang w:val="en-GB"/>
        </w:rPr>
        <w:t>2</w:t>
      </w:r>
      <w:r w:rsidR="007168B2" w:rsidRPr="00EE3191">
        <w:rPr>
          <w:rFonts w:asciiTheme="minorHAnsi" w:eastAsia="Calibri" w:hAnsiTheme="minorHAnsi" w:cstheme="minorBidi"/>
          <w:lang w:val="en-GB"/>
        </w:rPr>
        <w:t>4</w:t>
      </w:r>
      <w:r w:rsidR="00A943C5" w:rsidRPr="00EE3191">
        <w:rPr>
          <w:rFonts w:asciiTheme="minorHAnsi" w:eastAsia="Calibri" w:hAnsiTheme="minorHAnsi" w:cstheme="minorBidi"/>
          <w:lang w:val="en-GB"/>
        </w:rPr>
        <w:t>.1</w:t>
      </w:r>
      <w:r w:rsidR="00A943C5" w:rsidRPr="00C44A2E">
        <w:rPr>
          <w:rFonts w:eastAsia="Calibri"/>
          <w:lang w:val="en-GB"/>
        </w:rPr>
        <w:tab/>
      </w:r>
      <w:r w:rsidR="00CD6630" w:rsidRPr="00C45393">
        <w:rPr>
          <w:lang w:val="en-GB"/>
        </w:rPr>
        <w:t xml:space="preserve">A representative of the General Secretariat introduced Document C26/65, which focused on business continuity modalities for ITU meetings taking place in 2028 and 2029, during the </w:t>
      </w:r>
      <w:r w:rsidR="00AD2F86">
        <w:rPr>
          <w:lang w:val="en-GB"/>
        </w:rPr>
        <w:t>noisie</w:t>
      </w:r>
      <w:r w:rsidR="00444D61">
        <w:rPr>
          <w:lang w:val="en-GB"/>
        </w:rPr>
        <w:t xml:space="preserve">st </w:t>
      </w:r>
      <w:r w:rsidR="00CD6630" w:rsidRPr="00C45393">
        <w:rPr>
          <w:lang w:val="en-GB"/>
        </w:rPr>
        <w:t xml:space="preserve">period </w:t>
      </w:r>
      <w:r w:rsidR="00444D61">
        <w:rPr>
          <w:lang w:val="en-GB"/>
        </w:rPr>
        <w:t>of the</w:t>
      </w:r>
      <w:r w:rsidR="00CD6630" w:rsidRPr="00C45393">
        <w:rPr>
          <w:lang w:val="en-GB"/>
        </w:rPr>
        <w:t xml:space="preserve"> ITU headquarters building </w:t>
      </w:r>
      <w:r w:rsidR="00CD6630" w:rsidRPr="336B8BFC">
        <w:rPr>
          <w:lang w:val="en-GB"/>
        </w:rPr>
        <w:t>construction</w:t>
      </w:r>
      <w:r w:rsidR="2C2299FE" w:rsidRPr="0228A63E">
        <w:rPr>
          <w:lang w:val="en-GB"/>
        </w:rPr>
        <w:t xml:space="preserve"> </w:t>
      </w:r>
      <w:r w:rsidR="2C2299FE" w:rsidRPr="69D6E31A">
        <w:rPr>
          <w:lang w:val="en-GB"/>
        </w:rPr>
        <w:t>works</w:t>
      </w:r>
      <w:r w:rsidR="00CD6630" w:rsidRPr="00C45393">
        <w:rPr>
          <w:lang w:val="en-GB"/>
        </w:rPr>
        <w:t>, and provided additional information on the various options for holding meetings during that period and the financial implications thereof.</w:t>
      </w:r>
    </w:p>
    <w:p w14:paraId="0A58CCA0" w14:textId="0402BF21" w:rsidR="00CD6630" w:rsidRPr="00C45393" w:rsidRDefault="00CD6630" w:rsidP="00CD6630">
      <w:pPr>
        <w:rPr>
          <w:lang w:val="en-GB"/>
        </w:rPr>
      </w:pPr>
      <w:r w:rsidRPr="00C45393">
        <w:rPr>
          <w:lang w:val="en-GB"/>
        </w:rPr>
        <w:t>2</w:t>
      </w:r>
      <w:r w:rsidR="007168B2">
        <w:rPr>
          <w:lang w:val="en-GB"/>
        </w:rPr>
        <w:t>4</w:t>
      </w:r>
      <w:r w:rsidRPr="00C45393">
        <w:rPr>
          <w:lang w:val="en-GB"/>
        </w:rPr>
        <w:t>.2</w:t>
      </w:r>
      <w:r w:rsidRPr="00C45393">
        <w:rPr>
          <w:lang w:val="en-GB"/>
        </w:rPr>
        <w:tab/>
        <w:t xml:space="preserve">The councillor from Morocco introduced the multicountry contribution contained in Document C26/105, on business continuity of Council working group (CWG) meetings, which highlighted the need for the Council to take appropriate measures to ensure the continuity of the work of CWGs, given their key role in supporting the Council’s decision-making processes. He also introduced the multicountry contribution contained in Document C26/106, on Council sessions and CWG meeting series in 2027-2029, which considered the probable legal, operational and financial constraints arising from the construction project and the associated institutional risks and invited the Council to take action to ensure the continuity of activities under the best possible conditions, in compliance with statutory requirements and budgetary constraints. </w:t>
      </w:r>
    </w:p>
    <w:p w14:paraId="0BAEBA52" w14:textId="3DFEE087" w:rsidR="00CD6630" w:rsidRPr="00C45393" w:rsidRDefault="00CD6630" w:rsidP="00CD6630">
      <w:pPr>
        <w:rPr>
          <w:lang w:val="en-GB"/>
        </w:rPr>
      </w:pPr>
      <w:r w:rsidRPr="00C45393">
        <w:rPr>
          <w:lang w:val="en-GB"/>
        </w:rPr>
        <w:t>2</w:t>
      </w:r>
      <w:r w:rsidR="007168B2">
        <w:rPr>
          <w:lang w:val="en-GB"/>
        </w:rPr>
        <w:t>4</w:t>
      </w:r>
      <w:r w:rsidRPr="00C45393">
        <w:rPr>
          <w:lang w:val="en-GB"/>
        </w:rPr>
        <w:t>.3</w:t>
      </w:r>
      <w:r w:rsidRPr="00C45393">
        <w:rPr>
          <w:lang w:val="en-GB"/>
        </w:rPr>
        <w:tab/>
        <w:t xml:space="preserve">Councillors welcomed the updated information provided by the secretariat and the practical approach being taken to ensuring business continuity for the Union during what would be a complex and challenging period. Appreciation was expressed for the two-year waiver of repayments on loans granted by the Swiss Confederation and the allocation of the resultant savings to the business continuity fund. Despite the challenges involved, it was vital for the </w:t>
      </w:r>
      <w:r w:rsidR="00EB48E5">
        <w:rPr>
          <w:lang w:val="en-GB"/>
        </w:rPr>
        <w:t>s</w:t>
      </w:r>
      <w:r w:rsidR="00EB48E5" w:rsidRPr="00C45393">
        <w:rPr>
          <w:lang w:val="en-GB"/>
        </w:rPr>
        <w:t xml:space="preserve">ecretariat </w:t>
      </w:r>
      <w:r w:rsidRPr="00C45393">
        <w:rPr>
          <w:lang w:val="en-GB"/>
        </w:rPr>
        <w:t>to have a clear continuity plan ready for presentation to PP-26.</w:t>
      </w:r>
    </w:p>
    <w:p w14:paraId="492E8500" w14:textId="75F87146" w:rsidR="00CD6630" w:rsidRPr="00C45393" w:rsidRDefault="00CD6630" w:rsidP="00CD6630">
      <w:pPr>
        <w:rPr>
          <w:lang w:val="en-GB"/>
        </w:rPr>
      </w:pPr>
      <w:r w:rsidRPr="00C45393">
        <w:rPr>
          <w:lang w:val="en-GB"/>
        </w:rPr>
        <w:t>2</w:t>
      </w:r>
      <w:r w:rsidR="007168B2">
        <w:rPr>
          <w:lang w:val="en-GB"/>
        </w:rPr>
        <w:t>4</w:t>
      </w:r>
      <w:r w:rsidRPr="00C45393">
        <w:rPr>
          <w:lang w:val="en-GB"/>
        </w:rPr>
        <w:t>.4</w:t>
      </w:r>
      <w:r w:rsidRPr="00C45393">
        <w:rPr>
          <w:lang w:val="en-GB"/>
        </w:rPr>
        <w:tab/>
        <w:t xml:space="preserve">Several councillors emphasized the need for the proposed arrangements to remain cost-effective and predictable, particularly in view of the limited availability of venues and the financial implications of using external facilities. The </w:t>
      </w:r>
      <w:r w:rsidR="008F376C">
        <w:rPr>
          <w:lang w:val="en-GB"/>
        </w:rPr>
        <w:t>s</w:t>
      </w:r>
      <w:r w:rsidR="008F376C" w:rsidRPr="00C45393">
        <w:rPr>
          <w:lang w:val="en-GB"/>
        </w:rPr>
        <w:t xml:space="preserve">ecretariat </w:t>
      </w:r>
      <w:r w:rsidRPr="00C45393">
        <w:rPr>
          <w:lang w:val="en-GB"/>
        </w:rPr>
        <w:t>should continue to explore a range of options, including the possibility of sharing space with other Geneva-based international organizations. Some councillors suggested that preparing for the construction phase offered an opportunity to think creatively about how the Union’s meetings were organized and to consider possible changes, such as incorporating some elements of hybrid meeting formats. Several councillors expressed strong support for maintaining two annual meetings of CWGs throughout the process, even if the current cluster arrangement might not prove practicable. CWGs, being open to all Member States, were forums for broad and equitable representation; CWG-FHR, in particular, contributed significantly to the Council decision-making process and should not be sidelined. As a global regulatory organization, the Union’s decisions had direct and indirect implications for many stakeholders, not only its membership; in some cases, its decisions were legally binding. Care should be taken not to undermine its status in that respect. Meetings should continue to be held in a timely fashion and grouped thematically wherever possible. If events were to be held outside Geneva, Member States should be notified well in advance to facilitate planning.</w:t>
      </w:r>
    </w:p>
    <w:p w14:paraId="18B12718" w14:textId="695AC527" w:rsidR="00CD6630" w:rsidRPr="00C45393" w:rsidRDefault="00CD6630" w:rsidP="00CD6630">
      <w:pPr>
        <w:rPr>
          <w:lang w:val="en-GB"/>
        </w:rPr>
      </w:pPr>
      <w:r w:rsidRPr="00C45393">
        <w:rPr>
          <w:lang w:val="en-GB"/>
        </w:rPr>
        <w:t>2</w:t>
      </w:r>
      <w:r w:rsidR="007168B2">
        <w:rPr>
          <w:lang w:val="en-GB"/>
        </w:rPr>
        <w:t>4</w:t>
      </w:r>
      <w:r w:rsidRPr="00C45393">
        <w:rPr>
          <w:lang w:val="en-GB"/>
        </w:rPr>
        <w:t>.5</w:t>
      </w:r>
      <w:r w:rsidRPr="00C45393">
        <w:rPr>
          <w:lang w:val="en-GB"/>
        </w:rPr>
        <w:tab/>
        <w:t>Several councillors expressed support for the proposals set out in Documents C26/105 and C26/106. One councillor asked about the status of the various business continuity processes within the Organization Resilience Management System (ORMS) framework.</w:t>
      </w:r>
    </w:p>
    <w:p w14:paraId="5F35923E" w14:textId="2E3AF960" w:rsidR="00CD6630" w:rsidRPr="00C45393" w:rsidRDefault="00CD6630" w:rsidP="00CD6630">
      <w:pPr>
        <w:rPr>
          <w:lang w:val="en-GB"/>
        </w:rPr>
      </w:pPr>
      <w:r w:rsidRPr="00C45393">
        <w:rPr>
          <w:lang w:val="en-GB"/>
        </w:rPr>
        <w:t>2</w:t>
      </w:r>
      <w:r w:rsidR="007168B2">
        <w:rPr>
          <w:lang w:val="en-GB"/>
        </w:rPr>
        <w:t>4</w:t>
      </w:r>
      <w:r w:rsidRPr="00C45393">
        <w:rPr>
          <w:lang w:val="en-GB"/>
        </w:rPr>
        <w:t>.6</w:t>
      </w:r>
      <w:r w:rsidRPr="00C45393">
        <w:rPr>
          <w:lang w:val="en-GB"/>
        </w:rPr>
        <w:tab/>
        <w:t xml:space="preserve">The representative of the General Secretariat, responding to comments made, said that every effort would be made to ensure cost-effective solutions and transparency in decision-making. Several scenarios were being considered; as meeting dates were confirmed and additional information became available, a clear business continuity plan would be drawn up for submission to PP-26. The results of acoustic testing, in particular, would inform the approach proposed. No firm proposals had been received regarding meeting hubs, but constructive discussions on renting meeting facilities had been held with the International Labour Organization (ILO) and </w:t>
      </w:r>
      <w:r w:rsidR="00EC4C4B">
        <w:rPr>
          <w:lang w:val="en-GB"/>
        </w:rPr>
        <w:t>WHO</w:t>
      </w:r>
      <w:r w:rsidRPr="00C45393">
        <w:rPr>
          <w:lang w:val="en-GB"/>
        </w:rPr>
        <w:t>, and the secretariat was optimistic that most meetings would be able to take place in Geneva, in accordance with the schedule and frequency agreed by Member States.</w:t>
      </w:r>
    </w:p>
    <w:p w14:paraId="0ADC0665" w14:textId="104CC889" w:rsidR="008B07BC" w:rsidRPr="00EA5615" w:rsidRDefault="00CD6630" w:rsidP="008B07BC">
      <w:pPr>
        <w:spacing w:line="259" w:lineRule="auto"/>
        <w:rPr>
          <w:rFonts w:asciiTheme="minorHAnsi" w:eastAsia="Calibri" w:hAnsiTheme="minorHAnsi" w:cstheme="minorHAnsi"/>
          <w:lang w:val="en-GB"/>
        </w:rPr>
      </w:pPr>
      <w:r w:rsidRPr="00C45393">
        <w:rPr>
          <w:lang w:val="en-GB"/>
        </w:rPr>
        <w:t>2</w:t>
      </w:r>
      <w:r w:rsidR="007168B2">
        <w:rPr>
          <w:lang w:val="en-GB"/>
        </w:rPr>
        <w:t>4</w:t>
      </w:r>
      <w:r w:rsidRPr="00C45393">
        <w:rPr>
          <w:lang w:val="en-GB"/>
        </w:rPr>
        <w:t>.7</w:t>
      </w:r>
      <w:r w:rsidRPr="00C45393">
        <w:rPr>
          <w:lang w:val="en-GB"/>
        </w:rPr>
        <w:tab/>
        <w:t xml:space="preserve">The Deputy Secretary-General said that good progress had been made in preparing for </w:t>
      </w:r>
      <w:r w:rsidR="00063310">
        <w:rPr>
          <w:lang w:val="en-GB"/>
        </w:rPr>
        <w:t>business continuity</w:t>
      </w:r>
      <w:r w:rsidRPr="00C45393">
        <w:rPr>
          <w:lang w:val="en-GB"/>
        </w:rPr>
        <w:t xml:space="preserve">, especially given that major work would not begin until the second half of 2028 and that some factors would inevitably be influenced by the decisions of PP-26. The budgetary situation had been bolstered by </w:t>
      </w:r>
      <w:r w:rsidR="00066C05">
        <w:rPr>
          <w:lang w:val="en-GB"/>
        </w:rPr>
        <w:t>the</w:t>
      </w:r>
      <w:r w:rsidRPr="00C45393">
        <w:rPr>
          <w:lang w:val="en-GB"/>
        </w:rPr>
        <w:t xml:space="preserve"> significant contribution from Switzerland, though additional funds would still be needed. The more meetings that could be held at the Union’s own facilities, the lower the costs of renting external venues would be. At the same time, the Secretary-General had been actively engaging with other United Nations system entities, in particular ILO and </w:t>
      </w:r>
      <w:r w:rsidR="00286F8E">
        <w:rPr>
          <w:lang w:val="en-GB"/>
        </w:rPr>
        <w:t>UNOG</w:t>
      </w:r>
      <w:r w:rsidRPr="00C45393">
        <w:rPr>
          <w:lang w:val="en-GB"/>
        </w:rPr>
        <w:t>, to pursue the possibility of enhanced coordination in the use of facilities among the Geneva-based international organizations. As requested by the Council in 2025, other aspects of business continuity were also being assessed</w:t>
      </w:r>
      <w:r w:rsidR="007805F4">
        <w:rPr>
          <w:lang w:val="en-GB"/>
        </w:rPr>
        <w:t xml:space="preserve"> as </w:t>
      </w:r>
      <w:r w:rsidR="00A64827">
        <w:rPr>
          <w:lang w:val="en-GB"/>
        </w:rPr>
        <w:t>presented</w:t>
      </w:r>
      <w:r w:rsidR="00A340F2">
        <w:rPr>
          <w:lang w:val="en-GB"/>
        </w:rPr>
        <w:t xml:space="preserve"> in </w:t>
      </w:r>
      <w:r w:rsidR="00C46C91">
        <w:rPr>
          <w:lang w:val="en-GB"/>
        </w:rPr>
        <w:t>Document C26/7</w:t>
      </w:r>
      <w:r w:rsidR="006E3C51">
        <w:rPr>
          <w:lang w:val="en-GB"/>
        </w:rPr>
        <w:t xml:space="preserve">, for </w:t>
      </w:r>
      <w:r w:rsidR="0042258A">
        <w:rPr>
          <w:lang w:val="en-GB"/>
        </w:rPr>
        <w:t xml:space="preserve">which </w:t>
      </w:r>
      <w:r w:rsidR="00ED44AF">
        <w:rPr>
          <w:lang w:val="en-GB"/>
        </w:rPr>
        <w:t>CHF</w:t>
      </w:r>
      <w:r w:rsidR="007C400C">
        <w:rPr>
          <w:lang w:val="en-GB"/>
        </w:rPr>
        <w:t> </w:t>
      </w:r>
      <w:r w:rsidR="003F1B4F">
        <w:rPr>
          <w:lang w:val="en-GB"/>
        </w:rPr>
        <w:t>1.5</w:t>
      </w:r>
      <w:r w:rsidR="00900D97">
        <w:rPr>
          <w:lang w:val="en-GB"/>
        </w:rPr>
        <w:t> </w:t>
      </w:r>
      <w:r w:rsidR="003F1B4F">
        <w:rPr>
          <w:lang w:val="en-GB"/>
        </w:rPr>
        <w:t xml:space="preserve">million </w:t>
      </w:r>
      <w:r w:rsidR="00E41FA3">
        <w:rPr>
          <w:lang w:val="en-GB"/>
        </w:rPr>
        <w:t>wa</w:t>
      </w:r>
      <w:r w:rsidR="003F1B4F">
        <w:rPr>
          <w:lang w:val="en-GB"/>
        </w:rPr>
        <w:t xml:space="preserve">s requested </w:t>
      </w:r>
      <w:r w:rsidR="00012B37">
        <w:rPr>
          <w:lang w:val="en-GB"/>
        </w:rPr>
        <w:t xml:space="preserve">to be </w:t>
      </w:r>
      <w:r w:rsidR="00EC7E40">
        <w:rPr>
          <w:lang w:val="en-GB"/>
        </w:rPr>
        <w:t>allocated</w:t>
      </w:r>
      <w:r w:rsidR="00B14DAF">
        <w:rPr>
          <w:lang w:val="en-GB"/>
        </w:rPr>
        <w:t xml:space="preserve"> </w:t>
      </w:r>
      <w:r w:rsidR="008D2515">
        <w:rPr>
          <w:lang w:val="en-GB"/>
        </w:rPr>
        <w:t>from</w:t>
      </w:r>
      <w:r w:rsidR="002C68A0">
        <w:rPr>
          <w:lang w:val="en-GB"/>
        </w:rPr>
        <w:t xml:space="preserve"> </w:t>
      </w:r>
      <w:r w:rsidR="00EC7E40">
        <w:rPr>
          <w:lang w:val="en-GB"/>
        </w:rPr>
        <w:t xml:space="preserve">2025 </w:t>
      </w:r>
      <w:r w:rsidR="005635C9">
        <w:rPr>
          <w:lang w:val="en-GB"/>
        </w:rPr>
        <w:t xml:space="preserve">budget </w:t>
      </w:r>
      <w:r w:rsidR="00EC7E40">
        <w:rPr>
          <w:lang w:val="en-GB"/>
        </w:rPr>
        <w:t>savings</w:t>
      </w:r>
      <w:r w:rsidRPr="00C45393">
        <w:rPr>
          <w:lang w:val="en-GB"/>
        </w:rPr>
        <w:t>. More detailed information would be submitted to PP</w:t>
      </w:r>
      <w:r w:rsidR="002A51B2">
        <w:rPr>
          <w:lang w:val="en-GB"/>
        </w:rPr>
        <w:noBreakHyphen/>
      </w:r>
      <w:r w:rsidRPr="00C45393">
        <w:rPr>
          <w:lang w:val="en-GB"/>
        </w:rPr>
        <w:t>26.</w:t>
      </w:r>
      <w:r w:rsidR="008B07BC" w:rsidRPr="00EA5615">
        <w:rPr>
          <w:rFonts w:asciiTheme="minorHAnsi" w:eastAsia="Calibri" w:hAnsiTheme="minorHAnsi" w:cstheme="minorHAnsi"/>
          <w:lang w:val="en-GB"/>
        </w:rPr>
        <w:t xml:space="preserve"> </w:t>
      </w:r>
    </w:p>
    <w:p w14:paraId="35EDF542" w14:textId="29BA1D9E" w:rsidR="008B07BC" w:rsidRPr="00EA5615" w:rsidRDefault="0020567E" w:rsidP="00AA406B">
      <w:pPr>
        <w:keepNext/>
        <w:keepLines/>
        <w:spacing w:line="259" w:lineRule="auto"/>
        <w:rPr>
          <w:rFonts w:asciiTheme="minorHAnsi" w:eastAsia="Calibri" w:hAnsiTheme="minorHAnsi" w:cstheme="minorHAnsi"/>
          <w:szCs w:val="24"/>
          <w:lang w:val="en-GB"/>
        </w:rPr>
      </w:pPr>
      <w:r w:rsidRPr="00C45393">
        <w:rPr>
          <w:rFonts w:asciiTheme="minorHAnsi" w:eastAsia="Calibri" w:hAnsiTheme="minorHAnsi" w:cstheme="minorHAnsi"/>
          <w:szCs w:val="24"/>
          <w:lang w:val="en-GB"/>
        </w:rPr>
        <w:t>2</w:t>
      </w:r>
      <w:r w:rsidR="007168B2">
        <w:rPr>
          <w:rFonts w:asciiTheme="minorHAnsi" w:eastAsia="Calibri" w:hAnsiTheme="minorHAnsi" w:cstheme="minorHAnsi"/>
          <w:szCs w:val="24"/>
          <w:lang w:val="en-GB"/>
        </w:rPr>
        <w:t>4</w:t>
      </w:r>
      <w:r w:rsidR="008B07BC" w:rsidRPr="00C45393">
        <w:rPr>
          <w:rFonts w:asciiTheme="minorHAnsi" w:eastAsia="Calibri" w:hAnsiTheme="minorHAnsi" w:cstheme="minorHAnsi"/>
          <w:szCs w:val="24"/>
          <w:lang w:val="en-GB"/>
        </w:rPr>
        <w:t>.</w:t>
      </w:r>
      <w:r w:rsidR="00CD6630" w:rsidRPr="00C45393">
        <w:rPr>
          <w:rFonts w:asciiTheme="minorHAnsi" w:eastAsia="Calibri" w:hAnsiTheme="minorHAnsi" w:cstheme="minorHAnsi"/>
          <w:szCs w:val="24"/>
          <w:lang w:val="en-GB"/>
        </w:rPr>
        <w:t>8</w:t>
      </w:r>
      <w:r w:rsidR="008B07BC" w:rsidRPr="00EA5615">
        <w:rPr>
          <w:rFonts w:asciiTheme="minorHAnsi" w:eastAsia="Calibri" w:hAnsiTheme="minorHAnsi" w:cstheme="minorHAnsi"/>
          <w:szCs w:val="24"/>
          <w:lang w:val="en-GB"/>
        </w:rPr>
        <w:tab/>
        <w:t xml:space="preserve">The committee </w:t>
      </w:r>
      <w:r w:rsidR="008B07BC" w:rsidRPr="00EA5615">
        <w:rPr>
          <w:rFonts w:asciiTheme="minorHAnsi" w:eastAsia="Calibri" w:hAnsiTheme="minorHAnsi" w:cstheme="minorHAnsi"/>
          <w:b/>
          <w:bCs/>
          <w:szCs w:val="24"/>
          <w:lang w:val="en-GB"/>
        </w:rPr>
        <w:t>agreed</w:t>
      </w:r>
      <w:r w:rsidR="008B07BC" w:rsidRPr="00EA5615">
        <w:rPr>
          <w:rFonts w:asciiTheme="minorHAnsi" w:eastAsia="Calibri" w:hAnsiTheme="minorHAnsi" w:cstheme="minorHAnsi"/>
          <w:szCs w:val="24"/>
          <w:lang w:val="en-GB"/>
        </w:rPr>
        <w:t xml:space="preserve"> to conclude as follows on the matter:</w:t>
      </w:r>
    </w:p>
    <w:p w14:paraId="1EF77FCD" w14:textId="6CB5DDC6" w:rsidR="001626B3" w:rsidRDefault="0020567E" w:rsidP="00AA406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C45393">
        <w:rPr>
          <w:rFonts w:asciiTheme="minorHAnsi" w:eastAsia="Calibri" w:hAnsiTheme="minorHAnsi" w:cstheme="minorHAnsi"/>
          <w:szCs w:val="24"/>
          <w:lang w:val="en-GB"/>
        </w:rPr>
        <w:t>2</w:t>
      </w:r>
      <w:r w:rsidR="007168B2">
        <w:rPr>
          <w:rFonts w:asciiTheme="minorHAnsi" w:eastAsia="Calibri" w:hAnsiTheme="minorHAnsi" w:cstheme="minorHAnsi"/>
          <w:szCs w:val="24"/>
          <w:lang w:val="en-GB"/>
        </w:rPr>
        <w:t>4</w:t>
      </w:r>
      <w:r w:rsidR="008B07BC" w:rsidRPr="00C45393">
        <w:rPr>
          <w:rFonts w:asciiTheme="minorHAnsi" w:eastAsia="Calibri" w:hAnsiTheme="minorHAnsi" w:cstheme="minorHAnsi"/>
          <w:szCs w:val="24"/>
          <w:lang w:val="en-GB"/>
        </w:rPr>
        <w:t>.</w:t>
      </w:r>
      <w:r w:rsidR="00CD6630" w:rsidRPr="00C45393">
        <w:rPr>
          <w:rFonts w:asciiTheme="minorHAnsi" w:eastAsia="Calibri" w:hAnsiTheme="minorHAnsi" w:cstheme="minorHAnsi"/>
          <w:szCs w:val="24"/>
          <w:lang w:val="en-GB"/>
        </w:rPr>
        <w:t>9</w:t>
      </w:r>
      <w:r w:rsidR="008B07BC" w:rsidRPr="00C45393">
        <w:rPr>
          <w:rFonts w:asciiTheme="minorHAnsi" w:hAnsiTheme="minorHAnsi" w:cstheme="minorHAnsi"/>
          <w:szCs w:val="24"/>
          <w:lang w:val="en-GB"/>
        </w:rPr>
        <w:tab/>
      </w:r>
      <w:r w:rsidR="0039360D" w:rsidRPr="00C45393">
        <w:rPr>
          <w:lang w:val="en-GB"/>
        </w:rPr>
        <w:t>The committee recommends that the Council:</w:t>
      </w:r>
    </w:p>
    <w:p w14:paraId="04E6B108" w14:textId="356280E4" w:rsidR="008B07BC" w:rsidRPr="00EA5615" w:rsidRDefault="0039360D"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rFonts w:asciiTheme="minorHAnsi" w:eastAsia="Calibri" w:hAnsiTheme="minorHAnsi" w:cstheme="minorHAnsi"/>
          <w:szCs w:val="24"/>
          <w:lang w:val="en-GB"/>
        </w:rPr>
      </w:pPr>
      <w:r w:rsidRPr="00C45393">
        <w:rPr>
          <w:lang w:val="en-GB"/>
        </w:rPr>
        <w:t>•</w:t>
      </w:r>
      <w:r w:rsidRPr="00C45393">
        <w:rPr>
          <w:lang w:val="en-GB"/>
        </w:rPr>
        <w:tab/>
      </w:r>
      <w:r w:rsidR="00114269" w:rsidRPr="00C45393">
        <w:rPr>
          <w:lang w:val="en-GB"/>
        </w:rPr>
        <w:t xml:space="preserve">note </w:t>
      </w:r>
      <w:r w:rsidR="00EB07DC">
        <w:rPr>
          <w:lang w:val="en-GB"/>
        </w:rPr>
        <w:t xml:space="preserve">the report contained in </w:t>
      </w:r>
      <w:r w:rsidR="00114269" w:rsidRPr="00C45393">
        <w:rPr>
          <w:lang w:val="en-GB"/>
        </w:rPr>
        <w:t xml:space="preserve">Document </w:t>
      </w:r>
      <w:hyperlink r:id="rId92" w:history="1">
        <w:r w:rsidR="00114269" w:rsidRPr="001626B3">
          <w:rPr>
            <w:rStyle w:val="Hyperlink"/>
            <w:rFonts w:cs="Times New Roman"/>
            <w:szCs w:val="20"/>
            <w:lang w:val="en-GB"/>
          </w:rPr>
          <w:t>C26/</w:t>
        </w:r>
        <w:r w:rsidR="000F51AF" w:rsidRPr="001626B3">
          <w:rPr>
            <w:rStyle w:val="Hyperlink"/>
            <w:rFonts w:cs="Times New Roman"/>
            <w:szCs w:val="20"/>
            <w:lang w:val="en-GB"/>
          </w:rPr>
          <w:t>6</w:t>
        </w:r>
        <w:r w:rsidR="00114269" w:rsidRPr="001626B3">
          <w:rPr>
            <w:rStyle w:val="Hyperlink"/>
            <w:rFonts w:cs="Times New Roman"/>
            <w:szCs w:val="20"/>
            <w:lang w:val="en-GB"/>
          </w:rPr>
          <w:t>5</w:t>
        </w:r>
      </w:hyperlink>
      <w:r w:rsidR="007C6A44">
        <w:rPr>
          <w:lang w:val="en-GB"/>
        </w:rPr>
        <w:t xml:space="preserve"> and the contributions contained in Documents</w:t>
      </w:r>
      <w:r w:rsidR="004A2A27" w:rsidRPr="00C45393">
        <w:rPr>
          <w:lang w:val="en-GB"/>
        </w:rPr>
        <w:t xml:space="preserve"> </w:t>
      </w:r>
      <w:hyperlink r:id="rId93" w:history="1">
        <w:r w:rsidR="004A2A27" w:rsidRPr="001626B3">
          <w:rPr>
            <w:rStyle w:val="Hyperlink"/>
            <w:rFonts w:cs="Times New Roman"/>
            <w:szCs w:val="20"/>
            <w:lang w:val="en-GB"/>
          </w:rPr>
          <w:t>C26/</w:t>
        </w:r>
        <w:r w:rsidR="000F51AF" w:rsidRPr="001626B3">
          <w:rPr>
            <w:rStyle w:val="Hyperlink"/>
            <w:rFonts w:cs="Times New Roman"/>
            <w:szCs w:val="20"/>
            <w:lang w:val="en-GB"/>
          </w:rPr>
          <w:t>105</w:t>
        </w:r>
      </w:hyperlink>
      <w:r w:rsidR="000F51AF" w:rsidRPr="00C45393">
        <w:rPr>
          <w:lang w:val="en-GB"/>
        </w:rPr>
        <w:t xml:space="preserve"> and </w:t>
      </w:r>
      <w:hyperlink r:id="rId94" w:history="1">
        <w:r w:rsidR="000F51AF" w:rsidRPr="001626B3">
          <w:rPr>
            <w:rStyle w:val="Hyperlink"/>
            <w:rFonts w:cs="Times New Roman"/>
            <w:szCs w:val="20"/>
            <w:lang w:val="en-GB"/>
          </w:rPr>
          <w:t>C26/106</w:t>
        </w:r>
      </w:hyperlink>
      <w:r w:rsidR="008B07BC" w:rsidRPr="00C45393">
        <w:rPr>
          <w:rFonts w:asciiTheme="minorHAnsi" w:eastAsia="Aptos" w:hAnsiTheme="minorHAnsi" w:cstheme="minorHAnsi"/>
          <w:szCs w:val="24"/>
          <w:lang w:val="en-GB"/>
        </w:rPr>
        <w:t>.</w:t>
      </w:r>
    </w:p>
    <w:p w14:paraId="4A844E93" w14:textId="03A2DBE0" w:rsidR="00282725" w:rsidRPr="00EA5615" w:rsidRDefault="00E47257" w:rsidP="00282725">
      <w:pPr>
        <w:pStyle w:val="Heading1"/>
        <w:rPr>
          <w:lang w:val="en-GB"/>
        </w:rPr>
      </w:pPr>
      <w:r w:rsidRPr="00EA5615">
        <w:rPr>
          <w:lang w:val="en-GB"/>
        </w:rPr>
        <w:t>2</w:t>
      </w:r>
      <w:r w:rsidR="004C77D0">
        <w:rPr>
          <w:lang w:val="en-GB"/>
        </w:rPr>
        <w:t>5</w:t>
      </w:r>
      <w:r w:rsidR="00282725" w:rsidRPr="00EA5615">
        <w:rPr>
          <w:lang w:val="en-GB"/>
        </w:rPr>
        <w:tab/>
        <w:t xml:space="preserve">Proposed </w:t>
      </w:r>
      <w:proofErr w:type="gramStart"/>
      <w:r w:rsidR="00282725" w:rsidRPr="00EA5615">
        <w:rPr>
          <w:lang w:val="en-GB"/>
        </w:rPr>
        <w:t>framework</w:t>
      </w:r>
      <w:proofErr w:type="gramEnd"/>
      <w:r w:rsidR="00282725" w:rsidRPr="00EA5615">
        <w:rPr>
          <w:lang w:val="en-GB"/>
        </w:rPr>
        <w:t xml:space="preserve"> for a selection process for host countries of ITU conferences and assemblies (Document </w:t>
      </w:r>
      <w:hyperlink r:id="rId95" w:history="1">
        <w:r w:rsidR="00282725" w:rsidRPr="00EA5615">
          <w:rPr>
            <w:rStyle w:val="Hyperlink"/>
            <w:bCs/>
            <w:lang w:val="en-GB"/>
          </w:rPr>
          <w:t>C26/7</w:t>
        </w:r>
        <w:r w:rsidR="00151FBB">
          <w:rPr>
            <w:rStyle w:val="Hyperlink"/>
            <w:bCs/>
            <w:lang w:val="en-GB"/>
          </w:rPr>
          <w:t>0</w:t>
        </w:r>
      </w:hyperlink>
      <w:r w:rsidR="00282725" w:rsidRPr="00EA5615">
        <w:rPr>
          <w:lang w:val="en-GB"/>
        </w:rPr>
        <w:t>)</w:t>
      </w:r>
    </w:p>
    <w:p w14:paraId="50C72E40" w14:textId="4F8B6D74" w:rsidR="00282725" w:rsidRPr="00EA5615" w:rsidRDefault="000B795E" w:rsidP="000A1BC7">
      <w:pPr>
        <w:pStyle w:val="Headingb"/>
        <w:ind w:left="540"/>
        <w:rPr>
          <w:sz w:val="28"/>
          <w:szCs w:val="28"/>
          <w:lang w:val="en-GB"/>
        </w:rPr>
      </w:pPr>
      <w:r>
        <w:rPr>
          <w:sz w:val="28"/>
          <w:szCs w:val="28"/>
          <w:lang w:val="en-GB"/>
        </w:rPr>
        <w:t>C</w:t>
      </w:r>
      <w:r w:rsidR="00282725" w:rsidRPr="00EA5615">
        <w:rPr>
          <w:sz w:val="28"/>
          <w:szCs w:val="28"/>
          <w:lang w:val="en-GB"/>
        </w:rPr>
        <w:t xml:space="preserve">ase for regional equity and enabling conditions for broader participation in the hosting of ITU Plenipotentiary Conferences (Document </w:t>
      </w:r>
      <w:hyperlink r:id="rId96" w:history="1">
        <w:r w:rsidR="00282725" w:rsidRPr="00EA5615">
          <w:rPr>
            <w:rStyle w:val="Hyperlink"/>
            <w:bCs/>
            <w:sz w:val="28"/>
            <w:szCs w:val="28"/>
            <w:lang w:val="en-GB"/>
          </w:rPr>
          <w:t>C26/102</w:t>
        </w:r>
      </w:hyperlink>
      <w:r w:rsidR="00282725" w:rsidRPr="00EA5615">
        <w:rPr>
          <w:sz w:val="28"/>
          <w:szCs w:val="28"/>
          <w:lang w:val="en-GB"/>
        </w:rPr>
        <w:t>)</w:t>
      </w:r>
    </w:p>
    <w:p w14:paraId="0A0BE4B2" w14:textId="5F70E4E6" w:rsidR="00E95118" w:rsidRPr="00122292" w:rsidRDefault="000A1BC7" w:rsidP="00E95118">
      <w:pPr>
        <w:rPr>
          <w:lang w:val="en-GB"/>
        </w:rPr>
      </w:pPr>
      <w:r w:rsidRPr="00122292">
        <w:rPr>
          <w:rFonts w:eastAsia="Calibri" w:cs="Calibri"/>
          <w:lang w:val="en-GB"/>
        </w:rPr>
        <w:t>2</w:t>
      </w:r>
      <w:r w:rsidR="004C77D0" w:rsidRPr="00122292">
        <w:rPr>
          <w:rFonts w:eastAsia="Calibri" w:cs="Calibri"/>
          <w:lang w:val="en-GB"/>
        </w:rPr>
        <w:t>5</w:t>
      </w:r>
      <w:r w:rsidRPr="00122292">
        <w:rPr>
          <w:rFonts w:eastAsia="Calibri" w:cs="Calibri"/>
          <w:lang w:val="en-GB"/>
        </w:rPr>
        <w:t>.1</w:t>
      </w:r>
      <w:r w:rsidRPr="00122292">
        <w:rPr>
          <w:lang w:val="en-GB"/>
        </w:rPr>
        <w:tab/>
      </w:r>
      <w:r w:rsidR="00E95118" w:rsidRPr="00122292">
        <w:rPr>
          <w:lang w:val="en-GB"/>
        </w:rPr>
        <w:t>A representative of the General Secretariat introduced Document C26/70, which proposed a framework for a selection process for host countries of major ITU conferences and assemblies. The process consisted of a</w:t>
      </w:r>
      <w:r w:rsidR="23DC096E" w:rsidRPr="00122292">
        <w:rPr>
          <w:lang w:val="en-GB"/>
        </w:rPr>
        <w:t xml:space="preserve"> </w:t>
      </w:r>
      <w:r w:rsidR="6B29A0AA" w:rsidRPr="7805C163">
        <w:rPr>
          <w:lang w:val="en-GB"/>
        </w:rPr>
        <w:t xml:space="preserve">call for proposals to host </w:t>
      </w:r>
      <w:r w:rsidR="374AB4C8" w:rsidRPr="7805C163">
        <w:rPr>
          <w:lang w:val="en-GB"/>
        </w:rPr>
        <w:t xml:space="preserve">a conference or assembly four years in advance, </w:t>
      </w:r>
      <w:r w:rsidR="4EDCA9CF" w:rsidRPr="7805C163">
        <w:rPr>
          <w:lang w:val="en-GB"/>
        </w:rPr>
        <w:t xml:space="preserve"> consisting of a circular letter</w:t>
      </w:r>
      <w:r w:rsidR="00E95118" w:rsidRPr="00122292">
        <w:rPr>
          <w:lang w:val="en-GB"/>
        </w:rPr>
        <w:t xml:space="preserve">  calling for expressions of interest, consultations with the secretariat, the submission of formal proposals, a period of due diligence with a report by the secretariat, the selection of the host country by the Council or Plenipotentiary Conference three years ahead of the relevant event, and the finalization and signature of the host country agreement. The document provided the generic cost of hosting an ITU conference or assembly. The ITU host country web portal was available and would be updated as relevant. Further information was available in Document </w:t>
      </w:r>
      <w:hyperlink r:id="rId97" w:history="1">
        <w:r w:rsidR="00E95118" w:rsidRPr="7805C163">
          <w:rPr>
            <w:rStyle w:val="Hyperlink"/>
            <w:rFonts w:cs="Times New Roman"/>
            <w:lang w:val="en-GB"/>
          </w:rPr>
          <w:t>C26/INF/4</w:t>
        </w:r>
      </w:hyperlink>
      <w:r w:rsidR="00E95118" w:rsidRPr="00122292">
        <w:rPr>
          <w:lang w:val="en-GB"/>
        </w:rPr>
        <w:t>.</w:t>
      </w:r>
    </w:p>
    <w:p w14:paraId="055123D9" w14:textId="7A42B5AF" w:rsidR="00E95118" w:rsidRPr="00122292" w:rsidRDefault="00E95118" w:rsidP="00E95118">
      <w:pPr>
        <w:rPr>
          <w:lang w:val="en-GB"/>
        </w:rPr>
      </w:pPr>
      <w:r w:rsidRPr="00122292">
        <w:rPr>
          <w:lang w:val="en-GB"/>
        </w:rPr>
        <w:t>25.2 The councillor from South Africa introduced the multicountry contribution contained in Document C26/102 on behalf of four countries. It aimed to strengthen the proposed selection process in Document C26/70 and to establish the practical enabling conditions necessary for broader participation by Member States, in particular developing countries, as requested by CWG-FHR in January 2026. Facilitating broader participation in the hosting of high-level meetings was consistent with the principles of fairness, inclusion and global engagement that underpinned ITU</w:t>
      </w:r>
      <w:r w:rsidR="00D0380A">
        <w:rPr>
          <w:lang w:val="en-GB"/>
        </w:rPr>
        <w:t>’</w:t>
      </w:r>
      <w:r w:rsidRPr="00122292">
        <w:rPr>
          <w:lang w:val="en-GB"/>
        </w:rPr>
        <w:t>s work.</w:t>
      </w:r>
    </w:p>
    <w:p w14:paraId="06C71AAA" w14:textId="77777777" w:rsidR="000265A7" w:rsidRDefault="00E95118" w:rsidP="00E95118">
      <w:pPr>
        <w:rPr>
          <w:lang w:val="en-US"/>
        </w:rPr>
      </w:pPr>
      <w:r w:rsidRPr="00122292">
        <w:rPr>
          <w:lang w:val="en-GB"/>
        </w:rPr>
        <w:t>25.3</w:t>
      </w:r>
      <w:r w:rsidRPr="00122292">
        <w:rPr>
          <w:lang w:val="en-GB"/>
        </w:rPr>
        <w:tab/>
        <w:t xml:space="preserve">Councillors expressed support for the proposed framework, which reflected discussions conducted by CWG-FHR and the perspectives and concerns of Member States. The multicountry contribution was considered a constructive addition to the development of a selection process. They highlighted the importance of upholding the principles of openness, transparency and accountability in the selection process to encourage more Member States to participate, and to reduce the financial burdens of hosting. </w:t>
      </w:r>
      <w:r w:rsidRPr="00147D70">
        <w:rPr>
          <w:lang w:val="en-US"/>
        </w:rPr>
        <w:t>The improved accessibility of information via the web portal was welcomed and would support decision-making by Member States.</w:t>
      </w:r>
    </w:p>
    <w:p w14:paraId="5CBD9B22" w14:textId="6EAA0FF5" w:rsidR="00771429" w:rsidRDefault="00E95118" w:rsidP="00E95118">
      <w:pPr>
        <w:rPr>
          <w:lang w:val="en-GB"/>
        </w:rPr>
      </w:pPr>
      <w:r w:rsidRPr="00122292">
        <w:rPr>
          <w:lang w:val="en-GB"/>
        </w:rPr>
        <w:t>25.4</w:t>
      </w:r>
      <w:r w:rsidRPr="00122292">
        <w:rPr>
          <w:lang w:val="en-GB"/>
        </w:rPr>
        <w:tab/>
        <w:t xml:space="preserve">Numerous councillors welcomed the clear timelines and requirements set out in the proposed framework, emphasizing the importance of objectively assessing proposals based on criteria known in advance, while maintaining a balance between early planning and the widest possible participation of Member States. The framework should be sufficiently robust to address the rare situations in which there were multiple candidatures for an event; geographical balance could be used as a deciding factor in such </w:t>
      </w:r>
      <w:r w:rsidRPr="6BD3B3A4">
        <w:rPr>
          <w:lang w:val="en-GB"/>
        </w:rPr>
        <w:t>case</w:t>
      </w:r>
      <w:r w:rsidR="634F871E" w:rsidRPr="6BD3B3A4">
        <w:rPr>
          <w:lang w:val="en-GB"/>
        </w:rPr>
        <w:t>s.</w:t>
      </w:r>
      <w:r w:rsidR="000265A7">
        <w:rPr>
          <w:lang w:val="en-GB"/>
        </w:rPr>
        <w:t xml:space="preserve"> </w:t>
      </w:r>
      <w:r w:rsidRPr="00122292">
        <w:rPr>
          <w:lang w:val="en-GB"/>
        </w:rPr>
        <w:t>One councillor suggested that the selection process applied under abrogated Resolution 11 (Rev. Dubai, 2018), on ITU Telecom events, could serve as a useful point of reference on how structured, rule-based criteria could be effectively applied in practice.</w:t>
      </w:r>
    </w:p>
    <w:p w14:paraId="3A47BFB5" w14:textId="0BE91D75" w:rsidR="00E95118" w:rsidRPr="00122292" w:rsidRDefault="00E95118" w:rsidP="203BFADB">
      <w:pPr>
        <w:rPr>
          <w:lang w:val="en-GB"/>
        </w:rPr>
      </w:pPr>
      <w:r w:rsidRPr="00122292">
        <w:rPr>
          <w:lang w:val="en-GB"/>
        </w:rPr>
        <w:t>25.5</w:t>
      </w:r>
      <w:r w:rsidRPr="00122292">
        <w:rPr>
          <w:lang w:val="en-GB"/>
        </w:rPr>
        <w:tab/>
        <w:t xml:space="preserve">Many councillors emphasized the importance of effectively implementing the principle of geographical rotation in host selection, while </w:t>
      </w:r>
      <w:proofErr w:type="gramStart"/>
      <w:r w:rsidRPr="00122292">
        <w:rPr>
          <w:lang w:val="en-GB"/>
        </w:rPr>
        <w:t>taking into account</w:t>
      </w:r>
      <w:proofErr w:type="gramEnd"/>
      <w:r w:rsidRPr="00122292">
        <w:rPr>
          <w:lang w:val="en-GB"/>
        </w:rPr>
        <w:t xml:space="preserve"> the interest and readiness of Member States to submit candidatures, as well as their capacity to meet the relevant requirements. However, there were concerns that an overly rigid or highly formalized approach could unintentionally limit the participation of developing countries. Flexibility in the application of requirements and continued efforts to </w:t>
      </w:r>
      <w:r w:rsidRPr="004F7B28">
        <w:rPr>
          <w:lang w:val="en-GB"/>
        </w:rPr>
        <w:t>redu</w:t>
      </w:r>
      <w:r w:rsidR="004F7B28">
        <w:rPr>
          <w:lang w:val="en-GB"/>
        </w:rPr>
        <w:t>c</w:t>
      </w:r>
      <w:r w:rsidRPr="004F7B28">
        <w:rPr>
          <w:lang w:val="en-GB"/>
        </w:rPr>
        <w:t>e</w:t>
      </w:r>
      <w:r w:rsidRPr="00147D70">
        <w:rPr>
          <w:lang w:val="en-US"/>
        </w:rPr>
        <w:t xml:space="preserve"> the financial burden on host countries were crucial in that context.</w:t>
      </w:r>
      <w:r w:rsidR="004F7B28">
        <w:rPr>
          <w:lang w:val="en-US"/>
        </w:rPr>
        <w:t xml:space="preserve"> </w:t>
      </w:r>
      <w:r w:rsidRPr="203BFADB">
        <w:rPr>
          <w:lang w:val="en-GB"/>
        </w:rPr>
        <w:t>25</w:t>
      </w:r>
      <w:r w:rsidRPr="00122292">
        <w:rPr>
          <w:lang w:val="en-GB"/>
        </w:rPr>
        <w:t>.6</w:t>
      </w:r>
      <w:r w:rsidRPr="00122292">
        <w:rPr>
          <w:lang w:val="en-GB"/>
        </w:rPr>
        <w:tab/>
        <w:t>One councillor suggested further refinement of the timeline proposed in the framework, under which a host would be selected three years in advance of an event; it was customary, for example, for a plenipotentiary conference to conclude with the announcement of the host of the following conference.</w:t>
      </w:r>
    </w:p>
    <w:p w14:paraId="3EE8A40F" w14:textId="282DC3CB" w:rsidR="00251FC0" w:rsidRDefault="00E95118" w:rsidP="00E95118">
      <w:pPr>
        <w:rPr>
          <w:lang w:val="en-GB"/>
        </w:rPr>
      </w:pPr>
      <w:r w:rsidRPr="00122292">
        <w:rPr>
          <w:lang w:val="en-GB"/>
        </w:rPr>
        <w:t>25.7</w:t>
      </w:r>
      <w:r w:rsidR="64A25CEB" w:rsidRPr="233AF197">
        <w:rPr>
          <w:lang w:val="en-GB"/>
        </w:rPr>
        <w:t xml:space="preserve"> </w:t>
      </w:r>
      <w:r w:rsidRPr="00C8562D">
        <w:rPr>
          <w:lang w:val="en-GB"/>
        </w:rPr>
        <w:tab/>
      </w:r>
      <w:r w:rsidRPr="00122292">
        <w:rPr>
          <w:lang w:val="en-GB"/>
        </w:rPr>
        <w:t xml:space="preserve">Another councillor proposed that, to strengthen the framework, additional information on, </w:t>
      </w:r>
      <w:r w:rsidRPr="00122292">
        <w:rPr>
          <w:i/>
          <w:lang w:val="en-GB"/>
        </w:rPr>
        <w:t>inter alia</w:t>
      </w:r>
      <w:r w:rsidRPr="00122292">
        <w:rPr>
          <w:lang w:val="en-GB"/>
        </w:rPr>
        <w:t>, the number of attendees of various meetings could be gathered at PP-</w:t>
      </w:r>
      <w:proofErr w:type="gramStart"/>
      <w:r w:rsidRPr="00122292">
        <w:rPr>
          <w:lang w:val="en-GB"/>
        </w:rPr>
        <w:t>26</w:t>
      </w:r>
      <w:r w:rsidR="37C38808" w:rsidRPr="233AF197">
        <w:rPr>
          <w:lang w:val="en-GB"/>
        </w:rPr>
        <w:t xml:space="preserve">  </w:t>
      </w:r>
      <w:r w:rsidRPr="00122292">
        <w:rPr>
          <w:lang w:val="en-GB"/>
        </w:rPr>
        <w:t>.</w:t>
      </w:r>
      <w:proofErr w:type="gramEnd"/>
      <w:r w:rsidRPr="00122292">
        <w:rPr>
          <w:lang w:val="en-GB"/>
        </w:rPr>
        <w:t xml:space="preserve"> Such data could </w:t>
      </w:r>
      <w:r w:rsidR="2F68AA01" w:rsidRPr="233AF197">
        <w:rPr>
          <w:lang w:val="en-GB"/>
        </w:rPr>
        <w:t xml:space="preserve">inform requirements such as </w:t>
      </w:r>
      <w:r w:rsidR="35CBAF9F" w:rsidRPr="233AF197">
        <w:rPr>
          <w:lang w:val="en-GB"/>
        </w:rPr>
        <w:t xml:space="preserve">number and capacity of </w:t>
      </w:r>
      <w:r w:rsidR="2F68AA01" w:rsidRPr="233AF197">
        <w:rPr>
          <w:lang w:val="en-GB"/>
        </w:rPr>
        <w:t>rooms</w:t>
      </w:r>
      <w:r w:rsidR="1F4CDF87" w:rsidRPr="233AF197">
        <w:rPr>
          <w:lang w:val="en-GB"/>
        </w:rPr>
        <w:t xml:space="preserve"> </w:t>
      </w:r>
      <w:r w:rsidR="2F68AA01" w:rsidRPr="233AF197">
        <w:rPr>
          <w:lang w:val="en-GB"/>
        </w:rPr>
        <w:t xml:space="preserve">and </w:t>
      </w:r>
      <w:r w:rsidR="7805C163" w:rsidRPr="233AF197">
        <w:rPr>
          <w:lang w:val="en-GB"/>
        </w:rPr>
        <w:t>be used to produce a more statistics-based instrument to assist potential host countries, particularly with regard to expenses.</w:t>
      </w:r>
    </w:p>
    <w:p w14:paraId="58A55EA5" w14:textId="7EBD073A" w:rsidR="00251FC0" w:rsidRDefault="7805C163" w:rsidP="00E95118">
      <w:pPr>
        <w:rPr>
          <w:lang w:val="en-GB"/>
        </w:rPr>
      </w:pPr>
      <w:r w:rsidRPr="233AF197">
        <w:rPr>
          <w:lang w:val="en-GB"/>
        </w:rPr>
        <w:t>25.8</w:t>
      </w:r>
      <w:r w:rsidR="00E95118" w:rsidRPr="0069584B">
        <w:rPr>
          <w:lang w:val="en-GB"/>
        </w:rPr>
        <w:tab/>
      </w:r>
      <w:r w:rsidRPr="233AF197">
        <w:rPr>
          <w:lang w:val="en-GB"/>
        </w:rPr>
        <w:t>It was further suggested that the proposed framework could be implemented immediately as an interim step, with further discussion at PP-26 to refine and strengthen the selection process if needed.</w:t>
      </w:r>
    </w:p>
    <w:p w14:paraId="2D528DD3" w14:textId="00D567D1" w:rsidR="00251FC0" w:rsidRDefault="00E95118" w:rsidP="00E95118">
      <w:pPr>
        <w:rPr>
          <w:rFonts w:eastAsia="Calibri" w:cs="Calibri"/>
          <w:lang w:val="en-GB"/>
        </w:rPr>
      </w:pPr>
      <w:r w:rsidRPr="00122292">
        <w:rPr>
          <w:lang w:val="en-GB"/>
        </w:rPr>
        <w:t>25.9</w:t>
      </w:r>
      <w:r w:rsidRPr="00BA2D14">
        <w:rPr>
          <w:lang w:val="en-GB"/>
        </w:rPr>
        <w:tab/>
      </w:r>
      <w:r w:rsidRPr="00122292">
        <w:rPr>
          <w:lang w:val="en-GB"/>
        </w:rPr>
        <w:t xml:space="preserve">The representative of the General Secretariat noted councillors’ views on the importance of the principle of geographical rotation and reducing the burden of hosting a conference. All relevant information could be uploaded to the web portal as soon as possible. Responding to a question from a councillor, she said that in the event that there were two equally qualified candidates bidding to host an event, Member States </w:t>
      </w:r>
      <w:r w:rsidR="219BC889" w:rsidRPr="7805C163">
        <w:rPr>
          <w:lang w:val="en-GB"/>
        </w:rPr>
        <w:t>could propose further</w:t>
      </w:r>
      <w:r w:rsidR="4A9873BD" w:rsidRPr="7805C163">
        <w:rPr>
          <w:lang w:val="en-GB"/>
        </w:rPr>
        <w:t xml:space="preserve"> specific</w:t>
      </w:r>
      <w:r w:rsidR="219BC889" w:rsidRPr="7805C163">
        <w:rPr>
          <w:lang w:val="en-GB"/>
        </w:rPr>
        <w:t xml:space="preserve"> selection criteria and</w:t>
      </w:r>
      <w:r w:rsidRPr="7805C163">
        <w:rPr>
          <w:lang w:val="en-GB"/>
        </w:rPr>
        <w:t xml:space="preserve"> </w:t>
      </w:r>
      <w:r w:rsidRPr="00122292">
        <w:rPr>
          <w:lang w:val="en-GB"/>
        </w:rPr>
        <w:t>would be asked to decide at a session of either the Council or the plenipotentiary conference</w:t>
      </w:r>
      <w:r w:rsidR="000A1BC7" w:rsidRPr="00122292">
        <w:rPr>
          <w:rFonts w:eastAsia="Calibri" w:cs="Calibri"/>
          <w:lang w:val="en-GB"/>
        </w:rPr>
        <w:t>.</w:t>
      </w:r>
    </w:p>
    <w:p w14:paraId="24D460EE" w14:textId="2C33963D" w:rsidR="00EE4536" w:rsidRDefault="000A1BC7" w:rsidP="00AA406B">
      <w:pPr>
        <w:rPr>
          <w:rFonts w:eastAsia="Calibri" w:cs="Calibri"/>
          <w:szCs w:val="24"/>
          <w:lang w:val="en-GB"/>
        </w:rPr>
      </w:pPr>
      <w:r w:rsidRPr="00EA5615">
        <w:rPr>
          <w:rFonts w:eastAsia="Calibri" w:cs="Calibri"/>
          <w:spacing w:val="-4"/>
          <w:szCs w:val="24"/>
          <w:lang w:val="en-GB"/>
        </w:rPr>
        <w:t>2</w:t>
      </w:r>
      <w:r w:rsidR="004C77D0">
        <w:rPr>
          <w:rFonts w:eastAsia="Calibri" w:cs="Calibri"/>
          <w:spacing w:val="-4"/>
          <w:szCs w:val="24"/>
          <w:lang w:val="en-GB"/>
        </w:rPr>
        <w:t>5</w:t>
      </w:r>
      <w:r w:rsidRPr="00EA5615">
        <w:rPr>
          <w:rFonts w:eastAsia="Calibri" w:cs="Calibri"/>
          <w:spacing w:val="-4"/>
          <w:szCs w:val="24"/>
          <w:lang w:val="en-GB"/>
        </w:rPr>
        <w:t>.</w:t>
      </w:r>
      <w:r w:rsidR="003A5A41">
        <w:rPr>
          <w:rFonts w:eastAsia="Calibri" w:cs="Calibri"/>
          <w:spacing w:val="-4"/>
          <w:szCs w:val="24"/>
          <w:lang w:val="en-GB"/>
        </w:rPr>
        <w:t>10</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7224AE6B" w14:textId="77777777" w:rsidR="00EE4536" w:rsidRDefault="00EE4536"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rFonts w:eastAsia="Calibri" w:cs="Calibri"/>
          <w:szCs w:val="24"/>
          <w:lang w:val="en-GB"/>
        </w:rPr>
        <w:t>2</w:t>
      </w:r>
      <w:r>
        <w:rPr>
          <w:rFonts w:eastAsia="Calibri" w:cs="Calibri"/>
          <w:szCs w:val="24"/>
          <w:lang w:val="en-GB"/>
        </w:rPr>
        <w:t>5</w:t>
      </w:r>
      <w:r w:rsidRPr="00EA5615">
        <w:rPr>
          <w:rFonts w:eastAsia="Calibri" w:cs="Calibri"/>
          <w:szCs w:val="24"/>
          <w:lang w:val="en-GB"/>
        </w:rPr>
        <w:t>.</w:t>
      </w:r>
      <w:r>
        <w:rPr>
          <w:rFonts w:eastAsia="Calibri" w:cs="Calibri"/>
          <w:szCs w:val="24"/>
          <w:lang w:val="en-GB"/>
        </w:rPr>
        <w:t>11</w:t>
      </w:r>
      <w:r w:rsidRPr="00EA5615">
        <w:rPr>
          <w:lang w:val="en-GB"/>
        </w:rPr>
        <w:tab/>
        <w:t>The committee recommends that the Council:</w:t>
      </w:r>
    </w:p>
    <w:p w14:paraId="7992FC93" w14:textId="33BEB39E" w:rsidR="00EE4536" w:rsidRDefault="00EE4536"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122292">
        <w:rPr>
          <w:lang w:val="en-GB"/>
        </w:rPr>
        <w:t>•</w:t>
      </w:r>
      <w:r w:rsidRPr="00122292">
        <w:rPr>
          <w:lang w:val="en-GB"/>
        </w:rPr>
        <w:tab/>
      </w:r>
      <w:r>
        <w:rPr>
          <w:lang w:val="en-GB"/>
        </w:rPr>
        <w:t>note the proposed framework contained in Document C26/70 and the multicountry contribution contained in Document C26/102</w:t>
      </w:r>
      <w:r w:rsidR="005D1EF9">
        <w:rPr>
          <w:lang w:val="en-GB"/>
        </w:rPr>
        <w:t>;</w:t>
      </w:r>
    </w:p>
    <w:p w14:paraId="4168EC74" w14:textId="24FF84B6" w:rsidR="0099761A" w:rsidRPr="00122292" w:rsidRDefault="000A1BC7"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122292">
        <w:rPr>
          <w:lang w:val="en-GB"/>
        </w:rPr>
        <w:t>•</w:t>
      </w:r>
      <w:r w:rsidRPr="00122292">
        <w:rPr>
          <w:lang w:val="en-GB"/>
        </w:rPr>
        <w:tab/>
      </w:r>
      <w:r w:rsidR="002F7AA4" w:rsidRPr="00122292">
        <w:rPr>
          <w:rFonts w:cs="Calibri"/>
          <w:szCs w:val="24"/>
          <w:lang w:val="en-GB"/>
        </w:rPr>
        <w:t>request</w:t>
      </w:r>
      <w:r w:rsidR="00327673" w:rsidRPr="00122292">
        <w:rPr>
          <w:rFonts w:cs="Calibri"/>
          <w:szCs w:val="24"/>
          <w:lang w:val="en-GB"/>
        </w:rPr>
        <w:t xml:space="preserve"> </w:t>
      </w:r>
      <w:r w:rsidR="00C64C9A" w:rsidRPr="00122292">
        <w:rPr>
          <w:rFonts w:cs="Calibri"/>
          <w:szCs w:val="24"/>
          <w:lang w:val="en-GB"/>
        </w:rPr>
        <w:t xml:space="preserve">the General Secretariat to implement </w:t>
      </w:r>
      <w:r w:rsidR="00C26A70" w:rsidRPr="00122292">
        <w:rPr>
          <w:rFonts w:cs="Calibri"/>
          <w:szCs w:val="24"/>
          <w:lang w:val="en-GB"/>
        </w:rPr>
        <w:t xml:space="preserve">the selection process framework </w:t>
      </w:r>
      <w:r w:rsidR="00144D1E" w:rsidRPr="00122292">
        <w:rPr>
          <w:rFonts w:cs="Calibri"/>
          <w:szCs w:val="24"/>
          <w:lang w:val="en-GB"/>
        </w:rPr>
        <w:t xml:space="preserve">in </w:t>
      </w:r>
      <w:r w:rsidR="00283638" w:rsidRPr="00122292">
        <w:rPr>
          <w:rFonts w:cs="Calibri"/>
          <w:szCs w:val="24"/>
          <w:lang w:val="en-GB"/>
        </w:rPr>
        <w:t xml:space="preserve">Document </w:t>
      </w:r>
      <w:hyperlink r:id="rId98" w:history="1">
        <w:r w:rsidR="00144D1E" w:rsidRPr="00122292">
          <w:rPr>
            <w:rStyle w:val="Hyperlink"/>
            <w:rFonts w:cs="Calibri"/>
            <w:szCs w:val="24"/>
            <w:lang w:val="en-GB"/>
          </w:rPr>
          <w:t>C26/70</w:t>
        </w:r>
      </w:hyperlink>
      <w:r w:rsidR="00144D1E" w:rsidRPr="00122292">
        <w:rPr>
          <w:rFonts w:cs="Calibri"/>
          <w:szCs w:val="24"/>
          <w:lang w:val="en-GB"/>
        </w:rPr>
        <w:t xml:space="preserve">, taking into </w:t>
      </w:r>
      <w:r w:rsidR="00FA0726" w:rsidRPr="00122292">
        <w:rPr>
          <w:rFonts w:cs="Calibri"/>
          <w:szCs w:val="24"/>
          <w:lang w:val="en-GB"/>
        </w:rPr>
        <w:t xml:space="preserve">consideration </w:t>
      </w:r>
      <w:r w:rsidR="00283638" w:rsidRPr="00122292">
        <w:rPr>
          <w:rFonts w:cs="Calibri"/>
          <w:szCs w:val="24"/>
          <w:lang w:val="en-GB"/>
        </w:rPr>
        <w:t xml:space="preserve">Document </w:t>
      </w:r>
      <w:hyperlink r:id="rId99" w:history="1">
        <w:r w:rsidR="00FA0726" w:rsidRPr="00122292">
          <w:rPr>
            <w:rStyle w:val="Hyperlink"/>
            <w:rFonts w:cs="Calibri"/>
            <w:szCs w:val="24"/>
            <w:lang w:val="en-GB"/>
          </w:rPr>
          <w:t>C26/102</w:t>
        </w:r>
      </w:hyperlink>
      <w:r w:rsidR="00FA0726" w:rsidRPr="00122292">
        <w:rPr>
          <w:rFonts w:cs="Calibri"/>
          <w:szCs w:val="24"/>
          <w:lang w:val="en-GB"/>
        </w:rPr>
        <w:t>, as an initial step; and</w:t>
      </w:r>
    </w:p>
    <w:p w14:paraId="4BD0586F" w14:textId="0A363DB7" w:rsidR="000A1BC7" w:rsidRPr="00122292" w:rsidRDefault="0099761A"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122292">
        <w:rPr>
          <w:lang w:val="en-GB"/>
        </w:rPr>
        <w:t>•</w:t>
      </w:r>
      <w:r w:rsidRPr="00122292">
        <w:rPr>
          <w:lang w:val="en-GB"/>
        </w:rPr>
        <w:tab/>
      </w:r>
      <w:r w:rsidR="00310567" w:rsidRPr="00122292">
        <w:rPr>
          <w:lang w:val="en-GB"/>
        </w:rPr>
        <w:t>invite continued consideration of this topic by the Plenipotentiary Conference (Doha, 2026), with a view towards further refining and strengthening the process moving forward if needed</w:t>
      </w:r>
      <w:r w:rsidR="000A1BC7" w:rsidRPr="00122292">
        <w:rPr>
          <w:rFonts w:cs="Calibri"/>
          <w:szCs w:val="24"/>
          <w:lang w:val="en-GB"/>
        </w:rPr>
        <w:t>.</w:t>
      </w:r>
    </w:p>
    <w:p w14:paraId="3A3FC2D8" w14:textId="26D352AA" w:rsidR="008562A9" w:rsidRPr="00981DDB" w:rsidRDefault="00E47257" w:rsidP="00AA406B">
      <w:pPr>
        <w:pStyle w:val="Heading1"/>
        <w:rPr>
          <w:szCs w:val="22"/>
          <w:lang w:val="en-GB"/>
        </w:rPr>
      </w:pPr>
      <w:r w:rsidRPr="00EA5615">
        <w:rPr>
          <w:lang w:val="en-GB"/>
        </w:rPr>
        <w:t>2</w:t>
      </w:r>
      <w:r w:rsidR="004C77D0">
        <w:rPr>
          <w:lang w:val="en-GB"/>
        </w:rPr>
        <w:t>6</w:t>
      </w:r>
      <w:r w:rsidR="008562A9" w:rsidRPr="00EA5615">
        <w:rPr>
          <w:bCs/>
          <w:lang w:val="en-GB"/>
        </w:rPr>
        <w:tab/>
      </w:r>
      <w:r w:rsidR="008562A9" w:rsidRPr="00EA5615">
        <w:rPr>
          <w:lang w:val="en-GB"/>
        </w:rPr>
        <w:t>Update on measures to reduce financial burdens on host countries of ITU conferences, meetings, and activities</w:t>
      </w:r>
      <w:r w:rsidR="00307C3B">
        <w:rPr>
          <w:i/>
          <w:iCs/>
          <w:lang w:val="en-GB"/>
        </w:rPr>
        <w:t xml:space="preserve"> </w:t>
      </w:r>
      <w:r w:rsidR="00981DDB">
        <w:rPr>
          <w:lang w:val="en-GB"/>
        </w:rPr>
        <w:t xml:space="preserve">(Document </w:t>
      </w:r>
      <w:hyperlink r:id="rId100" w:history="1">
        <w:r w:rsidR="008562A9" w:rsidRPr="00EA5615">
          <w:rPr>
            <w:rStyle w:val="Hyperlink"/>
            <w:bCs/>
            <w:lang w:val="en-GB"/>
          </w:rPr>
          <w:t>C26/71</w:t>
        </w:r>
      </w:hyperlink>
      <w:r w:rsidR="00981DDB" w:rsidRPr="00981DDB">
        <w:rPr>
          <w:lang w:val="en-GB"/>
        </w:rPr>
        <w:t>)</w:t>
      </w:r>
    </w:p>
    <w:p w14:paraId="0C6C091D" w14:textId="457D1C27" w:rsidR="007575D0" w:rsidRPr="008A58A8" w:rsidRDefault="000A1BC7" w:rsidP="00AA406B">
      <w:pPr>
        <w:keepNext/>
        <w:keepLines/>
        <w:rPr>
          <w:lang w:val="en-GB"/>
        </w:rPr>
      </w:pPr>
      <w:r w:rsidRPr="00012BD0">
        <w:rPr>
          <w:rFonts w:eastAsia="Calibri" w:cs="Calibri"/>
          <w:lang w:val="en-GB"/>
        </w:rPr>
        <w:t>2</w:t>
      </w:r>
      <w:r w:rsidR="004C77D0" w:rsidRPr="00012BD0">
        <w:rPr>
          <w:rFonts w:eastAsia="Calibri" w:cs="Calibri"/>
          <w:lang w:val="en-GB"/>
        </w:rPr>
        <w:t>6</w:t>
      </w:r>
      <w:r w:rsidRPr="00012BD0">
        <w:rPr>
          <w:rFonts w:eastAsia="Calibri" w:cs="Calibri"/>
          <w:lang w:val="en-GB"/>
        </w:rPr>
        <w:t>.1</w:t>
      </w:r>
      <w:r w:rsidRPr="00012BD0">
        <w:rPr>
          <w:lang w:val="en-GB"/>
        </w:rPr>
        <w:tab/>
      </w:r>
      <w:r w:rsidR="007575D0" w:rsidRPr="008A58A8">
        <w:rPr>
          <w:lang w:val="en-GB"/>
        </w:rPr>
        <w:t>A representative of the General Secretariat introduced Document C26/71, which provided additional information on the three proposals presented to Council-25 in Document C25/95. The proposals concerned: the utilization of more local interpretation resources and remote simultaneous interpretation (RSI) services for ITU events; local provision of IT equipment and devices; and progress towards a fully digital accreditation model for conferences through streamlined processes and enabled digital badges.</w:t>
      </w:r>
    </w:p>
    <w:p w14:paraId="27A657FB" w14:textId="35E3A13F" w:rsidR="007575D0" w:rsidRPr="008A58A8" w:rsidRDefault="00E6442E" w:rsidP="007575D0">
      <w:pPr>
        <w:rPr>
          <w:lang w:val="en-GB"/>
        </w:rPr>
      </w:pPr>
      <w:r w:rsidRPr="008A58A8">
        <w:rPr>
          <w:lang w:val="en-GB"/>
        </w:rPr>
        <w:t>26.2</w:t>
      </w:r>
      <w:r w:rsidRPr="008A58A8">
        <w:rPr>
          <w:lang w:val="en-GB"/>
        </w:rPr>
        <w:tab/>
      </w:r>
      <w:r w:rsidR="007575D0" w:rsidRPr="008A58A8">
        <w:rPr>
          <w:lang w:val="en-GB"/>
        </w:rPr>
        <w:t>Councillors expressed strong support for all ongoing efforts to reduce the financial and operational burdens of hosting events. The strategic use of technology and of local resources could contribute significantly to reducing costs for host countries, as well as having a positive impact on local economies. Such steps were of particular importance for small administrations and SIDS.</w:t>
      </w:r>
    </w:p>
    <w:p w14:paraId="338A05BC" w14:textId="74044385" w:rsidR="007575D0" w:rsidRPr="008A58A8" w:rsidRDefault="00E6442E" w:rsidP="007575D0">
      <w:pPr>
        <w:rPr>
          <w:lang w:val="en-GB"/>
        </w:rPr>
      </w:pPr>
      <w:r w:rsidRPr="008A58A8">
        <w:rPr>
          <w:lang w:val="en-GB"/>
        </w:rPr>
        <w:t>26.3</w:t>
      </w:r>
      <w:r w:rsidRPr="008A58A8">
        <w:rPr>
          <w:lang w:val="en-GB"/>
        </w:rPr>
        <w:tab/>
      </w:r>
      <w:r w:rsidR="007575D0" w:rsidRPr="008A58A8">
        <w:rPr>
          <w:lang w:val="en-GB"/>
        </w:rPr>
        <w:t>However, a number of councillors said that the proposals did not necessarily cover the most expensive parts of hosting an event. Consideration of bold proposals, such as shortening the duration of events or undertaking cost-sharing arrangements between multiple host countries, was encouraged and would likely have a more direct impact on reducing expenditure.</w:t>
      </w:r>
    </w:p>
    <w:p w14:paraId="510AD70F" w14:textId="716FE600" w:rsidR="007575D0" w:rsidRPr="008A58A8" w:rsidRDefault="00E6442E" w:rsidP="007575D0">
      <w:pPr>
        <w:rPr>
          <w:lang w:val="en-GB"/>
        </w:rPr>
      </w:pPr>
      <w:r w:rsidRPr="008A58A8">
        <w:rPr>
          <w:lang w:val="en-GB"/>
        </w:rPr>
        <w:t>26.4</w:t>
      </w:r>
      <w:r w:rsidR="00473C7B" w:rsidRPr="008A58A8">
        <w:rPr>
          <w:lang w:val="en-GB"/>
        </w:rPr>
        <w:tab/>
      </w:r>
      <w:r w:rsidR="007575D0" w:rsidRPr="008A58A8">
        <w:rPr>
          <w:lang w:val="en-GB"/>
        </w:rPr>
        <w:t>Several councillors said that implementation of the proposals should remain flexible to ensure the equal participation of all delegates. A hybrid approach to the local provision of IT equipment and infrastructure would enable the host country to source equipment locally where feasible and could significantly reduce shipping and logistic costs, while also stimulating local digital ecosystems. The positive environmental impact of the digital accreditation model was noted.</w:t>
      </w:r>
    </w:p>
    <w:p w14:paraId="27E94B85" w14:textId="6C40FF58" w:rsidR="007575D0" w:rsidRPr="008A58A8" w:rsidRDefault="00473C7B" w:rsidP="007575D0">
      <w:pPr>
        <w:rPr>
          <w:lang w:val="en-GB"/>
        </w:rPr>
      </w:pPr>
      <w:r w:rsidRPr="008A58A8">
        <w:rPr>
          <w:lang w:val="en-GB"/>
        </w:rPr>
        <w:t>26.5</w:t>
      </w:r>
      <w:r w:rsidRPr="008A58A8">
        <w:rPr>
          <w:lang w:val="en-GB"/>
        </w:rPr>
        <w:tab/>
      </w:r>
      <w:r w:rsidR="007575D0" w:rsidRPr="008A58A8">
        <w:rPr>
          <w:lang w:val="en-GB"/>
        </w:rPr>
        <w:t>Councillors welcomed the proposal to make greater use of local interpretation services, provided that quality standards were maintained. While numerous councillors stated their support for the use of RSI services, they noted that it would be useful to proceed gradually, with clear technical readiness criteria, evidence from comparable settings and fallback arrangements. One councillor highlighted that it was essential to ensure that costs were not simply displaced; for example, while the use of RSI would reduce travel and accommodation costs, it would require increased investment in technical infrastructure and reliable connectivity. Furthermore, the use of RSI was not appropriate for all events. On AI-based interpretation, the secretariat</w:t>
      </w:r>
      <w:r w:rsidR="00D0380A">
        <w:rPr>
          <w:lang w:val="en-GB"/>
        </w:rPr>
        <w:t>’</w:t>
      </w:r>
      <w:r w:rsidR="007575D0" w:rsidRPr="008A58A8">
        <w:rPr>
          <w:lang w:val="en-GB"/>
        </w:rPr>
        <w:t>s cautious approach and assurance that it would not be used for formal meetings were welcomed.</w:t>
      </w:r>
    </w:p>
    <w:p w14:paraId="3C02E477" w14:textId="0F742EDC" w:rsidR="007575D0" w:rsidRPr="008A58A8" w:rsidRDefault="00473C7B" w:rsidP="007575D0">
      <w:pPr>
        <w:rPr>
          <w:lang w:val="en-GB"/>
        </w:rPr>
      </w:pPr>
      <w:r w:rsidRPr="008A58A8">
        <w:rPr>
          <w:lang w:val="en-GB"/>
        </w:rPr>
        <w:t>26.6</w:t>
      </w:r>
      <w:r w:rsidRPr="008A58A8">
        <w:rPr>
          <w:lang w:val="en-GB"/>
        </w:rPr>
        <w:tab/>
      </w:r>
      <w:r w:rsidR="007575D0" w:rsidRPr="008A58A8">
        <w:rPr>
          <w:lang w:val="en-GB"/>
        </w:rPr>
        <w:t>Several councillors wished to learn more about the financial implications of implementation of the proposals. Information was requested on the estimated savings, the benefit accruing to ITU and to the host country, the residual costs for ITU and whether a country could provide its own cost-reduction strategies for a specific event.</w:t>
      </w:r>
    </w:p>
    <w:p w14:paraId="355A7BB7" w14:textId="4B2B0D7C" w:rsidR="000A1BC7" w:rsidRPr="008A58A8" w:rsidRDefault="00473C7B" w:rsidP="146C460A">
      <w:pPr>
        <w:spacing w:line="259" w:lineRule="auto"/>
        <w:rPr>
          <w:rFonts w:eastAsia="Calibri" w:cs="Calibri"/>
          <w:lang w:val="en-GB"/>
        </w:rPr>
      </w:pPr>
      <w:r w:rsidRPr="008A58A8">
        <w:rPr>
          <w:lang w:val="en-GB"/>
        </w:rPr>
        <w:t>26.7</w:t>
      </w:r>
      <w:r w:rsidRPr="00C8562D">
        <w:rPr>
          <w:lang w:val="en-GB"/>
        </w:rPr>
        <w:tab/>
      </w:r>
      <w:r w:rsidR="007575D0" w:rsidRPr="008A58A8">
        <w:rPr>
          <w:lang w:val="en-GB"/>
        </w:rPr>
        <w:t xml:space="preserve">The representative of the General Secretariat, noting councillors’ broad support for the use of local interpreters and RSI services, said that the Circular Letter (CL-26/11) that had been sent to Member States and regional telecommunication organizations had been intended to source interpreters of a suitable standard. She noted that the issues addressed in the proposals had been identified by the Council and CWG-FHR; additional opportunities to reduce costs were </w:t>
      </w:r>
      <w:proofErr w:type="gramStart"/>
      <w:r w:rsidR="34577D6F" w:rsidRPr="7805C163">
        <w:rPr>
          <w:lang w:val="en-GB"/>
        </w:rPr>
        <w:t>taken into account</w:t>
      </w:r>
      <w:proofErr w:type="gramEnd"/>
      <w:r w:rsidR="34577D6F" w:rsidRPr="7805C163">
        <w:rPr>
          <w:lang w:val="en-GB"/>
        </w:rPr>
        <w:t xml:space="preserve"> where possible and</w:t>
      </w:r>
      <w:r w:rsidR="007575D0" w:rsidRPr="7805C163">
        <w:rPr>
          <w:lang w:val="en-GB"/>
        </w:rPr>
        <w:t xml:space="preserve"> </w:t>
      </w:r>
      <w:r w:rsidR="59DFC88D" w:rsidRPr="7805C163">
        <w:rPr>
          <w:lang w:val="en-GB"/>
        </w:rPr>
        <w:t xml:space="preserve">new proposals </w:t>
      </w:r>
      <w:r w:rsidR="007575D0" w:rsidRPr="7805C163">
        <w:rPr>
          <w:lang w:val="en-GB"/>
        </w:rPr>
        <w:t xml:space="preserve">were </w:t>
      </w:r>
      <w:r w:rsidR="007575D0" w:rsidRPr="008A58A8">
        <w:rPr>
          <w:lang w:val="en-GB"/>
        </w:rPr>
        <w:t xml:space="preserve">always welcomed and could be discussed by councillors. She highlighted that the use of RSI would not simply displace costs, noting that it resulted in savings of 20-25 per cent </w:t>
      </w:r>
      <w:r w:rsidR="03B43CAB" w:rsidRPr="7805C163">
        <w:rPr>
          <w:lang w:val="en-GB"/>
        </w:rPr>
        <w:t xml:space="preserve">per event </w:t>
      </w:r>
      <w:r w:rsidR="007575D0" w:rsidRPr="008A58A8">
        <w:rPr>
          <w:lang w:val="en-GB"/>
        </w:rPr>
        <w:t>compared to the use of on-site interpreters, not including reduced travel costs. Additional assessment and further information on costs could be provided in the follow-up report to the 2027 session of the Council.</w:t>
      </w:r>
      <w:r w:rsidR="000A1BC7" w:rsidRPr="00012BD0">
        <w:rPr>
          <w:rFonts w:eastAsia="Calibri" w:cs="Calibri"/>
          <w:lang w:val="en-GB"/>
        </w:rPr>
        <w:t xml:space="preserve"> </w:t>
      </w:r>
    </w:p>
    <w:p w14:paraId="6B48DBFE" w14:textId="6BADE20D" w:rsidR="000A1BC7" w:rsidRPr="00EA5615" w:rsidRDefault="000A1BC7" w:rsidP="000A1BC7">
      <w:pPr>
        <w:spacing w:line="259" w:lineRule="auto"/>
        <w:rPr>
          <w:rFonts w:eastAsia="Calibri" w:cs="Calibri"/>
          <w:szCs w:val="24"/>
          <w:lang w:val="en-GB"/>
        </w:rPr>
      </w:pPr>
      <w:r w:rsidRPr="00EA5615">
        <w:rPr>
          <w:rFonts w:eastAsia="Calibri" w:cs="Calibri"/>
          <w:spacing w:val="-4"/>
          <w:szCs w:val="24"/>
          <w:lang w:val="en-GB"/>
        </w:rPr>
        <w:t>2</w:t>
      </w:r>
      <w:r w:rsidR="004C77D0">
        <w:rPr>
          <w:rFonts w:eastAsia="Calibri" w:cs="Calibri"/>
          <w:spacing w:val="-4"/>
          <w:szCs w:val="24"/>
          <w:lang w:val="en-GB"/>
        </w:rPr>
        <w:t>6</w:t>
      </w:r>
      <w:r w:rsidRPr="00EA5615">
        <w:rPr>
          <w:rFonts w:eastAsia="Calibri" w:cs="Calibri"/>
          <w:spacing w:val="-4"/>
          <w:szCs w:val="24"/>
          <w:lang w:val="en-GB"/>
        </w:rPr>
        <w:t>.</w:t>
      </w:r>
      <w:r w:rsidR="00473C7B" w:rsidRPr="008A58A8">
        <w:rPr>
          <w:rFonts w:eastAsia="Calibri" w:cs="Calibri"/>
          <w:spacing w:val="-4"/>
          <w:szCs w:val="24"/>
          <w:lang w:val="en-GB"/>
        </w:rPr>
        <w:t>8</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1E7EE126" w14:textId="701C76E1" w:rsidR="002775D5" w:rsidRDefault="000A1BC7" w:rsidP="000A1BC7">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A5615">
        <w:rPr>
          <w:rFonts w:eastAsia="Calibri" w:cs="Calibri"/>
          <w:szCs w:val="24"/>
          <w:lang w:val="en-GB"/>
        </w:rPr>
        <w:t>2</w:t>
      </w:r>
      <w:r w:rsidR="004C77D0">
        <w:rPr>
          <w:rFonts w:eastAsia="Calibri" w:cs="Calibri"/>
          <w:szCs w:val="24"/>
          <w:lang w:val="en-GB"/>
        </w:rPr>
        <w:t>6</w:t>
      </w:r>
      <w:r w:rsidRPr="00EA5615">
        <w:rPr>
          <w:rFonts w:eastAsia="Calibri" w:cs="Calibri"/>
          <w:szCs w:val="24"/>
          <w:lang w:val="en-GB"/>
        </w:rPr>
        <w:t>.</w:t>
      </w:r>
      <w:r w:rsidR="00473C7B" w:rsidRPr="008A58A8">
        <w:rPr>
          <w:rFonts w:eastAsia="Calibri" w:cs="Calibri"/>
          <w:szCs w:val="24"/>
          <w:lang w:val="en-GB"/>
        </w:rPr>
        <w:t>9</w:t>
      </w:r>
      <w:r w:rsidRPr="00EA5615">
        <w:rPr>
          <w:lang w:val="en-GB"/>
        </w:rPr>
        <w:tab/>
        <w:t>The committee recommends that the Council:</w:t>
      </w:r>
    </w:p>
    <w:p w14:paraId="652C882C" w14:textId="1490CE14" w:rsidR="000A1BC7" w:rsidRDefault="000A1BC7" w:rsidP="00C44A2E">
      <w:pPr>
        <w:keepNext/>
        <w:keepLines/>
        <w:pBdr>
          <w:top w:val="single" w:sz="4" w:space="4" w:color="000000"/>
          <w:left w:val="single" w:sz="4" w:space="4" w:color="000000"/>
          <w:bottom w:val="single" w:sz="4" w:space="4" w:color="000000"/>
          <w:right w:val="single" w:sz="4" w:space="4" w:color="000000"/>
        </w:pBdr>
        <w:spacing w:before="80" w:line="259" w:lineRule="auto"/>
        <w:rPr>
          <w:lang w:val="en-GB"/>
        </w:rPr>
      </w:pPr>
      <w:r w:rsidRPr="00EA5615">
        <w:rPr>
          <w:lang w:val="en-GB"/>
        </w:rPr>
        <w:t>•</w:t>
      </w:r>
      <w:r w:rsidRPr="00EA5615">
        <w:rPr>
          <w:lang w:val="en-GB"/>
        </w:rPr>
        <w:tab/>
      </w:r>
      <w:r w:rsidR="00473C7B" w:rsidRPr="008A58A8">
        <w:rPr>
          <w:lang w:val="en-GB"/>
        </w:rPr>
        <w:t>note</w:t>
      </w:r>
      <w:r w:rsidR="00473C7B">
        <w:rPr>
          <w:lang w:val="en-GB"/>
        </w:rPr>
        <w:t xml:space="preserve"> the report contained in Document </w:t>
      </w:r>
      <w:hyperlink r:id="rId101" w:history="1">
        <w:r w:rsidR="00473C7B" w:rsidRPr="002775D5">
          <w:rPr>
            <w:rStyle w:val="Hyperlink"/>
            <w:rFonts w:cs="Times New Roman"/>
            <w:szCs w:val="20"/>
            <w:lang w:val="en-GB"/>
          </w:rPr>
          <w:t>C26/71</w:t>
        </w:r>
      </w:hyperlink>
      <w:r w:rsidR="005D1EF9">
        <w:rPr>
          <w:lang w:val="en-GB"/>
        </w:rPr>
        <w:t>; and</w:t>
      </w:r>
    </w:p>
    <w:p w14:paraId="42863093" w14:textId="2D4395A3" w:rsidR="005D1EF9" w:rsidRPr="00EA5615" w:rsidRDefault="005D1EF9"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Pr>
          <w:lang w:val="en-GB"/>
        </w:rPr>
        <w:t xml:space="preserve">instruct the secretariat to provide an additional </w:t>
      </w:r>
      <w:r w:rsidRPr="008A58A8">
        <w:rPr>
          <w:lang w:val="en-GB"/>
        </w:rPr>
        <w:t>assessment and further information on costs in the follow-up report to the 2027 session of the Council</w:t>
      </w:r>
      <w:r>
        <w:rPr>
          <w:lang w:val="en-GB"/>
        </w:rPr>
        <w:t>.</w:t>
      </w:r>
    </w:p>
    <w:p w14:paraId="01AEB273" w14:textId="79C7DE8A" w:rsidR="009F00ED" w:rsidRPr="00EA5615" w:rsidRDefault="00E47257" w:rsidP="009F00ED">
      <w:pPr>
        <w:pStyle w:val="Heading1"/>
        <w:rPr>
          <w:lang w:val="en-GB"/>
        </w:rPr>
      </w:pPr>
      <w:r w:rsidRPr="00EA5615">
        <w:rPr>
          <w:lang w:val="en-GB"/>
        </w:rPr>
        <w:t>2</w:t>
      </w:r>
      <w:r w:rsidR="004C77D0">
        <w:rPr>
          <w:lang w:val="en-GB"/>
        </w:rPr>
        <w:t>7</w:t>
      </w:r>
      <w:r w:rsidR="009F00ED" w:rsidRPr="00EA5615">
        <w:rPr>
          <w:bCs/>
          <w:lang w:val="en-GB"/>
        </w:rPr>
        <w:tab/>
      </w:r>
      <w:r w:rsidR="009F00ED" w:rsidRPr="00EA5615">
        <w:rPr>
          <w:lang w:val="en-GB"/>
        </w:rPr>
        <w:t>Report from the Ethics Office (Document</w:t>
      </w:r>
      <w:r w:rsidR="006757F0">
        <w:rPr>
          <w:lang w:val="en-GB"/>
        </w:rPr>
        <w:t>s</w:t>
      </w:r>
      <w:r w:rsidR="009F00ED" w:rsidRPr="00EA5615">
        <w:rPr>
          <w:lang w:val="en-GB"/>
        </w:rPr>
        <w:t xml:space="preserve"> </w:t>
      </w:r>
      <w:hyperlink r:id="rId102" w:history="1">
        <w:r w:rsidR="009F00ED" w:rsidRPr="00EA5615">
          <w:rPr>
            <w:bCs/>
            <w:color w:val="4F81BD" w:themeColor="accent1"/>
            <w:szCs w:val="22"/>
            <w:u w:val="single"/>
            <w:lang w:val="en-GB"/>
          </w:rPr>
          <w:t>C26/14</w:t>
        </w:r>
      </w:hyperlink>
      <w:r w:rsidR="008E7B98" w:rsidRPr="006757F0">
        <w:rPr>
          <w:lang w:val="en-GB"/>
        </w:rPr>
        <w:t xml:space="preserve"> </w:t>
      </w:r>
      <w:r w:rsidR="006757F0">
        <w:rPr>
          <w:lang w:val="en-GB"/>
        </w:rPr>
        <w:t>and</w:t>
      </w:r>
      <w:r w:rsidR="008E7B98">
        <w:rPr>
          <w:lang w:val="en-GB"/>
        </w:rPr>
        <w:t xml:space="preserve"> </w:t>
      </w:r>
      <w:hyperlink r:id="rId103" w:history="1">
        <w:r w:rsidR="008E7B98" w:rsidRPr="004959EF">
          <w:rPr>
            <w:rStyle w:val="Hyperlink"/>
            <w:rFonts w:cs="Times New Roman"/>
            <w:szCs w:val="20"/>
            <w:lang w:val="en-GB"/>
          </w:rPr>
          <w:t>C26/INF/27</w:t>
        </w:r>
      </w:hyperlink>
      <w:r w:rsidR="009F00ED" w:rsidRPr="00EA5615">
        <w:rPr>
          <w:lang w:val="en-GB"/>
        </w:rPr>
        <w:t>)</w:t>
      </w:r>
    </w:p>
    <w:p w14:paraId="30CF3F08" w14:textId="43456CDA" w:rsidR="007E107E" w:rsidRPr="009B361F" w:rsidRDefault="0062012F" w:rsidP="007E107E">
      <w:pPr>
        <w:rPr>
          <w:lang w:val="en-GB"/>
        </w:rPr>
      </w:pPr>
      <w:r w:rsidRPr="00B34D3C">
        <w:rPr>
          <w:rFonts w:eastAsia="Calibri" w:cs="Calibri"/>
          <w:lang w:val="en-GB"/>
        </w:rPr>
        <w:t>2</w:t>
      </w:r>
      <w:r w:rsidR="004C77D0" w:rsidRPr="00B34D3C">
        <w:rPr>
          <w:rFonts w:eastAsia="Calibri" w:cs="Calibri"/>
          <w:lang w:val="en-GB"/>
        </w:rPr>
        <w:t>7</w:t>
      </w:r>
      <w:r w:rsidRPr="00B34D3C">
        <w:rPr>
          <w:rFonts w:eastAsia="Calibri" w:cs="Calibri"/>
          <w:lang w:val="en-GB"/>
        </w:rPr>
        <w:t>.1</w:t>
      </w:r>
      <w:r w:rsidRPr="00B34D3C">
        <w:rPr>
          <w:lang w:val="en-GB"/>
        </w:rPr>
        <w:tab/>
      </w:r>
      <w:r w:rsidR="007E107E" w:rsidRPr="009B361F">
        <w:rPr>
          <w:lang w:val="en-GB"/>
        </w:rPr>
        <w:t xml:space="preserve">The Senior Ethics Officer of the United Nations Ethics Office (UNEO) introduced Document C26/14 and drew attention to the additional information contained in Document C26/INF/27. She reaffirmed that the ITU Ethics Office was committed to preserving the independence of its function and the integrity of its mandate. It reported regularly on the status of Ethics Office activities to the ITU Secretary-General and annually to the Council and provided IMAC with periodic information on the discharge of the ethics function. </w:t>
      </w:r>
      <w:r w:rsidR="00D402C7" w:rsidRPr="00B34D3C">
        <w:rPr>
          <w:lang w:val="en-GB"/>
        </w:rPr>
        <w:t>The Ethics Office continued to provide ethics advice and guidance to ITU personnel on a wide range of ethics-related matters, including those concerning institutional integrity, conflicts of interest, outside activities, and employment-related issues, among others.</w:t>
      </w:r>
      <w:r w:rsidR="00D402C7">
        <w:rPr>
          <w:lang w:val="en-GB"/>
        </w:rPr>
        <w:t xml:space="preserve"> </w:t>
      </w:r>
      <w:r w:rsidR="007E107E" w:rsidRPr="009B361F">
        <w:rPr>
          <w:lang w:val="en-GB"/>
        </w:rPr>
        <w:t xml:space="preserve">Further to the information provided on strengthening the Union’s regulatory framework, she reported that, </w:t>
      </w:r>
      <w:r w:rsidR="00585AEA">
        <w:rPr>
          <w:lang w:val="en-GB"/>
        </w:rPr>
        <w:t>f</w:t>
      </w:r>
      <w:r w:rsidR="00585AEA" w:rsidRPr="00283638">
        <w:rPr>
          <w:lang w:val="en-GB"/>
        </w:rPr>
        <w:t>or 2025, review of submitted declarations of interest was completed by September 2025</w:t>
      </w:r>
      <w:r w:rsidR="00685FE9">
        <w:rPr>
          <w:lang w:val="en-GB"/>
        </w:rPr>
        <w:t xml:space="preserve">. </w:t>
      </w:r>
      <w:r w:rsidR="00CC2924" w:rsidRPr="00283638">
        <w:rPr>
          <w:lang w:val="en-GB"/>
        </w:rPr>
        <w:t>Robust preparation took place in the fourth quarter of 2025 to maximize increased compliance with the 2026 exercise,</w:t>
      </w:r>
      <w:r w:rsidR="003A7270">
        <w:rPr>
          <w:lang w:val="en-GB"/>
        </w:rPr>
        <w:t xml:space="preserve"> which</w:t>
      </w:r>
      <w:r w:rsidR="00CC2924" w:rsidRPr="00283638">
        <w:rPr>
          <w:lang w:val="en-GB"/>
        </w:rPr>
        <w:t xml:space="preserve"> </w:t>
      </w:r>
      <w:r w:rsidR="00464FA3">
        <w:rPr>
          <w:lang w:val="en-GB"/>
        </w:rPr>
        <w:t xml:space="preserve">had </w:t>
      </w:r>
      <w:r w:rsidR="00CC2924" w:rsidRPr="00283638">
        <w:rPr>
          <w:lang w:val="en-GB"/>
        </w:rPr>
        <w:t xml:space="preserve">reached </w:t>
      </w:r>
      <w:r w:rsidR="00464FA3">
        <w:rPr>
          <w:lang w:val="en-GB"/>
        </w:rPr>
        <w:t>100 per cent</w:t>
      </w:r>
      <w:r w:rsidR="00CC2924" w:rsidRPr="00283638">
        <w:rPr>
          <w:lang w:val="en-GB"/>
        </w:rPr>
        <w:t xml:space="preserve"> compliance</w:t>
      </w:r>
      <w:r w:rsidR="003A7270" w:rsidRPr="003A7270">
        <w:rPr>
          <w:lang w:val="en-GB"/>
        </w:rPr>
        <w:t xml:space="preserve"> </w:t>
      </w:r>
      <w:r w:rsidR="003A7270">
        <w:rPr>
          <w:lang w:val="en-GB"/>
        </w:rPr>
        <w:t>i</w:t>
      </w:r>
      <w:r w:rsidR="003A7270" w:rsidRPr="002D3A0D">
        <w:rPr>
          <w:lang w:val="en-GB"/>
        </w:rPr>
        <w:t>n February 2026</w:t>
      </w:r>
      <w:r w:rsidR="00CC2924" w:rsidRPr="00283638">
        <w:rPr>
          <w:lang w:val="en-GB"/>
        </w:rPr>
        <w:t>.</w:t>
      </w:r>
    </w:p>
    <w:p w14:paraId="19B1D346" w14:textId="730DE2AC" w:rsidR="007E107E" w:rsidRPr="009B361F" w:rsidRDefault="00C45408" w:rsidP="007E107E">
      <w:pPr>
        <w:rPr>
          <w:lang w:val="en-GB"/>
        </w:rPr>
      </w:pPr>
      <w:r w:rsidRPr="009B361F">
        <w:rPr>
          <w:lang w:val="en-GB"/>
        </w:rPr>
        <w:t>2</w:t>
      </w:r>
      <w:r>
        <w:rPr>
          <w:lang w:val="en-GB"/>
        </w:rPr>
        <w:t>7</w:t>
      </w:r>
      <w:r w:rsidR="007E107E" w:rsidRPr="009B361F">
        <w:rPr>
          <w:lang w:val="en-GB"/>
        </w:rPr>
        <w:t>.2</w:t>
      </w:r>
      <w:r w:rsidR="007E107E" w:rsidRPr="009B361F">
        <w:rPr>
          <w:lang w:val="en-GB"/>
        </w:rPr>
        <w:tab/>
        <w:t xml:space="preserve">Councillors generally welcomed the </w:t>
      </w:r>
      <w:r w:rsidR="004432E8">
        <w:rPr>
          <w:lang w:val="en-GB"/>
        </w:rPr>
        <w:t>s</w:t>
      </w:r>
      <w:r w:rsidR="004432E8" w:rsidRPr="009B361F">
        <w:rPr>
          <w:lang w:val="en-GB"/>
        </w:rPr>
        <w:t>ecretariat’s</w:t>
      </w:r>
      <w:r w:rsidR="007E107E" w:rsidRPr="009B361F">
        <w:rPr>
          <w:lang w:val="en-GB"/>
        </w:rPr>
        <w:t xml:space="preserve"> enhanced reporting on the ITU ethics function, which demonstrated responsiveness to Member State requests, JIU recommendations and United Nations reform principles, but some highlighted the need for data presented to be complete, in the interests of full transparency. The delay in publishing Document C26/INF/</w:t>
      </w:r>
      <w:r w:rsidR="00A94B46">
        <w:rPr>
          <w:lang w:val="en-GB"/>
        </w:rPr>
        <w:t>2</w:t>
      </w:r>
      <w:r w:rsidR="007E107E" w:rsidRPr="009B361F">
        <w:rPr>
          <w:lang w:val="en-GB"/>
        </w:rPr>
        <w:t>7 was regrettable. It was also suggested that information on the work of the Ethics Office should be more easily accessible on the Union’s website and that additional materials, such as the Office’s work plan for 2025, should be disseminated more widely.</w:t>
      </w:r>
    </w:p>
    <w:p w14:paraId="5602F534" w14:textId="76BDD2D2" w:rsidR="007E107E" w:rsidRPr="009B361F" w:rsidRDefault="00C45408" w:rsidP="007E107E">
      <w:pPr>
        <w:rPr>
          <w:lang w:val="en-GB"/>
        </w:rPr>
      </w:pPr>
      <w:r w:rsidRPr="009B361F">
        <w:rPr>
          <w:lang w:val="en-GB"/>
        </w:rPr>
        <w:t>2</w:t>
      </w:r>
      <w:r>
        <w:rPr>
          <w:lang w:val="en-GB"/>
        </w:rPr>
        <w:t>7</w:t>
      </w:r>
      <w:r w:rsidR="007E107E" w:rsidRPr="009B361F">
        <w:rPr>
          <w:lang w:val="en-GB"/>
        </w:rPr>
        <w:t>.3</w:t>
      </w:r>
      <w:r w:rsidR="007E107E" w:rsidRPr="009B361F">
        <w:rPr>
          <w:lang w:val="en-GB"/>
        </w:rPr>
        <w:tab/>
        <w:t>While the creation of an ITU Ethics Office had been a welcome development, concern was expressed at the turnover in key staff and the resultant lack of continuity in the drafting and presentation of reports. One councillor asked whether the newly appointed Ethics Officer would be recruited on a long-term basis. Another, observing that the Office’s commitment to independence should be couched in more absolute terms, asked where the Ethics Office was situated with respect to the “Three Lines of Defence” model formulated by the Institute of Internal Auditors and whether ethical risks formed part of the Union’s enterprise risk management framework.</w:t>
      </w:r>
    </w:p>
    <w:p w14:paraId="4A859E63" w14:textId="0F65D54B" w:rsidR="007E107E" w:rsidRPr="009B361F" w:rsidRDefault="00C45408" w:rsidP="007E107E">
      <w:pPr>
        <w:rPr>
          <w:lang w:val="en-GB"/>
        </w:rPr>
      </w:pPr>
      <w:r w:rsidRPr="009B361F">
        <w:rPr>
          <w:lang w:val="en-GB"/>
        </w:rPr>
        <w:t>2</w:t>
      </w:r>
      <w:r>
        <w:rPr>
          <w:lang w:val="en-GB"/>
        </w:rPr>
        <w:t>7</w:t>
      </w:r>
      <w:r w:rsidR="007E107E" w:rsidRPr="009B361F">
        <w:rPr>
          <w:lang w:val="en-GB"/>
        </w:rPr>
        <w:t>.4</w:t>
      </w:r>
      <w:r w:rsidR="007E107E" w:rsidRPr="009B361F">
        <w:rPr>
          <w:lang w:val="en-GB"/>
        </w:rPr>
        <w:tab/>
        <w:t xml:space="preserve">Support was expressed for efforts to foster a corporate culture that promoted a safe, trustworthy and supportive workplace, where staff felt empowered to speak up in defence of ethical values and where ethics were embedded in day-to-day decision-making and organizational practice. The ethics function should form an integral part of broader ITU transformation activities. The reported rise in consultations was encouraging, as it indicated an increase in trust in the process among staff. One councillor, referring to the elections that would take place at PP-26, suggested that the applicable ethical guidelines should be strengthened to ensure clarity, consistency and proper compliance for all involved. Others emphasized the need to distinguish between whistleblowing, which was rightly covered by the Union’s policy on protection against retaliation, and the spreading of false information, spurious accusations or defaming material that could damage the reputation of the organization and its staff, and to establish clear responsibilities in respect of each. </w:t>
      </w:r>
    </w:p>
    <w:p w14:paraId="031A1549" w14:textId="1B436370" w:rsidR="007E107E" w:rsidRPr="009B361F" w:rsidRDefault="00C45408" w:rsidP="007E107E">
      <w:pPr>
        <w:rPr>
          <w:lang w:val="en-GB"/>
        </w:rPr>
      </w:pPr>
      <w:r w:rsidRPr="009B361F">
        <w:rPr>
          <w:lang w:val="en-GB"/>
        </w:rPr>
        <w:t>2</w:t>
      </w:r>
      <w:r>
        <w:rPr>
          <w:lang w:val="en-GB"/>
        </w:rPr>
        <w:t>7</w:t>
      </w:r>
      <w:r w:rsidR="007E107E" w:rsidRPr="009B361F">
        <w:rPr>
          <w:lang w:val="en-GB"/>
        </w:rPr>
        <w:t>.5</w:t>
      </w:r>
      <w:r w:rsidR="007E107E" w:rsidRPr="009B361F">
        <w:rPr>
          <w:lang w:val="en-GB"/>
        </w:rPr>
        <w:tab/>
        <w:t xml:space="preserve">One councillor requested the secretariat to share the results of surveys administered under the auspices of the United Nations System Chief Executives Board for Coordination (CEB) taskforce on addressing sexual harassment and asked which recommendations from the 2025 JIU review of policies and practices to prevent and respond to sexual exploitation and abuse in United Nations system organizations (JIU/REP/2025/2) had not been incorporated into the </w:t>
      </w:r>
      <w:r w:rsidR="00B80D17">
        <w:rPr>
          <w:lang w:val="en-GB"/>
        </w:rPr>
        <w:t>s</w:t>
      </w:r>
      <w:r w:rsidR="007E107E" w:rsidRPr="009B361F">
        <w:rPr>
          <w:lang w:val="en-GB"/>
        </w:rPr>
        <w:t xml:space="preserve">ecretariat’s draft policy on the prevention of sexual exploitation and abuse (PSEA). The </w:t>
      </w:r>
      <w:r w:rsidR="00B80D17">
        <w:rPr>
          <w:lang w:val="en-GB"/>
        </w:rPr>
        <w:t>s</w:t>
      </w:r>
      <w:r w:rsidR="007E107E" w:rsidRPr="009B361F">
        <w:rPr>
          <w:lang w:val="en-GB"/>
        </w:rPr>
        <w:t>ecretariat should share the PSEA Action Plan with Member States, make PSEA training mandatory, and hold staff accountable for compliance. The same councillor enquired about rates of completion of mandatory ethics and integrity training, which appeared unacceptably low, especially among senior staff, asked how the secretariat would enforce accountability and sought clarification on the nature of ethics consultations. Another requested further information on the difference between declarations of outside activities and declarations of interest.</w:t>
      </w:r>
    </w:p>
    <w:p w14:paraId="1AAF326A" w14:textId="105A9283" w:rsidR="007E107E" w:rsidRPr="009B361F" w:rsidRDefault="00C45408" w:rsidP="007E107E">
      <w:pPr>
        <w:rPr>
          <w:lang w:val="en-GB"/>
        </w:rPr>
      </w:pPr>
      <w:r w:rsidRPr="009B361F">
        <w:rPr>
          <w:lang w:val="en-GB"/>
        </w:rPr>
        <w:t>2</w:t>
      </w:r>
      <w:r>
        <w:rPr>
          <w:lang w:val="en-GB"/>
        </w:rPr>
        <w:t>7</w:t>
      </w:r>
      <w:r w:rsidR="007E107E" w:rsidRPr="009B361F">
        <w:rPr>
          <w:lang w:val="en-GB"/>
        </w:rPr>
        <w:t>.6</w:t>
      </w:r>
      <w:r w:rsidR="007E107E" w:rsidRPr="00D47BEA">
        <w:rPr>
          <w:lang w:val="en-GB"/>
        </w:rPr>
        <w:tab/>
      </w:r>
      <w:r w:rsidR="007E107E" w:rsidRPr="009B361F">
        <w:rPr>
          <w:lang w:val="en-GB"/>
        </w:rPr>
        <w:t xml:space="preserve">The Senior Ethics Officer of UNEO, responding to comments, said that the </w:t>
      </w:r>
      <w:r w:rsidR="00737D84">
        <w:rPr>
          <w:lang w:val="en-GB"/>
        </w:rPr>
        <w:t>C</w:t>
      </w:r>
      <w:r w:rsidR="007E107E" w:rsidRPr="009B361F">
        <w:rPr>
          <w:lang w:val="en-GB"/>
        </w:rPr>
        <w:t xml:space="preserve">harter of the ITU Ethics Office set out its mission and the principles by which it operated in clear terms that were fully in line with JIU recommendations and demonstrated management commitment to respecting </w:t>
      </w:r>
      <w:r w:rsidR="003A6FD5">
        <w:rPr>
          <w:lang w:val="en-GB"/>
        </w:rPr>
        <w:t>the</w:t>
      </w:r>
      <w:r w:rsidR="003A6FD5" w:rsidRPr="009B361F">
        <w:rPr>
          <w:lang w:val="en-GB"/>
        </w:rPr>
        <w:t xml:space="preserve"> </w:t>
      </w:r>
      <w:r w:rsidR="007E107E" w:rsidRPr="009B361F">
        <w:rPr>
          <w:lang w:val="en-GB"/>
        </w:rPr>
        <w:t>independence</w:t>
      </w:r>
      <w:r w:rsidR="003A6FD5">
        <w:rPr>
          <w:lang w:val="en-GB"/>
        </w:rPr>
        <w:t xml:space="preserve"> of the Ethics Office</w:t>
      </w:r>
      <w:r w:rsidR="007E107E" w:rsidRPr="009B361F">
        <w:rPr>
          <w:lang w:val="en-GB"/>
        </w:rPr>
        <w:t xml:space="preserve">. The </w:t>
      </w:r>
      <w:r w:rsidR="00CE2FA0">
        <w:rPr>
          <w:lang w:val="en-GB"/>
        </w:rPr>
        <w:t xml:space="preserve">Ethics </w:t>
      </w:r>
      <w:r w:rsidR="007E107E" w:rsidRPr="009B361F">
        <w:rPr>
          <w:lang w:val="en-GB"/>
        </w:rPr>
        <w:t xml:space="preserve">Office performed its functions without interference from </w:t>
      </w:r>
      <w:r w:rsidR="5170CFD7" w:rsidRPr="00C44A2E">
        <w:rPr>
          <w:rFonts w:eastAsia="Calibri" w:cs="Calibri"/>
          <w:szCs w:val="24"/>
          <w:lang w:val="en-GB"/>
        </w:rPr>
        <w:t>any other part of the Organization</w:t>
      </w:r>
      <w:r w:rsidR="007E107E" w:rsidRPr="1063510F">
        <w:rPr>
          <w:lang w:val="en-GB"/>
        </w:rPr>
        <w:t>.</w:t>
      </w:r>
      <w:r w:rsidR="007E107E" w:rsidRPr="009B361F">
        <w:rPr>
          <w:lang w:val="en-GB"/>
        </w:rPr>
        <w:t xml:space="preserve"> Staff were provided with guidance and advice on ethical issues, including declaring outside activities, to ensure that potential conflicts of interest or reputational risks to the organization could be detected and managed.</w:t>
      </w:r>
    </w:p>
    <w:p w14:paraId="08DCF7D6" w14:textId="2D77790D" w:rsidR="0062012F" w:rsidRPr="009B361F" w:rsidRDefault="00C45408" w:rsidP="5233AF30">
      <w:pPr>
        <w:spacing w:line="259" w:lineRule="auto"/>
        <w:rPr>
          <w:rFonts w:eastAsia="Calibri" w:cs="Calibri"/>
          <w:lang w:val="en-GB"/>
        </w:rPr>
      </w:pPr>
      <w:r w:rsidRPr="5233AF30">
        <w:rPr>
          <w:lang w:val="en-GB"/>
        </w:rPr>
        <w:t>27</w:t>
      </w:r>
      <w:r w:rsidR="007E107E" w:rsidRPr="5233AF30">
        <w:rPr>
          <w:lang w:val="en-GB"/>
        </w:rPr>
        <w:t>.7</w:t>
      </w:r>
      <w:r w:rsidR="007E107E" w:rsidRPr="00D10B10">
        <w:rPr>
          <w:lang w:val="en-GB"/>
        </w:rPr>
        <w:tab/>
      </w:r>
      <w:r w:rsidR="007E107E" w:rsidRPr="5233AF30">
        <w:rPr>
          <w:lang w:val="en-GB"/>
        </w:rPr>
        <w:t xml:space="preserve">The Chief of HRMD added that the new Ethics Officer was expected to be appointed in June 2026 on a fixed-term contract and that the Ethics Office would be consistently staffed for the foreseeable future. The overall completion rate for mandatory staff ethics and integrity training had </w:t>
      </w:r>
      <w:proofErr w:type="gramStart"/>
      <w:r w:rsidR="007E107E" w:rsidRPr="5233AF30">
        <w:rPr>
          <w:lang w:val="en-GB"/>
        </w:rPr>
        <w:t>risen  to</w:t>
      </w:r>
      <w:proofErr w:type="gramEnd"/>
      <w:r w:rsidR="007E107E" w:rsidRPr="5233AF30">
        <w:rPr>
          <w:lang w:val="en-GB"/>
        </w:rPr>
        <w:t xml:space="preserve"> 61 per cent across the entire workforce but was prone to fluctuation. </w:t>
      </w:r>
      <w:proofErr w:type="gramStart"/>
      <w:r w:rsidR="007E107E" w:rsidRPr="5233AF30">
        <w:rPr>
          <w:lang w:val="en-GB"/>
        </w:rPr>
        <w:t xml:space="preserve">All </w:t>
      </w:r>
      <w:r w:rsidR="1FDFF920" w:rsidRPr="5233AF30">
        <w:rPr>
          <w:rFonts w:eastAsia="Calibri" w:cs="Calibri"/>
          <w:szCs w:val="24"/>
          <w:lang w:val="en-GB"/>
        </w:rPr>
        <w:t xml:space="preserve"> employees</w:t>
      </w:r>
      <w:proofErr w:type="gramEnd"/>
      <w:r w:rsidR="007E107E" w:rsidRPr="5233AF30">
        <w:rPr>
          <w:lang w:val="en-GB"/>
        </w:rPr>
        <w:t xml:space="preserve"> must complete the training within three months of starting work, regardless of contract type. Compliance was promoted through awareness-raising campaigns, targeted communications and regular reminders, monitored in close collaboration </w:t>
      </w:r>
      <w:proofErr w:type="gramStart"/>
      <w:r w:rsidR="007E107E" w:rsidRPr="5233AF30">
        <w:rPr>
          <w:lang w:val="en-GB"/>
        </w:rPr>
        <w:t xml:space="preserve">with </w:t>
      </w:r>
      <w:r w:rsidR="0B3F2A64" w:rsidRPr="5233AF30">
        <w:rPr>
          <w:lang w:val="en-GB"/>
        </w:rPr>
        <w:t xml:space="preserve"> HR</w:t>
      </w:r>
      <w:proofErr w:type="gramEnd"/>
      <w:r w:rsidR="0B3F2A64" w:rsidRPr="5233AF30">
        <w:rPr>
          <w:lang w:val="en-GB"/>
        </w:rPr>
        <w:t xml:space="preserve"> Focal Points</w:t>
      </w:r>
      <w:r w:rsidR="007E107E" w:rsidRPr="5233AF30">
        <w:rPr>
          <w:lang w:val="en-GB"/>
        </w:rPr>
        <w:t xml:space="preserve">, and linked to the performance management process. The secretariat planned to strengthen enforcement through contract management, whereby no contract would be extended unless mandatory training had been completed. With regard to PSEA, the one JIU recommendation that had not been incorporated into the Union’s draft policy related to merging the Union’s sexual harassment and PSEA policies. For the time being, the </w:t>
      </w:r>
      <w:r w:rsidR="00EB48E5" w:rsidRPr="5233AF30">
        <w:rPr>
          <w:lang w:val="en-GB"/>
        </w:rPr>
        <w:t>secretariat</w:t>
      </w:r>
      <w:r w:rsidR="007E107E" w:rsidRPr="5233AF30">
        <w:rPr>
          <w:lang w:val="en-GB"/>
        </w:rPr>
        <w:t xml:space="preserve"> considered it pragmatic to keep the two policies separate, but it remained committed to monitoring trends across the United Nations system. In line with the results of the survey on sexual harassment conducted by the CEB taskforce, internal processes had been streamlined and roles and responsibilities clarified through the relevant service orders to support more timely handling of cases. Accountability had been reinforced through clear delineation of responsibilities across relevant functions and strengthened oversight mechanisms, and a victim-centred approach had been embedded in policies and practices.</w:t>
      </w:r>
      <w:r w:rsidR="0062012F" w:rsidRPr="5233AF30">
        <w:rPr>
          <w:rFonts w:eastAsia="Calibri" w:cs="Calibri"/>
          <w:lang w:val="en-GB"/>
        </w:rPr>
        <w:t xml:space="preserve"> </w:t>
      </w:r>
    </w:p>
    <w:p w14:paraId="201C8192" w14:textId="5B6BA311" w:rsidR="0062012F" w:rsidRPr="00EA5615" w:rsidRDefault="0062012F" w:rsidP="0062012F">
      <w:pPr>
        <w:spacing w:line="259" w:lineRule="auto"/>
        <w:rPr>
          <w:rFonts w:eastAsia="Calibri" w:cs="Calibri"/>
          <w:szCs w:val="24"/>
          <w:lang w:val="en-GB"/>
        </w:rPr>
      </w:pPr>
      <w:r w:rsidRPr="00EA5615">
        <w:rPr>
          <w:rFonts w:eastAsia="Calibri" w:cs="Calibri"/>
          <w:spacing w:val="-4"/>
          <w:szCs w:val="24"/>
          <w:lang w:val="en-GB"/>
        </w:rPr>
        <w:t>2</w:t>
      </w:r>
      <w:r w:rsidR="004C77D0">
        <w:rPr>
          <w:rFonts w:eastAsia="Calibri" w:cs="Calibri"/>
          <w:spacing w:val="-4"/>
          <w:szCs w:val="24"/>
          <w:lang w:val="en-GB"/>
        </w:rPr>
        <w:t>7</w:t>
      </w:r>
      <w:r w:rsidRPr="00EA5615">
        <w:rPr>
          <w:rFonts w:eastAsia="Calibri" w:cs="Calibri"/>
          <w:spacing w:val="-4"/>
          <w:szCs w:val="24"/>
          <w:lang w:val="en-GB"/>
        </w:rPr>
        <w:t>.</w:t>
      </w:r>
      <w:r w:rsidR="00C45408">
        <w:rPr>
          <w:rFonts w:eastAsia="Calibri" w:cs="Calibri"/>
          <w:spacing w:val="-4"/>
          <w:szCs w:val="24"/>
          <w:lang w:val="en-GB"/>
        </w:rPr>
        <w:t>8</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2D770FA5" w14:textId="13D47D70" w:rsidR="002775D5" w:rsidRDefault="0062012F" w:rsidP="0062012F">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A5615">
        <w:rPr>
          <w:rFonts w:eastAsia="Calibri" w:cs="Calibri"/>
          <w:szCs w:val="24"/>
          <w:lang w:val="en-GB"/>
        </w:rPr>
        <w:t>2</w:t>
      </w:r>
      <w:r w:rsidR="004C77D0">
        <w:rPr>
          <w:rFonts w:eastAsia="Calibri" w:cs="Calibri"/>
          <w:szCs w:val="24"/>
          <w:lang w:val="en-GB"/>
        </w:rPr>
        <w:t>7</w:t>
      </w:r>
      <w:r w:rsidRPr="00EA5615">
        <w:rPr>
          <w:rFonts w:eastAsia="Calibri" w:cs="Calibri"/>
          <w:szCs w:val="24"/>
          <w:lang w:val="en-GB"/>
        </w:rPr>
        <w:t>.</w:t>
      </w:r>
      <w:r w:rsidR="00C45408">
        <w:rPr>
          <w:rFonts w:eastAsia="Calibri" w:cs="Calibri"/>
          <w:szCs w:val="24"/>
          <w:lang w:val="en-GB"/>
        </w:rPr>
        <w:t>9</w:t>
      </w:r>
      <w:r w:rsidRPr="00EA5615">
        <w:rPr>
          <w:lang w:val="en-GB"/>
        </w:rPr>
        <w:tab/>
        <w:t>The committee recommends that the Council:</w:t>
      </w:r>
    </w:p>
    <w:p w14:paraId="00A373B1" w14:textId="123E9987" w:rsidR="0062012F" w:rsidRDefault="0062012F" w:rsidP="00C44A2E">
      <w:pPr>
        <w:keepNext/>
        <w:keepLines/>
        <w:pBdr>
          <w:top w:val="single" w:sz="4" w:space="4" w:color="000000"/>
          <w:left w:val="single" w:sz="4" w:space="4" w:color="000000"/>
          <w:bottom w:val="single" w:sz="4" w:space="4" w:color="000000"/>
          <w:right w:val="single" w:sz="4" w:space="4" w:color="000000"/>
        </w:pBdr>
        <w:spacing w:before="80" w:line="259" w:lineRule="auto"/>
        <w:rPr>
          <w:rFonts w:cs="Calibri"/>
          <w:szCs w:val="24"/>
          <w:lang w:val="en-GB"/>
        </w:rPr>
      </w:pPr>
      <w:r w:rsidRPr="00EA5615">
        <w:rPr>
          <w:lang w:val="en-GB"/>
        </w:rPr>
        <w:t>•</w:t>
      </w:r>
      <w:r w:rsidRPr="00EA5615">
        <w:rPr>
          <w:lang w:val="en-GB"/>
        </w:rPr>
        <w:tab/>
      </w:r>
      <w:r w:rsidR="0062593E">
        <w:rPr>
          <w:lang w:val="en-GB"/>
        </w:rPr>
        <w:t>note the report contained in Document</w:t>
      </w:r>
      <w:r w:rsidR="0059457E">
        <w:rPr>
          <w:lang w:val="en-GB"/>
        </w:rPr>
        <w:t>s</w:t>
      </w:r>
      <w:r w:rsidR="0062593E">
        <w:rPr>
          <w:lang w:val="en-GB"/>
        </w:rPr>
        <w:t xml:space="preserve"> </w:t>
      </w:r>
      <w:hyperlink r:id="rId104" w:history="1">
        <w:r w:rsidR="0062593E" w:rsidRPr="008279F3">
          <w:rPr>
            <w:rStyle w:val="Hyperlink"/>
            <w:rFonts w:cs="Times New Roman"/>
            <w:szCs w:val="20"/>
            <w:lang w:val="en-GB"/>
          </w:rPr>
          <w:t>C26/14</w:t>
        </w:r>
      </w:hyperlink>
      <w:r w:rsidR="001E175F">
        <w:rPr>
          <w:rFonts w:cs="Calibri"/>
          <w:szCs w:val="24"/>
          <w:lang w:val="en-GB"/>
        </w:rPr>
        <w:t xml:space="preserve"> </w:t>
      </w:r>
      <w:r>
        <w:rPr>
          <w:rFonts w:cs="Calibri"/>
          <w:szCs w:val="24"/>
          <w:lang w:val="en-GB"/>
        </w:rPr>
        <w:t>and</w:t>
      </w:r>
      <w:r w:rsidR="001E175F">
        <w:rPr>
          <w:rFonts w:cs="Calibri"/>
          <w:szCs w:val="24"/>
          <w:lang w:val="en-GB"/>
        </w:rPr>
        <w:t xml:space="preserve"> </w:t>
      </w:r>
      <w:hyperlink r:id="rId105" w:history="1">
        <w:r w:rsidR="001E175F" w:rsidRPr="008279F3">
          <w:rPr>
            <w:rStyle w:val="Hyperlink"/>
            <w:rFonts w:cs="Calibri"/>
            <w:szCs w:val="24"/>
            <w:lang w:val="en-GB"/>
          </w:rPr>
          <w:t>C26/INF/27</w:t>
        </w:r>
      </w:hyperlink>
      <w:r w:rsidR="005D1EF9">
        <w:rPr>
          <w:rFonts w:cs="Calibri"/>
          <w:szCs w:val="24"/>
          <w:lang w:val="en-GB"/>
        </w:rPr>
        <w:t>; and</w:t>
      </w:r>
    </w:p>
    <w:p w14:paraId="2C1A8A33" w14:textId="599DBE0C" w:rsidR="005D1EF9" w:rsidRPr="00EA5615" w:rsidRDefault="005D1EF9"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Pr>
          <w:lang w:val="en-GB"/>
        </w:rPr>
        <w:t xml:space="preserve">instruct the secretariat to provide an updated report by 31 July 2026, with information requested during the Council discussions, as referenced in </w:t>
      </w:r>
      <w:r w:rsidR="00D0380A">
        <w:rPr>
          <w:lang w:val="en-GB"/>
        </w:rPr>
        <w:t>§ </w:t>
      </w:r>
      <w:r>
        <w:rPr>
          <w:lang w:val="en-GB"/>
        </w:rPr>
        <w:t>27.5</w:t>
      </w:r>
      <w:r w:rsidR="00D0380A">
        <w:rPr>
          <w:lang w:val="en-GB"/>
        </w:rPr>
        <w:t xml:space="preserve"> above</w:t>
      </w:r>
      <w:r>
        <w:rPr>
          <w:lang w:val="en-GB"/>
        </w:rPr>
        <w:t>.</w:t>
      </w:r>
    </w:p>
    <w:p w14:paraId="66191DA7" w14:textId="48707072" w:rsidR="00712C73" w:rsidRPr="00C44A2E" w:rsidRDefault="00E47257" w:rsidP="00205F4A">
      <w:pPr>
        <w:pStyle w:val="Heading1"/>
        <w:rPr>
          <w:szCs w:val="28"/>
          <w:lang w:val="en-GB"/>
        </w:rPr>
      </w:pPr>
      <w:r w:rsidRPr="00EA5615">
        <w:rPr>
          <w:bCs/>
          <w:lang w:val="en-GB"/>
        </w:rPr>
        <w:t>2</w:t>
      </w:r>
      <w:r w:rsidR="004C77D0">
        <w:rPr>
          <w:bCs/>
          <w:lang w:val="en-GB"/>
        </w:rPr>
        <w:t>8</w:t>
      </w:r>
      <w:r w:rsidR="00712C73" w:rsidRPr="00EA5615">
        <w:rPr>
          <w:bCs/>
          <w:lang w:val="en-GB"/>
        </w:rPr>
        <w:tab/>
      </w:r>
      <w:r w:rsidR="00712C73" w:rsidRPr="00EA5615">
        <w:rPr>
          <w:lang w:val="en-GB"/>
        </w:rPr>
        <w:t>Report from the Oversight Unit</w:t>
      </w:r>
      <w:r w:rsidR="007456F6">
        <w:rPr>
          <w:lang w:val="en-GB"/>
        </w:rPr>
        <w:t xml:space="preserve"> on the </w:t>
      </w:r>
      <w:r w:rsidR="007456F6" w:rsidRPr="00C44A2E">
        <w:rPr>
          <w:szCs w:val="28"/>
          <w:lang w:val="en-GB"/>
        </w:rPr>
        <w:t>i</w:t>
      </w:r>
      <w:r w:rsidR="00712C73" w:rsidRPr="00C44A2E">
        <w:rPr>
          <w:szCs w:val="28"/>
          <w:lang w:val="en-GB"/>
        </w:rPr>
        <w:t xml:space="preserve">nternal audit function (Document </w:t>
      </w:r>
      <w:hyperlink r:id="rId106">
        <w:r w:rsidR="00712C73" w:rsidRPr="00C44A2E">
          <w:rPr>
            <w:color w:val="4F81BD" w:themeColor="accent1"/>
            <w:szCs w:val="28"/>
            <w:u w:val="single"/>
            <w:lang w:val="en-GB"/>
          </w:rPr>
          <w:t>C26/44</w:t>
        </w:r>
      </w:hyperlink>
      <w:r w:rsidR="00712C73" w:rsidRPr="00C44A2E">
        <w:rPr>
          <w:szCs w:val="28"/>
          <w:lang w:val="en-GB"/>
        </w:rPr>
        <w:t>)</w:t>
      </w:r>
    </w:p>
    <w:p w14:paraId="48F9447A" w14:textId="5767427F" w:rsidR="00A142AC" w:rsidRDefault="00DC49C5" w:rsidP="00F62339">
      <w:pPr>
        <w:spacing w:line="259" w:lineRule="auto"/>
        <w:rPr>
          <w:rFonts w:eastAsia="Calibri" w:cs="Calibri"/>
          <w:lang w:val="en-GB"/>
        </w:rPr>
      </w:pPr>
      <w:r w:rsidRPr="00E05C53">
        <w:rPr>
          <w:rFonts w:eastAsia="Calibri" w:cs="Calibri"/>
          <w:lang w:val="en-GB"/>
        </w:rPr>
        <w:t>2</w:t>
      </w:r>
      <w:r>
        <w:rPr>
          <w:rFonts w:eastAsia="Calibri" w:cs="Calibri"/>
          <w:lang w:val="en-GB"/>
        </w:rPr>
        <w:t>8</w:t>
      </w:r>
      <w:r w:rsidRPr="00E05C53">
        <w:rPr>
          <w:rFonts w:eastAsia="Calibri" w:cs="Calibri"/>
          <w:lang w:val="en-GB"/>
        </w:rPr>
        <w:t>.1</w:t>
      </w:r>
      <w:r w:rsidRPr="00E05C53">
        <w:rPr>
          <w:lang w:val="en-GB"/>
        </w:rPr>
        <w:tab/>
      </w:r>
      <w:r w:rsidR="00F62339" w:rsidRPr="00F62339">
        <w:rPr>
          <w:rFonts w:eastAsia="Calibri" w:cs="Calibri"/>
          <w:lang w:val="en-GB"/>
        </w:rPr>
        <w:t>The Chief of the Oversight Unit presented the report in Document C26/44, which covered the internal audit activities of the Oversight Unit for the period April 2025 to February 2026. Those activities had included an audit of the Area Office for South-East Asia and an inspection of BDT travel arrangements</w:t>
      </w:r>
      <w:r w:rsidR="006828C7">
        <w:rPr>
          <w:rFonts w:eastAsia="Calibri" w:cs="Calibri"/>
          <w:lang w:val="en-GB"/>
        </w:rPr>
        <w:t>, with all</w:t>
      </w:r>
      <w:r w:rsidR="006828C7" w:rsidRPr="00F62339">
        <w:rPr>
          <w:rFonts w:eastAsia="Calibri" w:cs="Calibri"/>
          <w:lang w:val="en-GB"/>
        </w:rPr>
        <w:t xml:space="preserve"> </w:t>
      </w:r>
      <w:r w:rsidR="006828C7">
        <w:rPr>
          <w:rFonts w:eastAsia="Calibri" w:cs="Calibri"/>
          <w:lang w:val="en-GB"/>
        </w:rPr>
        <w:t>t</w:t>
      </w:r>
      <w:r w:rsidR="00354251">
        <w:rPr>
          <w:rFonts w:eastAsia="Calibri" w:cs="Calibri"/>
          <w:lang w:val="en-GB"/>
        </w:rPr>
        <w:t xml:space="preserve">he resulting recommendations </w:t>
      </w:r>
      <w:r w:rsidR="26E2E884" w:rsidRPr="141BE751">
        <w:rPr>
          <w:rFonts w:eastAsia="Calibri" w:cs="Calibri"/>
          <w:lang w:val="en-GB"/>
        </w:rPr>
        <w:t>for BDT</w:t>
      </w:r>
      <w:r w:rsidR="00354251" w:rsidRPr="2BA0D68B">
        <w:rPr>
          <w:rFonts w:eastAsia="Calibri" w:cs="Calibri"/>
          <w:lang w:val="en-GB"/>
        </w:rPr>
        <w:t xml:space="preserve"> </w:t>
      </w:r>
      <w:r w:rsidR="006828C7">
        <w:rPr>
          <w:rFonts w:eastAsia="Calibri" w:cs="Calibri"/>
          <w:lang w:val="en-GB"/>
        </w:rPr>
        <w:t>since implemented</w:t>
      </w:r>
      <w:r w:rsidR="00CC097D">
        <w:rPr>
          <w:rFonts w:eastAsia="Calibri" w:cs="Calibri"/>
          <w:lang w:val="en-GB"/>
        </w:rPr>
        <w:t>.</w:t>
      </w:r>
    </w:p>
    <w:p w14:paraId="13210FF5" w14:textId="03CDE699" w:rsidR="00F62339" w:rsidRPr="00F62339" w:rsidRDefault="00AA52EE" w:rsidP="00F62339">
      <w:pPr>
        <w:spacing w:line="259" w:lineRule="auto"/>
        <w:rPr>
          <w:rFonts w:eastAsia="Calibri" w:cs="Calibri"/>
          <w:lang w:val="en-GB"/>
        </w:rPr>
      </w:pPr>
      <w:r>
        <w:rPr>
          <w:rFonts w:eastAsia="Calibri" w:cs="Calibri"/>
          <w:lang w:val="en-GB"/>
        </w:rPr>
        <w:t xml:space="preserve">28.2 </w:t>
      </w:r>
      <w:r w:rsidR="00863F19">
        <w:rPr>
          <w:rFonts w:eastAsia="Calibri" w:cs="Calibri"/>
          <w:lang w:val="en-GB"/>
        </w:rPr>
        <w:t xml:space="preserve">In addition, </w:t>
      </w:r>
      <w:r w:rsidR="00F62339" w:rsidRPr="00F62339">
        <w:rPr>
          <w:rFonts w:eastAsia="Calibri" w:cs="Calibri"/>
          <w:lang w:val="en-GB"/>
        </w:rPr>
        <w:t xml:space="preserve">Document </w:t>
      </w:r>
      <w:hyperlink r:id="rId107" w:history="1">
        <w:r w:rsidR="00F62339" w:rsidRPr="2BA0D68B">
          <w:rPr>
            <w:rStyle w:val="Hyperlink"/>
            <w:rFonts w:eastAsia="Calibri" w:cs="Calibri"/>
            <w:lang w:val="en-GB"/>
          </w:rPr>
          <w:t>C26/INF/5</w:t>
        </w:r>
      </w:hyperlink>
      <w:r w:rsidR="00F62339" w:rsidRPr="00F62339">
        <w:rPr>
          <w:rFonts w:eastAsia="Calibri" w:cs="Calibri"/>
          <w:lang w:val="en-GB"/>
        </w:rPr>
        <w:t>, on follow-up of forensic audit and internal audit recommendations, had also been submitted for the Council’s information.</w:t>
      </w:r>
      <w:r w:rsidR="00CF311C">
        <w:rPr>
          <w:rFonts w:eastAsia="Calibri" w:cs="Calibri"/>
          <w:lang w:val="en-GB"/>
        </w:rPr>
        <w:t xml:space="preserve"> </w:t>
      </w:r>
      <w:r w:rsidR="00F62339" w:rsidRPr="00F62339">
        <w:rPr>
          <w:rFonts w:eastAsia="Calibri" w:cs="Calibri"/>
          <w:lang w:val="en-GB"/>
        </w:rPr>
        <w:t xml:space="preserve">Responding to questions and comments from councillors and an observer, she said that </w:t>
      </w:r>
      <w:r w:rsidR="00E552BA">
        <w:rPr>
          <w:rFonts w:eastAsia="Calibri" w:cs="Calibri"/>
          <w:lang w:val="en-GB"/>
        </w:rPr>
        <w:t xml:space="preserve">comments with respect to performance-based audits were duly noted. </w:t>
      </w:r>
      <w:r w:rsidR="00121306">
        <w:rPr>
          <w:rFonts w:eastAsia="Calibri" w:cs="Calibri"/>
          <w:lang w:val="en-GB"/>
        </w:rPr>
        <w:t>A</w:t>
      </w:r>
      <w:r w:rsidR="00F62339" w:rsidRPr="00F62339">
        <w:rPr>
          <w:rFonts w:eastAsia="Calibri" w:cs="Calibri"/>
          <w:lang w:val="en-GB"/>
        </w:rPr>
        <w:t>t the time of the issuance of the individual audit assignment report</w:t>
      </w:r>
      <w:r w:rsidR="00910005">
        <w:rPr>
          <w:rFonts w:eastAsia="Calibri" w:cs="Calibri"/>
          <w:lang w:val="en-GB"/>
        </w:rPr>
        <w:t>s</w:t>
      </w:r>
      <w:r w:rsidR="00F62339" w:rsidRPr="00F62339">
        <w:rPr>
          <w:rFonts w:eastAsia="Calibri" w:cs="Calibri"/>
          <w:lang w:val="en-GB"/>
        </w:rPr>
        <w:t xml:space="preserve">, the previous recommendations had not been implemented but </w:t>
      </w:r>
      <w:r w:rsidR="001B6C38">
        <w:rPr>
          <w:rFonts w:eastAsia="Calibri" w:cs="Calibri"/>
          <w:lang w:val="en-GB"/>
        </w:rPr>
        <w:t>some since</w:t>
      </w:r>
      <w:r w:rsidR="00F62339" w:rsidRPr="00F62339">
        <w:rPr>
          <w:rFonts w:eastAsia="Calibri" w:cs="Calibri"/>
          <w:lang w:val="en-GB"/>
        </w:rPr>
        <w:t xml:space="preserve"> had. The internal audit unit function avoided repeating recommendations; instead, it assessed the situation as part of its follow-up activities, which were conducted prior to Independent Management Advisory Committee (IMAC) meetings. During the reporting period, a total of 43 internal audit recommendations had been implemented; delays resulting from management action were a root cause of late implementation. There was no overlap between previous ongoing and more recent audit recommendations. She drew attention to Document </w:t>
      </w:r>
      <w:hyperlink r:id="rId108" w:history="1">
        <w:r w:rsidR="00F62339" w:rsidRPr="00F13822">
          <w:rPr>
            <w:rStyle w:val="Hyperlink"/>
            <w:rFonts w:eastAsia="Calibri" w:cs="Calibri"/>
            <w:szCs w:val="20"/>
            <w:lang w:val="en-GB"/>
          </w:rPr>
          <w:t>C26/INF/23</w:t>
        </w:r>
      </w:hyperlink>
      <w:r w:rsidR="00F62339" w:rsidRPr="00F62339">
        <w:rPr>
          <w:rFonts w:eastAsia="Calibri" w:cs="Calibri"/>
          <w:lang w:val="en-GB"/>
        </w:rPr>
        <w:t xml:space="preserve">, which contained information on the ITU compliance dashboard for councillors, through which they could track the implementation status of all internal and external oversight recommendations, thereby enhancing transparency and accessibility. </w:t>
      </w:r>
    </w:p>
    <w:p w14:paraId="766DF395" w14:textId="77D81146" w:rsidR="00F62339" w:rsidRDefault="0071738A" w:rsidP="00F62339">
      <w:pPr>
        <w:spacing w:line="259" w:lineRule="auto"/>
        <w:rPr>
          <w:rFonts w:eastAsia="Calibri" w:cs="Calibri"/>
          <w:lang w:val="en-GB"/>
        </w:rPr>
      </w:pPr>
      <w:r>
        <w:rPr>
          <w:rFonts w:eastAsia="Calibri" w:cs="Calibri"/>
          <w:lang w:val="en-GB"/>
        </w:rPr>
        <w:t>28.3</w:t>
      </w:r>
      <w:r>
        <w:rPr>
          <w:rFonts w:eastAsia="Calibri" w:cs="Calibri"/>
          <w:lang w:val="en-GB"/>
        </w:rPr>
        <w:tab/>
      </w:r>
      <w:r w:rsidR="00F62339" w:rsidRPr="00F62339">
        <w:rPr>
          <w:rFonts w:eastAsia="Calibri" w:cs="Calibri"/>
          <w:lang w:val="en-GB"/>
        </w:rPr>
        <w:t xml:space="preserve">The external quality assurance, which was carried out every five years in accordance with the Global Internal Audit Standards and the Oversight Charter, had been conducted by the French Institute for Internal Audit and Control (IFACI), a member of the Institute of Internal Auditors. The timeline for addressing the non-conformances IFACI had identified was the end of 2026; an internal audit strategy was part of the Unit’s roadmap and the revamped risk-based audit plan would be presented to IMAC in June. The Oversight Unit was working with IMAC to address the latter’s recommendations on revising the audit programme (see Document </w:t>
      </w:r>
      <w:hyperlink r:id="rId109" w:history="1">
        <w:r w:rsidR="00F62339" w:rsidRPr="00272119">
          <w:rPr>
            <w:rStyle w:val="Hyperlink"/>
            <w:rFonts w:eastAsia="Calibri" w:cs="Calibri"/>
            <w:szCs w:val="20"/>
            <w:lang w:val="en-GB"/>
          </w:rPr>
          <w:t>C26/22</w:t>
        </w:r>
      </w:hyperlink>
      <w:r w:rsidR="00F62339" w:rsidRPr="00F62339">
        <w:rPr>
          <w:rFonts w:eastAsia="Calibri" w:cs="Calibri"/>
          <w:lang w:val="en-GB"/>
        </w:rPr>
        <w:t xml:space="preserve">, § 48). Lastly, an audit of the new building project was under way and an audit on cyber issues had been included in the audit plan. She had taken note of the suggestions regarding performance-based auditing and specific areas identified for possible audit, including travel planning and the use of artificial intelligence in the Union. </w:t>
      </w:r>
    </w:p>
    <w:p w14:paraId="27844745" w14:textId="110C3DDB" w:rsidR="00F62339" w:rsidRPr="00F62339" w:rsidRDefault="0071738A" w:rsidP="00F62339">
      <w:pPr>
        <w:spacing w:line="259" w:lineRule="auto"/>
        <w:rPr>
          <w:rFonts w:eastAsia="Calibri" w:cs="Calibri"/>
          <w:lang w:val="en-GB"/>
        </w:rPr>
      </w:pPr>
      <w:r>
        <w:rPr>
          <w:rFonts w:eastAsia="Calibri" w:cs="Calibri"/>
          <w:lang w:val="en-GB"/>
        </w:rPr>
        <w:t>28.4</w:t>
      </w:r>
      <w:r>
        <w:rPr>
          <w:rFonts w:eastAsia="Calibri" w:cs="Calibri"/>
          <w:lang w:val="en-GB"/>
        </w:rPr>
        <w:tab/>
      </w:r>
      <w:r w:rsidR="00F62339" w:rsidRPr="00F62339">
        <w:rPr>
          <w:rFonts w:eastAsia="Calibri" w:cs="Calibri"/>
          <w:lang w:val="en-GB"/>
        </w:rPr>
        <w:t>The Deputy to the Director of BDT said that the audit recommendations related to BDT travel arrangements and the Area Office for South-East Asia had been fully implemented. A digital application had been developed to modernize and consolidate all travel-related processes in a single platform. The application, now fully operational, had improved the review, approval and monitoring of all BDT travel requests; provided greater scrutiny of travel modalities; and enhanced transparency, accountability and management oversight. At the recommendation of the Oversight Unit, the application had been presented to the ITU Transformation Team, which considered it a possible prototype for use by other Bureaux and the General Secretariat.</w:t>
      </w:r>
      <w:r w:rsidR="00E27BE1">
        <w:rPr>
          <w:lang w:val="en-GB"/>
        </w:rPr>
        <w:t xml:space="preserve"> </w:t>
      </w:r>
      <w:r w:rsidR="00910B85" w:rsidRPr="00910B85">
        <w:rPr>
          <w:lang w:val="en-GB"/>
        </w:rPr>
        <w:t xml:space="preserve">BDT also clarified that </w:t>
      </w:r>
      <w:r w:rsidR="00EF6EBD" w:rsidRPr="00EF6EBD">
        <w:rPr>
          <w:lang w:val="en-GB"/>
        </w:rPr>
        <w:t xml:space="preserve">the Area Office for South-East Asia had been asked to close the </w:t>
      </w:r>
      <w:r w:rsidR="00A6765D">
        <w:rPr>
          <w:lang w:val="en-GB"/>
        </w:rPr>
        <w:t xml:space="preserve">old </w:t>
      </w:r>
      <w:r w:rsidR="00EF6EBD" w:rsidRPr="00EF6EBD">
        <w:rPr>
          <w:lang w:val="en-GB"/>
        </w:rPr>
        <w:t>fraud affected projects.</w:t>
      </w:r>
      <w:r w:rsidR="00910B85" w:rsidRPr="00910B85">
        <w:rPr>
          <w:lang w:val="en-GB"/>
        </w:rPr>
        <w:t xml:space="preserve"> </w:t>
      </w:r>
      <w:r w:rsidR="00314BA6" w:rsidRPr="00E27BE1">
        <w:rPr>
          <w:lang w:val="en-GB"/>
        </w:rPr>
        <w:t>O</w:t>
      </w:r>
      <w:r w:rsidR="004D3978" w:rsidRPr="00E27BE1">
        <w:rPr>
          <w:lang w:val="en-GB"/>
        </w:rPr>
        <w:t>ther project</w:t>
      </w:r>
      <w:r w:rsidR="00314BA6" w:rsidRPr="00E27BE1">
        <w:rPr>
          <w:lang w:val="en-GB"/>
        </w:rPr>
        <w:t>-</w:t>
      </w:r>
      <w:r w:rsidR="004D3978" w:rsidRPr="00E27BE1">
        <w:rPr>
          <w:lang w:val="en-GB"/>
        </w:rPr>
        <w:t xml:space="preserve">related </w:t>
      </w:r>
      <w:r w:rsidR="00A6765D">
        <w:rPr>
          <w:lang w:val="en-GB"/>
        </w:rPr>
        <w:t>recommendations</w:t>
      </w:r>
      <w:r w:rsidR="004D3978" w:rsidRPr="00E27BE1">
        <w:rPr>
          <w:lang w:val="en-GB"/>
        </w:rPr>
        <w:t xml:space="preserve"> </w:t>
      </w:r>
      <w:r w:rsidR="001645E3">
        <w:rPr>
          <w:lang w:val="en-GB"/>
        </w:rPr>
        <w:t>we</w:t>
      </w:r>
      <w:r w:rsidR="004D3978" w:rsidRPr="00E27BE1">
        <w:rPr>
          <w:lang w:val="en-GB"/>
        </w:rPr>
        <w:t>re largely systemic</w:t>
      </w:r>
      <w:r w:rsidR="00BA0F00" w:rsidRPr="00E27BE1">
        <w:rPr>
          <w:lang w:val="en-GB"/>
        </w:rPr>
        <w:t xml:space="preserve"> and</w:t>
      </w:r>
      <w:r w:rsidR="004D3978" w:rsidRPr="00E27BE1">
        <w:rPr>
          <w:lang w:val="en-GB"/>
        </w:rPr>
        <w:t xml:space="preserve"> related to recruitment and procurement</w:t>
      </w:r>
      <w:r w:rsidR="00BA0F00" w:rsidRPr="00E27BE1">
        <w:rPr>
          <w:lang w:val="en-GB"/>
        </w:rPr>
        <w:t>. They</w:t>
      </w:r>
      <w:r w:rsidR="00CF4EE0">
        <w:rPr>
          <w:lang w:val="en-GB"/>
        </w:rPr>
        <w:t xml:space="preserve"> were</w:t>
      </w:r>
      <w:r w:rsidR="00BA0F00" w:rsidRPr="00E27BE1">
        <w:rPr>
          <w:lang w:val="en-GB"/>
        </w:rPr>
        <w:t xml:space="preserve"> </w:t>
      </w:r>
      <w:r w:rsidR="004D3978" w:rsidRPr="00E27BE1">
        <w:rPr>
          <w:lang w:val="en-GB"/>
        </w:rPr>
        <w:t>implemented in coordination with FRMD and HR</w:t>
      </w:r>
      <w:r w:rsidR="00BA0F00" w:rsidRPr="00E27BE1">
        <w:rPr>
          <w:lang w:val="en-GB"/>
        </w:rPr>
        <w:t>MD</w:t>
      </w:r>
      <w:r w:rsidR="004D3978" w:rsidRPr="00E27BE1">
        <w:rPr>
          <w:lang w:val="en-GB"/>
        </w:rPr>
        <w:t xml:space="preserve">. </w:t>
      </w:r>
      <w:r w:rsidR="004D3978" w:rsidRPr="0065069C">
        <w:rPr>
          <w:lang w:val="en-GB"/>
        </w:rPr>
        <w:t>The recommendations relating to staff training and relative prioritization in the use of donor funds vis-vis ITU funds ha</w:t>
      </w:r>
      <w:r w:rsidR="001645E3">
        <w:rPr>
          <w:lang w:val="en-GB"/>
        </w:rPr>
        <w:t>d</w:t>
      </w:r>
      <w:r w:rsidR="004D3978" w:rsidRPr="0065069C">
        <w:rPr>
          <w:lang w:val="en-GB"/>
        </w:rPr>
        <w:t xml:space="preserve"> also been implemented</w:t>
      </w:r>
      <w:r w:rsidR="003117B6" w:rsidRPr="0065069C">
        <w:rPr>
          <w:lang w:val="en-GB"/>
        </w:rPr>
        <w:t>.</w:t>
      </w:r>
    </w:p>
    <w:p w14:paraId="18AEF2C4" w14:textId="1DADB72E" w:rsidR="00F62339" w:rsidRPr="00F62339" w:rsidRDefault="0071738A" w:rsidP="00F62339">
      <w:pPr>
        <w:spacing w:line="259" w:lineRule="auto"/>
        <w:rPr>
          <w:rFonts w:eastAsia="Calibri" w:cs="Calibri"/>
          <w:lang w:val="en-GB"/>
        </w:rPr>
      </w:pPr>
      <w:r>
        <w:rPr>
          <w:rFonts w:eastAsia="Calibri" w:cs="Calibri"/>
          <w:lang w:val="en-GB"/>
        </w:rPr>
        <w:t>28.</w:t>
      </w:r>
      <w:r w:rsidR="00922CC0">
        <w:rPr>
          <w:rFonts w:eastAsia="Calibri" w:cs="Calibri"/>
          <w:lang w:val="en-GB"/>
        </w:rPr>
        <w:t>5</w:t>
      </w:r>
      <w:r>
        <w:rPr>
          <w:rFonts w:eastAsia="Calibri" w:cs="Calibri"/>
          <w:lang w:val="en-GB"/>
        </w:rPr>
        <w:tab/>
      </w:r>
      <w:r w:rsidR="00F62339" w:rsidRPr="00F62339">
        <w:rPr>
          <w:rFonts w:eastAsia="Calibri" w:cs="Calibri"/>
          <w:lang w:val="en-GB"/>
        </w:rPr>
        <w:t xml:space="preserve">Councillors emphasized the essential role of the internal audit function in strengthening the integrity, performance, good governance and accountability of the Union. They expressed appreciation for the progress made in implementing audit recommendations, noted that further efforts were needed and encouraged continued transparency in reporting. Some councillors highlighted the need for further measures to bolster the internal audit function and the robustness of the Oversight Unit, including by strengthening elements of the three lines of defence mechanism, reviewing the Oversight Charter and assessing the maturity level of the function on the basis of the internal audit capability model. One councillor underscored the importance of allowing the Oversight Unit to carry out its mandate without parallel processes that could dilute its effectiveness or increase Council interference; the current framework was fit for purpose and should be allowed to operate as designed. </w:t>
      </w:r>
    </w:p>
    <w:p w14:paraId="32C5C0BD" w14:textId="71AD89BF" w:rsidR="00DC49C5" w:rsidRPr="00E05C53" w:rsidRDefault="0071738A" w:rsidP="00F62339">
      <w:pPr>
        <w:spacing w:line="259" w:lineRule="auto"/>
        <w:rPr>
          <w:rFonts w:eastAsia="Calibri" w:cs="Calibri"/>
          <w:lang w:val="en-GB"/>
        </w:rPr>
      </w:pPr>
      <w:r>
        <w:rPr>
          <w:rFonts w:eastAsia="Calibri" w:cs="Calibri"/>
          <w:lang w:val="en-GB"/>
        </w:rPr>
        <w:t>28.</w:t>
      </w:r>
      <w:r w:rsidR="00922CC0">
        <w:rPr>
          <w:rFonts w:eastAsia="Calibri" w:cs="Calibri"/>
          <w:lang w:val="en-GB"/>
        </w:rPr>
        <w:t>6</w:t>
      </w:r>
      <w:r>
        <w:rPr>
          <w:rFonts w:eastAsia="Calibri" w:cs="Calibri"/>
          <w:lang w:val="en-GB"/>
        </w:rPr>
        <w:tab/>
      </w:r>
      <w:r w:rsidR="00F62339" w:rsidRPr="00F62339">
        <w:rPr>
          <w:rFonts w:eastAsia="Calibri" w:cs="Calibri"/>
          <w:lang w:val="en-GB"/>
        </w:rPr>
        <w:t>One councillor stressed that audits must lead to corrective action, measurable value, cost savings, risk mitigation and tangible operational improvements. Several councillors sought additional information, including on why implementation of recommendations made in 2017 remained in progress, how audit recommendations were prioritized, what the criteria were for selecting recommendations for follow up and whether audits of other regional or area offices and headquarters departments were planned. Suggestions from councillors included that future reporting should include an annual overview of the risk-based audit plan and the annual audit report should contain a comprehensive statement of independence, in line with best practice. An observer suggested that corporate fraud risk assessment and the ITU accountability framework should remain as standing issues for regular auditing.</w:t>
      </w:r>
      <w:r w:rsidR="00DC49C5" w:rsidRPr="00E05C53">
        <w:rPr>
          <w:rFonts w:eastAsia="Calibri" w:cs="Calibri"/>
          <w:lang w:val="en-GB"/>
        </w:rPr>
        <w:t xml:space="preserve"> </w:t>
      </w:r>
    </w:p>
    <w:p w14:paraId="677FCF03" w14:textId="298A60BB" w:rsidR="00DC49C5" w:rsidRPr="00EA5615" w:rsidRDefault="00DC49C5" w:rsidP="00C44A2E">
      <w:pPr>
        <w:keepNext/>
        <w:keepLines/>
        <w:spacing w:line="259" w:lineRule="auto"/>
        <w:rPr>
          <w:rFonts w:eastAsia="Calibri" w:cs="Calibri"/>
          <w:szCs w:val="24"/>
          <w:lang w:val="en-GB"/>
        </w:rPr>
      </w:pPr>
      <w:r w:rsidRPr="00EA5615">
        <w:rPr>
          <w:rFonts w:eastAsia="Calibri" w:cs="Calibri"/>
          <w:spacing w:val="-4"/>
          <w:szCs w:val="24"/>
          <w:lang w:val="en-GB"/>
        </w:rPr>
        <w:t>2</w:t>
      </w:r>
      <w:r>
        <w:rPr>
          <w:rFonts w:eastAsia="Calibri" w:cs="Calibri"/>
          <w:spacing w:val="-4"/>
          <w:szCs w:val="24"/>
          <w:lang w:val="en-GB"/>
        </w:rPr>
        <w:t>8</w:t>
      </w:r>
      <w:r w:rsidRPr="00EA5615">
        <w:rPr>
          <w:rFonts w:eastAsia="Calibri" w:cs="Calibri"/>
          <w:spacing w:val="-4"/>
          <w:szCs w:val="24"/>
          <w:lang w:val="en-GB"/>
        </w:rPr>
        <w:t>.</w:t>
      </w:r>
      <w:r w:rsidR="00922CC0">
        <w:rPr>
          <w:rFonts w:eastAsia="Calibri" w:cs="Calibri"/>
          <w:spacing w:val="-4"/>
          <w:szCs w:val="24"/>
          <w:lang w:val="en-GB"/>
        </w:rPr>
        <w:t>7</w:t>
      </w:r>
      <w:r w:rsidRPr="00EA5615">
        <w:rPr>
          <w:rFonts w:eastAsia="Calibri" w:cs="Calibri"/>
          <w:szCs w:val="24"/>
          <w:lang w:val="en-GB"/>
        </w:rPr>
        <w:tab/>
        <w:t xml:space="preserve">The committee </w:t>
      </w:r>
      <w:r w:rsidRPr="00EA5615">
        <w:rPr>
          <w:rFonts w:eastAsia="Calibri" w:cs="Calibri"/>
          <w:b/>
          <w:bCs/>
          <w:szCs w:val="24"/>
          <w:lang w:val="en-GB"/>
        </w:rPr>
        <w:t>agreed</w:t>
      </w:r>
      <w:r w:rsidRPr="00EA5615">
        <w:rPr>
          <w:rFonts w:eastAsia="Calibri" w:cs="Calibri"/>
          <w:szCs w:val="24"/>
          <w:lang w:val="en-GB"/>
        </w:rPr>
        <w:t xml:space="preserve"> to conclude as follows on the matter:</w:t>
      </w:r>
    </w:p>
    <w:p w14:paraId="2D359F10" w14:textId="3CADBD3A" w:rsidR="00DC49C5" w:rsidRDefault="00DC49C5" w:rsidP="00F93C36">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A5615">
        <w:rPr>
          <w:rFonts w:eastAsia="Calibri" w:cs="Calibri"/>
          <w:szCs w:val="24"/>
          <w:lang w:val="en-GB"/>
        </w:rPr>
        <w:t>2</w:t>
      </w:r>
      <w:r w:rsidR="0071738A">
        <w:rPr>
          <w:rFonts w:eastAsia="Calibri" w:cs="Calibri"/>
          <w:szCs w:val="24"/>
          <w:lang w:val="en-GB"/>
        </w:rPr>
        <w:t>8</w:t>
      </w:r>
      <w:r w:rsidRPr="00EA5615">
        <w:rPr>
          <w:rFonts w:eastAsia="Calibri" w:cs="Calibri"/>
          <w:szCs w:val="24"/>
          <w:lang w:val="en-GB"/>
        </w:rPr>
        <w:t>.</w:t>
      </w:r>
      <w:r w:rsidR="00922CC0">
        <w:rPr>
          <w:rFonts w:eastAsia="Calibri" w:cs="Calibri"/>
          <w:szCs w:val="24"/>
          <w:lang w:val="en-GB"/>
        </w:rPr>
        <w:t>8</w:t>
      </w:r>
      <w:r w:rsidRPr="00EA5615">
        <w:rPr>
          <w:lang w:val="en-GB"/>
        </w:rPr>
        <w:tab/>
        <w:t>The committee recommends that the Council:</w:t>
      </w:r>
    </w:p>
    <w:p w14:paraId="6ED40C84" w14:textId="069495BB" w:rsidR="00DC49C5" w:rsidRDefault="00DC49C5" w:rsidP="00C44A2E">
      <w:pPr>
        <w:pBdr>
          <w:top w:val="single" w:sz="4" w:space="4" w:color="000000"/>
          <w:left w:val="single" w:sz="4" w:space="4" w:color="000000"/>
          <w:bottom w:val="single" w:sz="4" w:space="4" w:color="000000"/>
          <w:right w:val="single" w:sz="4" w:space="4" w:color="000000"/>
        </w:pBdr>
        <w:spacing w:before="80" w:line="259" w:lineRule="auto"/>
        <w:rPr>
          <w:rFonts w:cs="Calibri"/>
          <w:szCs w:val="24"/>
          <w:lang w:val="en-GB"/>
        </w:rPr>
      </w:pPr>
      <w:r w:rsidRPr="00EA5615">
        <w:rPr>
          <w:lang w:val="en-GB"/>
        </w:rPr>
        <w:t>•</w:t>
      </w:r>
      <w:r w:rsidRPr="00EA5615">
        <w:rPr>
          <w:lang w:val="en-GB"/>
        </w:rPr>
        <w:tab/>
      </w:r>
      <w:r w:rsidR="00CC1C6B">
        <w:rPr>
          <w:lang w:val="en-GB"/>
        </w:rPr>
        <w:t xml:space="preserve">note the report contained in Document </w:t>
      </w:r>
      <w:hyperlink r:id="rId110" w:history="1">
        <w:r w:rsidR="00CC1C6B" w:rsidRPr="000009C1">
          <w:rPr>
            <w:rStyle w:val="Hyperlink"/>
            <w:rFonts w:cs="Times New Roman"/>
            <w:szCs w:val="20"/>
            <w:lang w:val="en-GB"/>
          </w:rPr>
          <w:t>C26/44</w:t>
        </w:r>
      </w:hyperlink>
      <w:r w:rsidR="009453D5">
        <w:rPr>
          <w:rFonts w:cs="Calibri"/>
          <w:szCs w:val="24"/>
          <w:lang w:val="en-GB"/>
        </w:rPr>
        <w:t>; and</w:t>
      </w:r>
    </w:p>
    <w:p w14:paraId="15A835B1" w14:textId="69CF579B" w:rsidR="009453D5" w:rsidRPr="00EA5615" w:rsidRDefault="009453D5"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Pr>
          <w:lang w:val="en-GB"/>
        </w:rPr>
        <w:t>instruct the secretariat to provide an updated report by 31 July 2026, with information requested during the Council discussions.</w:t>
      </w:r>
    </w:p>
    <w:p w14:paraId="6C937292" w14:textId="704124FF" w:rsidR="00712C73" w:rsidRPr="00BF13B7" w:rsidRDefault="00F70D63" w:rsidP="00C44A2E">
      <w:pPr>
        <w:pStyle w:val="Heading1"/>
        <w:keepNext w:val="0"/>
        <w:keepLines w:val="0"/>
        <w:rPr>
          <w:szCs w:val="28"/>
          <w:lang w:val="en-GB"/>
        </w:rPr>
      </w:pPr>
      <w:r w:rsidRPr="00EA5615">
        <w:rPr>
          <w:bCs/>
          <w:lang w:val="en-GB"/>
        </w:rPr>
        <w:t>2</w:t>
      </w:r>
      <w:r w:rsidR="00922CC0">
        <w:rPr>
          <w:bCs/>
          <w:lang w:val="en-GB"/>
        </w:rPr>
        <w:t>9</w:t>
      </w:r>
      <w:r w:rsidRPr="008C7884">
        <w:rPr>
          <w:lang w:val="en-GB"/>
        </w:rPr>
        <w:tab/>
      </w:r>
      <w:r w:rsidRPr="00EA5615">
        <w:rPr>
          <w:lang w:val="en-GB"/>
        </w:rPr>
        <w:t>Report from the Oversight Unit</w:t>
      </w:r>
      <w:r>
        <w:rPr>
          <w:lang w:val="en-GB"/>
        </w:rPr>
        <w:t xml:space="preserve"> on the </w:t>
      </w:r>
      <w:r w:rsidR="005B344D" w:rsidRPr="008C7884">
        <w:rPr>
          <w:lang w:val="en-GB"/>
        </w:rPr>
        <w:t>i</w:t>
      </w:r>
      <w:r w:rsidR="00712C73" w:rsidRPr="2BA0D68B">
        <w:rPr>
          <w:lang w:val="en-GB"/>
        </w:rPr>
        <w:t xml:space="preserve">nvestigation function </w:t>
      </w:r>
      <w:r w:rsidR="003728C8">
        <w:rPr>
          <w:lang w:val="en-GB"/>
        </w:rPr>
        <w:br/>
      </w:r>
      <w:r w:rsidR="00712C73" w:rsidRPr="2BA0D68B">
        <w:rPr>
          <w:lang w:val="en-GB"/>
        </w:rPr>
        <w:t xml:space="preserve">(Document </w:t>
      </w:r>
      <w:hyperlink r:id="rId111">
        <w:r w:rsidR="00712C73" w:rsidRPr="2BA0D68B">
          <w:rPr>
            <w:color w:val="4F81BD" w:themeColor="accent1"/>
            <w:u w:val="single"/>
            <w:lang w:val="en-GB"/>
          </w:rPr>
          <w:t>C26/39</w:t>
        </w:r>
      </w:hyperlink>
      <w:r w:rsidR="00712C73" w:rsidRPr="2BA0D68B">
        <w:rPr>
          <w:lang w:val="en-GB"/>
        </w:rPr>
        <w:t>)</w:t>
      </w:r>
    </w:p>
    <w:p w14:paraId="177D49AE" w14:textId="1CBCCEAC" w:rsidR="00672E41" w:rsidRPr="00672E41" w:rsidRDefault="00672E41" w:rsidP="00672E41">
      <w:pPr>
        <w:rPr>
          <w:rFonts w:cs="Calibri"/>
          <w:lang w:val="en-GB"/>
        </w:rPr>
      </w:pPr>
      <w:r w:rsidRPr="00672E41">
        <w:rPr>
          <w:rFonts w:eastAsia="Calibri" w:cs="Calibri"/>
          <w:lang w:val="en-GB"/>
        </w:rPr>
        <w:t>2</w:t>
      </w:r>
      <w:r w:rsidR="00922CC0">
        <w:rPr>
          <w:rFonts w:eastAsia="Calibri" w:cs="Calibri"/>
          <w:lang w:val="en-GB"/>
        </w:rPr>
        <w:t>9</w:t>
      </w:r>
      <w:r w:rsidRPr="00672E41">
        <w:rPr>
          <w:rFonts w:eastAsia="Calibri" w:cs="Calibri"/>
          <w:lang w:val="en-GB"/>
        </w:rPr>
        <w:t>.</w:t>
      </w:r>
      <w:r w:rsidR="002B14CE">
        <w:rPr>
          <w:rFonts w:eastAsia="Calibri" w:cs="Calibri"/>
          <w:lang w:val="en-GB"/>
        </w:rPr>
        <w:t>1</w:t>
      </w:r>
      <w:r w:rsidRPr="00672E41">
        <w:rPr>
          <w:lang w:val="en-GB"/>
        </w:rPr>
        <w:tab/>
        <w:t xml:space="preserve">The Chief of the Oversight Unit presented Document C26/39 containing the report from the Oversight Unit on its investigation function, covering the period 1 January 2025 to </w:t>
      </w:r>
      <w:r w:rsidR="000A6FFD" w:rsidRPr="00672E41">
        <w:rPr>
          <w:lang w:val="en-GB"/>
        </w:rPr>
        <w:t>31</w:t>
      </w:r>
      <w:r w:rsidR="000A6FFD">
        <w:rPr>
          <w:lang w:val="en-GB"/>
        </w:rPr>
        <w:t> </w:t>
      </w:r>
      <w:r w:rsidRPr="00672E41">
        <w:rPr>
          <w:lang w:val="en-GB"/>
        </w:rPr>
        <w:t>December 2025. There had been no restricted access to premises, personnel or records during the period. One instance of interference with investigative independence had been formally recorded.</w:t>
      </w:r>
      <w:r w:rsidRPr="00672E41">
        <w:rPr>
          <w:rFonts w:cs="Calibri"/>
          <w:lang w:val="en-GB"/>
        </w:rPr>
        <w:t xml:space="preserve"> During the reporting period, the Oversight Unit had managed 76 matters, of which 51 were new and 25 had been carried over from 2024. Fifty-eight had been concluded. A total of 15 investigations had been opened, 12 of which had been concluded, of which six had been substantiated. </w:t>
      </w:r>
    </w:p>
    <w:p w14:paraId="3C804984" w14:textId="59046D88" w:rsidR="00672E41" w:rsidRPr="00672E41" w:rsidRDefault="00672E41" w:rsidP="00672E41">
      <w:pPr>
        <w:rPr>
          <w:lang w:val="en-GB"/>
        </w:rPr>
      </w:pPr>
      <w:r w:rsidRPr="00672E41">
        <w:rPr>
          <w:lang w:val="en-GB"/>
        </w:rPr>
        <w:t>2</w:t>
      </w:r>
      <w:r w:rsidR="00922CC0">
        <w:rPr>
          <w:lang w:val="en-GB"/>
        </w:rPr>
        <w:t>9</w:t>
      </w:r>
      <w:r w:rsidRPr="00672E41">
        <w:rPr>
          <w:lang w:val="en-GB"/>
        </w:rPr>
        <w:t>.</w:t>
      </w:r>
      <w:r w:rsidR="002B14CE">
        <w:rPr>
          <w:lang w:val="en-GB"/>
        </w:rPr>
        <w:t>2</w:t>
      </w:r>
      <w:r w:rsidRPr="00672E41">
        <w:rPr>
          <w:lang w:val="en-GB"/>
        </w:rPr>
        <w:tab/>
        <w:t xml:space="preserve">Councillors welcomed the report and the recently issued information document (Document </w:t>
      </w:r>
      <w:hyperlink r:id="rId112" w:history="1">
        <w:r w:rsidRPr="00A00F94">
          <w:rPr>
            <w:rStyle w:val="Hyperlink"/>
            <w:rFonts w:cs="Times New Roman"/>
            <w:szCs w:val="20"/>
            <w:lang w:val="en-GB"/>
          </w:rPr>
          <w:t>C26/INF/28</w:t>
        </w:r>
      </w:hyperlink>
      <w:r w:rsidRPr="00672E41">
        <w:rPr>
          <w:lang w:val="en-GB"/>
        </w:rPr>
        <w:t xml:space="preserve">), which constituted a significant gesture of transparency. One councillor underscored that organizational accountability required integrated action and therefore integrated reporting. Member States should not need to make requests for supplementary written information. Henceforth, her administration would expect complete, clear and comprehensive reporting as standard or it would re-examine its posture and contributions. </w:t>
      </w:r>
    </w:p>
    <w:p w14:paraId="2091145D" w14:textId="63052DBA" w:rsidR="00672E41" w:rsidRPr="00672E41" w:rsidRDefault="00672E41" w:rsidP="00672E41">
      <w:pPr>
        <w:rPr>
          <w:lang w:val="en-GB"/>
        </w:rPr>
      </w:pPr>
      <w:r w:rsidRPr="00672E41">
        <w:rPr>
          <w:lang w:val="en-GB"/>
        </w:rPr>
        <w:t>2</w:t>
      </w:r>
      <w:r w:rsidR="00922CC0">
        <w:rPr>
          <w:lang w:val="en-GB"/>
        </w:rPr>
        <w:t>9</w:t>
      </w:r>
      <w:r w:rsidRPr="00672E41">
        <w:rPr>
          <w:lang w:val="en-GB"/>
        </w:rPr>
        <w:t>.</w:t>
      </w:r>
      <w:r w:rsidR="002B14CE">
        <w:rPr>
          <w:lang w:val="en-GB"/>
        </w:rPr>
        <w:t>3</w:t>
      </w:r>
      <w:r w:rsidRPr="00672E41">
        <w:rPr>
          <w:lang w:val="en-GB"/>
        </w:rPr>
        <w:tab/>
        <w:t xml:space="preserve">Several councillors noted the significant increase in the number of cases filed, and the significant proportion of fraud and corruption-related allegations. Further information was sought on the corrective action taken when cases were substantiated. Concerns were raised with regard to the large proportion of cases that had been deemed inadmissible; councillors wished to know whether there was a lack of awareness of what constituted a reasonable claim. More thorough </w:t>
      </w:r>
      <w:r w:rsidRPr="00672E41">
        <w:rPr>
          <w:i/>
          <w:iCs/>
          <w:lang w:val="en-GB"/>
        </w:rPr>
        <w:t>prima facie</w:t>
      </w:r>
      <w:r w:rsidRPr="00672E41">
        <w:rPr>
          <w:lang w:val="en-GB"/>
        </w:rPr>
        <w:t xml:space="preserve"> reviews should be conducted before proceeding to investigation. Clarification was requested regarding how the investigation function was staffed.</w:t>
      </w:r>
    </w:p>
    <w:p w14:paraId="78C6EB3B" w14:textId="4880100E" w:rsidR="00672E41" w:rsidRPr="00672E41" w:rsidRDefault="00672E41" w:rsidP="00672E41">
      <w:pPr>
        <w:rPr>
          <w:lang w:val="en-GB"/>
        </w:rPr>
      </w:pPr>
      <w:r w:rsidRPr="00672E41">
        <w:rPr>
          <w:lang w:val="en-GB"/>
        </w:rPr>
        <w:t>2</w:t>
      </w:r>
      <w:r w:rsidR="00922CC0">
        <w:rPr>
          <w:lang w:val="en-GB"/>
        </w:rPr>
        <w:t>9</w:t>
      </w:r>
      <w:r w:rsidRPr="00672E41">
        <w:rPr>
          <w:lang w:val="en-GB"/>
        </w:rPr>
        <w:t>.</w:t>
      </w:r>
      <w:r w:rsidR="002B14CE">
        <w:rPr>
          <w:lang w:val="en-GB"/>
        </w:rPr>
        <w:t>4</w:t>
      </w:r>
      <w:r w:rsidRPr="00000024">
        <w:rPr>
          <w:lang w:val="en-GB"/>
        </w:rPr>
        <w:tab/>
      </w:r>
      <w:r w:rsidRPr="00672E41">
        <w:rPr>
          <w:lang w:val="en-GB"/>
        </w:rPr>
        <w:t xml:space="preserve">The credibility of the oversight function required its independence to be fully protected; any compromise in that regard was cause for concern. Councillors therefore asked what safeguards had been put in place in that regard, and what lessons had been learned and corrective measures taken to prevent any further interference. An assessment of the oversight unit would be welcome. One councillor expressed concern regarding potential backlogs, given the increasing number of cases filed, and cautioned that failure to complete investigations in a timely manner could erode trust in the oversight function. More detailed information, including caseload per investigator, resources used as a proportion of ITU’s revenue, </w:t>
      </w:r>
      <w:r w:rsidRPr="00E90BFF">
        <w:rPr>
          <w:lang w:val="en-GB"/>
        </w:rPr>
        <w:t xml:space="preserve">and investigation </w:t>
      </w:r>
      <w:r w:rsidR="46F37894" w:rsidRPr="00E90BFF">
        <w:rPr>
          <w:lang w:val="en-GB"/>
        </w:rPr>
        <w:t>timelines</w:t>
      </w:r>
      <w:r w:rsidR="46F37894" w:rsidRPr="124C5396">
        <w:rPr>
          <w:lang w:val="en-GB"/>
        </w:rPr>
        <w:t xml:space="preserve"> </w:t>
      </w:r>
      <w:r w:rsidRPr="00672E41">
        <w:rPr>
          <w:lang w:val="en-GB"/>
        </w:rPr>
        <w:t xml:space="preserve">should be included in future reports. Another councillor underscored the importance of the presentation of complete information to the Council, in particular data disaggregated by case category, to improve transparency and reveal organizational trends. Such detail was particularly important for the large number of cases filed that had been categorized as “out-of-mandate” and “other”. Her Administration disagreed with the </w:t>
      </w:r>
      <w:r w:rsidR="00EB48E5">
        <w:rPr>
          <w:lang w:val="en-GB"/>
        </w:rPr>
        <w:t>s</w:t>
      </w:r>
      <w:r w:rsidR="00EB48E5" w:rsidRPr="00672E41">
        <w:rPr>
          <w:lang w:val="en-GB"/>
        </w:rPr>
        <w:t>ecretariat’s</w:t>
      </w:r>
      <w:r w:rsidRPr="124C5396">
        <w:rPr>
          <w:lang w:val="en-GB"/>
        </w:rPr>
        <w:t xml:space="preserve"> </w:t>
      </w:r>
      <w:r w:rsidRPr="00672E41">
        <w:rPr>
          <w:lang w:val="en-GB"/>
        </w:rPr>
        <w:t>assertion that not all misconduct allegations warranted categorization; clear terminology would enable year-on-year comparisons and support informed decision-making.</w:t>
      </w:r>
    </w:p>
    <w:p w14:paraId="78876183" w14:textId="0E62C13B" w:rsidR="00672E41" w:rsidRPr="00672E41" w:rsidRDefault="00672E41" w:rsidP="00672E41">
      <w:pPr>
        <w:rPr>
          <w:rFonts w:eastAsia="Calibri" w:cs="Calibri"/>
          <w:lang w:val="en-GB"/>
        </w:rPr>
      </w:pPr>
      <w:r w:rsidRPr="00672E41">
        <w:rPr>
          <w:lang w:val="en-GB"/>
        </w:rPr>
        <w:t>2</w:t>
      </w:r>
      <w:r w:rsidR="00922CC0">
        <w:rPr>
          <w:lang w:val="en-GB"/>
        </w:rPr>
        <w:t>9</w:t>
      </w:r>
      <w:r w:rsidRPr="00672E41">
        <w:rPr>
          <w:lang w:val="en-GB"/>
        </w:rPr>
        <w:t>.</w:t>
      </w:r>
      <w:r w:rsidR="002B14CE">
        <w:rPr>
          <w:lang w:val="en-GB"/>
        </w:rPr>
        <w:t>5</w:t>
      </w:r>
      <w:r w:rsidRPr="00672E41">
        <w:rPr>
          <w:lang w:val="en-GB"/>
        </w:rPr>
        <w:tab/>
        <w:t xml:space="preserve">The Chief of the Oversight Unit, responding to questions raised, said that the number of fraud and corruption cases reported had been in line with expectations; the cases related predominantly to entitlements fraud and remedial action had been undertaken by HRMD. One fraud case had been substantiated on a human resources-related matter, the elements of which had been addressed by HRMD. The rates of conversion and substantiation were also largely in line with global standards; industry benchmarks and best practices suggested that mature compliance functions converted between 40 and 60 per cent of allegations into formal investigations. The rate of 50 per cent admissibility was not deemed to be a concern. Out-of-mandate determinations were part of the Oversight Unit’s role as a record keeper. The Oversight Unit was new, and had conducted a lot of outreach which had contributed to the increase in reports. The increase in activity was not surprising, nor was the fact that not all allegations were within the Unit’s mandate, which would likely improve with further outreach. While a backlog had developed due to increased caseload and resource pressures, the contributing factors had been reported to IMAC and addressed with short-term resources. There was one permanent P.4 investigator post, which had been supplemented by a short-term P.4 position valid until July 2026, the renewal of which was currently under review. A short-term P.2 oversight officer was also </w:t>
      </w:r>
      <w:proofErr w:type="gramStart"/>
      <w:r w:rsidRPr="00672E41">
        <w:rPr>
          <w:lang w:val="en-GB"/>
        </w:rPr>
        <w:t>providing assistance</w:t>
      </w:r>
      <w:proofErr w:type="gramEnd"/>
      <w:r w:rsidRPr="00672E41">
        <w:rPr>
          <w:lang w:val="en-GB"/>
        </w:rPr>
        <w:t>. Disciplinary measures were outside the mandate of the Oversight Unit and would be addressed in a report to be presented to Council by HRMD. Further measures could be taken to develop reporting in line with councillors’ requests, and to provide more detailed, disaggregated information, potentially in an information document. While noting the request for specific information on the case types categorized as “other”, the use of “other” was fully in line with United Nations investigations practice</w:t>
      </w:r>
      <w:r w:rsidRPr="00672E41">
        <w:rPr>
          <w:rFonts w:eastAsia="Calibri" w:cs="Calibri"/>
          <w:lang w:val="en-GB"/>
        </w:rPr>
        <w:t xml:space="preserve">. </w:t>
      </w:r>
    </w:p>
    <w:p w14:paraId="7CB4C84F" w14:textId="5A59C6BA" w:rsidR="00672E41" w:rsidRPr="00672E41" w:rsidRDefault="00672E41" w:rsidP="00672E41">
      <w:pPr>
        <w:spacing w:line="259" w:lineRule="auto"/>
        <w:rPr>
          <w:rFonts w:eastAsia="Calibri" w:cs="Calibri"/>
          <w:szCs w:val="24"/>
          <w:lang w:val="en-GB"/>
        </w:rPr>
      </w:pPr>
      <w:r w:rsidRPr="00672E41">
        <w:rPr>
          <w:rFonts w:eastAsia="Calibri" w:cs="Calibri"/>
          <w:spacing w:val="-4"/>
          <w:szCs w:val="24"/>
          <w:lang w:val="en-GB"/>
        </w:rPr>
        <w:t>2</w:t>
      </w:r>
      <w:r w:rsidR="00922CC0">
        <w:rPr>
          <w:rFonts w:eastAsia="Calibri" w:cs="Calibri"/>
          <w:spacing w:val="-4"/>
          <w:szCs w:val="24"/>
          <w:lang w:val="en-GB"/>
        </w:rPr>
        <w:t>9</w:t>
      </w:r>
      <w:r w:rsidRPr="00672E41">
        <w:rPr>
          <w:rFonts w:eastAsia="Calibri" w:cs="Calibri"/>
          <w:spacing w:val="-4"/>
          <w:szCs w:val="24"/>
          <w:lang w:val="en-GB"/>
        </w:rPr>
        <w:t>.</w:t>
      </w:r>
      <w:r w:rsidR="002B14CE">
        <w:rPr>
          <w:rFonts w:eastAsia="Calibri" w:cs="Calibri"/>
          <w:spacing w:val="-4"/>
          <w:szCs w:val="24"/>
          <w:lang w:val="en-GB"/>
        </w:rPr>
        <w:t>6</w:t>
      </w:r>
      <w:r w:rsidRPr="00672E41">
        <w:rPr>
          <w:rFonts w:eastAsia="Calibri" w:cs="Calibri"/>
          <w:szCs w:val="24"/>
          <w:lang w:val="en-GB"/>
        </w:rPr>
        <w:tab/>
        <w:t xml:space="preserve">The committee </w:t>
      </w:r>
      <w:r w:rsidRPr="00672E41">
        <w:rPr>
          <w:rFonts w:eastAsia="Calibri" w:cs="Calibri"/>
          <w:b/>
          <w:bCs/>
          <w:szCs w:val="24"/>
          <w:lang w:val="en-GB"/>
        </w:rPr>
        <w:t>agreed</w:t>
      </w:r>
      <w:r w:rsidRPr="00672E41">
        <w:rPr>
          <w:rFonts w:eastAsia="Calibri" w:cs="Calibri"/>
          <w:szCs w:val="24"/>
          <w:lang w:val="en-GB"/>
        </w:rPr>
        <w:t xml:space="preserve"> to conclude as follows on the matter:</w:t>
      </w:r>
    </w:p>
    <w:p w14:paraId="264C7ED5" w14:textId="75953DFD" w:rsidR="00672E41" w:rsidRPr="00672E41" w:rsidRDefault="00672E41" w:rsidP="00AA406B">
      <w:pPr>
        <w:pBdr>
          <w:top w:val="single" w:sz="4" w:space="4" w:color="000000"/>
          <w:left w:val="single" w:sz="4" w:space="4" w:color="000000"/>
          <w:bottom w:val="single" w:sz="4" w:space="4" w:color="000000"/>
          <w:right w:val="single" w:sz="4" w:space="4" w:color="000000"/>
        </w:pBdr>
        <w:spacing w:line="259" w:lineRule="auto"/>
        <w:rPr>
          <w:lang w:val="en-GB"/>
        </w:rPr>
      </w:pPr>
      <w:r w:rsidRPr="00672E41">
        <w:rPr>
          <w:rFonts w:eastAsia="Calibri" w:cs="Calibri"/>
          <w:szCs w:val="24"/>
          <w:lang w:val="en-GB"/>
        </w:rPr>
        <w:t>2</w:t>
      </w:r>
      <w:r w:rsidR="00922CC0">
        <w:rPr>
          <w:rFonts w:eastAsia="Calibri" w:cs="Calibri"/>
          <w:szCs w:val="24"/>
          <w:lang w:val="en-GB"/>
        </w:rPr>
        <w:t>9</w:t>
      </w:r>
      <w:r w:rsidRPr="00672E41">
        <w:rPr>
          <w:rFonts w:eastAsia="Calibri" w:cs="Calibri"/>
          <w:szCs w:val="24"/>
          <w:lang w:val="en-GB"/>
        </w:rPr>
        <w:t>.</w:t>
      </w:r>
      <w:r w:rsidR="00981FF1">
        <w:rPr>
          <w:rFonts w:eastAsia="Calibri" w:cs="Calibri"/>
          <w:szCs w:val="24"/>
          <w:lang w:val="en-GB"/>
        </w:rPr>
        <w:t>7</w:t>
      </w:r>
      <w:r w:rsidRPr="00672E41">
        <w:rPr>
          <w:lang w:val="en-GB"/>
        </w:rPr>
        <w:tab/>
        <w:t>The committee recommends that the Council:</w:t>
      </w:r>
    </w:p>
    <w:p w14:paraId="3E758A4B" w14:textId="0D40D791" w:rsidR="00672E41" w:rsidRDefault="00672E41" w:rsidP="00AA406B">
      <w:pPr>
        <w:pBdr>
          <w:top w:val="single" w:sz="4" w:space="4" w:color="000000"/>
          <w:left w:val="single" w:sz="4" w:space="4" w:color="000000"/>
          <w:bottom w:val="single" w:sz="4" w:space="4" w:color="000000"/>
          <w:right w:val="single" w:sz="4" w:space="4" w:color="000000"/>
        </w:pBdr>
        <w:spacing w:before="80" w:line="259" w:lineRule="auto"/>
        <w:rPr>
          <w:lang w:val="en-GB"/>
        </w:rPr>
      </w:pPr>
      <w:r w:rsidRPr="00672E41">
        <w:rPr>
          <w:lang w:val="en-GB"/>
        </w:rPr>
        <w:t>•</w:t>
      </w:r>
      <w:r w:rsidRPr="00672E41">
        <w:rPr>
          <w:lang w:val="en-GB"/>
        </w:rPr>
        <w:tab/>
        <w:t xml:space="preserve">note the report contained in Document </w:t>
      </w:r>
      <w:hyperlink r:id="rId113" w:history="1">
        <w:r w:rsidRPr="001875C9">
          <w:rPr>
            <w:rStyle w:val="Hyperlink"/>
            <w:rFonts w:cs="Times New Roman"/>
            <w:szCs w:val="20"/>
            <w:lang w:val="en-GB"/>
          </w:rPr>
          <w:t>C26/39</w:t>
        </w:r>
      </w:hyperlink>
      <w:r w:rsidR="009453D5">
        <w:rPr>
          <w:lang w:val="en-GB"/>
        </w:rPr>
        <w:t>;</w:t>
      </w:r>
    </w:p>
    <w:p w14:paraId="6B014465" w14:textId="611F923B" w:rsidR="009453D5" w:rsidRDefault="009453D5"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672E41">
        <w:rPr>
          <w:lang w:val="en-GB"/>
        </w:rPr>
        <w:t>•</w:t>
      </w:r>
      <w:r w:rsidRPr="00672E41">
        <w:rPr>
          <w:lang w:val="en-GB"/>
        </w:rPr>
        <w:tab/>
      </w:r>
      <w:r>
        <w:rPr>
          <w:lang w:val="en-GB"/>
        </w:rPr>
        <w:t>encourage the secretariat to take the necessary measures to ensure that filed cases are considered on a factual and legal basis;</w:t>
      </w:r>
      <w:r w:rsidRPr="009453D5">
        <w:rPr>
          <w:rFonts w:cs="Calibri"/>
          <w:szCs w:val="24"/>
          <w:lang w:val="en-GB"/>
        </w:rPr>
        <w:t xml:space="preserve"> </w:t>
      </w:r>
      <w:r>
        <w:rPr>
          <w:rFonts w:cs="Calibri"/>
          <w:szCs w:val="24"/>
          <w:lang w:val="en-GB"/>
        </w:rPr>
        <w:t>and</w:t>
      </w:r>
    </w:p>
    <w:p w14:paraId="3AC82C68" w14:textId="5F13089C" w:rsidR="009453D5" w:rsidRPr="00672E41" w:rsidRDefault="009453D5" w:rsidP="00AA406B">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Pr>
          <w:lang w:val="en-GB"/>
        </w:rPr>
        <w:t>instruct the secretariat to provide an updated report by 31 July 2026, with information requested during the Council discussions, including on the capacity of the investigation function and the adequacy of the resources allocated to it.</w:t>
      </w:r>
    </w:p>
    <w:p w14:paraId="6F9F423F" w14:textId="0A66009E" w:rsidR="00712C73" w:rsidRPr="00EA5615" w:rsidRDefault="00922CC0" w:rsidP="00AA406B">
      <w:pPr>
        <w:pStyle w:val="Heading1"/>
        <w:rPr>
          <w:szCs w:val="28"/>
          <w:lang w:val="en-GB"/>
        </w:rPr>
      </w:pPr>
      <w:r>
        <w:rPr>
          <w:bCs/>
          <w:lang w:val="en-GB"/>
        </w:rPr>
        <w:t>30</w:t>
      </w:r>
      <w:r w:rsidR="0040768C" w:rsidRPr="00EA5615">
        <w:rPr>
          <w:bCs/>
          <w:lang w:val="en-GB"/>
        </w:rPr>
        <w:tab/>
      </w:r>
      <w:r w:rsidR="0040768C" w:rsidRPr="00EA5615">
        <w:rPr>
          <w:lang w:val="en-GB"/>
        </w:rPr>
        <w:t>Report from the Oversight Unit</w:t>
      </w:r>
      <w:r w:rsidR="0040768C">
        <w:rPr>
          <w:lang w:val="en-GB"/>
        </w:rPr>
        <w:t xml:space="preserve"> on the </w:t>
      </w:r>
      <w:r w:rsidR="00712C73" w:rsidRPr="00EA5615">
        <w:rPr>
          <w:szCs w:val="28"/>
          <w:lang w:val="en-GB"/>
        </w:rPr>
        <w:t xml:space="preserve">two-year evaluation plan (2026-2027) (Document </w:t>
      </w:r>
      <w:hyperlink r:id="rId114" w:history="1">
        <w:r w:rsidR="00712C73" w:rsidRPr="00EA5615">
          <w:rPr>
            <w:bCs/>
            <w:color w:val="4F81BD" w:themeColor="accent1"/>
            <w:szCs w:val="28"/>
            <w:u w:val="single"/>
            <w:lang w:val="en-GB"/>
          </w:rPr>
          <w:t>C26/45</w:t>
        </w:r>
      </w:hyperlink>
      <w:r w:rsidR="00712C73" w:rsidRPr="00EA5615">
        <w:rPr>
          <w:szCs w:val="28"/>
          <w:lang w:val="en-GB"/>
        </w:rPr>
        <w:t>)</w:t>
      </w:r>
    </w:p>
    <w:p w14:paraId="61D01408" w14:textId="5889E2B7" w:rsidR="00BA060D" w:rsidRPr="004D6EAA" w:rsidRDefault="00922CC0" w:rsidP="00AA406B">
      <w:pPr>
        <w:keepNext/>
        <w:keepLines/>
        <w:rPr>
          <w:lang w:val="en-GB"/>
        </w:rPr>
      </w:pPr>
      <w:r>
        <w:rPr>
          <w:rFonts w:eastAsia="Calibri" w:cs="Calibri"/>
          <w:lang w:val="en-GB"/>
        </w:rPr>
        <w:t>30</w:t>
      </w:r>
      <w:r w:rsidR="000C6297" w:rsidRPr="004D6EAA">
        <w:rPr>
          <w:rFonts w:eastAsia="Calibri" w:cs="Calibri"/>
          <w:lang w:val="en-GB"/>
        </w:rPr>
        <w:t>.</w:t>
      </w:r>
      <w:r w:rsidR="004E7E22">
        <w:rPr>
          <w:rFonts w:eastAsia="Calibri" w:cs="Calibri"/>
          <w:lang w:val="en-GB"/>
        </w:rPr>
        <w:t>1</w:t>
      </w:r>
      <w:r w:rsidR="000C6297" w:rsidRPr="004D6EAA">
        <w:rPr>
          <w:lang w:val="en-GB"/>
        </w:rPr>
        <w:tab/>
      </w:r>
      <w:r w:rsidR="00BA060D" w:rsidRPr="004D6EAA">
        <w:rPr>
          <w:lang w:val="en-GB"/>
        </w:rPr>
        <w:t xml:space="preserve">The Chief of the Oversight Unit introduced Document C26/45, containing the plan for </w:t>
      </w:r>
      <w:r w:rsidR="00BA060D" w:rsidRPr="004D6EAA">
        <w:rPr>
          <w:spacing w:val="-2"/>
          <w:lang w:val="en-GB"/>
        </w:rPr>
        <w:t>centralized and decentralized evaluations for</w:t>
      </w:r>
      <w:r w:rsidR="00BA060D" w:rsidRPr="004D6EAA">
        <w:rPr>
          <w:lang w:val="en-GB"/>
        </w:rPr>
        <w:t xml:space="preserve"> 2026-2027 to be conducted by the evaluation function of the Oversight Unit, for Council consideration in line with the ITU Internal Oversight Charter. </w:t>
      </w:r>
    </w:p>
    <w:p w14:paraId="069D73BE" w14:textId="7981D7D2" w:rsidR="00BA060D" w:rsidRPr="004D6EAA" w:rsidRDefault="00922CC0" w:rsidP="00AA406B">
      <w:pPr>
        <w:keepNext/>
        <w:keepLines/>
        <w:rPr>
          <w:lang w:val="en-GB"/>
        </w:rPr>
      </w:pPr>
      <w:r>
        <w:rPr>
          <w:lang w:val="en-GB"/>
        </w:rPr>
        <w:t>30</w:t>
      </w:r>
      <w:r w:rsidR="00BA060D" w:rsidRPr="7536FCA6">
        <w:rPr>
          <w:lang w:val="en-GB"/>
        </w:rPr>
        <w:t>.</w:t>
      </w:r>
      <w:r w:rsidR="004E7E22" w:rsidRPr="7536FCA6">
        <w:rPr>
          <w:lang w:val="en-GB"/>
        </w:rPr>
        <w:t>2</w:t>
      </w:r>
      <w:r w:rsidR="00BA060D" w:rsidRPr="00CC58A7">
        <w:rPr>
          <w:lang w:val="en-GB"/>
        </w:rPr>
        <w:tab/>
      </w:r>
      <w:r w:rsidR="00BA060D" w:rsidRPr="7536FCA6">
        <w:rPr>
          <w:lang w:val="en-GB"/>
        </w:rPr>
        <w:t>Councillors welcomed the plan and hoped that the new evaluation function would yield positive results. Questions were raised regarding practical aspects of the oversight function, including by which criteria the Oversight Unit would decide whether to conduct a rapid assessment or a standard evaluation, and what the timeframes were for each. One councillor suggested that an overriding goal should be included in the evaluation plan. Councillors wished to know how the areas for evaluation had been identified, whether the Council would have the opportunity to review them, and whether an assessment of the evaluations would be conducted with results reported back to the Council. Questions were raised regarding the format of the evaluation recommendations, and how their implementation would be monitored; would a recommendation dashboard be set up? Councillors requested clarification on how the evaluation function would be staffed, and suggested that a cost–benefit analysis should be conducted of the consultancy-based model. One councillor supported the review of the ICT-DF but cautioned that, at the current juncture, an evaluation of AI for Good would be premature. An observer welcomed the evaluation function as a key aspect of results-based management and suggested that a Member State contact group could be set up, similar to the United Nations Evaluation Group (UNEG). An informal briefing for Member States would be useful to share more detailed information on the evaluation function as it developed. ITU transformation and human resources should be evaluated.</w:t>
      </w:r>
    </w:p>
    <w:p w14:paraId="6FCAB899" w14:textId="6DF5DFB3" w:rsidR="000C6297" w:rsidRPr="004D6EAA" w:rsidRDefault="00922CC0" w:rsidP="00BA060D">
      <w:pPr>
        <w:spacing w:line="259" w:lineRule="auto"/>
        <w:rPr>
          <w:rFonts w:eastAsia="Calibri" w:cs="Calibri"/>
          <w:lang w:val="en-GB"/>
        </w:rPr>
      </w:pPr>
      <w:r>
        <w:rPr>
          <w:lang w:val="en-GB"/>
        </w:rPr>
        <w:t>30</w:t>
      </w:r>
      <w:r w:rsidR="00BA060D" w:rsidRPr="004D6EAA">
        <w:rPr>
          <w:lang w:val="en-GB"/>
        </w:rPr>
        <w:t>.</w:t>
      </w:r>
      <w:r w:rsidR="004E7E22">
        <w:rPr>
          <w:lang w:val="en-GB"/>
        </w:rPr>
        <w:t>3</w:t>
      </w:r>
      <w:r w:rsidR="00BA060D" w:rsidRPr="00CC58A7">
        <w:rPr>
          <w:lang w:val="en-GB"/>
        </w:rPr>
        <w:tab/>
      </w:r>
      <w:r w:rsidR="00BA060D" w:rsidRPr="004D6EAA">
        <w:rPr>
          <w:lang w:val="en-GB"/>
        </w:rPr>
        <w:t xml:space="preserve">The Chief of the Oversight Unit said that due note had been taken of the concerns regarding the evaluation of AI for Good and the request for transformation and human resources evaluations. The evaluation plan had been drawn up in an extensive consultative process, including with senior management, and consideration was given to the risk and practicalities of conducting the evaluations and their potential for providing useful feedback for improving the functions of the organization. Consideration had been given to using rapid assessments in the first year of evaluations to manage expectations, in line with resource availability. Standard evaluations would be more comprehensive and robust and would require more resources. </w:t>
      </w:r>
      <w:r w:rsidR="644F0E1B" w:rsidRPr="00DC5279">
        <w:rPr>
          <w:szCs w:val="24"/>
          <w:lang w:val="en-GB"/>
        </w:rPr>
        <w:t xml:space="preserve">Rapid Assessments </w:t>
      </w:r>
      <w:r w:rsidR="007D47C3">
        <w:rPr>
          <w:szCs w:val="24"/>
          <w:lang w:val="en-GB"/>
        </w:rPr>
        <w:t>we</w:t>
      </w:r>
      <w:r w:rsidR="644F0E1B" w:rsidRPr="00DC5279">
        <w:rPr>
          <w:szCs w:val="24"/>
          <w:lang w:val="en-GB"/>
        </w:rPr>
        <w:t>re a practical means of delivering evidence that ha</w:t>
      </w:r>
      <w:r w:rsidR="002C1F3B">
        <w:rPr>
          <w:szCs w:val="24"/>
          <w:lang w:val="en-GB"/>
        </w:rPr>
        <w:t>d</w:t>
      </w:r>
      <w:r w:rsidR="644F0E1B" w:rsidRPr="00C44A2E">
        <w:rPr>
          <w:szCs w:val="24"/>
          <w:lang w:val="en-GB"/>
        </w:rPr>
        <w:t xml:space="preserve"> utility in shorter time</w:t>
      </w:r>
      <w:r w:rsidR="002C1F3B">
        <w:rPr>
          <w:szCs w:val="24"/>
          <w:lang w:val="en-GB"/>
        </w:rPr>
        <w:t>-</w:t>
      </w:r>
      <w:r w:rsidR="644F0E1B" w:rsidRPr="00DC5279">
        <w:rPr>
          <w:szCs w:val="24"/>
          <w:lang w:val="en-GB"/>
        </w:rPr>
        <w:t xml:space="preserve">frames with </w:t>
      </w:r>
      <w:r w:rsidR="00A01021">
        <w:rPr>
          <w:szCs w:val="24"/>
          <w:lang w:val="en-GB"/>
        </w:rPr>
        <w:t xml:space="preserve">fewer </w:t>
      </w:r>
      <w:r w:rsidR="644F0E1B" w:rsidRPr="00DC5279">
        <w:rPr>
          <w:szCs w:val="24"/>
          <w:lang w:val="en-GB"/>
        </w:rPr>
        <w:t xml:space="preserve">resources available. </w:t>
      </w:r>
      <w:r w:rsidR="00BA060D" w:rsidRPr="004D6EAA">
        <w:rPr>
          <w:lang w:val="en-GB"/>
        </w:rPr>
        <w:t>An overall goal could be added to the mission statement at the beginning of the evaluation plan. Work was ongoing on the evaluation framework and policy, and a framework for each individual evaluation would be drawn up in the scoping phase</w:t>
      </w:r>
      <w:r w:rsidR="5365ED4B" w:rsidRPr="078318D3">
        <w:rPr>
          <w:lang w:val="en-GB"/>
        </w:rPr>
        <w:t xml:space="preserve"> and w</w:t>
      </w:r>
      <w:r w:rsidR="00A01021">
        <w:rPr>
          <w:lang w:val="en-GB"/>
        </w:rPr>
        <w:t>ould</w:t>
      </w:r>
      <w:r w:rsidR="5365ED4B" w:rsidRPr="078318D3">
        <w:rPr>
          <w:lang w:val="en-GB"/>
        </w:rPr>
        <w:t xml:space="preserve"> be presented in Terms of Reference.</w:t>
      </w:r>
      <w:r w:rsidR="00BA060D" w:rsidRPr="004D6EAA">
        <w:rPr>
          <w:lang w:val="en-GB"/>
        </w:rPr>
        <w:t xml:space="preserve"> The recommendation format would follow UNEG guidelines and implementation of the recommendations would be tracked through a dashboard. Evaluation reports would be publicly available and the Oversight Unit would report annually to the Council. </w:t>
      </w:r>
      <w:r w:rsidR="00BA060D" w:rsidRPr="078318D3">
        <w:rPr>
          <w:lang w:val="en-GB"/>
        </w:rPr>
        <w:t xml:space="preserve">A selection review panel would be set up for </w:t>
      </w:r>
      <w:r w:rsidR="13CF59F6" w:rsidRPr="078318D3">
        <w:rPr>
          <w:lang w:val="en-GB"/>
        </w:rPr>
        <w:t>the selection of the evaluation team or evaluator(s) wh</w:t>
      </w:r>
      <w:r w:rsidR="00182339">
        <w:rPr>
          <w:lang w:val="en-GB"/>
        </w:rPr>
        <w:t>o</w:t>
      </w:r>
      <w:r w:rsidR="13CF59F6" w:rsidRPr="078318D3">
        <w:rPr>
          <w:lang w:val="en-GB"/>
        </w:rPr>
        <w:t xml:space="preserve"> w</w:t>
      </w:r>
      <w:r w:rsidR="00182339">
        <w:rPr>
          <w:lang w:val="en-GB"/>
        </w:rPr>
        <w:t>ould</w:t>
      </w:r>
      <w:r w:rsidR="13CF59F6" w:rsidRPr="078318D3">
        <w:rPr>
          <w:lang w:val="en-GB"/>
        </w:rPr>
        <w:t xml:space="preserve"> undertake the selection in a transparent and criteria</w:t>
      </w:r>
      <w:r w:rsidR="00182339">
        <w:rPr>
          <w:lang w:val="en-GB"/>
        </w:rPr>
        <w:t>-</w:t>
      </w:r>
      <w:r w:rsidR="13CF59F6" w:rsidRPr="078318D3">
        <w:rPr>
          <w:lang w:val="en-GB"/>
        </w:rPr>
        <w:t>based fashion.</w:t>
      </w:r>
    </w:p>
    <w:p w14:paraId="4F18BAFE" w14:textId="19CB9E04" w:rsidR="000C6297" w:rsidRPr="004D6EAA" w:rsidRDefault="00922CC0" w:rsidP="00AA406B">
      <w:pPr>
        <w:keepNext/>
        <w:keepLines/>
        <w:spacing w:line="259" w:lineRule="auto"/>
        <w:rPr>
          <w:rFonts w:eastAsia="Calibri" w:cs="Calibri"/>
          <w:szCs w:val="24"/>
          <w:lang w:val="en-GB"/>
        </w:rPr>
      </w:pPr>
      <w:r>
        <w:rPr>
          <w:rFonts w:eastAsia="Calibri" w:cs="Calibri"/>
          <w:spacing w:val="-4"/>
          <w:szCs w:val="24"/>
          <w:lang w:val="en-GB"/>
        </w:rPr>
        <w:t>30</w:t>
      </w:r>
      <w:r w:rsidR="000C6297" w:rsidRPr="004D6EAA">
        <w:rPr>
          <w:rFonts w:eastAsia="Calibri" w:cs="Calibri"/>
          <w:spacing w:val="-4"/>
          <w:szCs w:val="24"/>
          <w:lang w:val="en-GB"/>
        </w:rPr>
        <w:t>.</w:t>
      </w:r>
      <w:r w:rsidR="004E7E22">
        <w:rPr>
          <w:rFonts w:eastAsia="Calibri" w:cs="Calibri"/>
          <w:spacing w:val="-4"/>
          <w:szCs w:val="24"/>
          <w:lang w:val="en-GB"/>
        </w:rPr>
        <w:t>4</w:t>
      </w:r>
      <w:r w:rsidR="000C6297" w:rsidRPr="004D6EAA">
        <w:rPr>
          <w:rFonts w:eastAsia="Calibri" w:cs="Calibri"/>
          <w:szCs w:val="24"/>
          <w:lang w:val="en-GB"/>
        </w:rPr>
        <w:tab/>
        <w:t xml:space="preserve">The committee </w:t>
      </w:r>
      <w:r w:rsidR="000C6297" w:rsidRPr="004D6EAA">
        <w:rPr>
          <w:rFonts w:eastAsia="Calibri" w:cs="Calibri"/>
          <w:b/>
          <w:bCs/>
          <w:szCs w:val="24"/>
          <w:lang w:val="en-GB"/>
        </w:rPr>
        <w:t>agreed</w:t>
      </w:r>
      <w:r w:rsidR="000C6297" w:rsidRPr="004D6EAA">
        <w:rPr>
          <w:rFonts w:eastAsia="Calibri" w:cs="Calibri"/>
          <w:szCs w:val="24"/>
          <w:lang w:val="en-GB"/>
        </w:rPr>
        <w:t xml:space="preserve"> to conclude as follows on the matter:</w:t>
      </w:r>
    </w:p>
    <w:p w14:paraId="2B8D1A72" w14:textId="55FF8D9D" w:rsidR="00232AD9" w:rsidRPr="004D6EAA" w:rsidRDefault="00922CC0" w:rsidP="00AA406B">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Pr>
          <w:rFonts w:eastAsia="Calibri" w:cs="Calibri"/>
          <w:szCs w:val="24"/>
          <w:lang w:val="en-GB"/>
        </w:rPr>
        <w:t>30</w:t>
      </w:r>
      <w:r w:rsidR="000C6297" w:rsidRPr="004D6EAA">
        <w:rPr>
          <w:rFonts w:eastAsia="Calibri" w:cs="Calibri"/>
          <w:szCs w:val="24"/>
          <w:lang w:val="en-GB"/>
        </w:rPr>
        <w:t>.</w:t>
      </w:r>
      <w:r w:rsidR="004E7E22">
        <w:rPr>
          <w:rFonts w:eastAsia="Calibri" w:cs="Calibri"/>
          <w:szCs w:val="24"/>
          <w:lang w:val="en-GB"/>
        </w:rPr>
        <w:t>5</w:t>
      </w:r>
      <w:r w:rsidR="000C6297" w:rsidRPr="004D6EAA">
        <w:rPr>
          <w:lang w:val="en-GB"/>
        </w:rPr>
        <w:tab/>
        <w:t>The committee recommends that the Council:</w:t>
      </w:r>
    </w:p>
    <w:p w14:paraId="02CA9465" w14:textId="7BA230A5" w:rsidR="000C6297" w:rsidRPr="004D6EAA" w:rsidRDefault="000C6297" w:rsidP="00C44A2E">
      <w:pPr>
        <w:keepNext/>
        <w:keepLines/>
        <w:pBdr>
          <w:top w:val="single" w:sz="4" w:space="4" w:color="000000"/>
          <w:left w:val="single" w:sz="4" w:space="4" w:color="000000"/>
          <w:bottom w:val="single" w:sz="4" w:space="4" w:color="000000"/>
          <w:right w:val="single" w:sz="4" w:space="4" w:color="000000"/>
        </w:pBdr>
        <w:spacing w:before="80" w:line="259" w:lineRule="auto"/>
        <w:rPr>
          <w:lang w:val="en-GB"/>
        </w:rPr>
      </w:pPr>
      <w:r w:rsidRPr="004D6EAA">
        <w:rPr>
          <w:lang w:val="en-GB"/>
        </w:rPr>
        <w:t>•</w:t>
      </w:r>
      <w:r w:rsidRPr="004D6EAA">
        <w:rPr>
          <w:lang w:val="en-GB"/>
        </w:rPr>
        <w:tab/>
      </w:r>
      <w:r w:rsidR="00232AD9" w:rsidRPr="004D6EAA">
        <w:rPr>
          <w:lang w:val="en-GB"/>
        </w:rPr>
        <w:t xml:space="preserve">note the report contained in Document </w:t>
      </w:r>
      <w:hyperlink r:id="rId115" w:history="1">
        <w:r w:rsidR="00232AD9" w:rsidRPr="004E7E22">
          <w:rPr>
            <w:rStyle w:val="Hyperlink"/>
            <w:rFonts w:cs="Times New Roman"/>
            <w:szCs w:val="20"/>
            <w:lang w:val="en-GB"/>
          </w:rPr>
          <w:t>C26/45</w:t>
        </w:r>
      </w:hyperlink>
      <w:r w:rsidRPr="004D6EAA">
        <w:rPr>
          <w:rFonts w:cs="Calibri"/>
          <w:szCs w:val="24"/>
          <w:lang w:val="en-GB"/>
        </w:rPr>
        <w:t>.</w:t>
      </w:r>
    </w:p>
    <w:p w14:paraId="4BBD6ACA" w14:textId="47E8A4AA" w:rsidR="00712C73" w:rsidRPr="00EA5615" w:rsidRDefault="00922CC0" w:rsidP="00C44A2E">
      <w:pPr>
        <w:pStyle w:val="Headingb"/>
        <w:tabs>
          <w:tab w:val="clear" w:pos="567"/>
          <w:tab w:val="left" w:pos="720"/>
        </w:tabs>
        <w:spacing w:before="360"/>
        <w:ind w:left="630" w:hanging="630"/>
        <w:rPr>
          <w:sz w:val="28"/>
          <w:szCs w:val="28"/>
          <w:lang w:val="en-GB"/>
        </w:rPr>
      </w:pPr>
      <w:r>
        <w:rPr>
          <w:bCs/>
          <w:lang w:val="en-GB"/>
        </w:rPr>
        <w:t>31</w:t>
      </w:r>
      <w:r w:rsidR="00FC59CB" w:rsidRPr="00EA5615">
        <w:rPr>
          <w:bCs/>
          <w:lang w:val="en-GB"/>
        </w:rPr>
        <w:tab/>
      </w:r>
      <w:r w:rsidR="00712C73" w:rsidRPr="00EA5615">
        <w:rPr>
          <w:sz w:val="28"/>
          <w:szCs w:val="28"/>
          <w:lang w:val="en-GB"/>
        </w:rPr>
        <w:t xml:space="preserve">Handling of allegations against Elected Officials by the Chair of Council from June 2025 to April 2026 (Document </w:t>
      </w:r>
      <w:hyperlink r:id="rId116" w:history="1">
        <w:r w:rsidR="00712C73" w:rsidRPr="00EA5615">
          <w:rPr>
            <w:bCs/>
            <w:color w:val="4F81BD" w:themeColor="accent1"/>
            <w:sz w:val="28"/>
            <w:szCs w:val="28"/>
            <w:u w:val="single"/>
            <w:lang w:val="en-GB"/>
          </w:rPr>
          <w:t>C26/110</w:t>
        </w:r>
      </w:hyperlink>
      <w:r w:rsidR="00712C73" w:rsidRPr="00EA5615">
        <w:rPr>
          <w:sz w:val="28"/>
          <w:szCs w:val="28"/>
          <w:lang w:val="en-GB"/>
        </w:rPr>
        <w:t>)</w:t>
      </w:r>
    </w:p>
    <w:p w14:paraId="5619667E" w14:textId="247C5A2D" w:rsidR="003D3B60" w:rsidRPr="0026122C" w:rsidRDefault="00922CC0" w:rsidP="00F340FA">
      <w:pPr>
        <w:rPr>
          <w:lang w:val="en-GB"/>
        </w:rPr>
      </w:pPr>
      <w:r>
        <w:rPr>
          <w:rFonts w:eastAsia="Calibri" w:cs="Calibri"/>
          <w:lang w:val="en-GB"/>
        </w:rPr>
        <w:t>31</w:t>
      </w:r>
      <w:r w:rsidR="00270842" w:rsidRPr="0026122C">
        <w:rPr>
          <w:rFonts w:eastAsia="Calibri" w:cs="Calibri"/>
          <w:lang w:val="en-GB"/>
        </w:rPr>
        <w:t>.1</w:t>
      </w:r>
      <w:r w:rsidR="00270842" w:rsidRPr="00F24E3C">
        <w:rPr>
          <w:lang w:val="en-GB"/>
        </w:rPr>
        <w:tab/>
      </w:r>
      <w:r w:rsidR="003D3B60" w:rsidRPr="0026122C">
        <w:rPr>
          <w:lang w:val="en-GB"/>
        </w:rPr>
        <w:t xml:space="preserve">The Chair of Council-25 introduced her report, contained in Document C26/110, on </w:t>
      </w:r>
      <w:r w:rsidR="00835534" w:rsidRPr="0013084B">
        <w:rPr>
          <w:lang w:val="en-GB"/>
        </w:rPr>
        <w:t xml:space="preserve">the handling of allegations concerning elected officials during the period June 2025 to April 2026. The report provided anonymized and aggregated information in line with the "limited need-to-know" principle under the ITU </w:t>
      </w:r>
      <w:r w:rsidR="00456F1E" w:rsidRPr="0013084B">
        <w:rPr>
          <w:lang w:val="en-GB"/>
        </w:rPr>
        <w:t xml:space="preserve">Internal </w:t>
      </w:r>
      <w:r w:rsidR="00835534" w:rsidRPr="0013084B">
        <w:rPr>
          <w:lang w:val="en-GB"/>
        </w:rPr>
        <w:t xml:space="preserve">Oversight Charter. The Chair recalled that all information relating to misconduct allegations remained strictly confidential and outlined the applicable process under the Charter, including the use of </w:t>
      </w:r>
      <w:r w:rsidR="00CB78C6" w:rsidRPr="0013084B">
        <w:rPr>
          <w:lang w:val="en-GB"/>
        </w:rPr>
        <w:t>e</w:t>
      </w:r>
      <w:r w:rsidR="00835534" w:rsidRPr="0013084B">
        <w:rPr>
          <w:lang w:val="en-GB"/>
        </w:rPr>
        <w:t xml:space="preserve">xternal </w:t>
      </w:r>
      <w:r w:rsidR="00CB78C6" w:rsidRPr="0013084B">
        <w:rPr>
          <w:lang w:val="en-GB"/>
        </w:rPr>
        <w:t>i</w:t>
      </w:r>
      <w:r w:rsidR="00835534" w:rsidRPr="0013084B">
        <w:rPr>
          <w:lang w:val="en-GB"/>
        </w:rPr>
        <w:t xml:space="preserve">ndependent </w:t>
      </w:r>
      <w:r w:rsidR="00CB78C6" w:rsidRPr="0013084B">
        <w:rPr>
          <w:lang w:val="en-GB"/>
        </w:rPr>
        <w:t>i</w:t>
      </w:r>
      <w:r w:rsidR="00835534" w:rsidRPr="0013084B">
        <w:rPr>
          <w:lang w:val="en-GB"/>
        </w:rPr>
        <w:t xml:space="preserve">nvestigative </w:t>
      </w:r>
      <w:r w:rsidR="00CB78C6" w:rsidRPr="0013084B">
        <w:rPr>
          <w:lang w:val="en-GB"/>
        </w:rPr>
        <w:t>e</w:t>
      </w:r>
      <w:r w:rsidR="00835534" w:rsidRPr="0013084B">
        <w:rPr>
          <w:lang w:val="en-GB"/>
        </w:rPr>
        <w:t>ntities selected through ITU procurement procedures and, where possible, established oversight bodies within the United Nations system. During the reporting period, four complaints concerning elected officials had been registered. One had been closed at intake, one had been closed following preliminary assessment, and two remained under review within the established process. The Chair emphasized that no conclusions should be drawn regarding the ongoing matters while independent review processes remained under</w:t>
      </w:r>
      <w:r w:rsidR="00E576E3" w:rsidRPr="0013084B">
        <w:rPr>
          <w:lang w:val="en-GB"/>
        </w:rPr>
        <w:t xml:space="preserve"> </w:t>
      </w:r>
      <w:r w:rsidR="00835534" w:rsidRPr="0013084B">
        <w:rPr>
          <w:lang w:val="en-GB"/>
        </w:rPr>
        <w:t>way. The Chair also noted the operationalization of the Ombudsman function as an additional avenue for the informal resolution of certain workplace concerns, including through mediation where appropriate</w:t>
      </w:r>
      <w:r w:rsidR="003D3B60" w:rsidRPr="0026122C">
        <w:rPr>
          <w:lang w:val="en-GB"/>
        </w:rPr>
        <w:t xml:space="preserve">. </w:t>
      </w:r>
    </w:p>
    <w:p w14:paraId="2327759E" w14:textId="105231C9" w:rsidR="003D3B60" w:rsidRPr="0026122C" w:rsidRDefault="00922CC0" w:rsidP="003D3B60">
      <w:pPr>
        <w:rPr>
          <w:lang w:val="en-GB"/>
        </w:rPr>
      </w:pPr>
      <w:r>
        <w:rPr>
          <w:lang w:val="en-GB"/>
        </w:rPr>
        <w:t>31</w:t>
      </w:r>
      <w:r w:rsidR="003D3B60" w:rsidRPr="0026122C">
        <w:rPr>
          <w:lang w:val="en-GB"/>
        </w:rPr>
        <w:t>.2</w:t>
      </w:r>
      <w:r w:rsidR="003D3B60" w:rsidRPr="00C44A2E">
        <w:rPr>
          <w:lang w:val="en-GB"/>
        </w:rPr>
        <w:tab/>
      </w:r>
      <w:r w:rsidR="003D3B60" w:rsidRPr="0026122C">
        <w:rPr>
          <w:lang w:val="en-GB"/>
        </w:rPr>
        <w:t xml:space="preserve">Councillors welcomed the report and commended the Council-25 Chair on her contribution to transparency and internal justice. The timely and responsive approach to addressing allegations, and the full independence of investigations was appreciated. All Member States benefitted when oversight was independent, professional and free from political interference. Clarification was sought regarding the capacity constraints </w:t>
      </w:r>
      <w:r w:rsidR="02EABE00" w:rsidRPr="3508432B">
        <w:rPr>
          <w:lang w:val="en-GB"/>
        </w:rPr>
        <w:t xml:space="preserve">of other </w:t>
      </w:r>
      <w:r w:rsidR="04571FE2" w:rsidRPr="00260974">
        <w:rPr>
          <w:lang w:val="en-GB"/>
        </w:rPr>
        <w:t xml:space="preserve">United Nations oversight </w:t>
      </w:r>
      <w:r w:rsidR="00FF58B4">
        <w:rPr>
          <w:lang w:val="en-GB"/>
        </w:rPr>
        <w:t xml:space="preserve">and </w:t>
      </w:r>
      <w:r w:rsidR="43562D2D" w:rsidRPr="6E72BAE3">
        <w:rPr>
          <w:lang w:val="en-GB"/>
        </w:rPr>
        <w:t>investig</w:t>
      </w:r>
      <w:r w:rsidR="00B81B1A">
        <w:rPr>
          <w:lang w:val="en-GB"/>
        </w:rPr>
        <w:t>a</w:t>
      </w:r>
      <w:r w:rsidR="43562D2D" w:rsidRPr="6E72BAE3">
        <w:rPr>
          <w:lang w:val="en-GB"/>
        </w:rPr>
        <w:t xml:space="preserve">tion </w:t>
      </w:r>
      <w:r w:rsidR="43562D2D" w:rsidRPr="130F5173">
        <w:rPr>
          <w:lang w:val="en-GB"/>
        </w:rPr>
        <w:t xml:space="preserve">services </w:t>
      </w:r>
      <w:r w:rsidR="003D3B60" w:rsidRPr="0026122C">
        <w:rPr>
          <w:lang w:val="en-GB"/>
        </w:rPr>
        <w:t>that had led to the engagement of external investigative bodies; information on the financial implications of those engagements would be appreciated. A clear policy was needed on the role of the Council in overseeing the investigations.</w:t>
      </w:r>
    </w:p>
    <w:p w14:paraId="2864F98D" w14:textId="7626E42B" w:rsidR="00D43BF5" w:rsidRPr="00F86C6A" w:rsidRDefault="00922CC0" w:rsidP="431DF850">
      <w:pPr>
        <w:spacing w:line="259" w:lineRule="auto"/>
        <w:rPr>
          <w:rFonts w:eastAsia="Calibri" w:cs="Calibri"/>
          <w:lang w:val="en-US"/>
        </w:rPr>
      </w:pPr>
      <w:r>
        <w:rPr>
          <w:lang w:val="en-US"/>
        </w:rPr>
        <w:t>31</w:t>
      </w:r>
      <w:r w:rsidR="003D3B60" w:rsidRPr="1459A792">
        <w:rPr>
          <w:lang w:val="en-US"/>
        </w:rPr>
        <w:t>.3</w:t>
      </w:r>
      <w:r w:rsidR="003D3B60" w:rsidRPr="00C44A2E">
        <w:rPr>
          <w:lang w:val="en-GB"/>
        </w:rPr>
        <w:tab/>
      </w:r>
      <w:r w:rsidR="003D3B60" w:rsidRPr="1459A792">
        <w:rPr>
          <w:lang w:val="en-US"/>
        </w:rPr>
        <w:t xml:space="preserve">The Chair of Council-25 said that full engagement with United Nations oversight bodies had not been possible within the required timeframe, which had resulted in the engagement of external, independent investigative entities, in line with ITU procurement rules and applicable financial procedures. In line with the Oversight Charter, only substantiated cases </w:t>
      </w:r>
      <w:r w:rsidR="00A710F6">
        <w:rPr>
          <w:lang w:val="en-US"/>
        </w:rPr>
        <w:t xml:space="preserve">of misconduct </w:t>
      </w:r>
      <w:r w:rsidR="003D3B60" w:rsidRPr="1459A792">
        <w:rPr>
          <w:lang w:val="en-US"/>
        </w:rPr>
        <w:t>would be brought to the Council</w:t>
      </w:r>
      <w:r w:rsidR="1D1231C1" w:rsidRPr="3437358E">
        <w:rPr>
          <w:lang w:val="en-US"/>
        </w:rPr>
        <w:t>.</w:t>
      </w:r>
    </w:p>
    <w:p w14:paraId="23D81128" w14:textId="4D0C2FA5" w:rsidR="00270842" w:rsidRPr="00EA5615" w:rsidRDefault="00922CC0" w:rsidP="00270842">
      <w:pPr>
        <w:spacing w:line="259" w:lineRule="auto"/>
        <w:rPr>
          <w:rFonts w:eastAsia="Calibri" w:cs="Calibri"/>
          <w:lang w:val="en-GB"/>
        </w:rPr>
      </w:pPr>
      <w:r w:rsidRPr="6D6A5C68">
        <w:rPr>
          <w:rFonts w:eastAsia="Calibri" w:cs="Calibri"/>
          <w:lang w:val="en-GB"/>
        </w:rPr>
        <w:t>31</w:t>
      </w:r>
      <w:r w:rsidR="00270842" w:rsidRPr="6D6A5C68">
        <w:rPr>
          <w:rFonts w:eastAsia="Calibri" w:cs="Calibri"/>
          <w:spacing w:val="-4"/>
          <w:lang w:val="en-GB"/>
        </w:rPr>
        <w:t>.</w:t>
      </w:r>
      <w:r w:rsidR="00935A9B" w:rsidRPr="6D6A5C68">
        <w:rPr>
          <w:rFonts w:eastAsia="Calibri" w:cs="Calibri"/>
          <w:spacing w:val="-4"/>
          <w:lang w:val="en-GB"/>
        </w:rPr>
        <w:t>4</w:t>
      </w:r>
      <w:r w:rsidR="00270842" w:rsidRPr="00EA5615">
        <w:rPr>
          <w:rFonts w:eastAsia="Calibri" w:cs="Calibri"/>
          <w:szCs w:val="24"/>
          <w:lang w:val="en-GB"/>
        </w:rPr>
        <w:tab/>
      </w:r>
      <w:r w:rsidR="00270842" w:rsidRPr="6D6A5C68">
        <w:rPr>
          <w:rFonts w:eastAsia="Calibri" w:cs="Calibri"/>
          <w:lang w:val="en-GB"/>
        </w:rPr>
        <w:t xml:space="preserve">The committee </w:t>
      </w:r>
      <w:r w:rsidR="00270842" w:rsidRPr="6D6A5C68">
        <w:rPr>
          <w:rFonts w:eastAsia="Calibri" w:cs="Calibri"/>
          <w:b/>
          <w:lang w:val="en-GB"/>
        </w:rPr>
        <w:t>agreed</w:t>
      </w:r>
      <w:r w:rsidR="00270842" w:rsidRPr="6D6A5C68">
        <w:rPr>
          <w:rFonts w:eastAsia="Calibri" w:cs="Calibri"/>
          <w:lang w:val="en-GB"/>
        </w:rPr>
        <w:t xml:space="preserve"> to conclude as follows on the matter:</w:t>
      </w:r>
    </w:p>
    <w:p w14:paraId="430F4BEA" w14:textId="1A0996C7" w:rsidR="00ED0D25" w:rsidRDefault="00922CC0" w:rsidP="00270842">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31</w:t>
      </w:r>
      <w:r w:rsidR="00270842" w:rsidRPr="6D6A5C68">
        <w:rPr>
          <w:rFonts w:eastAsia="Calibri" w:cs="Calibri"/>
          <w:lang w:val="en-GB"/>
        </w:rPr>
        <w:t>.</w:t>
      </w:r>
      <w:r w:rsidR="00935A9B" w:rsidRPr="6D6A5C68">
        <w:rPr>
          <w:rFonts w:eastAsia="Calibri" w:cs="Calibri"/>
          <w:lang w:val="en-GB"/>
        </w:rPr>
        <w:t>5</w:t>
      </w:r>
      <w:r w:rsidR="00270842" w:rsidRPr="00EA5615">
        <w:rPr>
          <w:lang w:val="en-GB"/>
        </w:rPr>
        <w:tab/>
        <w:t>The committee recommends that the Council:</w:t>
      </w:r>
    </w:p>
    <w:p w14:paraId="4DE603A1" w14:textId="0B9A84BC" w:rsidR="009453D5" w:rsidRPr="00EA5615" w:rsidRDefault="00270842" w:rsidP="001F1C54">
      <w:pPr>
        <w:pBdr>
          <w:top w:val="single" w:sz="4" w:space="4" w:color="000000"/>
          <w:left w:val="single" w:sz="4" w:space="4" w:color="000000"/>
          <w:bottom w:val="single" w:sz="4" w:space="4" w:color="000000"/>
          <w:right w:val="single" w:sz="4" w:space="4" w:color="000000"/>
        </w:pBdr>
        <w:spacing w:before="80" w:line="259" w:lineRule="auto"/>
        <w:rPr>
          <w:lang w:val="en-GB"/>
        </w:rPr>
      </w:pPr>
      <w:r w:rsidRPr="00EA5615">
        <w:rPr>
          <w:lang w:val="en-GB"/>
        </w:rPr>
        <w:t>•</w:t>
      </w:r>
      <w:r w:rsidRPr="00EA5615">
        <w:rPr>
          <w:lang w:val="en-GB"/>
        </w:rPr>
        <w:tab/>
      </w:r>
      <w:r w:rsidR="00A65E06" w:rsidRPr="0097335C">
        <w:rPr>
          <w:lang w:val="en-GB"/>
        </w:rPr>
        <w:t>note</w:t>
      </w:r>
      <w:r w:rsidR="00A65E06">
        <w:rPr>
          <w:lang w:val="en-GB"/>
        </w:rPr>
        <w:t xml:space="preserve"> the report contained in Document </w:t>
      </w:r>
      <w:hyperlink r:id="rId117" w:history="1">
        <w:r w:rsidR="00A65E06" w:rsidRPr="009C1AAD">
          <w:rPr>
            <w:rStyle w:val="Hyperlink"/>
            <w:rFonts w:cs="Times New Roman"/>
            <w:szCs w:val="20"/>
            <w:lang w:val="en-GB"/>
          </w:rPr>
          <w:t>C26/110</w:t>
        </w:r>
      </w:hyperlink>
      <w:r w:rsidR="009453D5">
        <w:rPr>
          <w:lang w:val="en-GB"/>
        </w:rPr>
        <w:t>.</w:t>
      </w:r>
    </w:p>
    <w:p w14:paraId="79C1ADD3" w14:textId="3CA47FF1" w:rsidR="00BC0894" w:rsidRPr="00EA5615" w:rsidRDefault="00922CC0" w:rsidP="00C44A2E">
      <w:pPr>
        <w:pStyle w:val="Heading1"/>
        <w:rPr>
          <w:lang w:val="en-GB"/>
        </w:rPr>
      </w:pPr>
      <w:r>
        <w:rPr>
          <w:lang w:val="en-GB"/>
        </w:rPr>
        <w:t>32</w:t>
      </w:r>
      <w:r w:rsidR="00BC0894" w:rsidRPr="00C44A2E">
        <w:rPr>
          <w:lang w:val="en-US"/>
        </w:rPr>
        <w:tab/>
      </w:r>
      <w:r w:rsidR="00BC0894" w:rsidRPr="00EA5615">
        <w:rPr>
          <w:lang w:val="en-GB"/>
        </w:rPr>
        <w:t xml:space="preserve">Fifteenth report of the Independent Management Advisory Committee (IMAC) (Document </w:t>
      </w:r>
      <w:hyperlink r:id="rId118" w:history="1">
        <w:r w:rsidR="00BC0894" w:rsidRPr="08B1BADE">
          <w:rPr>
            <w:color w:val="4F81BD" w:themeColor="accent1"/>
            <w:u w:val="single"/>
            <w:lang w:val="en-GB"/>
          </w:rPr>
          <w:t>C26/2</w:t>
        </w:r>
        <w:r w:rsidR="00A05B1E" w:rsidRPr="08B1BADE">
          <w:rPr>
            <w:color w:val="4F81BD" w:themeColor="accent1"/>
            <w:u w:val="single"/>
            <w:lang w:val="en-GB"/>
          </w:rPr>
          <w:t>2</w:t>
        </w:r>
      </w:hyperlink>
      <w:r w:rsidR="00BC0894" w:rsidRPr="08B1BADE">
        <w:rPr>
          <w:lang w:val="en-GB"/>
        </w:rPr>
        <w:t>)</w:t>
      </w:r>
    </w:p>
    <w:p w14:paraId="31290C2A" w14:textId="75EC2AA7" w:rsidR="00880043" w:rsidRDefault="00922CC0" w:rsidP="00C44A2E">
      <w:pPr>
        <w:keepNext/>
        <w:keepLines/>
        <w:rPr>
          <w:rFonts w:eastAsia="Calibri" w:cs="Calibri"/>
          <w:lang w:val="en-GB"/>
        </w:rPr>
      </w:pPr>
      <w:r>
        <w:rPr>
          <w:rFonts w:eastAsia="Calibri" w:cs="Calibri"/>
          <w:lang w:val="en-GB"/>
        </w:rPr>
        <w:t>32</w:t>
      </w:r>
      <w:r w:rsidR="00270842" w:rsidRPr="00514723">
        <w:rPr>
          <w:rFonts w:eastAsia="Calibri" w:cs="Calibri"/>
          <w:lang w:val="en-GB"/>
        </w:rPr>
        <w:t>.1</w:t>
      </w:r>
      <w:r w:rsidR="00270842" w:rsidRPr="00C44A2E">
        <w:rPr>
          <w:lang w:val="en-US"/>
        </w:rPr>
        <w:tab/>
      </w:r>
      <w:r w:rsidR="00B85277" w:rsidRPr="00195739">
        <w:rPr>
          <w:rFonts w:eastAsia="Calibri" w:cs="Calibri"/>
          <w:lang w:val="en-GB"/>
        </w:rPr>
        <w:t xml:space="preserve">The Chair of IMAC introduced the </w:t>
      </w:r>
      <w:r w:rsidR="00DE2ACF">
        <w:rPr>
          <w:rFonts w:eastAsia="Calibri" w:cs="Calibri"/>
          <w:lang w:val="en-GB"/>
        </w:rPr>
        <w:t>15</w:t>
      </w:r>
      <w:r w:rsidR="00DE2ACF" w:rsidRPr="00C44A2E">
        <w:rPr>
          <w:rFonts w:eastAsia="Calibri" w:cs="Calibri"/>
          <w:vertAlign w:val="superscript"/>
          <w:lang w:val="en-GB"/>
        </w:rPr>
        <w:t>th</w:t>
      </w:r>
      <w:r w:rsidR="00DE2ACF" w:rsidRPr="00195739">
        <w:rPr>
          <w:rFonts w:eastAsia="Calibri" w:cs="Calibri"/>
          <w:lang w:val="en-GB"/>
        </w:rPr>
        <w:t xml:space="preserve"> </w:t>
      </w:r>
      <w:r w:rsidR="00B85277" w:rsidRPr="00195739">
        <w:rPr>
          <w:rFonts w:eastAsia="Calibri" w:cs="Calibri"/>
          <w:lang w:val="en-GB"/>
        </w:rPr>
        <w:t xml:space="preserve">report of IMAC, contained in Document C25/22. He emphasized that, in discharging its duties in accordance with its </w:t>
      </w:r>
      <w:r w:rsidR="00D6671C" w:rsidRPr="00C44A2E">
        <w:rPr>
          <w:rFonts w:eastAsia="Calibri" w:cs="Calibri"/>
          <w:lang w:val="en-GB"/>
        </w:rPr>
        <w:t>Terms of Reference</w:t>
      </w:r>
      <w:r w:rsidR="00D6671C" w:rsidRPr="00D6671C">
        <w:rPr>
          <w:rFonts w:eastAsia="Calibri" w:cs="Calibri"/>
          <w:lang w:val="en-GB"/>
        </w:rPr>
        <w:t xml:space="preserve"> </w:t>
      </w:r>
      <w:r w:rsidR="00207285">
        <w:rPr>
          <w:rFonts w:eastAsia="Calibri" w:cs="Calibri"/>
          <w:lang w:val="en-GB"/>
        </w:rPr>
        <w:t>(</w:t>
      </w:r>
      <w:proofErr w:type="spellStart"/>
      <w:r w:rsidR="00B85277" w:rsidRPr="00195739">
        <w:rPr>
          <w:rFonts w:eastAsia="Calibri" w:cs="Calibri"/>
          <w:lang w:val="en-GB"/>
        </w:rPr>
        <w:t>ToR</w:t>
      </w:r>
      <w:proofErr w:type="spellEnd"/>
      <w:r w:rsidR="00207285">
        <w:rPr>
          <w:rFonts w:eastAsia="Calibri" w:cs="Calibri"/>
          <w:lang w:val="en-GB"/>
        </w:rPr>
        <w:t>)</w:t>
      </w:r>
      <w:r w:rsidR="00070D4A" w:rsidRPr="08B1BADE">
        <w:rPr>
          <w:rFonts w:eastAsia="Calibri" w:cs="Calibri"/>
          <w:lang w:val="en-GB"/>
        </w:rPr>
        <w:t>,</w:t>
      </w:r>
      <w:r w:rsidR="00B85277" w:rsidRPr="00195739">
        <w:rPr>
          <w:rFonts w:eastAsia="Calibri" w:cs="Calibri"/>
          <w:lang w:val="en-GB"/>
        </w:rPr>
        <w:t xml:space="preserve"> work plan and requests from ITU management and the Council, the Committee </w:t>
      </w:r>
      <w:r w:rsidR="00A57CDE">
        <w:rPr>
          <w:rFonts w:eastAsia="Calibri" w:cs="Calibri"/>
          <w:lang w:val="en-GB"/>
        </w:rPr>
        <w:t xml:space="preserve">had conducted </w:t>
      </w:r>
      <w:r w:rsidR="00B84017">
        <w:rPr>
          <w:rFonts w:eastAsia="Calibri" w:cs="Calibri"/>
          <w:lang w:val="en-GB"/>
        </w:rPr>
        <w:t>its</w:t>
      </w:r>
      <w:r w:rsidR="00070D4A" w:rsidRPr="08B1BADE">
        <w:rPr>
          <w:rFonts w:eastAsia="Calibri" w:cs="Calibri"/>
          <w:lang w:val="en-GB"/>
        </w:rPr>
        <w:t xml:space="preserve"> </w:t>
      </w:r>
      <w:r w:rsidR="00B85277" w:rsidRPr="00195739">
        <w:rPr>
          <w:rFonts w:eastAsia="Calibri" w:cs="Calibri"/>
          <w:lang w:val="en-GB"/>
        </w:rPr>
        <w:t xml:space="preserve">oversight and advisory activities </w:t>
      </w:r>
      <w:r w:rsidR="005A7A21">
        <w:rPr>
          <w:rFonts w:eastAsia="Calibri" w:cs="Calibri"/>
          <w:lang w:val="en-GB"/>
        </w:rPr>
        <w:t>independently</w:t>
      </w:r>
      <w:r w:rsidR="009B6276">
        <w:rPr>
          <w:rFonts w:eastAsia="Calibri" w:cs="Calibri"/>
          <w:lang w:val="en-GB"/>
        </w:rPr>
        <w:t xml:space="preserve"> and </w:t>
      </w:r>
      <w:r w:rsidR="0069286C">
        <w:rPr>
          <w:rFonts w:eastAsia="Calibri" w:cs="Calibri"/>
          <w:lang w:val="en-GB"/>
        </w:rPr>
        <w:t xml:space="preserve">without </w:t>
      </w:r>
      <w:r w:rsidR="00B85277" w:rsidRPr="00195739">
        <w:rPr>
          <w:rFonts w:eastAsia="Calibri" w:cs="Calibri"/>
          <w:lang w:val="en-GB"/>
        </w:rPr>
        <w:t xml:space="preserve">interference. </w:t>
      </w:r>
      <w:r w:rsidR="008D1040">
        <w:rPr>
          <w:rFonts w:eastAsia="Calibri" w:cs="Calibri"/>
          <w:lang w:val="en-GB"/>
        </w:rPr>
        <w:t>No</w:t>
      </w:r>
      <w:r w:rsidR="000A4EC0">
        <w:rPr>
          <w:rFonts w:eastAsia="Calibri" w:cs="Calibri"/>
          <w:lang w:val="en-GB"/>
        </w:rPr>
        <w:t xml:space="preserve"> </w:t>
      </w:r>
      <w:r w:rsidR="00B85277" w:rsidRPr="00195739">
        <w:rPr>
          <w:rFonts w:eastAsia="Calibri" w:cs="Calibri"/>
          <w:lang w:val="en-GB"/>
        </w:rPr>
        <w:t>real or perceived impairment of independence</w:t>
      </w:r>
      <w:r w:rsidR="00004C12">
        <w:rPr>
          <w:rFonts w:eastAsia="Calibri" w:cs="Calibri"/>
          <w:lang w:val="en-GB"/>
        </w:rPr>
        <w:t xml:space="preserve"> </w:t>
      </w:r>
      <w:r w:rsidR="00004C12" w:rsidRPr="00C44A2E">
        <w:rPr>
          <w:rFonts w:eastAsia="Calibri" w:cs="Calibri"/>
          <w:lang w:val="en-GB"/>
        </w:rPr>
        <w:t>had arisen during the reporting period</w:t>
      </w:r>
      <w:r w:rsidR="00070D4A" w:rsidRPr="08B1BADE">
        <w:rPr>
          <w:rFonts w:eastAsia="Calibri" w:cs="Calibri"/>
          <w:lang w:val="en-GB"/>
        </w:rPr>
        <w:t>.</w:t>
      </w:r>
      <w:r w:rsidR="00B85277" w:rsidRPr="00195739">
        <w:rPr>
          <w:rFonts w:eastAsia="Calibri" w:cs="Calibri"/>
          <w:lang w:val="en-GB"/>
        </w:rPr>
        <w:t xml:space="preserve"> IMAC had </w:t>
      </w:r>
      <w:r w:rsidR="008C1960">
        <w:rPr>
          <w:rFonts w:eastAsia="Calibri" w:cs="Calibri"/>
          <w:lang w:val="en-GB"/>
        </w:rPr>
        <w:t>benefited</w:t>
      </w:r>
      <w:r w:rsidR="00B03680">
        <w:rPr>
          <w:rFonts w:eastAsia="Calibri" w:cs="Calibri"/>
          <w:lang w:val="en-GB"/>
        </w:rPr>
        <w:t xml:space="preserve"> from the</w:t>
      </w:r>
      <w:r w:rsidR="008C1960" w:rsidRPr="08B1BADE">
        <w:rPr>
          <w:rFonts w:eastAsia="Calibri" w:cs="Calibri"/>
          <w:lang w:val="en-GB"/>
        </w:rPr>
        <w:t xml:space="preserve"> </w:t>
      </w:r>
      <w:r w:rsidR="00B85277" w:rsidRPr="00195739">
        <w:rPr>
          <w:rFonts w:eastAsia="Calibri" w:cs="Calibri"/>
          <w:lang w:val="en-GB"/>
        </w:rPr>
        <w:t xml:space="preserve">full support and cooperation </w:t>
      </w:r>
      <w:r w:rsidR="008C0DD3">
        <w:rPr>
          <w:rFonts w:eastAsia="Calibri" w:cs="Calibri"/>
          <w:lang w:val="en-GB"/>
        </w:rPr>
        <w:t>of</w:t>
      </w:r>
      <w:r w:rsidR="008C0DD3" w:rsidRPr="08B1BADE">
        <w:rPr>
          <w:rFonts w:eastAsia="Calibri" w:cs="Calibri"/>
          <w:lang w:val="en-GB"/>
        </w:rPr>
        <w:t xml:space="preserve"> </w:t>
      </w:r>
      <w:r w:rsidR="00B85277" w:rsidRPr="00195739">
        <w:rPr>
          <w:rFonts w:eastAsia="Calibri" w:cs="Calibri"/>
          <w:lang w:val="en-GB"/>
        </w:rPr>
        <w:t xml:space="preserve">management and staff </w:t>
      </w:r>
      <w:r w:rsidR="00260015" w:rsidRPr="00C44A2E">
        <w:rPr>
          <w:rFonts w:eastAsia="Calibri" w:cs="Calibri"/>
          <w:lang w:val="en-GB"/>
        </w:rPr>
        <w:t>throughout its work</w:t>
      </w:r>
      <w:r w:rsidR="0018502C">
        <w:rPr>
          <w:rFonts w:eastAsia="Calibri" w:cs="Calibri"/>
          <w:lang w:val="en-US"/>
        </w:rPr>
        <w:t xml:space="preserve">, </w:t>
      </w:r>
      <w:r w:rsidR="0018502C">
        <w:rPr>
          <w:rFonts w:eastAsia="Calibri" w:cs="Calibri"/>
          <w:lang w:val="en-GB"/>
        </w:rPr>
        <w:t>including through</w:t>
      </w:r>
      <w:r w:rsidR="00B85277" w:rsidRPr="00195739">
        <w:rPr>
          <w:rFonts w:eastAsia="Calibri" w:cs="Calibri"/>
          <w:lang w:val="en-GB"/>
        </w:rPr>
        <w:t xml:space="preserve"> regular, constructive engagement. Each IMAC meeting had included an opening session and a closing session with the Secretary-General</w:t>
      </w:r>
      <w:r w:rsidR="00E93008">
        <w:rPr>
          <w:rFonts w:eastAsia="Calibri" w:cs="Calibri"/>
          <w:lang w:val="en-GB"/>
        </w:rPr>
        <w:t xml:space="preserve"> and/or the Deputy Secretary</w:t>
      </w:r>
      <w:r w:rsidR="00A5662F">
        <w:rPr>
          <w:rFonts w:eastAsia="Calibri" w:cs="Calibri"/>
          <w:lang w:val="en-GB"/>
        </w:rPr>
        <w:t>-</w:t>
      </w:r>
      <w:r w:rsidR="00E93008">
        <w:rPr>
          <w:rFonts w:eastAsia="Calibri" w:cs="Calibri"/>
          <w:lang w:val="en-GB"/>
        </w:rPr>
        <w:t>General</w:t>
      </w:r>
      <w:r w:rsidR="00070D4A" w:rsidRPr="08B1BADE">
        <w:rPr>
          <w:rFonts w:eastAsia="Calibri" w:cs="Calibri"/>
          <w:lang w:val="en-GB"/>
        </w:rPr>
        <w:t>.</w:t>
      </w:r>
    </w:p>
    <w:p w14:paraId="648696D4" w14:textId="25D712EC" w:rsidR="00B85277" w:rsidRPr="00195739" w:rsidRDefault="00922CC0" w:rsidP="00B85277">
      <w:pPr>
        <w:rPr>
          <w:rFonts w:cs="Calibri"/>
          <w:lang w:val="en-GB"/>
        </w:rPr>
      </w:pPr>
      <w:r>
        <w:rPr>
          <w:rFonts w:eastAsia="Calibri" w:cs="Calibri"/>
          <w:lang w:val="en-GB"/>
        </w:rPr>
        <w:t>32</w:t>
      </w:r>
      <w:r w:rsidR="002F51FD">
        <w:rPr>
          <w:rFonts w:eastAsia="Calibri" w:cs="Calibri"/>
          <w:lang w:val="en-GB"/>
        </w:rPr>
        <w:t>.</w:t>
      </w:r>
      <w:r w:rsidR="00787126">
        <w:rPr>
          <w:rFonts w:eastAsia="Calibri" w:cs="Calibri"/>
          <w:lang w:val="en-GB"/>
        </w:rPr>
        <w:t>2</w:t>
      </w:r>
      <w:r w:rsidR="00981D42">
        <w:rPr>
          <w:rFonts w:eastAsia="Calibri" w:cs="Calibri"/>
          <w:lang w:val="en-GB"/>
        </w:rPr>
        <w:tab/>
      </w:r>
      <w:r w:rsidR="000F2D8B">
        <w:rPr>
          <w:rFonts w:eastAsia="Calibri" w:cs="Calibri"/>
          <w:lang w:val="en-GB"/>
        </w:rPr>
        <w:t>In accordance</w:t>
      </w:r>
      <w:r w:rsidR="000F2D8B" w:rsidRPr="08B1BADE">
        <w:rPr>
          <w:rFonts w:eastAsia="Calibri" w:cs="Calibri"/>
          <w:lang w:val="en-GB"/>
        </w:rPr>
        <w:t xml:space="preserve"> </w:t>
      </w:r>
      <w:r w:rsidR="00B85277" w:rsidRPr="00195739">
        <w:rPr>
          <w:rFonts w:eastAsia="Calibri" w:cs="Calibri"/>
          <w:lang w:val="en-GB"/>
        </w:rPr>
        <w:t xml:space="preserve">to </w:t>
      </w:r>
      <w:r w:rsidR="00B85277" w:rsidRPr="00195739">
        <w:rPr>
          <w:rFonts w:cs="Calibri"/>
          <w:lang w:val="en-GB"/>
        </w:rPr>
        <w:t xml:space="preserve">Resolution 162 (Rev. Bucharest, 2022) of the Plenipotentiary Conference, which </w:t>
      </w:r>
      <w:r w:rsidR="00597442">
        <w:rPr>
          <w:rFonts w:cs="Calibri"/>
          <w:lang w:val="en-GB"/>
        </w:rPr>
        <w:t xml:space="preserve">called for </w:t>
      </w:r>
      <w:r w:rsidR="00B85277" w:rsidRPr="00195739">
        <w:rPr>
          <w:rFonts w:cs="Calibri"/>
          <w:lang w:val="en-GB"/>
        </w:rPr>
        <w:t xml:space="preserve">the periodic review of the IMAC </w:t>
      </w:r>
      <w:proofErr w:type="spellStart"/>
      <w:r w:rsidR="00B85277" w:rsidRPr="00195739">
        <w:rPr>
          <w:rFonts w:cs="Calibri"/>
          <w:lang w:val="en-GB"/>
        </w:rPr>
        <w:t>ToR</w:t>
      </w:r>
      <w:proofErr w:type="spellEnd"/>
      <w:r w:rsidR="00B85277" w:rsidRPr="00195739">
        <w:rPr>
          <w:rFonts w:cs="Calibri"/>
          <w:lang w:val="en-GB"/>
        </w:rPr>
        <w:t xml:space="preserve">, updated </w:t>
      </w:r>
      <w:proofErr w:type="spellStart"/>
      <w:r w:rsidR="00B85277" w:rsidRPr="00195739">
        <w:rPr>
          <w:rFonts w:cs="Calibri"/>
          <w:lang w:val="en-GB"/>
        </w:rPr>
        <w:t>ToR</w:t>
      </w:r>
      <w:proofErr w:type="spellEnd"/>
      <w:r w:rsidR="000A4EC0">
        <w:rPr>
          <w:rFonts w:cs="Calibri"/>
          <w:lang w:val="en-GB"/>
        </w:rPr>
        <w:t>,</w:t>
      </w:r>
      <w:r w:rsidR="00B85277" w:rsidRPr="00195739">
        <w:rPr>
          <w:rFonts w:cs="Calibri"/>
          <w:lang w:val="en-GB"/>
        </w:rPr>
        <w:t xml:space="preserve"> </w:t>
      </w:r>
      <w:r w:rsidR="00935C29">
        <w:rPr>
          <w:rFonts w:cs="Calibri"/>
          <w:lang w:val="en-GB"/>
        </w:rPr>
        <w:t>revi</w:t>
      </w:r>
      <w:r w:rsidR="00981D42">
        <w:rPr>
          <w:rFonts w:cs="Calibri"/>
          <w:lang w:val="en-GB"/>
        </w:rPr>
        <w:t>e</w:t>
      </w:r>
      <w:r w:rsidR="00935C29">
        <w:rPr>
          <w:rFonts w:cs="Calibri"/>
          <w:lang w:val="en-GB"/>
        </w:rPr>
        <w:t>wed</w:t>
      </w:r>
      <w:r w:rsidR="00B85277" w:rsidRPr="00195739">
        <w:rPr>
          <w:rFonts w:cs="Calibri"/>
          <w:lang w:val="en-GB"/>
        </w:rPr>
        <w:t xml:space="preserve"> by </w:t>
      </w:r>
      <w:r w:rsidR="00D42670">
        <w:rPr>
          <w:rFonts w:cs="Calibri"/>
          <w:lang w:val="en-GB"/>
        </w:rPr>
        <w:t xml:space="preserve">both </w:t>
      </w:r>
      <w:r w:rsidR="00B85277" w:rsidRPr="00195739">
        <w:rPr>
          <w:rFonts w:cs="Calibri"/>
          <w:lang w:val="en-GB"/>
        </w:rPr>
        <w:t xml:space="preserve">the Committee </w:t>
      </w:r>
      <w:r w:rsidR="00D42670">
        <w:rPr>
          <w:rFonts w:cs="Calibri"/>
          <w:lang w:val="en-GB"/>
        </w:rPr>
        <w:t>and</w:t>
      </w:r>
      <w:r w:rsidR="00B85277" w:rsidRPr="00195739">
        <w:rPr>
          <w:rFonts w:cs="Calibri"/>
          <w:lang w:val="en-GB"/>
        </w:rPr>
        <w:t xml:space="preserve"> ITU management, were presented to the Council in Annex 3 to the report.</w:t>
      </w:r>
    </w:p>
    <w:p w14:paraId="1A552CBE" w14:textId="233EC7FC" w:rsidR="00B85277" w:rsidRPr="00195739" w:rsidRDefault="00922CC0" w:rsidP="00B85277">
      <w:pPr>
        <w:rPr>
          <w:rFonts w:cs="Calibri"/>
          <w:lang w:val="en-GB"/>
        </w:rPr>
      </w:pPr>
      <w:r>
        <w:rPr>
          <w:rFonts w:cs="Calibri"/>
          <w:lang w:val="en-GB"/>
        </w:rPr>
        <w:t>32</w:t>
      </w:r>
      <w:r w:rsidR="00B85277" w:rsidRPr="00195739">
        <w:rPr>
          <w:rFonts w:cs="Calibri"/>
          <w:lang w:val="en-GB"/>
        </w:rPr>
        <w:t>.</w:t>
      </w:r>
      <w:r w:rsidR="00787126">
        <w:rPr>
          <w:rFonts w:cs="Calibri"/>
          <w:lang w:val="en-GB"/>
        </w:rPr>
        <w:t>3</w:t>
      </w:r>
      <w:r w:rsidR="00B85277" w:rsidRPr="009B4273">
        <w:rPr>
          <w:rFonts w:cs="Calibri"/>
          <w:lang w:val="en-GB"/>
        </w:rPr>
        <w:tab/>
      </w:r>
      <w:r w:rsidR="00126FF0" w:rsidRPr="00C44A2E">
        <w:rPr>
          <w:rFonts w:cs="Calibri"/>
          <w:lang w:val="en-GB"/>
        </w:rPr>
        <w:t>Referring</w:t>
      </w:r>
      <w:r w:rsidR="00126FF0" w:rsidRPr="00126FF0" w:rsidDel="00126FF0">
        <w:rPr>
          <w:rFonts w:cs="Calibri"/>
          <w:lang w:val="en-GB"/>
        </w:rPr>
        <w:t xml:space="preserve"> </w:t>
      </w:r>
      <w:r w:rsidR="00B85277" w:rsidRPr="00195739">
        <w:rPr>
          <w:rFonts w:cs="Calibri"/>
          <w:lang w:val="en-GB"/>
        </w:rPr>
        <w:t>to the five recommendations contained in the report</w:t>
      </w:r>
      <w:r w:rsidR="000C6AF7">
        <w:rPr>
          <w:rFonts w:cs="Calibri"/>
          <w:lang w:val="en-GB"/>
        </w:rPr>
        <w:t>,</w:t>
      </w:r>
      <w:r w:rsidR="006C7902" w:rsidRPr="00DE33F5">
        <w:rPr>
          <w:lang w:val="en-GB"/>
        </w:rPr>
        <w:t xml:space="preserve"> </w:t>
      </w:r>
      <w:r w:rsidR="006C7902" w:rsidRPr="00C44A2E">
        <w:rPr>
          <w:rFonts w:cs="Calibri"/>
          <w:lang w:val="en-GB"/>
        </w:rPr>
        <w:t>the IMAC Chair noted that, despite</w:t>
      </w:r>
      <w:r w:rsidR="006C7902" w:rsidRPr="006C7902" w:rsidDel="006C7902">
        <w:rPr>
          <w:rFonts w:cs="Calibri"/>
          <w:lang w:val="en-GB"/>
        </w:rPr>
        <w:t xml:space="preserve"> </w:t>
      </w:r>
      <w:r w:rsidR="00B85277" w:rsidRPr="00195739">
        <w:rPr>
          <w:rFonts w:cs="Calibri"/>
          <w:lang w:val="en-GB"/>
        </w:rPr>
        <w:t xml:space="preserve">a complex global environment, </w:t>
      </w:r>
      <w:r w:rsidR="007F6B75">
        <w:rPr>
          <w:rFonts w:cs="Calibri"/>
          <w:lang w:val="en-GB"/>
        </w:rPr>
        <w:t>marked</w:t>
      </w:r>
      <w:r w:rsidR="0073770B">
        <w:rPr>
          <w:rFonts w:cs="Calibri"/>
          <w:lang w:val="en-GB"/>
        </w:rPr>
        <w:t xml:space="preserve"> by</w:t>
      </w:r>
      <w:r w:rsidR="007F6B75" w:rsidRPr="08B1BADE">
        <w:rPr>
          <w:rFonts w:cs="Calibri"/>
          <w:lang w:val="en-GB"/>
        </w:rPr>
        <w:t xml:space="preserve"> </w:t>
      </w:r>
      <w:r w:rsidR="00B85277" w:rsidRPr="00195739">
        <w:rPr>
          <w:rFonts w:cs="Calibri"/>
          <w:lang w:val="en-GB"/>
        </w:rPr>
        <w:t xml:space="preserve">geopolitical </w:t>
      </w:r>
      <w:r w:rsidR="009D76CD">
        <w:rPr>
          <w:rFonts w:cs="Calibri"/>
          <w:lang w:val="en-GB"/>
        </w:rPr>
        <w:t>tens</w:t>
      </w:r>
      <w:r w:rsidR="006F0EF2">
        <w:rPr>
          <w:rFonts w:cs="Calibri"/>
          <w:lang w:val="en-GB"/>
        </w:rPr>
        <w:t>ions affecting</w:t>
      </w:r>
      <w:r w:rsidR="00B85277" w:rsidRPr="00195739">
        <w:rPr>
          <w:rFonts w:cs="Calibri"/>
          <w:lang w:val="en-GB"/>
        </w:rPr>
        <w:t xml:space="preserve"> multilateralism and financial </w:t>
      </w:r>
      <w:r w:rsidR="00F5456C">
        <w:rPr>
          <w:rFonts w:cs="Calibri"/>
          <w:lang w:val="en-GB"/>
        </w:rPr>
        <w:t>pressur</w:t>
      </w:r>
      <w:r w:rsidR="006A7499">
        <w:rPr>
          <w:rFonts w:cs="Calibri"/>
          <w:lang w:val="en-GB"/>
        </w:rPr>
        <w:t>es on</w:t>
      </w:r>
      <w:r w:rsidR="00B85277" w:rsidRPr="00195739">
        <w:rPr>
          <w:rFonts w:cs="Calibri"/>
          <w:lang w:val="en-GB"/>
        </w:rPr>
        <w:t xml:space="preserve"> Member States, ITU had entered a more stable and disciplined phase, particularly </w:t>
      </w:r>
      <w:r w:rsidR="00F10CA0">
        <w:rPr>
          <w:rFonts w:cs="Calibri"/>
          <w:lang w:val="en-GB"/>
        </w:rPr>
        <w:t>in</w:t>
      </w:r>
      <w:r w:rsidR="00B85277" w:rsidRPr="00195739">
        <w:rPr>
          <w:rFonts w:cs="Calibri"/>
          <w:lang w:val="en-GB"/>
        </w:rPr>
        <w:t xml:space="preserve"> financial reporting and management processes. </w:t>
      </w:r>
      <w:r w:rsidR="00936C0C">
        <w:rPr>
          <w:rFonts w:cs="Calibri"/>
          <w:lang w:val="en-GB"/>
        </w:rPr>
        <w:t>However</w:t>
      </w:r>
      <w:r w:rsidR="00981D42">
        <w:rPr>
          <w:rFonts w:cs="Calibri"/>
          <w:lang w:val="en-GB"/>
        </w:rPr>
        <w:t>,</w:t>
      </w:r>
      <w:r w:rsidR="00936C0C">
        <w:rPr>
          <w:rFonts w:cs="Calibri"/>
          <w:lang w:val="en-GB"/>
        </w:rPr>
        <w:t xml:space="preserve"> th</w:t>
      </w:r>
      <w:r w:rsidR="000C6AF7">
        <w:rPr>
          <w:rFonts w:cs="Calibri"/>
          <w:lang w:val="en-GB"/>
        </w:rPr>
        <w:t>at</w:t>
      </w:r>
      <w:r w:rsidR="00B85277" w:rsidRPr="00195739">
        <w:rPr>
          <w:rFonts w:cs="Calibri"/>
          <w:lang w:val="en-GB"/>
        </w:rPr>
        <w:t xml:space="preserve"> progress </w:t>
      </w:r>
      <w:r w:rsidR="002F069D">
        <w:rPr>
          <w:rFonts w:cs="Calibri"/>
          <w:lang w:val="en-GB"/>
        </w:rPr>
        <w:t>now</w:t>
      </w:r>
      <w:r w:rsidR="00B400B9">
        <w:rPr>
          <w:rFonts w:cs="Calibri"/>
          <w:lang w:val="en-GB"/>
        </w:rPr>
        <w:t xml:space="preserve"> </w:t>
      </w:r>
      <w:r w:rsidR="009F19DC">
        <w:rPr>
          <w:rFonts w:cs="Calibri"/>
          <w:lang w:val="en-GB"/>
        </w:rPr>
        <w:t>needed</w:t>
      </w:r>
      <w:r w:rsidR="00A64465">
        <w:rPr>
          <w:rFonts w:cs="Calibri"/>
          <w:lang w:val="en-GB"/>
        </w:rPr>
        <w:t xml:space="preserve"> to</w:t>
      </w:r>
      <w:r w:rsidR="00B85277" w:rsidRPr="00195739">
        <w:rPr>
          <w:rFonts w:cs="Calibri"/>
          <w:lang w:val="en-GB"/>
        </w:rPr>
        <w:t xml:space="preserve"> be consolidated, </w:t>
      </w:r>
      <w:r w:rsidR="0061200B">
        <w:rPr>
          <w:rFonts w:cs="Calibri"/>
          <w:lang w:val="en-GB"/>
        </w:rPr>
        <w:t>through</w:t>
      </w:r>
      <w:r w:rsidR="00B255EE">
        <w:rPr>
          <w:rFonts w:cs="Calibri"/>
          <w:lang w:val="en-GB"/>
        </w:rPr>
        <w:t xml:space="preserve"> </w:t>
      </w:r>
      <w:r w:rsidR="00777D5A">
        <w:rPr>
          <w:rFonts w:cs="Calibri"/>
          <w:lang w:val="en-GB"/>
        </w:rPr>
        <w:t>stronger</w:t>
      </w:r>
      <w:r w:rsidR="00B85277" w:rsidRPr="00195739">
        <w:rPr>
          <w:rFonts w:cs="Calibri"/>
          <w:lang w:val="en-GB"/>
        </w:rPr>
        <w:t xml:space="preserve"> implementation and delivery. Reform strategies </w:t>
      </w:r>
      <w:r w:rsidR="009F7726" w:rsidRPr="00C44A2E">
        <w:rPr>
          <w:rFonts w:cs="Calibri"/>
          <w:lang w:val="en-GB"/>
        </w:rPr>
        <w:t>had to move beyond planning and</w:t>
      </w:r>
      <w:r w:rsidR="009F7726" w:rsidRPr="009F7726" w:rsidDel="009F7726">
        <w:rPr>
          <w:rFonts w:cs="Calibri"/>
          <w:lang w:val="en-GB"/>
        </w:rPr>
        <w:t xml:space="preserve"> </w:t>
      </w:r>
      <w:r w:rsidR="00B85277" w:rsidRPr="00195739">
        <w:rPr>
          <w:rFonts w:cs="Calibri"/>
          <w:lang w:val="en-GB"/>
        </w:rPr>
        <w:t>be translated into practical action with clear ownership</w:t>
      </w:r>
      <w:r w:rsidR="00EA115A">
        <w:rPr>
          <w:rFonts w:cs="Calibri"/>
          <w:lang w:val="en-GB"/>
        </w:rPr>
        <w:t>, accountability</w:t>
      </w:r>
      <w:r w:rsidR="00B85277" w:rsidRPr="00195739">
        <w:rPr>
          <w:rFonts w:cs="Calibri"/>
          <w:lang w:val="en-GB"/>
        </w:rPr>
        <w:t xml:space="preserve"> and timelines. Risk management should </w:t>
      </w:r>
      <w:r w:rsidR="00F97EE5" w:rsidRPr="00E54F7A">
        <w:rPr>
          <w:rFonts w:cs="Calibri"/>
          <w:lang w:val="en-GB"/>
        </w:rPr>
        <w:t>become an integral part of</w:t>
      </w:r>
      <w:r w:rsidR="00B85277" w:rsidRPr="00195739">
        <w:rPr>
          <w:rFonts w:cs="Calibri"/>
          <w:lang w:val="en-GB"/>
        </w:rPr>
        <w:t xml:space="preserve"> decision</w:t>
      </w:r>
      <w:r w:rsidR="001B6C1C">
        <w:rPr>
          <w:rFonts w:cs="Calibri"/>
          <w:lang w:val="en-GB"/>
        </w:rPr>
        <w:t>-making</w:t>
      </w:r>
      <w:r w:rsidR="00B85277" w:rsidRPr="00195739">
        <w:rPr>
          <w:rFonts w:cs="Calibri"/>
          <w:lang w:val="en-GB"/>
        </w:rPr>
        <w:t xml:space="preserve"> and prioritization</w:t>
      </w:r>
      <w:r w:rsidR="000C6AF7">
        <w:rPr>
          <w:rFonts w:cs="Calibri"/>
          <w:lang w:val="en-GB"/>
        </w:rPr>
        <w:t>,</w:t>
      </w:r>
      <w:r w:rsidR="00B85277" w:rsidRPr="00195739">
        <w:rPr>
          <w:rFonts w:cs="Calibri"/>
          <w:lang w:val="en-GB"/>
        </w:rPr>
        <w:t xml:space="preserve"> </w:t>
      </w:r>
      <w:r w:rsidR="00336B1F" w:rsidRPr="00E54F7A">
        <w:rPr>
          <w:rFonts w:cs="Calibri"/>
          <w:lang w:val="en-GB"/>
        </w:rPr>
        <w:t xml:space="preserve">requiring a broader </w:t>
      </w:r>
      <w:r w:rsidR="00B85277" w:rsidRPr="00195739">
        <w:rPr>
          <w:rFonts w:cs="Calibri"/>
          <w:lang w:val="en-GB"/>
        </w:rPr>
        <w:t xml:space="preserve">cultural shift </w:t>
      </w:r>
      <w:r w:rsidR="00DE6006">
        <w:rPr>
          <w:rFonts w:cs="Calibri"/>
          <w:lang w:val="en-GB"/>
        </w:rPr>
        <w:t>across the organization</w:t>
      </w:r>
      <w:r w:rsidR="00B85277" w:rsidRPr="08B1BADE">
        <w:rPr>
          <w:rFonts w:cs="Calibri"/>
          <w:lang w:val="en-GB"/>
        </w:rPr>
        <w:t>.</w:t>
      </w:r>
    </w:p>
    <w:p w14:paraId="50A233D0" w14:textId="0AC4761A" w:rsidR="00B85277" w:rsidRPr="00195739" w:rsidRDefault="000D2D4D" w:rsidP="00B85277">
      <w:pPr>
        <w:rPr>
          <w:lang w:val="en-GB"/>
        </w:rPr>
      </w:pPr>
      <w:r>
        <w:rPr>
          <w:rFonts w:cs="Calibri"/>
          <w:lang w:val="en-GB"/>
        </w:rPr>
        <w:t>32</w:t>
      </w:r>
      <w:r w:rsidR="00B85277" w:rsidRPr="00195739">
        <w:rPr>
          <w:rFonts w:cs="Calibri"/>
          <w:lang w:val="en-GB"/>
        </w:rPr>
        <w:t>.</w:t>
      </w:r>
      <w:r w:rsidR="00787126">
        <w:rPr>
          <w:rFonts w:cs="Calibri"/>
          <w:lang w:val="en-GB"/>
        </w:rPr>
        <w:t>4</w:t>
      </w:r>
      <w:r w:rsidR="00B85277" w:rsidRPr="009B4273">
        <w:rPr>
          <w:rFonts w:cs="Calibri"/>
          <w:lang w:val="en-GB"/>
        </w:rPr>
        <w:tab/>
      </w:r>
      <w:r w:rsidR="00B85277" w:rsidRPr="00195739">
        <w:rPr>
          <w:rFonts w:cs="Calibri"/>
          <w:lang w:val="en-GB"/>
        </w:rPr>
        <w:t xml:space="preserve">The </w:t>
      </w:r>
      <w:r w:rsidR="009917E0" w:rsidRPr="00E54F7A">
        <w:rPr>
          <w:rFonts w:cs="Calibri"/>
          <w:lang w:val="en-GB"/>
        </w:rPr>
        <w:t>Chair commended</w:t>
      </w:r>
      <w:r w:rsidR="00AF37B5">
        <w:rPr>
          <w:rFonts w:cs="Calibri"/>
          <w:lang w:val="en-GB"/>
        </w:rPr>
        <w:t xml:space="preserve"> the </w:t>
      </w:r>
      <w:r w:rsidR="00B85277" w:rsidRPr="00195739">
        <w:rPr>
          <w:rFonts w:cs="Calibri"/>
          <w:lang w:val="en-GB"/>
        </w:rPr>
        <w:t xml:space="preserve">advanced completion of the draft 2025 financial statements and the quality of </w:t>
      </w:r>
      <w:r w:rsidR="000749FE">
        <w:rPr>
          <w:rFonts w:cs="Calibri"/>
          <w:lang w:val="en-GB"/>
        </w:rPr>
        <w:t xml:space="preserve">the work </w:t>
      </w:r>
      <w:r w:rsidR="00B33477">
        <w:rPr>
          <w:rFonts w:cs="Calibri"/>
          <w:lang w:val="en-GB"/>
        </w:rPr>
        <w:t>carried out by</w:t>
      </w:r>
      <w:r w:rsidR="00385831">
        <w:rPr>
          <w:rFonts w:cs="Calibri"/>
          <w:lang w:val="en-GB"/>
        </w:rPr>
        <w:t xml:space="preserve"> </w:t>
      </w:r>
      <w:r w:rsidR="00B85277" w:rsidRPr="00195739">
        <w:rPr>
          <w:rFonts w:cs="Calibri"/>
          <w:lang w:val="en-GB"/>
        </w:rPr>
        <w:t xml:space="preserve">FRMD during the reporting period. </w:t>
      </w:r>
      <w:r w:rsidR="00FB13D0">
        <w:rPr>
          <w:lang w:val="en-GB"/>
        </w:rPr>
        <w:t>IMAC</w:t>
      </w:r>
      <w:r w:rsidR="00B85277" w:rsidRPr="00195739">
        <w:rPr>
          <w:lang w:val="en-GB"/>
        </w:rPr>
        <w:t xml:space="preserve"> had met with the External Auditor at the end of the financial year</w:t>
      </w:r>
      <w:r w:rsidR="000C6AF7">
        <w:rPr>
          <w:lang w:val="en-GB"/>
        </w:rPr>
        <w:t>,</w:t>
      </w:r>
      <w:r w:rsidR="005B3CAB">
        <w:rPr>
          <w:lang w:val="en-GB"/>
        </w:rPr>
        <w:t xml:space="preserve"> and</w:t>
      </w:r>
      <w:r w:rsidR="00B85277" w:rsidRPr="08B1BADE">
        <w:rPr>
          <w:lang w:val="en-GB"/>
        </w:rPr>
        <w:t xml:space="preserve"> </w:t>
      </w:r>
      <w:r w:rsidR="00F55E8E" w:rsidRPr="00E54F7A">
        <w:rPr>
          <w:lang w:val="en-GB"/>
        </w:rPr>
        <w:t>no significant outstanding issues or major difficulties had been identified.</w:t>
      </w:r>
      <w:r w:rsidR="00B85277" w:rsidRPr="00195739">
        <w:rPr>
          <w:lang w:val="en-GB"/>
        </w:rPr>
        <w:t xml:space="preserve"> </w:t>
      </w:r>
      <w:r w:rsidR="00BD72D1" w:rsidRPr="00E54F7A">
        <w:rPr>
          <w:lang w:val="en-GB"/>
        </w:rPr>
        <w:t>At the same time, structural challenges remained.</w:t>
      </w:r>
      <w:r w:rsidR="00BD72D1" w:rsidRPr="00BD72D1" w:rsidDel="00BD72D1">
        <w:rPr>
          <w:lang w:val="en-GB"/>
        </w:rPr>
        <w:t xml:space="preserve"> </w:t>
      </w:r>
      <w:r w:rsidR="00870FB1" w:rsidRPr="00E54F7A">
        <w:rPr>
          <w:lang w:val="en-GB"/>
        </w:rPr>
        <w:t>The prolonged</w:t>
      </w:r>
      <w:r w:rsidR="00870FB1" w:rsidRPr="00870FB1">
        <w:rPr>
          <w:lang w:val="en-GB"/>
        </w:rPr>
        <w:t xml:space="preserve"> </w:t>
      </w:r>
      <w:r w:rsidR="00B85277" w:rsidRPr="00195739">
        <w:rPr>
          <w:lang w:val="en-GB"/>
        </w:rPr>
        <w:t xml:space="preserve">zero nominal growth in the contributory unit </w:t>
      </w:r>
      <w:r w:rsidR="006A638B">
        <w:rPr>
          <w:lang w:val="en-GB"/>
        </w:rPr>
        <w:t>continue</w:t>
      </w:r>
      <w:r w:rsidR="000C6AF7">
        <w:rPr>
          <w:lang w:val="en-GB"/>
        </w:rPr>
        <w:t>d</w:t>
      </w:r>
      <w:r w:rsidR="006A638B">
        <w:rPr>
          <w:lang w:val="en-GB"/>
        </w:rPr>
        <w:t xml:space="preserve"> to erod</w:t>
      </w:r>
      <w:r w:rsidR="000C6AF7">
        <w:rPr>
          <w:lang w:val="en-GB"/>
        </w:rPr>
        <w:t>e</w:t>
      </w:r>
      <w:r w:rsidR="00B85277" w:rsidRPr="00195739">
        <w:rPr>
          <w:lang w:val="en-GB"/>
        </w:rPr>
        <w:t xml:space="preserve"> ITU’s purchasing power, </w:t>
      </w:r>
      <w:r w:rsidR="006D79CF">
        <w:rPr>
          <w:lang w:val="en-GB"/>
        </w:rPr>
        <w:t xml:space="preserve">while </w:t>
      </w:r>
      <w:r w:rsidR="00B85277" w:rsidRPr="00195739">
        <w:rPr>
          <w:lang w:val="en-GB"/>
        </w:rPr>
        <w:t xml:space="preserve">rising staff costs </w:t>
      </w:r>
      <w:r w:rsidR="007D08D7" w:rsidRPr="00E54F7A">
        <w:rPr>
          <w:lang w:val="en-GB"/>
        </w:rPr>
        <w:t>underscored the need for integrated workforce and financial planning</w:t>
      </w:r>
      <w:r w:rsidR="000C6AF7">
        <w:rPr>
          <w:lang w:val="en-GB"/>
        </w:rPr>
        <w:t>,</w:t>
      </w:r>
      <w:r w:rsidR="007D08D7" w:rsidRPr="00E54F7A">
        <w:rPr>
          <w:lang w:val="en-GB"/>
        </w:rPr>
        <w:t xml:space="preserve"> supported by measurable efficiency</w:t>
      </w:r>
      <w:r w:rsidR="007D08D7" w:rsidRPr="00C44A2E">
        <w:rPr>
          <w:lang w:val="en-GB"/>
        </w:rPr>
        <w:t xml:space="preserve"> indicators.</w:t>
      </w:r>
      <w:r w:rsidR="00B85277" w:rsidRPr="08B1BADE">
        <w:rPr>
          <w:lang w:val="en-GB"/>
        </w:rPr>
        <w:t xml:space="preserve"> </w:t>
      </w:r>
      <w:r w:rsidR="00B85277" w:rsidRPr="00195739">
        <w:rPr>
          <w:lang w:val="en-GB"/>
        </w:rPr>
        <w:t xml:space="preserve">While savings were </w:t>
      </w:r>
      <w:r w:rsidR="00F40EAC">
        <w:rPr>
          <w:lang w:val="en-GB"/>
        </w:rPr>
        <w:t>not</w:t>
      </w:r>
      <w:r w:rsidR="00B85277" w:rsidRPr="08B1BADE">
        <w:rPr>
          <w:lang w:val="en-GB"/>
        </w:rPr>
        <w:t xml:space="preserve"> linked </w:t>
      </w:r>
      <w:r w:rsidR="00DE43AA">
        <w:rPr>
          <w:lang w:val="en-GB"/>
        </w:rPr>
        <w:t>necessarily</w:t>
      </w:r>
      <w:r w:rsidR="00B85277" w:rsidRPr="00195739">
        <w:rPr>
          <w:lang w:val="en-GB"/>
        </w:rPr>
        <w:t xml:space="preserve"> to structural efficiency, the Committee supported the strategic priorities that ITU management had set for their use. IMAC recommended revising the budget</w:t>
      </w:r>
      <w:r w:rsidR="00B85277" w:rsidRPr="08B1BADE">
        <w:rPr>
          <w:lang w:val="en-GB"/>
        </w:rPr>
        <w:t xml:space="preserve"> </w:t>
      </w:r>
      <w:r w:rsidR="00F205DD">
        <w:rPr>
          <w:lang w:val="en-GB"/>
        </w:rPr>
        <w:t>presentation</w:t>
      </w:r>
      <w:r w:rsidR="00B85277" w:rsidRPr="00195739">
        <w:rPr>
          <w:lang w:val="en-GB"/>
        </w:rPr>
        <w:t xml:space="preserve"> structure to </w:t>
      </w:r>
      <w:r w:rsidR="0039644D">
        <w:rPr>
          <w:lang w:val="en-GB"/>
        </w:rPr>
        <w:t xml:space="preserve">better reflect </w:t>
      </w:r>
      <w:r w:rsidR="00533927">
        <w:rPr>
          <w:lang w:val="en-GB"/>
        </w:rPr>
        <w:t>the distribution</w:t>
      </w:r>
      <w:r w:rsidR="0039644D" w:rsidRPr="08B1BADE">
        <w:rPr>
          <w:lang w:val="en-GB"/>
        </w:rPr>
        <w:t xml:space="preserve"> </w:t>
      </w:r>
      <w:r w:rsidR="000A4352">
        <w:rPr>
          <w:lang w:val="en-GB"/>
        </w:rPr>
        <w:t>of</w:t>
      </w:r>
      <w:r w:rsidR="0039644D" w:rsidRPr="08B1BADE">
        <w:rPr>
          <w:lang w:val="en-GB"/>
        </w:rPr>
        <w:t xml:space="preserve"> </w:t>
      </w:r>
      <w:r w:rsidR="00B85277" w:rsidRPr="08B1BADE">
        <w:rPr>
          <w:lang w:val="en-GB"/>
        </w:rPr>
        <w:t xml:space="preserve">staff </w:t>
      </w:r>
      <w:r w:rsidR="005B1D82">
        <w:rPr>
          <w:lang w:val="en-GB"/>
        </w:rPr>
        <w:t>and sustaining</w:t>
      </w:r>
      <w:r w:rsidR="00B85277" w:rsidRPr="00195739">
        <w:rPr>
          <w:lang w:val="en-GB"/>
        </w:rPr>
        <w:t xml:space="preserve"> costs across sectors </w:t>
      </w:r>
      <w:r w:rsidR="00785EFF">
        <w:rPr>
          <w:lang w:val="en-GB"/>
        </w:rPr>
        <w:t>and General Secretariat</w:t>
      </w:r>
      <w:r w:rsidR="00E54F7A">
        <w:rPr>
          <w:lang w:val="en-GB"/>
        </w:rPr>
        <w:t>.</w:t>
      </w:r>
    </w:p>
    <w:p w14:paraId="79AA94A4" w14:textId="48983A8F" w:rsidR="00B85277" w:rsidRPr="00195739" w:rsidRDefault="000D2D4D" w:rsidP="00B85277">
      <w:pPr>
        <w:rPr>
          <w:rFonts w:cs="Calibri"/>
          <w:lang w:val="en-GB"/>
        </w:rPr>
      </w:pPr>
      <w:r>
        <w:rPr>
          <w:lang w:val="en-GB"/>
        </w:rPr>
        <w:t>32</w:t>
      </w:r>
      <w:r w:rsidR="00B85277" w:rsidRPr="00195739">
        <w:rPr>
          <w:lang w:val="en-GB"/>
        </w:rPr>
        <w:t>.</w:t>
      </w:r>
      <w:r w:rsidR="00787126">
        <w:rPr>
          <w:lang w:val="en-GB"/>
        </w:rPr>
        <w:t>5</w:t>
      </w:r>
      <w:r w:rsidR="00B85277" w:rsidRPr="00E54F7A">
        <w:rPr>
          <w:lang w:val="en-GB"/>
        </w:rPr>
        <w:tab/>
      </w:r>
      <w:r w:rsidR="00B85277" w:rsidRPr="00195739">
        <w:rPr>
          <w:lang w:val="en-GB"/>
        </w:rPr>
        <w:t xml:space="preserve">IMAC had recommended rearticulating the internal audit plan </w:t>
      </w:r>
      <w:r w:rsidR="00242F78" w:rsidRPr="00E54F7A">
        <w:rPr>
          <w:lang w:val="en-GB"/>
        </w:rPr>
        <w:t>towards a more</w:t>
      </w:r>
      <w:r w:rsidR="00242F78" w:rsidRPr="00242F78" w:rsidDel="00242F78">
        <w:rPr>
          <w:lang w:val="en-GB"/>
        </w:rPr>
        <w:t xml:space="preserve"> </w:t>
      </w:r>
      <w:r w:rsidR="00B85277" w:rsidRPr="00195739">
        <w:rPr>
          <w:lang w:val="en-GB"/>
        </w:rPr>
        <w:t xml:space="preserve">risk-based model </w:t>
      </w:r>
      <w:r w:rsidR="00022714">
        <w:rPr>
          <w:lang w:val="en-GB"/>
        </w:rPr>
        <w:t>together with a stronger</w:t>
      </w:r>
      <w:r w:rsidR="00B85277" w:rsidRPr="08B1BADE">
        <w:rPr>
          <w:lang w:val="en-GB"/>
        </w:rPr>
        <w:t xml:space="preserve"> </w:t>
      </w:r>
      <w:r w:rsidR="00B85277" w:rsidRPr="00195739">
        <w:rPr>
          <w:lang w:val="en-GB"/>
        </w:rPr>
        <w:t xml:space="preserve">engagement of the Business </w:t>
      </w:r>
      <w:r w:rsidR="00B85277" w:rsidRPr="08B1BADE">
        <w:rPr>
          <w:lang w:val="en-GB"/>
        </w:rPr>
        <w:t>Unit</w:t>
      </w:r>
      <w:r w:rsidR="00416993">
        <w:rPr>
          <w:lang w:val="en-GB"/>
        </w:rPr>
        <w:t>s</w:t>
      </w:r>
      <w:r w:rsidR="00B85277" w:rsidRPr="08B1BADE">
        <w:rPr>
          <w:lang w:val="en-GB"/>
        </w:rPr>
        <w:t>.</w:t>
      </w:r>
      <w:r w:rsidR="00B85277" w:rsidRPr="00195739">
        <w:rPr>
          <w:lang w:val="en-GB"/>
        </w:rPr>
        <w:t xml:space="preserve"> </w:t>
      </w:r>
      <w:r w:rsidR="000774E8">
        <w:rPr>
          <w:lang w:val="en-GB"/>
        </w:rPr>
        <w:t>Regarding</w:t>
      </w:r>
      <w:r w:rsidR="00B85277" w:rsidRPr="00195739">
        <w:rPr>
          <w:lang w:val="en-GB"/>
        </w:rPr>
        <w:t xml:space="preserve"> investigations, </w:t>
      </w:r>
      <w:r w:rsidR="005472E7">
        <w:rPr>
          <w:lang w:val="en-GB"/>
        </w:rPr>
        <w:t xml:space="preserve">further </w:t>
      </w:r>
      <w:r w:rsidR="00B85277" w:rsidRPr="00195739">
        <w:rPr>
          <w:lang w:val="en-GB"/>
        </w:rPr>
        <w:t xml:space="preserve">work would be </w:t>
      </w:r>
      <w:r w:rsidR="00374808">
        <w:rPr>
          <w:lang w:val="en-GB"/>
        </w:rPr>
        <w:t>undertaken</w:t>
      </w:r>
      <w:r w:rsidR="00374808" w:rsidRPr="08B1BADE">
        <w:rPr>
          <w:lang w:val="en-GB"/>
        </w:rPr>
        <w:t xml:space="preserve"> </w:t>
      </w:r>
      <w:r w:rsidR="00B85277" w:rsidRPr="00195739">
        <w:rPr>
          <w:lang w:val="en-GB"/>
        </w:rPr>
        <w:t xml:space="preserve">to clarify the </w:t>
      </w:r>
      <w:r w:rsidR="00343C57">
        <w:rPr>
          <w:lang w:val="en-GB"/>
        </w:rPr>
        <w:t>related</w:t>
      </w:r>
      <w:r w:rsidR="00B85277" w:rsidRPr="00195739">
        <w:rPr>
          <w:lang w:val="en-GB"/>
        </w:rPr>
        <w:t xml:space="preserve"> metrics, </w:t>
      </w:r>
      <w:r w:rsidR="002E31A5" w:rsidRPr="0086608B">
        <w:rPr>
          <w:lang w:val="en-GB"/>
        </w:rPr>
        <w:t>with updated reporting to</w:t>
      </w:r>
      <w:r w:rsidR="00B85277" w:rsidRPr="00195739">
        <w:rPr>
          <w:lang w:val="en-GB"/>
        </w:rPr>
        <w:t xml:space="preserve"> be </w:t>
      </w:r>
      <w:r w:rsidR="0003190D">
        <w:rPr>
          <w:lang w:val="en-GB"/>
        </w:rPr>
        <w:t>provided</w:t>
      </w:r>
      <w:r w:rsidR="00B85277" w:rsidRPr="00195739">
        <w:rPr>
          <w:lang w:val="en-GB"/>
        </w:rPr>
        <w:t xml:space="preserve"> to </w:t>
      </w:r>
      <w:r w:rsidR="000C6AF7">
        <w:rPr>
          <w:lang w:val="en-GB"/>
        </w:rPr>
        <w:t xml:space="preserve">the </w:t>
      </w:r>
      <w:r w:rsidR="00B85277" w:rsidRPr="00195739">
        <w:rPr>
          <w:lang w:val="en-GB"/>
        </w:rPr>
        <w:t xml:space="preserve">Council in due course. </w:t>
      </w:r>
      <w:r w:rsidR="00AC2546" w:rsidRPr="0086608B">
        <w:rPr>
          <w:lang w:val="en-GB"/>
        </w:rPr>
        <w:t>IMAC had also noted the</w:t>
      </w:r>
      <w:r w:rsidR="00B85277" w:rsidRPr="00195739">
        <w:rPr>
          <w:lang w:val="en-GB"/>
        </w:rPr>
        <w:t xml:space="preserve"> increasing caseload and growing demands </w:t>
      </w:r>
      <w:r w:rsidR="00F97A0E">
        <w:rPr>
          <w:lang w:val="en-GB"/>
        </w:rPr>
        <w:t>for</w:t>
      </w:r>
      <w:r w:rsidR="00B85277" w:rsidRPr="00195739">
        <w:rPr>
          <w:lang w:val="en-GB"/>
        </w:rPr>
        <w:t xml:space="preserve"> ethics and advisory services, </w:t>
      </w:r>
      <w:r w:rsidR="00631167">
        <w:rPr>
          <w:lang w:val="en-GB"/>
        </w:rPr>
        <w:t>particularly</w:t>
      </w:r>
      <w:r w:rsidR="00631167" w:rsidRPr="08B1BADE">
        <w:rPr>
          <w:lang w:val="en-GB"/>
        </w:rPr>
        <w:t xml:space="preserve"> </w:t>
      </w:r>
      <w:r w:rsidR="00B85277" w:rsidRPr="00195739">
        <w:rPr>
          <w:lang w:val="en-GB"/>
        </w:rPr>
        <w:t xml:space="preserve">related to workplace culture, </w:t>
      </w:r>
      <w:r w:rsidR="0083558A" w:rsidRPr="0086608B">
        <w:rPr>
          <w:lang w:val="en-GB"/>
        </w:rPr>
        <w:t>and emphasized the need to strengthen</w:t>
      </w:r>
      <w:r w:rsidR="0083558A" w:rsidRPr="0083558A" w:rsidDel="0083558A">
        <w:rPr>
          <w:lang w:val="en-GB"/>
        </w:rPr>
        <w:t xml:space="preserve"> </w:t>
      </w:r>
      <w:r w:rsidR="00B85277" w:rsidRPr="00195739">
        <w:rPr>
          <w:lang w:val="en-GB"/>
        </w:rPr>
        <w:t xml:space="preserve">respect, civility and trust </w:t>
      </w:r>
      <w:r w:rsidR="008250D5">
        <w:rPr>
          <w:lang w:val="en-GB"/>
        </w:rPr>
        <w:t>within the organization</w:t>
      </w:r>
      <w:r w:rsidR="00B85277" w:rsidRPr="08B1BADE">
        <w:rPr>
          <w:lang w:val="en-GB"/>
        </w:rPr>
        <w:t>.</w:t>
      </w:r>
      <w:r w:rsidR="00B85277" w:rsidRPr="00195739">
        <w:rPr>
          <w:lang w:val="en-GB"/>
        </w:rPr>
        <w:t xml:space="preserve"> The Committee expressed support for</w:t>
      </w:r>
      <w:r w:rsidR="00B85277" w:rsidRPr="00195739">
        <w:rPr>
          <w:rFonts w:cs="Calibri"/>
          <w:lang w:val="en-GB"/>
        </w:rPr>
        <w:t xml:space="preserve"> the implementation of the new Digital Governance Charter and </w:t>
      </w:r>
      <w:r w:rsidR="00F47F9D">
        <w:rPr>
          <w:rFonts w:cs="Calibri"/>
          <w:lang w:val="en-GB"/>
        </w:rPr>
        <w:t xml:space="preserve">ongoing </w:t>
      </w:r>
      <w:r w:rsidR="00F07EF6">
        <w:rPr>
          <w:rFonts w:cs="Calibri"/>
          <w:lang w:val="en-GB"/>
        </w:rPr>
        <w:t xml:space="preserve">IT </w:t>
      </w:r>
      <w:r w:rsidR="00F63AE5">
        <w:rPr>
          <w:rFonts w:cs="Calibri"/>
          <w:lang w:val="en-GB"/>
        </w:rPr>
        <w:t xml:space="preserve">modernization </w:t>
      </w:r>
      <w:r w:rsidR="00B85277" w:rsidRPr="00195739">
        <w:rPr>
          <w:rFonts w:cs="Calibri"/>
          <w:lang w:val="en-GB"/>
        </w:rPr>
        <w:t xml:space="preserve">efforts, </w:t>
      </w:r>
      <w:r w:rsidR="00F63AE5">
        <w:rPr>
          <w:rFonts w:cs="Calibri"/>
          <w:lang w:val="en-GB"/>
        </w:rPr>
        <w:t>while</w:t>
      </w:r>
      <w:r w:rsidR="00F63AE5" w:rsidRPr="08B1BADE">
        <w:rPr>
          <w:rFonts w:cs="Calibri"/>
          <w:lang w:val="en-GB"/>
        </w:rPr>
        <w:t xml:space="preserve"> </w:t>
      </w:r>
      <w:r w:rsidR="00B85277" w:rsidRPr="08B1BADE">
        <w:rPr>
          <w:rFonts w:cs="Calibri"/>
          <w:lang w:val="en-GB"/>
        </w:rPr>
        <w:t>not</w:t>
      </w:r>
      <w:r w:rsidR="00F63AE5">
        <w:rPr>
          <w:rFonts w:cs="Calibri"/>
          <w:lang w:val="en-GB"/>
        </w:rPr>
        <w:t>ing</w:t>
      </w:r>
      <w:r w:rsidR="00B55B2E">
        <w:rPr>
          <w:rFonts w:cs="Calibri"/>
          <w:lang w:val="en-GB"/>
        </w:rPr>
        <w:t xml:space="preserve"> the</w:t>
      </w:r>
      <w:r w:rsidR="00B85277" w:rsidRPr="00195739">
        <w:rPr>
          <w:rFonts w:cs="Calibri"/>
          <w:lang w:val="en-GB"/>
        </w:rPr>
        <w:t xml:space="preserve"> low </w:t>
      </w:r>
      <w:r w:rsidR="005A1E7D">
        <w:rPr>
          <w:rFonts w:cs="Calibri"/>
          <w:lang w:val="en-GB"/>
        </w:rPr>
        <w:t xml:space="preserve">level of </w:t>
      </w:r>
      <w:r w:rsidR="00B85277" w:rsidRPr="00195739">
        <w:rPr>
          <w:rFonts w:cs="Calibri"/>
          <w:lang w:val="en-GB"/>
        </w:rPr>
        <w:t xml:space="preserve">Enterprise Architecture maturity, </w:t>
      </w:r>
      <w:r w:rsidR="00B85277" w:rsidRPr="08B1BADE">
        <w:rPr>
          <w:lang w:val="en-GB"/>
        </w:rPr>
        <w:t>fragment</w:t>
      </w:r>
      <w:r w:rsidR="00A43AF4">
        <w:rPr>
          <w:lang w:val="en-GB"/>
        </w:rPr>
        <w:t>ation</w:t>
      </w:r>
      <w:r w:rsidR="00845D99">
        <w:rPr>
          <w:lang w:val="en-GB"/>
        </w:rPr>
        <w:t xml:space="preserve"> of</w:t>
      </w:r>
      <w:r w:rsidR="00B85277" w:rsidRPr="08B1BADE">
        <w:rPr>
          <w:lang w:val="en-GB"/>
        </w:rPr>
        <w:t xml:space="preserve"> system</w:t>
      </w:r>
      <w:r w:rsidR="00845D99">
        <w:rPr>
          <w:lang w:val="en-GB"/>
        </w:rPr>
        <w:t>s</w:t>
      </w:r>
      <w:r w:rsidR="00B85277" w:rsidRPr="00195739">
        <w:rPr>
          <w:lang w:val="en-GB"/>
        </w:rPr>
        <w:t xml:space="preserve"> and the </w:t>
      </w:r>
      <w:r w:rsidR="00EC7CD7">
        <w:rPr>
          <w:lang w:val="en-GB"/>
        </w:rPr>
        <w:t>importance of a</w:t>
      </w:r>
      <w:r w:rsidR="00B85277" w:rsidRPr="00195739">
        <w:rPr>
          <w:lang w:val="en-GB"/>
        </w:rPr>
        <w:t xml:space="preserve"> stronger data governance as a prerequisite for AI </w:t>
      </w:r>
      <w:r w:rsidR="008E0FA4">
        <w:rPr>
          <w:lang w:val="en-GB"/>
        </w:rPr>
        <w:t>related initiatives</w:t>
      </w:r>
      <w:r w:rsidR="00B85277" w:rsidRPr="08B1BADE">
        <w:rPr>
          <w:lang w:val="en-GB"/>
        </w:rPr>
        <w:t>. It</w:t>
      </w:r>
      <w:r w:rsidR="00164043">
        <w:rPr>
          <w:lang w:val="en-GB"/>
        </w:rPr>
        <w:t xml:space="preserve"> had therefore</w:t>
      </w:r>
      <w:r w:rsidR="00B85277" w:rsidRPr="00195739">
        <w:rPr>
          <w:lang w:val="en-GB"/>
        </w:rPr>
        <w:t xml:space="preserve"> recommended a comprehensive mapping of cloud</w:t>
      </w:r>
      <w:r w:rsidR="00B85277" w:rsidRPr="00195739">
        <w:rPr>
          <w:rFonts w:cs="Calibri"/>
          <w:lang w:val="en-GB"/>
        </w:rPr>
        <w:t xml:space="preserve"> versus server-based systems, linked to </w:t>
      </w:r>
      <w:r w:rsidR="00BB556B">
        <w:rPr>
          <w:rFonts w:cs="Calibri"/>
          <w:lang w:val="en-GB"/>
        </w:rPr>
        <w:t xml:space="preserve">measurable </w:t>
      </w:r>
      <w:r w:rsidR="00B85277" w:rsidRPr="00195739">
        <w:rPr>
          <w:rFonts w:cs="Calibri"/>
          <w:lang w:val="en-GB"/>
        </w:rPr>
        <w:t xml:space="preserve">efficiency </w:t>
      </w:r>
      <w:r w:rsidR="00F84979">
        <w:rPr>
          <w:rFonts w:cs="Calibri"/>
          <w:lang w:val="en-GB"/>
        </w:rPr>
        <w:t xml:space="preserve">gains and </w:t>
      </w:r>
      <w:r w:rsidR="00B85277" w:rsidRPr="00195739">
        <w:rPr>
          <w:rFonts w:cs="Calibri"/>
          <w:lang w:val="en-GB"/>
        </w:rPr>
        <w:t>potential savings.</w:t>
      </w:r>
      <w:r w:rsidR="00B85277" w:rsidRPr="00195739">
        <w:rPr>
          <w:lang w:val="en-GB"/>
        </w:rPr>
        <w:t xml:space="preserve"> </w:t>
      </w:r>
      <w:r w:rsidR="00B85277" w:rsidRPr="00195739">
        <w:rPr>
          <w:rFonts w:cs="Calibri"/>
          <w:lang w:val="en-GB"/>
        </w:rPr>
        <w:t xml:space="preserve">Lastly, the Committee recommended an external assessment of the maturity of the internal justice system and redress </w:t>
      </w:r>
      <w:r w:rsidR="00BB3E2F">
        <w:rPr>
          <w:rFonts w:cs="Calibri"/>
          <w:lang w:val="en-GB"/>
        </w:rPr>
        <w:t>system</w:t>
      </w:r>
      <w:r w:rsidR="00B85277" w:rsidRPr="00195739">
        <w:rPr>
          <w:rFonts w:cs="Calibri"/>
          <w:lang w:val="en-GB"/>
        </w:rPr>
        <w:t xml:space="preserve">, which </w:t>
      </w:r>
      <w:r w:rsidR="00034919">
        <w:rPr>
          <w:rFonts w:cs="Calibri"/>
          <w:lang w:val="en-GB"/>
        </w:rPr>
        <w:t>remained</w:t>
      </w:r>
      <w:r w:rsidR="00B85277" w:rsidRPr="00195739">
        <w:rPr>
          <w:rFonts w:cs="Calibri"/>
          <w:lang w:val="en-GB"/>
        </w:rPr>
        <w:t xml:space="preserve"> fragmented and would benefit from simplification and modernization.</w:t>
      </w:r>
    </w:p>
    <w:p w14:paraId="20154EDE" w14:textId="4A914394" w:rsidR="00B85277" w:rsidRPr="00195739" w:rsidRDefault="000D2D4D" w:rsidP="00B85277">
      <w:pPr>
        <w:rPr>
          <w:lang w:val="en-GB"/>
        </w:rPr>
      </w:pPr>
      <w:r>
        <w:rPr>
          <w:lang w:val="en-GB"/>
        </w:rPr>
        <w:t>32</w:t>
      </w:r>
      <w:r w:rsidR="00B85277" w:rsidRPr="00195739">
        <w:rPr>
          <w:lang w:val="en-GB"/>
        </w:rPr>
        <w:t>.</w:t>
      </w:r>
      <w:r w:rsidR="00787126">
        <w:rPr>
          <w:lang w:val="en-GB"/>
        </w:rPr>
        <w:t>6</w:t>
      </w:r>
      <w:r w:rsidR="00B85277" w:rsidRPr="0086608B">
        <w:rPr>
          <w:lang w:val="en-GB"/>
        </w:rPr>
        <w:tab/>
      </w:r>
      <w:r w:rsidR="00B85277" w:rsidRPr="00195739">
        <w:rPr>
          <w:lang w:val="en-GB"/>
        </w:rPr>
        <w:t xml:space="preserve">On strategic planning, IMAC had </w:t>
      </w:r>
      <w:r w:rsidR="00A10B78" w:rsidRPr="00C44A2E">
        <w:rPr>
          <w:lang w:val="en-US"/>
        </w:rPr>
        <w:t>emphasized the importance of</w:t>
      </w:r>
      <w:r w:rsidR="00A10B78" w:rsidRPr="00A10B78" w:rsidDel="00A10B78">
        <w:rPr>
          <w:lang w:val="en-GB"/>
        </w:rPr>
        <w:t xml:space="preserve"> </w:t>
      </w:r>
      <w:r w:rsidR="00B85277" w:rsidRPr="00195739">
        <w:rPr>
          <w:lang w:val="en-GB"/>
        </w:rPr>
        <w:t>stronger alignment between strategic planning, financial planning and performance indicators</w:t>
      </w:r>
      <w:r w:rsidR="000C6AF7">
        <w:rPr>
          <w:lang w:val="en-GB"/>
        </w:rPr>
        <w:t>,</w:t>
      </w:r>
      <w:r w:rsidR="00B85277" w:rsidRPr="00195739">
        <w:rPr>
          <w:lang w:val="en-GB"/>
        </w:rPr>
        <w:t xml:space="preserve"> </w:t>
      </w:r>
      <w:r w:rsidR="00136527" w:rsidRPr="00C44A2E">
        <w:rPr>
          <w:lang w:val="en-US"/>
        </w:rPr>
        <w:t>while ensuring that organizational priorities remained aligned with the actual implementation capacity of the Union.</w:t>
      </w:r>
      <w:r w:rsidR="00B85277" w:rsidRPr="00195739">
        <w:rPr>
          <w:lang w:val="en-GB"/>
        </w:rPr>
        <w:t xml:space="preserve"> ITU had made meaningful progress and was </w:t>
      </w:r>
      <w:r w:rsidR="001E4D18">
        <w:rPr>
          <w:lang w:val="en-GB"/>
        </w:rPr>
        <w:t xml:space="preserve">operating </w:t>
      </w:r>
      <w:r w:rsidR="00B85277" w:rsidRPr="00195739">
        <w:rPr>
          <w:lang w:val="en-GB"/>
        </w:rPr>
        <w:t xml:space="preserve">on a stronger institutional footing, </w:t>
      </w:r>
      <w:r w:rsidR="000C6AF7">
        <w:rPr>
          <w:lang w:val="en-GB"/>
        </w:rPr>
        <w:t xml:space="preserve">but </w:t>
      </w:r>
      <w:r w:rsidR="00BA0533" w:rsidRPr="00C44A2E">
        <w:rPr>
          <w:lang w:val="en-US"/>
        </w:rPr>
        <w:t>the organization now needed to move more decisively from planning to delivery through</w:t>
      </w:r>
      <w:r w:rsidR="00B85277" w:rsidRPr="00195739">
        <w:rPr>
          <w:lang w:val="en-GB"/>
        </w:rPr>
        <w:t xml:space="preserve"> stronger accountability, implementation discipline, risk-informed decision making and </w:t>
      </w:r>
      <w:r w:rsidR="00041550">
        <w:rPr>
          <w:lang w:val="en-GB"/>
        </w:rPr>
        <w:t>sustained attention to</w:t>
      </w:r>
      <w:r w:rsidR="00B85277" w:rsidRPr="00195739">
        <w:rPr>
          <w:lang w:val="en-GB"/>
        </w:rPr>
        <w:t xml:space="preserve"> efficiency. IMAC remained committed </w:t>
      </w:r>
      <w:r w:rsidR="00DF4E9E">
        <w:rPr>
          <w:lang w:val="en-GB"/>
        </w:rPr>
        <w:t>to</w:t>
      </w:r>
      <w:r w:rsidR="00B85277" w:rsidRPr="08B1BADE">
        <w:rPr>
          <w:lang w:val="en-GB"/>
        </w:rPr>
        <w:t xml:space="preserve"> </w:t>
      </w:r>
      <w:r w:rsidR="00B85277" w:rsidRPr="00195739">
        <w:rPr>
          <w:lang w:val="en-GB"/>
        </w:rPr>
        <w:t xml:space="preserve">supporting the Council </w:t>
      </w:r>
      <w:r w:rsidR="00EC7A5D">
        <w:rPr>
          <w:lang w:val="en-GB"/>
        </w:rPr>
        <w:t xml:space="preserve">in </w:t>
      </w:r>
      <w:r w:rsidR="00B85277" w:rsidRPr="00195739">
        <w:rPr>
          <w:lang w:val="en-GB"/>
        </w:rPr>
        <w:t>that regard.</w:t>
      </w:r>
    </w:p>
    <w:p w14:paraId="58038C65" w14:textId="7AC82728" w:rsidR="00BE017B" w:rsidRPr="00195739" w:rsidRDefault="000D2D4D" w:rsidP="00B85277">
      <w:pPr>
        <w:rPr>
          <w:lang w:val="en-GB"/>
        </w:rPr>
      </w:pPr>
      <w:r>
        <w:rPr>
          <w:lang w:val="en-GB"/>
        </w:rPr>
        <w:t>32</w:t>
      </w:r>
      <w:r w:rsidR="00B85277" w:rsidRPr="00195739">
        <w:rPr>
          <w:lang w:val="en-GB"/>
        </w:rPr>
        <w:t>.</w:t>
      </w:r>
      <w:r w:rsidR="00787126">
        <w:rPr>
          <w:lang w:val="en-GB"/>
        </w:rPr>
        <w:t>7</w:t>
      </w:r>
      <w:r w:rsidR="00B85277" w:rsidRPr="00C44A2E">
        <w:rPr>
          <w:lang w:val="en-US"/>
        </w:rPr>
        <w:tab/>
      </w:r>
      <w:r w:rsidR="00B85277" w:rsidRPr="00195739">
        <w:rPr>
          <w:lang w:val="en-GB"/>
        </w:rPr>
        <w:t xml:space="preserve">Councillors expressed </w:t>
      </w:r>
      <w:r w:rsidR="00263BB2">
        <w:rPr>
          <w:lang w:val="en-GB"/>
        </w:rPr>
        <w:t>strong</w:t>
      </w:r>
      <w:r w:rsidR="00263BB2" w:rsidRPr="08B1BADE">
        <w:rPr>
          <w:lang w:val="en-GB"/>
        </w:rPr>
        <w:t xml:space="preserve"> </w:t>
      </w:r>
      <w:r w:rsidR="00B85277" w:rsidRPr="00195739">
        <w:rPr>
          <w:lang w:val="en-GB"/>
        </w:rPr>
        <w:t xml:space="preserve">support for the work </w:t>
      </w:r>
      <w:r w:rsidR="00B6140C">
        <w:rPr>
          <w:lang w:val="en-GB"/>
        </w:rPr>
        <w:t xml:space="preserve">carried </w:t>
      </w:r>
      <w:r w:rsidR="002B2916">
        <w:rPr>
          <w:lang w:val="en-GB"/>
        </w:rPr>
        <w:t>out</w:t>
      </w:r>
      <w:r w:rsidR="00B6140C" w:rsidRPr="08B1BADE">
        <w:rPr>
          <w:lang w:val="en-GB"/>
        </w:rPr>
        <w:t xml:space="preserve"> </w:t>
      </w:r>
      <w:r w:rsidR="00B85277" w:rsidRPr="00195739">
        <w:rPr>
          <w:lang w:val="en-GB"/>
        </w:rPr>
        <w:t xml:space="preserve">by IMAC and welcomed the Chair’s comprehensive and </w:t>
      </w:r>
      <w:r w:rsidR="00750D11">
        <w:rPr>
          <w:lang w:val="en-GB"/>
        </w:rPr>
        <w:t>candid presentation</w:t>
      </w:r>
      <w:r w:rsidR="00B85277" w:rsidRPr="00195739">
        <w:rPr>
          <w:lang w:val="en-GB"/>
        </w:rPr>
        <w:t xml:space="preserve">, and the </w:t>
      </w:r>
      <w:r w:rsidR="00452F99">
        <w:rPr>
          <w:lang w:val="en-GB"/>
        </w:rPr>
        <w:t xml:space="preserve">Committee’s </w:t>
      </w:r>
      <w:r w:rsidR="00B85277" w:rsidRPr="00195739">
        <w:rPr>
          <w:lang w:val="en-GB"/>
        </w:rPr>
        <w:t xml:space="preserve">statement on independence. The </w:t>
      </w:r>
      <w:r w:rsidR="00BF76F2">
        <w:rPr>
          <w:lang w:val="en-GB"/>
        </w:rPr>
        <w:t>willingness</w:t>
      </w:r>
      <w:r w:rsidR="00276F1E" w:rsidRPr="08B1BADE">
        <w:rPr>
          <w:lang w:val="en-GB"/>
        </w:rPr>
        <w:t xml:space="preserve"> </w:t>
      </w:r>
      <w:r w:rsidR="00B85277" w:rsidRPr="00195739">
        <w:rPr>
          <w:lang w:val="en-GB"/>
        </w:rPr>
        <w:t xml:space="preserve">of ITU staff and management to cooperate </w:t>
      </w:r>
      <w:r w:rsidR="006C7448">
        <w:rPr>
          <w:lang w:val="en-GB"/>
        </w:rPr>
        <w:t xml:space="preserve">fully </w:t>
      </w:r>
      <w:r w:rsidR="00B85277" w:rsidRPr="00195739">
        <w:rPr>
          <w:lang w:val="en-GB"/>
        </w:rPr>
        <w:t xml:space="preserve">with IMAC was also </w:t>
      </w:r>
      <w:r w:rsidR="000D4600">
        <w:rPr>
          <w:lang w:val="en-GB"/>
        </w:rPr>
        <w:t>appreciated</w:t>
      </w:r>
      <w:r w:rsidR="00B85277" w:rsidRPr="08B1BADE">
        <w:rPr>
          <w:lang w:val="en-GB"/>
        </w:rPr>
        <w:t>.</w:t>
      </w:r>
      <w:r w:rsidR="00B85277" w:rsidRPr="00195739">
        <w:rPr>
          <w:lang w:val="en-GB"/>
        </w:rPr>
        <w:t xml:space="preserve"> Councillors commended the</w:t>
      </w:r>
      <w:r w:rsidR="0050115A" w:rsidRPr="00C44A2E">
        <w:rPr>
          <w:lang w:val="en-US"/>
        </w:rPr>
        <w:t xml:space="preserve"> frankness of the report </w:t>
      </w:r>
      <w:r w:rsidR="00B85277" w:rsidRPr="00195739">
        <w:rPr>
          <w:lang w:val="en-GB"/>
        </w:rPr>
        <w:t xml:space="preserve">and welcomed its five recommendations, </w:t>
      </w:r>
      <w:r w:rsidR="00E660D2">
        <w:rPr>
          <w:lang w:val="en-GB"/>
        </w:rPr>
        <w:t>s</w:t>
      </w:r>
      <w:proofErr w:type="spellStart"/>
      <w:r w:rsidR="00E27927" w:rsidRPr="00C44A2E">
        <w:rPr>
          <w:lang w:val="en-US"/>
        </w:rPr>
        <w:t>tressing</w:t>
      </w:r>
      <w:proofErr w:type="spellEnd"/>
      <w:r w:rsidR="00E27927" w:rsidRPr="00C44A2E">
        <w:rPr>
          <w:lang w:val="en-US"/>
        </w:rPr>
        <w:t xml:space="preserve"> the importance of their timely implementation</w:t>
      </w:r>
      <w:r w:rsidR="00B85277" w:rsidRPr="00195739">
        <w:rPr>
          <w:lang w:val="en-GB"/>
        </w:rPr>
        <w:t xml:space="preserve">. One councillor asked whether the recommendations </w:t>
      </w:r>
      <w:r w:rsidR="00FE1B76" w:rsidRPr="00C44A2E">
        <w:rPr>
          <w:lang w:val="en-US"/>
        </w:rPr>
        <w:t>would be reflected in the</w:t>
      </w:r>
      <w:r w:rsidR="00FE1B76" w:rsidRPr="00FE1B76" w:rsidDel="00FE1B76">
        <w:rPr>
          <w:lang w:val="en-GB"/>
        </w:rPr>
        <w:t xml:space="preserve"> </w:t>
      </w:r>
      <w:r w:rsidR="00B85277" w:rsidRPr="00195739">
        <w:rPr>
          <w:lang w:val="en-GB"/>
        </w:rPr>
        <w:t xml:space="preserve">implementation </w:t>
      </w:r>
      <w:r w:rsidR="0067339F">
        <w:rPr>
          <w:lang w:val="en-GB"/>
        </w:rPr>
        <w:t xml:space="preserve">compliance </w:t>
      </w:r>
      <w:r w:rsidR="00B85277" w:rsidRPr="00195739">
        <w:rPr>
          <w:lang w:val="en-GB"/>
        </w:rPr>
        <w:t xml:space="preserve">dashboard. </w:t>
      </w:r>
      <w:r w:rsidR="00481C27">
        <w:rPr>
          <w:lang w:val="en-GB"/>
        </w:rPr>
        <w:t xml:space="preserve">Another </w:t>
      </w:r>
      <w:r w:rsidR="009C65EC">
        <w:rPr>
          <w:lang w:val="en-GB"/>
        </w:rPr>
        <w:t xml:space="preserve">noted that </w:t>
      </w:r>
      <w:r w:rsidR="00FF26DA">
        <w:rPr>
          <w:lang w:val="en-GB"/>
        </w:rPr>
        <w:t>w</w:t>
      </w:r>
      <w:r w:rsidR="00B85277" w:rsidRPr="08B1BADE">
        <w:rPr>
          <w:lang w:val="en-GB"/>
        </w:rPr>
        <w:t>hen</w:t>
      </w:r>
      <w:r w:rsidR="00B85277" w:rsidRPr="00195739">
        <w:rPr>
          <w:lang w:val="en-GB"/>
        </w:rPr>
        <w:t xml:space="preserve"> issuing the recommendations, </w:t>
      </w:r>
      <w:r w:rsidR="002633D1" w:rsidRPr="00C44A2E">
        <w:rPr>
          <w:lang w:val="en-GB"/>
        </w:rPr>
        <w:t>due consideration</w:t>
      </w:r>
      <w:r w:rsidR="002633D1" w:rsidRPr="002633D1" w:rsidDel="002633D1">
        <w:rPr>
          <w:lang w:val="en-GB"/>
        </w:rPr>
        <w:t xml:space="preserve"> </w:t>
      </w:r>
      <w:r w:rsidR="00B85277" w:rsidRPr="00195739">
        <w:rPr>
          <w:lang w:val="en-GB"/>
        </w:rPr>
        <w:t xml:space="preserve">should </w:t>
      </w:r>
      <w:r w:rsidR="005F3057" w:rsidRPr="00C44A2E">
        <w:rPr>
          <w:lang w:val="en-GB"/>
        </w:rPr>
        <w:t>continue to be given</w:t>
      </w:r>
      <w:r w:rsidR="005F3057" w:rsidRPr="005F3057" w:rsidDel="005F3057">
        <w:rPr>
          <w:lang w:val="en-GB"/>
        </w:rPr>
        <w:t xml:space="preserve"> </w:t>
      </w:r>
      <w:r w:rsidR="002125A9">
        <w:rPr>
          <w:lang w:val="en-GB"/>
        </w:rPr>
        <w:t>to</w:t>
      </w:r>
      <w:r w:rsidR="00BF76F2">
        <w:rPr>
          <w:lang w:val="en-GB"/>
        </w:rPr>
        <w:t xml:space="preserve"> </w:t>
      </w:r>
      <w:r w:rsidR="00B85277" w:rsidRPr="00195739">
        <w:rPr>
          <w:lang w:val="en-GB"/>
        </w:rPr>
        <w:t xml:space="preserve">ITU’s institutional structure; </w:t>
      </w:r>
      <w:r w:rsidR="00965190" w:rsidRPr="00C44A2E">
        <w:rPr>
          <w:lang w:val="en-GB"/>
        </w:rPr>
        <w:t>and the respective governance and oversight roles of the Council and the Plenipotentiary Conference.</w:t>
      </w:r>
    </w:p>
    <w:p w14:paraId="10C1C57B" w14:textId="23F9365A" w:rsidR="004438AB" w:rsidRDefault="00BE017B" w:rsidP="00B85277">
      <w:pPr>
        <w:rPr>
          <w:lang w:val="en-GB"/>
        </w:rPr>
      </w:pPr>
      <w:r>
        <w:rPr>
          <w:lang w:val="en-GB"/>
        </w:rPr>
        <w:t>32</w:t>
      </w:r>
      <w:r w:rsidR="00B85277" w:rsidRPr="00195739">
        <w:rPr>
          <w:lang w:val="en-GB"/>
        </w:rPr>
        <w:t>.</w:t>
      </w:r>
      <w:r w:rsidR="00787126">
        <w:rPr>
          <w:lang w:val="en-GB"/>
        </w:rPr>
        <w:t>8</w:t>
      </w:r>
      <w:r w:rsidR="00B85277" w:rsidRPr="00C44A2E">
        <w:rPr>
          <w:lang w:val="en-US"/>
        </w:rPr>
        <w:tab/>
      </w:r>
      <w:r w:rsidR="007F7D42" w:rsidRPr="00C44A2E">
        <w:rPr>
          <w:lang w:val="en-US"/>
        </w:rPr>
        <w:t>Councillors welcomed the report’s</w:t>
      </w:r>
      <w:r w:rsidR="00B85277" w:rsidRPr="00195739">
        <w:rPr>
          <w:lang w:val="en-GB"/>
        </w:rPr>
        <w:t xml:space="preserve"> focus on risk management, internal controls and accountability; </w:t>
      </w:r>
      <w:r w:rsidR="00285AC1" w:rsidRPr="00C44A2E">
        <w:rPr>
          <w:lang w:val="en-US"/>
        </w:rPr>
        <w:t xml:space="preserve">and emphasized the need for </w:t>
      </w:r>
      <w:r w:rsidR="00B85277" w:rsidRPr="00195739">
        <w:rPr>
          <w:lang w:val="en-GB"/>
        </w:rPr>
        <w:t xml:space="preserve">clear reporting and </w:t>
      </w:r>
      <w:r w:rsidR="00731D2F">
        <w:rPr>
          <w:lang w:val="en-GB"/>
        </w:rPr>
        <w:t>measurable</w:t>
      </w:r>
      <w:r w:rsidR="00B85277" w:rsidRPr="00195739">
        <w:rPr>
          <w:lang w:val="en-GB"/>
        </w:rPr>
        <w:t xml:space="preserve"> indicators </w:t>
      </w:r>
      <w:r w:rsidR="0061533F">
        <w:rPr>
          <w:lang w:val="en-GB"/>
        </w:rPr>
        <w:t>to demonstrate</w:t>
      </w:r>
      <w:r w:rsidR="00B85277" w:rsidRPr="00195739">
        <w:rPr>
          <w:lang w:val="en-GB"/>
        </w:rPr>
        <w:t xml:space="preserve"> efficiency gains. </w:t>
      </w:r>
      <w:r w:rsidR="005B5CFC">
        <w:rPr>
          <w:lang w:val="en-GB"/>
        </w:rPr>
        <w:t>Stronger r</w:t>
      </w:r>
      <w:r w:rsidR="00B85277" w:rsidRPr="08B1BADE">
        <w:rPr>
          <w:lang w:val="en-GB"/>
        </w:rPr>
        <w:t>esults</w:t>
      </w:r>
      <w:r w:rsidR="00B85277" w:rsidRPr="00195739">
        <w:rPr>
          <w:lang w:val="en-GB"/>
        </w:rPr>
        <w:t xml:space="preserve">-based management </w:t>
      </w:r>
      <w:r w:rsidR="005D1754">
        <w:rPr>
          <w:lang w:val="en-GB"/>
        </w:rPr>
        <w:t>require</w:t>
      </w:r>
      <w:r w:rsidR="000C6AF7">
        <w:rPr>
          <w:lang w:val="en-GB"/>
        </w:rPr>
        <w:t>d</w:t>
      </w:r>
      <w:r w:rsidR="005D1754">
        <w:rPr>
          <w:lang w:val="en-GB"/>
        </w:rPr>
        <w:t xml:space="preserve"> </w:t>
      </w:r>
      <w:r w:rsidR="00097EDE">
        <w:rPr>
          <w:lang w:val="en-GB"/>
        </w:rPr>
        <w:t>better</w:t>
      </w:r>
      <w:r w:rsidR="00B85277" w:rsidRPr="08B1BADE">
        <w:rPr>
          <w:lang w:val="en-GB"/>
        </w:rPr>
        <w:t xml:space="preserve"> </w:t>
      </w:r>
      <w:r w:rsidR="00B85277" w:rsidRPr="00195739">
        <w:rPr>
          <w:lang w:val="en-GB"/>
        </w:rPr>
        <w:t xml:space="preserve">alignment between ITU’s </w:t>
      </w:r>
      <w:r w:rsidR="00F01963">
        <w:rPr>
          <w:lang w:val="en-GB"/>
        </w:rPr>
        <w:t xml:space="preserve">strategic </w:t>
      </w:r>
      <w:r w:rsidR="00B85277" w:rsidRPr="00195739">
        <w:rPr>
          <w:lang w:val="en-GB"/>
        </w:rPr>
        <w:t xml:space="preserve">objectives and the </w:t>
      </w:r>
      <w:r w:rsidR="00B85277" w:rsidRPr="08B1BADE">
        <w:rPr>
          <w:lang w:val="en-GB"/>
        </w:rPr>
        <w:t>da</w:t>
      </w:r>
      <w:r w:rsidR="008C50D3">
        <w:rPr>
          <w:lang w:val="en-GB"/>
        </w:rPr>
        <w:t>y</w:t>
      </w:r>
      <w:r w:rsidR="00071DD3">
        <w:rPr>
          <w:lang w:val="en-GB"/>
        </w:rPr>
        <w:t>-to-day</w:t>
      </w:r>
      <w:r w:rsidR="00B85277" w:rsidRPr="00195739">
        <w:rPr>
          <w:lang w:val="en-GB"/>
        </w:rPr>
        <w:t xml:space="preserve"> activities of staff </w:t>
      </w:r>
      <w:r w:rsidR="009E6463" w:rsidRPr="00C44A2E">
        <w:rPr>
          <w:lang w:val="en-US"/>
        </w:rPr>
        <w:t>through more outcome-oriented</w:t>
      </w:r>
      <w:r w:rsidR="009E6463" w:rsidRPr="009E6463" w:rsidDel="009E6463">
        <w:rPr>
          <w:lang w:val="en-GB"/>
        </w:rPr>
        <w:t xml:space="preserve"> </w:t>
      </w:r>
      <w:r w:rsidR="00B85277" w:rsidRPr="00195739">
        <w:rPr>
          <w:lang w:val="en-GB"/>
        </w:rPr>
        <w:t>indicators</w:t>
      </w:r>
      <w:r w:rsidR="000C6AF7">
        <w:rPr>
          <w:lang w:val="en-GB"/>
        </w:rPr>
        <w:t>.</w:t>
      </w:r>
      <w:r w:rsidR="00B85277" w:rsidRPr="00195739">
        <w:rPr>
          <w:lang w:val="en-GB"/>
        </w:rPr>
        <w:t xml:space="preserve"> Accountability should </w:t>
      </w:r>
      <w:r w:rsidR="00382677" w:rsidRPr="00C44A2E">
        <w:rPr>
          <w:lang w:val="en-US"/>
        </w:rPr>
        <w:t>also encompass</w:t>
      </w:r>
      <w:r w:rsidR="00B85277" w:rsidRPr="00195739">
        <w:rPr>
          <w:lang w:val="en-GB"/>
        </w:rPr>
        <w:t xml:space="preserve"> the effective use of human resources</w:t>
      </w:r>
      <w:r w:rsidR="000C6AF7">
        <w:rPr>
          <w:lang w:val="en-GB"/>
        </w:rPr>
        <w:t>,</w:t>
      </w:r>
      <w:r w:rsidR="00B85277" w:rsidRPr="00195739">
        <w:rPr>
          <w:lang w:val="en-GB"/>
        </w:rPr>
        <w:t xml:space="preserve"> </w:t>
      </w:r>
      <w:r w:rsidR="00BB20B2" w:rsidRPr="00C44A2E">
        <w:rPr>
          <w:lang w:val="en-US"/>
        </w:rPr>
        <w:t>including the staffing implications of activities considered to have no direct financial impact.</w:t>
      </w:r>
    </w:p>
    <w:p w14:paraId="6BE1E7EA" w14:textId="2F7C5D53" w:rsidR="00B85277" w:rsidRPr="00195739" w:rsidRDefault="00BE017B" w:rsidP="00B85277">
      <w:pPr>
        <w:rPr>
          <w:lang w:val="en-GB"/>
        </w:rPr>
      </w:pPr>
      <w:r>
        <w:rPr>
          <w:lang w:val="en-GB"/>
        </w:rPr>
        <w:t>32</w:t>
      </w:r>
      <w:r w:rsidR="004438AB">
        <w:rPr>
          <w:lang w:val="en-GB"/>
        </w:rPr>
        <w:t>.</w:t>
      </w:r>
      <w:r>
        <w:rPr>
          <w:lang w:val="en-GB"/>
        </w:rPr>
        <w:t>9</w:t>
      </w:r>
      <w:r w:rsidR="004438AB">
        <w:rPr>
          <w:lang w:val="en-GB"/>
        </w:rPr>
        <w:t xml:space="preserve"> </w:t>
      </w:r>
      <w:r w:rsidR="00B85277" w:rsidRPr="00195739">
        <w:rPr>
          <w:lang w:val="en-GB"/>
        </w:rPr>
        <w:t xml:space="preserve">One councillor asked how </w:t>
      </w:r>
      <w:r w:rsidR="00630792" w:rsidRPr="00C44A2E">
        <w:rPr>
          <w:lang w:val="en-US"/>
        </w:rPr>
        <w:t xml:space="preserve">differences between the approaches applied by EY in its risk management assessment and those of the </w:t>
      </w:r>
      <w:r w:rsidR="00B85277" w:rsidRPr="00195739">
        <w:rPr>
          <w:lang w:val="en-GB"/>
        </w:rPr>
        <w:t>JIU could be reconciled</w:t>
      </w:r>
      <w:r w:rsidR="000C6AF7">
        <w:rPr>
          <w:lang w:val="en-GB"/>
        </w:rPr>
        <w:t>.</w:t>
      </w:r>
      <w:r w:rsidR="00906D38" w:rsidRPr="00C44A2E">
        <w:rPr>
          <w:lang w:val="en-US"/>
        </w:rPr>
        <w:t xml:space="preserve"> Several councillors underlined the importance of</w:t>
      </w:r>
      <w:r w:rsidR="00B85277" w:rsidRPr="00195739">
        <w:rPr>
          <w:lang w:val="en-GB"/>
        </w:rPr>
        <w:t xml:space="preserve"> implementing a modern </w:t>
      </w:r>
      <w:r w:rsidR="00813BAC">
        <w:rPr>
          <w:lang w:val="en-GB"/>
        </w:rPr>
        <w:t xml:space="preserve">and comprehensive </w:t>
      </w:r>
      <w:r w:rsidR="00670005">
        <w:rPr>
          <w:lang w:val="en-GB"/>
        </w:rPr>
        <w:t>risk management</w:t>
      </w:r>
      <w:r w:rsidR="00B85277" w:rsidRPr="08B1BADE">
        <w:rPr>
          <w:lang w:val="en-GB"/>
        </w:rPr>
        <w:t xml:space="preserve"> </w:t>
      </w:r>
      <w:r w:rsidR="00D72549">
        <w:rPr>
          <w:lang w:val="en-GB"/>
        </w:rPr>
        <w:t>framework</w:t>
      </w:r>
      <w:r w:rsidR="00D72549" w:rsidRPr="08B1BADE">
        <w:rPr>
          <w:lang w:val="en-GB"/>
        </w:rPr>
        <w:t xml:space="preserve"> </w:t>
      </w:r>
      <w:r w:rsidR="00B85277" w:rsidRPr="00195739">
        <w:rPr>
          <w:lang w:val="en-GB"/>
        </w:rPr>
        <w:t xml:space="preserve">across ITU. </w:t>
      </w:r>
      <w:r w:rsidR="00B85277" w:rsidRPr="08B1BADE">
        <w:rPr>
          <w:lang w:val="en-GB"/>
        </w:rPr>
        <w:t xml:space="preserve">The </w:t>
      </w:r>
      <w:r w:rsidR="002356DE">
        <w:rPr>
          <w:lang w:val="en-GB"/>
        </w:rPr>
        <w:t>proposal for a</w:t>
      </w:r>
      <w:r w:rsidR="00B85277" w:rsidRPr="00195739">
        <w:rPr>
          <w:lang w:val="en-GB"/>
        </w:rPr>
        <w:t xml:space="preserve"> comprehensive review of the internal justice system was welcome. </w:t>
      </w:r>
      <w:r w:rsidR="00B85277" w:rsidRPr="08B1BADE">
        <w:rPr>
          <w:lang w:val="en-GB"/>
        </w:rPr>
        <w:t xml:space="preserve">While </w:t>
      </w:r>
      <w:r w:rsidR="00BF76F2">
        <w:rPr>
          <w:lang w:val="en-GB"/>
        </w:rPr>
        <w:t>c</w:t>
      </w:r>
      <w:proofErr w:type="spellStart"/>
      <w:r w:rsidR="00124FAF" w:rsidRPr="00C44A2E">
        <w:rPr>
          <w:lang w:val="en-US"/>
        </w:rPr>
        <w:t>ouncillors</w:t>
      </w:r>
      <w:proofErr w:type="spellEnd"/>
      <w:r w:rsidR="00124FAF" w:rsidRPr="00C44A2E">
        <w:rPr>
          <w:lang w:val="en-US"/>
        </w:rPr>
        <w:t xml:space="preserve"> also supported efforts</w:t>
      </w:r>
      <w:r w:rsidR="00124FAF" w:rsidRPr="00124FAF" w:rsidDel="00124FAF">
        <w:rPr>
          <w:lang w:val="en-GB"/>
        </w:rPr>
        <w:t xml:space="preserve"> </w:t>
      </w:r>
      <w:r w:rsidR="00B85277" w:rsidRPr="00195739">
        <w:rPr>
          <w:lang w:val="en-GB"/>
        </w:rPr>
        <w:t xml:space="preserve">to revise the budget </w:t>
      </w:r>
      <w:r w:rsidR="007720C7">
        <w:rPr>
          <w:lang w:val="en-GB"/>
        </w:rPr>
        <w:t xml:space="preserve">presentation </w:t>
      </w:r>
      <w:r w:rsidR="0081424C">
        <w:rPr>
          <w:lang w:val="en-GB"/>
        </w:rPr>
        <w:t xml:space="preserve">format </w:t>
      </w:r>
      <w:r w:rsidR="00B85277" w:rsidRPr="00195739">
        <w:rPr>
          <w:lang w:val="en-GB"/>
        </w:rPr>
        <w:t xml:space="preserve">to achieve a more </w:t>
      </w:r>
      <w:r w:rsidR="00B85277" w:rsidRPr="08B1BADE">
        <w:rPr>
          <w:lang w:val="en-GB"/>
        </w:rPr>
        <w:t>balance</w:t>
      </w:r>
      <w:r w:rsidR="00DC15D8">
        <w:rPr>
          <w:lang w:val="en-GB"/>
        </w:rPr>
        <w:t xml:space="preserve">d representation </w:t>
      </w:r>
      <w:r w:rsidR="005F3A63">
        <w:rPr>
          <w:lang w:val="en-GB"/>
        </w:rPr>
        <w:t>of costs</w:t>
      </w:r>
      <w:r w:rsidR="00B85277" w:rsidRPr="08B1BADE">
        <w:rPr>
          <w:lang w:val="en-GB"/>
        </w:rPr>
        <w:t xml:space="preserve">, </w:t>
      </w:r>
      <w:r w:rsidR="005A7BAD">
        <w:rPr>
          <w:lang w:val="en-GB"/>
        </w:rPr>
        <w:t>additional</w:t>
      </w:r>
      <w:r w:rsidR="005A7BAD" w:rsidRPr="08B1BADE">
        <w:rPr>
          <w:lang w:val="en-GB"/>
        </w:rPr>
        <w:t xml:space="preserve"> </w:t>
      </w:r>
      <w:r w:rsidR="00B85277" w:rsidRPr="00195739">
        <w:rPr>
          <w:lang w:val="en-GB"/>
        </w:rPr>
        <w:t xml:space="preserve">details were requested </w:t>
      </w:r>
      <w:r w:rsidR="000E39C4" w:rsidRPr="00C44A2E">
        <w:rPr>
          <w:lang w:val="en-US"/>
        </w:rPr>
        <w:t>regarding the practical implications of such revisions</w:t>
      </w:r>
      <w:r w:rsidR="00B032F2">
        <w:rPr>
          <w:lang w:val="en-US"/>
        </w:rPr>
        <w:t>.</w:t>
      </w:r>
      <w:r w:rsidR="00B85277" w:rsidRPr="00195739">
        <w:rPr>
          <w:lang w:val="en-GB"/>
        </w:rPr>
        <w:t xml:space="preserve"> Lastly, further discussion was needed on improving the selection process for IMAC members.</w:t>
      </w:r>
    </w:p>
    <w:p w14:paraId="548AEA87" w14:textId="1070FD76" w:rsidR="00B85277" w:rsidRPr="00195739" w:rsidRDefault="00BE017B" w:rsidP="00B85277">
      <w:pPr>
        <w:rPr>
          <w:lang w:val="en-GB"/>
        </w:rPr>
      </w:pPr>
      <w:r>
        <w:rPr>
          <w:lang w:val="en-GB"/>
        </w:rPr>
        <w:t>32</w:t>
      </w:r>
      <w:r w:rsidR="00B85277" w:rsidRPr="00195739">
        <w:rPr>
          <w:lang w:val="en-GB"/>
        </w:rPr>
        <w:t>.</w:t>
      </w:r>
      <w:r>
        <w:rPr>
          <w:lang w:val="en-GB"/>
        </w:rPr>
        <w:t>10</w:t>
      </w:r>
      <w:r w:rsidR="00B85277" w:rsidRPr="00C44A2E">
        <w:rPr>
          <w:lang w:val="en-US"/>
        </w:rPr>
        <w:tab/>
      </w:r>
      <w:r w:rsidR="00B85277" w:rsidRPr="00195739">
        <w:rPr>
          <w:lang w:val="en-GB"/>
        </w:rPr>
        <w:t xml:space="preserve">The Chair of IMAC </w:t>
      </w:r>
      <w:r w:rsidR="00376613" w:rsidRPr="00C44A2E">
        <w:rPr>
          <w:lang w:val="en-US"/>
        </w:rPr>
        <w:t xml:space="preserve">expressed appreciation for </w:t>
      </w:r>
      <w:r w:rsidR="00B85277" w:rsidRPr="00195739">
        <w:rPr>
          <w:lang w:val="en-GB"/>
        </w:rPr>
        <w:t xml:space="preserve">Member States’ support </w:t>
      </w:r>
      <w:r w:rsidR="00A203F3">
        <w:rPr>
          <w:lang w:val="en-GB"/>
        </w:rPr>
        <w:t xml:space="preserve">and </w:t>
      </w:r>
      <w:r w:rsidR="00B85277" w:rsidRPr="08B1BADE">
        <w:rPr>
          <w:lang w:val="en-GB"/>
        </w:rPr>
        <w:t xml:space="preserve">for </w:t>
      </w:r>
      <w:r w:rsidR="00632812">
        <w:rPr>
          <w:lang w:val="en-GB"/>
        </w:rPr>
        <w:t xml:space="preserve">positive recognition of </w:t>
      </w:r>
      <w:r w:rsidR="00B85277" w:rsidRPr="00195739">
        <w:rPr>
          <w:lang w:val="en-GB"/>
        </w:rPr>
        <w:t xml:space="preserve">IMAC’s work and candour. He </w:t>
      </w:r>
      <w:r w:rsidR="00B85277" w:rsidRPr="08B1BADE">
        <w:rPr>
          <w:lang w:val="en-GB"/>
        </w:rPr>
        <w:t>note</w:t>
      </w:r>
      <w:r w:rsidR="00225393">
        <w:rPr>
          <w:lang w:val="en-GB"/>
        </w:rPr>
        <w:t>d</w:t>
      </w:r>
      <w:r w:rsidR="00B85277" w:rsidRPr="00195739">
        <w:rPr>
          <w:lang w:val="en-GB"/>
        </w:rPr>
        <w:t xml:space="preserve"> all comments made</w:t>
      </w:r>
      <w:r w:rsidR="00500433">
        <w:rPr>
          <w:lang w:val="en-GB"/>
        </w:rPr>
        <w:t xml:space="preserve"> by </w:t>
      </w:r>
      <w:r w:rsidR="00607B70">
        <w:rPr>
          <w:lang w:val="en-GB"/>
        </w:rPr>
        <w:t>councillors and</w:t>
      </w:r>
      <w:r w:rsidR="00BF76F2">
        <w:rPr>
          <w:lang w:val="en-GB"/>
        </w:rPr>
        <w:t xml:space="preserve"> </w:t>
      </w:r>
      <w:r w:rsidR="00607B70">
        <w:rPr>
          <w:lang w:val="en-GB"/>
        </w:rPr>
        <w:t>welcomed</w:t>
      </w:r>
      <w:r w:rsidR="00B85277" w:rsidRPr="08B1BADE">
        <w:rPr>
          <w:lang w:val="en-GB"/>
        </w:rPr>
        <w:t xml:space="preserve"> </w:t>
      </w:r>
      <w:r w:rsidR="00D46DC8">
        <w:rPr>
          <w:lang w:val="en-GB"/>
        </w:rPr>
        <w:t>t</w:t>
      </w:r>
      <w:r w:rsidR="00B85277" w:rsidRPr="08B1BADE">
        <w:rPr>
          <w:lang w:val="en-GB"/>
        </w:rPr>
        <w:t>he</w:t>
      </w:r>
      <w:r w:rsidR="00B85277" w:rsidRPr="00195739">
        <w:rPr>
          <w:lang w:val="en-GB"/>
        </w:rPr>
        <w:t xml:space="preserve"> openness of the secretariat </w:t>
      </w:r>
      <w:r w:rsidR="00FF635D">
        <w:rPr>
          <w:lang w:val="en-GB"/>
        </w:rPr>
        <w:t>in</w:t>
      </w:r>
      <w:r w:rsidR="00FF635D" w:rsidRPr="08B1BADE">
        <w:rPr>
          <w:lang w:val="en-GB"/>
        </w:rPr>
        <w:t xml:space="preserve"> </w:t>
      </w:r>
      <w:r w:rsidR="00B85277" w:rsidRPr="08B1BADE">
        <w:rPr>
          <w:lang w:val="en-GB"/>
        </w:rPr>
        <w:t>involv</w:t>
      </w:r>
      <w:r w:rsidR="00FF635D">
        <w:rPr>
          <w:lang w:val="en-GB"/>
        </w:rPr>
        <w:t>ing</w:t>
      </w:r>
      <w:r w:rsidR="00B85277" w:rsidRPr="00195739">
        <w:rPr>
          <w:lang w:val="en-GB"/>
        </w:rPr>
        <w:t xml:space="preserve"> IMAC in </w:t>
      </w:r>
      <w:r w:rsidR="00DA4D9D">
        <w:rPr>
          <w:lang w:val="en-GB"/>
        </w:rPr>
        <w:t>a broad range of</w:t>
      </w:r>
      <w:r w:rsidR="00DA4D9D" w:rsidRPr="08B1BADE">
        <w:rPr>
          <w:lang w:val="en-GB"/>
        </w:rPr>
        <w:t xml:space="preserve"> </w:t>
      </w:r>
      <w:r w:rsidR="00B85277" w:rsidRPr="00195739">
        <w:rPr>
          <w:lang w:val="en-GB"/>
        </w:rPr>
        <w:t>processes</w:t>
      </w:r>
      <w:r w:rsidR="00327908">
        <w:rPr>
          <w:lang w:val="en-GB"/>
        </w:rPr>
        <w:t>.</w:t>
      </w:r>
      <w:r w:rsidR="000C6AF7">
        <w:rPr>
          <w:lang w:val="en-GB"/>
        </w:rPr>
        <w:t xml:space="preserve"> </w:t>
      </w:r>
      <w:r w:rsidR="00B85277" w:rsidRPr="00195739">
        <w:rPr>
          <w:lang w:val="en-GB"/>
        </w:rPr>
        <w:t xml:space="preserve">IMAC </w:t>
      </w:r>
      <w:r w:rsidR="0078549A">
        <w:rPr>
          <w:lang w:val="en-GB"/>
        </w:rPr>
        <w:t>would continue</w:t>
      </w:r>
      <w:r w:rsidR="00382D0D">
        <w:rPr>
          <w:lang w:val="en-GB"/>
        </w:rPr>
        <w:t xml:space="preserve"> to</w:t>
      </w:r>
      <w:r w:rsidR="0078549A" w:rsidRPr="08B1BADE">
        <w:rPr>
          <w:lang w:val="en-GB"/>
        </w:rPr>
        <w:t xml:space="preserve"> </w:t>
      </w:r>
      <w:r w:rsidR="00B85277" w:rsidRPr="00195739">
        <w:rPr>
          <w:lang w:val="en-GB"/>
        </w:rPr>
        <w:t xml:space="preserve">contribute </w:t>
      </w:r>
      <w:r w:rsidR="00BF76F2" w:rsidRPr="00BF76F2">
        <w:rPr>
          <w:lang w:val="en-GB"/>
        </w:rPr>
        <w:t>independently</w:t>
      </w:r>
      <w:r w:rsidR="001834FF" w:rsidRPr="00C44A2E">
        <w:rPr>
          <w:lang w:val="en-GB"/>
        </w:rPr>
        <w:t xml:space="preserve"> and constructively</w:t>
      </w:r>
      <w:r w:rsidR="00B85277" w:rsidRPr="00195739">
        <w:rPr>
          <w:lang w:val="en-GB"/>
        </w:rPr>
        <w:t xml:space="preserve">, </w:t>
      </w:r>
      <w:r w:rsidR="002D1BD8" w:rsidRPr="00C44A2E">
        <w:rPr>
          <w:lang w:val="en-GB"/>
        </w:rPr>
        <w:t>including in areas such as the</w:t>
      </w:r>
      <w:r w:rsidR="002D1BD8" w:rsidRPr="002D1BD8" w:rsidDel="002D1BD8">
        <w:rPr>
          <w:lang w:val="en-GB"/>
        </w:rPr>
        <w:t xml:space="preserve"> </w:t>
      </w:r>
      <w:r w:rsidR="00B85277" w:rsidRPr="00195739">
        <w:rPr>
          <w:lang w:val="en-GB"/>
        </w:rPr>
        <w:t xml:space="preserve">consultations on risk management with EY, </w:t>
      </w:r>
      <w:r w:rsidR="00E73936" w:rsidRPr="00C44A2E">
        <w:rPr>
          <w:lang w:val="en-US"/>
        </w:rPr>
        <w:t xml:space="preserve">where its input </w:t>
      </w:r>
      <w:r w:rsidR="00B85277" w:rsidRPr="00195739">
        <w:rPr>
          <w:lang w:val="en-GB"/>
        </w:rPr>
        <w:t xml:space="preserve">had been </w:t>
      </w:r>
      <w:proofErr w:type="gramStart"/>
      <w:r w:rsidR="00B85277" w:rsidRPr="00195739">
        <w:rPr>
          <w:lang w:val="en-GB"/>
        </w:rPr>
        <w:t xml:space="preserve">taken into </w:t>
      </w:r>
      <w:r w:rsidR="00D51749">
        <w:rPr>
          <w:lang w:val="en-GB"/>
        </w:rPr>
        <w:t>account</w:t>
      </w:r>
      <w:proofErr w:type="gramEnd"/>
      <w:r w:rsidR="00B85277" w:rsidRPr="08B1BADE">
        <w:rPr>
          <w:lang w:val="en-GB"/>
        </w:rPr>
        <w:t xml:space="preserve">. </w:t>
      </w:r>
      <w:r w:rsidR="000E0101" w:rsidRPr="00C44A2E">
        <w:rPr>
          <w:lang w:val="en-US"/>
        </w:rPr>
        <w:t>He confirmed that, following Council approval of the report,</w:t>
      </w:r>
      <w:r w:rsidR="000E0101" w:rsidRPr="000E0101">
        <w:rPr>
          <w:lang w:val="en-GB"/>
        </w:rPr>
        <w:t xml:space="preserve"> </w:t>
      </w:r>
      <w:r w:rsidR="00A2542B">
        <w:rPr>
          <w:lang w:val="en-GB"/>
        </w:rPr>
        <w:t>t</w:t>
      </w:r>
      <w:r w:rsidR="00B85277" w:rsidRPr="08B1BADE">
        <w:rPr>
          <w:lang w:val="en-GB"/>
        </w:rPr>
        <w:t>he</w:t>
      </w:r>
      <w:r w:rsidR="00B85277" w:rsidRPr="00195739">
        <w:rPr>
          <w:lang w:val="en-GB"/>
        </w:rPr>
        <w:t xml:space="preserve"> recommendations would be </w:t>
      </w:r>
      <w:r w:rsidR="00BF76F2" w:rsidRPr="00BF76F2">
        <w:rPr>
          <w:lang w:val="en-US"/>
        </w:rPr>
        <w:t>incorporated</w:t>
      </w:r>
      <w:r w:rsidR="00B85277" w:rsidRPr="00195739">
        <w:rPr>
          <w:lang w:val="en-GB"/>
        </w:rPr>
        <w:t xml:space="preserve"> into the joint </w:t>
      </w:r>
      <w:r w:rsidR="00146B21">
        <w:rPr>
          <w:lang w:val="en-GB"/>
        </w:rPr>
        <w:t>compliance</w:t>
      </w:r>
      <w:r w:rsidR="00B85277" w:rsidRPr="00195739">
        <w:rPr>
          <w:lang w:val="en-GB"/>
        </w:rPr>
        <w:t xml:space="preserve"> tracking </w:t>
      </w:r>
      <w:r w:rsidR="00146B21">
        <w:rPr>
          <w:lang w:val="en-GB"/>
        </w:rPr>
        <w:t>system</w:t>
      </w:r>
      <w:r w:rsidR="00685475">
        <w:rPr>
          <w:lang w:val="en-GB"/>
        </w:rPr>
        <w:t xml:space="preserve"> for monitoring </w:t>
      </w:r>
      <w:r w:rsidR="00B85277" w:rsidRPr="00195739">
        <w:rPr>
          <w:lang w:val="en-GB"/>
        </w:rPr>
        <w:t>implementation</w:t>
      </w:r>
      <w:r w:rsidR="00BF76F2">
        <w:rPr>
          <w:lang w:val="en-GB"/>
        </w:rPr>
        <w:t>.</w:t>
      </w:r>
      <w:r w:rsidR="00B85277" w:rsidRPr="00195739">
        <w:rPr>
          <w:lang w:val="en-GB"/>
        </w:rPr>
        <w:t xml:space="preserve"> </w:t>
      </w:r>
    </w:p>
    <w:p w14:paraId="6328AA1D" w14:textId="2B7FB610" w:rsidR="00270842" w:rsidRPr="00F55725" w:rsidRDefault="00BE017B" w:rsidP="00270842">
      <w:pPr>
        <w:spacing w:line="259" w:lineRule="auto"/>
        <w:rPr>
          <w:rFonts w:eastAsia="Calibri" w:cs="Calibri"/>
          <w:lang w:val="en-GB"/>
        </w:rPr>
      </w:pPr>
      <w:r>
        <w:rPr>
          <w:rFonts w:eastAsia="Calibri" w:cs="Calibri"/>
          <w:lang w:val="en-GB"/>
        </w:rPr>
        <w:t>32</w:t>
      </w:r>
      <w:r w:rsidR="00B85277" w:rsidRPr="00195739">
        <w:rPr>
          <w:rFonts w:eastAsia="Calibri" w:cs="Calibri"/>
          <w:lang w:val="en-GB"/>
        </w:rPr>
        <w:t>.</w:t>
      </w:r>
      <w:r w:rsidR="00787126">
        <w:rPr>
          <w:rFonts w:eastAsia="Calibri" w:cs="Calibri"/>
          <w:lang w:val="en-GB"/>
        </w:rPr>
        <w:t>1</w:t>
      </w:r>
      <w:r>
        <w:rPr>
          <w:rFonts w:eastAsia="Calibri" w:cs="Calibri"/>
          <w:lang w:val="en-GB"/>
        </w:rPr>
        <w:t>1</w:t>
      </w:r>
      <w:r w:rsidR="00B85277" w:rsidRPr="00C44A2E">
        <w:rPr>
          <w:rFonts w:eastAsia="Calibri"/>
          <w:lang w:val="en-US"/>
        </w:rPr>
        <w:tab/>
      </w:r>
      <w:r w:rsidR="00B85277" w:rsidRPr="00195739">
        <w:rPr>
          <w:rFonts w:eastAsia="Calibri" w:cs="Calibri"/>
          <w:lang w:val="en-GB"/>
        </w:rPr>
        <w:t xml:space="preserve">The Secretary-General thanked IMAC and its Chair for their work </w:t>
      </w:r>
      <w:r w:rsidR="00382C4B" w:rsidRPr="00C44A2E">
        <w:rPr>
          <w:rFonts w:eastAsia="Calibri" w:cs="Calibri"/>
          <w:lang w:val="en-US"/>
        </w:rPr>
        <w:t>and underlined the important</w:t>
      </w:r>
      <w:r w:rsidR="00382C4B" w:rsidDel="00382C4B">
        <w:rPr>
          <w:rFonts w:eastAsia="Calibri" w:cs="Calibri"/>
          <w:lang w:val="en-US"/>
        </w:rPr>
        <w:t xml:space="preserve"> </w:t>
      </w:r>
      <w:r w:rsidR="000C6AF7">
        <w:rPr>
          <w:rFonts w:eastAsia="Calibri" w:cs="Calibri"/>
          <w:lang w:val="en-US"/>
        </w:rPr>
        <w:t>role</w:t>
      </w:r>
      <w:r w:rsidR="00382C4B" w:rsidRPr="00382C4B" w:rsidDel="00382C4B">
        <w:rPr>
          <w:rFonts w:eastAsia="Calibri" w:cs="Calibri"/>
          <w:lang w:val="en-GB"/>
        </w:rPr>
        <w:t xml:space="preserve"> </w:t>
      </w:r>
      <w:r w:rsidR="00B85277" w:rsidRPr="00195739">
        <w:rPr>
          <w:rFonts w:eastAsia="Calibri" w:cs="Calibri"/>
          <w:lang w:val="en-GB"/>
        </w:rPr>
        <w:t xml:space="preserve">played </w:t>
      </w:r>
      <w:r w:rsidR="00D35330">
        <w:rPr>
          <w:rFonts w:eastAsia="Calibri" w:cs="Calibri"/>
          <w:lang w:val="en-GB"/>
        </w:rPr>
        <w:t xml:space="preserve">by IMAC </w:t>
      </w:r>
      <w:r w:rsidR="00024F19">
        <w:rPr>
          <w:rFonts w:eastAsia="Calibri" w:cs="Calibri"/>
          <w:lang w:val="en-GB"/>
        </w:rPr>
        <w:t>within</w:t>
      </w:r>
      <w:r w:rsidR="00B85277" w:rsidRPr="00195739">
        <w:rPr>
          <w:rFonts w:eastAsia="Calibri" w:cs="Calibri"/>
          <w:lang w:val="en-GB"/>
        </w:rPr>
        <w:t xml:space="preserve"> the Union’s accountability and oversight architecture, </w:t>
      </w:r>
      <w:proofErr w:type="gramStart"/>
      <w:r w:rsidR="00121EA0">
        <w:rPr>
          <w:rFonts w:eastAsia="Calibri" w:cs="Calibri"/>
          <w:lang w:val="en-GB"/>
        </w:rPr>
        <w:t>T</w:t>
      </w:r>
      <w:r w:rsidR="00A22CE4">
        <w:rPr>
          <w:rFonts w:eastAsia="Calibri" w:cs="Calibri"/>
          <w:lang w:val="en-GB"/>
        </w:rPr>
        <w:t>hrough</w:t>
      </w:r>
      <w:proofErr w:type="gramEnd"/>
      <w:r w:rsidR="00A22CE4">
        <w:rPr>
          <w:rFonts w:eastAsia="Calibri" w:cs="Calibri"/>
          <w:lang w:val="en-GB"/>
        </w:rPr>
        <w:t xml:space="preserve"> its</w:t>
      </w:r>
      <w:r w:rsidR="00121EA0" w:rsidRPr="08B1BADE">
        <w:rPr>
          <w:rFonts w:eastAsia="Calibri" w:cs="Calibri"/>
          <w:lang w:val="en-GB"/>
        </w:rPr>
        <w:t xml:space="preserve"> </w:t>
      </w:r>
      <w:r w:rsidR="00B85277" w:rsidRPr="00195739">
        <w:rPr>
          <w:rFonts w:eastAsia="Calibri" w:cs="Calibri"/>
          <w:lang w:val="en-GB"/>
        </w:rPr>
        <w:t>independent advice, strategic insight and external perspective</w:t>
      </w:r>
      <w:r w:rsidR="000C6AF7">
        <w:rPr>
          <w:rFonts w:eastAsia="Calibri" w:cs="Calibri"/>
          <w:lang w:val="en-GB"/>
        </w:rPr>
        <w:t>,</w:t>
      </w:r>
      <w:r w:rsidR="00B85277" w:rsidRPr="00195739">
        <w:rPr>
          <w:rFonts w:eastAsia="Calibri" w:cs="Calibri"/>
          <w:lang w:val="en-GB"/>
        </w:rPr>
        <w:t xml:space="preserve"> </w:t>
      </w:r>
      <w:r w:rsidR="00A27FCC">
        <w:rPr>
          <w:rFonts w:eastAsia="Calibri" w:cs="Calibri"/>
          <w:lang w:val="en-GB"/>
        </w:rPr>
        <w:t xml:space="preserve">IMAC </w:t>
      </w:r>
      <w:r w:rsidR="009F2970">
        <w:rPr>
          <w:rFonts w:eastAsia="Calibri" w:cs="Calibri"/>
          <w:lang w:val="en-GB"/>
        </w:rPr>
        <w:t xml:space="preserve">made a </w:t>
      </w:r>
      <w:r w:rsidR="006673C9">
        <w:rPr>
          <w:rFonts w:eastAsia="Calibri" w:cs="Calibri"/>
          <w:lang w:val="en-GB"/>
        </w:rPr>
        <w:t xml:space="preserve">valuable contribution </w:t>
      </w:r>
      <w:r w:rsidR="00B85277" w:rsidRPr="00195739">
        <w:rPr>
          <w:rFonts w:eastAsia="Calibri" w:cs="Calibri"/>
          <w:lang w:val="en-GB"/>
        </w:rPr>
        <w:t xml:space="preserve">to inform decision-making. </w:t>
      </w:r>
      <w:r w:rsidR="00B85277" w:rsidRPr="000F38CD">
        <w:rPr>
          <w:rFonts w:eastAsia="Calibri" w:cs="Calibri"/>
          <w:lang w:val="en-GB"/>
        </w:rPr>
        <w:t xml:space="preserve">The </w:t>
      </w:r>
      <w:r w:rsidR="00865E68" w:rsidRPr="00C44A2E">
        <w:rPr>
          <w:rFonts w:eastAsia="Calibri" w:cs="Calibri"/>
          <w:lang w:val="en-GB"/>
        </w:rPr>
        <w:t>Secretary-General noted</w:t>
      </w:r>
      <w:r w:rsidR="00865E68" w:rsidRPr="00865E68">
        <w:rPr>
          <w:rFonts w:eastAsia="Calibri" w:cs="Calibri"/>
          <w:lang w:val="en-GB"/>
        </w:rPr>
        <w:t xml:space="preserve"> </w:t>
      </w:r>
      <w:r w:rsidR="00865E68">
        <w:rPr>
          <w:rFonts w:eastAsia="Calibri" w:cs="Calibri"/>
          <w:lang w:val="en-GB"/>
        </w:rPr>
        <w:t>t</w:t>
      </w:r>
      <w:r w:rsidR="00B85277" w:rsidRPr="08B1BADE">
        <w:rPr>
          <w:rFonts w:eastAsia="Calibri" w:cs="Calibri"/>
          <w:lang w:val="en-GB"/>
        </w:rPr>
        <w:t xml:space="preserve">he </w:t>
      </w:r>
      <w:r w:rsidR="00B85277" w:rsidRPr="00195739">
        <w:rPr>
          <w:rFonts w:eastAsia="Calibri" w:cs="Calibri"/>
          <w:lang w:val="en-GB"/>
        </w:rPr>
        <w:t xml:space="preserve">five recommendations </w:t>
      </w:r>
      <w:r w:rsidR="00331D2A">
        <w:rPr>
          <w:rFonts w:eastAsia="Calibri" w:cs="Calibri"/>
          <w:lang w:val="en-GB"/>
        </w:rPr>
        <w:t>contained in the</w:t>
      </w:r>
      <w:r w:rsidR="00884478">
        <w:rPr>
          <w:rFonts w:eastAsia="Calibri" w:cs="Calibri"/>
          <w:lang w:val="en-GB"/>
        </w:rPr>
        <w:t xml:space="preserve"> </w:t>
      </w:r>
      <w:r w:rsidR="00331D2A">
        <w:rPr>
          <w:rFonts w:eastAsia="Calibri" w:cs="Calibri"/>
          <w:lang w:val="en-GB"/>
        </w:rPr>
        <w:t xml:space="preserve">report </w:t>
      </w:r>
      <w:r w:rsidR="00B85277" w:rsidRPr="08B1BADE">
        <w:rPr>
          <w:rFonts w:eastAsia="Calibri" w:cs="Calibri"/>
          <w:lang w:val="en-GB"/>
        </w:rPr>
        <w:t xml:space="preserve">and </w:t>
      </w:r>
      <w:r w:rsidR="005F59F7">
        <w:rPr>
          <w:rFonts w:eastAsia="Calibri" w:cs="Calibri"/>
          <w:lang w:val="en-GB"/>
        </w:rPr>
        <w:t>confirmed that</w:t>
      </w:r>
      <w:r w:rsidR="00B85277" w:rsidRPr="00195739">
        <w:rPr>
          <w:rFonts w:eastAsia="Calibri" w:cs="Calibri"/>
          <w:lang w:val="en-GB"/>
        </w:rPr>
        <w:t xml:space="preserve"> the secretariat would work closely with IMAC to ensure their effective follow-up and integration into </w:t>
      </w:r>
      <w:r w:rsidR="000C6AF7">
        <w:rPr>
          <w:rFonts w:eastAsia="Calibri" w:cs="Calibri"/>
          <w:lang w:val="en-GB"/>
        </w:rPr>
        <w:t>the</w:t>
      </w:r>
      <w:r w:rsidR="00B85277" w:rsidRPr="00195739">
        <w:rPr>
          <w:rFonts w:eastAsia="Calibri" w:cs="Calibri"/>
          <w:lang w:val="en-GB"/>
        </w:rPr>
        <w:t xml:space="preserve"> </w:t>
      </w:r>
      <w:r w:rsidR="00245008">
        <w:rPr>
          <w:rFonts w:eastAsia="Calibri" w:cs="Calibri"/>
          <w:lang w:val="en-GB"/>
        </w:rPr>
        <w:t>Union</w:t>
      </w:r>
      <w:r w:rsidR="00CD5795">
        <w:rPr>
          <w:rFonts w:eastAsia="Calibri" w:cs="Calibri"/>
          <w:lang w:val="en-GB"/>
        </w:rPr>
        <w:t>’</w:t>
      </w:r>
      <w:r w:rsidR="00DB78A3">
        <w:rPr>
          <w:rFonts w:eastAsia="Calibri" w:cs="Calibri"/>
          <w:lang w:val="en-GB"/>
        </w:rPr>
        <w:t xml:space="preserve">s ongoing </w:t>
      </w:r>
      <w:r w:rsidR="00CD5795" w:rsidRPr="00195739">
        <w:rPr>
          <w:rFonts w:eastAsia="Calibri" w:cs="Calibri"/>
          <w:lang w:val="en-GB"/>
        </w:rPr>
        <w:t>transformation</w:t>
      </w:r>
      <w:r w:rsidR="00B85277" w:rsidRPr="00195739">
        <w:rPr>
          <w:rFonts w:eastAsia="Calibri" w:cs="Calibri"/>
          <w:lang w:val="en-GB"/>
        </w:rPr>
        <w:t xml:space="preserve"> efforts</w:t>
      </w:r>
      <w:r w:rsidR="00270842" w:rsidRPr="00514723">
        <w:rPr>
          <w:rFonts w:eastAsia="Calibri" w:cs="Calibri"/>
          <w:lang w:val="en-GB"/>
        </w:rPr>
        <w:t xml:space="preserve">. </w:t>
      </w:r>
    </w:p>
    <w:p w14:paraId="2A12FBB8" w14:textId="1F9F1C87" w:rsidR="00270842" w:rsidRPr="00EA5615" w:rsidRDefault="00BE017B" w:rsidP="00270842">
      <w:pPr>
        <w:spacing w:line="259" w:lineRule="auto"/>
        <w:rPr>
          <w:rFonts w:eastAsia="Calibri" w:cs="Calibri"/>
          <w:lang w:val="en-GB"/>
        </w:rPr>
      </w:pPr>
      <w:r>
        <w:rPr>
          <w:rFonts w:eastAsia="Calibri" w:cs="Calibri"/>
          <w:lang w:val="en-GB"/>
        </w:rPr>
        <w:t>32</w:t>
      </w:r>
      <w:r w:rsidR="00270842" w:rsidRPr="08B1BADE">
        <w:rPr>
          <w:rFonts w:eastAsia="Calibri" w:cs="Calibri"/>
          <w:lang w:val="en-GB"/>
        </w:rPr>
        <w:t>.</w:t>
      </w:r>
      <w:r w:rsidR="00C06F66">
        <w:rPr>
          <w:rFonts w:eastAsia="Calibri" w:cs="Calibri"/>
          <w:lang w:val="en-GB"/>
        </w:rPr>
        <w:t>1</w:t>
      </w:r>
      <w:r>
        <w:rPr>
          <w:rFonts w:eastAsia="Calibri" w:cs="Calibri"/>
          <w:lang w:val="en-GB"/>
        </w:rPr>
        <w:t>2</w:t>
      </w:r>
      <w:r w:rsidR="00C06F66">
        <w:rPr>
          <w:rFonts w:eastAsia="Calibri" w:cs="Calibri"/>
          <w:lang w:val="en-GB"/>
        </w:rPr>
        <w:tab/>
      </w:r>
      <w:r w:rsidR="00070D4A" w:rsidRPr="08B1BADE">
        <w:rPr>
          <w:rFonts w:eastAsia="Calibri" w:cs="Calibri"/>
          <w:lang w:val="en-GB"/>
        </w:rPr>
        <w:t>The</w:t>
      </w:r>
      <w:r w:rsidR="00270842" w:rsidRPr="08B1BADE">
        <w:rPr>
          <w:rFonts w:eastAsia="Calibri" w:cs="Calibri"/>
          <w:lang w:val="en-GB"/>
        </w:rPr>
        <w:t xml:space="preserve"> committee </w:t>
      </w:r>
      <w:r w:rsidR="00270842" w:rsidRPr="08B1BADE">
        <w:rPr>
          <w:rFonts w:eastAsia="Calibri" w:cs="Calibri"/>
          <w:b/>
          <w:lang w:val="en-GB"/>
        </w:rPr>
        <w:t>agreed</w:t>
      </w:r>
      <w:r w:rsidR="00270842" w:rsidRPr="08B1BADE">
        <w:rPr>
          <w:rFonts w:eastAsia="Calibri" w:cs="Calibri"/>
          <w:lang w:val="en-GB"/>
        </w:rPr>
        <w:t xml:space="preserve"> to conclude as follows on the matter:</w:t>
      </w:r>
    </w:p>
    <w:p w14:paraId="3A2EB430" w14:textId="5768A1B5" w:rsidR="00474539" w:rsidRDefault="00BE017B" w:rsidP="00270842">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Pr>
          <w:rFonts w:eastAsia="Calibri" w:cs="Calibri"/>
          <w:lang w:val="en-GB"/>
        </w:rPr>
        <w:t>32</w:t>
      </w:r>
      <w:r w:rsidR="00270842" w:rsidRPr="08B1BADE">
        <w:rPr>
          <w:rFonts w:eastAsia="Calibri" w:cs="Calibri"/>
          <w:lang w:val="en-GB"/>
        </w:rPr>
        <w:t>.</w:t>
      </w:r>
      <w:r w:rsidR="00C06F66">
        <w:rPr>
          <w:rFonts w:eastAsia="Calibri" w:cs="Calibri"/>
          <w:lang w:val="en-GB"/>
        </w:rPr>
        <w:t>1</w:t>
      </w:r>
      <w:r>
        <w:rPr>
          <w:rFonts w:eastAsia="Calibri" w:cs="Calibri"/>
          <w:lang w:val="en-GB"/>
        </w:rPr>
        <w:t>3</w:t>
      </w:r>
      <w:r w:rsidR="00270842" w:rsidRPr="0086608B">
        <w:rPr>
          <w:lang w:val="en-GB"/>
        </w:rPr>
        <w:tab/>
      </w:r>
      <w:r w:rsidR="00270842" w:rsidRPr="00514723">
        <w:rPr>
          <w:lang w:val="en-GB"/>
        </w:rPr>
        <w:t>The committee recommends that the Council:</w:t>
      </w:r>
    </w:p>
    <w:p w14:paraId="354F8BE0" w14:textId="64108C78" w:rsidR="00270842" w:rsidRPr="00EA5615" w:rsidRDefault="00270842"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514723">
        <w:rPr>
          <w:lang w:val="en-GB"/>
        </w:rPr>
        <w:t>•</w:t>
      </w:r>
      <w:r w:rsidRPr="00C44A2E">
        <w:rPr>
          <w:lang w:val="en-US"/>
        </w:rPr>
        <w:tab/>
      </w:r>
      <w:r w:rsidR="00821535" w:rsidRPr="00195739">
        <w:rPr>
          <w:lang w:val="en-GB"/>
        </w:rPr>
        <w:t>approve of the report</w:t>
      </w:r>
      <w:r w:rsidR="00821535" w:rsidRPr="00195739">
        <w:rPr>
          <w:rFonts w:cs="Calibri"/>
          <w:lang w:val="en-GB"/>
        </w:rPr>
        <w:t xml:space="preserve"> contained in </w:t>
      </w:r>
      <w:r w:rsidR="00821535" w:rsidRPr="00195739">
        <w:rPr>
          <w:rFonts w:eastAsia="Calibri" w:cs="Calibri"/>
          <w:lang w:val="en-GB"/>
        </w:rPr>
        <w:t xml:space="preserve">Document </w:t>
      </w:r>
      <w:hyperlink r:id="rId119" w:history="1">
        <w:r w:rsidR="00821535" w:rsidRPr="08B1BADE">
          <w:rPr>
            <w:color w:val="4F81BD" w:themeColor="accent1"/>
            <w:u w:val="single"/>
            <w:lang w:val="en-GB"/>
          </w:rPr>
          <w:t>C26/22</w:t>
        </w:r>
      </w:hyperlink>
      <w:r w:rsidR="00821535" w:rsidRPr="00195739">
        <w:rPr>
          <w:color w:val="000000" w:themeColor="text1"/>
          <w:lang w:val="en-GB"/>
        </w:rPr>
        <w:t xml:space="preserve"> and</w:t>
      </w:r>
      <w:r w:rsidR="00821535" w:rsidRPr="08B1BADE">
        <w:rPr>
          <w:color w:val="000000" w:themeColor="text1"/>
          <w:lang w:val="en-GB"/>
        </w:rPr>
        <w:t xml:space="preserve"> the recommendations contained therein, for action by the secretariat</w:t>
      </w:r>
      <w:r w:rsidRPr="08B1BADE">
        <w:rPr>
          <w:rFonts w:cs="Calibri"/>
          <w:lang w:val="en-GB"/>
        </w:rPr>
        <w:t>.</w:t>
      </w:r>
    </w:p>
    <w:p w14:paraId="11E19E1B" w14:textId="69E9D120" w:rsidR="00B663B0" w:rsidRPr="003503A7" w:rsidRDefault="00B663B0" w:rsidP="00B663B0">
      <w:pPr>
        <w:pStyle w:val="Heading1"/>
        <w:rPr>
          <w:lang w:val="en-GB"/>
        </w:rPr>
      </w:pPr>
      <w:r w:rsidRPr="003503A7">
        <w:rPr>
          <w:lang w:val="en-GB"/>
        </w:rPr>
        <w:t>3</w:t>
      </w:r>
      <w:r w:rsidR="00BE017B">
        <w:rPr>
          <w:lang w:val="en-GB"/>
        </w:rPr>
        <w:t>3</w:t>
      </w:r>
      <w:r w:rsidRPr="00E013DA">
        <w:rPr>
          <w:lang w:val="en-GB"/>
        </w:rPr>
        <w:tab/>
      </w:r>
      <w:r w:rsidR="00EC0058" w:rsidRPr="08B1BADE">
        <w:rPr>
          <w:lang w:val="en-GB"/>
        </w:rPr>
        <w:t>C</w:t>
      </w:r>
      <w:r w:rsidR="00A75C8F" w:rsidRPr="08B1BADE">
        <w:rPr>
          <w:lang w:val="en-GB"/>
        </w:rPr>
        <w:t>ontribution o</w:t>
      </w:r>
      <w:r w:rsidRPr="08B1BADE">
        <w:rPr>
          <w:lang w:val="en-GB"/>
        </w:rPr>
        <w:t xml:space="preserve">n equal representation of the six regions in IMAC (Document </w:t>
      </w:r>
      <w:hyperlink r:id="rId120" w:history="1">
        <w:r w:rsidRPr="08B1BADE">
          <w:rPr>
            <w:color w:val="4F81BD" w:themeColor="accent1"/>
            <w:u w:val="single"/>
            <w:lang w:val="en-GB"/>
          </w:rPr>
          <w:t>C26/92</w:t>
        </w:r>
      </w:hyperlink>
      <w:r w:rsidRPr="08B1BADE">
        <w:rPr>
          <w:lang w:val="en-GB"/>
        </w:rPr>
        <w:t>)</w:t>
      </w:r>
      <w:r w:rsidR="003F4D8B" w:rsidRPr="003503A7">
        <w:rPr>
          <w:lang w:val="en-GB"/>
        </w:rPr>
        <w:t xml:space="preserve"> </w:t>
      </w:r>
    </w:p>
    <w:p w14:paraId="5A28C113" w14:textId="6867E670" w:rsidR="00A40B53" w:rsidRPr="003503A7" w:rsidRDefault="00170FC4" w:rsidP="00A40B53">
      <w:pPr>
        <w:rPr>
          <w:lang w:val="en-GB"/>
        </w:rPr>
      </w:pPr>
      <w:r w:rsidRPr="08B1BADE">
        <w:rPr>
          <w:rFonts w:eastAsia="Calibri" w:cs="Calibri"/>
          <w:lang w:val="en-GB"/>
        </w:rPr>
        <w:t>3</w:t>
      </w:r>
      <w:r w:rsidR="00BE017B">
        <w:rPr>
          <w:rFonts w:eastAsia="Calibri" w:cs="Calibri"/>
          <w:lang w:val="en-GB"/>
        </w:rPr>
        <w:t>3</w:t>
      </w:r>
      <w:r w:rsidR="002F28CD" w:rsidRPr="08B1BADE">
        <w:rPr>
          <w:rFonts w:eastAsia="Calibri" w:cs="Calibri"/>
          <w:lang w:val="en-GB"/>
        </w:rPr>
        <w:t>.</w:t>
      </w:r>
      <w:r w:rsidRPr="08B1BADE">
        <w:rPr>
          <w:rFonts w:eastAsia="Calibri" w:cs="Calibri"/>
          <w:lang w:val="en-GB"/>
        </w:rPr>
        <w:t>1</w:t>
      </w:r>
      <w:r w:rsidR="00951710">
        <w:rPr>
          <w:rFonts w:eastAsia="Calibri" w:cs="Calibri"/>
          <w:lang w:val="en-GB"/>
        </w:rPr>
        <w:tab/>
      </w:r>
      <w:r w:rsidRPr="08B1BADE">
        <w:rPr>
          <w:lang w:val="en-GB"/>
        </w:rPr>
        <w:t>With</w:t>
      </w:r>
      <w:r w:rsidR="00A40B53" w:rsidRPr="003503A7">
        <w:rPr>
          <w:lang w:val="en-GB"/>
        </w:rPr>
        <w:t xml:space="preserve"> the support of the councillor from China, the observer for the Russian Federation </w:t>
      </w:r>
      <w:r w:rsidR="002A25A3" w:rsidRPr="00C44A2E">
        <w:rPr>
          <w:lang w:val="en-US"/>
        </w:rPr>
        <w:t xml:space="preserve">introduced </w:t>
      </w:r>
      <w:r w:rsidR="00A40B53" w:rsidRPr="003503A7">
        <w:rPr>
          <w:lang w:val="en-GB"/>
        </w:rPr>
        <w:t xml:space="preserve">the multicountry contribution contained in Document C26/92 on behalf of seven countries. The contribution called for equal representation of the six ITU regions in the composition of IMAC, in </w:t>
      </w:r>
      <w:r w:rsidR="00970EBB">
        <w:rPr>
          <w:lang w:val="en-GB"/>
        </w:rPr>
        <w:t>line</w:t>
      </w:r>
      <w:r w:rsidR="00970EBB" w:rsidRPr="003503A7">
        <w:rPr>
          <w:lang w:val="en-GB"/>
        </w:rPr>
        <w:t xml:space="preserve"> </w:t>
      </w:r>
      <w:r w:rsidR="00A40B53" w:rsidRPr="003503A7">
        <w:rPr>
          <w:lang w:val="en-GB"/>
        </w:rPr>
        <w:t xml:space="preserve">with Resolution 162 (Rev. Bucharest, 2022) of the Plenipotentiary Conference, on IMAC and its </w:t>
      </w:r>
      <w:proofErr w:type="spellStart"/>
      <w:r w:rsidR="00A40B53" w:rsidRPr="003503A7">
        <w:rPr>
          <w:lang w:val="en-GB"/>
        </w:rPr>
        <w:t>ToR</w:t>
      </w:r>
      <w:proofErr w:type="spellEnd"/>
      <w:r w:rsidR="00A40B53" w:rsidRPr="003503A7">
        <w:rPr>
          <w:lang w:val="en-GB"/>
        </w:rPr>
        <w:t xml:space="preserve">. </w:t>
      </w:r>
      <w:r w:rsidR="002819FD">
        <w:rPr>
          <w:lang w:val="en-US"/>
        </w:rPr>
        <w:t>He</w:t>
      </w:r>
      <w:r w:rsidR="00323F33" w:rsidRPr="00C44A2E">
        <w:rPr>
          <w:lang w:val="en-US"/>
        </w:rPr>
        <w:t xml:space="preserve"> noted</w:t>
      </w:r>
      <w:r w:rsidR="002B0A3F" w:rsidRPr="00C44A2E">
        <w:rPr>
          <w:lang w:val="en-US"/>
        </w:rPr>
        <w:t xml:space="preserve"> </w:t>
      </w:r>
      <w:r w:rsidR="00323F33" w:rsidRPr="00C44A2E">
        <w:rPr>
          <w:lang w:val="en-US"/>
        </w:rPr>
        <w:t>that the current composition of</w:t>
      </w:r>
      <w:r w:rsidR="002B0A3F">
        <w:rPr>
          <w:lang w:val="en-US"/>
        </w:rPr>
        <w:t xml:space="preserve"> </w:t>
      </w:r>
      <w:r w:rsidR="00A40B53" w:rsidRPr="003503A7">
        <w:rPr>
          <w:lang w:val="en-GB"/>
        </w:rPr>
        <w:t xml:space="preserve">IMAC </w:t>
      </w:r>
      <w:r w:rsidR="002B0A3F">
        <w:rPr>
          <w:lang w:val="en-GB"/>
        </w:rPr>
        <w:t xml:space="preserve">included </w:t>
      </w:r>
      <w:r w:rsidR="00A40B53" w:rsidRPr="003503A7">
        <w:rPr>
          <w:lang w:val="en-GB"/>
        </w:rPr>
        <w:t>two members from the Europe region and none from the Commonwealth of Independent States (CIS) region.</w:t>
      </w:r>
    </w:p>
    <w:p w14:paraId="6883CE64" w14:textId="353399F9" w:rsidR="00A40B53" w:rsidRPr="00DE33F5" w:rsidRDefault="00A40B53" w:rsidP="00A40B53">
      <w:pPr>
        <w:rPr>
          <w:lang w:val="en-US"/>
        </w:rPr>
      </w:pPr>
      <w:r w:rsidRPr="003503A7">
        <w:rPr>
          <w:lang w:val="en-GB"/>
        </w:rPr>
        <w:t>3</w:t>
      </w:r>
      <w:r w:rsidR="00BE017B">
        <w:rPr>
          <w:lang w:val="en-GB"/>
        </w:rPr>
        <w:t>3</w:t>
      </w:r>
      <w:r w:rsidRPr="003503A7">
        <w:rPr>
          <w:lang w:val="en-GB"/>
        </w:rPr>
        <w:t>.2</w:t>
      </w:r>
      <w:r w:rsidRPr="00DE33F5">
        <w:rPr>
          <w:lang w:val="en-US"/>
        </w:rPr>
        <w:tab/>
      </w:r>
      <w:r w:rsidR="00540A20">
        <w:rPr>
          <w:lang w:val="en-GB"/>
        </w:rPr>
        <w:t>One</w:t>
      </w:r>
      <w:r w:rsidR="00540A20" w:rsidRPr="08B1BADE">
        <w:rPr>
          <w:lang w:val="en-GB"/>
        </w:rPr>
        <w:t xml:space="preserve"> </w:t>
      </w:r>
      <w:r w:rsidRPr="003503A7">
        <w:rPr>
          <w:lang w:val="en-GB"/>
        </w:rPr>
        <w:t xml:space="preserve">councillor welcomed the contribution, </w:t>
      </w:r>
      <w:r w:rsidR="00B1145C" w:rsidRPr="00C44A2E">
        <w:rPr>
          <w:lang w:val="en-US"/>
        </w:rPr>
        <w:t xml:space="preserve">and acknowledged the </w:t>
      </w:r>
      <w:r w:rsidRPr="003503A7">
        <w:rPr>
          <w:lang w:val="en-GB"/>
        </w:rPr>
        <w:t xml:space="preserve">importance of </w:t>
      </w:r>
      <w:r w:rsidRPr="08B1BADE">
        <w:rPr>
          <w:lang w:val="en-GB"/>
        </w:rPr>
        <w:t>equ</w:t>
      </w:r>
      <w:r w:rsidR="008355F4">
        <w:rPr>
          <w:lang w:val="en-GB"/>
        </w:rPr>
        <w:t>itable</w:t>
      </w:r>
      <w:r w:rsidRPr="003503A7">
        <w:rPr>
          <w:lang w:val="en-GB"/>
        </w:rPr>
        <w:t xml:space="preserve"> geographic representation; </w:t>
      </w:r>
      <w:r w:rsidR="002819FD">
        <w:rPr>
          <w:lang w:val="en-GB"/>
        </w:rPr>
        <w:t>h</w:t>
      </w:r>
      <w:r w:rsidRPr="08B1BADE">
        <w:rPr>
          <w:lang w:val="en-GB"/>
        </w:rPr>
        <w:t xml:space="preserve">owever, </w:t>
      </w:r>
      <w:r w:rsidR="00050F95" w:rsidRPr="00C44A2E">
        <w:rPr>
          <w:lang w:val="en-US"/>
        </w:rPr>
        <w:t>he recalled that the IMAC</w:t>
      </w:r>
      <w:r w:rsidRPr="003503A7">
        <w:rPr>
          <w:lang w:val="en-GB"/>
        </w:rPr>
        <w:t xml:space="preserve"> </w:t>
      </w:r>
      <w:proofErr w:type="spellStart"/>
      <w:r w:rsidRPr="003503A7">
        <w:rPr>
          <w:lang w:val="en-GB"/>
        </w:rPr>
        <w:t>ToR</w:t>
      </w:r>
      <w:proofErr w:type="spellEnd"/>
      <w:r w:rsidRPr="003503A7">
        <w:rPr>
          <w:lang w:val="en-GB"/>
        </w:rPr>
        <w:t xml:space="preserve"> </w:t>
      </w:r>
      <w:r w:rsidR="00540A20" w:rsidRPr="00C44A2E">
        <w:rPr>
          <w:lang w:val="en-US"/>
        </w:rPr>
        <w:t xml:space="preserve">established </w:t>
      </w:r>
      <w:r w:rsidRPr="003503A7">
        <w:rPr>
          <w:lang w:val="en-GB"/>
        </w:rPr>
        <w:t xml:space="preserve">professional competence </w:t>
      </w:r>
      <w:r w:rsidR="00701D0D" w:rsidRPr="00C44A2E">
        <w:rPr>
          <w:lang w:val="en-US"/>
        </w:rPr>
        <w:t xml:space="preserve">as </w:t>
      </w:r>
      <w:r w:rsidR="002819FD">
        <w:rPr>
          <w:lang w:val="en-US"/>
        </w:rPr>
        <w:t>a</w:t>
      </w:r>
      <w:r w:rsidR="00701D0D" w:rsidRPr="00C44A2E">
        <w:rPr>
          <w:lang w:val="en-US"/>
        </w:rPr>
        <w:t xml:space="preserve"> primary criterion for selection,</w:t>
      </w:r>
      <w:r w:rsidR="00F60D34" w:rsidRPr="00C44A2E">
        <w:rPr>
          <w:lang w:val="en-US"/>
        </w:rPr>
        <w:t xml:space="preserve"> while</w:t>
      </w:r>
      <w:r w:rsidR="002819FD">
        <w:rPr>
          <w:lang w:val="en-US"/>
        </w:rPr>
        <w:t xml:space="preserve"> </w:t>
      </w:r>
      <w:r w:rsidRPr="003503A7">
        <w:rPr>
          <w:lang w:val="en-GB"/>
        </w:rPr>
        <w:t xml:space="preserve">geographic representation </w:t>
      </w:r>
      <w:r w:rsidR="00705DFF" w:rsidRPr="00C44A2E">
        <w:rPr>
          <w:lang w:val="en-US"/>
        </w:rPr>
        <w:t>was to be pursued</w:t>
      </w:r>
      <w:r w:rsidR="00705DFF" w:rsidRPr="00DE33F5">
        <w:rPr>
          <w:lang w:val="en-US"/>
        </w:rPr>
        <w:t xml:space="preserve"> </w:t>
      </w:r>
      <w:r w:rsidRPr="003503A7">
        <w:rPr>
          <w:lang w:val="en-GB"/>
        </w:rPr>
        <w:t xml:space="preserve">only “to the greatest extent possible”. </w:t>
      </w:r>
      <w:r w:rsidR="00735E28" w:rsidRPr="00C44A2E">
        <w:rPr>
          <w:lang w:val="en-US"/>
        </w:rPr>
        <w:t xml:space="preserve">He noted that, should Member States wish to place geographic representation </w:t>
      </w:r>
      <w:r w:rsidRPr="003503A7">
        <w:rPr>
          <w:lang w:val="en-GB"/>
        </w:rPr>
        <w:t xml:space="preserve"> on the same level as professional competence, the </w:t>
      </w:r>
      <w:proofErr w:type="spellStart"/>
      <w:r w:rsidRPr="003503A7">
        <w:rPr>
          <w:lang w:val="en-GB"/>
        </w:rPr>
        <w:t>ToR</w:t>
      </w:r>
      <w:proofErr w:type="spellEnd"/>
      <w:r w:rsidRPr="003503A7">
        <w:rPr>
          <w:lang w:val="en-GB"/>
        </w:rPr>
        <w:t xml:space="preserve"> </w:t>
      </w:r>
      <w:proofErr w:type="gramStart"/>
      <w:r w:rsidR="005716FF" w:rsidRPr="00C44A2E">
        <w:rPr>
          <w:lang w:val="en-US"/>
        </w:rPr>
        <w:t>would need</w:t>
      </w:r>
      <w:proofErr w:type="gramEnd"/>
      <w:r w:rsidR="005716FF" w:rsidRPr="00C44A2E">
        <w:rPr>
          <w:lang w:val="en-US"/>
        </w:rPr>
        <w:t xml:space="preserve"> to</w:t>
      </w:r>
      <w:r w:rsidRPr="003503A7">
        <w:rPr>
          <w:lang w:val="en-GB"/>
        </w:rPr>
        <w:t xml:space="preserve"> be revised by the Plenipotentiary Conference </w:t>
      </w:r>
      <w:proofErr w:type="gramStart"/>
      <w:r w:rsidR="00EF7B7E" w:rsidRPr="00C44A2E">
        <w:rPr>
          <w:lang w:val="en-US"/>
        </w:rPr>
        <w:t>in order to</w:t>
      </w:r>
      <w:proofErr w:type="gramEnd"/>
      <w:r w:rsidR="00EF7B7E" w:rsidRPr="00C44A2E">
        <w:rPr>
          <w:lang w:val="en-US"/>
        </w:rPr>
        <w:t xml:space="preserve"> avoid differing interpretations</w:t>
      </w:r>
      <w:r w:rsidRPr="003503A7">
        <w:rPr>
          <w:lang w:val="en-GB"/>
        </w:rPr>
        <w:t>.</w:t>
      </w:r>
    </w:p>
    <w:p w14:paraId="32FDD57D" w14:textId="0B7AE1D0" w:rsidR="00BE017B" w:rsidRPr="003503A7" w:rsidRDefault="00A40B53" w:rsidP="00A40B53">
      <w:pPr>
        <w:rPr>
          <w:lang w:val="en-GB"/>
        </w:rPr>
      </w:pPr>
      <w:r w:rsidRPr="003503A7">
        <w:rPr>
          <w:lang w:val="en-GB"/>
        </w:rPr>
        <w:t>3</w:t>
      </w:r>
      <w:r w:rsidR="00BE017B">
        <w:rPr>
          <w:lang w:val="en-GB"/>
        </w:rPr>
        <w:t>3</w:t>
      </w:r>
      <w:r w:rsidRPr="003503A7">
        <w:rPr>
          <w:lang w:val="en-GB"/>
        </w:rPr>
        <w:t>.3</w:t>
      </w:r>
      <w:r w:rsidRPr="003503A7">
        <w:rPr>
          <w:lang w:val="en-GB"/>
        </w:rPr>
        <w:tab/>
        <w:t xml:space="preserve">Several other councillors </w:t>
      </w:r>
      <w:r w:rsidR="0063245F" w:rsidRPr="00C44A2E">
        <w:rPr>
          <w:lang w:val="en-US"/>
        </w:rPr>
        <w:t>reiterated that</w:t>
      </w:r>
      <w:r w:rsidRPr="00C44A2E">
        <w:rPr>
          <w:lang w:val="en-US"/>
        </w:rPr>
        <w:t xml:space="preserve"> </w:t>
      </w:r>
      <w:r w:rsidRPr="003503A7">
        <w:rPr>
          <w:lang w:val="en-GB"/>
        </w:rPr>
        <w:t xml:space="preserve">the selection of IMAC members should </w:t>
      </w:r>
      <w:r w:rsidR="007C7242" w:rsidRPr="00C44A2E">
        <w:rPr>
          <w:lang w:val="en-US"/>
        </w:rPr>
        <w:t>remain primarily merit-based and guided by</w:t>
      </w:r>
      <w:r w:rsidRPr="003503A7">
        <w:rPr>
          <w:lang w:val="en-GB"/>
        </w:rPr>
        <w:t xml:space="preserve"> professional competence</w:t>
      </w:r>
      <w:r w:rsidR="00EC7D38">
        <w:rPr>
          <w:lang w:val="en-GB"/>
        </w:rPr>
        <w:t xml:space="preserve"> and independence</w:t>
      </w:r>
      <w:r w:rsidRPr="003503A7">
        <w:rPr>
          <w:lang w:val="en-GB"/>
        </w:rPr>
        <w:t xml:space="preserve">. </w:t>
      </w:r>
      <w:r w:rsidR="00AF0C29" w:rsidRPr="00C44A2E">
        <w:rPr>
          <w:lang w:val="en-US"/>
        </w:rPr>
        <w:t xml:space="preserve">At the same time, some </w:t>
      </w:r>
      <w:r w:rsidR="002819FD">
        <w:rPr>
          <w:lang w:val="en-US"/>
        </w:rPr>
        <w:t>councillors and one observer</w:t>
      </w:r>
      <w:r w:rsidR="00AF0C29" w:rsidRPr="00C44A2E">
        <w:rPr>
          <w:lang w:val="en-US"/>
        </w:rPr>
        <w:t xml:space="preserve"> emphasized that balanced geographic representation remained an important consideration.</w:t>
      </w:r>
    </w:p>
    <w:p w14:paraId="087B782B" w14:textId="0435A34F" w:rsidR="002F28CD" w:rsidRPr="003503A7" w:rsidRDefault="00A40B53" w:rsidP="00AF0C29">
      <w:pPr>
        <w:rPr>
          <w:rFonts w:eastAsia="Calibri" w:cs="Calibri"/>
          <w:szCs w:val="24"/>
          <w:lang w:val="en-GB"/>
        </w:rPr>
      </w:pPr>
      <w:r w:rsidRPr="003503A7">
        <w:rPr>
          <w:rFonts w:eastAsia="Calibri" w:cs="Calibri"/>
          <w:szCs w:val="24"/>
          <w:lang w:val="en-GB"/>
        </w:rPr>
        <w:t>3</w:t>
      </w:r>
      <w:r w:rsidR="00BE017B">
        <w:rPr>
          <w:rFonts w:eastAsia="Calibri" w:cs="Calibri"/>
          <w:szCs w:val="24"/>
          <w:lang w:val="en-GB"/>
        </w:rPr>
        <w:t>3</w:t>
      </w:r>
      <w:r w:rsidR="002F28CD" w:rsidRPr="003503A7">
        <w:rPr>
          <w:rFonts w:eastAsia="Calibri" w:cs="Calibri"/>
          <w:szCs w:val="24"/>
          <w:lang w:val="en-GB"/>
        </w:rPr>
        <w:t>.</w:t>
      </w:r>
      <w:r w:rsidRPr="003503A7">
        <w:rPr>
          <w:rFonts w:eastAsia="Calibri" w:cs="Calibri"/>
          <w:szCs w:val="24"/>
          <w:lang w:val="en-GB"/>
        </w:rPr>
        <w:t>4</w:t>
      </w:r>
      <w:r w:rsidR="002F28CD" w:rsidRPr="003503A7">
        <w:rPr>
          <w:rFonts w:eastAsia="Calibri" w:cs="Calibri"/>
          <w:szCs w:val="24"/>
          <w:lang w:val="en-GB"/>
        </w:rPr>
        <w:tab/>
        <w:t xml:space="preserve">The committee </w:t>
      </w:r>
      <w:r w:rsidR="002F28CD" w:rsidRPr="003503A7">
        <w:rPr>
          <w:rFonts w:eastAsia="Calibri" w:cs="Calibri"/>
          <w:b/>
          <w:bCs/>
          <w:szCs w:val="24"/>
          <w:lang w:val="en-GB"/>
        </w:rPr>
        <w:t>agreed</w:t>
      </w:r>
      <w:r w:rsidR="002F28CD" w:rsidRPr="003503A7">
        <w:rPr>
          <w:rFonts w:eastAsia="Calibri" w:cs="Calibri"/>
          <w:szCs w:val="24"/>
          <w:lang w:val="en-GB"/>
        </w:rPr>
        <w:t xml:space="preserve"> to conclude as follows on the matter:</w:t>
      </w:r>
    </w:p>
    <w:p w14:paraId="62ABCD5A" w14:textId="1E43921F" w:rsidR="00A63E40" w:rsidRDefault="00A40B53" w:rsidP="002F28CD">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3503A7">
        <w:rPr>
          <w:rFonts w:eastAsia="Calibri" w:cs="Calibri"/>
          <w:szCs w:val="24"/>
          <w:lang w:val="en-GB"/>
        </w:rPr>
        <w:t>3</w:t>
      </w:r>
      <w:r w:rsidR="00BE017B">
        <w:rPr>
          <w:rFonts w:eastAsia="Calibri" w:cs="Calibri"/>
          <w:szCs w:val="24"/>
          <w:lang w:val="en-GB"/>
        </w:rPr>
        <w:t>3</w:t>
      </w:r>
      <w:r w:rsidR="002F28CD" w:rsidRPr="003503A7">
        <w:rPr>
          <w:rFonts w:eastAsia="Calibri" w:cs="Calibri"/>
          <w:szCs w:val="24"/>
          <w:lang w:val="en-GB"/>
        </w:rPr>
        <w:t>.</w:t>
      </w:r>
      <w:r w:rsidRPr="003503A7">
        <w:rPr>
          <w:rFonts w:eastAsia="Calibri" w:cs="Calibri"/>
          <w:szCs w:val="24"/>
          <w:lang w:val="en-GB"/>
        </w:rPr>
        <w:t>5</w:t>
      </w:r>
      <w:r w:rsidR="002F28CD" w:rsidRPr="003503A7">
        <w:rPr>
          <w:lang w:val="en-GB"/>
        </w:rPr>
        <w:tab/>
        <w:t>The committee recommends that the Council:</w:t>
      </w:r>
    </w:p>
    <w:p w14:paraId="35922B2E" w14:textId="21497B77" w:rsidR="00951710" w:rsidRDefault="002F28CD"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3503A7">
        <w:rPr>
          <w:lang w:val="en-GB"/>
        </w:rPr>
        <w:t>•</w:t>
      </w:r>
      <w:r w:rsidRPr="003503A7">
        <w:rPr>
          <w:lang w:val="en-GB"/>
        </w:rPr>
        <w:tab/>
      </w:r>
      <w:r w:rsidR="002021BE" w:rsidRPr="003503A7">
        <w:rPr>
          <w:lang w:val="en-GB"/>
        </w:rPr>
        <w:t xml:space="preserve">note </w:t>
      </w:r>
      <w:r w:rsidR="00EC7B4D" w:rsidRPr="003503A7">
        <w:rPr>
          <w:lang w:val="en-GB"/>
        </w:rPr>
        <w:t xml:space="preserve">the </w:t>
      </w:r>
      <w:r w:rsidR="002B4DAD" w:rsidRPr="003503A7">
        <w:rPr>
          <w:lang w:val="en-GB"/>
        </w:rPr>
        <w:t xml:space="preserve">views shared by councillors and observers on the proposal contained in Document </w:t>
      </w:r>
      <w:hyperlink r:id="rId121" w:history="1">
        <w:r w:rsidR="002B4DAD" w:rsidRPr="00545BF2">
          <w:rPr>
            <w:rStyle w:val="Hyperlink"/>
            <w:rFonts w:cs="Times New Roman"/>
            <w:szCs w:val="20"/>
            <w:lang w:val="en-GB"/>
          </w:rPr>
          <w:t>C26/92</w:t>
        </w:r>
      </w:hyperlink>
      <w:r w:rsidRPr="00EA5615">
        <w:rPr>
          <w:lang w:val="en-GB"/>
        </w:rPr>
        <w:t>;</w:t>
      </w:r>
      <w:r w:rsidRPr="003503A7">
        <w:rPr>
          <w:lang w:val="en-GB"/>
        </w:rPr>
        <w:t xml:space="preserve"> and</w:t>
      </w:r>
    </w:p>
    <w:p w14:paraId="03BDCD5C" w14:textId="01264E30" w:rsidR="002F28CD" w:rsidRPr="003503A7" w:rsidRDefault="002F28CD"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3503A7">
        <w:rPr>
          <w:lang w:val="en-GB"/>
        </w:rPr>
        <w:t>•</w:t>
      </w:r>
      <w:r w:rsidRPr="003503A7">
        <w:rPr>
          <w:lang w:val="en-GB"/>
        </w:rPr>
        <w:tab/>
      </w:r>
      <w:r w:rsidR="002B4DAD" w:rsidRPr="003503A7">
        <w:rPr>
          <w:lang w:val="en-GB"/>
        </w:rPr>
        <w:t xml:space="preserve">invite Member States to </w:t>
      </w:r>
      <w:r w:rsidR="00B82BF1" w:rsidRPr="003503A7">
        <w:rPr>
          <w:lang w:val="en-GB"/>
        </w:rPr>
        <w:t>submit proposals</w:t>
      </w:r>
      <w:r w:rsidR="00452E31" w:rsidRPr="003503A7">
        <w:rPr>
          <w:lang w:val="en-GB"/>
        </w:rPr>
        <w:t xml:space="preserve"> to the Plenipotentiary Conference (Doha, 2026)</w:t>
      </w:r>
      <w:r w:rsidR="00B82BF1" w:rsidRPr="003503A7">
        <w:rPr>
          <w:lang w:val="en-GB"/>
        </w:rPr>
        <w:t xml:space="preserve"> for the revision of Resolution 162 (Rev. Bucharest, 2022)</w:t>
      </w:r>
      <w:r w:rsidR="000E6293" w:rsidRPr="003503A7">
        <w:rPr>
          <w:lang w:val="en-GB"/>
        </w:rPr>
        <w:t>, if appropriate</w:t>
      </w:r>
      <w:r w:rsidRPr="003503A7">
        <w:rPr>
          <w:rFonts w:cs="Calibri"/>
          <w:szCs w:val="24"/>
          <w:lang w:val="en-GB"/>
        </w:rPr>
        <w:t>.</w:t>
      </w:r>
    </w:p>
    <w:p w14:paraId="5104018D" w14:textId="1B1253A8" w:rsidR="008978D6" w:rsidRPr="00EA5615" w:rsidRDefault="00E47257" w:rsidP="008978D6">
      <w:pPr>
        <w:pStyle w:val="Heading1"/>
        <w:rPr>
          <w:lang w:val="en-GB"/>
        </w:rPr>
      </w:pPr>
      <w:r w:rsidRPr="00EA5615">
        <w:rPr>
          <w:lang w:val="en-GB"/>
        </w:rPr>
        <w:t>3</w:t>
      </w:r>
      <w:r w:rsidR="00BE017B">
        <w:rPr>
          <w:lang w:val="en-GB"/>
        </w:rPr>
        <w:t>4</w:t>
      </w:r>
      <w:r w:rsidR="008978D6" w:rsidRPr="00EA5615">
        <w:rPr>
          <w:bCs/>
          <w:lang w:val="en-GB"/>
        </w:rPr>
        <w:tab/>
      </w:r>
      <w:r w:rsidR="008978D6" w:rsidRPr="00EA5615">
        <w:rPr>
          <w:lang w:val="en-GB"/>
        </w:rPr>
        <w:t xml:space="preserve">Unaudited accounts: Unaudited Financial operating report for 2025 (Document </w:t>
      </w:r>
      <w:hyperlink r:id="rId122" w:history="1">
        <w:r w:rsidR="008978D6" w:rsidRPr="00EA5615">
          <w:rPr>
            <w:bCs/>
            <w:color w:val="4F81BD" w:themeColor="accent1"/>
            <w:szCs w:val="22"/>
            <w:u w:val="single"/>
            <w:lang w:val="en-GB"/>
          </w:rPr>
          <w:t>C26/3</w:t>
        </w:r>
        <w:r w:rsidR="00A05B1E">
          <w:rPr>
            <w:bCs/>
            <w:color w:val="4F81BD" w:themeColor="accent1"/>
            <w:szCs w:val="22"/>
            <w:u w:val="single"/>
            <w:lang w:val="en-GB"/>
          </w:rPr>
          <w:t>6</w:t>
        </w:r>
      </w:hyperlink>
      <w:r w:rsidR="008978D6" w:rsidRPr="00EA5615">
        <w:rPr>
          <w:lang w:val="en-GB"/>
        </w:rPr>
        <w:t>)</w:t>
      </w:r>
    </w:p>
    <w:p w14:paraId="67AE86C0" w14:textId="29201C30" w:rsidR="00F95069" w:rsidRPr="00875017" w:rsidRDefault="3D2EED9E" w:rsidP="00F95069">
      <w:pPr>
        <w:rPr>
          <w:rFonts w:cs="Calibri"/>
          <w:lang w:val="en-GB"/>
        </w:rPr>
      </w:pPr>
      <w:r w:rsidRPr="00875017">
        <w:rPr>
          <w:rFonts w:eastAsia="Calibri" w:cs="Calibri"/>
          <w:lang w:val="en-GB"/>
        </w:rPr>
        <w:t>3</w:t>
      </w:r>
      <w:r w:rsidR="00BE017B">
        <w:rPr>
          <w:rFonts w:eastAsia="Calibri" w:cs="Calibri"/>
          <w:lang w:val="en-GB"/>
        </w:rPr>
        <w:t>4</w:t>
      </w:r>
      <w:r w:rsidR="2F30F981" w:rsidRPr="00875017">
        <w:rPr>
          <w:rFonts w:eastAsia="Calibri" w:cs="Calibri"/>
          <w:lang w:val="en-GB"/>
        </w:rPr>
        <w:t>.1</w:t>
      </w:r>
      <w:r w:rsidR="0020567E" w:rsidRPr="00875017">
        <w:rPr>
          <w:lang w:val="en-GB"/>
        </w:rPr>
        <w:tab/>
      </w:r>
      <w:r w:rsidR="00F95069" w:rsidRPr="00875017">
        <w:rPr>
          <w:rFonts w:cs="Calibri"/>
          <w:lang w:val="en-GB"/>
        </w:rPr>
        <w:t xml:space="preserve">The Secretary-General, explaining that the External Auditor had been unable to attend the 2026 session of the Council (Council-26), said that the financial results for 2025 demonstrated strong stewardship of Member States’ resources: a budget surplus had been achieved, as had full compliance with IPSAS. Significant progress had also been made in terms of implementing external audit recommendations, thereby bolstering the Union’s operations and its governance structures. Having sound financial foundations enabled the Union to deliver on its mandate, which included closing the digital divide, harnessing AI responsibly and supporting sustainable digital transformation worldwide. </w:t>
      </w:r>
    </w:p>
    <w:p w14:paraId="2D7453F6" w14:textId="4FE63434"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.2</w:t>
      </w:r>
      <w:r w:rsidRPr="00875017">
        <w:rPr>
          <w:lang w:val="en-GB"/>
        </w:rPr>
        <w:tab/>
      </w:r>
      <w:r w:rsidR="00F95069" w:rsidRPr="00875017">
        <w:rPr>
          <w:rFonts w:cs="Calibri"/>
          <w:lang w:val="en-GB"/>
        </w:rPr>
        <w:t xml:space="preserve">The Chief of FRMD provided an overview of Document C26/36, which contained the unaudited financial operating report and financial statements for the financial year 2025, which had been submitted in accordance with Article 29 of the Financial Regulations and Financial Rules of the Union. Key highlights for the financial year 2025 included: an increase of CHF 11.7 million in overall total revenue, largely attributable to a rise in extrabudgetary contributions, growth in publication sales and other revenue, such as a positive actuarial adjustment in relation to staff repatriation costs; a decrease of CHF 20.9 million in expenses, mostly due to the impairment of the new building project; a decrease in financial revenue/costs, primarily owing to exchange rate losses; and a CHF 56.4 million reduction in asset liabilities, linked to decreases in ASHI liabilities. </w:t>
      </w:r>
    </w:p>
    <w:p w14:paraId="62C5C088" w14:textId="4D6D95C4"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.3</w:t>
      </w:r>
      <w:r w:rsidRPr="00875017">
        <w:rPr>
          <w:lang w:val="en-GB"/>
        </w:rPr>
        <w:tab/>
      </w:r>
      <w:r w:rsidR="00F95069" w:rsidRPr="00875017">
        <w:rPr>
          <w:rFonts w:cs="Calibri"/>
          <w:lang w:val="en-GB"/>
        </w:rPr>
        <w:t>Responding to questions and comments, he said that, under IPSAS, annual accrual-based financial reporting was required, whereas the Union operated on the basis of a biennial results-based budget, which was presented on a modified cash basis. Information on the resulting differences between the budgeted and actual amounts had been provided in the document. In short, the ITU modified cash-based approach showed a budget surplus of CHF 10.2 million; under the IPSAS method, however, the financial performance statement showed a deficit of CHF 9.9 million, which was largely attributable to non-cash items that were not included in the ITU budget, such as ASHI charges, currency exchange losses and asset depreciation.</w:t>
      </w:r>
    </w:p>
    <w:p w14:paraId="57781C23" w14:textId="0017691B"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.4</w:t>
      </w:r>
      <w:r w:rsidRPr="00875017">
        <w:rPr>
          <w:lang w:val="en-GB"/>
        </w:rPr>
        <w:tab/>
      </w:r>
      <w:r w:rsidR="00F95069" w:rsidRPr="00875017">
        <w:rPr>
          <w:rFonts w:cs="Calibri"/>
          <w:lang w:val="en-GB"/>
        </w:rPr>
        <w:t xml:space="preserve">Regarding the unaudited accounts, he explained that, in accordance with the Financial Regulations and Financial Rules of the Union, the financial statements were submitted to the External Auditor by 31 March following the end of the year to which they related. Given that, in plenipotentiary conference years, the session of the Council was held six months prior to the conference, usually in March or April, it was impossible for the External Auditor to be able to issue its audited report in that time-frame. The audited report would be published at the end of June and presented at the final Plenary meeting of Council-26, just before PP-26. If desired, discussion of the audited report could be included in the information session being held </w:t>
      </w:r>
      <w:proofErr w:type="spellStart"/>
      <w:r w:rsidR="00F95069" w:rsidRPr="00875017">
        <w:rPr>
          <w:rFonts w:cs="Calibri"/>
          <w:lang w:val="en-GB"/>
        </w:rPr>
        <w:t>intersessionally</w:t>
      </w:r>
      <w:proofErr w:type="spellEnd"/>
      <w:r w:rsidR="00F95069" w:rsidRPr="00875017">
        <w:rPr>
          <w:rFonts w:cs="Calibri"/>
          <w:lang w:val="en-GB"/>
        </w:rPr>
        <w:t xml:space="preserve"> on the draft financial plan 2028–2031.</w:t>
      </w:r>
    </w:p>
    <w:p w14:paraId="35DC58C9" w14:textId="1D27EFAD"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.5</w:t>
      </w:r>
      <w:r w:rsidRPr="00875017">
        <w:rPr>
          <w:lang w:val="en-GB"/>
        </w:rPr>
        <w:tab/>
      </w:r>
      <w:r w:rsidR="00F95069" w:rsidRPr="00875017">
        <w:rPr>
          <w:rFonts w:cs="Calibri"/>
          <w:lang w:val="en-GB"/>
        </w:rPr>
        <w:t xml:space="preserve">The increase in staff costs was due to several factors, including adjustments to General Service and Professional and higher category salary scales agreed after the adoption of the 2025 budget in 2023; regular increases in pension contributions; and an increase in ASHI net service charges. The rise in contractual service costs was linked to the need for experts to implement projects where work could not be handled internally. He outlined the costs associated with the travel expense category, which included flights and daily subsistence allowances. Information in that regard was provided, disaggregated by Sector, in the financial statements and in the notes thereto. Travel expenses associated with attending ITU conferences outside Geneva were borne mainly by the host country concerned. </w:t>
      </w:r>
    </w:p>
    <w:p w14:paraId="6146EA57" w14:textId="2022828A"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.6</w:t>
      </w:r>
      <w:r w:rsidRPr="00875017">
        <w:rPr>
          <w:lang w:val="en-GB"/>
        </w:rPr>
        <w:tab/>
      </w:r>
      <w:r w:rsidR="00F95069" w:rsidRPr="00875017">
        <w:rPr>
          <w:rFonts w:cs="Calibri"/>
          <w:lang w:val="en-GB"/>
        </w:rPr>
        <w:t>Regarding the exchange rate losses, while the Swiss franc was the reporting and functional currency of the Union, interest rates in that currency were negligible. For that reason, short-term investments were made largely in United States dollars and euros. While that approach had proved favourable in 2024, interest rates had decreased in 2025. Likewise, projects that were managed in other currencies had to be converted to Swiss francs for accounting purposes, leading to valuation differences. There were plans to ensure that all projects were managed in Swiss francs to simplify the issue.</w:t>
      </w:r>
    </w:p>
    <w:p w14:paraId="7898E4D8" w14:textId="1DD38050" w:rsidR="00F95069" w:rsidRPr="00875017" w:rsidRDefault="0075337E" w:rsidP="00F95069">
      <w:pPr>
        <w:rPr>
          <w:rFonts w:cs="Calibri"/>
          <w:lang w:val="en-GB"/>
        </w:rPr>
      </w:pPr>
      <w:r w:rsidRPr="00875017">
        <w:rPr>
          <w:rFonts w:cs="Calibri"/>
          <w:lang w:val="en-GB"/>
        </w:rPr>
        <w:t>3</w:t>
      </w:r>
      <w:r w:rsidR="00BE017B">
        <w:rPr>
          <w:rFonts w:cs="Calibri"/>
          <w:lang w:val="en-GB"/>
        </w:rPr>
        <w:t>4</w:t>
      </w:r>
      <w:r w:rsidRPr="00875017">
        <w:rPr>
          <w:rFonts w:cs="Calibri"/>
          <w:lang w:val="en-GB"/>
        </w:rPr>
        <w:t>.7</w:t>
      </w:r>
      <w:r w:rsidRPr="00875017">
        <w:rPr>
          <w:lang w:val="en-GB"/>
        </w:rPr>
        <w:tab/>
      </w:r>
      <w:r w:rsidR="00F95069" w:rsidRPr="00875017">
        <w:rPr>
          <w:rFonts w:cs="Calibri"/>
          <w:lang w:val="en-GB"/>
        </w:rPr>
        <w:t>Councillors welcomed the report and commended the Union’s efforts to improve the Union’s financial situation, highlighting in particular the reduced deficit, increased revenue and budget surplus. Some councillors voiced concern about the losses associated with currency rate fluctuations. One councillor stressed the need for measures to safeguard the Union’s financial stability against future financial market volatility and halt the upward trend in staffing costs. Another councillor, noting that the Union’s long-term liabilities exceeded its assets, called for further efforts on streamlining and risk management. Future reporting should include information in that regard, as well as disaggregated data on travel costs and on the expenses associated with contractual arrangements. He also sought information on the specific scenarios in which IPSAS rules 40</w:t>
      </w:r>
      <w:r w:rsidR="00875017">
        <w:rPr>
          <w:rFonts w:cs="Calibri"/>
          <w:lang w:val="en-GB"/>
        </w:rPr>
        <w:t>-</w:t>
      </w:r>
      <w:r w:rsidR="00F95069" w:rsidRPr="00875017">
        <w:rPr>
          <w:rFonts w:cs="Calibri"/>
          <w:lang w:val="en-GB"/>
        </w:rPr>
        <w:t xml:space="preserve">44 would be triggered and the potential financial impact thereof. </w:t>
      </w:r>
    </w:p>
    <w:p w14:paraId="3AA01260" w14:textId="55EE357C" w:rsidR="00270842" w:rsidRPr="00875017" w:rsidRDefault="0075337E" w:rsidP="00270842">
      <w:pPr>
        <w:spacing w:line="259" w:lineRule="auto"/>
        <w:rPr>
          <w:rFonts w:eastAsia="Calibri" w:cs="Calibri"/>
          <w:lang w:val="en-GB"/>
        </w:rPr>
      </w:pPr>
      <w:r w:rsidRPr="00875017">
        <w:rPr>
          <w:rFonts w:cs="Calibri"/>
          <w:lang w:val="en-GB"/>
        </w:rPr>
        <w:t>3</w:t>
      </w:r>
      <w:r w:rsidR="00BE017B">
        <w:rPr>
          <w:rFonts w:cs="Calibri"/>
          <w:lang w:val="en-GB"/>
        </w:rPr>
        <w:t>4</w:t>
      </w:r>
      <w:r w:rsidRPr="00875017">
        <w:rPr>
          <w:rFonts w:cs="Calibri"/>
          <w:lang w:val="en-GB"/>
        </w:rPr>
        <w:t>.8</w:t>
      </w:r>
      <w:r w:rsidRPr="00875017">
        <w:rPr>
          <w:lang w:val="en-GB"/>
        </w:rPr>
        <w:tab/>
      </w:r>
      <w:r w:rsidR="00F95069" w:rsidRPr="00875017">
        <w:rPr>
          <w:rFonts w:cs="Calibri"/>
          <w:lang w:val="en-GB"/>
        </w:rPr>
        <w:t>One councillor, noting that the assets of the reserve account exceeded significantly the threshold established by Decision 5 (Rev. Bucharest, 2022) of the Plenipotentiary Conference, stressed the importance of more sustainable development financing in view of vast digital transformation requirements globally, especially for developing countries and LDCs. Continued discussion of dedicated financing mechanisms was therefore needed. One councillor urged prudence in the allocation of cost savings from 2025 budget implementation, in the light of the accumulated deficit. Another councillor underscored the need for further efforts to ensure that receivables were collected in a timely manner</w:t>
      </w:r>
      <w:r w:rsidR="2F30F981" w:rsidRPr="00875017">
        <w:rPr>
          <w:rFonts w:eastAsia="Calibri" w:cs="Calibri"/>
          <w:lang w:val="en-GB"/>
        </w:rPr>
        <w:t xml:space="preserve">. </w:t>
      </w:r>
    </w:p>
    <w:p w14:paraId="29EDBBB4" w14:textId="2E86A745" w:rsidR="00270842" w:rsidRPr="00EA5615" w:rsidRDefault="007006F5" w:rsidP="00270842">
      <w:pPr>
        <w:spacing w:line="259" w:lineRule="auto"/>
        <w:rPr>
          <w:rFonts w:eastAsia="Calibri" w:cs="Calibri"/>
          <w:szCs w:val="24"/>
          <w:lang w:val="en-GB"/>
        </w:rPr>
      </w:pPr>
      <w:r w:rsidRPr="00EA5615">
        <w:rPr>
          <w:rFonts w:eastAsia="Calibri" w:cs="Calibri"/>
          <w:spacing w:val="-4"/>
          <w:szCs w:val="24"/>
          <w:lang w:val="en-GB"/>
        </w:rPr>
        <w:t>3</w:t>
      </w:r>
      <w:r w:rsidR="00BE017B">
        <w:rPr>
          <w:rFonts w:eastAsia="Calibri" w:cs="Calibri"/>
          <w:spacing w:val="-4"/>
          <w:szCs w:val="24"/>
          <w:lang w:val="en-GB"/>
        </w:rPr>
        <w:t>4</w:t>
      </w:r>
      <w:r w:rsidR="00270842" w:rsidRPr="00EA5615">
        <w:rPr>
          <w:rFonts w:eastAsia="Calibri" w:cs="Calibri"/>
          <w:spacing w:val="-4"/>
          <w:szCs w:val="24"/>
          <w:lang w:val="en-GB"/>
        </w:rPr>
        <w:t>.</w:t>
      </w:r>
      <w:r w:rsidR="0075337E" w:rsidRPr="0095679D">
        <w:rPr>
          <w:rFonts w:eastAsia="Calibri" w:cs="Calibri"/>
          <w:spacing w:val="-4"/>
          <w:szCs w:val="24"/>
          <w:lang w:val="en-GB"/>
        </w:rPr>
        <w:t>9</w:t>
      </w:r>
      <w:r w:rsidR="00270842" w:rsidRPr="00EA5615">
        <w:rPr>
          <w:rFonts w:eastAsia="Calibri" w:cs="Calibri"/>
          <w:szCs w:val="24"/>
          <w:lang w:val="en-GB"/>
        </w:rPr>
        <w:tab/>
        <w:t xml:space="preserve">The committee </w:t>
      </w:r>
      <w:r w:rsidR="00270842" w:rsidRPr="00EA5615">
        <w:rPr>
          <w:rFonts w:eastAsia="Calibri" w:cs="Calibri"/>
          <w:b/>
          <w:bCs/>
          <w:szCs w:val="24"/>
          <w:lang w:val="en-GB"/>
        </w:rPr>
        <w:t>agreed</w:t>
      </w:r>
      <w:r w:rsidR="00270842" w:rsidRPr="00EA5615">
        <w:rPr>
          <w:rFonts w:eastAsia="Calibri" w:cs="Calibri"/>
          <w:szCs w:val="24"/>
          <w:lang w:val="en-GB"/>
        </w:rPr>
        <w:t xml:space="preserve"> to conclude as follows on the matter:</w:t>
      </w:r>
    </w:p>
    <w:p w14:paraId="4541D1F4" w14:textId="6D2AABAD" w:rsidR="00BE1915" w:rsidRDefault="00CF1F87" w:rsidP="00924194">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95679D">
        <w:rPr>
          <w:rFonts w:eastAsia="Calibri" w:cs="Calibri"/>
          <w:szCs w:val="24"/>
          <w:lang w:val="en-GB"/>
        </w:rPr>
        <w:t>3</w:t>
      </w:r>
      <w:r w:rsidR="00BE017B">
        <w:rPr>
          <w:rFonts w:eastAsia="Calibri" w:cs="Calibri"/>
          <w:szCs w:val="24"/>
          <w:lang w:val="en-GB"/>
        </w:rPr>
        <w:t>4</w:t>
      </w:r>
      <w:r w:rsidR="00270842" w:rsidRPr="0095679D">
        <w:rPr>
          <w:rFonts w:eastAsia="Calibri" w:cs="Calibri"/>
          <w:szCs w:val="24"/>
          <w:lang w:val="en-GB"/>
        </w:rPr>
        <w:t>.</w:t>
      </w:r>
      <w:r w:rsidR="0075337E" w:rsidRPr="0095679D">
        <w:rPr>
          <w:rFonts w:eastAsia="Calibri" w:cs="Calibri"/>
          <w:szCs w:val="24"/>
          <w:lang w:val="en-GB"/>
        </w:rPr>
        <w:t>10</w:t>
      </w:r>
      <w:r w:rsidR="00270842" w:rsidRPr="0095679D">
        <w:rPr>
          <w:lang w:val="en-GB"/>
        </w:rPr>
        <w:tab/>
        <w:t>The committee recommends that the Council:</w:t>
      </w:r>
    </w:p>
    <w:p w14:paraId="21BC5059" w14:textId="41E2D678" w:rsidR="008978D6" w:rsidRDefault="00270842"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95679D">
        <w:rPr>
          <w:lang w:val="en-GB"/>
        </w:rPr>
        <w:t>•</w:t>
      </w:r>
      <w:r w:rsidRPr="0095679D">
        <w:rPr>
          <w:lang w:val="en-GB"/>
        </w:rPr>
        <w:tab/>
      </w:r>
      <w:r w:rsidR="00364798" w:rsidRPr="0095679D">
        <w:rPr>
          <w:lang w:val="en-GB"/>
        </w:rPr>
        <w:t xml:space="preserve">note the unaudited financial operating report and financial statements contained in Document </w:t>
      </w:r>
      <w:hyperlink r:id="rId123" w:history="1">
        <w:r w:rsidR="00364798" w:rsidRPr="00BE1915">
          <w:rPr>
            <w:rStyle w:val="Hyperlink"/>
            <w:rFonts w:cs="Times New Roman"/>
            <w:szCs w:val="20"/>
            <w:lang w:val="en-GB"/>
          </w:rPr>
          <w:t>C26/36</w:t>
        </w:r>
      </w:hyperlink>
      <w:r w:rsidR="001F1C54">
        <w:rPr>
          <w:rFonts w:cs="Calibri"/>
          <w:szCs w:val="24"/>
          <w:lang w:val="en-GB"/>
        </w:rPr>
        <w:t xml:space="preserve">, </w:t>
      </w:r>
      <w:r w:rsidR="00287FF6">
        <w:rPr>
          <w:rFonts w:cs="Calibri"/>
          <w:szCs w:val="24"/>
          <w:lang w:val="en-GB"/>
        </w:rPr>
        <w:t xml:space="preserve">and that audited financial operation report and the External Auditor’s report </w:t>
      </w:r>
      <w:r w:rsidR="001F1C54">
        <w:rPr>
          <w:rFonts w:cs="Calibri"/>
          <w:szCs w:val="24"/>
          <w:lang w:val="en-GB"/>
        </w:rPr>
        <w:t>will be available by the end of June 2026;</w:t>
      </w:r>
    </w:p>
    <w:p w14:paraId="7266EDBC" w14:textId="3F58F62C" w:rsidR="001F1C54" w:rsidRPr="00EA5615" w:rsidRDefault="001F1C54" w:rsidP="00C44A2E">
      <w:pPr>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95679D">
        <w:rPr>
          <w:lang w:val="en-GB"/>
        </w:rPr>
        <w:t>•</w:t>
      </w:r>
      <w:r w:rsidRPr="0095679D">
        <w:rPr>
          <w:lang w:val="en-GB"/>
        </w:rPr>
        <w:tab/>
      </w:r>
      <w:r>
        <w:rPr>
          <w:lang w:val="en-GB"/>
        </w:rPr>
        <w:t>instruct the secretariat to schedule an information session with the External Auditor to discuss the audited report, potentially at the same time as the information session on the draft financial plan for the period 2028-2031.</w:t>
      </w:r>
    </w:p>
    <w:p w14:paraId="15CCE9EB" w14:textId="1908FBDE" w:rsidR="000A21AB" w:rsidRPr="00EA5615" w:rsidRDefault="00E47257" w:rsidP="00C44A2E">
      <w:pPr>
        <w:pStyle w:val="Heading1"/>
        <w:rPr>
          <w:lang w:val="en-GB"/>
        </w:rPr>
      </w:pPr>
      <w:r w:rsidRPr="00EA5615">
        <w:rPr>
          <w:lang w:val="en-GB"/>
        </w:rPr>
        <w:t>3</w:t>
      </w:r>
      <w:r w:rsidR="00BE017B">
        <w:rPr>
          <w:lang w:val="en-GB"/>
        </w:rPr>
        <w:t>5</w:t>
      </w:r>
      <w:r w:rsidR="000A21AB" w:rsidRPr="00EA5615">
        <w:rPr>
          <w:bCs/>
          <w:lang w:val="en-GB"/>
        </w:rPr>
        <w:tab/>
      </w:r>
      <w:r w:rsidR="000A21AB" w:rsidRPr="00EA5615">
        <w:rPr>
          <w:lang w:val="en-GB"/>
        </w:rPr>
        <w:t xml:space="preserve">JIU reports on United Nations system-wide issues for 2025 and recommendations addressed to the legislative bodies </w:t>
      </w:r>
      <w:r w:rsidR="000C2EA6">
        <w:rPr>
          <w:lang w:val="en-GB"/>
        </w:rPr>
        <w:br/>
      </w:r>
      <w:r w:rsidR="000A21AB" w:rsidRPr="00EA5615">
        <w:rPr>
          <w:lang w:val="en-GB"/>
        </w:rPr>
        <w:t xml:space="preserve">(Document </w:t>
      </w:r>
      <w:hyperlink r:id="rId124" w:history="1">
        <w:r w:rsidR="000A21AB" w:rsidRPr="00EA5615">
          <w:rPr>
            <w:bCs/>
            <w:color w:val="4F81BD" w:themeColor="accent1"/>
            <w:szCs w:val="22"/>
            <w:u w:val="single"/>
            <w:lang w:val="en-GB"/>
          </w:rPr>
          <w:t>C26/57</w:t>
        </w:r>
      </w:hyperlink>
      <w:r w:rsidR="000A21AB" w:rsidRPr="00EA5615">
        <w:rPr>
          <w:lang w:val="en-GB"/>
        </w:rPr>
        <w:t>)</w:t>
      </w:r>
    </w:p>
    <w:p w14:paraId="64DBF548" w14:textId="07AFED7B" w:rsidR="00BC0B85" w:rsidRPr="004E1512" w:rsidRDefault="00BC0B85" w:rsidP="00C44A2E">
      <w:pPr>
        <w:keepNext/>
        <w:keepLines/>
        <w:rPr>
          <w:lang w:val="en-GB"/>
        </w:rPr>
      </w:pPr>
      <w:r w:rsidRPr="004E1512">
        <w:rPr>
          <w:rFonts w:eastAsia="Calibri" w:cs="Calibri"/>
          <w:lang w:val="en-GB"/>
        </w:rPr>
        <w:t>3</w:t>
      </w:r>
      <w:r w:rsidR="00BE017B">
        <w:rPr>
          <w:rFonts w:eastAsia="Calibri" w:cs="Calibri"/>
          <w:lang w:val="en-GB"/>
        </w:rPr>
        <w:t>5</w:t>
      </w:r>
      <w:r w:rsidRPr="004E1512">
        <w:rPr>
          <w:rFonts w:eastAsia="Calibri" w:cs="Calibri"/>
          <w:lang w:val="en-GB"/>
        </w:rPr>
        <w:t>.1</w:t>
      </w:r>
      <w:r w:rsidRPr="004E1512">
        <w:rPr>
          <w:lang w:val="en-GB"/>
        </w:rPr>
        <w:tab/>
      </w:r>
      <w:r w:rsidR="004F3004" w:rsidRPr="004F3004">
        <w:rPr>
          <w:lang w:val="en-GB"/>
        </w:rPr>
        <w:t>Following the recommendation of Council</w:t>
      </w:r>
      <w:r w:rsidR="000D1474">
        <w:rPr>
          <w:lang w:val="en-GB"/>
        </w:rPr>
        <w:t>-25</w:t>
      </w:r>
      <w:r w:rsidR="004F3004">
        <w:rPr>
          <w:lang w:val="en-GB"/>
        </w:rPr>
        <w:t>, t</w:t>
      </w:r>
      <w:r w:rsidRPr="004E1512">
        <w:rPr>
          <w:lang w:val="en-GB"/>
        </w:rPr>
        <w:t xml:space="preserve">he Secretary-General welcomed the representative of JIU </w:t>
      </w:r>
      <w:r w:rsidR="00DB21CA" w:rsidRPr="00DB21CA">
        <w:rPr>
          <w:lang w:val="en-GB"/>
        </w:rPr>
        <w:t xml:space="preserve">to the Council session in an observer and advisory capacity, in line with the modalities proposed by CWG-FHR. She noted that </w:t>
      </w:r>
      <w:r w:rsidR="00DE2D45">
        <w:rPr>
          <w:lang w:val="en-GB"/>
        </w:rPr>
        <w:t>it</w:t>
      </w:r>
      <w:r w:rsidR="00DB21CA" w:rsidRPr="00DB21CA">
        <w:rPr>
          <w:lang w:val="en-GB"/>
        </w:rPr>
        <w:t xml:space="preserve"> was the first time th</w:t>
      </w:r>
      <w:r w:rsidR="00DE2D45">
        <w:rPr>
          <w:lang w:val="en-GB"/>
        </w:rPr>
        <w:t>at</w:t>
      </w:r>
      <w:r w:rsidR="00DB21CA" w:rsidRPr="00DB21CA">
        <w:rPr>
          <w:lang w:val="en-GB"/>
        </w:rPr>
        <w:t xml:space="preserve"> JIU had participated in the discussion of system-wide reports.</w:t>
      </w:r>
      <w:r w:rsidRPr="004E1512">
        <w:rPr>
          <w:lang w:val="en-GB"/>
        </w:rPr>
        <w:t xml:space="preserve"> She said that the secretariat had undertaken </w:t>
      </w:r>
      <w:r w:rsidR="00612D4D">
        <w:rPr>
          <w:lang w:val="en-GB"/>
        </w:rPr>
        <w:t xml:space="preserve">a </w:t>
      </w:r>
      <w:r w:rsidR="00660367">
        <w:rPr>
          <w:lang w:val="en-GB"/>
        </w:rPr>
        <w:t xml:space="preserve">comprehensive </w:t>
      </w:r>
      <w:r w:rsidRPr="004E1512">
        <w:rPr>
          <w:lang w:val="en-GB"/>
        </w:rPr>
        <w:t xml:space="preserve">organization-wide effort to </w:t>
      </w:r>
      <w:r w:rsidR="00B051AE">
        <w:rPr>
          <w:lang w:val="en-GB"/>
        </w:rPr>
        <w:t xml:space="preserve">strengthen the management </w:t>
      </w:r>
      <w:r w:rsidR="00C22437">
        <w:rPr>
          <w:lang w:val="en-GB"/>
        </w:rPr>
        <w:t xml:space="preserve">tracking </w:t>
      </w:r>
      <w:r w:rsidR="00915705">
        <w:rPr>
          <w:lang w:val="en-GB"/>
        </w:rPr>
        <w:t xml:space="preserve">and reporting of JIU </w:t>
      </w:r>
      <w:r w:rsidRPr="004E1512">
        <w:rPr>
          <w:lang w:val="en-GB"/>
        </w:rPr>
        <w:t>recommendations</w:t>
      </w:r>
      <w:r w:rsidR="000248ED">
        <w:rPr>
          <w:lang w:val="en-GB"/>
        </w:rPr>
        <w:t xml:space="preserve">, </w:t>
      </w:r>
      <w:r w:rsidR="00742D7C" w:rsidRPr="00742D7C">
        <w:rPr>
          <w:lang w:val="en-GB"/>
        </w:rPr>
        <w:t>achieving an 82</w:t>
      </w:r>
      <w:r w:rsidR="00D813EB">
        <w:rPr>
          <w:lang w:val="en-GB"/>
        </w:rPr>
        <w:t xml:space="preserve"> per cent</w:t>
      </w:r>
      <w:r w:rsidR="00742D7C" w:rsidRPr="00742D7C">
        <w:rPr>
          <w:lang w:val="en-GB"/>
        </w:rPr>
        <w:t xml:space="preserve"> acceptance rate and 87</w:t>
      </w:r>
      <w:r w:rsidR="00D813EB">
        <w:rPr>
          <w:lang w:val="en-GB"/>
        </w:rPr>
        <w:t xml:space="preserve"> per cent</w:t>
      </w:r>
      <w:r w:rsidR="00742D7C" w:rsidRPr="00742D7C">
        <w:rPr>
          <w:lang w:val="en-GB"/>
        </w:rPr>
        <w:t xml:space="preserve"> implementation rate overall</w:t>
      </w:r>
      <w:r w:rsidR="00742D7C">
        <w:rPr>
          <w:lang w:val="en-GB"/>
        </w:rPr>
        <w:t>,</w:t>
      </w:r>
      <w:r w:rsidRPr="004E1512">
        <w:rPr>
          <w:lang w:val="en-GB"/>
        </w:rPr>
        <w:t xml:space="preserve"> and was fully committed to continuing to do so.</w:t>
      </w:r>
    </w:p>
    <w:p w14:paraId="655DB81A" w14:textId="69FAC9B4" w:rsidR="00BC0B85" w:rsidRPr="004E1512" w:rsidRDefault="00BC0B85" w:rsidP="00BC0B85">
      <w:pPr>
        <w:rPr>
          <w:lang w:val="en-GB"/>
        </w:rPr>
      </w:pPr>
      <w:r w:rsidRPr="004E1512">
        <w:rPr>
          <w:lang w:val="en-GB"/>
        </w:rPr>
        <w:t>3</w:t>
      </w:r>
      <w:r w:rsidR="00BE017B">
        <w:rPr>
          <w:lang w:val="en-GB"/>
        </w:rPr>
        <w:t>5</w:t>
      </w:r>
      <w:r w:rsidRPr="004E1512">
        <w:rPr>
          <w:lang w:val="en-GB"/>
        </w:rPr>
        <w:t>.2</w:t>
      </w:r>
      <w:r w:rsidRPr="004E1512">
        <w:rPr>
          <w:lang w:val="en-GB"/>
        </w:rPr>
        <w:tab/>
        <w:t>A representative of the General Secretariat introduced Document C2</w:t>
      </w:r>
      <w:r w:rsidR="00B13BC9">
        <w:rPr>
          <w:lang w:val="en-GB"/>
        </w:rPr>
        <w:t>6</w:t>
      </w:r>
      <w:r w:rsidRPr="004E1512">
        <w:rPr>
          <w:lang w:val="en-GB"/>
        </w:rPr>
        <w:t>/57, which presented the JIU reports from the 2025 programme of work on United Nations system-wide issues and the set of five recommendations addressed to the governing bodies of ITU, namely: Recommendations 1 and 3 under the review of the policies and practices for determining the rates of programme support costs in organizations of the United Nations system (</w:t>
      </w:r>
      <w:hyperlink r:id="rId125" w:history="1">
        <w:r w:rsidRPr="004E1512">
          <w:rPr>
            <w:rStyle w:val="Hyperlink"/>
            <w:lang w:val="en-GB"/>
          </w:rPr>
          <w:t>JIU/REP/2025/4</w:t>
        </w:r>
      </w:hyperlink>
      <w:r w:rsidRPr="004E1512">
        <w:rPr>
          <w:lang w:val="en-GB"/>
        </w:rPr>
        <w:t>); Recommendation 7 under the review of donor-led assessments of United Nations system organizations and other oversight-related requests from donors in the context of funding agreements and the United Nations single audit principle (</w:t>
      </w:r>
      <w:hyperlink r:id="rId126" w:history="1">
        <w:r w:rsidRPr="004E1512">
          <w:rPr>
            <w:rStyle w:val="Hyperlink"/>
            <w:lang w:val="en-GB"/>
          </w:rPr>
          <w:t>JIU/REP/2025/3</w:t>
        </w:r>
      </w:hyperlink>
      <w:r w:rsidRPr="004E1512">
        <w:rPr>
          <w:lang w:val="en-GB"/>
        </w:rPr>
        <w:t>); and Recommendations 3 and 13 under the review of policies and practices to prevent and respond to sexual exploitation and abuse in the United Nations system organizations (</w:t>
      </w:r>
      <w:hyperlink r:id="rId127" w:history="1">
        <w:r w:rsidRPr="004E1512">
          <w:rPr>
            <w:rStyle w:val="Hyperlink"/>
            <w:lang w:val="en-GB"/>
          </w:rPr>
          <w:t>JIU/REP/2025/2</w:t>
        </w:r>
      </w:hyperlink>
      <w:r w:rsidRPr="004E1512">
        <w:rPr>
          <w:lang w:val="en-GB"/>
        </w:rPr>
        <w:t xml:space="preserve">). </w:t>
      </w:r>
      <w:r w:rsidR="00781A88" w:rsidRPr="00781A88">
        <w:rPr>
          <w:lang w:val="en-GB"/>
        </w:rPr>
        <w:t xml:space="preserve">The </w:t>
      </w:r>
      <w:r w:rsidR="00D813EB">
        <w:rPr>
          <w:lang w:val="en-GB"/>
        </w:rPr>
        <w:t>s</w:t>
      </w:r>
      <w:r w:rsidR="00781A88" w:rsidRPr="00781A88">
        <w:rPr>
          <w:lang w:val="en-GB"/>
        </w:rPr>
        <w:t>ecretariat recommended acceptance of all five recommendations</w:t>
      </w:r>
      <w:r w:rsidRPr="004E1512">
        <w:rPr>
          <w:lang w:val="en-GB"/>
        </w:rPr>
        <w:t>.</w:t>
      </w:r>
    </w:p>
    <w:p w14:paraId="480213AD" w14:textId="7D041E35" w:rsidR="00EB2DDB" w:rsidRPr="00EB2DDB" w:rsidRDefault="00BC0B85" w:rsidP="00EB2DDB">
      <w:pPr>
        <w:rPr>
          <w:lang w:val="en-GB"/>
        </w:rPr>
      </w:pPr>
      <w:r w:rsidRPr="004E1512">
        <w:rPr>
          <w:lang w:val="en-GB"/>
        </w:rPr>
        <w:t>3</w:t>
      </w:r>
      <w:r w:rsidR="00BE017B">
        <w:rPr>
          <w:lang w:val="en-GB"/>
        </w:rPr>
        <w:t>5</w:t>
      </w:r>
      <w:r w:rsidRPr="004E1512">
        <w:rPr>
          <w:lang w:val="en-GB"/>
        </w:rPr>
        <w:t>.3</w:t>
      </w:r>
      <w:r w:rsidRPr="004E1512">
        <w:rPr>
          <w:lang w:val="en-GB"/>
        </w:rPr>
        <w:tab/>
        <w:t xml:space="preserve">Responding to a question from a councillor, </w:t>
      </w:r>
      <w:r w:rsidR="00800E4E" w:rsidRPr="00800E4E">
        <w:rPr>
          <w:lang w:val="en-GB"/>
        </w:rPr>
        <w:t xml:space="preserve">the representative of the </w:t>
      </w:r>
      <w:r w:rsidR="00143AE7">
        <w:rPr>
          <w:lang w:val="en-GB"/>
        </w:rPr>
        <w:t xml:space="preserve">General </w:t>
      </w:r>
      <w:r w:rsidR="00800E4E" w:rsidRPr="00800E4E">
        <w:rPr>
          <w:lang w:val="en-GB"/>
        </w:rPr>
        <w:t xml:space="preserve">Secretariat </w:t>
      </w:r>
      <w:r w:rsidR="00800E4E">
        <w:rPr>
          <w:lang w:val="en-GB"/>
        </w:rPr>
        <w:t>s</w:t>
      </w:r>
      <w:r w:rsidRPr="004E1512">
        <w:rPr>
          <w:lang w:val="en-GB"/>
        </w:rPr>
        <w:t>aid that the intent behind the historical reservations to the statute of JIU, as set out in Resolution 38 (Nairobi, 1982) of the Plenipotentiary Conference, had been to protect the mandate of ITU. Review of those reservations was the prerogative of the Plenipotentiary Conference.</w:t>
      </w:r>
      <w:r w:rsidR="00EB2DDB">
        <w:rPr>
          <w:lang w:val="en-GB"/>
        </w:rPr>
        <w:t xml:space="preserve"> </w:t>
      </w:r>
      <w:r w:rsidR="00EB2DDB" w:rsidRPr="00EB2DDB">
        <w:rPr>
          <w:lang w:val="en-GB"/>
        </w:rPr>
        <w:t>He added that any modification would be a broader policy matter for Member States and that delegations m</w:t>
      </w:r>
      <w:r w:rsidR="00297CD0">
        <w:rPr>
          <w:lang w:val="en-GB"/>
        </w:rPr>
        <w:t>ight</w:t>
      </w:r>
      <w:r w:rsidR="00EB2DDB" w:rsidRPr="00EB2DDB">
        <w:rPr>
          <w:lang w:val="en-GB"/>
        </w:rPr>
        <w:t xml:space="preserve"> wish to consider whether such a change </w:t>
      </w:r>
      <w:r w:rsidR="00E73568">
        <w:rPr>
          <w:lang w:val="en-GB"/>
        </w:rPr>
        <w:t>wa</w:t>
      </w:r>
      <w:r w:rsidR="00EB2DDB" w:rsidRPr="00EB2DDB">
        <w:rPr>
          <w:lang w:val="en-GB"/>
        </w:rPr>
        <w:t xml:space="preserve">s necessary, given that the current system </w:t>
      </w:r>
      <w:r w:rsidR="00E73568">
        <w:rPr>
          <w:lang w:val="en-GB"/>
        </w:rPr>
        <w:t>wa</w:t>
      </w:r>
      <w:r w:rsidR="00EB2DDB" w:rsidRPr="00EB2DDB">
        <w:rPr>
          <w:lang w:val="en-GB"/>
        </w:rPr>
        <w:t>s functioning effectively.</w:t>
      </w:r>
    </w:p>
    <w:p w14:paraId="7C8FD634" w14:textId="5A3FA5AC" w:rsidR="00BC0B85" w:rsidRPr="004E1512" w:rsidRDefault="00BC0B85" w:rsidP="00BC0B85">
      <w:pPr>
        <w:rPr>
          <w:lang w:val="en-GB"/>
        </w:rPr>
      </w:pPr>
      <w:r w:rsidRPr="004E1512">
        <w:rPr>
          <w:lang w:val="en-GB"/>
        </w:rPr>
        <w:t>3</w:t>
      </w:r>
      <w:r w:rsidR="00BE017B">
        <w:rPr>
          <w:lang w:val="en-GB"/>
        </w:rPr>
        <w:t>5</w:t>
      </w:r>
      <w:r w:rsidRPr="004E1512">
        <w:rPr>
          <w:lang w:val="en-GB"/>
        </w:rPr>
        <w:t>.4</w:t>
      </w:r>
      <w:r w:rsidRPr="004E1512">
        <w:rPr>
          <w:lang w:val="en-GB"/>
        </w:rPr>
        <w:tab/>
        <w:t>With respect to Recommendation 3 (JIU/REP/2025/2), the Chief of HRMD said that an ITU policy on PSEA was under final review between HRMD and the Legal Affairs Unit. For the time being, the secretariat anticipated separate policies on PSEA and harassment but would monitor trends across the United Nations system.</w:t>
      </w:r>
    </w:p>
    <w:p w14:paraId="35199049" w14:textId="56C38EED" w:rsidR="00BC0B85" w:rsidRPr="004E1512" w:rsidRDefault="00BC0B85" w:rsidP="00BC0B85">
      <w:pPr>
        <w:rPr>
          <w:lang w:val="en-GB"/>
        </w:rPr>
      </w:pPr>
      <w:r w:rsidRPr="004E1512">
        <w:rPr>
          <w:lang w:val="en-GB"/>
        </w:rPr>
        <w:t>3</w:t>
      </w:r>
      <w:r w:rsidR="00BE017B">
        <w:rPr>
          <w:lang w:val="en-GB"/>
        </w:rPr>
        <w:t>5</w:t>
      </w:r>
      <w:r w:rsidRPr="004E1512">
        <w:rPr>
          <w:lang w:val="en-GB"/>
        </w:rPr>
        <w:t>.5</w:t>
      </w:r>
      <w:r w:rsidRPr="004E1512">
        <w:rPr>
          <w:lang w:val="en-GB"/>
        </w:rPr>
        <w:tab/>
        <w:t>Responding to questions from a councillor, the representative of JIU said that the Unit included one management and administration review of a United Nations system organization in its work plan each year. It decided which organization based on several criteria: the organization had recently or would soon undergo major reform; there was a high risk of accountability measures; there had been a change of executive head. ITU had undergone such a review in 2016. JIU would consider a request from the Council or other governing body for a management and administration review but remained independent in determining its work plan. Inspectors would only be able to participate in discussions on the outcomes of such a review while they remained contracted to JIU.</w:t>
      </w:r>
    </w:p>
    <w:p w14:paraId="30C1230D" w14:textId="1366E3BC" w:rsidR="00BC0B85" w:rsidRPr="004E1512" w:rsidRDefault="00BC0B85" w:rsidP="00BC0B85">
      <w:pPr>
        <w:rPr>
          <w:lang w:val="en-GB"/>
        </w:rPr>
      </w:pPr>
      <w:r w:rsidRPr="004E1512">
        <w:rPr>
          <w:lang w:val="en-GB"/>
        </w:rPr>
        <w:t>3</w:t>
      </w:r>
      <w:r w:rsidR="00BE017B">
        <w:rPr>
          <w:lang w:val="en-GB"/>
        </w:rPr>
        <w:t>5</w:t>
      </w:r>
      <w:r w:rsidRPr="004E1512">
        <w:rPr>
          <w:lang w:val="en-GB"/>
        </w:rPr>
        <w:t>.6</w:t>
      </w:r>
      <w:r w:rsidRPr="004E1512">
        <w:rPr>
          <w:lang w:val="en-GB"/>
        </w:rPr>
        <w:tab/>
      </w:r>
      <w:r w:rsidR="008A660D">
        <w:rPr>
          <w:lang w:val="en-GB"/>
        </w:rPr>
        <w:t xml:space="preserve">Several </w:t>
      </w:r>
      <w:r w:rsidR="00B100ED">
        <w:rPr>
          <w:lang w:val="en-GB"/>
        </w:rPr>
        <w:t>c</w:t>
      </w:r>
      <w:r w:rsidRPr="004E1512">
        <w:rPr>
          <w:lang w:val="en-GB"/>
        </w:rPr>
        <w:t xml:space="preserve">ouncillors welcomed the participation of JIU in the discussion and said that the JIU recommendations should be accepted, with one councillor noting that several had already been implemented. Some councillors welcomed in particular the recommendation for a standalone policy on cost recovery but sought clarity as to how such a policy would inform, or be informed by, Resolution 91 (Rev. Guadalajara, 2010) of the Plenipotentiary Conference. </w:t>
      </w:r>
      <w:r w:rsidR="001728D8">
        <w:rPr>
          <w:lang w:val="en-GB"/>
        </w:rPr>
        <w:t xml:space="preserve">They stressed that </w:t>
      </w:r>
      <w:r w:rsidR="008E429A">
        <w:rPr>
          <w:lang w:val="en-GB"/>
        </w:rPr>
        <w:t>a</w:t>
      </w:r>
      <w:r w:rsidRPr="004E1512">
        <w:rPr>
          <w:lang w:val="en-GB"/>
        </w:rPr>
        <w:t xml:space="preserve"> coherent policy on cost recovery and project/programme costing was critical to the financial sustainability of the Union and to ensuring efficient resource allocation and alignment of activities with the core mandate of the Union.</w:t>
      </w:r>
    </w:p>
    <w:p w14:paraId="3995CE73" w14:textId="6D3B6CA6" w:rsidR="00924194" w:rsidRPr="00F61FE8" w:rsidRDefault="00BC0B85" w:rsidP="3484BA49">
      <w:pPr>
        <w:spacing w:line="259" w:lineRule="auto"/>
        <w:rPr>
          <w:rFonts w:eastAsia="Calibri" w:cs="Calibri"/>
          <w:lang w:val="en-GB"/>
        </w:rPr>
      </w:pPr>
      <w:r w:rsidRPr="004E1512">
        <w:rPr>
          <w:lang w:val="en-GB"/>
        </w:rPr>
        <w:t>3</w:t>
      </w:r>
      <w:r w:rsidR="00BE017B">
        <w:rPr>
          <w:lang w:val="en-GB"/>
        </w:rPr>
        <w:t>5</w:t>
      </w:r>
      <w:r w:rsidRPr="004E1512">
        <w:rPr>
          <w:lang w:val="en-GB"/>
        </w:rPr>
        <w:t>.7</w:t>
      </w:r>
      <w:r w:rsidRPr="004E1512">
        <w:rPr>
          <w:lang w:val="en-GB"/>
        </w:rPr>
        <w:tab/>
        <w:t>Responding to questions and comments from councillors, the Chief of FRMD said that the goal of Recommendation 1 (JIU/REP/2025/4) was to achieve a broadly harmonized, common policy across the United Nations system on cost recovery, while allowing for the different business model of each organization. Resolution 91 (Rev. Guadalajara, 2010) set ITU policy on that matter and clearly needed to be revised. The secretariat would await the outcome of discussions at PP-26 in that regard before submitting proposals for Recommendation 1 (JIU/REP/2025/4)</w:t>
      </w:r>
      <w:r w:rsidR="00924194" w:rsidRPr="1A09057C">
        <w:rPr>
          <w:rFonts w:eastAsia="Calibri" w:cs="Calibri"/>
          <w:lang w:val="en-GB"/>
        </w:rPr>
        <w:t xml:space="preserve">. </w:t>
      </w:r>
    </w:p>
    <w:p w14:paraId="431DE3E6" w14:textId="1BC415D7" w:rsidR="00924194" w:rsidRPr="00EA5615" w:rsidRDefault="007006F5" w:rsidP="00924194">
      <w:pPr>
        <w:spacing w:line="259" w:lineRule="auto"/>
        <w:rPr>
          <w:rFonts w:eastAsia="Calibri" w:cs="Calibri"/>
          <w:szCs w:val="24"/>
          <w:lang w:val="en-GB"/>
        </w:rPr>
      </w:pPr>
      <w:r w:rsidRPr="00EA5615">
        <w:rPr>
          <w:rFonts w:eastAsia="Calibri" w:cs="Calibri"/>
          <w:spacing w:val="-4"/>
          <w:szCs w:val="24"/>
          <w:lang w:val="en-GB"/>
        </w:rPr>
        <w:t>3</w:t>
      </w:r>
      <w:r w:rsidR="00BE017B">
        <w:rPr>
          <w:rFonts w:eastAsia="Calibri" w:cs="Calibri"/>
          <w:spacing w:val="-4"/>
          <w:szCs w:val="24"/>
          <w:lang w:val="en-GB"/>
        </w:rPr>
        <w:t>5</w:t>
      </w:r>
      <w:r w:rsidR="00924194" w:rsidRPr="00EA5615">
        <w:rPr>
          <w:rFonts w:eastAsia="Calibri" w:cs="Calibri"/>
          <w:spacing w:val="-4"/>
          <w:szCs w:val="24"/>
          <w:lang w:val="en-GB"/>
        </w:rPr>
        <w:t>.</w:t>
      </w:r>
      <w:r w:rsidR="00813CFD" w:rsidRPr="004E1512">
        <w:rPr>
          <w:rFonts w:eastAsia="Calibri" w:cs="Calibri"/>
          <w:spacing w:val="-4"/>
          <w:szCs w:val="24"/>
          <w:lang w:val="en-GB"/>
        </w:rPr>
        <w:t>8</w:t>
      </w:r>
      <w:r w:rsidR="00924194" w:rsidRPr="00EA5615">
        <w:rPr>
          <w:rFonts w:eastAsia="Calibri" w:cs="Calibri"/>
          <w:szCs w:val="24"/>
          <w:lang w:val="en-GB"/>
        </w:rPr>
        <w:tab/>
        <w:t xml:space="preserve">The committee </w:t>
      </w:r>
      <w:r w:rsidR="00924194" w:rsidRPr="00EA5615">
        <w:rPr>
          <w:rFonts w:eastAsia="Calibri" w:cs="Calibri"/>
          <w:b/>
          <w:bCs/>
          <w:szCs w:val="24"/>
          <w:lang w:val="en-GB"/>
        </w:rPr>
        <w:t>agreed</w:t>
      </w:r>
      <w:r w:rsidR="00924194" w:rsidRPr="00EA5615">
        <w:rPr>
          <w:rFonts w:eastAsia="Calibri" w:cs="Calibri"/>
          <w:szCs w:val="24"/>
          <w:lang w:val="en-GB"/>
        </w:rPr>
        <w:t xml:space="preserve"> to conclude as follows on the matter:</w:t>
      </w:r>
    </w:p>
    <w:p w14:paraId="08B39B58" w14:textId="4C86A48F" w:rsidR="00796E46" w:rsidRDefault="007006F5" w:rsidP="00924194">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A5615">
        <w:rPr>
          <w:rFonts w:eastAsia="Calibri" w:cs="Calibri"/>
          <w:szCs w:val="24"/>
          <w:lang w:val="en-GB"/>
        </w:rPr>
        <w:t>3</w:t>
      </w:r>
      <w:r w:rsidR="00BE017B">
        <w:rPr>
          <w:rFonts w:eastAsia="Calibri" w:cs="Calibri"/>
          <w:szCs w:val="24"/>
          <w:lang w:val="en-GB"/>
        </w:rPr>
        <w:t>5</w:t>
      </w:r>
      <w:r w:rsidR="00924194" w:rsidRPr="00EA5615">
        <w:rPr>
          <w:rFonts w:eastAsia="Calibri" w:cs="Calibri"/>
          <w:szCs w:val="24"/>
          <w:lang w:val="en-GB"/>
        </w:rPr>
        <w:t>.</w:t>
      </w:r>
      <w:r w:rsidR="00813CFD" w:rsidRPr="004E1512">
        <w:rPr>
          <w:rFonts w:eastAsia="Calibri" w:cs="Calibri"/>
          <w:szCs w:val="24"/>
          <w:lang w:val="en-GB"/>
        </w:rPr>
        <w:t>9</w:t>
      </w:r>
      <w:r w:rsidR="00924194" w:rsidRPr="00EA5615">
        <w:rPr>
          <w:lang w:val="en-GB"/>
        </w:rPr>
        <w:tab/>
        <w:t>The committee recommends that the Council:</w:t>
      </w:r>
    </w:p>
    <w:p w14:paraId="2CDA9DF4" w14:textId="340A42AC" w:rsidR="00796E46" w:rsidRDefault="00924194"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sidR="0042139B">
        <w:rPr>
          <w:lang w:val="en-GB"/>
        </w:rPr>
        <w:t>n</w:t>
      </w:r>
      <w:r w:rsidR="0042139B" w:rsidRPr="004E1512">
        <w:rPr>
          <w:lang w:val="en-GB"/>
        </w:rPr>
        <w:t xml:space="preserve">ote the report contained in Document </w:t>
      </w:r>
      <w:hyperlink r:id="rId128" w:history="1">
        <w:r w:rsidR="0042139B" w:rsidRPr="00796E46">
          <w:rPr>
            <w:rStyle w:val="Hyperlink"/>
            <w:rFonts w:cs="Times New Roman"/>
            <w:szCs w:val="20"/>
            <w:lang w:val="en-GB"/>
          </w:rPr>
          <w:t>C26/57</w:t>
        </w:r>
      </w:hyperlink>
      <w:r w:rsidRPr="00EA5615">
        <w:rPr>
          <w:lang w:val="en-GB"/>
        </w:rPr>
        <w:t>; and</w:t>
      </w:r>
    </w:p>
    <w:p w14:paraId="6CBCCB63" w14:textId="560C31AD" w:rsidR="00924194" w:rsidRPr="00EA5615" w:rsidRDefault="00924194"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sidR="00C60F2D">
        <w:rPr>
          <w:lang w:val="en-GB"/>
        </w:rPr>
        <w:t xml:space="preserve">decide to </w:t>
      </w:r>
      <w:r w:rsidR="00C60F2D" w:rsidRPr="004E1512">
        <w:rPr>
          <w:lang w:val="en-GB"/>
        </w:rPr>
        <w:t>a</w:t>
      </w:r>
      <w:r w:rsidR="0006156B" w:rsidRPr="004E1512">
        <w:rPr>
          <w:lang w:val="en-GB"/>
        </w:rPr>
        <w:t>ccept the five JIU recommendations contained in Document C26/57</w:t>
      </w:r>
      <w:r w:rsidRPr="004E1512">
        <w:rPr>
          <w:rFonts w:cs="Calibri"/>
          <w:szCs w:val="24"/>
          <w:lang w:val="en-GB"/>
        </w:rPr>
        <w:t>.</w:t>
      </w:r>
    </w:p>
    <w:p w14:paraId="15E3F6C1" w14:textId="6463D86A" w:rsidR="00582422" w:rsidRPr="00EA5615" w:rsidRDefault="00E47257" w:rsidP="00582422">
      <w:pPr>
        <w:pStyle w:val="Heading1"/>
        <w:rPr>
          <w:lang w:val="en-GB"/>
        </w:rPr>
      </w:pPr>
      <w:r w:rsidRPr="00EA5615">
        <w:rPr>
          <w:lang w:val="en-GB"/>
        </w:rPr>
        <w:t>3</w:t>
      </w:r>
      <w:r w:rsidR="00BE017B">
        <w:rPr>
          <w:lang w:val="en-GB"/>
        </w:rPr>
        <w:t>6</w:t>
      </w:r>
      <w:r w:rsidR="00582422" w:rsidRPr="00EA5615">
        <w:rPr>
          <w:bCs/>
          <w:lang w:val="en-GB"/>
        </w:rPr>
        <w:tab/>
      </w:r>
      <w:r w:rsidR="00582422" w:rsidRPr="00EA5615">
        <w:rPr>
          <w:lang w:val="en-GB"/>
        </w:rPr>
        <w:t xml:space="preserve">Strengthening risk management and the internal control system (Document </w:t>
      </w:r>
      <w:hyperlink r:id="rId129" w:history="1">
        <w:r w:rsidR="00582422" w:rsidRPr="00EA5615">
          <w:rPr>
            <w:bCs/>
            <w:color w:val="4F81BD" w:themeColor="accent1"/>
            <w:szCs w:val="22"/>
            <w:u w:val="single"/>
            <w:lang w:val="en-GB"/>
          </w:rPr>
          <w:t>C26/49</w:t>
        </w:r>
      </w:hyperlink>
      <w:r w:rsidR="00582422" w:rsidRPr="00EA5615">
        <w:rPr>
          <w:lang w:val="en-GB"/>
        </w:rPr>
        <w:t>)</w:t>
      </w:r>
    </w:p>
    <w:p w14:paraId="2ECD79CE" w14:textId="2E0AE5D6" w:rsidR="00303CD0" w:rsidRPr="005B53C6" w:rsidRDefault="1223A1E8" w:rsidP="00303CD0">
      <w:pPr>
        <w:rPr>
          <w:lang w:val="en-GB"/>
        </w:rPr>
      </w:pPr>
      <w:r w:rsidRPr="005B53C6">
        <w:rPr>
          <w:rFonts w:eastAsia="Calibri" w:cs="Calibri"/>
          <w:lang w:val="en-GB"/>
        </w:rPr>
        <w:t>3</w:t>
      </w:r>
      <w:r w:rsidR="00BE017B">
        <w:rPr>
          <w:rFonts w:eastAsia="Calibri" w:cs="Calibri"/>
          <w:lang w:val="en-GB"/>
        </w:rPr>
        <w:t>6</w:t>
      </w:r>
      <w:r w:rsidR="25C1A0BB" w:rsidRPr="005B53C6">
        <w:rPr>
          <w:rFonts w:eastAsia="Calibri" w:cs="Calibri"/>
          <w:lang w:val="en-GB"/>
        </w:rPr>
        <w:t>.1</w:t>
      </w:r>
      <w:r w:rsidR="00CF1F87" w:rsidRPr="005B53C6">
        <w:rPr>
          <w:lang w:val="en-GB"/>
        </w:rPr>
        <w:tab/>
      </w:r>
      <w:r w:rsidR="00303CD0" w:rsidRPr="005B53C6">
        <w:rPr>
          <w:lang w:val="en-GB"/>
        </w:rPr>
        <w:t>A representative of the General Secretariat presented Document C26/49, which contained a report on developments in the strengthening of the risk management and internal control system</w:t>
      </w:r>
      <w:r w:rsidR="00A77EAB">
        <w:rPr>
          <w:lang w:val="en-GB"/>
        </w:rPr>
        <w:t>. The report discussed a number of recent initiatives and activities</w:t>
      </w:r>
      <w:r w:rsidR="00303CD0" w:rsidRPr="005B53C6">
        <w:rPr>
          <w:lang w:val="en-GB"/>
        </w:rPr>
        <w:t xml:space="preserve"> including establishment of the Risk Management and Internal Controls Task Force</w:t>
      </w:r>
      <w:r w:rsidR="001B0850">
        <w:rPr>
          <w:lang w:val="en-GB"/>
        </w:rPr>
        <w:t>;</w:t>
      </w:r>
      <w:r w:rsidR="0072032E">
        <w:rPr>
          <w:lang w:val="en-GB"/>
        </w:rPr>
        <w:t xml:space="preserve"> the conduct of a </w:t>
      </w:r>
      <w:r w:rsidR="004059A5">
        <w:rPr>
          <w:lang w:val="en-GB"/>
        </w:rPr>
        <w:t>diagnostic review of ITU risk management</w:t>
      </w:r>
      <w:r w:rsidR="00B02455">
        <w:rPr>
          <w:lang w:val="en-GB"/>
        </w:rPr>
        <w:t xml:space="preserve"> framework</w:t>
      </w:r>
      <w:r w:rsidR="001B0850">
        <w:rPr>
          <w:lang w:val="en-GB"/>
        </w:rPr>
        <w:t>;</w:t>
      </w:r>
      <w:r w:rsidR="00303CD0" w:rsidRPr="005B53C6">
        <w:rPr>
          <w:lang w:val="en-GB"/>
        </w:rPr>
        <w:t xml:space="preserve"> an update of the corporate risk register</w:t>
      </w:r>
      <w:r w:rsidR="001B0850">
        <w:rPr>
          <w:lang w:val="en-GB"/>
        </w:rPr>
        <w:t>;</w:t>
      </w:r>
      <w:r w:rsidR="00303CD0" w:rsidRPr="005B53C6">
        <w:rPr>
          <w:lang w:val="en-GB"/>
        </w:rPr>
        <w:t xml:space="preserve"> the conducting of an independent</w:t>
      </w:r>
      <w:r w:rsidR="001B0850">
        <w:rPr>
          <w:lang w:val="en-GB"/>
        </w:rPr>
        <w:t xml:space="preserve"> corporate</w:t>
      </w:r>
      <w:r w:rsidR="00303CD0" w:rsidRPr="005B53C6">
        <w:rPr>
          <w:lang w:val="en-GB"/>
        </w:rPr>
        <w:t xml:space="preserve"> fraud risk assessment</w:t>
      </w:r>
      <w:r w:rsidR="001B0850">
        <w:rPr>
          <w:lang w:val="en-GB"/>
        </w:rPr>
        <w:t>;</w:t>
      </w:r>
      <w:r w:rsidR="00C92ACF" w:rsidRPr="00C92ACF">
        <w:rPr>
          <w:lang w:val="en-GB"/>
        </w:rPr>
        <w:t xml:space="preserve"> </w:t>
      </w:r>
      <w:r w:rsidR="00C92ACF" w:rsidRPr="005B53C6">
        <w:rPr>
          <w:lang w:val="en-GB"/>
        </w:rPr>
        <w:t xml:space="preserve">the transformation </w:t>
      </w:r>
      <w:r w:rsidR="00C92ACF">
        <w:rPr>
          <w:lang w:val="en-GB"/>
        </w:rPr>
        <w:t>efforts</w:t>
      </w:r>
      <w:r w:rsidR="00C92ACF" w:rsidRPr="005B53C6">
        <w:rPr>
          <w:lang w:val="en-GB"/>
        </w:rPr>
        <w:t xml:space="preserve"> </w:t>
      </w:r>
      <w:r w:rsidR="00C92ACF">
        <w:rPr>
          <w:lang w:val="en-GB"/>
        </w:rPr>
        <w:t>to</w:t>
      </w:r>
      <w:r w:rsidR="00C92ACF" w:rsidRPr="005B53C6">
        <w:rPr>
          <w:lang w:val="en-GB"/>
        </w:rPr>
        <w:t xml:space="preserve"> better align strategic, financial and operational plans</w:t>
      </w:r>
      <w:r w:rsidR="00C92ACF">
        <w:rPr>
          <w:lang w:val="en-GB"/>
        </w:rPr>
        <w:t>, which w</w:t>
      </w:r>
      <w:r w:rsidR="00DE49D0">
        <w:rPr>
          <w:lang w:val="en-GB"/>
        </w:rPr>
        <w:t>ould</w:t>
      </w:r>
      <w:r w:rsidR="00C92ACF">
        <w:rPr>
          <w:lang w:val="en-GB"/>
        </w:rPr>
        <w:t xml:space="preserve"> allow for a better</w:t>
      </w:r>
      <w:r w:rsidR="00C92ACF" w:rsidRPr="005B53C6">
        <w:rPr>
          <w:lang w:val="en-GB"/>
        </w:rPr>
        <w:t xml:space="preserve"> in</w:t>
      </w:r>
      <w:r w:rsidR="00C92ACF">
        <w:rPr>
          <w:lang w:val="en-GB"/>
        </w:rPr>
        <w:t>tegration</w:t>
      </w:r>
      <w:r w:rsidR="00C92ACF" w:rsidRPr="005B53C6">
        <w:rPr>
          <w:lang w:val="en-GB"/>
        </w:rPr>
        <w:t xml:space="preserve"> of risk management into those</w:t>
      </w:r>
      <w:r w:rsidR="00C92ACF">
        <w:rPr>
          <w:lang w:val="en-GB"/>
        </w:rPr>
        <w:t xml:space="preserve"> planning</w:t>
      </w:r>
      <w:r w:rsidR="00C92ACF" w:rsidRPr="005B53C6">
        <w:rPr>
          <w:lang w:val="en-GB"/>
        </w:rPr>
        <w:t xml:space="preserve"> processes</w:t>
      </w:r>
      <w:r w:rsidR="00C92ACF">
        <w:rPr>
          <w:lang w:val="en-GB"/>
        </w:rPr>
        <w:t>;</w:t>
      </w:r>
      <w:r w:rsidR="00C92ACF" w:rsidRPr="005B53C6">
        <w:rPr>
          <w:lang w:val="en-GB"/>
        </w:rPr>
        <w:t xml:space="preserve"> </w:t>
      </w:r>
      <w:r w:rsidR="007D635B">
        <w:rPr>
          <w:lang w:val="en-GB"/>
        </w:rPr>
        <w:t xml:space="preserve">the </w:t>
      </w:r>
      <w:r w:rsidR="00303CD0" w:rsidRPr="005B53C6">
        <w:rPr>
          <w:lang w:val="en-GB"/>
        </w:rPr>
        <w:t>implementation of recommendations made by the previous External Auditor (legacy recommendations) and the development of a comprehensive delegation of authority framework for ITU, which was currently undergoing final review. Since the publication of th</w:t>
      </w:r>
      <w:r w:rsidR="00DE49D0">
        <w:rPr>
          <w:lang w:val="en-GB"/>
        </w:rPr>
        <w:t>e</w:t>
      </w:r>
      <w:r w:rsidR="00303CD0" w:rsidRPr="005B53C6">
        <w:rPr>
          <w:lang w:val="en-GB"/>
        </w:rPr>
        <w:t xml:space="preserve"> report</w:t>
      </w:r>
      <w:r w:rsidR="001B3AEA">
        <w:rPr>
          <w:lang w:val="en-GB"/>
        </w:rPr>
        <w:t xml:space="preserve"> to </w:t>
      </w:r>
      <w:r w:rsidR="007459B7">
        <w:rPr>
          <w:lang w:val="en-GB"/>
        </w:rPr>
        <w:t>the</w:t>
      </w:r>
      <w:r w:rsidR="001B3AEA">
        <w:rPr>
          <w:lang w:val="en-GB"/>
        </w:rPr>
        <w:t xml:space="preserve"> Council in early April 2026</w:t>
      </w:r>
      <w:r w:rsidR="00303CD0" w:rsidRPr="005B53C6">
        <w:rPr>
          <w:lang w:val="en-GB"/>
        </w:rPr>
        <w:t xml:space="preserve">, the secretariat had stepped up efforts </w:t>
      </w:r>
      <w:r w:rsidR="007F0D70">
        <w:rPr>
          <w:lang w:val="en-GB"/>
        </w:rPr>
        <w:t>and</w:t>
      </w:r>
      <w:r w:rsidR="00BB565D">
        <w:rPr>
          <w:lang w:val="en-GB"/>
        </w:rPr>
        <w:t xml:space="preserve"> implement</w:t>
      </w:r>
      <w:r w:rsidR="007F0D70">
        <w:rPr>
          <w:lang w:val="en-GB"/>
        </w:rPr>
        <w:t>ed</w:t>
      </w:r>
      <w:r w:rsidR="00303CD0" w:rsidRPr="005B53C6">
        <w:rPr>
          <w:lang w:val="en-GB"/>
        </w:rPr>
        <w:t xml:space="preserve"> the remaining legacy recommendations and, in its reporting to the current External Auditor, would be recommending that all but four be closed. Of th</w:t>
      </w:r>
      <w:r w:rsidR="00BA1D8D">
        <w:rPr>
          <w:lang w:val="en-GB"/>
        </w:rPr>
        <w:t>ose</w:t>
      </w:r>
      <w:r w:rsidR="00303CD0" w:rsidRPr="005B53C6">
        <w:rPr>
          <w:lang w:val="en-GB"/>
        </w:rPr>
        <w:t xml:space="preserve"> last four, </w:t>
      </w:r>
      <w:r w:rsidR="00BE7B21" w:rsidRPr="005B53C6">
        <w:rPr>
          <w:lang w:val="en-GB"/>
        </w:rPr>
        <w:t>three pertained to staff mobility</w:t>
      </w:r>
      <w:r w:rsidR="00BE7B21">
        <w:rPr>
          <w:lang w:val="en-GB"/>
        </w:rPr>
        <w:t xml:space="preserve"> and the </w:t>
      </w:r>
      <w:r w:rsidR="00584AD1">
        <w:rPr>
          <w:lang w:val="en-GB"/>
        </w:rPr>
        <w:t>secretariat w</w:t>
      </w:r>
      <w:r w:rsidR="00C87BE5">
        <w:rPr>
          <w:lang w:val="en-GB"/>
        </w:rPr>
        <w:t>ould</w:t>
      </w:r>
      <w:r w:rsidR="00303CD0" w:rsidRPr="005B53C6">
        <w:rPr>
          <w:lang w:val="en-GB"/>
        </w:rPr>
        <w:t xml:space="preserve"> </w:t>
      </w:r>
      <w:r w:rsidR="00C92ACF">
        <w:rPr>
          <w:lang w:val="en-GB"/>
        </w:rPr>
        <w:t>suggest</w:t>
      </w:r>
      <w:r w:rsidR="00C92ACF" w:rsidRPr="005B53C6">
        <w:rPr>
          <w:lang w:val="en-GB"/>
        </w:rPr>
        <w:t xml:space="preserve"> </w:t>
      </w:r>
      <w:r w:rsidR="00303CD0" w:rsidRPr="005B53C6">
        <w:rPr>
          <w:lang w:val="en-GB"/>
        </w:rPr>
        <w:t>that</w:t>
      </w:r>
      <w:r w:rsidR="00584AD1">
        <w:rPr>
          <w:lang w:val="en-GB"/>
        </w:rPr>
        <w:t xml:space="preserve"> they</w:t>
      </w:r>
      <w:r w:rsidR="00303CD0" w:rsidRPr="005B53C6">
        <w:rPr>
          <w:lang w:val="en-GB"/>
        </w:rPr>
        <w:t xml:space="preserve"> be</w:t>
      </w:r>
      <w:r w:rsidR="00C92ACF">
        <w:rPr>
          <w:lang w:val="en-GB"/>
        </w:rPr>
        <w:t xml:space="preserve"> </w:t>
      </w:r>
      <w:r w:rsidR="00C87BE5">
        <w:rPr>
          <w:lang w:val="en-GB"/>
        </w:rPr>
        <w:t>updated</w:t>
      </w:r>
      <w:r w:rsidR="00C92ACF">
        <w:rPr>
          <w:lang w:val="en-GB"/>
        </w:rPr>
        <w:t xml:space="preserve"> and</w:t>
      </w:r>
      <w:r w:rsidR="00303CD0" w:rsidRPr="005B53C6">
        <w:rPr>
          <w:lang w:val="en-GB"/>
        </w:rPr>
        <w:t xml:space="preserve"> reissued </w:t>
      </w:r>
      <w:r w:rsidR="008C3C5F">
        <w:rPr>
          <w:lang w:val="en-GB"/>
        </w:rPr>
        <w:t xml:space="preserve">to take into consideration </w:t>
      </w:r>
      <w:r w:rsidR="00470ED9">
        <w:rPr>
          <w:lang w:val="en-GB"/>
        </w:rPr>
        <w:t>M</w:t>
      </w:r>
      <w:r w:rsidR="00DD7051">
        <w:rPr>
          <w:lang w:val="en-GB"/>
        </w:rPr>
        <w:t xml:space="preserve">ember </w:t>
      </w:r>
      <w:r w:rsidR="00470ED9">
        <w:rPr>
          <w:lang w:val="en-GB"/>
        </w:rPr>
        <w:t>S</w:t>
      </w:r>
      <w:r w:rsidR="00DD7051">
        <w:rPr>
          <w:lang w:val="en-GB"/>
        </w:rPr>
        <w:t>tates</w:t>
      </w:r>
      <w:r w:rsidR="00C87BE5">
        <w:rPr>
          <w:lang w:val="en-GB"/>
        </w:rPr>
        <w:t>’</w:t>
      </w:r>
      <w:r w:rsidR="00C633EF">
        <w:rPr>
          <w:lang w:val="en-GB"/>
        </w:rPr>
        <w:t xml:space="preserve"> discussion</w:t>
      </w:r>
      <w:r w:rsidR="00DD7051">
        <w:rPr>
          <w:lang w:val="en-GB"/>
        </w:rPr>
        <w:t>s</w:t>
      </w:r>
      <w:r w:rsidR="00C633EF">
        <w:rPr>
          <w:lang w:val="en-GB"/>
        </w:rPr>
        <w:t xml:space="preserve"> and comments</w:t>
      </w:r>
      <w:r w:rsidR="00303CD0" w:rsidRPr="005B53C6">
        <w:rPr>
          <w:lang w:val="en-GB"/>
        </w:rPr>
        <w:t xml:space="preserve"> </w:t>
      </w:r>
      <w:r w:rsidR="00DD7051">
        <w:rPr>
          <w:lang w:val="en-GB"/>
        </w:rPr>
        <w:t xml:space="preserve">on </w:t>
      </w:r>
      <w:r w:rsidR="00303CD0" w:rsidRPr="005B53C6">
        <w:rPr>
          <w:lang w:val="en-GB"/>
        </w:rPr>
        <w:t>regional presence</w:t>
      </w:r>
      <w:r w:rsidR="00DD7051">
        <w:rPr>
          <w:lang w:val="en-GB"/>
        </w:rPr>
        <w:t xml:space="preserve"> during Council</w:t>
      </w:r>
      <w:r w:rsidR="007B2B48">
        <w:rPr>
          <w:lang w:val="en-GB"/>
        </w:rPr>
        <w:t>-26</w:t>
      </w:r>
      <w:r w:rsidR="00303CD0" w:rsidRPr="005B53C6">
        <w:rPr>
          <w:lang w:val="en-GB"/>
        </w:rPr>
        <w:t xml:space="preserve">. The final legacy recommendation concerned training of the audit function </w:t>
      </w:r>
      <w:r w:rsidR="00DD7051">
        <w:rPr>
          <w:lang w:val="en-GB"/>
        </w:rPr>
        <w:t>which ha</w:t>
      </w:r>
      <w:r w:rsidR="000D7DDF">
        <w:rPr>
          <w:lang w:val="en-GB"/>
        </w:rPr>
        <w:t>d</w:t>
      </w:r>
      <w:r w:rsidR="00DD7051">
        <w:rPr>
          <w:lang w:val="en-GB"/>
        </w:rPr>
        <w:t xml:space="preserve"> been</w:t>
      </w:r>
      <w:r w:rsidR="00303CD0" w:rsidRPr="005B53C6">
        <w:rPr>
          <w:lang w:val="en-GB"/>
        </w:rPr>
        <w:t xml:space="preserve"> subsumed </w:t>
      </w:r>
      <w:r w:rsidR="00DD7051">
        <w:rPr>
          <w:lang w:val="en-GB"/>
        </w:rPr>
        <w:t>by</w:t>
      </w:r>
      <w:r w:rsidR="00DD7051" w:rsidRPr="005B53C6">
        <w:rPr>
          <w:lang w:val="en-GB"/>
        </w:rPr>
        <w:t xml:space="preserve"> </w:t>
      </w:r>
      <w:r w:rsidR="00303CD0" w:rsidRPr="005B53C6">
        <w:rPr>
          <w:lang w:val="en-GB"/>
        </w:rPr>
        <w:t>the</w:t>
      </w:r>
      <w:r w:rsidR="00584AD1">
        <w:rPr>
          <w:lang w:val="en-GB"/>
        </w:rPr>
        <w:t xml:space="preserve"> recent</w:t>
      </w:r>
      <w:r w:rsidR="00303CD0" w:rsidRPr="005B53C6">
        <w:rPr>
          <w:lang w:val="en-GB"/>
        </w:rPr>
        <w:t xml:space="preserve"> recommendations </w:t>
      </w:r>
      <w:r w:rsidR="00DD7051">
        <w:rPr>
          <w:lang w:val="en-GB"/>
        </w:rPr>
        <w:t xml:space="preserve">issued </w:t>
      </w:r>
      <w:r w:rsidR="00584AD1">
        <w:rPr>
          <w:lang w:val="en-GB"/>
        </w:rPr>
        <w:t>by</w:t>
      </w:r>
      <w:r w:rsidR="00F32B00">
        <w:rPr>
          <w:lang w:val="en-GB"/>
        </w:rPr>
        <w:t xml:space="preserve"> the mandatory </w:t>
      </w:r>
      <w:r w:rsidR="0086346E">
        <w:rPr>
          <w:lang w:val="en-GB"/>
        </w:rPr>
        <w:t>e</w:t>
      </w:r>
      <w:r w:rsidR="00F32B00">
        <w:rPr>
          <w:lang w:val="en-GB"/>
        </w:rPr>
        <w:t xml:space="preserve">xternal </w:t>
      </w:r>
      <w:r w:rsidR="0086346E">
        <w:rPr>
          <w:lang w:val="en-GB"/>
        </w:rPr>
        <w:t>q</w:t>
      </w:r>
      <w:r w:rsidR="00F32B00">
        <w:rPr>
          <w:lang w:val="en-GB"/>
        </w:rPr>
        <w:t xml:space="preserve">uality </w:t>
      </w:r>
      <w:r w:rsidR="0086346E">
        <w:rPr>
          <w:lang w:val="en-GB"/>
        </w:rPr>
        <w:t>a</w:t>
      </w:r>
      <w:r w:rsidR="00F32B00">
        <w:rPr>
          <w:lang w:val="en-GB"/>
        </w:rPr>
        <w:t>ssurance of the internal audit function</w:t>
      </w:r>
      <w:r w:rsidR="00010B68">
        <w:rPr>
          <w:lang w:val="en-GB"/>
        </w:rPr>
        <w:t>, which</w:t>
      </w:r>
      <w:r w:rsidR="00DB6D07">
        <w:rPr>
          <w:lang w:val="en-GB"/>
        </w:rPr>
        <w:t xml:space="preserve"> </w:t>
      </w:r>
      <w:r w:rsidR="0077455E">
        <w:rPr>
          <w:lang w:val="en-GB"/>
        </w:rPr>
        <w:t>we</w:t>
      </w:r>
      <w:r w:rsidR="00DB6D07">
        <w:rPr>
          <w:lang w:val="en-GB"/>
        </w:rPr>
        <w:t>re more granular</w:t>
      </w:r>
      <w:r w:rsidR="001B0850">
        <w:rPr>
          <w:lang w:val="en-GB"/>
        </w:rPr>
        <w:t xml:space="preserve"> and</w:t>
      </w:r>
      <w:r w:rsidR="00010B68">
        <w:rPr>
          <w:lang w:val="en-GB"/>
        </w:rPr>
        <w:t xml:space="preserve"> </w:t>
      </w:r>
      <w:r w:rsidR="003373D3">
        <w:rPr>
          <w:lang w:val="en-GB"/>
        </w:rPr>
        <w:t>aligned with the new</w:t>
      </w:r>
      <w:r w:rsidR="003D6918">
        <w:rPr>
          <w:lang w:val="en-GB"/>
        </w:rPr>
        <w:t xml:space="preserve"> Global </w:t>
      </w:r>
      <w:r w:rsidR="00DB6D07">
        <w:rPr>
          <w:lang w:val="en-GB"/>
        </w:rPr>
        <w:t>Internal Audit Standards</w:t>
      </w:r>
      <w:r w:rsidR="00303CD0" w:rsidRPr="005B53C6">
        <w:rPr>
          <w:lang w:val="en-GB"/>
        </w:rPr>
        <w:t xml:space="preserve">. </w:t>
      </w:r>
    </w:p>
    <w:p w14:paraId="2E526AEB" w14:textId="314039F3" w:rsidR="00303CD0" w:rsidRPr="005B53C6" w:rsidRDefault="00303CD0" w:rsidP="00303CD0">
      <w:pPr>
        <w:rPr>
          <w:lang w:val="en-GB"/>
        </w:rPr>
      </w:pPr>
      <w:r w:rsidRPr="005B53C6">
        <w:rPr>
          <w:lang w:val="en-GB"/>
        </w:rPr>
        <w:t>3</w:t>
      </w:r>
      <w:r w:rsidR="00BE017B">
        <w:rPr>
          <w:lang w:val="en-GB"/>
        </w:rPr>
        <w:t>6</w:t>
      </w:r>
      <w:r w:rsidRPr="005B53C6">
        <w:rPr>
          <w:lang w:val="en-GB"/>
        </w:rPr>
        <w:t>.</w:t>
      </w:r>
      <w:r w:rsidR="001B77AC">
        <w:rPr>
          <w:lang w:val="en-GB"/>
        </w:rPr>
        <w:t>2</w:t>
      </w:r>
      <w:r w:rsidRPr="005B53C6">
        <w:rPr>
          <w:lang w:val="en-GB"/>
        </w:rPr>
        <w:tab/>
        <w:t>Two councillors requested further reporting on the implementation of legacy recommendations, stressing that closing a recommendation required thorough analysis of the fundamental issue and identification of activities, processes and rules that could be introduced or modified in order to embed institutional change. One councillor requested more in-depth reporting and the use of indicators to demonstrate that the measures described were being effectively implemented. Another councillor expressed concern that risk management remained at the policy level rather than a practice at ITU.</w:t>
      </w:r>
    </w:p>
    <w:p w14:paraId="2ADC971C" w14:textId="672C559B" w:rsidR="00303CD0" w:rsidRPr="005B53C6" w:rsidRDefault="00303CD0" w:rsidP="00303CD0">
      <w:pPr>
        <w:rPr>
          <w:lang w:val="en-GB"/>
        </w:rPr>
      </w:pPr>
      <w:r w:rsidRPr="005B53C6">
        <w:rPr>
          <w:lang w:val="en-GB"/>
        </w:rPr>
        <w:t>3</w:t>
      </w:r>
      <w:r w:rsidR="00BE017B">
        <w:rPr>
          <w:lang w:val="en-GB"/>
        </w:rPr>
        <w:t>6</w:t>
      </w:r>
      <w:r w:rsidRPr="005B53C6">
        <w:rPr>
          <w:lang w:val="en-GB"/>
        </w:rPr>
        <w:t>.</w:t>
      </w:r>
      <w:r w:rsidR="00B70DE3">
        <w:rPr>
          <w:lang w:val="en-GB"/>
        </w:rPr>
        <w:t>3</w:t>
      </w:r>
      <w:r w:rsidRPr="005B53C6">
        <w:rPr>
          <w:lang w:val="en-GB"/>
        </w:rPr>
        <w:tab/>
        <w:t xml:space="preserve">One councillor called for separate reports on each line of defence, as, in combining discussion of operational risk management, compliance, and internal control, the report failed to give a clear view of each line of defence, not to mention each line’s effectiveness and resourcing. </w:t>
      </w:r>
    </w:p>
    <w:p w14:paraId="6B9DC990" w14:textId="7B7BB00A" w:rsidR="00303CD0" w:rsidRPr="005B53C6" w:rsidRDefault="00303CD0" w:rsidP="00303CD0">
      <w:pPr>
        <w:rPr>
          <w:lang w:val="en-GB"/>
        </w:rPr>
      </w:pPr>
      <w:r w:rsidRPr="005B53C6">
        <w:rPr>
          <w:lang w:val="en-GB"/>
        </w:rPr>
        <w:t>3</w:t>
      </w:r>
      <w:r w:rsidR="00BE017B">
        <w:rPr>
          <w:lang w:val="en-GB"/>
        </w:rPr>
        <w:t>6</w:t>
      </w:r>
      <w:r w:rsidRPr="005B53C6">
        <w:rPr>
          <w:lang w:val="en-GB"/>
        </w:rPr>
        <w:t>.</w:t>
      </w:r>
      <w:r w:rsidR="00B70DE3">
        <w:rPr>
          <w:lang w:val="en-GB"/>
        </w:rPr>
        <w:t>4</w:t>
      </w:r>
      <w:r w:rsidRPr="005B53C6">
        <w:rPr>
          <w:lang w:val="en-GB"/>
        </w:rPr>
        <w:tab/>
        <w:t>One councillor, noting the creation of the Risk Management and Internal Controls Task Force and the proposed establishment of a risk management committee, questioned whether so many layers were necessary and asked if existing mechanisms could be strengthened to fulfil those functions.</w:t>
      </w:r>
    </w:p>
    <w:p w14:paraId="1F4A8297" w14:textId="2B6F3575" w:rsidR="00303CD0" w:rsidRPr="005B53C6" w:rsidRDefault="00303CD0" w:rsidP="00303CD0">
      <w:pPr>
        <w:rPr>
          <w:lang w:val="en-GB"/>
        </w:rPr>
      </w:pPr>
      <w:r w:rsidRPr="005B53C6">
        <w:rPr>
          <w:lang w:val="en-GB"/>
        </w:rPr>
        <w:t>3</w:t>
      </w:r>
      <w:r w:rsidR="00BE017B">
        <w:rPr>
          <w:lang w:val="en-GB"/>
        </w:rPr>
        <w:t>6</w:t>
      </w:r>
      <w:r w:rsidRPr="005B53C6">
        <w:rPr>
          <w:lang w:val="en-GB"/>
        </w:rPr>
        <w:t>.</w:t>
      </w:r>
      <w:r w:rsidR="00B70DE3">
        <w:rPr>
          <w:lang w:val="en-GB"/>
        </w:rPr>
        <w:t>5</w:t>
      </w:r>
      <w:r w:rsidRPr="005B53C6">
        <w:rPr>
          <w:lang w:val="en-GB"/>
        </w:rPr>
        <w:tab/>
        <w:t>Another councillor welcomed the establishment of the task force and the progress in addressing oversight recommendations and in incorporating risk management into operational planning. It was imperative to ensure coordination across the three lines of defence and to strengthen preventive controls and strengthen accountability in practice.</w:t>
      </w:r>
    </w:p>
    <w:p w14:paraId="08809647" w14:textId="110494BF" w:rsidR="00303CD0" w:rsidRPr="005B53C6" w:rsidRDefault="00303CD0" w:rsidP="00303CD0">
      <w:pPr>
        <w:rPr>
          <w:rFonts w:eastAsiaTheme="minorHAnsi"/>
          <w:lang w:val="en-GB"/>
        </w:rPr>
      </w:pPr>
      <w:r w:rsidRPr="005B53C6">
        <w:rPr>
          <w:lang w:val="en-GB"/>
        </w:rPr>
        <w:t>3</w:t>
      </w:r>
      <w:r w:rsidR="00BE017B">
        <w:rPr>
          <w:lang w:val="en-GB"/>
        </w:rPr>
        <w:t>6</w:t>
      </w:r>
      <w:r w:rsidRPr="005B53C6">
        <w:rPr>
          <w:lang w:val="en-GB"/>
        </w:rPr>
        <w:t>.</w:t>
      </w:r>
      <w:r w:rsidR="00B70DE3">
        <w:rPr>
          <w:lang w:val="en-GB"/>
        </w:rPr>
        <w:t>6</w:t>
      </w:r>
      <w:r w:rsidRPr="005B53C6">
        <w:rPr>
          <w:lang w:val="en-GB"/>
        </w:rPr>
        <w:tab/>
        <w:t>Responding to a comment from a councillor,</w:t>
      </w:r>
      <w:r w:rsidRPr="005B53C6">
        <w:rPr>
          <w:rFonts w:eastAsiaTheme="minorHAnsi"/>
          <w:lang w:val="en-GB"/>
        </w:rPr>
        <w:t xml:space="preserve"> the representative of the General Secretariat recalled that EY had been commissioned following a recommendation by the External Auditor to review the effectiveness of risk management and strengthen the second line of defence. The EY approach was not seen as a benchmark framework in the way that the CEB model was. He did not see a disconnect, in particular as the substance of the EY review was broadly in line with </w:t>
      </w:r>
      <w:r w:rsidR="00F93495">
        <w:rPr>
          <w:rFonts w:eastAsiaTheme="minorHAnsi"/>
          <w:lang w:val="en-GB"/>
        </w:rPr>
        <w:t xml:space="preserve">the </w:t>
      </w:r>
      <w:r w:rsidRPr="005B53C6">
        <w:rPr>
          <w:rFonts w:eastAsiaTheme="minorHAnsi"/>
          <w:lang w:val="en-GB"/>
        </w:rPr>
        <w:t>recommendation from IMAC</w:t>
      </w:r>
      <w:r w:rsidR="00F3608F">
        <w:rPr>
          <w:rFonts w:eastAsiaTheme="minorHAnsi"/>
          <w:lang w:val="en-GB"/>
        </w:rPr>
        <w:t xml:space="preserve"> approved by </w:t>
      </w:r>
      <w:r w:rsidR="001B4F75">
        <w:rPr>
          <w:rFonts w:eastAsiaTheme="minorHAnsi"/>
          <w:lang w:val="en-GB"/>
        </w:rPr>
        <w:t>the</w:t>
      </w:r>
      <w:r w:rsidR="00F3608F">
        <w:rPr>
          <w:rFonts w:eastAsiaTheme="minorHAnsi"/>
          <w:lang w:val="en-GB"/>
        </w:rPr>
        <w:t xml:space="preserve"> Council</w:t>
      </w:r>
      <w:r w:rsidRPr="005B53C6">
        <w:rPr>
          <w:rFonts w:eastAsiaTheme="minorHAnsi"/>
          <w:lang w:val="en-GB"/>
        </w:rPr>
        <w:t xml:space="preserve">. In addition, the proposed governance structures were valuable in ensuring coordination across the three lines of defence. </w:t>
      </w:r>
      <w:r w:rsidR="00F3608F">
        <w:rPr>
          <w:rFonts w:eastAsiaTheme="minorHAnsi"/>
          <w:lang w:val="en-GB"/>
        </w:rPr>
        <w:t>In addition, t</w:t>
      </w:r>
      <w:r w:rsidRPr="005B53C6">
        <w:rPr>
          <w:rFonts w:eastAsiaTheme="minorHAnsi"/>
          <w:lang w:val="en-GB"/>
        </w:rPr>
        <w:t>he task force reported regularly to CoCo.</w:t>
      </w:r>
    </w:p>
    <w:p w14:paraId="3381D388" w14:textId="456F9700" w:rsidR="00F3608F" w:rsidRPr="005B53C6" w:rsidRDefault="00B70DE3" w:rsidP="00303CD0">
      <w:pPr>
        <w:rPr>
          <w:rFonts w:eastAsiaTheme="minorEastAsia"/>
          <w:lang w:val="en-GB"/>
        </w:rPr>
      </w:pPr>
      <w:r>
        <w:rPr>
          <w:lang w:val="en-GB"/>
        </w:rPr>
        <w:t>3</w:t>
      </w:r>
      <w:r w:rsidR="00BE017B">
        <w:rPr>
          <w:lang w:val="en-GB"/>
        </w:rPr>
        <w:t>6</w:t>
      </w:r>
      <w:r>
        <w:rPr>
          <w:lang w:val="en-GB"/>
        </w:rPr>
        <w:t>.7</w:t>
      </w:r>
      <w:r w:rsidRPr="00842015">
        <w:rPr>
          <w:lang w:val="en-GB"/>
        </w:rPr>
        <w:tab/>
      </w:r>
      <w:r w:rsidR="00F3608F" w:rsidRPr="005B53C6">
        <w:rPr>
          <w:lang w:val="en-GB"/>
        </w:rPr>
        <w:t>Responding to</w:t>
      </w:r>
      <w:r w:rsidR="00F3608F">
        <w:rPr>
          <w:lang w:val="en-GB"/>
        </w:rPr>
        <w:t xml:space="preserve"> </w:t>
      </w:r>
      <w:r w:rsidR="003B5DC9">
        <w:rPr>
          <w:lang w:val="en-GB"/>
        </w:rPr>
        <w:t>other</w:t>
      </w:r>
      <w:r w:rsidR="00F3608F" w:rsidRPr="005B53C6">
        <w:rPr>
          <w:lang w:val="en-GB"/>
        </w:rPr>
        <w:t xml:space="preserve"> comments from councillor</w:t>
      </w:r>
      <w:r w:rsidR="00F3608F">
        <w:rPr>
          <w:lang w:val="en-GB"/>
        </w:rPr>
        <w:t>s</w:t>
      </w:r>
      <w:r w:rsidR="00F3608F" w:rsidRPr="005B53C6">
        <w:rPr>
          <w:lang w:val="en-GB"/>
        </w:rPr>
        <w:t xml:space="preserve">, </w:t>
      </w:r>
      <w:r w:rsidR="003B5DC9">
        <w:rPr>
          <w:lang w:val="en-GB"/>
        </w:rPr>
        <w:t>he</w:t>
      </w:r>
      <w:r w:rsidR="00F3608F" w:rsidRPr="005B53C6">
        <w:rPr>
          <w:lang w:val="en-GB"/>
        </w:rPr>
        <w:t xml:space="preserve"> said that the process of cl</w:t>
      </w:r>
      <w:r w:rsidR="00F3608F">
        <w:rPr>
          <w:lang w:val="en-GB"/>
        </w:rPr>
        <w:t>osing</w:t>
      </w:r>
      <w:r w:rsidR="00F3608F" w:rsidRPr="005B53C6">
        <w:rPr>
          <w:lang w:val="en-GB"/>
        </w:rPr>
        <w:t xml:space="preserve"> legacy recommendations was not a box-ticking exercise; rather, it required comprehensive, evidence-based reporting to the External Auditor to demonstrate that </w:t>
      </w:r>
      <w:r w:rsidR="004128EA">
        <w:rPr>
          <w:lang w:val="en-GB"/>
        </w:rPr>
        <w:t>each</w:t>
      </w:r>
      <w:r w:rsidR="00F3608F" w:rsidRPr="005B53C6">
        <w:rPr>
          <w:lang w:val="en-GB"/>
        </w:rPr>
        <w:t xml:space="preserve"> recommendation ha</w:t>
      </w:r>
      <w:r w:rsidR="004128EA">
        <w:rPr>
          <w:lang w:val="en-GB"/>
        </w:rPr>
        <w:t>s</w:t>
      </w:r>
      <w:r w:rsidR="00F3608F" w:rsidRPr="005B53C6">
        <w:rPr>
          <w:lang w:val="en-GB"/>
        </w:rPr>
        <w:t xml:space="preserve"> been implemented in practice. If the External Auditor was not satisfied, it would not close the recommendation.</w:t>
      </w:r>
    </w:p>
    <w:p w14:paraId="4811D6D8" w14:textId="6500C193" w:rsidR="00303CD0" w:rsidRPr="005B53C6" w:rsidRDefault="00303CD0" w:rsidP="00303CD0">
      <w:pPr>
        <w:rPr>
          <w:rFonts w:eastAsiaTheme="minorHAnsi"/>
          <w:lang w:val="en-GB"/>
        </w:rPr>
      </w:pPr>
      <w:r w:rsidRPr="005B53C6">
        <w:rPr>
          <w:rFonts w:eastAsiaTheme="minorHAnsi"/>
          <w:lang w:val="en-GB"/>
        </w:rPr>
        <w:t>3</w:t>
      </w:r>
      <w:r w:rsidR="00BE017B">
        <w:rPr>
          <w:rFonts w:eastAsiaTheme="minorHAnsi"/>
          <w:lang w:val="en-GB"/>
        </w:rPr>
        <w:t>6</w:t>
      </w:r>
      <w:r w:rsidRPr="005B53C6">
        <w:rPr>
          <w:rFonts w:eastAsiaTheme="minorHAnsi"/>
          <w:lang w:val="en-GB"/>
        </w:rPr>
        <w:t>.</w:t>
      </w:r>
      <w:r w:rsidR="00596CFB">
        <w:rPr>
          <w:rFonts w:eastAsiaTheme="minorHAnsi"/>
          <w:lang w:val="en-GB"/>
        </w:rPr>
        <w:t>8</w:t>
      </w:r>
      <w:r w:rsidRPr="005B53C6">
        <w:rPr>
          <w:rFonts w:eastAsiaTheme="minorHAnsi"/>
          <w:lang w:val="en-GB"/>
        </w:rPr>
        <w:tab/>
        <w:t xml:space="preserve">The Deputy Secretary-General said that the level of engagement displayed by councillors reflected the importance of internal controls and risk management to the Union’s operations and planning. That same level of engagement and commitment was also evident on the secretariat side. Key management forums, such as CoCo and the broader management group, regularly addressed risk management, both at a conceptual framework level and at a practical operational level. The risk management and internal control framework lacked maturity, hence the contracting of the EY review, which had been recommended by both the External Auditor and had produced outcomes aligned with those of IMAC. The review had resulted in the phased roadmap of concrete, actionable steps to enhance framework maturity, as described in the report. The compliance dashboard, as described in Document </w:t>
      </w:r>
      <w:hyperlink r:id="rId130" w:history="1">
        <w:r w:rsidRPr="00D2393B">
          <w:rPr>
            <w:rStyle w:val="Hyperlink"/>
            <w:rFonts w:eastAsiaTheme="minorHAnsi" w:cs="Times New Roman"/>
            <w:szCs w:val="20"/>
            <w:lang w:val="en-GB"/>
          </w:rPr>
          <w:t>C26/INF/23</w:t>
        </w:r>
      </w:hyperlink>
      <w:r w:rsidRPr="005B53C6">
        <w:rPr>
          <w:rFonts w:eastAsiaTheme="minorHAnsi"/>
          <w:lang w:val="en-GB"/>
        </w:rPr>
        <w:t xml:space="preserve">, had also been established and made accessible to Member States to provide vision over implementation of oversight recommendations, all of which, except for those of JIU, were displayed in the dashboard. JIU recommendation tracking was possible via a JIU reporting tool, relevant information from which was reproduced in Document </w:t>
      </w:r>
      <w:hyperlink r:id="rId131" w:history="1">
        <w:r w:rsidRPr="00D2393B">
          <w:rPr>
            <w:rStyle w:val="Hyperlink"/>
            <w:rFonts w:eastAsiaTheme="minorHAnsi" w:cs="Times New Roman"/>
            <w:szCs w:val="20"/>
            <w:lang w:val="en-GB"/>
          </w:rPr>
          <w:t>C26/INF/17</w:t>
        </w:r>
      </w:hyperlink>
      <w:r w:rsidRPr="005B53C6">
        <w:rPr>
          <w:rFonts w:eastAsiaTheme="minorHAnsi"/>
          <w:lang w:val="en-GB"/>
        </w:rPr>
        <w:t>.</w:t>
      </w:r>
    </w:p>
    <w:p w14:paraId="086AB40B" w14:textId="03109619" w:rsidR="00924194" w:rsidRPr="001B5A9F" w:rsidRDefault="00303CD0" w:rsidP="3484BA49">
      <w:pPr>
        <w:spacing w:line="259" w:lineRule="auto"/>
        <w:rPr>
          <w:rFonts w:eastAsia="Calibri" w:cs="Calibri"/>
          <w:lang w:val="en-GB"/>
        </w:rPr>
      </w:pPr>
      <w:r w:rsidRPr="005B53C6">
        <w:rPr>
          <w:rFonts w:eastAsiaTheme="minorHAnsi"/>
          <w:lang w:val="en-GB"/>
        </w:rPr>
        <w:t>3</w:t>
      </w:r>
      <w:r w:rsidR="00BE017B">
        <w:rPr>
          <w:rFonts w:eastAsiaTheme="minorHAnsi"/>
          <w:lang w:val="en-GB"/>
        </w:rPr>
        <w:t>6</w:t>
      </w:r>
      <w:r w:rsidRPr="005B53C6">
        <w:rPr>
          <w:rFonts w:eastAsiaTheme="minorHAnsi"/>
          <w:lang w:val="en-GB"/>
        </w:rPr>
        <w:t>.</w:t>
      </w:r>
      <w:r w:rsidR="00596CFB">
        <w:rPr>
          <w:rFonts w:eastAsiaTheme="minorHAnsi"/>
          <w:lang w:val="en-GB"/>
        </w:rPr>
        <w:t>9</w:t>
      </w:r>
      <w:r w:rsidRPr="005B53C6">
        <w:rPr>
          <w:rFonts w:eastAsiaTheme="minorHAnsi"/>
          <w:lang w:val="en-GB"/>
        </w:rPr>
        <w:tab/>
        <w:t>Responding to requests from councillors, he said that the delegation of authority framework would be delivered by PP-26 and that the secretariat would also provide additional reporting by PP-26 to address gaps identified by councillors.</w:t>
      </w:r>
    </w:p>
    <w:p w14:paraId="0089B5E9" w14:textId="2E5AFE45" w:rsidR="00924194" w:rsidRPr="00EA5615" w:rsidRDefault="001E0A1B" w:rsidP="00924194">
      <w:pPr>
        <w:spacing w:line="259" w:lineRule="auto"/>
        <w:rPr>
          <w:rFonts w:eastAsia="Calibri" w:cs="Calibri"/>
          <w:szCs w:val="24"/>
          <w:lang w:val="en-GB"/>
        </w:rPr>
      </w:pPr>
      <w:r w:rsidRPr="00EA5615">
        <w:rPr>
          <w:rFonts w:eastAsia="Calibri" w:cs="Calibri"/>
          <w:spacing w:val="-4"/>
          <w:szCs w:val="24"/>
          <w:lang w:val="en-GB"/>
        </w:rPr>
        <w:t>3</w:t>
      </w:r>
      <w:r w:rsidR="00BE017B">
        <w:rPr>
          <w:rFonts w:eastAsia="Calibri" w:cs="Calibri"/>
          <w:spacing w:val="-4"/>
          <w:szCs w:val="24"/>
          <w:lang w:val="en-GB"/>
        </w:rPr>
        <w:t>6</w:t>
      </w:r>
      <w:r w:rsidR="00924194" w:rsidRPr="00EA5615">
        <w:rPr>
          <w:rFonts w:eastAsia="Calibri" w:cs="Calibri"/>
          <w:spacing w:val="-4"/>
          <w:szCs w:val="24"/>
          <w:lang w:val="en-GB"/>
        </w:rPr>
        <w:t>.</w:t>
      </w:r>
      <w:r w:rsidR="00596CFB">
        <w:rPr>
          <w:rFonts w:eastAsia="Calibri" w:cs="Calibri"/>
          <w:spacing w:val="-4"/>
          <w:szCs w:val="24"/>
          <w:lang w:val="en-GB"/>
        </w:rPr>
        <w:t>10</w:t>
      </w:r>
      <w:r w:rsidR="00924194" w:rsidRPr="00EA5615">
        <w:rPr>
          <w:rFonts w:eastAsia="Calibri" w:cs="Calibri"/>
          <w:szCs w:val="24"/>
          <w:lang w:val="en-GB"/>
        </w:rPr>
        <w:tab/>
        <w:t xml:space="preserve">The committee </w:t>
      </w:r>
      <w:r w:rsidR="00924194" w:rsidRPr="00EA5615">
        <w:rPr>
          <w:rFonts w:eastAsia="Calibri" w:cs="Calibri"/>
          <w:b/>
          <w:bCs/>
          <w:szCs w:val="24"/>
          <w:lang w:val="en-GB"/>
        </w:rPr>
        <w:t>agreed</w:t>
      </w:r>
      <w:r w:rsidR="00924194" w:rsidRPr="00EA5615">
        <w:rPr>
          <w:rFonts w:eastAsia="Calibri" w:cs="Calibri"/>
          <w:szCs w:val="24"/>
          <w:lang w:val="en-GB"/>
        </w:rPr>
        <w:t xml:space="preserve"> to conclude as follows on the matter:</w:t>
      </w:r>
    </w:p>
    <w:p w14:paraId="1030EFFD" w14:textId="78DBC924" w:rsidR="00D2393B" w:rsidRDefault="001E0A1B" w:rsidP="00924194">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A5615">
        <w:rPr>
          <w:rFonts w:eastAsia="Calibri" w:cs="Calibri"/>
          <w:szCs w:val="24"/>
          <w:lang w:val="en-GB"/>
        </w:rPr>
        <w:t>3</w:t>
      </w:r>
      <w:r w:rsidR="00BE017B">
        <w:rPr>
          <w:rFonts w:eastAsia="Calibri" w:cs="Calibri"/>
          <w:szCs w:val="24"/>
          <w:lang w:val="en-GB"/>
        </w:rPr>
        <w:t>6</w:t>
      </w:r>
      <w:r w:rsidR="00924194" w:rsidRPr="00EA5615">
        <w:rPr>
          <w:rFonts w:eastAsia="Calibri" w:cs="Calibri"/>
          <w:szCs w:val="24"/>
          <w:lang w:val="en-GB"/>
        </w:rPr>
        <w:t>.</w:t>
      </w:r>
      <w:r w:rsidR="00303CD0" w:rsidRPr="005B53C6">
        <w:rPr>
          <w:rFonts w:eastAsia="Calibri" w:cs="Calibri"/>
          <w:szCs w:val="24"/>
          <w:lang w:val="en-GB"/>
        </w:rPr>
        <w:t>1</w:t>
      </w:r>
      <w:r w:rsidR="00596CFB">
        <w:rPr>
          <w:rFonts w:eastAsia="Calibri" w:cs="Calibri"/>
          <w:szCs w:val="24"/>
          <w:lang w:val="en-GB"/>
        </w:rPr>
        <w:t>1</w:t>
      </w:r>
      <w:r w:rsidR="00924194" w:rsidRPr="00EA5615">
        <w:rPr>
          <w:lang w:val="en-GB"/>
        </w:rPr>
        <w:tab/>
        <w:t>The committee recommends that the Council:</w:t>
      </w:r>
    </w:p>
    <w:p w14:paraId="3E1449B1" w14:textId="4299A374" w:rsidR="00924194" w:rsidRDefault="00924194" w:rsidP="00C44A2E">
      <w:pPr>
        <w:keepNext/>
        <w:keepLines/>
        <w:pBdr>
          <w:top w:val="single" w:sz="4" w:space="4" w:color="000000"/>
          <w:left w:val="single" w:sz="4" w:space="4" w:color="000000"/>
          <w:bottom w:val="single" w:sz="4" w:space="4" w:color="000000"/>
          <w:right w:val="single" w:sz="4" w:space="4" w:color="000000"/>
        </w:pBdr>
        <w:spacing w:before="80" w:line="259" w:lineRule="auto"/>
        <w:rPr>
          <w:rFonts w:cs="Calibri"/>
          <w:szCs w:val="24"/>
          <w:lang w:val="en-GB"/>
        </w:rPr>
      </w:pPr>
      <w:r w:rsidRPr="005B53C6">
        <w:rPr>
          <w:lang w:val="en-GB"/>
        </w:rPr>
        <w:t>•</w:t>
      </w:r>
      <w:r w:rsidRPr="005B53C6">
        <w:rPr>
          <w:lang w:val="en-GB"/>
        </w:rPr>
        <w:tab/>
      </w:r>
      <w:r w:rsidR="00AF5A98" w:rsidRPr="005B53C6">
        <w:rPr>
          <w:lang w:val="en-GB"/>
        </w:rPr>
        <w:t xml:space="preserve">note the report contained in Document </w:t>
      </w:r>
      <w:hyperlink r:id="rId132" w:history="1">
        <w:r w:rsidR="00AF5A98" w:rsidRPr="00D2393B">
          <w:rPr>
            <w:rStyle w:val="Hyperlink"/>
            <w:rFonts w:cs="Times New Roman"/>
            <w:szCs w:val="20"/>
            <w:lang w:val="en-GB"/>
          </w:rPr>
          <w:t>C26/49</w:t>
        </w:r>
      </w:hyperlink>
      <w:r w:rsidRPr="005B53C6">
        <w:rPr>
          <w:rFonts w:cs="Calibri"/>
          <w:szCs w:val="24"/>
          <w:lang w:val="en-GB"/>
        </w:rPr>
        <w:t>.</w:t>
      </w:r>
      <w:r w:rsidR="001F1C54">
        <w:rPr>
          <w:rFonts w:cs="Calibri"/>
          <w:szCs w:val="24"/>
          <w:lang w:val="en-GB"/>
        </w:rPr>
        <w:t>; and</w:t>
      </w:r>
    </w:p>
    <w:p w14:paraId="1B205F33" w14:textId="2D6ECCFB" w:rsidR="001F1C54" w:rsidRPr="00EA5615" w:rsidRDefault="001F1C54"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5B53C6">
        <w:rPr>
          <w:lang w:val="en-GB"/>
        </w:rPr>
        <w:t>•</w:t>
      </w:r>
      <w:r w:rsidRPr="005B53C6">
        <w:rPr>
          <w:lang w:val="en-GB"/>
        </w:rPr>
        <w:tab/>
      </w:r>
      <w:r>
        <w:rPr>
          <w:lang w:val="en-GB"/>
        </w:rPr>
        <w:t xml:space="preserve">note that </w:t>
      </w:r>
      <w:r w:rsidRPr="001F1C54">
        <w:rPr>
          <w:lang w:val="en-GB"/>
        </w:rPr>
        <w:t>the delegation of authority framework would be delivered by PP-26 and that the secretariat would also provide additional reporting by PP-26 to address gaps identified by councillors</w:t>
      </w:r>
      <w:r>
        <w:rPr>
          <w:lang w:val="en-GB"/>
        </w:rPr>
        <w:t>.</w:t>
      </w:r>
    </w:p>
    <w:p w14:paraId="3DDB1718" w14:textId="15F38433" w:rsidR="00A5348D" w:rsidRPr="00EA5615" w:rsidRDefault="00CF1F87" w:rsidP="00A5348D">
      <w:pPr>
        <w:pStyle w:val="Heading1"/>
        <w:rPr>
          <w:lang w:val="en-GB"/>
        </w:rPr>
      </w:pPr>
      <w:r w:rsidRPr="00EA5615">
        <w:rPr>
          <w:lang w:val="en-GB"/>
        </w:rPr>
        <w:t>3</w:t>
      </w:r>
      <w:r w:rsidR="00BE017B">
        <w:rPr>
          <w:lang w:val="en-GB"/>
        </w:rPr>
        <w:t>7</w:t>
      </w:r>
      <w:r w:rsidR="00A5348D" w:rsidRPr="00EA5615">
        <w:rPr>
          <w:lang w:val="en-GB"/>
        </w:rPr>
        <w:tab/>
        <w:t xml:space="preserve">Progress report on the implementation of the Human Resources Transformation Plan and of Resolution 48 (Rev. Bucharest, 2022) (Document </w:t>
      </w:r>
      <w:hyperlink r:id="rId133" w:history="1">
        <w:r w:rsidR="00A5348D" w:rsidRPr="00EA5615">
          <w:rPr>
            <w:rStyle w:val="Hyperlink"/>
            <w:bCs/>
            <w:lang w:val="en-GB"/>
          </w:rPr>
          <w:t>C26/</w:t>
        </w:r>
        <w:r w:rsidR="00A5348D" w:rsidRPr="00EA5615">
          <w:rPr>
            <w:rStyle w:val="Hyperlink"/>
            <w:lang w:val="en-GB"/>
          </w:rPr>
          <w:t>66</w:t>
        </w:r>
      </w:hyperlink>
      <w:r w:rsidR="00A5348D" w:rsidRPr="00EA5615">
        <w:rPr>
          <w:lang w:val="en-GB"/>
        </w:rPr>
        <w:t>)</w:t>
      </w:r>
    </w:p>
    <w:p w14:paraId="04DCC0FD" w14:textId="7A01B32F" w:rsidR="008570D8" w:rsidRPr="00E05D11" w:rsidRDefault="00CF1F87" w:rsidP="008570D8">
      <w:pPr>
        <w:rPr>
          <w:lang w:val="en-GB"/>
        </w:rPr>
      </w:pPr>
      <w:r w:rsidRPr="00E05D11">
        <w:rPr>
          <w:rFonts w:eastAsia="Calibri" w:cs="Calibri"/>
          <w:lang w:val="en-GB"/>
        </w:rPr>
        <w:t>3</w:t>
      </w:r>
      <w:r w:rsidR="00BE017B" w:rsidRPr="00E05D11">
        <w:rPr>
          <w:rFonts w:eastAsia="Calibri" w:cs="Calibri"/>
          <w:lang w:val="en-GB"/>
        </w:rPr>
        <w:t>7</w:t>
      </w:r>
      <w:r w:rsidR="00B06F63" w:rsidRPr="00E05D11">
        <w:rPr>
          <w:rFonts w:eastAsia="Calibri" w:cs="Calibri"/>
          <w:lang w:val="en-GB"/>
        </w:rPr>
        <w:t>.1</w:t>
      </w:r>
      <w:r w:rsidR="00B06F63" w:rsidRPr="00E05D11">
        <w:rPr>
          <w:lang w:val="en-GB"/>
        </w:rPr>
        <w:tab/>
      </w:r>
      <w:r w:rsidR="008570D8" w:rsidRPr="00E05D11">
        <w:rPr>
          <w:lang w:val="en-GB"/>
        </w:rPr>
        <w:t>The Chief of HRMD provided an overview of the information in Document C26/66, which contained the progress report on the implementation of the Human Resources Transformation Plan (HRTP) and of Resolution 48 (Rev. Bucharest, 2022) of the Plenipotentiary Conference. She outlined some of the key results that had been achieved under the three HRTP pillars – namely on people, culture and services – during the reporting period. In addition, she highlighted the Union’s Young Professionals Programme (YPP), which had received more than 3 500 applications. Six young professionals from LDCs had been selected as the first YPP cohort to work at the Union, bringing fresh perspectives, technical innovation and renewed energy to their teams. For 2027, there were plans to increase the size of the second cohort, include the regional offices in the programme and focus on young talent from developing countries, LDCs, LLDCs and SIDS. She expressed appreciation to those Member States that had contributed to the initiative and called for continued support from the Union’s membership.</w:t>
      </w:r>
    </w:p>
    <w:p w14:paraId="23E464E1" w14:textId="6A3C2A1A" w:rsidR="008570D8" w:rsidRPr="00E05D11" w:rsidRDefault="008570D8" w:rsidP="008570D8">
      <w:pPr>
        <w:rPr>
          <w:lang w:val="en-GB"/>
        </w:rPr>
      </w:pPr>
      <w:r w:rsidRPr="00E05D11">
        <w:rPr>
          <w:lang w:val="en-GB"/>
        </w:rPr>
        <w:t>37.2</w:t>
      </w:r>
      <w:r w:rsidRPr="00E05D11">
        <w:rPr>
          <w:lang w:val="en-GB"/>
        </w:rPr>
        <w:tab/>
        <w:t>Young professionals from Côte d’Ivoire, Ghana, India, Malawi and Pakistan made statements about the experience that they had gained at ITU, where they worked in areas ranging from space services, submarine cable resilience and cybersecurity.</w:t>
      </w:r>
    </w:p>
    <w:p w14:paraId="0BFEE3B5" w14:textId="705B7896" w:rsidR="008570D8" w:rsidRPr="00E05D11" w:rsidRDefault="008570D8" w:rsidP="008570D8">
      <w:pPr>
        <w:rPr>
          <w:lang w:val="en-GB"/>
        </w:rPr>
      </w:pPr>
      <w:r w:rsidRPr="00E05D11">
        <w:rPr>
          <w:lang w:val="en-GB"/>
        </w:rPr>
        <w:t>37.3</w:t>
      </w:r>
      <w:r w:rsidRPr="00E05D11">
        <w:rPr>
          <w:lang w:val="en-GB"/>
        </w:rPr>
        <w:tab/>
        <w:t xml:space="preserve">The councillor from Japan announced that his Government would make a USD 300 000 contribution to support the second YPP cohort, thereby demonstrating its continued commitment to the programme.  </w:t>
      </w:r>
    </w:p>
    <w:p w14:paraId="4C7253AC" w14:textId="4C2A0D59" w:rsidR="008570D8" w:rsidRPr="00E05D11" w:rsidRDefault="008570D8" w:rsidP="008570D8">
      <w:pPr>
        <w:rPr>
          <w:lang w:val="en-GB"/>
        </w:rPr>
      </w:pPr>
      <w:r w:rsidRPr="5233AF30">
        <w:rPr>
          <w:lang w:val="en-GB"/>
        </w:rPr>
        <w:t>37.4</w:t>
      </w:r>
      <w:r w:rsidRPr="00D10B10">
        <w:rPr>
          <w:lang w:val="en-GB"/>
        </w:rPr>
        <w:tab/>
      </w:r>
      <w:r w:rsidRPr="5233AF30">
        <w:rPr>
          <w:lang w:val="en-GB"/>
        </w:rPr>
        <w:t xml:space="preserve">In the discussion that followed, councillors commended HRMD for its efforts during the reporting period, particularly in launching YPP to attract young talent; advancing digital upskilling; progressing towards gender parity; streamlining performance management processes; and improving mandatory training completion rates. Some councillors nevertheless called for concerted efforts to improve completion rates of training on ethics and integrity, prevention of sexual exploitation and abuse, and prevention of sexual harassment and other prohibited conduct. </w:t>
      </w:r>
      <w:r w:rsidR="7B605056" w:rsidRPr="5233AF30">
        <w:rPr>
          <w:lang w:val="en-GB"/>
        </w:rPr>
        <w:t xml:space="preserve"> Future reporting should include information on actions taken to improve mandatory training completion rates among managers and staff</w:t>
      </w:r>
      <w:r w:rsidRPr="509646B9">
        <w:rPr>
          <w:lang w:val="en-GB"/>
        </w:rPr>
        <w:t>.</w:t>
      </w:r>
      <w:r w:rsidRPr="5233AF30">
        <w:rPr>
          <w:lang w:val="en-GB"/>
        </w:rPr>
        <w:t xml:space="preserve"> One councillor suggested that HRMD should update the performance management system to require that all staff be up to date on all mandatory training before receiving a successful evaluation. She asked the secretariat to share with Member States its action plan on preventing sexual exploitation and abuse and the results of the CEB annual survey on reporting of sexual harassment so as to facilitate transparency and accountability.</w:t>
      </w:r>
    </w:p>
    <w:p w14:paraId="5900BACF" w14:textId="4373337F" w:rsidR="008570D8" w:rsidRPr="00E05D11" w:rsidRDefault="008570D8" w:rsidP="008570D8">
      <w:pPr>
        <w:rPr>
          <w:lang w:val="en-GB"/>
        </w:rPr>
      </w:pPr>
      <w:r w:rsidRPr="00E05D11">
        <w:rPr>
          <w:lang w:val="en-GB"/>
        </w:rPr>
        <w:t>37.5</w:t>
      </w:r>
      <w:r w:rsidRPr="00D10B10">
        <w:rPr>
          <w:lang w:val="en-GB"/>
        </w:rPr>
        <w:tab/>
      </w:r>
      <w:r w:rsidRPr="00E05D11">
        <w:rPr>
          <w:lang w:val="en-GB"/>
        </w:rPr>
        <w:t xml:space="preserve">Some councillors drew attention to persistent workforce diversity imbalances, particularly with regard to geographical distribution, and requested additional information on any special recruitment measures that had been implemented to address the issue, in accordance with Resolution 48 (Rev. Bucharest, 2022). Future reporting should include improved indicators and data on the current make-up of the Union’s workforce, disaggregated by region and by gender. A councillor suggested that measures aimed at achieving gender parity could be used as a model to improve geographical representation, particularly of developing countries, among ITU staff. Another councillor, while noting with </w:t>
      </w:r>
      <w:r w:rsidR="69C44021" w:rsidRPr="509646B9">
        <w:rPr>
          <w:lang w:val="en-GB"/>
        </w:rPr>
        <w:t>the efforts and</w:t>
      </w:r>
      <w:r w:rsidRPr="00E05D11">
        <w:rPr>
          <w:lang w:val="en-GB"/>
        </w:rPr>
        <w:t xml:space="preserve"> progress towards gender </w:t>
      </w:r>
      <w:proofErr w:type="gramStart"/>
      <w:r w:rsidRPr="00E05D11">
        <w:rPr>
          <w:lang w:val="en-GB"/>
        </w:rPr>
        <w:t>parity ,</w:t>
      </w:r>
      <w:proofErr w:type="gramEnd"/>
      <w:r w:rsidRPr="00E05D11">
        <w:rPr>
          <w:lang w:val="en-GB"/>
        </w:rPr>
        <w:t xml:space="preserve"> called for further measures in </w:t>
      </w:r>
      <w:r w:rsidRPr="509646B9">
        <w:rPr>
          <w:lang w:val="en-GB"/>
        </w:rPr>
        <w:t>th</w:t>
      </w:r>
      <w:r w:rsidR="00DF3DCC">
        <w:rPr>
          <w:lang w:val="en-GB"/>
        </w:rPr>
        <w:t>at</w:t>
      </w:r>
      <w:r w:rsidR="5A774A92" w:rsidRPr="509646B9">
        <w:rPr>
          <w:lang w:val="en-GB"/>
        </w:rPr>
        <w:t xml:space="preserve"> regard</w:t>
      </w:r>
      <w:r w:rsidRPr="00E05D11">
        <w:rPr>
          <w:lang w:val="en-GB"/>
        </w:rPr>
        <w:t>. HRMD was also encouraged to accelerate the finalization of recruitment reforms and workforce planning frameworks and increase investment in staff training.</w:t>
      </w:r>
    </w:p>
    <w:p w14:paraId="0C0B826D" w14:textId="358B58A4" w:rsidR="008570D8" w:rsidRPr="00E05D11" w:rsidRDefault="008570D8" w:rsidP="008570D8">
      <w:pPr>
        <w:rPr>
          <w:lang w:val="en-GB"/>
        </w:rPr>
      </w:pPr>
      <w:r w:rsidRPr="00E05D11">
        <w:rPr>
          <w:lang w:val="en-GB"/>
        </w:rPr>
        <w:t>37.6</w:t>
      </w:r>
      <w:r w:rsidRPr="00C44A2E">
        <w:rPr>
          <w:lang w:val="en-GB"/>
        </w:rPr>
        <w:tab/>
      </w:r>
      <w:r w:rsidRPr="00E05D11">
        <w:rPr>
          <w:lang w:val="en-GB"/>
        </w:rPr>
        <w:t>Regarding workforce planning, some councillors, emphasizing the specialized nature of the Union’s work, sought information on the impact of the voluntary separation programme on workload redistribution, knowledge transfer and staff morale. One councillor requested details of the new consultancy policy, including how it would ensure that consultants were used only for short-term needs and non-core staff functions and how it would contribute to greater transparency, performance monitoring and regional representation.  Future reports should contain evidence of the measurable impact of HRMD activities on organizational performance and service delivery.</w:t>
      </w:r>
    </w:p>
    <w:p w14:paraId="3097404D" w14:textId="195A5F00" w:rsidR="008570D8" w:rsidRPr="00E05D11" w:rsidRDefault="008570D8" w:rsidP="008570D8">
      <w:pPr>
        <w:rPr>
          <w:lang w:val="en-GB"/>
        </w:rPr>
      </w:pPr>
      <w:r w:rsidRPr="00E05D11">
        <w:rPr>
          <w:lang w:val="en-GB"/>
        </w:rPr>
        <w:t>37.7</w:t>
      </w:r>
      <w:r w:rsidRPr="00C44A2E">
        <w:rPr>
          <w:lang w:val="en-GB"/>
        </w:rPr>
        <w:tab/>
      </w:r>
      <w:r w:rsidRPr="00E05D11">
        <w:rPr>
          <w:lang w:val="en-GB"/>
        </w:rPr>
        <w:t>Responding to comments and questions from councillors and thanking the Government of Japan for its generous contribution, the Chief of HRMD said that, regarding geographical diversity, while recruitment was done on the basis of merit, diversity considerations were given priority in accordance with the relevant resolutions and regulations. Measures that were being taken to improve workforce diversity included targeted outreach through online forums to attract the best candidates globally</w:t>
      </w:r>
      <w:r w:rsidR="58FBC007" w:rsidRPr="506EFD40">
        <w:rPr>
          <w:lang w:val="en-GB"/>
        </w:rPr>
        <w:t xml:space="preserve"> and through programmes such as YPP that </w:t>
      </w:r>
      <w:r w:rsidR="58FBC007" w:rsidRPr="31CAF362">
        <w:rPr>
          <w:lang w:val="en-GB"/>
        </w:rPr>
        <w:t>br</w:t>
      </w:r>
      <w:r w:rsidR="28C9B793" w:rsidRPr="31CAF362">
        <w:rPr>
          <w:lang w:val="en-GB"/>
        </w:rPr>
        <w:t>ing</w:t>
      </w:r>
      <w:r w:rsidR="58FBC007" w:rsidRPr="506EFD40">
        <w:rPr>
          <w:lang w:val="en-GB"/>
        </w:rPr>
        <w:t xml:space="preserve"> young talent into the pipeline</w:t>
      </w:r>
      <w:r w:rsidRPr="00E05D11">
        <w:rPr>
          <w:lang w:val="en-GB"/>
        </w:rPr>
        <w:t xml:space="preserve">. </w:t>
      </w:r>
    </w:p>
    <w:p w14:paraId="358AA65C" w14:textId="1B21E9DC" w:rsidR="008570D8" w:rsidRPr="00E05D11" w:rsidRDefault="008570D8" w:rsidP="008570D8">
      <w:pPr>
        <w:rPr>
          <w:lang w:val="en-GB"/>
        </w:rPr>
      </w:pPr>
      <w:r w:rsidRPr="00E05D11">
        <w:rPr>
          <w:lang w:val="en-GB"/>
        </w:rPr>
        <w:t>37.8</w:t>
      </w:r>
      <w:r w:rsidRPr="00E05D11">
        <w:rPr>
          <w:lang w:val="en-GB"/>
        </w:rPr>
        <w:tab/>
        <w:t>Strategic workforce planning involved identifying the most appropriate location for posts as they became vacant owing to staff retiring or leaving, thereby improving regional presence, strengthening succession planning and ensuring that managers had the functions and skills needed to meet their goals. Upskilling of staff was a key pillar in that regard, and HRMD worked continuously to improve training and development and liaised closely with the Transformation Team to advance AI upskilling. She appreciated councillors’ comments regarding the training budget and would continue to advocate for an increase. Training opportunities within the broader United Nations system were also being leveraged. According to the latest data on mandatory training, 76 per cent of permanent, continuing, fixed term and short-term staff had completed the prevention of sexual exploitation and abuse training.</w:t>
      </w:r>
    </w:p>
    <w:p w14:paraId="231CEFD7" w14:textId="213C2121" w:rsidR="008570D8" w:rsidRPr="00E05D11" w:rsidRDefault="008570D8" w:rsidP="008570D8">
      <w:pPr>
        <w:rPr>
          <w:lang w:val="en-GB"/>
        </w:rPr>
      </w:pPr>
      <w:r w:rsidRPr="00E05D11">
        <w:rPr>
          <w:lang w:val="en-GB"/>
        </w:rPr>
        <w:t>37.9</w:t>
      </w:r>
      <w:r w:rsidRPr="00E05D11">
        <w:rPr>
          <w:lang w:val="en-GB"/>
        </w:rPr>
        <w:tab/>
        <w:t xml:space="preserve">The 15 staff members who had departed under the voluntary separation programme had either been close to retirement or had wished to leave for other reasons. In view of the competence, knowledge and expertise of staff, the overarching needs of the Union were </w:t>
      </w:r>
      <w:proofErr w:type="gramStart"/>
      <w:r w:rsidRPr="00E05D11">
        <w:rPr>
          <w:lang w:val="en-GB"/>
        </w:rPr>
        <w:t>taken into account</w:t>
      </w:r>
      <w:proofErr w:type="gramEnd"/>
      <w:r w:rsidRPr="00E05D11">
        <w:rPr>
          <w:lang w:val="en-GB"/>
        </w:rPr>
        <w:t xml:space="preserve"> when making decisions on such separations. It was critical to ensure that the Union had an appropriate mix of institutional knowledge and new talent. </w:t>
      </w:r>
    </w:p>
    <w:p w14:paraId="2829CB78" w14:textId="193C1D2E" w:rsidR="008570D8" w:rsidRPr="00E05D11" w:rsidRDefault="008570D8" w:rsidP="008570D8">
      <w:pPr>
        <w:rPr>
          <w:lang w:val="en-GB"/>
        </w:rPr>
      </w:pPr>
      <w:r w:rsidRPr="00E05D11">
        <w:rPr>
          <w:lang w:val="en-GB"/>
        </w:rPr>
        <w:t>37.8</w:t>
      </w:r>
      <w:r w:rsidRPr="00E05D11">
        <w:rPr>
          <w:lang w:val="en-GB"/>
        </w:rPr>
        <w:tab/>
        <w:t>Regarding workplace culture and staff relations, she emphasized that HRMD worked closely with the Staff Council, including to follow up on the results of the employee engagement survey. In fact, they had joined forces to develop and implement a programme linked to the findings of the survey. In addition, HRMD had carried out training on psychological safety and on speak-up culture. A number of approaches were being taken to address performance management issues. For example, related service orders were being reviewed, workshops on goal setting were planned and a toolkit had been developed to help managers to deal with underperformance, enabling HRMD to guide them step by step through the process.</w:t>
      </w:r>
    </w:p>
    <w:p w14:paraId="6E11742E" w14:textId="61D3B8DD" w:rsidR="00B06F63" w:rsidRPr="00D8183C" w:rsidRDefault="008570D8" w:rsidP="00B06F63">
      <w:pPr>
        <w:spacing w:line="259" w:lineRule="auto"/>
        <w:rPr>
          <w:rFonts w:eastAsia="Calibri" w:cs="Calibri"/>
          <w:lang w:val="en-GB"/>
        </w:rPr>
      </w:pPr>
      <w:r w:rsidRPr="00E05D11">
        <w:rPr>
          <w:lang w:val="en-GB"/>
        </w:rPr>
        <w:t>37.9</w:t>
      </w:r>
      <w:r w:rsidRPr="00E05D11">
        <w:rPr>
          <w:lang w:val="en-GB"/>
        </w:rPr>
        <w:tab/>
        <w:t xml:space="preserve">Lastly, she confirmed that HRMD would prepare a report on the meaning of “major” organizational change criteria for further discussion at PP-26, if the Council approved the CWG-FHR recommendation on that score (Document </w:t>
      </w:r>
      <w:hyperlink r:id="rId134" w:history="1">
        <w:r w:rsidRPr="006B1098">
          <w:rPr>
            <w:rStyle w:val="Hyperlink"/>
            <w:rFonts w:cs="Times New Roman"/>
            <w:szCs w:val="20"/>
            <w:lang w:val="en-GB"/>
          </w:rPr>
          <w:t>C26/50(Rev.1)</w:t>
        </w:r>
      </w:hyperlink>
      <w:r w:rsidRPr="00E05D11">
        <w:rPr>
          <w:lang w:val="en-GB"/>
        </w:rPr>
        <w:t xml:space="preserve">, </w:t>
      </w:r>
      <w:r w:rsidRPr="00E05D11">
        <w:rPr>
          <w:rFonts w:eastAsia="Calibri" w:cs="Calibri"/>
          <w:szCs w:val="24"/>
          <w:lang w:val="en-GB"/>
        </w:rPr>
        <w:t>§ 10.6)</w:t>
      </w:r>
      <w:r w:rsidR="00B06F63" w:rsidRPr="00E05D11">
        <w:rPr>
          <w:rFonts w:eastAsia="Calibri" w:cs="Calibri"/>
          <w:lang w:val="en-GB"/>
        </w:rPr>
        <w:t xml:space="preserve">. </w:t>
      </w:r>
    </w:p>
    <w:p w14:paraId="2EA30AB7" w14:textId="04BAA932" w:rsidR="00B06F63" w:rsidRPr="00EA5615" w:rsidRDefault="00CF1F87" w:rsidP="00B06F63">
      <w:pPr>
        <w:spacing w:line="259" w:lineRule="auto"/>
        <w:rPr>
          <w:rFonts w:eastAsia="Calibri" w:cs="Calibri"/>
          <w:szCs w:val="24"/>
          <w:lang w:val="en-GB"/>
        </w:rPr>
      </w:pPr>
      <w:r w:rsidRPr="00E05D11">
        <w:rPr>
          <w:rFonts w:eastAsia="Calibri" w:cs="Calibri"/>
          <w:spacing w:val="-4"/>
          <w:szCs w:val="24"/>
          <w:lang w:val="en-GB"/>
        </w:rPr>
        <w:t>3</w:t>
      </w:r>
      <w:r w:rsidR="00BE017B" w:rsidRPr="00E05D11">
        <w:rPr>
          <w:rFonts w:eastAsia="Calibri" w:cs="Calibri"/>
          <w:spacing w:val="-4"/>
          <w:szCs w:val="24"/>
          <w:lang w:val="en-GB"/>
        </w:rPr>
        <w:t>7</w:t>
      </w:r>
      <w:r w:rsidR="00B06F63" w:rsidRPr="00E05D11">
        <w:rPr>
          <w:rFonts w:eastAsia="Calibri" w:cs="Calibri"/>
          <w:spacing w:val="-4"/>
          <w:szCs w:val="24"/>
          <w:lang w:val="en-GB"/>
        </w:rPr>
        <w:t>.</w:t>
      </w:r>
      <w:r w:rsidR="008570D8" w:rsidRPr="00E05D11">
        <w:rPr>
          <w:rFonts w:eastAsia="Calibri" w:cs="Calibri"/>
          <w:spacing w:val="-4"/>
          <w:szCs w:val="24"/>
          <w:lang w:val="en-GB"/>
        </w:rPr>
        <w:t>10</w:t>
      </w:r>
      <w:r w:rsidR="00B06F63" w:rsidRPr="00EA5615">
        <w:rPr>
          <w:rFonts w:eastAsia="Calibri" w:cs="Calibri"/>
          <w:szCs w:val="24"/>
          <w:lang w:val="en-GB"/>
        </w:rPr>
        <w:tab/>
        <w:t xml:space="preserve">The committee </w:t>
      </w:r>
      <w:r w:rsidR="00B06F63" w:rsidRPr="00EA5615">
        <w:rPr>
          <w:rFonts w:eastAsia="Calibri" w:cs="Calibri"/>
          <w:b/>
          <w:bCs/>
          <w:szCs w:val="24"/>
          <w:lang w:val="en-GB"/>
        </w:rPr>
        <w:t>agreed</w:t>
      </w:r>
      <w:r w:rsidR="00B06F63" w:rsidRPr="00EA5615">
        <w:rPr>
          <w:rFonts w:eastAsia="Calibri" w:cs="Calibri"/>
          <w:szCs w:val="24"/>
          <w:lang w:val="en-GB"/>
        </w:rPr>
        <w:t xml:space="preserve"> to conclude as follows on the matter:</w:t>
      </w:r>
    </w:p>
    <w:p w14:paraId="3CD1F61A" w14:textId="3AFB4C48" w:rsidR="006B1098" w:rsidRDefault="00CF1F87" w:rsidP="00B06F63">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00E05D11">
        <w:rPr>
          <w:rFonts w:eastAsia="Calibri" w:cs="Calibri"/>
          <w:szCs w:val="24"/>
          <w:lang w:val="en-GB"/>
        </w:rPr>
        <w:t>3</w:t>
      </w:r>
      <w:r w:rsidR="00BE017B" w:rsidRPr="00E05D11">
        <w:rPr>
          <w:rFonts w:eastAsia="Calibri" w:cs="Calibri"/>
          <w:szCs w:val="24"/>
          <w:lang w:val="en-GB"/>
        </w:rPr>
        <w:t>7</w:t>
      </w:r>
      <w:r w:rsidR="00B06F63" w:rsidRPr="00E05D11">
        <w:rPr>
          <w:rFonts w:eastAsia="Calibri" w:cs="Calibri"/>
          <w:szCs w:val="24"/>
          <w:lang w:val="en-GB"/>
        </w:rPr>
        <w:t>.</w:t>
      </w:r>
      <w:r w:rsidR="00E05D11" w:rsidRPr="00E05D11">
        <w:rPr>
          <w:rFonts w:eastAsia="Calibri" w:cs="Calibri"/>
          <w:szCs w:val="24"/>
          <w:lang w:val="en-GB"/>
        </w:rPr>
        <w:t>11</w:t>
      </w:r>
      <w:r w:rsidR="00E05D11" w:rsidRPr="00E05D11">
        <w:rPr>
          <w:lang w:val="en-GB"/>
        </w:rPr>
        <w:tab/>
      </w:r>
      <w:r w:rsidR="00B06F63" w:rsidRPr="00E05D11">
        <w:rPr>
          <w:lang w:val="en-GB"/>
        </w:rPr>
        <w:t>The committee recommends that the Council:</w:t>
      </w:r>
    </w:p>
    <w:p w14:paraId="3FDEC7A7" w14:textId="364A9FF2" w:rsidR="00B06F63" w:rsidRDefault="00B06F63"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E05D11">
        <w:rPr>
          <w:lang w:val="en-GB"/>
        </w:rPr>
        <w:t>•</w:t>
      </w:r>
      <w:r w:rsidRPr="00E05D11">
        <w:rPr>
          <w:lang w:val="en-GB"/>
        </w:rPr>
        <w:tab/>
      </w:r>
      <w:r w:rsidR="00E05D11" w:rsidRPr="00E05D11">
        <w:rPr>
          <w:lang w:val="en-GB"/>
        </w:rPr>
        <w:t xml:space="preserve">note the progress report on the implementation of the Human Resources Transformation Plan and of Resolution 48 (Rev. Bucharest, 2022) of the Plenipotentiary Conference, as contained in Document </w:t>
      </w:r>
      <w:hyperlink r:id="rId135" w:history="1">
        <w:r w:rsidR="00E05D11" w:rsidRPr="006B1098">
          <w:rPr>
            <w:rStyle w:val="Hyperlink"/>
            <w:rFonts w:cs="Times New Roman"/>
            <w:szCs w:val="20"/>
            <w:lang w:val="en-GB"/>
          </w:rPr>
          <w:t>C26/66</w:t>
        </w:r>
      </w:hyperlink>
      <w:r w:rsidR="00AD7D7D">
        <w:rPr>
          <w:rFonts w:cs="Calibri"/>
          <w:szCs w:val="24"/>
          <w:lang w:val="en-GB"/>
        </w:rPr>
        <w:t>; and</w:t>
      </w:r>
    </w:p>
    <w:p w14:paraId="6AD1A505" w14:textId="260B646E" w:rsidR="00AD7D7D" w:rsidRPr="00EA5615" w:rsidRDefault="00AD7D7D"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05D11">
        <w:rPr>
          <w:lang w:val="en-GB"/>
        </w:rPr>
        <w:t>•</w:t>
      </w:r>
      <w:r w:rsidRPr="00E05D11">
        <w:rPr>
          <w:lang w:val="en-GB"/>
        </w:rPr>
        <w:tab/>
      </w:r>
      <w:r>
        <w:rPr>
          <w:lang w:val="en-GB"/>
        </w:rPr>
        <w:t>instruct the secretariat to produce a report detailing misconduct and accountability measures taken by the secretariat by 31 July 2026</w:t>
      </w:r>
    </w:p>
    <w:p w14:paraId="57614164" w14:textId="55AA325B" w:rsidR="00F64B9D" w:rsidRPr="00EA5615" w:rsidRDefault="00CF1F87" w:rsidP="00F64B9D">
      <w:pPr>
        <w:pStyle w:val="Heading1"/>
        <w:rPr>
          <w:lang w:val="en-GB"/>
        </w:rPr>
      </w:pPr>
      <w:r w:rsidRPr="00EA5615">
        <w:rPr>
          <w:lang w:val="en-GB"/>
        </w:rPr>
        <w:t>3</w:t>
      </w:r>
      <w:r w:rsidR="00BE017B">
        <w:rPr>
          <w:lang w:val="en-GB"/>
        </w:rPr>
        <w:t>8</w:t>
      </w:r>
      <w:r w:rsidR="00F64B9D" w:rsidRPr="00EA5615">
        <w:rPr>
          <w:lang w:val="en-GB"/>
        </w:rPr>
        <w:tab/>
        <w:t xml:space="preserve">Changes in the conditions of service under the United Nations common system (Document </w:t>
      </w:r>
      <w:hyperlink r:id="rId136" w:history="1">
        <w:r w:rsidR="00F64B9D" w:rsidRPr="00EA5615">
          <w:rPr>
            <w:rStyle w:val="Hyperlink"/>
            <w:bCs/>
            <w:lang w:val="en-GB"/>
          </w:rPr>
          <w:t>C26/</w:t>
        </w:r>
        <w:r w:rsidR="00F64B9D" w:rsidRPr="00EA5615">
          <w:rPr>
            <w:rStyle w:val="Hyperlink"/>
            <w:lang w:val="en-GB"/>
          </w:rPr>
          <w:t>23</w:t>
        </w:r>
      </w:hyperlink>
      <w:r w:rsidR="00F64B9D" w:rsidRPr="00EA5615">
        <w:rPr>
          <w:lang w:val="en-GB"/>
        </w:rPr>
        <w:t>)</w:t>
      </w:r>
    </w:p>
    <w:p w14:paraId="26059942" w14:textId="1DF1C6FE" w:rsidR="00E46DBA" w:rsidRPr="00CE604C" w:rsidRDefault="00CF1F87" w:rsidP="00E46DBA">
      <w:pPr>
        <w:rPr>
          <w:lang w:val="en-GB"/>
        </w:rPr>
      </w:pPr>
      <w:r w:rsidRPr="00CE604C">
        <w:rPr>
          <w:rFonts w:eastAsia="Calibri" w:cs="Calibri"/>
          <w:lang w:val="en-GB"/>
        </w:rPr>
        <w:t>3</w:t>
      </w:r>
      <w:r w:rsidR="00BE017B">
        <w:rPr>
          <w:rFonts w:eastAsia="Calibri" w:cs="Calibri"/>
          <w:lang w:val="en-GB"/>
        </w:rPr>
        <w:t>8</w:t>
      </w:r>
      <w:r w:rsidR="00460362" w:rsidRPr="00CE604C">
        <w:rPr>
          <w:rFonts w:eastAsia="Calibri" w:cs="Calibri"/>
          <w:lang w:val="en-GB"/>
        </w:rPr>
        <w:t>.1</w:t>
      </w:r>
      <w:r w:rsidR="00460362" w:rsidRPr="008F4800">
        <w:rPr>
          <w:rFonts w:eastAsia="Calibri"/>
          <w:lang w:val="en-GB"/>
        </w:rPr>
        <w:tab/>
      </w:r>
      <w:r w:rsidR="00E46DBA" w:rsidRPr="00CE604C">
        <w:rPr>
          <w:lang w:val="en-GB"/>
        </w:rPr>
        <w:t xml:space="preserve">The Chief of HRMD introduced Document C26/23, which contained a report on recent changes in the conditions of service in accordance with UNGA Resolution 80/236 of </w:t>
      </w:r>
      <w:r w:rsidR="00E46DBA" w:rsidRPr="7805C163">
        <w:rPr>
          <w:lang w:val="en-GB"/>
        </w:rPr>
        <w:t>3</w:t>
      </w:r>
      <w:r w:rsidR="08F20DEC" w:rsidRPr="7805C163">
        <w:rPr>
          <w:lang w:val="en-GB"/>
        </w:rPr>
        <w:t>0</w:t>
      </w:r>
      <w:r w:rsidR="00E46DBA" w:rsidRPr="00CE604C">
        <w:rPr>
          <w:lang w:val="en-GB"/>
        </w:rPr>
        <w:t> December 2025, on the United Nations common system, adopted on the basis of recommendations made by the International Civil Service Commission</w:t>
      </w:r>
      <w:r w:rsidR="00056011">
        <w:rPr>
          <w:lang w:val="en-GB"/>
        </w:rPr>
        <w:t xml:space="preserve"> (ICSC)</w:t>
      </w:r>
      <w:r w:rsidR="00E46DBA" w:rsidRPr="00CE604C">
        <w:rPr>
          <w:lang w:val="en-GB"/>
        </w:rPr>
        <w:t>.</w:t>
      </w:r>
    </w:p>
    <w:p w14:paraId="3FD53D3D" w14:textId="5F6BAEC0" w:rsidR="00E46DBA" w:rsidRPr="00CE604C" w:rsidRDefault="00E46DBA" w:rsidP="00E46DBA">
      <w:pPr>
        <w:rPr>
          <w:lang w:val="en-GB"/>
        </w:rPr>
      </w:pPr>
      <w:r w:rsidRPr="00CE604C">
        <w:rPr>
          <w:lang w:val="en-GB"/>
        </w:rPr>
        <w:t>3</w:t>
      </w:r>
      <w:r w:rsidR="00BE017B">
        <w:rPr>
          <w:lang w:val="en-GB"/>
        </w:rPr>
        <w:t>8</w:t>
      </w:r>
      <w:r w:rsidRPr="00CE604C">
        <w:rPr>
          <w:lang w:val="en-GB"/>
        </w:rPr>
        <w:t>.2</w:t>
      </w:r>
      <w:r w:rsidRPr="00CE604C">
        <w:rPr>
          <w:lang w:val="en-GB"/>
        </w:rPr>
        <w:tab/>
        <w:t xml:space="preserve">The Chief of FRMD, responding to questions from a councillor and an observer on the financial implications of the changes, explained that, as far as possible, the changes would be absorbed by the regular budget. He recalled that, if necessary, the Secretary-General had been authorized by the Council, in Resolution 1435 (C25), on the biennial budget of the Union for 2026–2027, to adjust the appropriations in relation to expenses associated with changes in the conditions of service under the United Nations common system through use of the Reserve Account. </w:t>
      </w:r>
    </w:p>
    <w:p w14:paraId="3C86592D" w14:textId="411BE998" w:rsidR="00F64B9D" w:rsidRPr="00CE604C" w:rsidRDefault="00E46DBA" w:rsidP="00E46DBA">
      <w:pPr>
        <w:spacing w:line="259" w:lineRule="auto"/>
        <w:rPr>
          <w:rFonts w:eastAsia="Calibri" w:cs="Calibri"/>
          <w:szCs w:val="24"/>
          <w:lang w:val="en-GB"/>
        </w:rPr>
      </w:pPr>
      <w:r w:rsidRPr="00CE604C">
        <w:rPr>
          <w:lang w:val="en-GB"/>
        </w:rPr>
        <w:t>3</w:t>
      </w:r>
      <w:r w:rsidR="00BE017B">
        <w:rPr>
          <w:lang w:val="en-GB"/>
        </w:rPr>
        <w:t>8</w:t>
      </w:r>
      <w:r w:rsidRPr="00CE604C">
        <w:rPr>
          <w:lang w:val="en-GB"/>
        </w:rPr>
        <w:t>.3</w:t>
      </w:r>
      <w:r w:rsidRPr="00CE604C">
        <w:rPr>
          <w:lang w:val="en-GB"/>
        </w:rPr>
        <w:tab/>
        <w:t>Several councillors and an observer emphasized the importance of maintaining alignment with the United Nations common system and adhering to UNGA resolutions</w:t>
      </w:r>
      <w:r w:rsidR="00F64B9D" w:rsidRPr="00CE604C">
        <w:rPr>
          <w:rFonts w:eastAsia="Calibri" w:cs="Calibri"/>
          <w:szCs w:val="24"/>
          <w:lang w:val="en-GB"/>
        </w:rPr>
        <w:t xml:space="preserve">.  </w:t>
      </w:r>
    </w:p>
    <w:p w14:paraId="0917D79C" w14:textId="66DD50FF" w:rsidR="00F64B9D" w:rsidRPr="00CE604C" w:rsidRDefault="00CF1F87" w:rsidP="00C44A2E">
      <w:pPr>
        <w:keepNext/>
        <w:keepLines/>
        <w:spacing w:line="259" w:lineRule="auto"/>
        <w:rPr>
          <w:rFonts w:eastAsia="Calibri" w:cs="Calibri"/>
          <w:szCs w:val="24"/>
          <w:lang w:val="en-GB"/>
        </w:rPr>
      </w:pPr>
      <w:r w:rsidRPr="00CE604C">
        <w:rPr>
          <w:rFonts w:eastAsia="Calibri" w:cs="Calibri"/>
          <w:szCs w:val="24"/>
          <w:lang w:val="en-GB"/>
        </w:rPr>
        <w:t>3</w:t>
      </w:r>
      <w:r w:rsidR="00BE017B">
        <w:rPr>
          <w:rFonts w:eastAsia="Calibri" w:cs="Calibri"/>
          <w:szCs w:val="24"/>
          <w:lang w:val="en-GB"/>
        </w:rPr>
        <w:t>8</w:t>
      </w:r>
      <w:r w:rsidR="00F64B9D" w:rsidRPr="00CE604C">
        <w:rPr>
          <w:rFonts w:eastAsia="Calibri" w:cs="Calibri"/>
          <w:szCs w:val="24"/>
          <w:lang w:val="en-GB"/>
        </w:rPr>
        <w:t>.</w:t>
      </w:r>
      <w:r w:rsidR="00E46DBA" w:rsidRPr="00CE604C">
        <w:rPr>
          <w:rFonts w:eastAsia="Calibri" w:cs="Calibri"/>
          <w:szCs w:val="24"/>
          <w:lang w:val="en-GB"/>
        </w:rPr>
        <w:t>4</w:t>
      </w:r>
      <w:r w:rsidR="00F64B9D" w:rsidRPr="00CE604C">
        <w:rPr>
          <w:rFonts w:eastAsia="Calibri" w:cs="Calibri"/>
          <w:szCs w:val="24"/>
          <w:lang w:val="en-GB"/>
        </w:rPr>
        <w:tab/>
        <w:t xml:space="preserve">The committee </w:t>
      </w:r>
      <w:r w:rsidR="00F64B9D" w:rsidRPr="00CE604C">
        <w:rPr>
          <w:rFonts w:eastAsia="Calibri" w:cs="Calibri"/>
          <w:b/>
          <w:bCs/>
          <w:szCs w:val="24"/>
          <w:lang w:val="en-GB"/>
        </w:rPr>
        <w:t>agreed</w:t>
      </w:r>
      <w:r w:rsidR="00F64B9D" w:rsidRPr="00CE604C">
        <w:rPr>
          <w:rFonts w:eastAsia="Calibri" w:cs="Calibri"/>
          <w:szCs w:val="24"/>
          <w:lang w:val="en-GB"/>
        </w:rPr>
        <w:t xml:space="preserve"> to conclude as follows on the matter:</w:t>
      </w:r>
    </w:p>
    <w:p w14:paraId="72B7415A" w14:textId="53792C3D" w:rsidR="00F64B9D" w:rsidRPr="00CE604C" w:rsidRDefault="00CF1F87" w:rsidP="00C44A2E">
      <w:pPr>
        <w:keepNext/>
        <w:keepLines/>
        <w:pBdr>
          <w:top w:val="single" w:sz="4" w:space="4" w:color="000000"/>
          <w:left w:val="single" w:sz="4" w:space="4" w:color="000000"/>
          <w:bottom w:val="single" w:sz="4" w:space="4" w:color="000000"/>
          <w:right w:val="single" w:sz="4" w:space="4" w:color="000000"/>
        </w:pBdr>
        <w:spacing w:line="259" w:lineRule="auto"/>
        <w:rPr>
          <w:rFonts w:eastAsia="Calibri"/>
          <w:lang w:val="en-GB"/>
        </w:rPr>
      </w:pPr>
      <w:r w:rsidRPr="00CE604C">
        <w:rPr>
          <w:rFonts w:eastAsia="Calibri" w:cs="Calibri"/>
          <w:szCs w:val="24"/>
          <w:lang w:val="en-GB"/>
        </w:rPr>
        <w:t>3</w:t>
      </w:r>
      <w:r w:rsidR="00BE017B">
        <w:rPr>
          <w:rFonts w:eastAsia="Calibri" w:cs="Calibri"/>
          <w:szCs w:val="24"/>
          <w:lang w:val="en-GB"/>
        </w:rPr>
        <w:t>8</w:t>
      </w:r>
      <w:r w:rsidR="00F64B9D" w:rsidRPr="00CE604C">
        <w:rPr>
          <w:rFonts w:eastAsia="Calibri" w:cs="Calibri"/>
          <w:szCs w:val="24"/>
          <w:lang w:val="en-GB"/>
        </w:rPr>
        <w:t>.</w:t>
      </w:r>
      <w:r w:rsidR="00E46DBA" w:rsidRPr="00CE604C">
        <w:rPr>
          <w:rFonts w:eastAsia="Calibri" w:cs="Calibri"/>
          <w:szCs w:val="24"/>
          <w:lang w:val="en-GB"/>
        </w:rPr>
        <w:t>5</w:t>
      </w:r>
      <w:r w:rsidR="00F64B9D" w:rsidRPr="00CE604C">
        <w:rPr>
          <w:lang w:val="en-GB"/>
        </w:rPr>
        <w:tab/>
      </w:r>
      <w:r w:rsidR="00F64B9D" w:rsidRPr="00CE604C">
        <w:rPr>
          <w:rFonts w:eastAsia="Calibri"/>
          <w:lang w:val="en-GB"/>
        </w:rPr>
        <w:t>The committee recommends that the Council:</w:t>
      </w:r>
    </w:p>
    <w:p w14:paraId="7B53170C" w14:textId="6AA305B0" w:rsidR="00F64B9D" w:rsidRPr="00CE604C" w:rsidRDefault="00F64B9D"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CE604C">
        <w:rPr>
          <w:lang w:val="en-GB"/>
        </w:rPr>
        <w:t>•</w:t>
      </w:r>
      <w:r w:rsidRPr="00CE604C">
        <w:rPr>
          <w:lang w:val="en-GB"/>
        </w:rPr>
        <w:tab/>
      </w:r>
      <w:r w:rsidR="00136570" w:rsidRPr="00CE604C">
        <w:rPr>
          <w:lang w:val="en-GB"/>
        </w:rPr>
        <w:t>take note of the implementation by the Secretary-General of resolutions of the United Nations General Assembly regarding changes to the conditions of service for appointed staff, in accordance with the ITU Staff Regulations and Staff Rules, the established procedures of the International Civil Service Commission and Council Resolution 647 (C-1969, last amended C03)</w:t>
      </w:r>
      <w:r w:rsidRPr="00CE604C">
        <w:rPr>
          <w:lang w:val="en-GB"/>
        </w:rPr>
        <w:t>; and</w:t>
      </w:r>
    </w:p>
    <w:p w14:paraId="3DA82337" w14:textId="4F2CFD3B" w:rsidR="00F64B9D" w:rsidRPr="00CE604C" w:rsidRDefault="00F64B9D"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eastAsia="Calibri"/>
          <w:lang w:val="en-GB"/>
        </w:rPr>
      </w:pPr>
      <w:r w:rsidRPr="00CE604C">
        <w:rPr>
          <w:lang w:val="en-GB"/>
        </w:rPr>
        <w:t>•</w:t>
      </w:r>
      <w:r w:rsidRPr="00CE604C">
        <w:rPr>
          <w:lang w:val="en-GB"/>
        </w:rPr>
        <w:tab/>
      </w:r>
      <w:r w:rsidR="00CE604C" w:rsidRPr="00CE604C">
        <w:rPr>
          <w:lang w:val="en-GB"/>
        </w:rPr>
        <w:t>approve the salary scale and the pensionable remuneration applicable to elected officials, as they appear in the draft resolution contained i</w:t>
      </w:r>
      <w:r w:rsidR="00CE604C" w:rsidRPr="002775D5">
        <w:rPr>
          <w:lang w:val="en-GB"/>
        </w:rPr>
        <w:t xml:space="preserve">n </w:t>
      </w:r>
      <w:hyperlink w:anchor="Annex_E" w:history="1">
        <w:r w:rsidR="0078003E" w:rsidRPr="00C44A2E">
          <w:rPr>
            <w:rStyle w:val="Hyperlink"/>
            <w:rFonts w:cs="Times New Roman"/>
            <w:b/>
            <w:szCs w:val="20"/>
            <w:lang w:val="en-GB"/>
          </w:rPr>
          <w:t xml:space="preserve">Annex </w:t>
        </w:r>
        <w:r w:rsidR="0078003E" w:rsidRPr="00C44A2E">
          <w:rPr>
            <w:rStyle w:val="Hyperlink"/>
            <w:rFonts w:cs="Times New Roman"/>
            <w:szCs w:val="20"/>
            <w:lang w:val="en-GB"/>
          </w:rPr>
          <w:t>E</w:t>
        </w:r>
      </w:hyperlink>
      <w:r w:rsidR="00CE604C" w:rsidRPr="00CE604C">
        <w:rPr>
          <w:lang w:val="en-GB"/>
        </w:rPr>
        <w:t xml:space="preserve"> hereto</w:t>
      </w:r>
      <w:r w:rsidR="001E0A1B" w:rsidRPr="00CE604C">
        <w:rPr>
          <w:rFonts w:eastAsia="Calibri" w:cs="Calibri"/>
          <w:szCs w:val="24"/>
          <w:lang w:val="en-GB"/>
        </w:rPr>
        <w:t>.</w:t>
      </w:r>
    </w:p>
    <w:p w14:paraId="5D159914" w14:textId="55C95222" w:rsidR="00A02C11" w:rsidRPr="00EA5615" w:rsidRDefault="00CF1F87" w:rsidP="00C44A2E">
      <w:pPr>
        <w:pStyle w:val="Heading1"/>
        <w:keepNext w:val="0"/>
        <w:keepLines w:val="0"/>
        <w:rPr>
          <w:lang w:val="en-GB"/>
        </w:rPr>
      </w:pPr>
      <w:r w:rsidRPr="00E5309F">
        <w:rPr>
          <w:lang w:val="en-GB"/>
        </w:rPr>
        <w:t>3</w:t>
      </w:r>
      <w:r w:rsidR="00BE017B" w:rsidRPr="00E5309F">
        <w:rPr>
          <w:lang w:val="en-GB"/>
        </w:rPr>
        <w:t>9</w:t>
      </w:r>
      <w:r w:rsidR="00A02C11" w:rsidRPr="00EA5615">
        <w:rPr>
          <w:lang w:val="en-GB"/>
        </w:rPr>
        <w:tab/>
        <w:t xml:space="preserve">ITU Human Resources Strategic Plan 2026-2027 (Document </w:t>
      </w:r>
      <w:hyperlink r:id="rId137">
        <w:r w:rsidR="00A02C11" w:rsidRPr="6D6A5C68">
          <w:rPr>
            <w:rStyle w:val="Hyperlink"/>
            <w:lang w:val="en-GB"/>
          </w:rPr>
          <w:t>C26/67</w:t>
        </w:r>
      </w:hyperlink>
      <w:r w:rsidR="00A02C11" w:rsidRPr="00EA5615">
        <w:rPr>
          <w:lang w:val="en-GB"/>
        </w:rPr>
        <w:t>)</w:t>
      </w:r>
    </w:p>
    <w:p w14:paraId="0126BD5B" w14:textId="61606C2E" w:rsidR="00D45332" w:rsidRPr="00E5309F" w:rsidRDefault="00CF1F87" w:rsidP="00C44A2E">
      <w:pPr>
        <w:rPr>
          <w:lang w:val="en-GB"/>
        </w:rPr>
      </w:pPr>
      <w:r w:rsidRPr="00E5309F">
        <w:rPr>
          <w:rFonts w:eastAsia="Calibri" w:cs="Calibri"/>
          <w:lang w:val="en-GB"/>
        </w:rPr>
        <w:t>3</w:t>
      </w:r>
      <w:r w:rsidR="00BE017B" w:rsidRPr="00E5309F">
        <w:rPr>
          <w:rFonts w:eastAsia="Calibri" w:cs="Calibri"/>
          <w:lang w:val="en-GB"/>
        </w:rPr>
        <w:t>9</w:t>
      </w:r>
      <w:r w:rsidR="00B77FE5" w:rsidRPr="00E5309F">
        <w:rPr>
          <w:rFonts w:eastAsia="Calibri" w:cs="Calibri"/>
          <w:lang w:val="en-GB"/>
        </w:rPr>
        <w:t>.1</w:t>
      </w:r>
      <w:r w:rsidR="00D45332" w:rsidRPr="00E5309F">
        <w:rPr>
          <w:lang w:val="en-GB"/>
        </w:rPr>
        <w:tab/>
        <w:t>The Chief of HRMD introduced Document C26/67, which contained the ITU Human Resources Strategic Plan (HRSP) for the period 2026-2027, aligned with the ITU Strategic Plan 2024-2027 and Resolution 48 (Rev. Bucharest, 2022) of the Plenipotentiary Conference. The plan was organized around five mutually reinforcing pillars, each of which had a set of initiatives for the 2026-2027 biennium. Implementation would be operationalized through the annual HRMD work plan, supported by an implementation roadmap setting out indicators and timelines. Progress would be reported through established governance channels, and the results and data gathered would serve as a baseline to inform the subsequent strategic plan cycle and the development of updated indicators and targets.</w:t>
      </w:r>
    </w:p>
    <w:p w14:paraId="463B06BA" w14:textId="0BFBA644" w:rsidR="00D45332" w:rsidRPr="00E5309F" w:rsidRDefault="00D45332" w:rsidP="00D45332">
      <w:pPr>
        <w:rPr>
          <w:lang w:val="en-GB"/>
        </w:rPr>
      </w:pPr>
      <w:r w:rsidRPr="00E5309F">
        <w:rPr>
          <w:lang w:val="en-GB"/>
        </w:rPr>
        <w:t>39.2</w:t>
      </w:r>
      <w:r w:rsidRPr="00C8562D">
        <w:rPr>
          <w:lang w:val="en-GB"/>
        </w:rPr>
        <w:tab/>
      </w:r>
      <w:r w:rsidRPr="00E5309F">
        <w:rPr>
          <w:lang w:val="en-GB"/>
        </w:rPr>
        <w:t>Councillors and an observer commended the HRSP, which provided a welcome focus on staff well-being, inclusion and employee engagement. It recognized that institutional effectiveness and organizational resilience were directly linked to ITU’s ability to attract, develop and retain skilled personnel in an evolving digital environment. The emphasis on leadership and people management as key drivers of the future of ITU was highlighted, and the importance of ensuring geographical representation in hiring practices, particularly for developing countries, was underscored.</w:t>
      </w:r>
    </w:p>
    <w:p w14:paraId="617DF007" w14:textId="50262C69" w:rsidR="00D45332" w:rsidRPr="00E5309F" w:rsidRDefault="00D45332" w:rsidP="00D45332">
      <w:pPr>
        <w:rPr>
          <w:lang w:val="en-GB"/>
        </w:rPr>
      </w:pPr>
      <w:r w:rsidRPr="00E5309F">
        <w:rPr>
          <w:lang w:val="en-GB"/>
        </w:rPr>
        <w:t>39.3</w:t>
      </w:r>
      <w:r w:rsidRPr="00D10B10">
        <w:rPr>
          <w:lang w:val="en-GB"/>
        </w:rPr>
        <w:tab/>
      </w:r>
      <w:r w:rsidRPr="00E5309F">
        <w:rPr>
          <w:lang w:val="en-GB"/>
        </w:rPr>
        <w:t xml:space="preserve">One councillor, emphasizing the importance of ensuring that the scope of activities remained realistic in view of the existing resources, said that the implementation roadmap would benefit from the inclusion of clearer baseline data and measurable targets. </w:t>
      </w:r>
      <w:r w:rsidR="0B7B13BB" w:rsidRPr="49D1D4ED">
        <w:rPr>
          <w:lang w:val="en-GB"/>
        </w:rPr>
        <w:t xml:space="preserve"> An observer suggested that, to improve implementation of the HRSP, the outcomes of the HRTP could be reviewed to identify lessons for the future and inform the application of results-based management</w:t>
      </w:r>
      <w:r w:rsidRPr="00E5309F">
        <w:rPr>
          <w:lang w:val="en-GB"/>
        </w:rPr>
        <w:t xml:space="preserve">. </w:t>
      </w:r>
    </w:p>
    <w:p w14:paraId="376E1569" w14:textId="22020F69" w:rsidR="00D45332" w:rsidRPr="00E5309F" w:rsidRDefault="00D45332" w:rsidP="00D45332">
      <w:pPr>
        <w:rPr>
          <w:lang w:val="en-GB"/>
        </w:rPr>
      </w:pPr>
      <w:r w:rsidRPr="00E5309F">
        <w:rPr>
          <w:lang w:val="en-GB"/>
        </w:rPr>
        <w:t>39.4</w:t>
      </w:r>
      <w:r w:rsidRPr="00E5309F">
        <w:rPr>
          <w:lang w:val="en-GB"/>
        </w:rPr>
        <w:tab/>
        <w:t>Another councillor said that periodic reviews of job profiles and assigned activities could help to optimize the use of existing capacities, allowing emerging tasks to be absorbed by current staff where feasible and thereby supporting efficiency within resource constraints. Adopting such an approach, while maintaining the flexibility to engage external resources when required, could contribute to enhanced workforce agility, better resource optimization and overall organizational effectiveness. An observer highlighted the importance of ensuring that any potential use of AI in the secretariat’s work was monitored by staff members.</w:t>
      </w:r>
    </w:p>
    <w:p w14:paraId="153820F5" w14:textId="6AB3E6B8" w:rsidR="00D45332" w:rsidRPr="00E5309F" w:rsidRDefault="00D45332" w:rsidP="00D45332">
      <w:pPr>
        <w:rPr>
          <w:lang w:val="en-GB"/>
        </w:rPr>
      </w:pPr>
      <w:r w:rsidRPr="00E5309F">
        <w:rPr>
          <w:lang w:val="en-GB"/>
        </w:rPr>
        <w:t>39.5</w:t>
      </w:r>
      <w:r w:rsidRPr="00E5309F">
        <w:rPr>
          <w:lang w:val="en-GB"/>
        </w:rPr>
        <w:tab/>
        <w:t>In view of the stated intention to establish more flexible contract modalities, strict compliance with ICSC rules and standards was encouraged. Noting the importance of merit-based recruitment, one councillor highlighted that, in August 2025, the Oversight Unit had raised concerns about short-term recruitment processes conducted without competition and that HRMD was still considering whether to introduce conflict-of-interest and candidate-sourcing declarations. She requested a commitment from HRMD and the secretariat to implement such common-sense accountability measures no later than PP</w:t>
      </w:r>
      <w:r w:rsidRPr="00E5309F">
        <w:rPr>
          <w:lang w:val="en-GB"/>
        </w:rPr>
        <w:noBreakHyphen/>
        <w:t>26.</w:t>
      </w:r>
    </w:p>
    <w:p w14:paraId="2555193E" w14:textId="25D61375" w:rsidR="00D45332" w:rsidRPr="00E5309F" w:rsidRDefault="00D45332" w:rsidP="00D45332">
      <w:pPr>
        <w:spacing w:line="259" w:lineRule="auto"/>
        <w:rPr>
          <w:rFonts w:eastAsia="Calibri" w:cs="Calibri"/>
          <w:lang w:val="en-GB"/>
        </w:rPr>
      </w:pPr>
      <w:r w:rsidRPr="00E5309F">
        <w:rPr>
          <w:lang w:val="en-GB"/>
        </w:rPr>
        <w:t>39.6</w:t>
      </w:r>
      <w:r w:rsidRPr="00E5309F">
        <w:rPr>
          <w:lang w:val="en-GB"/>
        </w:rPr>
        <w:tab/>
        <w:t>The Chief of HRMD, responding to questions from councillors, said that the key performance indicator framework and outcome-based metrics would continue to be strengthened. Alignment between roles and organizational needs had already been enhanced. The use of internal talent was prioritized, and appointments under special service agreements were advertised in accordance with the relevant regulatory framework. All individuals hired by ITU in any capacity were vetted before being brought on board. The process of alignment with the UN80 initiative remained ongoing; efforts to make improvements and introduce efficiencies in line with the initiative continued</w:t>
      </w:r>
      <w:r w:rsidRPr="00E5309F">
        <w:rPr>
          <w:rFonts w:eastAsia="Calibri" w:cs="Calibri"/>
          <w:lang w:val="en-GB"/>
        </w:rPr>
        <w:t xml:space="preserve">. </w:t>
      </w:r>
    </w:p>
    <w:p w14:paraId="2E8D3CA5" w14:textId="441606E3" w:rsidR="00B77FE5" w:rsidRPr="00EA5615" w:rsidRDefault="00CF1F87" w:rsidP="00B77FE5">
      <w:pPr>
        <w:spacing w:line="259" w:lineRule="auto"/>
        <w:rPr>
          <w:rFonts w:eastAsia="Calibri" w:cs="Calibri"/>
          <w:lang w:val="en-GB"/>
        </w:rPr>
      </w:pPr>
      <w:r w:rsidRPr="6D6A5C68">
        <w:rPr>
          <w:rFonts w:eastAsia="Calibri" w:cs="Calibri"/>
          <w:spacing w:val="-4"/>
          <w:lang w:val="en-GB"/>
        </w:rPr>
        <w:t>3</w:t>
      </w:r>
      <w:r w:rsidR="00BE017B" w:rsidRPr="6D6A5C68">
        <w:rPr>
          <w:rFonts w:eastAsia="Calibri" w:cs="Calibri"/>
          <w:spacing w:val="-4"/>
          <w:lang w:val="en-GB"/>
        </w:rPr>
        <w:t>9</w:t>
      </w:r>
      <w:r w:rsidR="00B77FE5" w:rsidRPr="6D6A5C68">
        <w:rPr>
          <w:rFonts w:eastAsia="Calibri" w:cs="Calibri"/>
          <w:spacing w:val="-4"/>
          <w:lang w:val="en-GB"/>
        </w:rPr>
        <w:t>.</w:t>
      </w:r>
      <w:r w:rsidR="00D45332" w:rsidRPr="6D6A5C68">
        <w:rPr>
          <w:rFonts w:eastAsia="Calibri" w:cs="Calibri"/>
          <w:spacing w:val="-4"/>
          <w:lang w:val="en-GB"/>
        </w:rPr>
        <w:t>7</w:t>
      </w:r>
      <w:r w:rsidR="00B77FE5" w:rsidRPr="00EA5615">
        <w:rPr>
          <w:rFonts w:eastAsia="Calibri" w:cs="Calibri"/>
          <w:szCs w:val="24"/>
          <w:lang w:val="en-GB"/>
        </w:rPr>
        <w:tab/>
      </w:r>
      <w:r w:rsidR="00B77FE5" w:rsidRPr="6D6A5C68">
        <w:rPr>
          <w:rFonts w:eastAsia="Calibri" w:cs="Calibri"/>
          <w:lang w:val="en-GB"/>
        </w:rPr>
        <w:t xml:space="preserve">The committee </w:t>
      </w:r>
      <w:r w:rsidR="00B77FE5" w:rsidRPr="6D6A5C68">
        <w:rPr>
          <w:rFonts w:eastAsia="Calibri" w:cs="Calibri"/>
          <w:b/>
          <w:lang w:val="en-GB"/>
        </w:rPr>
        <w:t>agreed</w:t>
      </w:r>
      <w:r w:rsidR="00B77FE5" w:rsidRPr="6D6A5C68">
        <w:rPr>
          <w:rFonts w:eastAsia="Calibri" w:cs="Calibri"/>
          <w:lang w:val="en-GB"/>
        </w:rPr>
        <w:t xml:space="preserve"> to conclude as follows on the matter:</w:t>
      </w:r>
    </w:p>
    <w:p w14:paraId="044FA51A" w14:textId="1C1300D8" w:rsidR="00995AC1" w:rsidRDefault="00CF1F87" w:rsidP="00B77FE5">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3</w:t>
      </w:r>
      <w:r w:rsidR="00BE017B" w:rsidRPr="6D6A5C68">
        <w:rPr>
          <w:rFonts w:eastAsia="Calibri" w:cs="Calibri"/>
          <w:lang w:val="en-GB"/>
        </w:rPr>
        <w:t>9</w:t>
      </w:r>
      <w:r w:rsidR="00B77FE5" w:rsidRPr="6D6A5C68">
        <w:rPr>
          <w:rFonts w:eastAsia="Calibri" w:cs="Calibri"/>
          <w:lang w:val="en-GB"/>
        </w:rPr>
        <w:t>.</w:t>
      </w:r>
      <w:r w:rsidR="00D45332" w:rsidRPr="6D6A5C68">
        <w:rPr>
          <w:rFonts w:eastAsia="Calibri" w:cs="Calibri"/>
          <w:lang w:val="en-GB"/>
        </w:rPr>
        <w:t>8</w:t>
      </w:r>
      <w:r w:rsidR="00B77FE5" w:rsidRPr="00E5309F">
        <w:rPr>
          <w:lang w:val="en-GB"/>
        </w:rPr>
        <w:tab/>
        <w:t>The committee recommends that the Council:</w:t>
      </w:r>
    </w:p>
    <w:p w14:paraId="209E785F" w14:textId="081626A2" w:rsidR="00A02C11" w:rsidRPr="00EA5615" w:rsidRDefault="00B77FE5"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5309F">
        <w:rPr>
          <w:lang w:val="en-GB"/>
        </w:rPr>
        <w:t>•</w:t>
      </w:r>
      <w:r w:rsidRPr="00E5309F">
        <w:rPr>
          <w:lang w:val="en-GB"/>
        </w:rPr>
        <w:tab/>
      </w:r>
      <w:r w:rsidR="00D45332" w:rsidRPr="00E5309F">
        <w:rPr>
          <w:lang w:val="en-GB"/>
        </w:rPr>
        <w:t>approve the ITU Human Resources Strategic Plan 2026-2027 contained in Document</w:t>
      </w:r>
      <w:r w:rsidR="00E5309F" w:rsidRPr="00E5309F">
        <w:rPr>
          <w:lang w:val="en-GB"/>
        </w:rPr>
        <w:t xml:space="preserve"> </w:t>
      </w:r>
      <w:hyperlink r:id="rId138" w:history="1">
        <w:r w:rsidR="00E5309F" w:rsidRPr="00995AC1">
          <w:rPr>
            <w:rStyle w:val="Hyperlink"/>
            <w:rFonts w:cs="Times New Roman"/>
            <w:szCs w:val="20"/>
            <w:lang w:val="en-GB"/>
          </w:rPr>
          <w:t>C26/67</w:t>
        </w:r>
      </w:hyperlink>
      <w:r w:rsidRPr="00E5309F">
        <w:rPr>
          <w:rFonts w:cs="Calibri"/>
          <w:szCs w:val="24"/>
          <w:lang w:val="en-GB"/>
        </w:rPr>
        <w:t>.</w:t>
      </w:r>
    </w:p>
    <w:p w14:paraId="64823BC8" w14:textId="6C49A042" w:rsidR="00300DB0" w:rsidRPr="00EA5615" w:rsidRDefault="00BE017B" w:rsidP="00300DB0">
      <w:pPr>
        <w:pStyle w:val="Heading1"/>
        <w:rPr>
          <w:lang w:val="en-GB"/>
        </w:rPr>
      </w:pPr>
      <w:r>
        <w:rPr>
          <w:lang w:val="en-GB"/>
        </w:rPr>
        <w:t>40</w:t>
      </w:r>
      <w:r w:rsidR="00300DB0" w:rsidRPr="00EA5615">
        <w:rPr>
          <w:bCs/>
          <w:lang w:val="en-GB"/>
        </w:rPr>
        <w:tab/>
      </w:r>
      <w:r w:rsidR="00300DB0" w:rsidRPr="00EA5615">
        <w:rPr>
          <w:lang w:val="en-GB"/>
        </w:rPr>
        <w:t xml:space="preserve">Strengthening ITU’s internal digital foundations for transformation – Strategy, enterprise architecture, ICT governance and IT operating model (Document </w:t>
      </w:r>
      <w:hyperlink r:id="rId139">
        <w:r w:rsidR="00300DB0" w:rsidRPr="6D6A5C68">
          <w:rPr>
            <w:rStyle w:val="Hyperlink"/>
            <w:lang w:val="en-GB"/>
          </w:rPr>
          <w:t>C26/62</w:t>
        </w:r>
      </w:hyperlink>
      <w:r w:rsidR="00300DB0" w:rsidRPr="00EA5615">
        <w:rPr>
          <w:lang w:val="en-GB"/>
        </w:rPr>
        <w:t>)</w:t>
      </w:r>
    </w:p>
    <w:p w14:paraId="2D96E79F" w14:textId="782F8C99" w:rsidR="00C806CB" w:rsidRPr="00B7035F" w:rsidRDefault="00BE017B" w:rsidP="00C806CB">
      <w:pPr>
        <w:rPr>
          <w:lang w:val="en-GB"/>
        </w:rPr>
      </w:pPr>
      <w:r w:rsidRPr="00B7035F">
        <w:rPr>
          <w:rFonts w:eastAsia="Calibri" w:cs="Calibri"/>
          <w:lang w:val="en-GB"/>
        </w:rPr>
        <w:t>40</w:t>
      </w:r>
      <w:r w:rsidR="00B77FE5" w:rsidRPr="00D8183C">
        <w:rPr>
          <w:rFonts w:eastAsia="Calibri" w:cs="Calibri"/>
          <w:lang w:val="en-GB"/>
        </w:rPr>
        <w:t>.1</w:t>
      </w:r>
      <w:r w:rsidR="00B77FE5" w:rsidRPr="00D8183C">
        <w:rPr>
          <w:lang w:val="en-GB"/>
        </w:rPr>
        <w:tab/>
      </w:r>
      <w:r w:rsidR="00C806CB" w:rsidRPr="00B7035F">
        <w:rPr>
          <w:lang w:val="en-GB"/>
        </w:rPr>
        <w:t xml:space="preserve">The Chief Information Officer presented the report contained in Document C26/62, on strengthening the Union’s internal digital foundations for transformation. The document set out the progress that had been made in developing the core building blocks required for the Union’s transition towards a more digitally resilient, secure, data-driven, AI-enabled organization. She provided an overview of those building blocks – a digital transformation strategy and strategic plan for the period 2026–2027, an enterprise architecture programme, a digital governance framework and a redesigned Information Services Department (ISD) operating model – which, together, formed a fully integrated internal digital transformation ecosystem. Additional information had been made available in Document C26/INF/6. </w:t>
      </w:r>
    </w:p>
    <w:p w14:paraId="11407AEF" w14:textId="51FFFA69" w:rsidR="00C806CB" w:rsidRPr="00B7035F" w:rsidRDefault="00C806CB" w:rsidP="00C806CB">
      <w:pPr>
        <w:rPr>
          <w:lang w:val="en-GB"/>
        </w:rPr>
      </w:pPr>
      <w:r w:rsidRPr="00B7035F">
        <w:rPr>
          <w:lang w:val="en-GB"/>
        </w:rPr>
        <w:t>40.2</w:t>
      </w:r>
      <w:r w:rsidRPr="00C44A2E">
        <w:rPr>
          <w:lang w:val="en-GB"/>
        </w:rPr>
        <w:tab/>
      </w:r>
      <w:r w:rsidRPr="00B7035F">
        <w:rPr>
          <w:lang w:val="en-GB"/>
        </w:rPr>
        <w:t xml:space="preserve">Councillors commended the progress that had been made in the Union’s internal digital transformation roadmap and applauded the integrated approach outlined in the document. The introduction of an enterprise architecture was welcomed; in future reporting, information on related governance, analysis and planning deliverables would be useful, as would information risk management, cybersecurity, technology obsolescence. </w:t>
      </w:r>
      <w:r w:rsidR="4383909C" w:rsidRPr="7B803902">
        <w:rPr>
          <w:rFonts w:eastAsia="Calibri" w:cs="Calibri"/>
          <w:szCs w:val="24"/>
          <w:lang w:val="en-GB"/>
        </w:rPr>
        <w:t>Councillors highlighted the</w:t>
      </w:r>
      <w:r w:rsidR="4383909C" w:rsidRPr="06E14C74">
        <w:rPr>
          <w:rFonts w:eastAsia="Calibri" w:cs="Calibri"/>
          <w:szCs w:val="24"/>
          <w:lang w:val="en-GB"/>
        </w:rPr>
        <w:t xml:space="preserve"> IS </w:t>
      </w:r>
      <w:r w:rsidR="4383909C" w:rsidRPr="0916A9E7">
        <w:rPr>
          <w:rFonts w:eastAsia="Calibri" w:cs="Calibri"/>
          <w:szCs w:val="24"/>
          <w:lang w:val="en-GB"/>
        </w:rPr>
        <w:t>internal Digital</w:t>
      </w:r>
      <w:r w:rsidR="4383909C" w:rsidRPr="7B803902">
        <w:rPr>
          <w:rFonts w:eastAsia="Calibri" w:cs="Calibri"/>
          <w:szCs w:val="24"/>
          <w:lang w:val="en-GB"/>
        </w:rPr>
        <w:t xml:space="preserve"> strategy as highly comprehensive and impressive, and noted that it will require appropriate funding, not only the reallocation of savings</w:t>
      </w:r>
      <w:r w:rsidR="4383909C" w:rsidRPr="291EA0AE">
        <w:rPr>
          <w:rFonts w:eastAsia="Calibri" w:cs="Calibri"/>
          <w:szCs w:val="24"/>
          <w:lang w:val="en-GB"/>
        </w:rPr>
        <w:t>.</w:t>
      </w:r>
      <w:r w:rsidR="4383909C" w:rsidRPr="7B803902">
        <w:rPr>
          <w:rFonts w:eastAsia="Calibri" w:cs="Calibri"/>
          <w:szCs w:val="24"/>
          <w:lang w:val="en-GB"/>
        </w:rPr>
        <w:t xml:space="preserve"> </w:t>
      </w:r>
      <w:r w:rsidRPr="00B7035F">
        <w:rPr>
          <w:lang w:val="en-GB"/>
        </w:rPr>
        <w:t xml:space="preserve">One councillor emphasized that inclusiveness and transparency in ICT governance were essential; the digital reform must take account of the needs and realities of all Member States and result in tangible benefits for developing countries. </w:t>
      </w:r>
      <w:r w:rsidR="42DBC913" w:rsidRPr="752730DE">
        <w:rPr>
          <w:lang w:val="en-GB"/>
        </w:rPr>
        <w:t>Information</w:t>
      </w:r>
      <w:r w:rsidR="42DBC913" w:rsidRPr="752730DE">
        <w:rPr>
          <w:rFonts w:eastAsia="Calibri" w:cs="Calibri"/>
          <w:lang w:val="en-GB"/>
        </w:rPr>
        <w:t xml:space="preserve"> criteria for external outsourcing, along with clarification of how different consulting engagements are connected, particularly those involving EY and the United Nations International Computing Centre (UNICC) would be beneficial.</w:t>
      </w:r>
    </w:p>
    <w:p w14:paraId="71B8D0D4" w14:textId="24838836" w:rsidR="00C806CB" w:rsidRPr="00B7035F" w:rsidRDefault="00C806CB" w:rsidP="00C806CB">
      <w:pPr>
        <w:rPr>
          <w:lang w:val="en-GB"/>
        </w:rPr>
      </w:pPr>
      <w:r w:rsidRPr="00B7035F">
        <w:rPr>
          <w:lang w:val="en-GB"/>
        </w:rPr>
        <w:t>40.3</w:t>
      </w:r>
      <w:r w:rsidRPr="00060055">
        <w:rPr>
          <w:lang w:val="en-GB"/>
        </w:rPr>
        <w:tab/>
      </w:r>
      <w:r w:rsidRPr="00B7035F">
        <w:rPr>
          <w:lang w:val="en-GB"/>
        </w:rPr>
        <w:t>Responding to questions and comments</w:t>
      </w:r>
      <w:r w:rsidRPr="5D8ACA40">
        <w:rPr>
          <w:lang w:val="en-GB"/>
        </w:rPr>
        <w:t xml:space="preserve">, </w:t>
      </w:r>
      <w:r w:rsidR="02A6C5FA" w:rsidRPr="5D8ACA40">
        <w:rPr>
          <w:lang w:val="en-GB"/>
        </w:rPr>
        <w:t>regarding allocations of funds for AI related activities</w:t>
      </w:r>
      <w:r w:rsidRPr="00B7035F">
        <w:rPr>
          <w:lang w:val="en-GB"/>
        </w:rPr>
        <w:t xml:space="preserve">, the Chief Information Officer explained that the proposed allocation of CHF 1 million from the budgetary surplus, as outlined in Document C26/42, was for externally facing AI initiatives, whereas investment in internal AI capability would be covered by ICT capital investments. A cost analysis of initiatives within available budget resources was under way; the budget savings allocation would help to accelerate several critical initiatives. Efficiency gains must be leveraged for AI development. Technical debt needed to be reduced; ICTs needed to be upgraded and AI and data capabilities needed to be built. Further investment would therefore be crucial, </w:t>
      </w:r>
      <w:proofErr w:type="gramStart"/>
      <w:r w:rsidRPr="00B7035F">
        <w:rPr>
          <w:lang w:val="en-GB"/>
        </w:rPr>
        <w:t>taking into account</w:t>
      </w:r>
      <w:proofErr w:type="gramEnd"/>
      <w:r w:rsidRPr="00B7035F">
        <w:rPr>
          <w:lang w:val="en-GB"/>
        </w:rPr>
        <w:t xml:space="preserve"> continuing modernization, improvement and maintenance costs.</w:t>
      </w:r>
    </w:p>
    <w:p w14:paraId="5A304316" w14:textId="592DB425" w:rsidR="00C806CB" w:rsidRPr="00B7035F" w:rsidRDefault="00C806CB" w:rsidP="00C806CB">
      <w:pPr>
        <w:rPr>
          <w:lang w:val="en-GB"/>
        </w:rPr>
      </w:pPr>
      <w:r w:rsidRPr="00B7035F">
        <w:rPr>
          <w:lang w:val="en-GB"/>
        </w:rPr>
        <w:t>40.4</w:t>
      </w:r>
      <w:r w:rsidRPr="00B7035F">
        <w:rPr>
          <w:lang w:val="en-GB"/>
        </w:rPr>
        <w:tab/>
        <w:t xml:space="preserve">The digital transformation was structured to respond to the various value streams of the Union, with a focus on delivering to Member States, supporting the Sectors and enabling the workforce to deliver on mandate. An integrated approach to the governance of data, AI and cybersecurity was being developed, with a strategic connection to the Council, its working groups and IMAC. </w:t>
      </w:r>
    </w:p>
    <w:p w14:paraId="088A7664" w14:textId="64367206" w:rsidR="00C806CB" w:rsidRPr="00B7035F" w:rsidRDefault="00C806CB" w:rsidP="00C806CB">
      <w:pPr>
        <w:rPr>
          <w:lang w:val="en-GB"/>
        </w:rPr>
      </w:pPr>
      <w:r w:rsidRPr="00B7035F">
        <w:rPr>
          <w:lang w:val="en-GB"/>
        </w:rPr>
        <w:t>40.5</w:t>
      </w:r>
      <w:r w:rsidRPr="00C44A2E">
        <w:rPr>
          <w:lang w:val="en-GB"/>
        </w:rPr>
        <w:tab/>
      </w:r>
    </w:p>
    <w:p w14:paraId="5A04E93C" w14:textId="0B201EB2" w:rsidR="70922FA4" w:rsidRPr="00C44A2E" w:rsidRDefault="70922FA4" w:rsidP="45E9159C">
      <w:pPr>
        <w:spacing w:line="259" w:lineRule="auto"/>
        <w:rPr>
          <w:lang w:val="en-GB"/>
        </w:rPr>
      </w:pPr>
      <w:r w:rsidRPr="159CE7C7">
        <w:rPr>
          <w:rFonts w:eastAsia="Calibri" w:cs="Calibri"/>
          <w:lang w:val="en-GB"/>
        </w:rPr>
        <w:t xml:space="preserve">Under the ISD strategic plan, a framework </w:t>
      </w:r>
      <w:r w:rsidRPr="3FC49A53">
        <w:rPr>
          <w:rFonts w:eastAsia="Calibri" w:cs="Calibri"/>
          <w:lang w:val="en-GB"/>
        </w:rPr>
        <w:t>ha</w:t>
      </w:r>
      <w:r w:rsidR="00D10B10">
        <w:rPr>
          <w:rFonts w:eastAsia="Calibri" w:cs="Calibri"/>
          <w:lang w:val="en-GB"/>
        </w:rPr>
        <w:t>d</w:t>
      </w:r>
      <w:r w:rsidRPr="159CE7C7">
        <w:rPr>
          <w:rFonts w:eastAsia="Calibri" w:cs="Calibri"/>
          <w:lang w:val="en-GB"/>
        </w:rPr>
        <w:t xml:space="preserve"> been defined to monitor performance and manage risks. As a core pillar, Enterprise Architecture </w:t>
      </w:r>
      <w:r w:rsidRPr="3FC49A53">
        <w:rPr>
          <w:rFonts w:eastAsia="Calibri" w:cs="Calibri"/>
          <w:lang w:val="en-GB"/>
        </w:rPr>
        <w:t>provide</w:t>
      </w:r>
      <w:r w:rsidR="00D10B10">
        <w:rPr>
          <w:rFonts w:eastAsia="Calibri" w:cs="Calibri"/>
          <w:lang w:val="en-GB"/>
        </w:rPr>
        <w:t>d</w:t>
      </w:r>
      <w:r w:rsidRPr="159CE7C7">
        <w:rPr>
          <w:rFonts w:eastAsia="Calibri" w:cs="Calibri"/>
          <w:lang w:val="en-GB"/>
        </w:rPr>
        <w:t xml:space="preserve"> a clear, organization-wide view of the IT landscape across the Union and its Sectors, and its value </w:t>
      </w:r>
      <w:r w:rsidRPr="3FC49A53">
        <w:rPr>
          <w:rFonts w:eastAsia="Calibri" w:cs="Calibri"/>
          <w:lang w:val="en-GB"/>
        </w:rPr>
        <w:t>ha</w:t>
      </w:r>
      <w:r w:rsidR="00D10B10">
        <w:rPr>
          <w:rFonts w:eastAsia="Calibri" w:cs="Calibri"/>
          <w:lang w:val="en-GB"/>
        </w:rPr>
        <w:t>d</w:t>
      </w:r>
      <w:r w:rsidRPr="159CE7C7">
        <w:rPr>
          <w:rFonts w:eastAsia="Calibri" w:cs="Calibri"/>
          <w:lang w:val="en-GB"/>
        </w:rPr>
        <w:t xml:space="preserve"> been recognized by IMAC. </w:t>
      </w:r>
    </w:p>
    <w:p w14:paraId="4C0FBCAC" w14:textId="473B12F8" w:rsidR="70922FA4" w:rsidRPr="00C44A2E" w:rsidRDefault="6B0D5C98" w:rsidP="3FC49A53">
      <w:pPr>
        <w:spacing w:before="0" w:after="160" w:line="276" w:lineRule="auto"/>
        <w:rPr>
          <w:lang w:val="en-GB"/>
        </w:rPr>
      </w:pPr>
      <w:r w:rsidRPr="25C898AB">
        <w:rPr>
          <w:rFonts w:ascii="Aptos" w:eastAsia="Aptos" w:hAnsi="Aptos" w:cs="Aptos"/>
          <w:szCs w:val="24"/>
          <w:lang w:val="en-GB"/>
        </w:rPr>
        <w:t xml:space="preserve">As part of the EA initiative, detailed work </w:t>
      </w:r>
      <w:r w:rsidRPr="3FC49A53">
        <w:rPr>
          <w:rFonts w:ascii="Aptos" w:eastAsia="Aptos" w:hAnsi="Aptos" w:cs="Aptos"/>
          <w:szCs w:val="24"/>
          <w:lang w:val="en-GB"/>
        </w:rPr>
        <w:t>ha</w:t>
      </w:r>
      <w:r w:rsidR="000A76E0">
        <w:rPr>
          <w:rFonts w:ascii="Aptos" w:eastAsia="Aptos" w:hAnsi="Aptos" w:cs="Aptos"/>
          <w:szCs w:val="24"/>
          <w:lang w:val="en-GB"/>
        </w:rPr>
        <w:t>d</w:t>
      </w:r>
      <w:r w:rsidRPr="25C898AB">
        <w:rPr>
          <w:rFonts w:ascii="Aptos" w:eastAsia="Aptos" w:hAnsi="Aptos" w:cs="Aptos"/>
          <w:szCs w:val="24"/>
          <w:lang w:val="en-GB"/>
        </w:rPr>
        <w:t xml:space="preserve"> been undertaken to identify current-state baselines and define future ICT capability needs, in close collaboration with the Sectors. For example, engagement with BR </w:t>
      </w:r>
      <w:r w:rsidRPr="3FC49A53">
        <w:rPr>
          <w:rFonts w:ascii="Aptos" w:eastAsia="Aptos" w:hAnsi="Aptos" w:cs="Aptos"/>
          <w:szCs w:val="24"/>
          <w:lang w:val="en-GB"/>
        </w:rPr>
        <w:t>ha</w:t>
      </w:r>
      <w:r w:rsidR="000A76E0">
        <w:rPr>
          <w:rFonts w:ascii="Aptos" w:eastAsia="Aptos" w:hAnsi="Aptos" w:cs="Aptos"/>
          <w:szCs w:val="24"/>
          <w:lang w:val="en-GB"/>
        </w:rPr>
        <w:t>d</w:t>
      </w:r>
      <w:r w:rsidRPr="25C898AB">
        <w:rPr>
          <w:rFonts w:ascii="Aptos" w:eastAsia="Aptos" w:hAnsi="Aptos" w:cs="Aptos"/>
          <w:szCs w:val="24"/>
          <w:lang w:val="en-GB"/>
        </w:rPr>
        <w:t xml:space="preserve"> helped identify requirements and supporting capabilities in areas such as cybersecurity. </w:t>
      </w:r>
      <w:r w:rsidRPr="3FC49A53">
        <w:rPr>
          <w:rFonts w:ascii="Aptos" w:eastAsia="Aptos" w:hAnsi="Aptos" w:cs="Aptos"/>
          <w:szCs w:val="24"/>
          <w:lang w:val="en-GB"/>
        </w:rPr>
        <w:t>Th</w:t>
      </w:r>
      <w:r w:rsidR="00EC49A1">
        <w:rPr>
          <w:rFonts w:ascii="Aptos" w:eastAsia="Aptos" w:hAnsi="Aptos" w:cs="Aptos"/>
          <w:szCs w:val="24"/>
          <w:lang w:val="en-GB"/>
        </w:rPr>
        <w:t>at</w:t>
      </w:r>
      <w:r w:rsidRPr="25C898AB">
        <w:rPr>
          <w:rFonts w:ascii="Aptos" w:eastAsia="Aptos" w:hAnsi="Aptos" w:cs="Aptos"/>
          <w:szCs w:val="24"/>
          <w:lang w:val="en-GB"/>
        </w:rPr>
        <w:t xml:space="preserve"> work </w:t>
      </w:r>
      <w:r w:rsidRPr="3FC49A53">
        <w:rPr>
          <w:rFonts w:ascii="Aptos" w:eastAsia="Aptos" w:hAnsi="Aptos" w:cs="Aptos"/>
          <w:szCs w:val="24"/>
          <w:lang w:val="en-GB"/>
        </w:rPr>
        <w:t>w</w:t>
      </w:r>
      <w:r w:rsidR="00EC49A1">
        <w:rPr>
          <w:rFonts w:ascii="Aptos" w:eastAsia="Aptos" w:hAnsi="Aptos" w:cs="Aptos"/>
          <w:szCs w:val="24"/>
          <w:lang w:val="en-GB"/>
        </w:rPr>
        <w:t>ould</w:t>
      </w:r>
      <w:r w:rsidRPr="25C898AB">
        <w:rPr>
          <w:rFonts w:ascii="Aptos" w:eastAsia="Aptos" w:hAnsi="Aptos" w:cs="Aptos"/>
          <w:szCs w:val="24"/>
          <w:lang w:val="en-GB"/>
        </w:rPr>
        <w:t xml:space="preserve"> drive the internal digital transformation roadmap and inform the prioritization of financial decisions.</w:t>
      </w:r>
      <w:r w:rsidR="00A64B12">
        <w:rPr>
          <w:rFonts w:ascii="Aptos" w:eastAsia="Aptos" w:hAnsi="Aptos" w:cs="Aptos"/>
          <w:szCs w:val="24"/>
          <w:lang w:val="en-GB"/>
        </w:rPr>
        <w:t xml:space="preserve"> </w:t>
      </w:r>
      <w:r w:rsidR="70922FA4" w:rsidRPr="159CE7C7">
        <w:rPr>
          <w:rFonts w:eastAsia="Calibri" w:cs="Calibri"/>
          <w:lang w:val="en-GB"/>
        </w:rPr>
        <w:t xml:space="preserve">In addition, a set of </w:t>
      </w:r>
      <w:r w:rsidR="4823795F" w:rsidRPr="159CE7C7">
        <w:rPr>
          <w:rFonts w:eastAsia="Calibri" w:cs="Calibri"/>
          <w:lang w:val="en-GB"/>
        </w:rPr>
        <w:t xml:space="preserve">25 </w:t>
      </w:r>
      <w:r w:rsidR="28E577EB" w:rsidRPr="159CE7C7">
        <w:rPr>
          <w:rFonts w:eastAsia="Calibri" w:cs="Calibri"/>
          <w:lang w:val="en-GB"/>
        </w:rPr>
        <w:t>ITU</w:t>
      </w:r>
      <w:r w:rsidR="4823795F" w:rsidRPr="159CE7C7">
        <w:rPr>
          <w:rFonts w:eastAsia="Calibri" w:cs="Calibri"/>
          <w:lang w:val="en-GB"/>
        </w:rPr>
        <w:t>-wide</w:t>
      </w:r>
      <w:r w:rsidR="70922FA4" w:rsidRPr="159CE7C7">
        <w:rPr>
          <w:rFonts w:eastAsia="Calibri" w:cs="Calibri"/>
          <w:lang w:val="en-GB"/>
        </w:rPr>
        <w:t xml:space="preserve"> principles is being developed to guide governance, </w:t>
      </w:r>
      <w:r w:rsidR="4823795F" w:rsidRPr="159CE7C7">
        <w:rPr>
          <w:rFonts w:eastAsia="Calibri" w:cs="Calibri"/>
          <w:lang w:val="en-GB"/>
        </w:rPr>
        <w:t>strengthen</w:t>
      </w:r>
      <w:r w:rsidR="70922FA4" w:rsidRPr="159CE7C7">
        <w:rPr>
          <w:rFonts w:eastAsia="Calibri" w:cs="Calibri"/>
          <w:lang w:val="en-GB"/>
        </w:rPr>
        <w:t xml:space="preserve"> decision-making, and rationalize investments and systems to avoid duplication.</w:t>
      </w:r>
    </w:p>
    <w:p w14:paraId="6E37D3CC" w14:textId="51E018E4" w:rsidR="00B77FE5" w:rsidRPr="00D8183C" w:rsidRDefault="00C806CB" w:rsidP="00B7035F">
      <w:pPr>
        <w:rPr>
          <w:rFonts w:eastAsia="Calibri" w:cs="Calibri"/>
          <w:lang w:val="en-GB"/>
        </w:rPr>
      </w:pPr>
      <w:r w:rsidRPr="00B7035F">
        <w:rPr>
          <w:lang w:val="en-GB"/>
        </w:rPr>
        <w:t>40.6</w:t>
      </w:r>
      <w:r w:rsidRPr="00C44A2E">
        <w:rPr>
          <w:lang w:val="en-GB"/>
        </w:rPr>
        <w:tab/>
      </w:r>
      <w:r w:rsidRPr="00B7035F">
        <w:rPr>
          <w:lang w:val="en-GB"/>
        </w:rPr>
        <w:t xml:space="preserve">Regarding the links between EY and UNICC, EY had conducted a generic strategic assessment in 2023. Much had changed in the intervening period and a more up-to-date assessment was needed. </w:t>
      </w:r>
      <w:r w:rsidR="01ABD6D5" w:rsidRPr="054C98C4">
        <w:rPr>
          <w:lang w:val="en-GB"/>
        </w:rPr>
        <w:t xml:space="preserve">UNICC helped in implementation and launching the Enterprise Architecture program. </w:t>
      </w:r>
      <w:r w:rsidRPr="00B7035F">
        <w:rPr>
          <w:lang w:val="en-GB"/>
        </w:rPr>
        <w:t xml:space="preserve">With regard to the High-Level Committee on Management (HLCM), ITU had been engaged in several groups and had led HLCM initiatives under UN80, including on </w:t>
      </w:r>
      <w:r w:rsidR="4A053EB3" w:rsidRPr="349183E9">
        <w:rPr>
          <w:lang w:val="en-GB"/>
        </w:rPr>
        <w:t xml:space="preserve">AI in </w:t>
      </w:r>
      <w:r w:rsidR="00E22388">
        <w:rPr>
          <w:lang w:val="en-GB"/>
        </w:rPr>
        <w:t>t</w:t>
      </w:r>
      <w:r w:rsidR="42A01ADB" w:rsidRPr="16902613">
        <w:rPr>
          <w:lang w:val="en-GB"/>
        </w:rPr>
        <w:t xml:space="preserve">ranslation and </w:t>
      </w:r>
      <w:r w:rsidR="00E22388">
        <w:rPr>
          <w:lang w:val="en-GB"/>
        </w:rPr>
        <w:t>d</w:t>
      </w:r>
      <w:r w:rsidR="42A01ADB" w:rsidRPr="16902613">
        <w:rPr>
          <w:lang w:val="en-GB"/>
        </w:rPr>
        <w:t>igital conferencing services</w:t>
      </w:r>
      <w:r w:rsidR="00B77FE5" w:rsidRPr="16902613">
        <w:rPr>
          <w:rFonts w:eastAsia="Calibri" w:cs="Calibri"/>
          <w:lang w:val="en-GB"/>
        </w:rPr>
        <w:t>.</w:t>
      </w:r>
      <w:r w:rsidR="00B77FE5" w:rsidRPr="00B7035F">
        <w:rPr>
          <w:rFonts w:eastAsia="Calibri" w:cs="Calibri"/>
          <w:lang w:val="en-GB"/>
        </w:rPr>
        <w:t xml:space="preserve"> </w:t>
      </w:r>
      <w:r w:rsidR="00B77FE5" w:rsidRPr="223B8DE6">
        <w:rPr>
          <w:rFonts w:eastAsia="Calibri" w:cs="Calibri"/>
          <w:lang w:val="en-GB"/>
        </w:rPr>
        <w:t xml:space="preserve"> </w:t>
      </w:r>
      <w:r w:rsidR="5EECDDED" w:rsidRPr="223B8DE6">
        <w:rPr>
          <w:rFonts w:eastAsia="Calibri" w:cs="Calibri"/>
          <w:lang w:val="en-GB"/>
        </w:rPr>
        <w:t xml:space="preserve">The strategy </w:t>
      </w:r>
      <w:r w:rsidR="00482CE6">
        <w:rPr>
          <w:rFonts w:eastAsia="Calibri" w:cs="Calibri"/>
          <w:lang w:val="en-GB"/>
        </w:rPr>
        <w:t>wa</w:t>
      </w:r>
      <w:r w:rsidR="5EECDDED" w:rsidRPr="223B8DE6">
        <w:rPr>
          <w:rFonts w:eastAsia="Calibri" w:cs="Calibri"/>
          <w:lang w:val="en-GB"/>
        </w:rPr>
        <w:t xml:space="preserve">s strongly aligned with UN80 WP15. </w:t>
      </w:r>
      <w:r w:rsidR="005D02AF">
        <w:rPr>
          <w:rFonts w:eastAsia="Calibri" w:cs="Calibri"/>
          <w:lang w:val="en-GB"/>
        </w:rPr>
        <w:t>The</w:t>
      </w:r>
      <w:r w:rsidR="5EECDDED" w:rsidRPr="223B8DE6">
        <w:rPr>
          <w:rFonts w:eastAsia="Calibri" w:cs="Calibri"/>
          <w:lang w:val="en-GB"/>
        </w:rPr>
        <w:t xml:space="preserve"> focus on a resilient digital core, shared platforms, cloud, cybersecurity, and enterprise architecture directly support</w:t>
      </w:r>
      <w:r w:rsidR="005D02AF">
        <w:rPr>
          <w:rFonts w:eastAsia="Calibri" w:cs="Calibri"/>
          <w:lang w:val="en-GB"/>
        </w:rPr>
        <w:t>ed</w:t>
      </w:r>
      <w:r w:rsidR="5EECDDED" w:rsidRPr="223B8DE6">
        <w:rPr>
          <w:rFonts w:eastAsia="Calibri" w:cs="Calibri"/>
          <w:lang w:val="en-GB"/>
        </w:rPr>
        <w:t xml:space="preserve"> the objective of reducing fragmentation and leveraging shared technology across the U</w:t>
      </w:r>
      <w:r w:rsidR="001B4F75">
        <w:rPr>
          <w:rFonts w:eastAsia="Calibri" w:cs="Calibri"/>
          <w:lang w:val="en-GB"/>
        </w:rPr>
        <w:t xml:space="preserve">nited </w:t>
      </w:r>
      <w:r w:rsidR="5EECDDED" w:rsidRPr="223B8DE6">
        <w:rPr>
          <w:rFonts w:eastAsia="Calibri" w:cs="Calibri"/>
          <w:lang w:val="en-GB"/>
        </w:rPr>
        <w:t>N</w:t>
      </w:r>
      <w:r w:rsidR="001B4F75">
        <w:rPr>
          <w:rFonts w:eastAsia="Calibri" w:cs="Calibri"/>
          <w:lang w:val="en-GB"/>
        </w:rPr>
        <w:t>ations</w:t>
      </w:r>
      <w:r w:rsidR="5EECDDED" w:rsidRPr="223B8DE6">
        <w:rPr>
          <w:rFonts w:eastAsia="Calibri" w:cs="Calibri"/>
          <w:lang w:val="en-GB"/>
        </w:rPr>
        <w:t xml:space="preserve"> system.</w:t>
      </w:r>
    </w:p>
    <w:p w14:paraId="6EC51ABD" w14:textId="19C27E4D" w:rsidR="00B77FE5" w:rsidRPr="00EA5615" w:rsidRDefault="00BE017B" w:rsidP="00B77FE5">
      <w:pPr>
        <w:spacing w:line="259" w:lineRule="auto"/>
        <w:rPr>
          <w:rFonts w:eastAsia="Calibri" w:cs="Calibri"/>
          <w:lang w:val="en-GB"/>
        </w:rPr>
      </w:pPr>
      <w:r w:rsidRPr="6D6A5C68">
        <w:rPr>
          <w:rFonts w:eastAsia="Calibri" w:cs="Calibri"/>
          <w:spacing w:val="-4"/>
          <w:lang w:val="en-GB"/>
        </w:rPr>
        <w:t>40</w:t>
      </w:r>
      <w:r w:rsidR="00B77FE5" w:rsidRPr="6D6A5C68">
        <w:rPr>
          <w:rFonts w:eastAsia="Calibri" w:cs="Calibri"/>
          <w:spacing w:val="-4"/>
          <w:lang w:val="en-GB"/>
        </w:rPr>
        <w:t>.</w:t>
      </w:r>
      <w:r w:rsidR="00D45332" w:rsidRPr="6D6A5C68">
        <w:rPr>
          <w:rFonts w:eastAsia="Calibri" w:cs="Calibri"/>
          <w:spacing w:val="-4"/>
          <w:lang w:val="en-GB"/>
        </w:rPr>
        <w:t>7</w:t>
      </w:r>
      <w:r w:rsidR="00B77FE5" w:rsidRPr="00EA5615">
        <w:rPr>
          <w:rFonts w:eastAsia="Calibri" w:cs="Calibri"/>
          <w:szCs w:val="24"/>
          <w:lang w:val="en-GB"/>
        </w:rPr>
        <w:tab/>
      </w:r>
      <w:r w:rsidR="00B77FE5" w:rsidRPr="6D6A5C68">
        <w:rPr>
          <w:rFonts w:eastAsia="Calibri" w:cs="Calibri"/>
          <w:lang w:val="en-GB"/>
        </w:rPr>
        <w:t xml:space="preserve">The committee </w:t>
      </w:r>
      <w:r w:rsidR="00B77FE5" w:rsidRPr="6D6A5C68">
        <w:rPr>
          <w:rFonts w:eastAsia="Calibri" w:cs="Calibri"/>
          <w:b/>
          <w:lang w:val="en-GB"/>
        </w:rPr>
        <w:t>agreed</w:t>
      </w:r>
      <w:r w:rsidR="00B77FE5" w:rsidRPr="6D6A5C68">
        <w:rPr>
          <w:rFonts w:eastAsia="Calibri" w:cs="Calibri"/>
          <w:lang w:val="en-GB"/>
        </w:rPr>
        <w:t xml:space="preserve"> to conclude as follows on the matter:</w:t>
      </w:r>
    </w:p>
    <w:p w14:paraId="0F0011D7" w14:textId="63BAD5DD" w:rsidR="00B7035F" w:rsidRPr="00B7035F" w:rsidRDefault="00BE017B" w:rsidP="00B77FE5">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40</w:t>
      </w:r>
      <w:r w:rsidR="00B77FE5" w:rsidRPr="6D6A5C68">
        <w:rPr>
          <w:rFonts w:eastAsia="Calibri" w:cs="Calibri"/>
          <w:lang w:val="en-GB"/>
        </w:rPr>
        <w:t>.</w:t>
      </w:r>
      <w:r w:rsidR="00D45332" w:rsidRPr="6D6A5C68">
        <w:rPr>
          <w:rFonts w:eastAsia="Calibri" w:cs="Calibri"/>
          <w:lang w:val="en-GB"/>
        </w:rPr>
        <w:t>8</w:t>
      </w:r>
      <w:r w:rsidR="00B77FE5" w:rsidRPr="00EA5615">
        <w:rPr>
          <w:lang w:val="en-GB"/>
        </w:rPr>
        <w:tab/>
        <w:t>The committee recommends that the Council:</w:t>
      </w:r>
    </w:p>
    <w:p w14:paraId="07337C77" w14:textId="54D4D3F1" w:rsidR="00B7035F" w:rsidRPr="00B7035F" w:rsidRDefault="00B77FE5" w:rsidP="00C44A2E">
      <w:pPr>
        <w:keepNext/>
        <w:keepLines/>
        <w:pBdr>
          <w:top w:val="single" w:sz="4" w:space="4" w:color="000000"/>
          <w:left w:val="single" w:sz="4" w:space="4" w:color="000000"/>
          <w:bottom w:val="single" w:sz="4" w:space="4" w:color="000000"/>
          <w:right w:val="single" w:sz="4" w:space="4" w:color="000000"/>
        </w:pBdr>
        <w:spacing w:before="80" w:line="259" w:lineRule="auto"/>
        <w:rPr>
          <w:lang w:val="en-GB"/>
        </w:rPr>
      </w:pPr>
      <w:r w:rsidRPr="00B7035F">
        <w:rPr>
          <w:lang w:val="en-GB"/>
        </w:rPr>
        <w:t>•</w:t>
      </w:r>
      <w:r w:rsidRPr="00B7035F">
        <w:rPr>
          <w:lang w:val="en-GB"/>
        </w:rPr>
        <w:tab/>
      </w:r>
      <w:r w:rsidR="00B7035F" w:rsidRPr="00B7035F">
        <w:rPr>
          <w:lang w:val="en-GB"/>
        </w:rPr>
        <w:t xml:space="preserve">take note of the progress outlined in Document </w:t>
      </w:r>
      <w:hyperlink r:id="rId140" w:history="1">
        <w:r w:rsidR="00B7035F" w:rsidRPr="6D6A5C68">
          <w:rPr>
            <w:rStyle w:val="Hyperlink"/>
            <w:rFonts w:cs="Times New Roman"/>
            <w:lang w:val="en-GB"/>
          </w:rPr>
          <w:t>C26/62</w:t>
        </w:r>
      </w:hyperlink>
      <w:r w:rsidR="00CE1863" w:rsidRPr="00B7035F">
        <w:rPr>
          <w:lang w:val="en-GB"/>
        </w:rPr>
        <w:t>;</w:t>
      </w:r>
      <w:r w:rsidRPr="00EA5615">
        <w:rPr>
          <w:lang w:val="en-GB"/>
        </w:rPr>
        <w:t xml:space="preserve"> </w:t>
      </w:r>
    </w:p>
    <w:p w14:paraId="432F7ED3" w14:textId="77777777" w:rsidR="00AD7D7D" w:rsidRDefault="00B77FE5"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B7035F">
        <w:rPr>
          <w:lang w:val="en-GB"/>
        </w:rPr>
        <w:t>•</w:t>
      </w:r>
      <w:r w:rsidRPr="00B7035F">
        <w:rPr>
          <w:lang w:val="en-GB"/>
        </w:rPr>
        <w:tab/>
      </w:r>
      <w:r w:rsidR="00B7035F" w:rsidRPr="00B7035F">
        <w:rPr>
          <w:rFonts w:cs="Calibri"/>
          <w:szCs w:val="24"/>
          <w:lang w:val="en-GB"/>
        </w:rPr>
        <w:t xml:space="preserve">provide the secretariat with any guidance, as </w:t>
      </w:r>
      <w:proofErr w:type="gramStart"/>
      <w:r w:rsidR="00B7035F" w:rsidRPr="00B7035F">
        <w:rPr>
          <w:rFonts w:cs="Calibri"/>
          <w:szCs w:val="24"/>
          <w:lang w:val="en-GB"/>
        </w:rPr>
        <w:t>appropriate</w:t>
      </w:r>
      <w:r w:rsidR="00AD7D7D">
        <w:rPr>
          <w:rFonts w:cs="Calibri"/>
          <w:szCs w:val="24"/>
          <w:lang w:val="en-GB"/>
        </w:rPr>
        <w:t>;</w:t>
      </w:r>
      <w:proofErr w:type="gramEnd"/>
      <w:r w:rsidR="00AD7D7D">
        <w:rPr>
          <w:rFonts w:cs="Calibri"/>
          <w:szCs w:val="24"/>
          <w:lang w:val="en-GB"/>
        </w:rPr>
        <w:t xml:space="preserve"> </w:t>
      </w:r>
    </w:p>
    <w:p w14:paraId="035D24B6" w14:textId="60916700" w:rsidR="00AD7D7D" w:rsidRDefault="00AD7D7D"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B7035F">
        <w:rPr>
          <w:lang w:val="en-GB"/>
        </w:rPr>
        <w:t>•</w:t>
      </w:r>
      <w:r w:rsidRPr="00B7035F">
        <w:rPr>
          <w:lang w:val="en-GB"/>
        </w:rPr>
        <w:tab/>
      </w:r>
      <w:r>
        <w:rPr>
          <w:rFonts w:cs="Calibri"/>
          <w:szCs w:val="24"/>
          <w:lang w:val="en-GB"/>
        </w:rPr>
        <w:t>invite the secretariat to submit its draft digital transformation strategy for consideration by CWG-FHR; and</w:t>
      </w:r>
    </w:p>
    <w:p w14:paraId="733C5B45" w14:textId="370CE29A" w:rsidR="00300DB0" w:rsidRPr="00AA406B" w:rsidRDefault="00AD7D7D" w:rsidP="00AA406B">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rFonts w:cs="Calibri"/>
          <w:szCs w:val="24"/>
          <w:lang w:val="en-GB"/>
        </w:rPr>
      </w:pPr>
      <w:r w:rsidRPr="00B7035F">
        <w:rPr>
          <w:lang w:val="en-GB"/>
        </w:rPr>
        <w:t>•</w:t>
      </w:r>
      <w:r w:rsidRPr="00B7035F">
        <w:rPr>
          <w:lang w:val="en-GB"/>
        </w:rPr>
        <w:tab/>
      </w:r>
      <w:r>
        <w:rPr>
          <w:rFonts w:cs="Calibri"/>
          <w:szCs w:val="24"/>
          <w:lang w:val="en-GB"/>
        </w:rPr>
        <w:t>regularly report to CWG-FHR on IT and digital transformation-related activities</w:t>
      </w:r>
      <w:r w:rsidR="00B77FE5" w:rsidRPr="00B7035F">
        <w:rPr>
          <w:rFonts w:cs="Calibri"/>
          <w:szCs w:val="24"/>
          <w:lang w:val="en-GB"/>
        </w:rPr>
        <w:t>.</w:t>
      </w:r>
    </w:p>
    <w:p w14:paraId="45AD9A22" w14:textId="1A272AA8" w:rsidR="00D415E4" w:rsidRPr="00EA5615" w:rsidRDefault="00BE017B" w:rsidP="00D415E4">
      <w:pPr>
        <w:pStyle w:val="Heading1"/>
        <w:rPr>
          <w:lang w:val="en-GB"/>
        </w:rPr>
      </w:pPr>
      <w:r>
        <w:rPr>
          <w:lang w:val="en-GB"/>
        </w:rPr>
        <w:t>41</w:t>
      </w:r>
      <w:r w:rsidR="00D415E4" w:rsidRPr="00EA5615">
        <w:rPr>
          <w:lang w:val="en-GB"/>
        </w:rPr>
        <w:tab/>
        <w:t>Enhancing inter</w:t>
      </w:r>
      <w:r>
        <w:rPr>
          <w:lang w:val="en-GB"/>
        </w:rPr>
        <w:t>-S</w:t>
      </w:r>
      <w:r w:rsidR="00D415E4" w:rsidRPr="00EA5615">
        <w:rPr>
          <w:lang w:val="en-GB"/>
        </w:rPr>
        <w:t xml:space="preserve">ectoral coordination across ITU (Document </w:t>
      </w:r>
      <w:hyperlink r:id="rId141" w:history="1">
        <w:r w:rsidR="00D415E4" w:rsidRPr="00EA5615">
          <w:rPr>
            <w:rStyle w:val="Hyperlink"/>
            <w:bCs/>
            <w:lang w:val="en-GB"/>
          </w:rPr>
          <w:t>C26/27</w:t>
        </w:r>
      </w:hyperlink>
      <w:r w:rsidR="00D415E4" w:rsidRPr="00EA5615">
        <w:rPr>
          <w:lang w:val="en-GB"/>
        </w:rPr>
        <w:t>)</w:t>
      </w:r>
    </w:p>
    <w:p w14:paraId="2FFEEEAF" w14:textId="7595342C" w:rsidR="00D415E4" w:rsidRPr="00967E7E" w:rsidRDefault="00D415E4" w:rsidP="00967E7E">
      <w:pPr>
        <w:pStyle w:val="Headingb"/>
        <w:ind w:left="540"/>
        <w:rPr>
          <w:i/>
          <w:sz w:val="28"/>
          <w:szCs w:val="28"/>
          <w:lang w:val="en-GB"/>
        </w:rPr>
      </w:pPr>
      <w:r w:rsidRPr="00967E7E">
        <w:rPr>
          <w:sz w:val="28"/>
          <w:szCs w:val="28"/>
          <w:lang w:val="en-GB"/>
        </w:rPr>
        <w:t>Proposal for the revision of Resolution 191 (Rev.</w:t>
      </w:r>
      <w:r w:rsidR="004C2E03" w:rsidRPr="00967E7E">
        <w:rPr>
          <w:sz w:val="28"/>
          <w:szCs w:val="28"/>
          <w:lang w:val="en-GB"/>
        </w:rPr>
        <w:t> </w:t>
      </w:r>
      <w:r w:rsidRPr="00967E7E">
        <w:rPr>
          <w:sz w:val="28"/>
          <w:szCs w:val="28"/>
          <w:lang w:val="en-GB"/>
        </w:rPr>
        <w:t xml:space="preserve">Bucharest, 2022) of the Plenipotentiary Conference on Strategy for the coordination of efforts among the three sectors of the Union (Document </w:t>
      </w:r>
      <w:hyperlink r:id="rId142" w:history="1">
        <w:r w:rsidRPr="00967E7E">
          <w:rPr>
            <w:rStyle w:val="Hyperlink"/>
            <w:sz w:val="28"/>
            <w:szCs w:val="28"/>
            <w:lang w:val="en-GB"/>
          </w:rPr>
          <w:t>C26/89</w:t>
        </w:r>
      </w:hyperlink>
      <w:r w:rsidRPr="00967E7E">
        <w:rPr>
          <w:sz w:val="28"/>
          <w:szCs w:val="28"/>
          <w:lang w:val="en-GB"/>
        </w:rPr>
        <w:t>)</w:t>
      </w:r>
    </w:p>
    <w:p w14:paraId="62176B5E" w14:textId="203AAFEB" w:rsidR="00D415E4" w:rsidRPr="00967E7E" w:rsidRDefault="00D415E4" w:rsidP="00967E7E">
      <w:pPr>
        <w:pStyle w:val="Headingb"/>
        <w:ind w:left="540"/>
        <w:rPr>
          <w:sz w:val="28"/>
          <w:szCs w:val="28"/>
          <w:lang w:val="en-GB"/>
        </w:rPr>
      </w:pPr>
      <w:r w:rsidRPr="00967E7E">
        <w:rPr>
          <w:sz w:val="28"/>
          <w:szCs w:val="28"/>
          <w:lang w:val="en-GB"/>
        </w:rPr>
        <w:t>Proposal for the revision of Resolution 58 (Rev.</w:t>
      </w:r>
      <w:r w:rsidR="004C2E03" w:rsidRPr="00967E7E">
        <w:rPr>
          <w:sz w:val="28"/>
          <w:szCs w:val="28"/>
          <w:lang w:val="en-GB"/>
        </w:rPr>
        <w:t> </w:t>
      </w:r>
      <w:r w:rsidRPr="00967E7E">
        <w:rPr>
          <w:sz w:val="28"/>
          <w:szCs w:val="28"/>
          <w:lang w:val="en-GB"/>
        </w:rPr>
        <w:t xml:space="preserve">Busan, 2014) of the Plenipotentiary Conference (Document </w:t>
      </w:r>
      <w:hyperlink r:id="rId143" w:history="1">
        <w:r w:rsidRPr="00967E7E">
          <w:rPr>
            <w:rStyle w:val="Hyperlink"/>
            <w:sz w:val="28"/>
            <w:szCs w:val="28"/>
            <w:lang w:val="en-GB"/>
          </w:rPr>
          <w:t>C26/88</w:t>
        </w:r>
      </w:hyperlink>
      <w:r w:rsidRPr="00967E7E">
        <w:rPr>
          <w:sz w:val="28"/>
          <w:szCs w:val="28"/>
          <w:lang w:val="en-GB"/>
        </w:rPr>
        <w:t>)</w:t>
      </w:r>
    </w:p>
    <w:p w14:paraId="3003FED3" w14:textId="337C2762" w:rsidR="000F38CD" w:rsidRPr="00257FEA" w:rsidRDefault="00BE017B" w:rsidP="000F38CD">
      <w:pPr>
        <w:rPr>
          <w:rFonts w:cs="Calibri"/>
          <w:lang w:val="en-GB"/>
        </w:rPr>
      </w:pPr>
      <w:r w:rsidRPr="00BE017B">
        <w:rPr>
          <w:rFonts w:eastAsia="Calibri" w:cs="Calibri"/>
          <w:lang w:val="en-GB"/>
        </w:rPr>
        <w:t>41</w:t>
      </w:r>
      <w:r w:rsidR="00B77FE5" w:rsidRPr="00D8183C">
        <w:rPr>
          <w:rFonts w:eastAsia="Calibri" w:cs="Calibri"/>
          <w:lang w:val="en-GB"/>
        </w:rPr>
        <w:t>.1</w:t>
      </w:r>
      <w:r w:rsidR="00B77FE5" w:rsidRPr="00BE017B">
        <w:rPr>
          <w:lang w:val="en-GB"/>
        </w:rPr>
        <w:tab/>
      </w:r>
      <w:r w:rsidR="000F38CD" w:rsidRPr="00257FEA">
        <w:rPr>
          <w:rFonts w:cs="Calibri"/>
          <w:lang w:val="en-GB"/>
        </w:rPr>
        <w:t xml:space="preserve">A representative of the General Secretariat </w:t>
      </w:r>
      <w:r w:rsidR="6E6E21E4" w:rsidRPr="2A137C80">
        <w:rPr>
          <w:rFonts w:eastAsia="Calibri" w:cs="Calibri"/>
          <w:szCs w:val="24"/>
          <w:lang w:val="en-GB"/>
        </w:rPr>
        <w:t>introduced</w:t>
      </w:r>
      <w:r w:rsidR="000F38CD" w:rsidRPr="00257FEA">
        <w:rPr>
          <w:rFonts w:cs="Calibri"/>
          <w:lang w:val="en-GB"/>
        </w:rPr>
        <w:t xml:space="preserve"> the report contained in Document </w:t>
      </w:r>
      <w:r w:rsidR="00A73788" w:rsidRPr="00C44A2E">
        <w:rPr>
          <w:rFonts w:cs="Calibri"/>
          <w:lang w:val="en-GB"/>
        </w:rPr>
        <w:t xml:space="preserve">C26/27 </w:t>
      </w:r>
      <w:r w:rsidR="000F38CD" w:rsidRPr="00257FEA">
        <w:rPr>
          <w:rFonts w:cs="Calibri"/>
          <w:lang w:val="en-GB"/>
        </w:rPr>
        <w:t>on enhancing inter-Sectoral coordination across ITU</w:t>
      </w:r>
      <w:r w:rsidRPr="00BE017B">
        <w:rPr>
          <w:rFonts w:cs="Calibri"/>
          <w:lang w:val="en-GB"/>
        </w:rPr>
        <w:t xml:space="preserve">. </w:t>
      </w:r>
      <w:r w:rsidR="001A2A19">
        <w:rPr>
          <w:rFonts w:cs="Calibri"/>
          <w:lang w:val="en-GB"/>
        </w:rPr>
        <w:t>The report</w:t>
      </w:r>
      <w:r w:rsidR="000F38CD" w:rsidRPr="00257FEA">
        <w:rPr>
          <w:rFonts w:cs="Calibri"/>
          <w:lang w:val="en-GB"/>
        </w:rPr>
        <w:t xml:space="preserve"> addressed the implementation of Resolution 191 (Rev. Bucharest, 2022) of the Plenipotentiary Conference</w:t>
      </w:r>
      <w:r w:rsidRPr="00BE017B">
        <w:rPr>
          <w:rFonts w:cs="Calibri"/>
          <w:lang w:val="en-GB"/>
        </w:rPr>
        <w:t>,</w:t>
      </w:r>
      <w:r w:rsidR="000F38CD" w:rsidRPr="00257FEA">
        <w:rPr>
          <w:rFonts w:cs="Calibri"/>
          <w:lang w:val="en-GB"/>
        </w:rPr>
        <w:t xml:space="preserve"> on the strategy for the coordination of efforts among the three Sectors of the Union and the General Secretariat. </w:t>
      </w:r>
      <w:r w:rsidR="00546407">
        <w:rPr>
          <w:rFonts w:cs="Calibri"/>
          <w:lang w:val="en-GB"/>
        </w:rPr>
        <w:t>It</w:t>
      </w:r>
      <w:r w:rsidR="000F38CD" w:rsidRPr="00257FEA">
        <w:rPr>
          <w:rFonts w:cs="Calibri"/>
          <w:lang w:val="en-GB"/>
        </w:rPr>
        <w:t xml:space="preserve"> outlined </w:t>
      </w:r>
      <w:r w:rsidR="00B1586F">
        <w:rPr>
          <w:rFonts w:cs="Calibri"/>
          <w:lang w:val="en-GB"/>
        </w:rPr>
        <w:t xml:space="preserve">the </w:t>
      </w:r>
      <w:r w:rsidR="000F38CD" w:rsidRPr="00257FEA">
        <w:rPr>
          <w:rFonts w:cs="Calibri"/>
          <w:lang w:val="en-GB"/>
        </w:rPr>
        <w:t xml:space="preserve">administrative work </w:t>
      </w:r>
      <w:r w:rsidR="00A443F0">
        <w:rPr>
          <w:rFonts w:cs="Calibri"/>
          <w:lang w:val="en-GB"/>
        </w:rPr>
        <w:t>undertaken</w:t>
      </w:r>
      <w:r w:rsidR="00A443F0" w:rsidRPr="00257FEA">
        <w:rPr>
          <w:rFonts w:cs="Calibri"/>
          <w:lang w:val="en-GB"/>
        </w:rPr>
        <w:t xml:space="preserve"> </w:t>
      </w:r>
      <w:r w:rsidR="000F38CD" w:rsidRPr="00257FEA">
        <w:rPr>
          <w:rFonts w:cs="Calibri"/>
          <w:lang w:val="en-GB"/>
        </w:rPr>
        <w:t>by the secretariat</w:t>
      </w:r>
      <w:r w:rsidRPr="00BE017B">
        <w:rPr>
          <w:rFonts w:cs="Calibri"/>
          <w:lang w:val="en-GB"/>
        </w:rPr>
        <w:t xml:space="preserve">; </w:t>
      </w:r>
      <w:r w:rsidR="000F38CD" w:rsidRPr="00257FEA">
        <w:rPr>
          <w:rFonts w:cs="Calibri"/>
          <w:lang w:val="en-GB"/>
        </w:rPr>
        <w:t xml:space="preserve">highlighted the updated list of themes requiring inter-Sectoral coordination </w:t>
      </w:r>
      <w:r w:rsidR="000840D6">
        <w:rPr>
          <w:rFonts w:cs="Calibri"/>
          <w:lang w:val="en-GB"/>
        </w:rPr>
        <w:t>and the re</w:t>
      </w:r>
      <w:r w:rsidR="00865C35">
        <w:rPr>
          <w:rFonts w:cs="Calibri"/>
          <w:lang w:val="en-GB"/>
        </w:rPr>
        <w:t>lated</w:t>
      </w:r>
      <w:r w:rsidR="000F38CD" w:rsidRPr="00257FEA">
        <w:rPr>
          <w:rFonts w:cs="Calibri"/>
          <w:lang w:val="en-GB"/>
        </w:rPr>
        <w:t xml:space="preserve"> mapping of resolutions</w:t>
      </w:r>
      <w:r w:rsidRPr="00BE017B">
        <w:rPr>
          <w:rFonts w:cs="Calibri"/>
          <w:lang w:val="en-GB"/>
        </w:rPr>
        <w:t>;</w:t>
      </w:r>
      <w:r w:rsidR="000F38CD" w:rsidRPr="00257FEA">
        <w:rPr>
          <w:rFonts w:cs="Calibri"/>
          <w:lang w:val="en-GB"/>
        </w:rPr>
        <w:t xml:space="preserve"> </w:t>
      </w:r>
      <w:r w:rsidR="005E2F1F">
        <w:rPr>
          <w:rFonts w:cs="Calibri"/>
          <w:lang w:val="en-GB"/>
        </w:rPr>
        <w:t>and summarized</w:t>
      </w:r>
      <w:r w:rsidR="000F38CD" w:rsidRPr="00257FEA">
        <w:rPr>
          <w:rFonts w:cs="Calibri"/>
          <w:lang w:val="en-GB"/>
        </w:rPr>
        <w:t xml:space="preserve"> the work of the Inter-Sector Coordination Group (ISCG) on issues of mutual interest.</w:t>
      </w:r>
    </w:p>
    <w:p w14:paraId="2453BA26" w14:textId="1B7F5591" w:rsidR="000F38CD" w:rsidRPr="00257FEA" w:rsidRDefault="00BE017B" w:rsidP="000F38CD">
      <w:pPr>
        <w:rPr>
          <w:lang w:val="en-GB"/>
        </w:rPr>
      </w:pPr>
      <w:r w:rsidRPr="00BE017B">
        <w:rPr>
          <w:lang w:val="en-GB"/>
        </w:rPr>
        <w:t>41</w:t>
      </w:r>
      <w:r w:rsidR="000F38CD" w:rsidRPr="00257FEA">
        <w:rPr>
          <w:lang w:val="en-GB"/>
        </w:rPr>
        <w:t>.2</w:t>
      </w:r>
      <w:r w:rsidR="000F38CD" w:rsidRPr="00257FEA">
        <w:rPr>
          <w:lang w:val="en-GB"/>
        </w:rPr>
        <w:tab/>
        <w:t xml:space="preserve">The Chair of ISCG presented </w:t>
      </w:r>
      <w:r w:rsidR="00D7650F">
        <w:rPr>
          <w:lang w:val="en-GB"/>
        </w:rPr>
        <w:t>an overview</w:t>
      </w:r>
      <w:r w:rsidR="000F38CD" w:rsidRPr="00257FEA">
        <w:rPr>
          <w:lang w:val="en-GB"/>
        </w:rPr>
        <w:t xml:space="preserve"> of the Group’s work, as </w:t>
      </w:r>
      <w:r w:rsidR="00EA02D9" w:rsidRPr="00257FEA">
        <w:rPr>
          <w:lang w:val="en-GB"/>
        </w:rPr>
        <w:t>r</w:t>
      </w:r>
      <w:r w:rsidR="00EA02D9">
        <w:rPr>
          <w:lang w:val="en-GB"/>
        </w:rPr>
        <w:t>eflected</w:t>
      </w:r>
      <w:r w:rsidR="00EA02D9" w:rsidRPr="00257FEA">
        <w:rPr>
          <w:lang w:val="en-GB"/>
        </w:rPr>
        <w:t xml:space="preserve"> </w:t>
      </w:r>
      <w:r w:rsidR="000F38CD" w:rsidRPr="00257FEA">
        <w:rPr>
          <w:lang w:val="en-GB"/>
        </w:rPr>
        <w:t xml:space="preserve">in </w:t>
      </w:r>
      <w:r w:rsidR="000F38CD" w:rsidRPr="00257FEA">
        <w:rPr>
          <w:rFonts w:cs="Calibri"/>
          <w:lang w:val="en-GB"/>
        </w:rPr>
        <w:t>Document C26/27</w:t>
      </w:r>
      <w:r w:rsidRPr="00BE017B">
        <w:rPr>
          <w:rFonts w:cs="Calibri"/>
          <w:lang w:val="en-GB"/>
        </w:rPr>
        <w:t>.</w:t>
      </w:r>
      <w:r w:rsidR="000F38CD" w:rsidRPr="00257FEA">
        <w:rPr>
          <w:rFonts w:cs="Calibri"/>
          <w:lang w:val="en-GB"/>
        </w:rPr>
        <w:t xml:space="preserve"> </w:t>
      </w:r>
      <w:r w:rsidR="00637D9C">
        <w:rPr>
          <w:rFonts w:cs="Calibri"/>
          <w:lang w:val="en-GB"/>
        </w:rPr>
        <w:t>He explained</w:t>
      </w:r>
      <w:r w:rsidR="000F38CD" w:rsidRPr="00257FEA">
        <w:rPr>
          <w:rFonts w:cs="Calibri"/>
          <w:lang w:val="en-GB"/>
        </w:rPr>
        <w:t xml:space="preserve"> that</w:t>
      </w:r>
      <w:r w:rsidR="000F38CD" w:rsidRPr="00257FEA">
        <w:rPr>
          <w:lang w:val="en-GB"/>
        </w:rPr>
        <w:t xml:space="preserve"> ISCG </w:t>
      </w:r>
      <w:r w:rsidR="006720EB">
        <w:rPr>
          <w:lang w:val="en-GB"/>
        </w:rPr>
        <w:t xml:space="preserve">has been </w:t>
      </w:r>
      <w:r w:rsidR="000F38CD" w:rsidRPr="00257FEA">
        <w:rPr>
          <w:lang w:val="en-GB"/>
        </w:rPr>
        <w:t xml:space="preserve">a contribution-driven mechanism, which worked with the active </w:t>
      </w:r>
      <w:r w:rsidR="002365E4">
        <w:rPr>
          <w:lang w:val="en-GB"/>
        </w:rPr>
        <w:t>participation</w:t>
      </w:r>
      <w:r w:rsidR="002365E4" w:rsidRPr="00257FEA">
        <w:rPr>
          <w:lang w:val="en-GB"/>
        </w:rPr>
        <w:t xml:space="preserve"> </w:t>
      </w:r>
      <w:r w:rsidR="000F38CD" w:rsidRPr="00257FEA">
        <w:rPr>
          <w:lang w:val="en-GB"/>
        </w:rPr>
        <w:t xml:space="preserve">of the Sector advisory groups and played a key role in strengthening coordination across ITU’s membership. Its </w:t>
      </w:r>
      <w:r w:rsidR="00955DA9">
        <w:rPr>
          <w:lang w:val="en-GB"/>
        </w:rPr>
        <w:t>activities</w:t>
      </w:r>
      <w:r w:rsidR="00955DA9" w:rsidRPr="00257FEA">
        <w:rPr>
          <w:lang w:val="en-GB"/>
        </w:rPr>
        <w:t xml:space="preserve"> </w:t>
      </w:r>
      <w:r w:rsidR="000F38CD" w:rsidRPr="00257FEA">
        <w:rPr>
          <w:lang w:val="en-GB"/>
        </w:rPr>
        <w:t xml:space="preserve">focused on thematic areas, which had recently expanded to include industry engagement. </w:t>
      </w:r>
      <w:r w:rsidR="00E26E11">
        <w:rPr>
          <w:lang w:val="en-GB"/>
        </w:rPr>
        <w:t>ISCG</w:t>
      </w:r>
      <w:r w:rsidR="00E26E11" w:rsidRPr="00257FEA">
        <w:rPr>
          <w:lang w:val="en-GB"/>
        </w:rPr>
        <w:t xml:space="preserve"> </w:t>
      </w:r>
      <w:r w:rsidR="000F38CD" w:rsidRPr="00257FEA">
        <w:rPr>
          <w:lang w:val="en-GB"/>
        </w:rPr>
        <w:t>had established a rapporteur group on streamlining resolutions and had add</w:t>
      </w:r>
      <w:r w:rsidR="00693BDE">
        <w:rPr>
          <w:lang w:val="en-GB"/>
        </w:rPr>
        <w:t>ed</w:t>
      </w:r>
      <w:r w:rsidR="000F38CD" w:rsidRPr="00257FEA">
        <w:rPr>
          <w:lang w:val="en-GB"/>
        </w:rPr>
        <w:t xml:space="preserve"> efficiencies as a new theme, to promote</w:t>
      </w:r>
      <w:r w:rsidR="00D94DC0">
        <w:rPr>
          <w:lang w:val="en-GB"/>
        </w:rPr>
        <w:t xml:space="preserve"> the exchange</w:t>
      </w:r>
      <w:r w:rsidR="001B7324">
        <w:rPr>
          <w:lang w:val="en-GB"/>
        </w:rPr>
        <w:t xml:space="preserve"> of</w:t>
      </w:r>
      <w:r w:rsidR="000F38CD" w:rsidRPr="00257FEA">
        <w:rPr>
          <w:lang w:val="en-GB"/>
        </w:rPr>
        <w:t xml:space="preserve"> best practices across the three Sectors. A mapping exercise had been </w:t>
      </w:r>
      <w:r w:rsidR="00E20408">
        <w:rPr>
          <w:lang w:val="en-GB"/>
        </w:rPr>
        <w:t>undertaken</w:t>
      </w:r>
      <w:r w:rsidR="00E20408" w:rsidRPr="00257FEA">
        <w:rPr>
          <w:lang w:val="en-GB"/>
        </w:rPr>
        <w:t xml:space="preserve"> </w:t>
      </w:r>
      <w:r w:rsidR="000F38CD" w:rsidRPr="00257FEA">
        <w:rPr>
          <w:lang w:val="en-GB"/>
        </w:rPr>
        <w:t>to</w:t>
      </w:r>
      <w:r w:rsidR="00BA2632">
        <w:rPr>
          <w:lang w:val="en-GB"/>
        </w:rPr>
        <w:t xml:space="preserve"> improve </w:t>
      </w:r>
      <w:r w:rsidR="000F38CD" w:rsidRPr="00257FEA">
        <w:rPr>
          <w:lang w:val="en-GB"/>
        </w:rPr>
        <w:t>align</w:t>
      </w:r>
      <w:r w:rsidR="00F34196">
        <w:rPr>
          <w:lang w:val="en-GB"/>
        </w:rPr>
        <w:t>ment of</w:t>
      </w:r>
      <w:r w:rsidR="000F38CD" w:rsidRPr="00257FEA">
        <w:rPr>
          <w:lang w:val="en-GB"/>
        </w:rPr>
        <w:t xml:space="preserve"> work across the </w:t>
      </w:r>
      <w:r w:rsidR="00AC2A6D">
        <w:rPr>
          <w:lang w:val="en-GB"/>
        </w:rPr>
        <w:t>Union</w:t>
      </w:r>
      <w:r w:rsidR="000F38CD" w:rsidRPr="00257FEA">
        <w:rPr>
          <w:lang w:val="en-GB"/>
        </w:rPr>
        <w:t xml:space="preserve"> </w:t>
      </w:r>
      <w:r w:rsidR="00B950B4">
        <w:rPr>
          <w:lang w:val="en-GB"/>
        </w:rPr>
        <w:t>and</w:t>
      </w:r>
      <w:r w:rsidR="00B950B4" w:rsidRPr="00257FEA">
        <w:rPr>
          <w:lang w:val="en-GB"/>
        </w:rPr>
        <w:t xml:space="preserve"> </w:t>
      </w:r>
      <w:r w:rsidR="000F38CD" w:rsidRPr="00257FEA">
        <w:rPr>
          <w:lang w:val="en-GB"/>
        </w:rPr>
        <w:t xml:space="preserve">was currently </w:t>
      </w:r>
      <w:r w:rsidR="00B950B4">
        <w:rPr>
          <w:lang w:val="en-GB"/>
        </w:rPr>
        <w:t xml:space="preserve">under </w:t>
      </w:r>
      <w:r w:rsidR="000F38CD" w:rsidRPr="00257FEA">
        <w:rPr>
          <w:lang w:val="en-GB"/>
        </w:rPr>
        <w:t xml:space="preserve">review. Participation in and contributions to the ISCG’s work were encouraged. </w:t>
      </w:r>
      <w:r w:rsidR="0004549E" w:rsidRPr="00C44A2E">
        <w:rPr>
          <w:lang w:val="en-GB"/>
        </w:rPr>
        <w:t>The Chair further informed the committee that I</w:t>
      </w:r>
      <w:r w:rsidR="000F38CD" w:rsidRPr="00257FEA">
        <w:rPr>
          <w:lang w:val="en-GB"/>
        </w:rPr>
        <w:t xml:space="preserve">SCG </w:t>
      </w:r>
      <w:r w:rsidR="000F38CD" w:rsidRPr="00BE017B">
        <w:rPr>
          <w:lang w:val="en-GB"/>
        </w:rPr>
        <w:t>inten</w:t>
      </w:r>
      <w:r w:rsidR="00564820" w:rsidRPr="00BE017B">
        <w:rPr>
          <w:lang w:val="en-GB"/>
        </w:rPr>
        <w:t>ded</w:t>
      </w:r>
      <w:r w:rsidRPr="00BE017B">
        <w:rPr>
          <w:lang w:val="en-GB"/>
        </w:rPr>
        <w:t xml:space="preserve"> </w:t>
      </w:r>
      <w:r w:rsidR="008C75D0">
        <w:rPr>
          <w:lang w:val="en-GB"/>
        </w:rPr>
        <w:t>in the future</w:t>
      </w:r>
      <w:r w:rsidR="000F38CD" w:rsidRPr="00257FEA">
        <w:rPr>
          <w:lang w:val="en-GB"/>
        </w:rPr>
        <w:t xml:space="preserve"> to submit a standalone report to Council to enhance its visibility and impact</w:t>
      </w:r>
      <w:r w:rsidR="00F560BD">
        <w:rPr>
          <w:lang w:val="en-GB"/>
        </w:rPr>
        <w:t xml:space="preserve"> of its work</w:t>
      </w:r>
      <w:r w:rsidR="000F38CD" w:rsidRPr="00257FEA">
        <w:rPr>
          <w:lang w:val="en-GB"/>
        </w:rPr>
        <w:t>.</w:t>
      </w:r>
    </w:p>
    <w:p w14:paraId="3B1900F2" w14:textId="75C19CF3" w:rsidR="000F38CD" w:rsidRPr="00257FEA" w:rsidRDefault="00BE017B" w:rsidP="000F38CD">
      <w:pPr>
        <w:rPr>
          <w:lang w:val="en-GB" w:eastAsia="ko-KR"/>
        </w:rPr>
      </w:pPr>
      <w:r w:rsidRPr="00BE017B">
        <w:rPr>
          <w:lang w:val="en-GB"/>
        </w:rPr>
        <w:t>41</w:t>
      </w:r>
      <w:r w:rsidR="000F38CD" w:rsidRPr="00257FEA">
        <w:rPr>
          <w:lang w:val="en-GB"/>
        </w:rPr>
        <w:t>.3</w:t>
      </w:r>
      <w:r w:rsidR="000F38CD" w:rsidRPr="00257FEA">
        <w:rPr>
          <w:lang w:val="en-GB"/>
        </w:rPr>
        <w:tab/>
        <w:t xml:space="preserve"> </w:t>
      </w:r>
      <w:r w:rsidR="00960614" w:rsidRPr="00C44A2E">
        <w:rPr>
          <w:lang w:val="en-GB"/>
        </w:rPr>
        <w:t>With</w:t>
      </w:r>
      <w:r w:rsidR="000F38CD" w:rsidRPr="00257FEA">
        <w:rPr>
          <w:lang w:val="en-GB"/>
        </w:rPr>
        <w:t xml:space="preserve"> the support of two councillors, the observer for the Russian Federation introduced two multicountry contributions in documents C26/89 and C26/88, each on behalf of three countries. The contributions proposed amendments to resolutions 191 (Rev. Bucharest, 2022) and 58 (Rev. Busan, 2014), respectively. </w:t>
      </w:r>
      <w:r w:rsidR="00542658" w:rsidRPr="00C44A2E">
        <w:rPr>
          <w:lang w:val="en-GB"/>
        </w:rPr>
        <w:t>It was explained that</w:t>
      </w:r>
      <w:r w:rsidR="00542658" w:rsidRPr="00542658">
        <w:rPr>
          <w:lang w:val="en-GB"/>
        </w:rPr>
        <w:t xml:space="preserve"> </w:t>
      </w:r>
      <w:r w:rsidR="00997B1F">
        <w:rPr>
          <w:lang w:val="en-GB"/>
        </w:rPr>
        <w:t>t</w:t>
      </w:r>
      <w:r w:rsidR="000F38CD" w:rsidRPr="00257FEA">
        <w:rPr>
          <w:lang w:val="en-GB"/>
        </w:rPr>
        <w:t xml:space="preserve">he </w:t>
      </w:r>
      <w:r w:rsidR="006144E2">
        <w:rPr>
          <w:lang w:val="en-GB"/>
        </w:rPr>
        <w:t xml:space="preserve">proposed </w:t>
      </w:r>
      <w:r w:rsidR="000F38CD" w:rsidRPr="00257FEA">
        <w:rPr>
          <w:lang w:val="en-GB"/>
        </w:rPr>
        <w:t xml:space="preserve">revisions had been </w:t>
      </w:r>
      <w:r w:rsidR="000A52EB">
        <w:rPr>
          <w:lang w:val="en-GB"/>
        </w:rPr>
        <w:t>prepared</w:t>
      </w:r>
      <w:r w:rsidR="000A52EB" w:rsidRPr="00257FEA">
        <w:rPr>
          <w:lang w:val="en-GB"/>
        </w:rPr>
        <w:t xml:space="preserve"> </w:t>
      </w:r>
      <w:proofErr w:type="gramStart"/>
      <w:r w:rsidR="000F38CD" w:rsidRPr="00257FEA">
        <w:rPr>
          <w:lang w:val="en-GB"/>
        </w:rPr>
        <w:t xml:space="preserve">taking </w:t>
      </w:r>
      <w:r w:rsidR="007E2514">
        <w:rPr>
          <w:lang w:val="en-GB"/>
        </w:rPr>
        <w:t xml:space="preserve">into </w:t>
      </w:r>
      <w:r w:rsidR="000F38CD" w:rsidRPr="00257FEA">
        <w:rPr>
          <w:lang w:val="en-GB"/>
        </w:rPr>
        <w:t>account</w:t>
      </w:r>
      <w:proofErr w:type="gramEnd"/>
      <w:r w:rsidR="000F38CD" w:rsidRPr="00257FEA">
        <w:rPr>
          <w:lang w:val="en-GB"/>
        </w:rPr>
        <w:t xml:space="preserve"> comments raised during consultations in Council working groups,</w:t>
      </w:r>
      <w:r w:rsidR="000F38CD" w:rsidRPr="00257FEA" w:rsidDel="00F174AC">
        <w:rPr>
          <w:lang w:val="en-GB"/>
        </w:rPr>
        <w:t xml:space="preserve"> </w:t>
      </w:r>
      <w:r w:rsidR="00F174AC">
        <w:rPr>
          <w:lang w:val="en-GB"/>
        </w:rPr>
        <w:t>as well as</w:t>
      </w:r>
      <w:r w:rsidR="000F38CD" w:rsidRPr="00257FEA">
        <w:rPr>
          <w:lang w:val="en-GB"/>
        </w:rPr>
        <w:t xml:space="preserve"> comparative </w:t>
      </w:r>
      <w:r w:rsidR="00C257CA" w:rsidRPr="00C44A2E">
        <w:rPr>
          <w:lang w:val="en-GB"/>
        </w:rPr>
        <w:t>analyses of the provisions of the resolutions and their corresponding Sectoral resolutions, with a view to improving harmonization and reducing duplication.</w:t>
      </w:r>
      <w:r w:rsidR="000F38CD" w:rsidRPr="00257FEA">
        <w:rPr>
          <w:lang w:val="en-GB"/>
        </w:rPr>
        <w:t xml:space="preserve"> </w:t>
      </w:r>
      <w:r w:rsidR="00E02F80">
        <w:rPr>
          <w:lang w:val="en-GB" w:eastAsia="ko-KR"/>
        </w:rPr>
        <w:t>Should</w:t>
      </w:r>
      <w:r w:rsidR="00E02F80" w:rsidRPr="00257FEA">
        <w:rPr>
          <w:lang w:val="en-GB" w:eastAsia="ko-KR"/>
        </w:rPr>
        <w:t xml:space="preserve"> </w:t>
      </w:r>
      <w:r w:rsidR="000F38CD" w:rsidRPr="00257FEA">
        <w:rPr>
          <w:lang w:val="en-GB" w:eastAsia="ko-KR"/>
        </w:rPr>
        <w:t xml:space="preserve">the proposed </w:t>
      </w:r>
      <w:r w:rsidR="00F2190B">
        <w:rPr>
          <w:lang w:val="en-GB" w:eastAsia="ko-KR"/>
        </w:rPr>
        <w:t>amendments</w:t>
      </w:r>
      <w:r w:rsidR="00F2190B" w:rsidRPr="00257FEA">
        <w:rPr>
          <w:lang w:val="en-GB" w:eastAsia="ko-KR"/>
        </w:rPr>
        <w:t xml:space="preserve"> </w:t>
      </w:r>
      <w:r w:rsidR="0071088C">
        <w:rPr>
          <w:lang w:val="en-GB" w:eastAsia="ko-KR"/>
        </w:rPr>
        <w:t>be</w:t>
      </w:r>
      <w:r w:rsidR="0071088C" w:rsidRPr="00257FEA">
        <w:rPr>
          <w:lang w:val="en-GB" w:eastAsia="ko-KR"/>
        </w:rPr>
        <w:t xml:space="preserve"> </w:t>
      </w:r>
      <w:r w:rsidR="000F38CD" w:rsidRPr="00257FEA">
        <w:rPr>
          <w:lang w:val="en-GB" w:eastAsia="ko-KR"/>
        </w:rPr>
        <w:t>adopted at PP-26, the question of revis</w:t>
      </w:r>
      <w:r w:rsidR="00BF6438">
        <w:rPr>
          <w:lang w:val="en-GB" w:eastAsia="ko-KR"/>
        </w:rPr>
        <w:t>ing</w:t>
      </w:r>
      <w:r w:rsidR="000F38CD" w:rsidRPr="00257FEA">
        <w:rPr>
          <w:lang w:val="en-GB" w:eastAsia="ko-KR"/>
        </w:rPr>
        <w:t xml:space="preserve"> or abrogat</w:t>
      </w:r>
      <w:r w:rsidR="009848DB">
        <w:rPr>
          <w:lang w:val="en-GB" w:eastAsia="ko-KR"/>
        </w:rPr>
        <w:t>ing</w:t>
      </w:r>
      <w:r w:rsidR="000F38CD" w:rsidRPr="00257FEA">
        <w:rPr>
          <w:lang w:val="en-GB" w:eastAsia="ko-KR"/>
        </w:rPr>
        <w:t xml:space="preserve"> </w:t>
      </w:r>
      <w:r w:rsidR="009934E0">
        <w:rPr>
          <w:lang w:val="en-GB" w:eastAsia="ko-KR"/>
        </w:rPr>
        <w:t>related</w:t>
      </w:r>
      <w:r w:rsidR="000F38CD" w:rsidRPr="00257FEA">
        <w:rPr>
          <w:lang w:val="en-GB" w:eastAsia="ko-KR"/>
        </w:rPr>
        <w:t xml:space="preserve"> Sector resolutions would be considered at RA-27, WTSA-28 and WTDC-29 upon submission of proposals by Member States and Sector Members.</w:t>
      </w:r>
    </w:p>
    <w:p w14:paraId="49462625" w14:textId="158510E2" w:rsidR="000F38CD" w:rsidRPr="00257FEA" w:rsidRDefault="00BE017B" w:rsidP="000F38CD">
      <w:pPr>
        <w:rPr>
          <w:lang w:val="en-GB"/>
        </w:rPr>
      </w:pPr>
      <w:r w:rsidRPr="00BE017B">
        <w:rPr>
          <w:lang w:val="en-GB"/>
        </w:rPr>
        <w:t>41</w:t>
      </w:r>
      <w:r w:rsidR="000F38CD" w:rsidRPr="00257FEA">
        <w:rPr>
          <w:lang w:val="en-GB"/>
        </w:rPr>
        <w:t>.4</w:t>
      </w:r>
      <w:r w:rsidR="000F38CD" w:rsidRPr="00257FEA">
        <w:rPr>
          <w:lang w:val="en-GB"/>
        </w:rPr>
        <w:tab/>
        <w:t xml:space="preserve">Councillors welcomed the report and the update </w:t>
      </w:r>
      <w:r w:rsidR="00C746AE">
        <w:rPr>
          <w:lang w:val="en-GB"/>
        </w:rPr>
        <w:t>provided by</w:t>
      </w:r>
      <w:r w:rsidR="00C746AE" w:rsidRPr="00257FEA">
        <w:rPr>
          <w:lang w:val="en-GB"/>
        </w:rPr>
        <w:t xml:space="preserve"> </w:t>
      </w:r>
      <w:r w:rsidR="000F38CD" w:rsidRPr="00257FEA">
        <w:rPr>
          <w:lang w:val="en-GB"/>
        </w:rPr>
        <w:t xml:space="preserve">the Chair of ISCG, and commended the extensive work </w:t>
      </w:r>
      <w:r w:rsidR="00107AFE">
        <w:rPr>
          <w:lang w:val="en-GB"/>
        </w:rPr>
        <w:t>undertaken</w:t>
      </w:r>
      <w:r w:rsidR="000F38CD" w:rsidRPr="00257FEA">
        <w:rPr>
          <w:lang w:val="en-GB"/>
        </w:rPr>
        <w:t xml:space="preserve"> to implement Resolution 191 (Rev. Bucharest, 2022). </w:t>
      </w:r>
      <w:r w:rsidR="00C64F77" w:rsidRPr="00C44A2E">
        <w:rPr>
          <w:lang w:val="en-GB"/>
        </w:rPr>
        <w:t xml:space="preserve">It was </w:t>
      </w:r>
      <w:proofErr w:type="gramStart"/>
      <w:r w:rsidR="00C64F77" w:rsidRPr="00C44A2E">
        <w:rPr>
          <w:lang w:val="en-GB"/>
        </w:rPr>
        <w:t>emphasized</w:t>
      </w:r>
      <w:r w:rsidR="00C64F77" w:rsidRPr="00C64F77">
        <w:rPr>
          <w:lang w:val="en-GB"/>
        </w:rPr>
        <w:t xml:space="preserve"> </w:t>
      </w:r>
      <w:r w:rsidR="00C64F77">
        <w:rPr>
          <w:lang w:val="en-GB"/>
        </w:rPr>
        <w:t xml:space="preserve"> that</w:t>
      </w:r>
      <w:proofErr w:type="gramEnd"/>
      <w:r w:rsidR="00C64F77">
        <w:rPr>
          <w:lang w:val="en-GB"/>
        </w:rPr>
        <w:t xml:space="preserve"> </w:t>
      </w:r>
      <w:r w:rsidRPr="00BE017B">
        <w:rPr>
          <w:lang w:val="en-GB"/>
        </w:rPr>
        <w:t>i</w:t>
      </w:r>
      <w:r w:rsidR="000F38CD" w:rsidRPr="00BE017B">
        <w:rPr>
          <w:lang w:val="en-GB"/>
        </w:rPr>
        <w:t>nter</w:t>
      </w:r>
      <w:r w:rsidR="000F38CD" w:rsidRPr="00257FEA">
        <w:rPr>
          <w:lang w:val="en-GB"/>
        </w:rPr>
        <w:t xml:space="preserve">-Sectoral coordination should be a </w:t>
      </w:r>
      <w:r w:rsidR="000F38CD" w:rsidRPr="00BE017B">
        <w:rPr>
          <w:lang w:val="en-GB"/>
        </w:rPr>
        <w:t>contin</w:t>
      </w:r>
      <w:r w:rsidRPr="00BE017B">
        <w:rPr>
          <w:lang w:val="en-GB"/>
        </w:rPr>
        <w:t>u</w:t>
      </w:r>
      <w:r w:rsidR="002B608D" w:rsidRPr="00BE017B">
        <w:rPr>
          <w:lang w:val="en-GB"/>
        </w:rPr>
        <w:t>ous</w:t>
      </w:r>
      <w:r w:rsidR="000F38CD" w:rsidRPr="00257FEA">
        <w:rPr>
          <w:lang w:val="en-GB"/>
        </w:rPr>
        <w:t xml:space="preserve"> </w:t>
      </w:r>
      <w:proofErr w:type="gramStart"/>
      <w:r w:rsidR="000F38CD" w:rsidRPr="00257FEA">
        <w:rPr>
          <w:lang w:val="en-GB"/>
        </w:rPr>
        <w:t>process</w:t>
      </w:r>
      <w:r w:rsidR="00C3661E">
        <w:rPr>
          <w:lang w:val="en-GB"/>
        </w:rPr>
        <w:t xml:space="preserve"> </w:t>
      </w:r>
      <w:r w:rsidR="000F38CD" w:rsidRPr="00257FEA">
        <w:rPr>
          <w:lang w:val="en-GB"/>
        </w:rPr>
        <w:t xml:space="preserve"> across</w:t>
      </w:r>
      <w:proofErr w:type="gramEnd"/>
      <w:r w:rsidR="000F38CD" w:rsidRPr="00257FEA">
        <w:rPr>
          <w:lang w:val="en-GB"/>
        </w:rPr>
        <w:t xml:space="preserve"> the General Secretariat and the Bureaux </w:t>
      </w:r>
      <w:proofErr w:type="gramStart"/>
      <w:r w:rsidR="0051447E" w:rsidRPr="00C44A2E">
        <w:rPr>
          <w:lang w:val="en-GB"/>
        </w:rPr>
        <w:t>in order to</w:t>
      </w:r>
      <w:proofErr w:type="gramEnd"/>
      <w:r w:rsidR="0051447E" w:rsidRPr="00C44A2E">
        <w:rPr>
          <w:lang w:val="en-GB"/>
        </w:rPr>
        <w:t xml:space="preserve"> strengthen</w:t>
      </w:r>
      <w:r w:rsidR="0051447E" w:rsidRPr="0051447E" w:rsidDel="0051447E">
        <w:rPr>
          <w:lang w:val="en-GB"/>
        </w:rPr>
        <w:t xml:space="preserve"> </w:t>
      </w:r>
      <w:r w:rsidR="000F38CD" w:rsidRPr="00257FEA">
        <w:rPr>
          <w:lang w:val="en-GB"/>
        </w:rPr>
        <w:t>alignment, reduce duplication, i</w:t>
      </w:r>
      <w:r w:rsidR="0044458F">
        <w:rPr>
          <w:lang w:val="en-GB"/>
        </w:rPr>
        <w:t>mprove</w:t>
      </w:r>
      <w:r w:rsidR="000F38CD" w:rsidRPr="00257FEA">
        <w:rPr>
          <w:lang w:val="en-GB"/>
        </w:rPr>
        <w:t xml:space="preserve"> operational excellence and </w:t>
      </w:r>
      <w:r w:rsidR="004B5425">
        <w:rPr>
          <w:lang w:val="en-GB"/>
        </w:rPr>
        <w:t>enhance</w:t>
      </w:r>
      <w:r w:rsidR="004B5425" w:rsidRPr="00257FEA">
        <w:rPr>
          <w:lang w:val="en-GB"/>
        </w:rPr>
        <w:t xml:space="preserve"> </w:t>
      </w:r>
      <w:r w:rsidR="000F38CD" w:rsidRPr="00257FEA">
        <w:rPr>
          <w:lang w:val="en-GB"/>
        </w:rPr>
        <w:t>efficiency.</w:t>
      </w:r>
      <w:r w:rsidR="00E54EF9" w:rsidRPr="00BE017B">
        <w:rPr>
          <w:lang w:val="en-GB"/>
        </w:rPr>
        <w:t xml:space="preserve"> </w:t>
      </w:r>
      <w:r w:rsidR="00E54EF9" w:rsidRPr="00C44A2E">
        <w:rPr>
          <w:lang w:val="en-GB"/>
        </w:rPr>
        <w:t>Several councillors encouraged the reporting of</w:t>
      </w:r>
      <w:r w:rsidR="000F38CD" w:rsidRPr="00257FEA">
        <w:rPr>
          <w:lang w:val="en-GB"/>
        </w:rPr>
        <w:t xml:space="preserve"> </w:t>
      </w:r>
      <w:r w:rsidR="00E54EF9">
        <w:rPr>
          <w:lang w:val="en-GB"/>
        </w:rPr>
        <w:t>e</w:t>
      </w:r>
      <w:r w:rsidR="000F38CD" w:rsidRPr="00257FEA">
        <w:rPr>
          <w:lang w:val="en-GB"/>
        </w:rPr>
        <w:t>fficiency gains result</w:t>
      </w:r>
      <w:r w:rsidR="00CD50F0">
        <w:rPr>
          <w:lang w:val="en-GB"/>
        </w:rPr>
        <w:t>ing</w:t>
      </w:r>
      <w:r w:rsidR="000F38CD" w:rsidRPr="00257FEA">
        <w:rPr>
          <w:lang w:val="en-GB"/>
        </w:rPr>
        <w:t xml:space="preserve"> </w:t>
      </w:r>
      <w:r w:rsidR="000E39CF">
        <w:rPr>
          <w:lang w:val="en-GB"/>
        </w:rPr>
        <w:t>from</w:t>
      </w:r>
      <w:r w:rsidR="000E39CF" w:rsidRPr="00257FEA">
        <w:rPr>
          <w:lang w:val="en-GB"/>
        </w:rPr>
        <w:t xml:space="preserve"> </w:t>
      </w:r>
      <w:r w:rsidR="000F38CD" w:rsidRPr="00257FEA">
        <w:rPr>
          <w:lang w:val="en-GB"/>
        </w:rPr>
        <w:t xml:space="preserve">inter-Sectoral coordination to </w:t>
      </w:r>
      <w:r w:rsidRPr="00BE017B">
        <w:rPr>
          <w:lang w:val="en-GB"/>
        </w:rPr>
        <w:t xml:space="preserve">the </w:t>
      </w:r>
      <w:r w:rsidR="000F38CD" w:rsidRPr="00257FEA">
        <w:rPr>
          <w:lang w:val="en-GB"/>
        </w:rPr>
        <w:t xml:space="preserve">Council. </w:t>
      </w:r>
      <w:r w:rsidR="00AC5441" w:rsidRPr="00C44A2E">
        <w:rPr>
          <w:lang w:val="en-GB"/>
        </w:rPr>
        <w:t xml:space="preserve">The importance of promoting </w:t>
      </w:r>
      <w:r w:rsidR="009C038D">
        <w:rPr>
          <w:lang w:val="en-GB"/>
        </w:rPr>
        <w:t>a</w:t>
      </w:r>
      <w:r w:rsidR="000F38CD" w:rsidRPr="00257FEA">
        <w:rPr>
          <w:lang w:val="en-GB"/>
        </w:rPr>
        <w:t xml:space="preserve"> coherent, "One ITU" approach </w:t>
      </w:r>
      <w:r w:rsidR="00DC3E9C">
        <w:rPr>
          <w:lang w:val="en-GB"/>
        </w:rPr>
        <w:t xml:space="preserve">on </w:t>
      </w:r>
      <w:r w:rsidR="000F38CD" w:rsidRPr="00257FEA">
        <w:rPr>
          <w:lang w:val="en-GB"/>
        </w:rPr>
        <w:t>issues of mutual interest cut</w:t>
      </w:r>
      <w:r w:rsidR="0061535F">
        <w:rPr>
          <w:lang w:val="en-GB"/>
        </w:rPr>
        <w:t>ting</w:t>
      </w:r>
      <w:r w:rsidR="000F38CD" w:rsidRPr="00257FEA">
        <w:rPr>
          <w:lang w:val="en-GB"/>
        </w:rPr>
        <w:t xml:space="preserve"> across Sectoral mandates</w:t>
      </w:r>
      <w:r w:rsidR="007E6BB0">
        <w:rPr>
          <w:lang w:val="en-GB"/>
        </w:rPr>
        <w:t xml:space="preserve"> was also highlighted</w:t>
      </w:r>
      <w:r w:rsidR="000F38CD" w:rsidRPr="00257FEA">
        <w:rPr>
          <w:lang w:val="en-GB"/>
        </w:rPr>
        <w:t xml:space="preserve">. While clear allocation of roles and responsibilities </w:t>
      </w:r>
      <w:r w:rsidR="00C54490">
        <w:rPr>
          <w:lang w:val="en-GB"/>
        </w:rPr>
        <w:t>was needed</w:t>
      </w:r>
      <w:r w:rsidR="00867C77">
        <w:rPr>
          <w:lang w:val="en-GB"/>
        </w:rPr>
        <w:t xml:space="preserve"> </w:t>
      </w:r>
      <w:r w:rsidR="000F38CD" w:rsidRPr="00257FEA">
        <w:rPr>
          <w:lang w:val="en-GB"/>
        </w:rPr>
        <w:t xml:space="preserve">to </w:t>
      </w:r>
      <w:r w:rsidR="002776F4">
        <w:rPr>
          <w:lang w:val="en-GB"/>
        </w:rPr>
        <w:t>avoid</w:t>
      </w:r>
      <w:r w:rsidR="000F38CD" w:rsidRPr="00257FEA">
        <w:rPr>
          <w:lang w:val="en-GB"/>
        </w:rPr>
        <w:t xml:space="preserve"> duplication and </w:t>
      </w:r>
      <w:r w:rsidR="00F506A3" w:rsidRPr="00BE017B">
        <w:rPr>
          <w:lang w:val="en-GB"/>
        </w:rPr>
        <w:t>maximi</w:t>
      </w:r>
      <w:r w:rsidRPr="00BE017B">
        <w:rPr>
          <w:lang w:val="en-GB"/>
        </w:rPr>
        <w:t>z</w:t>
      </w:r>
      <w:r w:rsidR="00F506A3" w:rsidRPr="00BE017B">
        <w:rPr>
          <w:lang w:val="en-GB"/>
        </w:rPr>
        <w:t>e</w:t>
      </w:r>
      <w:r w:rsidR="00F506A3" w:rsidRPr="00257FEA">
        <w:rPr>
          <w:lang w:val="en-GB"/>
        </w:rPr>
        <w:t xml:space="preserve"> </w:t>
      </w:r>
      <w:r w:rsidR="000F38CD" w:rsidRPr="00257FEA">
        <w:rPr>
          <w:lang w:val="en-GB"/>
        </w:rPr>
        <w:t xml:space="preserve">synergies, </w:t>
      </w:r>
      <w:r w:rsidR="007433BC" w:rsidRPr="00C44A2E">
        <w:rPr>
          <w:lang w:val="en-GB"/>
        </w:rPr>
        <w:t>councillors stressed that the specific mandates of each Sector must continue to be respected</w:t>
      </w:r>
      <w:r w:rsidR="000F38CD" w:rsidRPr="00257FEA">
        <w:rPr>
          <w:lang w:val="en-GB"/>
        </w:rPr>
        <w:t xml:space="preserve">. The mapping of resolutions was </w:t>
      </w:r>
      <w:r w:rsidR="00B67250" w:rsidRPr="00BE017B">
        <w:rPr>
          <w:lang w:val="en-GB"/>
        </w:rPr>
        <w:t>widely</w:t>
      </w:r>
      <w:r w:rsidRPr="00BE017B">
        <w:rPr>
          <w:lang w:val="en-GB"/>
        </w:rPr>
        <w:t xml:space="preserve"> </w:t>
      </w:r>
      <w:r w:rsidR="00B67250" w:rsidRPr="00BE017B">
        <w:rPr>
          <w:lang w:val="en-GB"/>
        </w:rPr>
        <w:t>regarded</w:t>
      </w:r>
      <w:r w:rsidR="00B67250">
        <w:rPr>
          <w:lang w:val="en-GB"/>
        </w:rPr>
        <w:t xml:space="preserve"> </w:t>
      </w:r>
      <w:r w:rsidR="00444D28">
        <w:rPr>
          <w:lang w:val="en-GB"/>
        </w:rPr>
        <w:t xml:space="preserve">as </w:t>
      </w:r>
      <w:r w:rsidR="000F38CD" w:rsidRPr="00257FEA">
        <w:rPr>
          <w:lang w:val="en-GB"/>
        </w:rPr>
        <w:t xml:space="preserve">a particularly valuable exercise; </w:t>
      </w:r>
      <w:r w:rsidR="001F4D88" w:rsidRPr="00C44A2E">
        <w:rPr>
          <w:lang w:val="en-GB"/>
        </w:rPr>
        <w:t xml:space="preserve">given the growing number of </w:t>
      </w:r>
      <w:r w:rsidR="000F38CD" w:rsidRPr="00257FEA">
        <w:rPr>
          <w:lang w:val="en-GB"/>
        </w:rPr>
        <w:t>resolutions adopted each year through ITU conferences and assemblies</w:t>
      </w:r>
      <w:r w:rsidR="000F38CD" w:rsidRPr="00257FEA" w:rsidDel="006A25BC">
        <w:rPr>
          <w:lang w:val="en-GB"/>
        </w:rPr>
        <w:t xml:space="preserve">. </w:t>
      </w:r>
      <w:r w:rsidR="000F38CD" w:rsidRPr="00257FEA">
        <w:rPr>
          <w:lang w:val="en-GB"/>
        </w:rPr>
        <w:t xml:space="preserve">One councillor asked why only three areas requiring coordination were listed in the report. The role of ISCG should be strengthened. </w:t>
      </w:r>
    </w:p>
    <w:p w14:paraId="2332384D" w14:textId="4CEAAD81" w:rsidR="000F38CD" w:rsidRPr="00257FEA" w:rsidRDefault="00BE017B" w:rsidP="000F38CD">
      <w:pPr>
        <w:rPr>
          <w:lang w:val="en-GB"/>
        </w:rPr>
      </w:pPr>
      <w:r w:rsidRPr="00BE017B">
        <w:rPr>
          <w:lang w:val="en-GB"/>
        </w:rPr>
        <w:t>41</w:t>
      </w:r>
      <w:r w:rsidR="000F38CD" w:rsidRPr="00257FEA">
        <w:rPr>
          <w:lang w:val="en-GB"/>
        </w:rPr>
        <w:t>.5</w:t>
      </w:r>
      <w:r w:rsidR="000F38CD" w:rsidRPr="00257FEA">
        <w:rPr>
          <w:lang w:val="en-GB"/>
        </w:rPr>
        <w:tab/>
        <w:t xml:space="preserve">Councillors expressed support for the two multicountry contributions and acknowledged the value of harmonizing resolutions across the Plenipotentiary Conference and Sector conferences and assemblies. The efforts to revise the two </w:t>
      </w:r>
      <w:r w:rsidR="003157DA" w:rsidRPr="00257FEA">
        <w:rPr>
          <w:lang w:val="en-GB"/>
        </w:rPr>
        <w:t>resolutions,</w:t>
      </w:r>
      <w:r w:rsidR="003157DA">
        <w:rPr>
          <w:lang w:val="en-GB"/>
        </w:rPr>
        <w:t xml:space="preserve"> in</w:t>
      </w:r>
      <w:r w:rsidR="00900BAF">
        <w:rPr>
          <w:lang w:val="en-GB"/>
        </w:rPr>
        <w:t xml:space="preserve"> advance of </w:t>
      </w:r>
      <w:r w:rsidR="00900BAF" w:rsidRPr="00BE017B">
        <w:rPr>
          <w:lang w:val="en-GB"/>
        </w:rPr>
        <w:t>PP</w:t>
      </w:r>
      <w:r w:rsidRPr="00BE017B">
        <w:rPr>
          <w:lang w:val="en-GB"/>
        </w:rPr>
        <w:t>-</w:t>
      </w:r>
      <w:r w:rsidR="00900BAF" w:rsidRPr="00BE017B">
        <w:rPr>
          <w:lang w:val="en-GB"/>
        </w:rPr>
        <w:t>26</w:t>
      </w:r>
      <w:r w:rsidR="00B17CC8">
        <w:rPr>
          <w:lang w:val="en-GB"/>
        </w:rPr>
        <w:t xml:space="preserve"> </w:t>
      </w:r>
      <w:r w:rsidR="000F38CD" w:rsidRPr="00257FEA">
        <w:rPr>
          <w:lang w:val="en-GB"/>
        </w:rPr>
        <w:t xml:space="preserve">as </w:t>
      </w:r>
      <w:r w:rsidR="006B4454">
        <w:rPr>
          <w:lang w:val="en-GB"/>
        </w:rPr>
        <w:t>part of broader</w:t>
      </w:r>
      <w:r w:rsidR="000F38CD" w:rsidRPr="00257FEA">
        <w:rPr>
          <w:lang w:val="en-GB"/>
        </w:rPr>
        <w:t xml:space="preserve"> streamlining and inter-Sectoral coordination</w:t>
      </w:r>
      <w:r w:rsidR="009E6625">
        <w:rPr>
          <w:lang w:val="en-GB"/>
        </w:rPr>
        <w:t xml:space="preserve"> efforts</w:t>
      </w:r>
      <w:r w:rsidR="000F38CD" w:rsidRPr="00257FEA">
        <w:rPr>
          <w:lang w:val="en-GB"/>
        </w:rPr>
        <w:t>, were welcome.</w:t>
      </w:r>
      <w:r w:rsidR="00224D0E">
        <w:rPr>
          <w:lang w:val="en-GB"/>
        </w:rPr>
        <w:t xml:space="preserve"> Several </w:t>
      </w:r>
      <w:r w:rsidR="003157DA">
        <w:rPr>
          <w:lang w:val="en-GB"/>
        </w:rPr>
        <w:t>delegations</w:t>
      </w:r>
      <w:r w:rsidR="00224D0E">
        <w:rPr>
          <w:lang w:val="en-GB"/>
        </w:rPr>
        <w:t xml:space="preserve"> </w:t>
      </w:r>
      <w:r w:rsidR="00B05A12">
        <w:rPr>
          <w:lang w:val="en-GB"/>
        </w:rPr>
        <w:t xml:space="preserve">recalled that </w:t>
      </w:r>
      <w:r w:rsidR="00E603A9">
        <w:rPr>
          <w:lang w:val="en-GB"/>
        </w:rPr>
        <w:t>t</w:t>
      </w:r>
      <w:r w:rsidR="000F38CD" w:rsidRPr="00257FEA">
        <w:rPr>
          <w:lang w:val="en-GB"/>
        </w:rPr>
        <w:t xml:space="preserve">he need to streamline resolutions had </w:t>
      </w:r>
      <w:r w:rsidR="00A0046B">
        <w:rPr>
          <w:lang w:val="en-GB"/>
        </w:rPr>
        <w:t xml:space="preserve">already </w:t>
      </w:r>
      <w:r w:rsidR="000F38CD" w:rsidRPr="00257FEA">
        <w:rPr>
          <w:lang w:val="en-GB"/>
        </w:rPr>
        <w:t xml:space="preserve">been discussed at Council-25 and </w:t>
      </w:r>
      <w:r w:rsidR="009C5414">
        <w:rPr>
          <w:lang w:val="en-GB"/>
        </w:rPr>
        <w:t>within</w:t>
      </w:r>
      <w:r w:rsidR="000F38CD" w:rsidRPr="00257FEA">
        <w:rPr>
          <w:lang w:val="en-GB"/>
        </w:rPr>
        <w:t xml:space="preserve"> the Council working groups. </w:t>
      </w:r>
      <w:r w:rsidR="00F12DAE">
        <w:rPr>
          <w:lang w:val="en-GB"/>
        </w:rPr>
        <w:t xml:space="preserve">It was further noted </w:t>
      </w:r>
      <w:r w:rsidR="002F49BE">
        <w:rPr>
          <w:lang w:val="en-GB"/>
        </w:rPr>
        <w:t xml:space="preserve">that </w:t>
      </w:r>
      <w:r w:rsidR="002F49BE" w:rsidRPr="00BE017B">
        <w:rPr>
          <w:lang w:val="en-GB"/>
        </w:rPr>
        <w:t>t</w:t>
      </w:r>
      <w:r w:rsidRPr="00BE017B">
        <w:rPr>
          <w:lang w:val="en-GB"/>
        </w:rPr>
        <w:t>h</w:t>
      </w:r>
      <w:r w:rsidR="000F38CD" w:rsidRPr="00BE017B">
        <w:rPr>
          <w:lang w:val="en-GB"/>
        </w:rPr>
        <w:t>e</w:t>
      </w:r>
      <w:r w:rsidR="000F38CD" w:rsidRPr="00257FEA">
        <w:rPr>
          <w:lang w:val="en-GB"/>
        </w:rPr>
        <w:t xml:space="preserve"> </w:t>
      </w:r>
      <w:r w:rsidR="00A8552F">
        <w:rPr>
          <w:lang w:val="en-GB"/>
        </w:rPr>
        <w:t>proposed</w:t>
      </w:r>
      <w:r w:rsidR="000F38CD" w:rsidRPr="00257FEA">
        <w:rPr>
          <w:lang w:val="en-GB"/>
        </w:rPr>
        <w:t xml:space="preserve"> revisions </w:t>
      </w:r>
      <w:r w:rsidR="00FC2FAB">
        <w:rPr>
          <w:lang w:val="en-GB"/>
        </w:rPr>
        <w:t xml:space="preserve">could </w:t>
      </w:r>
      <w:r w:rsidR="00E40655">
        <w:rPr>
          <w:lang w:val="en-GB"/>
        </w:rPr>
        <w:t>strengthen</w:t>
      </w:r>
      <w:r w:rsidR="00FC2FAB">
        <w:rPr>
          <w:lang w:val="en-GB"/>
        </w:rPr>
        <w:t xml:space="preserve"> </w:t>
      </w:r>
      <w:r w:rsidR="000F38CD" w:rsidRPr="00257FEA">
        <w:rPr>
          <w:lang w:val="en-GB"/>
        </w:rPr>
        <w:t xml:space="preserve">coordination, both </w:t>
      </w:r>
      <w:r w:rsidR="002F231B">
        <w:rPr>
          <w:lang w:val="en-GB"/>
        </w:rPr>
        <w:t>within</w:t>
      </w:r>
      <w:r w:rsidR="002F231B" w:rsidRPr="00257FEA">
        <w:rPr>
          <w:lang w:val="en-GB"/>
        </w:rPr>
        <w:t xml:space="preserve"> </w:t>
      </w:r>
      <w:r w:rsidR="000F38CD" w:rsidRPr="00257FEA">
        <w:rPr>
          <w:lang w:val="en-GB"/>
        </w:rPr>
        <w:t xml:space="preserve">ITU and between ITU and regional telecommunication organizations, and </w:t>
      </w:r>
      <w:r w:rsidR="00EB19A0" w:rsidRPr="00C44A2E">
        <w:rPr>
          <w:lang w:val="en-GB"/>
        </w:rPr>
        <w:t xml:space="preserve">therefore deserved careful </w:t>
      </w:r>
      <w:r w:rsidR="000F38CD" w:rsidRPr="00257FEA">
        <w:rPr>
          <w:lang w:val="en-GB"/>
        </w:rPr>
        <w:t>consideration.</w:t>
      </w:r>
    </w:p>
    <w:p w14:paraId="2B61098E" w14:textId="56DF05E5" w:rsidR="00B77FE5" w:rsidRPr="00D8183C" w:rsidRDefault="00BE017B" w:rsidP="000F38CD">
      <w:pPr>
        <w:spacing w:line="259" w:lineRule="auto"/>
        <w:rPr>
          <w:rFonts w:eastAsia="Calibri" w:cs="Calibri"/>
          <w:lang w:val="en-GB"/>
        </w:rPr>
      </w:pPr>
      <w:r w:rsidRPr="00BE017B">
        <w:rPr>
          <w:rFonts w:cs="Calibri"/>
          <w:lang w:val="en-GB"/>
        </w:rPr>
        <w:t>41</w:t>
      </w:r>
      <w:r w:rsidR="000F38CD" w:rsidRPr="00257FEA">
        <w:rPr>
          <w:rFonts w:cs="Calibri"/>
          <w:lang w:val="en-GB"/>
        </w:rPr>
        <w:t>.6</w:t>
      </w:r>
      <w:r w:rsidR="000F38CD" w:rsidRPr="00257FEA">
        <w:rPr>
          <w:rFonts w:cs="Calibri"/>
          <w:lang w:val="en-GB"/>
        </w:rPr>
        <w:tab/>
        <w:t xml:space="preserve">A representative of the General Secretariat </w:t>
      </w:r>
      <w:r w:rsidR="00AD5393" w:rsidRPr="00C44A2E">
        <w:rPr>
          <w:lang w:val="en-GB"/>
        </w:rPr>
        <w:t>reaffirmed</w:t>
      </w:r>
      <w:r w:rsidR="00AD5393" w:rsidRPr="00AD5393" w:rsidDel="00AD5393">
        <w:rPr>
          <w:lang w:val="en-GB"/>
        </w:rPr>
        <w:t xml:space="preserve"> </w:t>
      </w:r>
      <w:r w:rsidR="000F38CD" w:rsidRPr="00257FEA">
        <w:rPr>
          <w:lang w:val="en-GB"/>
        </w:rPr>
        <w:t xml:space="preserve">the secretariat’s commitment to continue to </w:t>
      </w:r>
      <w:r w:rsidR="00AD5393">
        <w:rPr>
          <w:lang w:val="en-GB"/>
        </w:rPr>
        <w:t>fur</w:t>
      </w:r>
      <w:r w:rsidR="00CF62F7">
        <w:rPr>
          <w:lang w:val="en-GB"/>
        </w:rPr>
        <w:t>ther</w:t>
      </w:r>
      <w:r w:rsidR="000F38CD" w:rsidRPr="00257FEA">
        <w:rPr>
          <w:lang w:val="en-GB"/>
        </w:rPr>
        <w:t xml:space="preserve"> strengthen inter-Sectoral coordination. </w:t>
      </w:r>
      <w:r w:rsidR="006D6436" w:rsidRPr="00C44A2E">
        <w:rPr>
          <w:lang w:val="en-GB"/>
        </w:rPr>
        <w:t>He noted that</w:t>
      </w:r>
      <w:r w:rsidR="006D6436" w:rsidRPr="006D6436">
        <w:rPr>
          <w:lang w:val="en-GB"/>
        </w:rPr>
        <w:t xml:space="preserve"> </w:t>
      </w:r>
      <w:r w:rsidR="001C6DCE">
        <w:rPr>
          <w:lang w:val="en-GB"/>
        </w:rPr>
        <w:t>t</w:t>
      </w:r>
      <w:r w:rsidR="000F38CD" w:rsidRPr="00257FEA">
        <w:rPr>
          <w:lang w:val="en-GB"/>
        </w:rPr>
        <w:t xml:space="preserve">he public online mapping of resolutions was updated after each conference or assembly. </w:t>
      </w:r>
      <w:r w:rsidR="00BD0D6D">
        <w:rPr>
          <w:lang w:val="en-GB"/>
        </w:rPr>
        <w:t xml:space="preserve">An example where </w:t>
      </w:r>
      <w:r w:rsidR="000F38CD" w:rsidRPr="00257FEA">
        <w:rPr>
          <w:lang w:val="en-GB"/>
        </w:rPr>
        <w:t xml:space="preserve">Inter-Sectoral </w:t>
      </w:r>
      <w:r w:rsidR="00BD0D6D">
        <w:rPr>
          <w:lang w:val="en-GB"/>
        </w:rPr>
        <w:t>coordination</w:t>
      </w:r>
      <w:r w:rsidR="000F38CD" w:rsidRPr="00257FEA">
        <w:rPr>
          <w:lang w:val="en-GB"/>
        </w:rPr>
        <w:t xml:space="preserve"> had been particularly successful </w:t>
      </w:r>
      <w:r w:rsidR="00BD0D6D">
        <w:rPr>
          <w:lang w:val="en-GB"/>
        </w:rPr>
        <w:t xml:space="preserve">was </w:t>
      </w:r>
      <w:r w:rsidR="000F38CD" w:rsidRPr="00257FEA">
        <w:rPr>
          <w:lang w:val="en-GB"/>
        </w:rPr>
        <w:t xml:space="preserve">in respect of activities undertaken under the UN80 initiative. More than 40 areas </w:t>
      </w:r>
      <w:r w:rsidR="009C4872">
        <w:rPr>
          <w:lang w:val="en-GB"/>
        </w:rPr>
        <w:t xml:space="preserve">of common interest </w:t>
      </w:r>
      <w:r w:rsidR="000F38CD" w:rsidRPr="00257FEA">
        <w:rPr>
          <w:lang w:val="en-GB"/>
        </w:rPr>
        <w:t>had been identified where inter-Sectoral coordination would be beneficial; the three mentioned in the report were illustrative examples of successful coordination measures. The other areas were publicly available on the ISCG website and other examples were reported in Document C26/35</w:t>
      </w:r>
      <w:r w:rsidR="00B77FE5" w:rsidRPr="00D8183C">
        <w:rPr>
          <w:rFonts w:eastAsia="Calibri" w:cs="Calibri"/>
          <w:lang w:val="en-GB"/>
        </w:rPr>
        <w:t xml:space="preserve">. </w:t>
      </w:r>
    </w:p>
    <w:p w14:paraId="44B85019" w14:textId="44F1F61C" w:rsidR="00B77FE5" w:rsidRDefault="00BE017B" w:rsidP="00B77FE5">
      <w:pPr>
        <w:spacing w:line="259" w:lineRule="auto"/>
        <w:rPr>
          <w:rFonts w:eastAsia="Calibri" w:cs="Calibri"/>
          <w:lang w:val="en-GB"/>
        </w:rPr>
      </w:pPr>
      <w:r w:rsidRPr="6D6A5C68">
        <w:rPr>
          <w:rFonts w:eastAsia="Calibri" w:cs="Calibri"/>
          <w:lang w:val="en-GB"/>
        </w:rPr>
        <w:t>41</w:t>
      </w:r>
      <w:r w:rsidR="00B77FE5" w:rsidRPr="6D6A5C68">
        <w:rPr>
          <w:rFonts w:eastAsia="Calibri" w:cs="Calibri"/>
          <w:spacing w:val="-4"/>
          <w:lang w:val="en-GB"/>
        </w:rPr>
        <w:t>.</w:t>
      </w:r>
      <w:r w:rsidR="00011B87" w:rsidRPr="6D6A5C68">
        <w:rPr>
          <w:rFonts w:eastAsia="Calibri" w:cs="Calibri"/>
          <w:spacing w:val="-4"/>
          <w:lang w:val="en-GB"/>
        </w:rPr>
        <w:t>7</w:t>
      </w:r>
      <w:r w:rsidR="00B77FE5" w:rsidRPr="00EA5615">
        <w:rPr>
          <w:rFonts w:eastAsia="Calibri" w:cs="Calibri"/>
          <w:szCs w:val="24"/>
          <w:lang w:val="en-GB"/>
        </w:rPr>
        <w:tab/>
      </w:r>
      <w:r w:rsidR="00B77FE5" w:rsidRPr="6D6A5C68">
        <w:rPr>
          <w:rFonts w:eastAsia="Calibri" w:cs="Calibri"/>
          <w:lang w:val="en-GB"/>
        </w:rPr>
        <w:t xml:space="preserve">The committee </w:t>
      </w:r>
      <w:r w:rsidR="00B77FE5" w:rsidRPr="6D6A5C68">
        <w:rPr>
          <w:rFonts w:eastAsia="Calibri" w:cs="Calibri"/>
          <w:b/>
          <w:lang w:val="en-GB"/>
        </w:rPr>
        <w:t>agreed</w:t>
      </w:r>
      <w:r w:rsidR="00B77FE5" w:rsidRPr="6D6A5C68">
        <w:rPr>
          <w:rFonts w:eastAsia="Calibri" w:cs="Calibri"/>
          <w:lang w:val="en-GB"/>
        </w:rPr>
        <w:t xml:space="preserve"> to conclude as follows on the matter:</w:t>
      </w:r>
    </w:p>
    <w:p w14:paraId="50401A2B" w14:textId="4922A9CB" w:rsidR="00D30ABD" w:rsidRDefault="00BE017B" w:rsidP="00743E20">
      <w:pPr>
        <w:keepNext/>
        <w:keepLines/>
        <w:pBdr>
          <w:top w:val="single" w:sz="4" w:space="4" w:color="000000"/>
          <w:left w:val="single" w:sz="4" w:space="4" w:color="000000"/>
          <w:bottom w:val="single" w:sz="4" w:space="4" w:color="000000"/>
          <w:right w:val="single" w:sz="4" w:space="4" w:color="000000"/>
        </w:pBdr>
        <w:spacing w:line="259" w:lineRule="auto"/>
        <w:rPr>
          <w:lang w:val="en-GB"/>
        </w:rPr>
      </w:pPr>
      <w:r w:rsidRPr="6D6A5C68">
        <w:rPr>
          <w:rFonts w:eastAsia="Calibri" w:cs="Calibri"/>
          <w:lang w:val="en-GB"/>
        </w:rPr>
        <w:t>41</w:t>
      </w:r>
      <w:r w:rsidR="00743E20" w:rsidRPr="6D6A5C68">
        <w:rPr>
          <w:rFonts w:eastAsia="Calibri" w:cs="Calibri"/>
          <w:lang w:val="en-GB"/>
        </w:rPr>
        <w:t>.</w:t>
      </w:r>
      <w:r w:rsidR="00011B87" w:rsidRPr="6D6A5C68">
        <w:rPr>
          <w:rFonts w:eastAsia="Calibri" w:cs="Calibri"/>
          <w:lang w:val="en-GB"/>
        </w:rPr>
        <w:t>8</w:t>
      </w:r>
      <w:r w:rsidR="00743E20" w:rsidRPr="00EA5615">
        <w:rPr>
          <w:lang w:val="en-GB"/>
        </w:rPr>
        <w:tab/>
        <w:t>The committee recommends that the Council:</w:t>
      </w:r>
    </w:p>
    <w:p w14:paraId="59FE75D5" w14:textId="645982CD" w:rsidR="00D30ABD" w:rsidRDefault="00743E20"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sidR="00083238" w:rsidRPr="00257FEA">
        <w:rPr>
          <w:lang w:val="en-GB"/>
        </w:rPr>
        <w:t>note the report</w:t>
      </w:r>
      <w:r w:rsidR="00083238" w:rsidRPr="00257FEA">
        <w:rPr>
          <w:rFonts w:cs="Calibri"/>
          <w:lang w:val="en-GB"/>
        </w:rPr>
        <w:t xml:space="preserve"> contained in </w:t>
      </w:r>
      <w:r w:rsidR="00083238" w:rsidRPr="00257FEA">
        <w:rPr>
          <w:rFonts w:eastAsia="Calibri" w:cs="Calibri"/>
          <w:lang w:val="en-GB"/>
        </w:rPr>
        <w:t xml:space="preserve">Document </w:t>
      </w:r>
      <w:hyperlink r:id="rId144" w:history="1">
        <w:r w:rsidR="00083238" w:rsidRPr="00257FEA">
          <w:rPr>
            <w:bCs/>
            <w:color w:val="4F81BD" w:themeColor="accent1"/>
            <w:u w:val="single"/>
            <w:lang w:val="en-GB"/>
          </w:rPr>
          <w:t>C26/27</w:t>
        </w:r>
      </w:hyperlink>
      <w:r w:rsidRPr="00EA5615">
        <w:rPr>
          <w:lang w:val="en-GB"/>
        </w:rPr>
        <w:t xml:space="preserve"> and</w:t>
      </w:r>
      <w:r w:rsidR="00083238">
        <w:rPr>
          <w:lang w:val="en-GB"/>
        </w:rPr>
        <w:t xml:space="preserve"> the multicountry contributions contained in Documents </w:t>
      </w:r>
      <w:hyperlink r:id="rId145" w:history="1">
        <w:r w:rsidR="00083238" w:rsidRPr="6D6A5C68">
          <w:rPr>
            <w:rStyle w:val="Hyperlink"/>
            <w:rFonts w:cs="Times New Roman"/>
            <w:lang w:val="en-GB"/>
          </w:rPr>
          <w:t>C26/89</w:t>
        </w:r>
      </w:hyperlink>
      <w:r w:rsidR="00083238">
        <w:rPr>
          <w:lang w:val="en-GB"/>
        </w:rPr>
        <w:t xml:space="preserve"> and </w:t>
      </w:r>
      <w:hyperlink r:id="rId146" w:history="1">
        <w:r w:rsidR="00083238" w:rsidRPr="6D6A5C68">
          <w:rPr>
            <w:rStyle w:val="Hyperlink"/>
            <w:rFonts w:cs="Times New Roman"/>
            <w:lang w:val="en-GB"/>
          </w:rPr>
          <w:t>C26/88</w:t>
        </w:r>
      </w:hyperlink>
      <w:r w:rsidR="00E9510F">
        <w:rPr>
          <w:lang w:val="en-GB"/>
        </w:rPr>
        <w:t>; and</w:t>
      </w:r>
    </w:p>
    <w:p w14:paraId="49DB6E56" w14:textId="09A6AB18" w:rsidR="00743E20" w:rsidRPr="00AB514A" w:rsidRDefault="00743E20" w:rsidP="00C44A2E">
      <w:pPr>
        <w:keepNext/>
        <w:keepLines/>
        <w:pBdr>
          <w:top w:val="single" w:sz="4" w:space="4" w:color="000000"/>
          <w:left w:val="single" w:sz="4" w:space="4" w:color="000000"/>
          <w:bottom w:val="single" w:sz="4" w:space="4" w:color="000000"/>
          <w:right w:val="single" w:sz="4" w:space="4" w:color="000000"/>
        </w:pBdr>
        <w:spacing w:before="80" w:line="259" w:lineRule="auto"/>
        <w:ind w:left="567" w:hanging="567"/>
        <w:rPr>
          <w:lang w:val="en-GB"/>
        </w:rPr>
      </w:pPr>
      <w:r w:rsidRPr="00EA5615">
        <w:rPr>
          <w:lang w:val="en-GB"/>
        </w:rPr>
        <w:t>•</w:t>
      </w:r>
      <w:r w:rsidRPr="00EA5615">
        <w:rPr>
          <w:lang w:val="en-GB"/>
        </w:rPr>
        <w:tab/>
      </w:r>
      <w:r w:rsidR="00E9510F">
        <w:rPr>
          <w:rFonts w:cs="Calibri"/>
          <w:szCs w:val="24"/>
          <w:lang w:val="en-GB"/>
        </w:rPr>
        <w:t xml:space="preserve">invite the </w:t>
      </w:r>
      <w:r w:rsidR="00166B3F">
        <w:rPr>
          <w:rFonts w:cs="Calibri"/>
          <w:szCs w:val="24"/>
          <w:lang w:val="en-GB"/>
        </w:rPr>
        <w:t xml:space="preserve">initiator of the multicountry contributions </w:t>
      </w:r>
      <w:r w:rsidR="00501AA4">
        <w:rPr>
          <w:rFonts w:cs="Calibri"/>
          <w:szCs w:val="24"/>
          <w:lang w:val="en-GB"/>
        </w:rPr>
        <w:t>to submit the</w:t>
      </w:r>
      <w:r w:rsidR="00874633">
        <w:rPr>
          <w:rFonts w:cs="Calibri"/>
          <w:szCs w:val="24"/>
          <w:lang w:val="en-GB"/>
        </w:rPr>
        <w:t xml:space="preserve"> proposals</w:t>
      </w:r>
      <w:r w:rsidR="00501AA4">
        <w:rPr>
          <w:rFonts w:cs="Calibri"/>
          <w:szCs w:val="24"/>
          <w:lang w:val="en-GB"/>
        </w:rPr>
        <w:t xml:space="preserve"> to the Plenipotentiary Conference (Doha. 2026) for consideration</w:t>
      </w:r>
      <w:r w:rsidRPr="00EA5615">
        <w:rPr>
          <w:rFonts w:cs="Calibri"/>
          <w:szCs w:val="24"/>
          <w:lang w:val="en-GB"/>
        </w:rPr>
        <w:t>.</w:t>
      </w:r>
    </w:p>
    <w:p w14:paraId="3B780712" w14:textId="77777777" w:rsidR="00743E20" w:rsidRDefault="00743E20" w:rsidP="00B77FE5">
      <w:pPr>
        <w:spacing w:line="259" w:lineRule="auto"/>
        <w:rPr>
          <w:rFonts w:eastAsia="Calibri" w:cs="Calibri"/>
          <w:szCs w:val="24"/>
          <w:lang w:val="en-GB"/>
        </w:rPr>
      </w:pPr>
    </w:p>
    <w:p w14:paraId="2DDF915E" w14:textId="77777777" w:rsidR="00743E20" w:rsidRDefault="00743E20" w:rsidP="00B77FE5">
      <w:pPr>
        <w:spacing w:line="259" w:lineRule="auto"/>
        <w:rPr>
          <w:rFonts w:eastAsia="Calibri" w:cs="Calibri"/>
          <w:szCs w:val="24"/>
          <w:lang w:val="en-GB"/>
        </w:rPr>
      </w:pPr>
    </w:p>
    <w:p w14:paraId="464D56CC" w14:textId="1B519E89" w:rsidR="00743E20" w:rsidRDefault="00743E20" w:rsidP="00B77FE5">
      <w:pPr>
        <w:spacing w:line="259" w:lineRule="auto"/>
        <w:rPr>
          <w:rFonts w:eastAsia="Calibri" w:cs="Calibri"/>
          <w:lang w:val="en-GB"/>
        </w:rPr>
      </w:pPr>
      <w:r w:rsidRPr="6D6A5C68">
        <w:rPr>
          <w:rFonts w:eastAsia="Calibri" w:cs="Calibri"/>
          <w:lang w:val="en-GB"/>
        </w:rPr>
        <w:br w:type="page"/>
      </w:r>
    </w:p>
    <w:p w14:paraId="535CBF92" w14:textId="14AC5D4C" w:rsidR="00743E20" w:rsidRDefault="003E0190" w:rsidP="003E0190">
      <w:pPr>
        <w:pStyle w:val="AnnexNo"/>
        <w:rPr>
          <w:rFonts w:eastAsia="Calibri"/>
          <w:lang w:val="en-GB"/>
        </w:rPr>
      </w:pPr>
      <w:bookmarkStart w:id="9" w:name="Annex_A"/>
      <w:r>
        <w:rPr>
          <w:rFonts w:eastAsia="Calibri"/>
          <w:lang w:val="en-GB"/>
        </w:rPr>
        <w:t>Annex A</w:t>
      </w:r>
      <w:bookmarkEnd w:id="9"/>
    </w:p>
    <w:p w14:paraId="28D1375C" w14:textId="77777777" w:rsidR="006E17CC" w:rsidRPr="006E17CC" w:rsidRDefault="006E17CC" w:rsidP="006930F3">
      <w:pPr>
        <w:pStyle w:val="AnnexNo"/>
        <w:rPr>
          <w:lang w:val="en-GB"/>
        </w:rPr>
      </w:pPr>
      <w:r w:rsidRPr="006E17CC">
        <w:rPr>
          <w:lang w:val="en-GB"/>
        </w:rPr>
        <w:t>Draft new resolution […]</w:t>
      </w:r>
    </w:p>
    <w:p w14:paraId="7D4591AB" w14:textId="77777777" w:rsidR="006E17CC" w:rsidRPr="006E17CC" w:rsidRDefault="006E17CC" w:rsidP="006930F3">
      <w:pPr>
        <w:pStyle w:val="Annextitle"/>
        <w:rPr>
          <w:lang w:val="en-GB"/>
        </w:rPr>
      </w:pPr>
      <w:r w:rsidRPr="006E17CC">
        <w:rPr>
          <w:lang w:val="en-GB"/>
        </w:rPr>
        <w:t>Contributory shares of Ecuador for defraying Union expenses</w:t>
      </w:r>
    </w:p>
    <w:p w14:paraId="70F257BC" w14:textId="77777777" w:rsidR="006E17CC" w:rsidRPr="006E17CC" w:rsidRDefault="006E17CC" w:rsidP="006930F3">
      <w:pPr>
        <w:pStyle w:val="Normalaftertitle"/>
        <w:rPr>
          <w:lang w:val="en-GB"/>
        </w:rPr>
      </w:pPr>
      <w:r w:rsidRPr="006E17CC">
        <w:rPr>
          <w:lang w:val="en-GB"/>
        </w:rPr>
        <w:t>The ITU Council,</w:t>
      </w:r>
    </w:p>
    <w:p w14:paraId="1C1CC900" w14:textId="77777777" w:rsidR="006E17CC" w:rsidRPr="006E17CC" w:rsidRDefault="006E17CC" w:rsidP="006930F3">
      <w:pPr>
        <w:pStyle w:val="Call"/>
        <w:rPr>
          <w:lang w:val="en-GB"/>
        </w:rPr>
      </w:pPr>
      <w:r w:rsidRPr="006E17CC">
        <w:rPr>
          <w:lang w:val="en-GB"/>
        </w:rPr>
        <w:t>in view of</w:t>
      </w:r>
    </w:p>
    <w:p w14:paraId="1757C8AA" w14:textId="77777777" w:rsidR="006E17CC" w:rsidRPr="006E17CC" w:rsidRDefault="006E17CC" w:rsidP="006E17CC">
      <w:pPr>
        <w:rPr>
          <w:rFonts w:cs="Calibri"/>
          <w:lang w:val="en-GB"/>
        </w:rPr>
      </w:pPr>
      <w:r w:rsidRPr="006E17CC">
        <w:rPr>
          <w:rFonts w:cs="Calibri"/>
          <w:lang w:val="en-GB"/>
        </w:rPr>
        <w:t>the provisions of Article 28, No. 165A of the ITU Constitution,</w:t>
      </w:r>
    </w:p>
    <w:p w14:paraId="1DB9D60F" w14:textId="77777777" w:rsidR="006E17CC" w:rsidRPr="006E17CC" w:rsidRDefault="006E17CC" w:rsidP="006930F3">
      <w:pPr>
        <w:pStyle w:val="Call"/>
        <w:rPr>
          <w:lang w:val="en-GB"/>
        </w:rPr>
      </w:pPr>
      <w:r w:rsidRPr="006E17CC">
        <w:rPr>
          <w:lang w:val="en-GB"/>
        </w:rPr>
        <w:t>having taken cognizance of</w:t>
      </w:r>
    </w:p>
    <w:p w14:paraId="7D55CF0B" w14:textId="5C4B92E3" w:rsidR="006E17CC" w:rsidRPr="006E17CC" w:rsidRDefault="006E17CC" w:rsidP="006E17CC">
      <w:pPr>
        <w:rPr>
          <w:rFonts w:cs="Calibri"/>
          <w:lang w:val="en-GB"/>
        </w:rPr>
      </w:pPr>
      <w:r w:rsidRPr="006E17CC">
        <w:rPr>
          <w:rFonts w:cs="Calibri"/>
          <w:lang w:val="en-GB"/>
        </w:rPr>
        <w:t>the note by the Secretary-General contained in</w:t>
      </w:r>
      <w:r w:rsidRPr="006E17CC">
        <w:rPr>
          <w:lang w:val="en-GB"/>
        </w:rPr>
        <w:t xml:space="preserve"> </w:t>
      </w:r>
      <w:hyperlink r:id="rId147" w:history="1">
        <w:r w:rsidRPr="006E17CC">
          <w:rPr>
            <w:color w:val="4F81BD" w:themeColor="accent1"/>
            <w:u w:val="single"/>
            <w:lang w:val="en-GB"/>
          </w:rPr>
          <w:t>C26/54</w:t>
        </w:r>
      </w:hyperlink>
      <w:r w:rsidR="00CB15D0">
        <w:rPr>
          <w:lang w:val="en-GB"/>
        </w:rPr>
        <w:t xml:space="preserve"> and </w:t>
      </w:r>
      <w:hyperlink r:id="rId148" w:history="1">
        <w:r w:rsidR="00A0334A" w:rsidRPr="00714732">
          <w:rPr>
            <w:rStyle w:val="Hyperlink"/>
            <w:rFonts w:cs="Times New Roman"/>
            <w:szCs w:val="20"/>
            <w:lang w:val="en-GB"/>
          </w:rPr>
          <w:t>C26/DT/</w:t>
        </w:r>
        <w:r w:rsidR="001365D7" w:rsidRPr="00714732">
          <w:rPr>
            <w:rStyle w:val="Hyperlink"/>
            <w:rFonts w:cs="Times New Roman"/>
            <w:szCs w:val="20"/>
            <w:lang w:val="en-GB"/>
          </w:rPr>
          <w:t>5</w:t>
        </w:r>
        <w:r w:rsidR="006930F3" w:rsidRPr="00714732">
          <w:rPr>
            <w:rStyle w:val="Hyperlink"/>
            <w:rFonts w:cs="Times New Roman"/>
            <w:szCs w:val="20"/>
            <w:lang w:val="en-GB"/>
          </w:rPr>
          <w:t>(</w:t>
        </w:r>
        <w:r w:rsidR="001365D7" w:rsidRPr="00714732">
          <w:rPr>
            <w:rStyle w:val="Hyperlink"/>
            <w:rFonts w:cs="Times New Roman"/>
            <w:szCs w:val="20"/>
            <w:lang w:val="en-GB"/>
          </w:rPr>
          <w:t>Rev.1</w:t>
        </w:r>
        <w:r w:rsidR="006930F3" w:rsidRPr="00714732">
          <w:rPr>
            <w:rStyle w:val="Hyperlink"/>
            <w:rFonts w:cs="Times New Roman"/>
            <w:szCs w:val="20"/>
            <w:lang w:val="en-GB"/>
          </w:rPr>
          <w:t>)</w:t>
        </w:r>
      </w:hyperlink>
      <w:r w:rsidRPr="006E17CC">
        <w:rPr>
          <w:rFonts w:cs="Calibri"/>
          <w:lang w:val="en-GB"/>
        </w:rPr>
        <w:t>,</w:t>
      </w:r>
    </w:p>
    <w:p w14:paraId="5FF4D1C7" w14:textId="77777777" w:rsidR="006E17CC" w:rsidRPr="006E17CC" w:rsidRDefault="006E17CC" w:rsidP="006930F3">
      <w:pPr>
        <w:pStyle w:val="Call"/>
        <w:rPr>
          <w:lang w:val="en-GB"/>
        </w:rPr>
      </w:pPr>
      <w:r w:rsidRPr="006E17CC">
        <w:rPr>
          <w:lang w:val="en-GB"/>
        </w:rPr>
        <w:t>resolves</w:t>
      </w:r>
    </w:p>
    <w:p w14:paraId="16A89D7C" w14:textId="6256C3EA" w:rsidR="006E17CC" w:rsidRPr="006E17CC" w:rsidRDefault="006E17CC">
      <w:pPr>
        <w:rPr>
          <w:lang w:val="en-GB"/>
        </w:rPr>
      </w:pPr>
      <w:r w:rsidRPr="006E17CC">
        <w:rPr>
          <w:rFonts w:cs="Calibri"/>
          <w:spacing w:val="-2"/>
          <w:lang w:val="en-GB"/>
        </w:rPr>
        <w:t>to authorize Ecuador to contribute to defraying Union expenses in the</w:t>
      </w:r>
      <w:r w:rsidRPr="006E17CC">
        <w:rPr>
          <w:rFonts w:cs="Calibri"/>
          <w:lang w:val="en-GB"/>
        </w:rPr>
        <w:t xml:space="preserve"> 1/8-unit class with effect from 1 January 2028 until 31 December 2031, or until a time at which the Council determines the circumstances under which the exception was granted have </w:t>
      </w:r>
      <w:proofErr w:type="gramStart"/>
      <w:r w:rsidRPr="006E17CC">
        <w:rPr>
          <w:rFonts w:cs="Calibri"/>
          <w:lang w:val="en-GB"/>
        </w:rPr>
        <w:t>changed.</w:t>
      </w:r>
      <w:r w:rsidRPr="006E17CC">
        <w:rPr>
          <w:lang w:val="en-GB"/>
        </w:rPr>
        <w:t>.</w:t>
      </w:r>
      <w:proofErr w:type="gramEnd"/>
    </w:p>
    <w:p w14:paraId="5DAE5F02" w14:textId="77777777" w:rsidR="006E17CC" w:rsidRPr="006E17CC" w:rsidRDefault="006E17CC" w:rsidP="006E17CC">
      <w:pPr>
        <w:rPr>
          <w:lang w:val="en-GB"/>
        </w:rPr>
      </w:pPr>
    </w:p>
    <w:p w14:paraId="406EB454" w14:textId="27414FD3" w:rsidR="00E0389F" w:rsidRDefault="00F57B94" w:rsidP="00CF64BC">
      <w:pPr>
        <w:pStyle w:val="Annexref"/>
        <w:rPr>
          <w:sz w:val="24"/>
          <w:lang w:val="en-GB"/>
        </w:rPr>
      </w:pPr>
      <w:r>
        <w:rPr>
          <w:sz w:val="24"/>
          <w:lang w:val="en-GB"/>
        </w:rPr>
        <w:t>*************</w:t>
      </w:r>
    </w:p>
    <w:p w14:paraId="0E9A537C" w14:textId="4FEB65AD" w:rsidR="00F57B94" w:rsidRDefault="00F57B94">
      <w:pPr>
        <w:tabs>
          <w:tab w:val="clear" w:pos="567"/>
          <w:tab w:val="clear" w:pos="1134"/>
          <w:tab w:val="clear" w:pos="1701"/>
          <w:tab w:val="clear" w:pos="2268"/>
          <w:tab w:val="clear" w:pos="2835"/>
        </w:tabs>
        <w:overflowPunct/>
        <w:autoSpaceDE/>
        <w:autoSpaceDN/>
        <w:adjustRightInd/>
        <w:spacing w:before="0"/>
        <w:textAlignment w:val="auto"/>
        <w:rPr>
          <w:rFonts w:eastAsia="Calibri"/>
          <w:b/>
          <w:sz w:val="28"/>
          <w:lang w:val="en-GB"/>
        </w:rPr>
      </w:pPr>
      <w:r>
        <w:rPr>
          <w:rFonts w:eastAsia="Calibri"/>
          <w:lang w:val="en-GB"/>
        </w:rPr>
        <w:br w:type="page"/>
      </w:r>
    </w:p>
    <w:p w14:paraId="14A871FF" w14:textId="407C260E" w:rsidR="00F57B94" w:rsidRPr="00265908" w:rsidRDefault="00F57B94" w:rsidP="00265908">
      <w:pPr>
        <w:pStyle w:val="AnnexNo"/>
        <w:rPr>
          <w:rFonts w:eastAsia="Calibri"/>
          <w:lang w:val="en-GB"/>
        </w:rPr>
      </w:pPr>
      <w:bookmarkStart w:id="10" w:name="Annex_B"/>
      <w:r w:rsidRPr="00050D01">
        <w:rPr>
          <w:lang w:val="en-GB"/>
        </w:rPr>
        <w:t>ANNEX B</w:t>
      </w:r>
      <w:bookmarkEnd w:id="10"/>
    </w:p>
    <w:p w14:paraId="380E5637" w14:textId="1E236CE9" w:rsidR="000159D2" w:rsidRPr="000159D2" w:rsidRDefault="000159D2" w:rsidP="00431522">
      <w:pPr>
        <w:pStyle w:val="AnnexNo"/>
        <w:rPr>
          <w:caps w:val="0"/>
          <w:lang w:val="en-GB"/>
        </w:rPr>
      </w:pPr>
      <w:r w:rsidRPr="000159D2">
        <w:rPr>
          <w:lang w:val="en-GB"/>
        </w:rPr>
        <w:t xml:space="preserve">Draft </w:t>
      </w:r>
      <w:r w:rsidR="009662DE">
        <w:rPr>
          <w:lang w:val="en-GB"/>
        </w:rPr>
        <w:t xml:space="preserve">NEW </w:t>
      </w:r>
      <w:r w:rsidRPr="000159D2">
        <w:rPr>
          <w:lang w:val="en-GB"/>
        </w:rPr>
        <w:t>decision [...]</w:t>
      </w:r>
    </w:p>
    <w:p w14:paraId="190E511A" w14:textId="77777777" w:rsidR="000159D2" w:rsidRPr="000159D2" w:rsidRDefault="000159D2" w:rsidP="00431522">
      <w:pPr>
        <w:pStyle w:val="Annextitle"/>
        <w:rPr>
          <w:b w:val="0"/>
          <w:lang w:val="en-GB"/>
        </w:rPr>
      </w:pPr>
      <w:r w:rsidRPr="000159D2">
        <w:rPr>
          <w:lang w:val="en-GB"/>
        </w:rPr>
        <w:t>Cancellation of interest on arrears and irrecoverable debts</w:t>
      </w:r>
    </w:p>
    <w:p w14:paraId="554A131C" w14:textId="77777777" w:rsidR="000159D2" w:rsidRPr="000159D2" w:rsidRDefault="000159D2" w:rsidP="00431522">
      <w:pPr>
        <w:pStyle w:val="Normalaftertitle"/>
        <w:rPr>
          <w:lang w:val="en-GB"/>
        </w:rPr>
      </w:pPr>
      <w:r w:rsidRPr="000159D2">
        <w:rPr>
          <w:lang w:val="en-GB"/>
        </w:rPr>
        <w:t>The ITU Council,</w:t>
      </w:r>
    </w:p>
    <w:p w14:paraId="15CBE9A6" w14:textId="77777777" w:rsidR="000159D2" w:rsidRPr="000159D2" w:rsidRDefault="000159D2" w:rsidP="00431522">
      <w:pPr>
        <w:pStyle w:val="Call"/>
        <w:rPr>
          <w:i w:val="0"/>
          <w:lang w:val="en-GB"/>
        </w:rPr>
      </w:pPr>
      <w:r w:rsidRPr="000159D2">
        <w:rPr>
          <w:lang w:val="en-GB"/>
        </w:rPr>
        <w:t xml:space="preserve">having </w:t>
      </w:r>
      <w:r w:rsidRPr="000159D2">
        <w:rPr>
          <w:i w:val="0"/>
          <w:lang w:val="en-GB"/>
        </w:rPr>
        <w:t>examined</w:t>
      </w:r>
    </w:p>
    <w:p w14:paraId="4ACF3BED" w14:textId="07CFE32E" w:rsidR="000159D2" w:rsidRPr="000159D2" w:rsidRDefault="000159D2" w:rsidP="000159D2">
      <w:pPr>
        <w:jc w:val="both"/>
        <w:rPr>
          <w:lang w:val="en-GB"/>
        </w:rPr>
      </w:pPr>
      <w:r w:rsidRPr="000159D2">
        <w:rPr>
          <w:lang w:val="en-GB"/>
        </w:rPr>
        <w:t>the report by the Secretary-General on arrears and special arrears accounts (Document </w:t>
      </w:r>
      <w:hyperlink r:id="rId149">
        <w:r w:rsidRPr="000159D2">
          <w:rPr>
            <w:color w:val="4F81BD" w:themeColor="accent1"/>
            <w:u w:val="single"/>
            <w:lang w:val="en-GB"/>
          </w:rPr>
          <w:t>C26/11</w:t>
        </w:r>
        <w:r w:rsidR="005225C9">
          <w:rPr>
            <w:color w:val="4F81BD" w:themeColor="accent1"/>
            <w:u w:val="single"/>
            <w:lang w:val="en-GB"/>
          </w:rPr>
          <w:t>(Rev.1)</w:t>
        </w:r>
      </w:hyperlink>
      <w:r w:rsidRPr="000159D2">
        <w:rPr>
          <w:lang w:val="en-GB"/>
        </w:rPr>
        <w:t>),</w:t>
      </w:r>
    </w:p>
    <w:p w14:paraId="0B3ADCE6" w14:textId="77777777" w:rsidR="000159D2" w:rsidRPr="000159D2" w:rsidRDefault="000159D2" w:rsidP="00431522">
      <w:pPr>
        <w:pStyle w:val="Call"/>
        <w:rPr>
          <w:i w:val="0"/>
          <w:lang w:val="en-GB"/>
        </w:rPr>
      </w:pPr>
      <w:r w:rsidRPr="000159D2">
        <w:rPr>
          <w:lang w:val="en-GB"/>
        </w:rPr>
        <w:t>decides</w:t>
      </w:r>
    </w:p>
    <w:p w14:paraId="6C392950" w14:textId="77777777" w:rsidR="000159D2" w:rsidRPr="000159D2" w:rsidRDefault="000159D2" w:rsidP="000159D2">
      <w:pPr>
        <w:jc w:val="both"/>
        <w:rPr>
          <w:lang w:val="en-GB"/>
        </w:rPr>
      </w:pPr>
      <w:r w:rsidRPr="000159D2">
        <w:rPr>
          <w:lang w:val="en-GB"/>
        </w:rPr>
        <w:t xml:space="preserve">to approve the writing-off of the following interest on arrears and irrecoverable debts in the amount of </w:t>
      </w:r>
      <w:r w:rsidRPr="000159D2">
        <w:rPr>
          <w:b/>
          <w:bCs/>
          <w:lang w:val="en-GB"/>
        </w:rPr>
        <w:t>CHF </w:t>
      </w:r>
      <w:r w:rsidRPr="000159D2">
        <w:rPr>
          <w:b/>
          <w:bCs/>
          <w:color w:val="000000" w:themeColor="text1"/>
          <w:lang w:val="en-GB"/>
        </w:rPr>
        <w:t xml:space="preserve">566 815.60 </w:t>
      </w:r>
      <w:r w:rsidRPr="000159D2">
        <w:rPr>
          <w:lang w:val="en-GB"/>
        </w:rPr>
        <w:t>against a corresponding withdrawal from the Reserve for Debtors’ Accounts. Please refer to the details on the table below:</w:t>
      </w:r>
    </w:p>
    <w:p w14:paraId="0EC576B7" w14:textId="77777777" w:rsidR="000159D2" w:rsidRDefault="000159D2" w:rsidP="000159D2">
      <w:pPr>
        <w:jc w:val="both"/>
        <w:rPr>
          <w:lang w:val="en-GB"/>
        </w:rPr>
      </w:pPr>
    </w:p>
    <w:tbl>
      <w:tblPr>
        <w:tblW w:w="10206" w:type="dxa"/>
        <w:jc w:val="center"/>
        <w:tblLayout w:type="fixed"/>
        <w:tblCellMar>
          <w:left w:w="57" w:type="dxa"/>
          <w:right w:w="57" w:type="dxa"/>
        </w:tblCellMar>
        <w:tblLook w:val="04A0" w:firstRow="1" w:lastRow="0" w:firstColumn="1" w:lastColumn="0" w:noHBand="0" w:noVBand="1"/>
      </w:tblPr>
      <w:tblGrid>
        <w:gridCol w:w="1050"/>
        <w:gridCol w:w="1085"/>
        <w:gridCol w:w="3956"/>
        <w:gridCol w:w="1134"/>
        <w:gridCol w:w="992"/>
        <w:gridCol w:w="992"/>
        <w:gridCol w:w="990"/>
        <w:gridCol w:w="7"/>
      </w:tblGrid>
      <w:tr w:rsidR="000008B1" w:rsidRPr="00FE46A1" w14:paraId="666F3BE4" w14:textId="77777777" w:rsidTr="00FE46A1">
        <w:trPr>
          <w:cantSplit/>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C0C0C0"/>
            <w:vAlign w:val="bottom"/>
          </w:tcPr>
          <w:p w14:paraId="3739351B" w14:textId="77777777" w:rsidR="000008B1" w:rsidRPr="00FE46A1" w:rsidRDefault="000008B1" w:rsidP="00FE46A1">
            <w:pPr>
              <w:pStyle w:val="Tablehead"/>
              <w:rPr>
                <w:sz w:val="16"/>
                <w:szCs w:val="16"/>
                <w:lang w:val="en-GB" w:eastAsia="en-GB"/>
              </w:rPr>
            </w:pPr>
            <w:r w:rsidRPr="00FE46A1">
              <w:rPr>
                <w:sz w:val="16"/>
                <w:szCs w:val="16"/>
                <w:lang w:val="en-GB" w:eastAsia="en-GB"/>
              </w:rPr>
              <w:t>Acc. No.</w:t>
            </w:r>
          </w:p>
        </w:tc>
        <w:tc>
          <w:tcPr>
            <w:tcW w:w="108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8B713FE" w14:textId="77777777" w:rsidR="000008B1" w:rsidRPr="00FE46A1" w:rsidRDefault="000008B1" w:rsidP="00FE46A1">
            <w:pPr>
              <w:pStyle w:val="Tablehead"/>
              <w:rPr>
                <w:sz w:val="16"/>
                <w:szCs w:val="16"/>
                <w:lang w:val="en-GB" w:eastAsia="en-GB"/>
              </w:rPr>
            </w:pPr>
            <w:r w:rsidRPr="00FE46A1">
              <w:rPr>
                <w:sz w:val="16"/>
                <w:szCs w:val="16"/>
                <w:lang w:val="en-GB" w:eastAsia="en-GB"/>
              </w:rPr>
              <w:t>Country</w:t>
            </w:r>
          </w:p>
        </w:tc>
        <w:tc>
          <w:tcPr>
            <w:tcW w:w="395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286C02F" w14:textId="77777777" w:rsidR="000008B1" w:rsidRPr="00FE46A1" w:rsidRDefault="000008B1" w:rsidP="00FE46A1">
            <w:pPr>
              <w:pStyle w:val="Tablehead"/>
              <w:rPr>
                <w:sz w:val="16"/>
                <w:szCs w:val="16"/>
                <w:lang w:val="en-GB" w:eastAsia="en-GB"/>
              </w:rPr>
            </w:pPr>
            <w:r w:rsidRPr="00FE46A1">
              <w:rPr>
                <w:sz w:val="16"/>
                <w:szCs w:val="16"/>
                <w:lang w:val="en-GB" w:eastAsia="en-GB"/>
              </w:rPr>
              <w:t>Organization name</w:t>
            </w:r>
          </w:p>
        </w:tc>
        <w:tc>
          <w:tcPr>
            <w:tcW w:w="1134"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687746F" w14:textId="77777777" w:rsidR="000008B1" w:rsidRPr="00FE46A1" w:rsidRDefault="000008B1" w:rsidP="00FE46A1">
            <w:pPr>
              <w:pStyle w:val="Tablehead"/>
              <w:rPr>
                <w:sz w:val="16"/>
                <w:szCs w:val="16"/>
                <w:lang w:val="en-GB" w:eastAsia="en-GB"/>
              </w:rPr>
            </w:pPr>
            <w:r w:rsidRPr="00FE46A1">
              <w:rPr>
                <w:sz w:val="16"/>
                <w:szCs w:val="16"/>
                <w:lang w:val="en-GB" w:eastAsia="en-GB"/>
              </w:rPr>
              <w:t>Year</w:t>
            </w:r>
          </w:p>
        </w:tc>
        <w:tc>
          <w:tcPr>
            <w:tcW w:w="99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58AAA5B" w14:textId="77777777" w:rsidR="000008B1" w:rsidRPr="00FE46A1" w:rsidRDefault="000008B1" w:rsidP="00FE46A1">
            <w:pPr>
              <w:pStyle w:val="Tablehead"/>
              <w:rPr>
                <w:sz w:val="16"/>
                <w:szCs w:val="16"/>
                <w:lang w:val="en-GB" w:eastAsia="en-GB"/>
              </w:rPr>
            </w:pPr>
            <w:r w:rsidRPr="00FE46A1">
              <w:rPr>
                <w:sz w:val="16"/>
                <w:szCs w:val="16"/>
                <w:lang w:val="en-GB" w:eastAsia="en-GB"/>
              </w:rPr>
              <w:t>Principal</w:t>
            </w:r>
          </w:p>
        </w:tc>
        <w:tc>
          <w:tcPr>
            <w:tcW w:w="99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3B62B57" w14:textId="77777777" w:rsidR="000008B1" w:rsidRPr="00FE46A1" w:rsidRDefault="000008B1" w:rsidP="00FE46A1">
            <w:pPr>
              <w:pStyle w:val="Tablehead"/>
              <w:rPr>
                <w:sz w:val="16"/>
                <w:szCs w:val="16"/>
                <w:lang w:val="en-GB" w:eastAsia="en-GB"/>
              </w:rPr>
            </w:pPr>
            <w:r w:rsidRPr="00FE46A1">
              <w:rPr>
                <w:sz w:val="16"/>
                <w:szCs w:val="16"/>
                <w:lang w:val="en-GB" w:eastAsia="en-GB"/>
              </w:rPr>
              <w:t>Interest</w:t>
            </w:r>
          </w:p>
        </w:tc>
        <w:tc>
          <w:tcPr>
            <w:tcW w:w="99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EA990FC" w14:textId="77777777" w:rsidR="000008B1" w:rsidRPr="00FE46A1" w:rsidRDefault="000008B1" w:rsidP="00FE46A1">
            <w:pPr>
              <w:pStyle w:val="Tablehead"/>
              <w:rPr>
                <w:sz w:val="16"/>
                <w:szCs w:val="16"/>
                <w:lang w:val="en-GB" w:eastAsia="en-GB"/>
              </w:rPr>
            </w:pPr>
            <w:r w:rsidRPr="00FE46A1">
              <w:rPr>
                <w:sz w:val="16"/>
                <w:szCs w:val="16"/>
                <w:lang w:val="en-GB" w:eastAsia="en-GB"/>
              </w:rPr>
              <w:t>Total</w:t>
            </w:r>
          </w:p>
        </w:tc>
      </w:tr>
      <w:tr w:rsidR="000008B1" w:rsidRPr="00FE46A1" w14:paraId="7D5F4322"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1CA4612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53305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309F29" w14:textId="77777777" w:rsidR="000008B1" w:rsidRPr="00FE46A1" w:rsidRDefault="000008B1" w:rsidP="00FE46A1">
            <w:pPr>
              <w:pStyle w:val="Tabletext"/>
              <w:rPr>
                <w:sz w:val="16"/>
                <w:szCs w:val="16"/>
                <w:lang w:val="en-GB" w:eastAsia="en-GB"/>
              </w:rPr>
            </w:pPr>
            <w:r w:rsidRPr="00FE46A1">
              <w:rPr>
                <w:sz w:val="16"/>
                <w:szCs w:val="16"/>
                <w:lang w:val="en-GB" w:eastAsia="en-GB"/>
              </w:rPr>
              <w:t>Côte d'Ivoire</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56E15B" w14:textId="77777777" w:rsidR="000008B1" w:rsidRPr="00050D01" w:rsidRDefault="000008B1" w:rsidP="00FE46A1">
            <w:pPr>
              <w:pStyle w:val="Tabletext"/>
              <w:rPr>
                <w:sz w:val="16"/>
                <w:szCs w:val="16"/>
                <w:lang w:val="fr-CH" w:eastAsia="en-GB"/>
              </w:rPr>
            </w:pPr>
            <w:r w:rsidRPr="00050D01">
              <w:rPr>
                <w:sz w:val="16"/>
                <w:szCs w:val="16"/>
                <w:lang w:val="fr-CH" w:eastAsia="en-GB"/>
              </w:rPr>
              <w:t>Autorité de Régulation des Télécommunications de Côte d'Ivoire (ARTCI)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102464"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2023-2025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51035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FA19D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91 315.30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BE22E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91 315.30</w:t>
            </w:r>
          </w:p>
        </w:tc>
      </w:tr>
      <w:tr w:rsidR="000008B1" w:rsidRPr="00FE46A1" w14:paraId="1651F9E8"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6D9574C9"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131</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AE2374" w14:textId="77777777" w:rsidR="000008B1" w:rsidRPr="00FE46A1" w:rsidRDefault="000008B1" w:rsidP="00FE46A1">
            <w:pPr>
              <w:pStyle w:val="Tabletext"/>
              <w:rPr>
                <w:sz w:val="16"/>
                <w:szCs w:val="16"/>
                <w:lang w:val="en-GB" w:eastAsia="en-GB"/>
              </w:rPr>
            </w:pPr>
            <w:r w:rsidRPr="00FE46A1">
              <w:rPr>
                <w:sz w:val="16"/>
                <w:szCs w:val="16"/>
                <w:lang w:val="en-GB" w:eastAsia="en-GB"/>
              </w:rPr>
              <w:t>Israel</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2EA4A" w14:textId="77777777" w:rsidR="000008B1" w:rsidRPr="00FE46A1" w:rsidRDefault="000008B1" w:rsidP="00FE46A1">
            <w:pPr>
              <w:pStyle w:val="Tabletext"/>
              <w:rPr>
                <w:sz w:val="16"/>
                <w:szCs w:val="16"/>
                <w:lang w:val="en-GB" w:eastAsia="en-GB"/>
              </w:rPr>
            </w:pPr>
            <w:r w:rsidRPr="00FE46A1">
              <w:rPr>
                <w:sz w:val="16"/>
                <w:szCs w:val="16"/>
                <w:lang w:val="en-GB" w:eastAsia="en-GB"/>
              </w:rPr>
              <w:t>Ministry of Communications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32E7D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F5A7A3"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2CBAFC"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7 314.00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0E13C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7 314.00</w:t>
            </w:r>
          </w:p>
        </w:tc>
      </w:tr>
      <w:tr w:rsidR="000008B1" w:rsidRPr="00FE46A1" w14:paraId="28C6B2F8"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298A0D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14794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5F35EA" w14:textId="77777777" w:rsidR="000008B1" w:rsidRPr="00FE46A1" w:rsidRDefault="000008B1" w:rsidP="00FE46A1">
            <w:pPr>
              <w:pStyle w:val="Tabletext"/>
              <w:rPr>
                <w:sz w:val="16"/>
                <w:szCs w:val="16"/>
                <w:lang w:val="en-GB" w:eastAsia="en-GB"/>
              </w:rPr>
            </w:pPr>
            <w:r w:rsidRPr="00FE46A1">
              <w:rPr>
                <w:sz w:val="16"/>
                <w:szCs w:val="16"/>
                <w:lang w:val="en-GB" w:eastAsia="en-GB"/>
              </w:rPr>
              <w:t>Kazakhstan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43BBB" w14:textId="77777777" w:rsidR="000008B1" w:rsidRPr="00FE46A1" w:rsidRDefault="000008B1" w:rsidP="00FE46A1">
            <w:pPr>
              <w:pStyle w:val="Tabletext"/>
              <w:rPr>
                <w:sz w:val="16"/>
                <w:szCs w:val="16"/>
                <w:lang w:val="en-GB" w:eastAsia="en-GB"/>
              </w:rPr>
            </w:pPr>
            <w:r w:rsidRPr="00FE46A1">
              <w:rPr>
                <w:sz w:val="16"/>
                <w:szCs w:val="16"/>
                <w:lang w:val="en-GB" w:eastAsia="en-GB"/>
              </w:rPr>
              <w:t>Ministry of Artificial Intelligence and Digital Development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945A17"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2024-2025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50E01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B109D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5 313.25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3D2C41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5 313.25</w:t>
            </w:r>
          </w:p>
        </w:tc>
      </w:tr>
      <w:tr w:rsidR="000008B1" w:rsidRPr="00FE46A1" w14:paraId="424071CC"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6B67C12E"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181</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6AF0E9" w14:textId="77777777" w:rsidR="000008B1" w:rsidRPr="00FE46A1" w:rsidRDefault="000008B1" w:rsidP="00FE46A1">
            <w:pPr>
              <w:pStyle w:val="Tabletext"/>
              <w:rPr>
                <w:sz w:val="16"/>
                <w:szCs w:val="16"/>
                <w:lang w:val="en-GB" w:eastAsia="en-GB"/>
              </w:rPr>
            </w:pPr>
            <w:r w:rsidRPr="00FE46A1">
              <w:rPr>
                <w:sz w:val="16"/>
                <w:szCs w:val="16"/>
                <w:lang w:val="en-GB" w:eastAsia="en-GB"/>
              </w:rPr>
              <w:t>Nigeria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8BD09" w14:textId="77777777" w:rsidR="000008B1" w:rsidRPr="00FE46A1" w:rsidRDefault="000008B1" w:rsidP="00FE46A1">
            <w:pPr>
              <w:pStyle w:val="Tabletext"/>
              <w:rPr>
                <w:sz w:val="16"/>
                <w:szCs w:val="16"/>
                <w:lang w:val="en-GB" w:eastAsia="en-GB"/>
              </w:rPr>
            </w:pPr>
            <w:r w:rsidRPr="00FE46A1">
              <w:rPr>
                <w:sz w:val="16"/>
                <w:szCs w:val="16"/>
                <w:lang w:val="en-GB" w:eastAsia="en-GB"/>
              </w:rPr>
              <w:t>Federal Ministry of Communications and Digital Economy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68EA6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2024-2025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F5F72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170BF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65 137.00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333EE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65 137.00</w:t>
            </w:r>
          </w:p>
        </w:tc>
      </w:tr>
      <w:tr w:rsidR="000008B1" w:rsidRPr="00FE46A1" w14:paraId="4C5886F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4668360E"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195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EEA47C" w14:textId="77777777" w:rsidR="000008B1" w:rsidRPr="00FE46A1" w:rsidRDefault="000008B1" w:rsidP="00FE46A1">
            <w:pPr>
              <w:pStyle w:val="Tabletext"/>
              <w:rPr>
                <w:sz w:val="16"/>
                <w:szCs w:val="16"/>
                <w:lang w:val="en-GB" w:eastAsia="en-GB"/>
              </w:rPr>
            </w:pPr>
            <w:r w:rsidRPr="00FE46A1">
              <w:rPr>
                <w:sz w:val="16"/>
                <w:szCs w:val="16"/>
                <w:lang w:val="en-GB" w:eastAsia="en-GB"/>
              </w:rPr>
              <w:t>Pakistan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8E404" w14:textId="77777777" w:rsidR="000008B1" w:rsidRPr="00FE46A1" w:rsidRDefault="000008B1" w:rsidP="00FE46A1">
            <w:pPr>
              <w:pStyle w:val="Tabletext"/>
              <w:rPr>
                <w:sz w:val="16"/>
                <w:szCs w:val="16"/>
                <w:lang w:val="en-GB" w:eastAsia="en-GB"/>
              </w:rPr>
            </w:pPr>
            <w:r w:rsidRPr="00FE46A1">
              <w:rPr>
                <w:sz w:val="16"/>
                <w:szCs w:val="16"/>
                <w:lang w:val="en-GB" w:eastAsia="en-GB"/>
              </w:rPr>
              <w:t>Ministry of Information Technology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C0456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33FD2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838E7E"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1 972.60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FE630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1 972.60</w:t>
            </w:r>
          </w:p>
        </w:tc>
      </w:tr>
      <w:tr w:rsidR="000008B1" w:rsidRPr="00FE46A1" w14:paraId="1B5697BA" w14:textId="77777777" w:rsidTr="00FE46A1">
        <w:trPr>
          <w:gridAfter w:val="1"/>
          <w:wAfter w:w="7" w:type="dxa"/>
          <w:cantSplit/>
          <w:jc w:val="center"/>
        </w:trPr>
        <w:tc>
          <w:tcPr>
            <w:tcW w:w="7225" w:type="dxa"/>
            <w:gridSpan w:val="4"/>
            <w:tcBorders>
              <w:top w:val="single" w:sz="8" w:space="0" w:color="auto"/>
              <w:left w:val="single" w:sz="8" w:space="0" w:color="auto"/>
              <w:bottom w:val="single" w:sz="8" w:space="0" w:color="auto"/>
              <w:right w:val="single" w:sz="8" w:space="0" w:color="auto"/>
            </w:tcBorders>
          </w:tcPr>
          <w:p w14:paraId="1CB960A6" w14:textId="77777777" w:rsidR="000008B1" w:rsidRPr="00FE46A1" w:rsidRDefault="000008B1" w:rsidP="00FE46A1">
            <w:pPr>
              <w:pStyle w:val="Tabletext"/>
              <w:jc w:val="center"/>
              <w:rPr>
                <w:b/>
                <w:bCs/>
                <w:i/>
                <w:iCs/>
                <w:sz w:val="16"/>
                <w:szCs w:val="16"/>
                <w:lang w:val="en-GB" w:eastAsia="en-GB"/>
              </w:rPr>
            </w:pPr>
            <w:r w:rsidRPr="00FE46A1">
              <w:rPr>
                <w:b/>
                <w:bCs/>
                <w:i/>
                <w:iCs/>
                <w:sz w:val="16"/>
                <w:szCs w:val="16"/>
                <w:lang w:val="en-GB" w:eastAsia="en-GB"/>
              </w:rPr>
              <w:t>1. Sub-total Administrations</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0EBD94C1"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0.00</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1A00586D"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171</w:t>
            </w:r>
            <w:r w:rsidRPr="00FE46A1">
              <w:rPr>
                <w:sz w:val="16"/>
                <w:szCs w:val="16"/>
                <w:lang w:val="en-GB" w:eastAsia="en-GB"/>
              </w:rPr>
              <w:t> </w:t>
            </w:r>
            <w:r w:rsidRPr="00FE46A1">
              <w:rPr>
                <w:b/>
                <w:bCs/>
                <w:sz w:val="16"/>
                <w:szCs w:val="16"/>
                <w:lang w:val="en-GB" w:eastAsia="en-GB"/>
              </w:rPr>
              <w:t>052.15</w:t>
            </w:r>
          </w:p>
        </w:tc>
        <w:tc>
          <w:tcPr>
            <w:tcW w:w="990" w:type="dxa"/>
            <w:tcBorders>
              <w:top w:val="single" w:sz="8" w:space="0" w:color="auto"/>
              <w:left w:val="single" w:sz="8" w:space="0" w:color="auto"/>
              <w:bottom w:val="single" w:sz="8" w:space="0" w:color="auto"/>
              <w:right w:val="single" w:sz="8" w:space="0" w:color="auto"/>
            </w:tcBorders>
            <w:noWrap/>
            <w:vAlign w:val="center"/>
            <w:hideMark/>
          </w:tcPr>
          <w:p w14:paraId="1A4D1CCD"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171</w:t>
            </w:r>
            <w:r w:rsidRPr="00FE46A1">
              <w:rPr>
                <w:sz w:val="16"/>
                <w:szCs w:val="16"/>
                <w:lang w:val="en-GB" w:eastAsia="en-GB"/>
              </w:rPr>
              <w:t> </w:t>
            </w:r>
            <w:r w:rsidRPr="00FE46A1">
              <w:rPr>
                <w:b/>
                <w:bCs/>
                <w:sz w:val="16"/>
                <w:szCs w:val="16"/>
                <w:lang w:val="en-GB" w:eastAsia="en-GB"/>
              </w:rPr>
              <w:t>052.15</w:t>
            </w:r>
          </w:p>
        </w:tc>
      </w:tr>
      <w:tr w:rsidR="000008B1" w:rsidRPr="00FE46A1" w14:paraId="6026FB51" w14:textId="77777777" w:rsidTr="00FE46A1">
        <w:trPr>
          <w:cantSplit/>
          <w:jc w:val="center"/>
        </w:trPr>
        <w:tc>
          <w:tcPr>
            <w:tcW w:w="1050" w:type="dxa"/>
            <w:tcBorders>
              <w:top w:val="single" w:sz="8" w:space="0" w:color="auto"/>
              <w:left w:val="single" w:sz="4" w:space="0" w:color="auto"/>
              <w:bottom w:val="single" w:sz="4" w:space="0" w:color="auto"/>
            </w:tcBorders>
          </w:tcPr>
          <w:p w14:paraId="64077756"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62460</w:t>
            </w:r>
          </w:p>
        </w:tc>
        <w:tc>
          <w:tcPr>
            <w:tcW w:w="1085" w:type="dxa"/>
            <w:tcBorders>
              <w:top w:val="single" w:sz="8" w:space="0" w:color="auto"/>
              <w:left w:val="single" w:sz="4" w:space="0" w:color="auto"/>
              <w:bottom w:val="single" w:sz="4" w:space="0" w:color="auto"/>
              <w:right w:val="single" w:sz="4" w:space="0" w:color="auto"/>
            </w:tcBorders>
            <w:shd w:val="clear" w:color="auto" w:fill="FFFFFF" w:themeFill="background1"/>
            <w:hideMark/>
          </w:tcPr>
          <w:p w14:paraId="0D7A0400" w14:textId="77777777" w:rsidR="000008B1" w:rsidRPr="00FE46A1" w:rsidRDefault="000008B1" w:rsidP="00FE46A1">
            <w:pPr>
              <w:pStyle w:val="Tabletext"/>
              <w:rPr>
                <w:sz w:val="16"/>
                <w:szCs w:val="16"/>
                <w:lang w:val="en-GB" w:eastAsia="en-GB"/>
              </w:rPr>
            </w:pPr>
            <w:r w:rsidRPr="00FE46A1">
              <w:rPr>
                <w:sz w:val="16"/>
                <w:szCs w:val="16"/>
                <w:lang w:val="en-GB" w:eastAsia="en-GB"/>
              </w:rPr>
              <w:t>Cambodia</w:t>
            </w:r>
          </w:p>
        </w:tc>
        <w:tc>
          <w:tcPr>
            <w:tcW w:w="3956" w:type="dxa"/>
            <w:tcBorders>
              <w:top w:val="single" w:sz="8" w:space="0" w:color="auto"/>
              <w:left w:val="nil"/>
              <w:bottom w:val="single" w:sz="4" w:space="0" w:color="auto"/>
              <w:right w:val="single" w:sz="4" w:space="0" w:color="auto"/>
            </w:tcBorders>
            <w:shd w:val="clear" w:color="auto" w:fill="FFFFFF" w:themeFill="background1"/>
            <w:hideMark/>
          </w:tcPr>
          <w:p w14:paraId="1CF81ABE" w14:textId="77777777" w:rsidR="000008B1" w:rsidRPr="00FE46A1" w:rsidRDefault="000008B1" w:rsidP="00FE46A1">
            <w:pPr>
              <w:pStyle w:val="Tabletext"/>
              <w:rPr>
                <w:sz w:val="16"/>
                <w:szCs w:val="16"/>
                <w:lang w:val="en-GB" w:eastAsia="en-GB"/>
              </w:rPr>
            </w:pPr>
            <w:r w:rsidRPr="00FE46A1">
              <w:rPr>
                <w:sz w:val="16"/>
                <w:szCs w:val="16"/>
                <w:lang w:val="en-GB" w:eastAsia="en-GB"/>
              </w:rPr>
              <w:t>CHUAN WEI (Cambodia) Co Ltd, Phnom Penh</w:t>
            </w:r>
          </w:p>
        </w:tc>
        <w:tc>
          <w:tcPr>
            <w:tcW w:w="1134" w:type="dxa"/>
            <w:tcBorders>
              <w:top w:val="single" w:sz="8" w:space="0" w:color="auto"/>
              <w:left w:val="nil"/>
              <w:bottom w:val="single" w:sz="4" w:space="0" w:color="auto"/>
              <w:right w:val="single" w:sz="4" w:space="0" w:color="auto"/>
            </w:tcBorders>
            <w:shd w:val="clear" w:color="auto" w:fill="FFFFFF" w:themeFill="background1"/>
            <w:hideMark/>
          </w:tcPr>
          <w:p w14:paraId="75269AFA"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8" w:space="0" w:color="auto"/>
              <w:left w:val="nil"/>
              <w:bottom w:val="single" w:sz="4" w:space="0" w:color="auto"/>
              <w:right w:val="single" w:sz="4" w:space="0" w:color="auto"/>
            </w:tcBorders>
            <w:shd w:val="clear" w:color="auto" w:fill="FFFFFF" w:themeFill="background1"/>
            <w:hideMark/>
          </w:tcPr>
          <w:p w14:paraId="65144C4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7 950.00</w:t>
            </w:r>
          </w:p>
        </w:tc>
        <w:tc>
          <w:tcPr>
            <w:tcW w:w="992" w:type="dxa"/>
            <w:tcBorders>
              <w:top w:val="single" w:sz="8" w:space="0" w:color="auto"/>
              <w:left w:val="nil"/>
              <w:bottom w:val="single" w:sz="4" w:space="0" w:color="auto"/>
              <w:right w:val="single" w:sz="4" w:space="0" w:color="auto"/>
            </w:tcBorders>
            <w:shd w:val="clear" w:color="auto" w:fill="FFFFFF" w:themeFill="background1"/>
            <w:noWrap/>
            <w:hideMark/>
          </w:tcPr>
          <w:p w14:paraId="56BE0E9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2 768.75</w:t>
            </w:r>
          </w:p>
        </w:tc>
        <w:tc>
          <w:tcPr>
            <w:tcW w:w="997" w:type="dxa"/>
            <w:gridSpan w:val="2"/>
            <w:tcBorders>
              <w:top w:val="single" w:sz="8" w:space="0" w:color="auto"/>
              <w:left w:val="nil"/>
              <w:bottom w:val="single" w:sz="4" w:space="0" w:color="auto"/>
              <w:right w:val="single" w:sz="4" w:space="0" w:color="auto"/>
            </w:tcBorders>
            <w:shd w:val="clear" w:color="auto" w:fill="FFFFFF" w:themeFill="background1"/>
            <w:hideMark/>
          </w:tcPr>
          <w:p w14:paraId="54427A71"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10 718.75</w:t>
            </w:r>
          </w:p>
        </w:tc>
      </w:tr>
      <w:tr w:rsidR="000008B1" w:rsidRPr="00FE46A1" w14:paraId="1CDCFDF2"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208B91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1200173860</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212DB" w14:textId="77777777" w:rsidR="000008B1" w:rsidRPr="00FE46A1" w:rsidRDefault="000008B1" w:rsidP="00FE46A1">
            <w:pPr>
              <w:pStyle w:val="Tabletext"/>
              <w:rPr>
                <w:sz w:val="16"/>
                <w:szCs w:val="16"/>
                <w:lang w:val="en-GB" w:eastAsia="en-GB"/>
              </w:rPr>
            </w:pPr>
            <w:r w:rsidRPr="00FE46A1">
              <w:rPr>
                <w:sz w:val="16"/>
                <w:szCs w:val="16"/>
                <w:lang w:val="en-GB" w:eastAsia="en-GB"/>
              </w:rPr>
              <w:t>China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A316E" w14:textId="77777777" w:rsidR="000008B1" w:rsidRPr="00FE46A1" w:rsidRDefault="000008B1" w:rsidP="00FE46A1">
            <w:pPr>
              <w:pStyle w:val="Tabletext"/>
              <w:rPr>
                <w:sz w:val="16"/>
                <w:szCs w:val="16"/>
                <w:lang w:val="en-GB" w:eastAsia="en-GB"/>
              </w:rPr>
            </w:pPr>
            <w:r w:rsidRPr="00FE46A1">
              <w:rPr>
                <w:sz w:val="16"/>
                <w:szCs w:val="16"/>
                <w:lang w:val="en-GB" w:eastAsia="en-GB"/>
              </w:rPr>
              <w:t>Yong Xin Hua Yun Cultural, Beijing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970295"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ADBC1"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31 800.00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3DD5BD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11 074.70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95A6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42 874.70</w:t>
            </w:r>
          </w:p>
        </w:tc>
      </w:tr>
      <w:tr w:rsidR="000008B1" w:rsidRPr="00FE46A1" w14:paraId="3190B689"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48675705"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1200119084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823BD9" w14:textId="77777777" w:rsidR="000008B1" w:rsidRPr="00FE46A1" w:rsidRDefault="000008B1" w:rsidP="00FE46A1">
            <w:pPr>
              <w:pStyle w:val="Tabletext"/>
              <w:rPr>
                <w:sz w:val="16"/>
                <w:szCs w:val="16"/>
                <w:lang w:val="en-GB" w:eastAsia="en-GB"/>
              </w:rPr>
            </w:pPr>
            <w:r w:rsidRPr="00FE46A1">
              <w:rPr>
                <w:sz w:val="16"/>
                <w:szCs w:val="16"/>
                <w:lang w:val="en-GB" w:eastAsia="en-GB"/>
              </w:rPr>
              <w:t>Egypt</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ED64B" w14:textId="77777777" w:rsidR="000008B1" w:rsidRPr="00FE46A1" w:rsidRDefault="000008B1" w:rsidP="00FE46A1">
            <w:pPr>
              <w:pStyle w:val="Tabletext"/>
              <w:rPr>
                <w:sz w:val="16"/>
                <w:szCs w:val="16"/>
                <w:lang w:val="en-GB" w:eastAsia="en-GB"/>
              </w:rPr>
            </w:pPr>
            <w:r w:rsidRPr="00FE46A1">
              <w:rPr>
                <w:sz w:val="16"/>
                <w:szCs w:val="16"/>
                <w:lang w:val="en-GB" w:eastAsia="en-GB"/>
              </w:rPr>
              <w:t>Egypt-Japan Uni of Science &amp; Tech., Alexandria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AFA249"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F1965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21BE4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937.50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8DA3D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2 925.00</w:t>
            </w:r>
          </w:p>
        </w:tc>
      </w:tr>
      <w:tr w:rsidR="000008B1" w:rsidRPr="00FE46A1" w14:paraId="0A65F1AE"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1443750F"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51559</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EE8D3F" w14:textId="77777777" w:rsidR="000008B1" w:rsidRPr="00FE46A1" w:rsidRDefault="000008B1" w:rsidP="00FE46A1">
            <w:pPr>
              <w:pStyle w:val="Tabletext"/>
              <w:rPr>
                <w:sz w:val="16"/>
                <w:szCs w:val="16"/>
                <w:lang w:val="en-GB" w:eastAsia="en-GB"/>
              </w:rPr>
            </w:pPr>
            <w:r w:rsidRPr="00FE46A1">
              <w:rPr>
                <w:sz w:val="16"/>
                <w:szCs w:val="16"/>
                <w:lang w:val="en-GB" w:eastAsia="en-GB"/>
              </w:rPr>
              <w:t>Egypt</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DB10F" w14:textId="77777777" w:rsidR="000008B1" w:rsidRPr="00FE46A1" w:rsidRDefault="000008B1" w:rsidP="00FE46A1">
            <w:pPr>
              <w:pStyle w:val="Tabletext"/>
              <w:rPr>
                <w:sz w:val="16"/>
                <w:szCs w:val="16"/>
                <w:lang w:val="en-GB" w:eastAsia="en-GB"/>
              </w:rPr>
            </w:pPr>
            <w:r w:rsidRPr="00FE46A1">
              <w:rPr>
                <w:sz w:val="16"/>
                <w:szCs w:val="16"/>
                <w:lang w:val="en-GB" w:eastAsia="en-GB"/>
              </w:rPr>
              <w:t>Orange Egypt, Cairo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6E5A01"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2018-2019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7F8BC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21A8E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1 011.35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59A9C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2 998.85</w:t>
            </w:r>
          </w:p>
        </w:tc>
      </w:tr>
      <w:tr w:rsidR="000008B1" w:rsidRPr="00FE46A1" w14:paraId="4B48A5B5"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B7822D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1200174479</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DE0C25" w14:textId="77777777" w:rsidR="000008B1" w:rsidRPr="00FE46A1" w:rsidRDefault="000008B1" w:rsidP="00FE46A1">
            <w:pPr>
              <w:pStyle w:val="Tabletext"/>
              <w:rPr>
                <w:sz w:val="16"/>
                <w:szCs w:val="16"/>
                <w:lang w:val="en-GB" w:eastAsia="en-GB"/>
              </w:rPr>
            </w:pPr>
            <w:r w:rsidRPr="00FE46A1">
              <w:rPr>
                <w:sz w:val="16"/>
                <w:szCs w:val="16"/>
                <w:lang w:val="en-GB" w:eastAsia="en-GB"/>
              </w:rPr>
              <w:t>Estonia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84B714"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Clementvale</w:t>
            </w:r>
            <w:proofErr w:type="spellEnd"/>
            <w:r w:rsidRPr="00FE46A1">
              <w:rPr>
                <w:sz w:val="16"/>
                <w:szCs w:val="16"/>
                <w:lang w:val="en-GB" w:eastAsia="en-GB"/>
              </w:rPr>
              <w:t xml:space="preserve"> Baltic, Tallinn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706E72"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49C40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9 716.84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F35993"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3 384.10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C04C5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13 100.94</w:t>
            </w:r>
          </w:p>
        </w:tc>
      </w:tr>
      <w:tr w:rsidR="000008B1" w:rsidRPr="00FE46A1" w14:paraId="1A449FD0"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7530EF4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1200165052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5926A0" w14:textId="77777777" w:rsidR="000008B1" w:rsidRPr="00FE46A1" w:rsidRDefault="000008B1" w:rsidP="00FE46A1">
            <w:pPr>
              <w:pStyle w:val="Tabletext"/>
              <w:rPr>
                <w:sz w:val="16"/>
                <w:szCs w:val="16"/>
                <w:lang w:val="en-GB" w:eastAsia="en-GB"/>
              </w:rPr>
            </w:pPr>
            <w:r w:rsidRPr="00FE46A1">
              <w:rPr>
                <w:sz w:val="16"/>
                <w:szCs w:val="16"/>
                <w:lang w:val="en-GB" w:eastAsia="en-GB"/>
              </w:rPr>
              <w:t>India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BB73F" w14:textId="77777777" w:rsidR="000008B1" w:rsidRPr="00FE46A1" w:rsidRDefault="000008B1" w:rsidP="00FE46A1">
            <w:pPr>
              <w:pStyle w:val="Tabletext"/>
              <w:rPr>
                <w:sz w:val="16"/>
                <w:szCs w:val="16"/>
                <w:lang w:val="en-GB" w:eastAsia="en-GB"/>
              </w:rPr>
            </w:pPr>
            <w:r w:rsidRPr="00FE46A1">
              <w:rPr>
                <w:sz w:val="16"/>
                <w:szCs w:val="16"/>
                <w:lang w:val="en-GB" w:eastAsia="en-GB"/>
              </w:rPr>
              <w:t>Konkan Railway Corp Ltd, Navi Mumbai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21ADC0"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136BA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14C0E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-37.35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39275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1 950.15</w:t>
            </w:r>
          </w:p>
        </w:tc>
      </w:tr>
      <w:tr w:rsidR="000008B1" w:rsidRPr="00FE46A1" w14:paraId="043FBA9C"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546CF823"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1200101301</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7845FB" w14:textId="77777777" w:rsidR="000008B1" w:rsidRPr="00FE46A1" w:rsidRDefault="000008B1" w:rsidP="00FE46A1">
            <w:pPr>
              <w:pStyle w:val="Tabletext"/>
              <w:rPr>
                <w:sz w:val="16"/>
                <w:szCs w:val="16"/>
                <w:lang w:val="en-GB" w:eastAsia="en-GB"/>
              </w:rPr>
            </w:pPr>
            <w:r w:rsidRPr="00FE46A1">
              <w:rPr>
                <w:sz w:val="16"/>
                <w:szCs w:val="16"/>
                <w:lang w:val="en-GB" w:eastAsia="en-GB"/>
              </w:rPr>
              <w:t>Iran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21A445" w14:textId="77777777" w:rsidR="000008B1" w:rsidRPr="00FE46A1" w:rsidRDefault="000008B1" w:rsidP="00FE46A1">
            <w:pPr>
              <w:pStyle w:val="Tabletext"/>
              <w:rPr>
                <w:sz w:val="16"/>
                <w:szCs w:val="16"/>
                <w:lang w:val="en-GB" w:eastAsia="en-GB"/>
              </w:rPr>
            </w:pPr>
            <w:r w:rsidRPr="00FE46A1">
              <w:rPr>
                <w:sz w:val="16"/>
                <w:szCs w:val="16"/>
                <w:lang w:val="en-GB" w:eastAsia="en-GB"/>
              </w:rPr>
              <w:t>Fac. of Appl Science of P&amp;T, Tehran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A7CF1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C0B85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16DB04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672.25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11AF72"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2 659.75</w:t>
            </w:r>
          </w:p>
        </w:tc>
      </w:tr>
      <w:tr w:rsidR="000008B1" w:rsidRPr="00FE46A1" w14:paraId="04E64E0A"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50E3CB8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63074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046684" w14:textId="77777777" w:rsidR="000008B1" w:rsidRPr="00FE46A1" w:rsidRDefault="000008B1" w:rsidP="00FE46A1">
            <w:pPr>
              <w:pStyle w:val="Tabletext"/>
              <w:rPr>
                <w:sz w:val="16"/>
                <w:szCs w:val="16"/>
                <w:lang w:val="en-GB" w:eastAsia="en-GB"/>
              </w:rPr>
            </w:pPr>
            <w:r w:rsidRPr="00FE46A1">
              <w:rPr>
                <w:sz w:val="16"/>
                <w:szCs w:val="16"/>
                <w:lang w:val="en-GB" w:eastAsia="en-GB"/>
              </w:rPr>
              <w:t>Iran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DB9AF" w14:textId="77777777" w:rsidR="000008B1" w:rsidRPr="00FE46A1" w:rsidRDefault="000008B1" w:rsidP="00FE46A1">
            <w:pPr>
              <w:pStyle w:val="Tabletext"/>
              <w:rPr>
                <w:sz w:val="16"/>
                <w:szCs w:val="16"/>
                <w:lang w:val="en-GB" w:eastAsia="en-GB"/>
              </w:rPr>
            </w:pPr>
            <w:r w:rsidRPr="00FE46A1">
              <w:rPr>
                <w:sz w:val="16"/>
                <w:szCs w:val="16"/>
                <w:lang w:val="en-GB" w:eastAsia="en-GB"/>
              </w:rPr>
              <w:t xml:space="preserve">Iranian Net Com &amp; Elec </w:t>
            </w:r>
            <w:proofErr w:type="spellStart"/>
            <w:r w:rsidRPr="00FE46A1">
              <w:rPr>
                <w:sz w:val="16"/>
                <w:szCs w:val="16"/>
                <w:lang w:val="en-GB" w:eastAsia="en-GB"/>
              </w:rPr>
              <w:t>Servs</w:t>
            </w:r>
            <w:proofErr w:type="spellEnd"/>
            <w:r w:rsidRPr="00FE46A1">
              <w:rPr>
                <w:sz w:val="16"/>
                <w:szCs w:val="16"/>
                <w:lang w:val="en-GB" w:eastAsia="en-GB"/>
              </w:rPr>
              <w:t xml:space="preserve"> Co, Tehran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293F5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700BD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829D5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937.50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DA8D23"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2 925.00</w:t>
            </w:r>
          </w:p>
        </w:tc>
      </w:tr>
      <w:tr w:rsidR="000008B1" w:rsidRPr="00FE46A1" w14:paraId="558A967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60783775"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1200101813</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F467FB" w14:textId="77777777" w:rsidR="000008B1" w:rsidRPr="00FE46A1" w:rsidRDefault="000008B1" w:rsidP="00FE46A1">
            <w:pPr>
              <w:pStyle w:val="Tabletext"/>
              <w:rPr>
                <w:sz w:val="16"/>
                <w:szCs w:val="16"/>
                <w:lang w:val="en-GB" w:eastAsia="en-GB"/>
              </w:rPr>
            </w:pPr>
            <w:r w:rsidRPr="00FE46A1">
              <w:rPr>
                <w:sz w:val="16"/>
                <w:szCs w:val="16"/>
                <w:lang w:val="en-GB" w:eastAsia="en-GB"/>
              </w:rPr>
              <w:t>Iran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45F848"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Monenco</w:t>
            </w:r>
            <w:proofErr w:type="spellEnd"/>
            <w:r w:rsidRPr="00FE46A1">
              <w:rPr>
                <w:sz w:val="16"/>
                <w:szCs w:val="16"/>
                <w:lang w:val="en-GB" w:eastAsia="en-GB"/>
              </w:rPr>
              <w:t xml:space="preserve"> Iran, Tehran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528B70"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BC4B1E"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9A6D7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672.25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66C84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2 659.75</w:t>
            </w:r>
          </w:p>
        </w:tc>
      </w:tr>
      <w:tr w:rsidR="000008B1" w:rsidRPr="00FE46A1" w14:paraId="0C689A2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F6427EF"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1200175394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5CBEE3" w14:textId="77777777" w:rsidR="000008B1" w:rsidRPr="00FE46A1" w:rsidRDefault="000008B1" w:rsidP="00FE46A1">
            <w:pPr>
              <w:pStyle w:val="Tabletext"/>
              <w:rPr>
                <w:sz w:val="16"/>
                <w:szCs w:val="16"/>
                <w:lang w:val="en-GB" w:eastAsia="en-GB"/>
              </w:rPr>
            </w:pPr>
            <w:r w:rsidRPr="00FE46A1">
              <w:rPr>
                <w:sz w:val="16"/>
                <w:szCs w:val="16"/>
                <w:lang w:val="en-GB" w:eastAsia="en-GB"/>
              </w:rPr>
              <w:t>Israel</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3D3BE"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JpU</w:t>
            </w:r>
            <w:proofErr w:type="spellEnd"/>
            <w:r w:rsidRPr="00FE46A1">
              <w:rPr>
                <w:sz w:val="16"/>
                <w:szCs w:val="16"/>
                <w:lang w:val="en-GB" w:eastAsia="en-GB"/>
              </w:rPr>
              <w:t xml:space="preserve"> Io Ltd, Petach Tikva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0AF129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68FA4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3 533.33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56645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1 666.75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53334C"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5 200.08</w:t>
            </w:r>
          </w:p>
        </w:tc>
      </w:tr>
      <w:tr w:rsidR="000008B1" w:rsidRPr="00FE46A1" w14:paraId="04DB8356"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BF7FADF"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62772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00AB6" w14:textId="77777777" w:rsidR="000008B1" w:rsidRPr="00FE46A1" w:rsidRDefault="000008B1" w:rsidP="00FE46A1">
            <w:pPr>
              <w:pStyle w:val="Tabletext"/>
              <w:rPr>
                <w:sz w:val="16"/>
                <w:szCs w:val="16"/>
                <w:lang w:val="en-GB" w:eastAsia="en-GB"/>
              </w:rPr>
            </w:pPr>
            <w:r w:rsidRPr="00FE46A1">
              <w:rPr>
                <w:sz w:val="16"/>
                <w:szCs w:val="16"/>
                <w:lang w:val="en-GB" w:eastAsia="en-GB"/>
              </w:rPr>
              <w:t>Israel</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7CFD1"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Sckipio</w:t>
            </w:r>
            <w:proofErr w:type="spellEnd"/>
            <w:r w:rsidRPr="00FE46A1">
              <w:rPr>
                <w:sz w:val="16"/>
                <w:szCs w:val="16"/>
                <w:lang w:val="en-GB" w:eastAsia="en-GB"/>
              </w:rPr>
              <w:t xml:space="preserve"> Tech, Ramat Gan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3C6DC0"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4B3D1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10 600.00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7342C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720.25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D547D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11 320.25</w:t>
            </w:r>
          </w:p>
        </w:tc>
      </w:tr>
      <w:tr w:rsidR="000008B1" w:rsidRPr="00FE46A1" w14:paraId="393F07AA"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5979D10"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1200162990</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7134F3" w14:textId="77777777" w:rsidR="000008B1" w:rsidRPr="00FE46A1" w:rsidRDefault="000008B1" w:rsidP="00FE46A1">
            <w:pPr>
              <w:pStyle w:val="Tabletext"/>
              <w:rPr>
                <w:sz w:val="16"/>
                <w:szCs w:val="16"/>
                <w:lang w:val="en-GB" w:eastAsia="en-GB"/>
              </w:rPr>
            </w:pPr>
            <w:r w:rsidRPr="00FE46A1">
              <w:rPr>
                <w:sz w:val="16"/>
                <w:szCs w:val="16"/>
                <w:lang w:val="en-GB" w:eastAsia="en-GB"/>
              </w:rPr>
              <w:t>Korea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9025B" w14:textId="77777777" w:rsidR="000008B1" w:rsidRPr="00FE46A1" w:rsidRDefault="000008B1" w:rsidP="00FE46A1">
            <w:pPr>
              <w:pStyle w:val="Tabletext"/>
              <w:rPr>
                <w:sz w:val="16"/>
                <w:szCs w:val="16"/>
                <w:lang w:val="en-GB" w:eastAsia="en-GB"/>
              </w:rPr>
            </w:pPr>
            <w:r w:rsidRPr="00FE46A1">
              <w:rPr>
                <w:sz w:val="16"/>
                <w:szCs w:val="16"/>
                <w:lang w:val="en-GB" w:eastAsia="en-GB"/>
              </w:rPr>
              <w:t>Grad School Seoul Nat. Uni, Seoul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AC19C0"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64B98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2E8DFE"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937.50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0A1F3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2 925.00</w:t>
            </w:r>
          </w:p>
        </w:tc>
      </w:tr>
      <w:tr w:rsidR="000008B1" w:rsidRPr="00FE46A1" w14:paraId="0277103A"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420C0554"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1200193072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35489F" w14:textId="77777777" w:rsidR="000008B1" w:rsidRPr="00FE46A1" w:rsidRDefault="000008B1" w:rsidP="00FE46A1">
            <w:pPr>
              <w:pStyle w:val="Tabletext"/>
              <w:rPr>
                <w:sz w:val="16"/>
                <w:szCs w:val="16"/>
                <w:lang w:val="en-GB" w:eastAsia="en-GB"/>
              </w:rPr>
            </w:pPr>
            <w:r w:rsidRPr="00FE46A1">
              <w:rPr>
                <w:sz w:val="16"/>
                <w:szCs w:val="16"/>
                <w:lang w:val="en-GB" w:eastAsia="en-GB"/>
              </w:rPr>
              <w:t>Korea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FE530" w14:textId="77777777" w:rsidR="000008B1" w:rsidRPr="00FE46A1" w:rsidRDefault="000008B1" w:rsidP="00FE46A1">
            <w:pPr>
              <w:pStyle w:val="Tabletext"/>
              <w:rPr>
                <w:sz w:val="16"/>
                <w:szCs w:val="16"/>
                <w:lang w:val="en-GB" w:eastAsia="en-GB"/>
              </w:rPr>
            </w:pPr>
            <w:r w:rsidRPr="00FE46A1">
              <w:rPr>
                <w:sz w:val="16"/>
                <w:szCs w:val="16"/>
                <w:lang w:val="en-GB" w:eastAsia="en-GB"/>
              </w:rPr>
              <w:t>Smart Quantum Comm ITRC, Seoul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782BB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31FE0C"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1 821.88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EBE1C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616.15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41A42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2 438.03</w:t>
            </w:r>
          </w:p>
        </w:tc>
      </w:tr>
      <w:tr w:rsidR="000008B1" w:rsidRPr="00FE46A1" w14:paraId="6D9AE14E"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8EA246A"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60858</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3B90C" w14:textId="77777777" w:rsidR="000008B1" w:rsidRPr="00FE46A1" w:rsidRDefault="000008B1" w:rsidP="00FE46A1">
            <w:pPr>
              <w:pStyle w:val="Tabletext"/>
              <w:rPr>
                <w:sz w:val="16"/>
                <w:szCs w:val="16"/>
                <w:lang w:val="en-GB" w:eastAsia="en-GB"/>
              </w:rPr>
            </w:pPr>
            <w:r w:rsidRPr="00FE46A1">
              <w:rPr>
                <w:sz w:val="16"/>
                <w:szCs w:val="16"/>
                <w:lang w:val="en-GB" w:eastAsia="en-GB"/>
              </w:rPr>
              <w:t>Kyrgyzstan</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EC039"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Kyrgyztelecom</w:t>
            </w:r>
            <w:proofErr w:type="spellEnd"/>
            <w:r w:rsidRPr="00FE46A1">
              <w:rPr>
                <w:sz w:val="16"/>
                <w:szCs w:val="16"/>
                <w:lang w:val="en-GB" w:eastAsia="en-GB"/>
              </w:rPr>
              <w:t xml:space="preserve"> OJSC, Bishkek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133C1"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2016-2017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B666E"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5 631.25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005525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4 075.10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4BF4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9 706.35</w:t>
            </w:r>
          </w:p>
        </w:tc>
      </w:tr>
      <w:tr w:rsidR="000008B1" w:rsidRPr="00FE46A1" w14:paraId="59E4C54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69C2653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63466</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B20728" w14:textId="77777777" w:rsidR="000008B1" w:rsidRPr="00FE46A1" w:rsidRDefault="000008B1" w:rsidP="00FE46A1">
            <w:pPr>
              <w:pStyle w:val="Tabletext"/>
              <w:rPr>
                <w:sz w:val="16"/>
                <w:szCs w:val="16"/>
                <w:lang w:val="en-GB" w:eastAsia="en-GB"/>
              </w:rPr>
            </w:pPr>
            <w:r w:rsidRPr="00FE46A1">
              <w:rPr>
                <w:sz w:val="16"/>
                <w:szCs w:val="16"/>
                <w:lang w:val="en-GB" w:eastAsia="en-GB"/>
              </w:rPr>
              <w:t>Papua New Guinea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9865E" w14:textId="77777777" w:rsidR="000008B1" w:rsidRPr="00FE46A1" w:rsidRDefault="000008B1" w:rsidP="00FE46A1">
            <w:pPr>
              <w:pStyle w:val="Tabletext"/>
              <w:rPr>
                <w:sz w:val="16"/>
                <w:szCs w:val="16"/>
                <w:lang w:val="en-GB" w:eastAsia="en-GB"/>
              </w:rPr>
            </w:pPr>
            <w:r w:rsidRPr="00FE46A1">
              <w:rPr>
                <w:sz w:val="16"/>
                <w:szCs w:val="16"/>
                <w:lang w:val="en-GB" w:eastAsia="en-GB"/>
              </w:rPr>
              <w:t>Awal Telecom Corp Ltd, Port Moresby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3468CA"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2017-2020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8A4E06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3 975.00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41B32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1 680.59</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828993"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5 655.59</w:t>
            </w:r>
          </w:p>
        </w:tc>
      </w:tr>
      <w:tr w:rsidR="000008B1" w:rsidRPr="00FE46A1" w14:paraId="503B5888"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387074B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1200039028</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AF829" w14:textId="77777777" w:rsidR="000008B1" w:rsidRPr="00FE46A1" w:rsidRDefault="000008B1" w:rsidP="00FE46A1">
            <w:pPr>
              <w:pStyle w:val="Tabletext"/>
              <w:rPr>
                <w:sz w:val="16"/>
                <w:szCs w:val="16"/>
                <w:lang w:val="en-GB" w:eastAsia="en-GB"/>
              </w:rPr>
            </w:pPr>
            <w:r w:rsidRPr="00FE46A1">
              <w:rPr>
                <w:sz w:val="16"/>
                <w:szCs w:val="16"/>
                <w:lang w:val="en-GB" w:eastAsia="en-GB"/>
              </w:rPr>
              <w:t>Sao Tome and Principe</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F08A5"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Unitel</w:t>
            </w:r>
            <w:proofErr w:type="spellEnd"/>
            <w:r w:rsidRPr="00FE46A1">
              <w:rPr>
                <w:sz w:val="16"/>
                <w:szCs w:val="16"/>
                <w:lang w:val="en-GB" w:eastAsia="en-GB"/>
              </w:rPr>
              <w:t xml:space="preserve"> STP, Sao Tome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B9447"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446F0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3 975.00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64A73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1 344.45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038A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5 319.45</w:t>
            </w:r>
          </w:p>
        </w:tc>
      </w:tr>
      <w:tr w:rsidR="000008B1" w:rsidRPr="00FE46A1" w14:paraId="38756CE8"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FC033C6"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1200163575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EE8A7" w14:textId="77777777" w:rsidR="000008B1" w:rsidRPr="00FE46A1" w:rsidRDefault="000008B1" w:rsidP="00FE46A1">
            <w:pPr>
              <w:pStyle w:val="Tabletext"/>
              <w:rPr>
                <w:sz w:val="16"/>
                <w:szCs w:val="16"/>
                <w:lang w:val="en-GB" w:eastAsia="en-GB"/>
              </w:rPr>
            </w:pPr>
            <w:r w:rsidRPr="00FE46A1">
              <w:rPr>
                <w:sz w:val="16"/>
                <w:szCs w:val="16"/>
                <w:lang w:val="en-GB" w:eastAsia="en-GB"/>
              </w:rPr>
              <w:t>Switzerland</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03194" w14:textId="77777777" w:rsidR="000008B1" w:rsidRPr="00050D01" w:rsidRDefault="000008B1" w:rsidP="00FE46A1">
            <w:pPr>
              <w:pStyle w:val="Tabletext"/>
              <w:rPr>
                <w:sz w:val="16"/>
                <w:szCs w:val="16"/>
                <w:lang w:eastAsia="en-GB"/>
              </w:rPr>
            </w:pPr>
            <w:proofErr w:type="spellStart"/>
            <w:r w:rsidRPr="00050D01">
              <w:rPr>
                <w:sz w:val="16"/>
                <w:szCs w:val="16"/>
                <w:lang w:eastAsia="en-GB"/>
              </w:rPr>
              <w:t>Astrocast</w:t>
            </w:r>
            <w:proofErr w:type="spellEnd"/>
            <w:r w:rsidRPr="00050D01">
              <w:rPr>
                <w:sz w:val="16"/>
                <w:szCs w:val="16"/>
                <w:lang w:eastAsia="en-GB"/>
              </w:rPr>
              <w:t xml:space="preserve"> SA, Chavannes-près-Renens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AA541"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261B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3 975.00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8B7EAC"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658.80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77A8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4 633.80</w:t>
            </w:r>
          </w:p>
        </w:tc>
      </w:tr>
      <w:tr w:rsidR="000008B1" w:rsidRPr="00FE46A1" w14:paraId="159F3B91"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BDFD986"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1200011303</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8A9F8" w14:textId="77777777" w:rsidR="000008B1" w:rsidRPr="00FE46A1" w:rsidRDefault="000008B1" w:rsidP="00FE46A1">
            <w:pPr>
              <w:pStyle w:val="Tabletext"/>
              <w:rPr>
                <w:sz w:val="16"/>
                <w:szCs w:val="16"/>
                <w:lang w:val="en-GB" w:eastAsia="en-GB"/>
              </w:rPr>
            </w:pPr>
            <w:r w:rsidRPr="00FE46A1">
              <w:rPr>
                <w:sz w:val="16"/>
                <w:szCs w:val="16"/>
                <w:lang w:val="en-GB" w:eastAsia="en-GB"/>
              </w:rPr>
              <w:t>Switzerland</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D6316" w14:textId="77777777" w:rsidR="000008B1" w:rsidRPr="00FE46A1" w:rsidRDefault="000008B1" w:rsidP="00FE46A1">
            <w:pPr>
              <w:pStyle w:val="Tabletext"/>
              <w:rPr>
                <w:sz w:val="16"/>
                <w:szCs w:val="16"/>
                <w:lang w:val="en-GB" w:eastAsia="en-GB"/>
              </w:rPr>
            </w:pPr>
            <w:r w:rsidRPr="00FE46A1">
              <w:rPr>
                <w:sz w:val="16"/>
                <w:szCs w:val="16"/>
                <w:lang w:val="en-GB" w:eastAsia="en-GB"/>
              </w:rPr>
              <w:t>High-Tech Bridge SA, Geneva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1F3496"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1200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3 975.00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A7907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1 344.45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D840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5 319.45</w:t>
            </w:r>
          </w:p>
        </w:tc>
      </w:tr>
      <w:tr w:rsidR="000008B1" w:rsidRPr="00FE46A1" w14:paraId="363575E2"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18BCEB8A"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1200034986</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4DA03" w14:textId="77777777" w:rsidR="000008B1" w:rsidRPr="00FE46A1" w:rsidRDefault="000008B1" w:rsidP="00FE46A1">
            <w:pPr>
              <w:pStyle w:val="Tabletext"/>
              <w:rPr>
                <w:sz w:val="16"/>
                <w:szCs w:val="16"/>
                <w:lang w:val="en-GB" w:eastAsia="en-GB"/>
              </w:rPr>
            </w:pPr>
            <w:r w:rsidRPr="00FE46A1">
              <w:rPr>
                <w:sz w:val="16"/>
                <w:szCs w:val="16"/>
                <w:lang w:val="en-GB" w:eastAsia="en-GB"/>
              </w:rPr>
              <w:t>Tanzania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C6681" w14:textId="77777777" w:rsidR="000008B1" w:rsidRPr="00FE46A1" w:rsidRDefault="000008B1" w:rsidP="00FE46A1">
            <w:pPr>
              <w:pStyle w:val="Tabletext"/>
              <w:rPr>
                <w:sz w:val="16"/>
                <w:szCs w:val="16"/>
                <w:lang w:val="en-GB" w:eastAsia="en-GB"/>
              </w:rPr>
            </w:pPr>
            <w:r w:rsidRPr="00FE46A1">
              <w:rPr>
                <w:sz w:val="16"/>
                <w:szCs w:val="16"/>
                <w:lang w:val="en-GB" w:eastAsia="en-GB"/>
              </w:rPr>
              <w:t>The Uni of Dodoma, Dodoma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052C4A"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11363"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1 821.88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D1843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616.15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2CA4E9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2 438.03</w:t>
            </w:r>
          </w:p>
        </w:tc>
      </w:tr>
      <w:tr w:rsidR="000008B1" w:rsidRPr="00FE46A1" w14:paraId="320B4167"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3BF82B14"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27682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97F26" w14:textId="77777777" w:rsidR="000008B1" w:rsidRPr="00FE46A1" w:rsidRDefault="000008B1" w:rsidP="00FE46A1">
            <w:pPr>
              <w:pStyle w:val="Tabletext"/>
              <w:rPr>
                <w:sz w:val="16"/>
                <w:szCs w:val="16"/>
                <w:lang w:val="en-GB" w:eastAsia="en-GB"/>
              </w:rPr>
            </w:pPr>
            <w:r w:rsidRPr="00FE46A1">
              <w:rPr>
                <w:sz w:val="16"/>
                <w:szCs w:val="16"/>
                <w:lang w:val="en-GB" w:eastAsia="en-GB"/>
              </w:rPr>
              <w:t>Tunisia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FA953" w14:textId="77777777" w:rsidR="000008B1" w:rsidRPr="00050D01" w:rsidRDefault="000008B1" w:rsidP="00FE46A1">
            <w:pPr>
              <w:pStyle w:val="Tabletext"/>
              <w:rPr>
                <w:sz w:val="16"/>
                <w:szCs w:val="16"/>
                <w:lang w:eastAsia="en-GB"/>
              </w:rPr>
            </w:pPr>
            <w:r w:rsidRPr="00050D01">
              <w:rPr>
                <w:sz w:val="16"/>
                <w:szCs w:val="16"/>
                <w:lang w:eastAsia="en-GB"/>
              </w:rPr>
              <w:t>Agence Tunisienne d'Internet (ATI), Tunis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FFAAC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2018-2019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81F30"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12 810.00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E14E6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6 450.10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A8B3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19 260.10</w:t>
            </w:r>
          </w:p>
        </w:tc>
      </w:tr>
      <w:tr w:rsidR="000008B1" w:rsidRPr="00FE46A1" w14:paraId="564EBFE0"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74D8DB64"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63179</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57667" w14:textId="77777777" w:rsidR="000008B1" w:rsidRPr="00FE46A1" w:rsidRDefault="000008B1" w:rsidP="00FE46A1">
            <w:pPr>
              <w:pStyle w:val="Tabletext"/>
              <w:rPr>
                <w:sz w:val="16"/>
                <w:szCs w:val="16"/>
                <w:lang w:val="en-GB" w:eastAsia="en-GB"/>
              </w:rPr>
            </w:pPr>
            <w:r w:rsidRPr="00FE46A1">
              <w:rPr>
                <w:sz w:val="16"/>
                <w:szCs w:val="16"/>
                <w:lang w:val="en-GB" w:eastAsia="en-GB"/>
              </w:rPr>
              <w:t>United Arab Emirates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C169F"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Teralight</w:t>
            </w:r>
            <w:proofErr w:type="spellEnd"/>
            <w:r w:rsidRPr="00FE46A1">
              <w:rPr>
                <w:sz w:val="16"/>
                <w:szCs w:val="16"/>
                <w:lang w:val="en-GB" w:eastAsia="en-GB"/>
              </w:rPr>
              <w:t xml:space="preserve"> FZ LLC, Dubai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7CBD5D"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945F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3 975.00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7E02E1"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2 992.55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4125A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6 967.55</w:t>
            </w:r>
          </w:p>
        </w:tc>
      </w:tr>
      <w:tr w:rsidR="000008B1" w:rsidRPr="00FE46A1" w14:paraId="0CC9F36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623DB67"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1200029784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A4CEE4" w14:textId="77777777" w:rsidR="000008B1" w:rsidRPr="00FE46A1" w:rsidRDefault="000008B1" w:rsidP="00FE46A1">
            <w:pPr>
              <w:pStyle w:val="Tabletext"/>
              <w:ind w:right="-57"/>
              <w:rPr>
                <w:spacing w:val="-2"/>
                <w:sz w:val="16"/>
                <w:szCs w:val="16"/>
                <w:lang w:val="en-GB" w:eastAsia="en-GB"/>
              </w:rPr>
            </w:pPr>
            <w:r w:rsidRPr="00FE46A1">
              <w:rPr>
                <w:spacing w:val="-2"/>
                <w:sz w:val="16"/>
                <w:szCs w:val="16"/>
                <w:lang w:val="en-GB" w:eastAsia="en-GB"/>
              </w:rPr>
              <w:t>United Kingdom</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1DDD0" w14:textId="77777777" w:rsidR="000008B1" w:rsidRPr="00050D01" w:rsidRDefault="000008B1" w:rsidP="00FE46A1">
            <w:pPr>
              <w:pStyle w:val="Tabletext"/>
              <w:rPr>
                <w:sz w:val="16"/>
                <w:szCs w:val="16"/>
                <w:lang w:val="fr-CH" w:eastAsia="en-GB"/>
              </w:rPr>
            </w:pPr>
            <w:r w:rsidRPr="00050D01">
              <w:rPr>
                <w:sz w:val="16"/>
                <w:szCs w:val="16"/>
                <w:lang w:val="fr-CH" w:eastAsia="en-GB"/>
              </w:rPr>
              <w:t>PTGI International Carrier (Ex. Primus Telecommunications Ltd.), London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C75E5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2018-2024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47BDB8B"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2 100.00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A24174"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0.00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B5F6CE"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2 100.00</w:t>
            </w:r>
          </w:p>
        </w:tc>
      </w:tr>
      <w:tr w:rsidR="000008B1" w:rsidRPr="00FE46A1" w14:paraId="05200BD2"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3A8AD96F"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1200195690</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44133"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06457A"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Aumovio</w:t>
            </w:r>
            <w:proofErr w:type="spellEnd"/>
            <w:r w:rsidRPr="00FE46A1">
              <w:rPr>
                <w:sz w:val="16"/>
                <w:szCs w:val="16"/>
                <w:lang w:val="en-GB" w:eastAsia="en-GB"/>
              </w:rPr>
              <w:t xml:space="preserve"> Systems Inc. (Ex. Continental Automotive Systems Inc.), Deer Park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A42E38"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DC61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6 183.33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F5B04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2 091.35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8960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8 274.68</w:t>
            </w:r>
          </w:p>
        </w:tc>
      </w:tr>
      <w:tr w:rsidR="000008B1" w:rsidRPr="00FE46A1" w14:paraId="50833FC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39722E23"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1200114222</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0CD0E"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771D8" w14:textId="77777777" w:rsidR="000008B1" w:rsidRPr="00FE46A1" w:rsidRDefault="000008B1" w:rsidP="00FE46A1">
            <w:pPr>
              <w:pStyle w:val="Tabletext"/>
              <w:rPr>
                <w:sz w:val="16"/>
                <w:szCs w:val="16"/>
                <w:lang w:val="en-GB" w:eastAsia="en-GB"/>
              </w:rPr>
            </w:pPr>
            <w:proofErr w:type="spellStart"/>
            <w:r w:rsidRPr="00FE46A1">
              <w:rPr>
                <w:sz w:val="16"/>
                <w:szCs w:val="16"/>
                <w:lang w:val="en-GB" w:eastAsia="en-GB"/>
              </w:rPr>
              <w:t>eCurrency</w:t>
            </w:r>
            <w:proofErr w:type="spellEnd"/>
            <w:r w:rsidRPr="00FE46A1">
              <w:rPr>
                <w:sz w:val="16"/>
                <w:szCs w:val="16"/>
                <w:lang w:val="en-GB" w:eastAsia="en-GB"/>
              </w:rPr>
              <w:t>, Oakland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AC74AB4"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89B00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31 800.00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34130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15 087.90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BCADCB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46 887.90</w:t>
            </w:r>
          </w:p>
        </w:tc>
      </w:tr>
      <w:tr w:rsidR="000008B1" w:rsidRPr="00FE46A1" w14:paraId="6C5C5EC4"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5631F467"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56563</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A0815"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4E05A" w14:textId="77777777" w:rsidR="000008B1" w:rsidRPr="00FE46A1" w:rsidRDefault="000008B1" w:rsidP="00FE46A1">
            <w:pPr>
              <w:pStyle w:val="Tabletext"/>
              <w:rPr>
                <w:sz w:val="16"/>
                <w:szCs w:val="16"/>
                <w:lang w:val="en-GB" w:eastAsia="en-GB"/>
              </w:rPr>
            </w:pPr>
            <w:r w:rsidRPr="00FE46A1">
              <w:rPr>
                <w:sz w:val="16"/>
                <w:szCs w:val="16"/>
                <w:lang w:val="en-GB" w:eastAsia="en-GB"/>
              </w:rPr>
              <w:t>Oration Technologies Inc, Omaha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6FA48C"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08967C"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10 600.00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81BDD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3 691.50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C635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14 291.50</w:t>
            </w:r>
          </w:p>
        </w:tc>
      </w:tr>
      <w:tr w:rsidR="000008B1" w:rsidRPr="00FE46A1" w14:paraId="649D74F4"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EAC74B3"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57874</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5B54B"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8D5E9" w14:textId="77777777" w:rsidR="000008B1" w:rsidRPr="00FE46A1" w:rsidRDefault="000008B1" w:rsidP="00FE46A1">
            <w:pPr>
              <w:pStyle w:val="Tabletext"/>
              <w:rPr>
                <w:sz w:val="16"/>
                <w:szCs w:val="16"/>
                <w:lang w:val="en-GB" w:eastAsia="en-GB"/>
              </w:rPr>
            </w:pPr>
            <w:r w:rsidRPr="00FE46A1">
              <w:rPr>
                <w:sz w:val="16"/>
                <w:szCs w:val="16"/>
                <w:lang w:val="en-GB" w:eastAsia="en-GB"/>
              </w:rPr>
              <w:t>Space Systems Loral, Palo Alto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033969"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BE7551"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10 600.00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A78E26"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5 000.20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52D08"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15 600.20</w:t>
            </w:r>
          </w:p>
        </w:tc>
      </w:tr>
      <w:tr w:rsidR="000008B1" w:rsidRPr="00FE46A1" w14:paraId="54F22281"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079CA7CF"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59145</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E6AA5"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E097E" w14:textId="77777777" w:rsidR="000008B1" w:rsidRPr="00FE46A1" w:rsidRDefault="000008B1" w:rsidP="00FE46A1">
            <w:pPr>
              <w:pStyle w:val="Tabletext"/>
              <w:rPr>
                <w:sz w:val="16"/>
                <w:szCs w:val="16"/>
                <w:lang w:val="en-GB" w:eastAsia="en-GB"/>
              </w:rPr>
            </w:pPr>
            <w:r w:rsidRPr="00FE46A1">
              <w:rPr>
                <w:sz w:val="16"/>
                <w:szCs w:val="16"/>
                <w:lang w:val="en-GB" w:eastAsia="en-GB"/>
              </w:rPr>
              <w:t>Tektronix Inc, Beaverton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AF0089"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2017-2019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B478D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10 600.00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8C8742"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5 623.80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D9677"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16 223.80</w:t>
            </w:r>
          </w:p>
        </w:tc>
      </w:tr>
      <w:tr w:rsidR="000008B1" w:rsidRPr="00FE46A1" w14:paraId="1E77BB41"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68228F72"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1200173056</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5E76D" w14:textId="77777777" w:rsidR="000008B1" w:rsidRPr="00FE46A1" w:rsidRDefault="000008B1" w:rsidP="00FE46A1">
            <w:pPr>
              <w:pStyle w:val="Tabletext"/>
              <w:rPr>
                <w:sz w:val="16"/>
                <w:szCs w:val="16"/>
                <w:lang w:val="en-GB" w:eastAsia="en-GB"/>
              </w:rPr>
            </w:pPr>
            <w:r w:rsidRPr="00FE46A1">
              <w:rPr>
                <w:sz w:val="16"/>
                <w:szCs w:val="16"/>
                <w:lang w:val="en-GB" w:eastAsia="en-GB"/>
              </w:rPr>
              <w:t>United States</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C005C" w14:textId="77777777" w:rsidR="000008B1" w:rsidRPr="00FE46A1" w:rsidRDefault="000008B1" w:rsidP="00FE46A1">
            <w:pPr>
              <w:pStyle w:val="Tabletext"/>
              <w:rPr>
                <w:sz w:val="16"/>
                <w:szCs w:val="16"/>
                <w:lang w:val="en-GB" w:eastAsia="en-GB"/>
              </w:rPr>
            </w:pPr>
            <w:r w:rsidRPr="00FE46A1">
              <w:rPr>
                <w:sz w:val="16"/>
                <w:szCs w:val="16"/>
                <w:lang w:val="en-GB" w:eastAsia="en-GB"/>
              </w:rPr>
              <w:t>Toda Network Corporation, San Francisco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D6B95E"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920CD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5 300.00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04393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2 500.05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42FB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7 800.05</w:t>
            </w:r>
          </w:p>
        </w:tc>
      </w:tr>
      <w:tr w:rsidR="000008B1" w:rsidRPr="00FE46A1" w14:paraId="2EDAFB2A"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7257676E"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4710</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7D75B" w14:textId="77777777" w:rsidR="000008B1" w:rsidRPr="00FE46A1" w:rsidRDefault="000008B1" w:rsidP="00FE46A1">
            <w:pPr>
              <w:pStyle w:val="Tabletext"/>
              <w:rPr>
                <w:sz w:val="16"/>
                <w:szCs w:val="16"/>
                <w:lang w:val="en-GB" w:eastAsia="en-GB"/>
              </w:rPr>
            </w:pPr>
            <w:r w:rsidRPr="00FE46A1">
              <w:rPr>
                <w:sz w:val="16"/>
                <w:szCs w:val="16"/>
                <w:lang w:val="en-GB" w:eastAsia="en-GB"/>
              </w:rPr>
              <w:t>Venezuela</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D8337" w14:textId="77777777" w:rsidR="000008B1" w:rsidRPr="00FE46A1" w:rsidRDefault="000008B1" w:rsidP="00FE46A1">
            <w:pPr>
              <w:pStyle w:val="Tabletext"/>
              <w:rPr>
                <w:sz w:val="16"/>
                <w:szCs w:val="16"/>
                <w:lang w:val="en-GB" w:eastAsia="en-GB"/>
              </w:rPr>
            </w:pPr>
            <w:r w:rsidRPr="00FE46A1">
              <w:rPr>
                <w:sz w:val="16"/>
                <w:szCs w:val="16"/>
                <w:lang w:val="en-GB" w:eastAsia="en-GB"/>
              </w:rPr>
              <w:t>CANTV, Caracas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1FC7EB"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2018-2019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4574C9"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79 500.00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9E2ADF"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38 163.75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F7D6A"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117 663.75</w:t>
            </w:r>
          </w:p>
        </w:tc>
      </w:tr>
      <w:tr w:rsidR="000008B1" w:rsidRPr="00FE46A1" w14:paraId="1C881683" w14:textId="77777777" w:rsidTr="00FE46A1">
        <w:trPr>
          <w:cantSplit/>
          <w:jc w:val="center"/>
        </w:trPr>
        <w:tc>
          <w:tcPr>
            <w:tcW w:w="1050" w:type="dxa"/>
            <w:tcBorders>
              <w:top w:val="single" w:sz="4" w:space="0" w:color="auto"/>
              <w:left w:val="single" w:sz="4" w:space="0" w:color="auto"/>
              <w:bottom w:val="single" w:sz="4" w:space="0" w:color="auto"/>
              <w:right w:val="single" w:sz="4" w:space="0" w:color="auto"/>
            </w:tcBorders>
          </w:tcPr>
          <w:p w14:paraId="21E241D1"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1200161323</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3B450" w14:textId="77777777" w:rsidR="000008B1" w:rsidRPr="00FE46A1" w:rsidRDefault="000008B1" w:rsidP="00FE46A1">
            <w:pPr>
              <w:pStyle w:val="Tabletext"/>
              <w:ind w:left="-57" w:right="-57"/>
              <w:jc w:val="center"/>
              <w:rPr>
                <w:sz w:val="16"/>
                <w:szCs w:val="16"/>
                <w:lang w:val="en-GB" w:eastAsia="en-GB"/>
              </w:rPr>
            </w:pPr>
            <w:r w:rsidRPr="00FE46A1">
              <w:rPr>
                <w:sz w:val="16"/>
                <w:szCs w:val="16"/>
                <w:lang w:val="en-GB" w:eastAsia="en-GB"/>
              </w:rPr>
              <w:t>Resolution 99 (Rev. Dubai, 2018) – Palestine</w:t>
            </w:r>
          </w:p>
        </w:tc>
        <w:tc>
          <w:tcPr>
            <w:tcW w:w="3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91C2F" w14:textId="77777777" w:rsidR="000008B1" w:rsidRPr="00FE46A1" w:rsidRDefault="000008B1" w:rsidP="00FE46A1">
            <w:pPr>
              <w:pStyle w:val="Tabletext"/>
              <w:rPr>
                <w:sz w:val="16"/>
                <w:szCs w:val="16"/>
                <w:lang w:val="en-GB" w:eastAsia="en-GB"/>
              </w:rPr>
            </w:pPr>
            <w:r w:rsidRPr="00FE46A1">
              <w:rPr>
                <w:sz w:val="16"/>
                <w:szCs w:val="16"/>
                <w:lang w:val="en-GB" w:eastAsia="en-GB"/>
              </w:rPr>
              <w:t>Palestine Technical University, Tulkarem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2AF69E" w14:textId="77777777" w:rsidR="000008B1" w:rsidRPr="00FE46A1" w:rsidRDefault="000008B1" w:rsidP="00FE46A1">
            <w:pPr>
              <w:pStyle w:val="Tabletext"/>
              <w:jc w:val="center"/>
              <w:rPr>
                <w:sz w:val="16"/>
                <w:szCs w:val="16"/>
                <w:lang w:val="en-GB" w:eastAsia="en-GB"/>
              </w:rPr>
            </w:pPr>
            <w:r w:rsidRPr="00FE46A1">
              <w:rPr>
                <w:sz w:val="16"/>
                <w:szCs w:val="16"/>
                <w:lang w:val="en-GB" w:eastAsia="en-GB"/>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43CDE5"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1 987.50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3EBF1D"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937.50</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6B9F1" w14:textId="77777777" w:rsidR="000008B1" w:rsidRPr="00FE46A1" w:rsidRDefault="000008B1" w:rsidP="00FE46A1">
            <w:pPr>
              <w:pStyle w:val="Tabletext"/>
              <w:jc w:val="right"/>
              <w:rPr>
                <w:sz w:val="16"/>
                <w:szCs w:val="16"/>
                <w:lang w:val="en-GB" w:eastAsia="en-GB"/>
              </w:rPr>
            </w:pPr>
            <w:r w:rsidRPr="00FE46A1">
              <w:rPr>
                <w:sz w:val="16"/>
                <w:szCs w:val="16"/>
                <w:lang w:val="en-GB" w:eastAsia="en-GB"/>
              </w:rPr>
              <w:t>2 925.00</w:t>
            </w:r>
          </w:p>
        </w:tc>
      </w:tr>
      <w:tr w:rsidR="00FE46A1" w:rsidRPr="00FE46A1" w14:paraId="435A2CE7" w14:textId="77777777" w:rsidTr="00FE46A1">
        <w:trPr>
          <w:gridAfter w:val="1"/>
          <w:wAfter w:w="7" w:type="dxa"/>
          <w:cantSplit/>
          <w:jc w:val="center"/>
        </w:trPr>
        <w:tc>
          <w:tcPr>
            <w:tcW w:w="7225" w:type="dxa"/>
            <w:gridSpan w:val="4"/>
            <w:tcBorders>
              <w:top w:val="single" w:sz="8" w:space="0" w:color="auto"/>
              <w:left w:val="single" w:sz="8" w:space="0" w:color="auto"/>
              <w:bottom w:val="single" w:sz="8" w:space="0" w:color="auto"/>
              <w:right w:val="single" w:sz="8" w:space="0" w:color="auto"/>
            </w:tcBorders>
          </w:tcPr>
          <w:p w14:paraId="2BD46FC4" w14:textId="77777777" w:rsidR="000008B1" w:rsidRPr="00FE46A1" w:rsidRDefault="000008B1" w:rsidP="00FE46A1">
            <w:pPr>
              <w:pStyle w:val="Tabletext"/>
              <w:jc w:val="center"/>
              <w:rPr>
                <w:b/>
                <w:bCs/>
                <w:i/>
                <w:iCs/>
                <w:sz w:val="16"/>
                <w:szCs w:val="16"/>
                <w:lang w:val="en-GB" w:eastAsia="en-GB"/>
              </w:rPr>
            </w:pPr>
            <w:r w:rsidRPr="00FE46A1">
              <w:rPr>
                <w:b/>
                <w:bCs/>
                <w:i/>
                <w:iCs/>
                <w:sz w:val="16"/>
                <w:szCs w:val="16"/>
                <w:lang w:val="en-GB" w:eastAsia="en-GB"/>
              </w:rPr>
              <w:t>2. Sub-total Sector Members and other entities</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0FD07352"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278 143.51</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4AE4BE58"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117 619.94</w:t>
            </w:r>
          </w:p>
        </w:tc>
        <w:tc>
          <w:tcPr>
            <w:tcW w:w="990" w:type="dxa"/>
            <w:tcBorders>
              <w:top w:val="single" w:sz="8" w:space="0" w:color="auto"/>
              <w:left w:val="single" w:sz="8" w:space="0" w:color="auto"/>
              <w:bottom w:val="single" w:sz="8" w:space="0" w:color="auto"/>
              <w:right w:val="single" w:sz="8" w:space="0" w:color="auto"/>
            </w:tcBorders>
            <w:noWrap/>
            <w:vAlign w:val="center"/>
            <w:hideMark/>
          </w:tcPr>
          <w:p w14:paraId="44672097"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395 763.45</w:t>
            </w:r>
          </w:p>
        </w:tc>
      </w:tr>
      <w:tr w:rsidR="00FE46A1" w:rsidRPr="00FE46A1" w14:paraId="736EE60E" w14:textId="77777777" w:rsidTr="00FE46A1">
        <w:trPr>
          <w:gridAfter w:val="1"/>
          <w:wAfter w:w="7" w:type="dxa"/>
          <w:cantSplit/>
          <w:jc w:val="center"/>
        </w:trPr>
        <w:tc>
          <w:tcPr>
            <w:tcW w:w="7225" w:type="dxa"/>
            <w:gridSpan w:val="4"/>
            <w:tcBorders>
              <w:top w:val="single" w:sz="8" w:space="0" w:color="auto"/>
              <w:left w:val="single" w:sz="8" w:space="0" w:color="auto"/>
              <w:bottom w:val="single" w:sz="8" w:space="0" w:color="auto"/>
              <w:right w:val="single" w:sz="8" w:space="0" w:color="auto"/>
            </w:tcBorders>
          </w:tcPr>
          <w:p w14:paraId="757970E8"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Grand Total</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4EED7010"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278 143.51</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05F0F25A"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288 672.09</w:t>
            </w:r>
          </w:p>
        </w:tc>
        <w:tc>
          <w:tcPr>
            <w:tcW w:w="990" w:type="dxa"/>
            <w:tcBorders>
              <w:top w:val="single" w:sz="8" w:space="0" w:color="auto"/>
              <w:left w:val="single" w:sz="8" w:space="0" w:color="auto"/>
              <w:bottom w:val="single" w:sz="8" w:space="0" w:color="auto"/>
              <w:right w:val="single" w:sz="8" w:space="0" w:color="auto"/>
            </w:tcBorders>
            <w:noWrap/>
            <w:vAlign w:val="center"/>
            <w:hideMark/>
          </w:tcPr>
          <w:p w14:paraId="078E26B0" w14:textId="77777777" w:rsidR="000008B1" w:rsidRPr="00FE46A1" w:rsidRDefault="000008B1" w:rsidP="00FE46A1">
            <w:pPr>
              <w:pStyle w:val="Tabletext"/>
              <w:jc w:val="right"/>
              <w:rPr>
                <w:b/>
                <w:bCs/>
                <w:sz w:val="16"/>
                <w:szCs w:val="16"/>
                <w:lang w:val="en-GB" w:eastAsia="en-GB"/>
              </w:rPr>
            </w:pPr>
            <w:r w:rsidRPr="00FE46A1">
              <w:rPr>
                <w:b/>
                <w:bCs/>
                <w:sz w:val="16"/>
                <w:szCs w:val="16"/>
                <w:lang w:val="en-GB" w:eastAsia="en-GB"/>
              </w:rPr>
              <w:t>566 815.60</w:t>
            </w:r>
          </w:p>
        </w:tc>
      </w:tr>
    </w:tbl>
    <w:p w14:paraId="5D5FBFA8" w14:textId="77777777" w:rsidR="000159D2" w:rsidRPr="00677885" w:rsidRDefault="000159D2" w:rsidP="000008B1">
      <w:pPr>
        <w:pStyle w:val="Tablefin"/>
        <w:rPr>
          <w:lang w:val="en-GB"/>
        </w:rPr>
      </w:pPr>
    </w:p>
    <w:p w14:paraId="39AA3289" w14:textId="2A359BBF" w:rsidR="003E4B3F" w:rsidRPr="000159D2" w:rsidRDefault="00431522" w:rsidP="003E4B3F">
      <w:pPr>
        <w:spacing w:before="480"/>
        <w:jc w:val="center"/>
        <w:rPr>
          <w:lang w:val="en-GB"/>
        </w:rPr>
      </w:pPr>
      <w:r>
        <w:rPr>
          <w:lang w:val="en-GB"/>
        </w:rPr>
        <w:t>*********</w:t>
      </w:r>
    </w:p>
    <w:p w14:paraId="1447BE55" w14:textId="77777777" w:rsidR="00743E20" w:rsidRDefault="00743E20" w:rsidP="00B77FE5">
      <w:pPr>
        <w:spacing w:line="259" w:lineRule="auto"/>
        <w:rPr>
          <w:rFonts w:eastAsia="Calibri" w:cs="Calibri"/>
          <w:szCs w:val="24"/>
          <w:lang w:val="en-GB"/>
        </w:rPr>
      </w:pPr>
    </w:p>
    <w:p w14:paraId="50275BF9" w14:textId="76B1DCBD" w:rsidR="00743E20" w:rsidRDefault="00743E20">
      <w:pPr>
        <w:tabs>
          <w:tab w:val="clear" w:pos="567"/>
          <w:tab w:val="clear" w:pos="1134"/>
          <w:tab w:val="clear" w:pos="1701"/>
          <w:tab w:val="clear" w:pos="2268"/>
          <w:tab w:val="clear" w:pos="2835"/>
        </w:tabs>
        <w:overflowPunct/>
        <w:autoSpaceDE/>
        <w:autoSpaceDN/>
        <w:adjustRightInd/>
        <w:spacing w:before="0"/>
        <w:textAlignment w:val="auto"/>
        <w:rPr>
          <w:rFonts w:eastAsia="Calibri" w:cs="Calibri"/>
          <w:szCs w:val="24"/>
          <w:lang w:val="en-GB"/>
        </w:rPr>
      </w:pPr>
      <w:r>
        <w:rPr>
          <w:rFonts w:eastAsia="Calibri" w:cs="Calibri"/>
          <w:szCs w:val="24"/>
          <w:lang w:val="en-GB"/>
        </w:rPr>
        <w:br w:type="page"/>
      </w:r>
    </w:p>
    <w:p w14:paraId="435F1A3B" w14:textId="5A02B40F" w:rsidR="008C75A3" w:rsidRPr="008C75A3" w:rsidRDefault="00F57B94" w:rsidP="00050D01">
      <w:pPr>
        <w:pStyle w:val="AnnexNo"/>
        <w:rPr>
          <w:lang w:val="en-GB"/>
        </w:rPr>
      </w:pPr>
      <w:bookmarkStart w:id="11" w:name="Annex_C"/>
      <w:r>
        <w:rPr>
          <w:rFonts w:eastAsia="Calibri"/>
          <w:lang w:val="en-GB"/>
        </w:rPr>
        <w:t>Annex C</w:t>
      </w:r>
      <w:bookmarkEnd w:id="11"/>
    </w:p>
    <w:p w14:paraId="327E2B11" w14:textId="6FE1950A" w:rsidR="008C75A3" w:rsidRPr="008C75A3" w:rsidRDefault="008C75A3" w:rsidP="00050D01">
      <w:pPr>
        <w:pStyle w:val="AnnexNo"/>
        <w:rPr>
          <w:lang w:val="en-GB"/>
        </w:rPr>
      </w:pPr>
      <w:r w:rsidRPr="008C75A3">
        <w:rPr>
          <w:lang w:val="en-GB"/>
        </w:rPr>
        <w:t xml:space="preserve">DRAFT </w:t>
      </w:r>
      <w:r w:rsidR="009662DE">
        <w:rPr>
          <w:lang w:val="en-GB"/>
        </w:rPr>
        <w:t xml:space="preserve">NEW </w:t>
      </w:r>
      <w:r w:rsidRPr="008C75A3">
        <w:rPr>
          <w:lang w:val="en-GB"/>
        </w:rPr>
        <w:t>DECISION […]</w:t>
      </w:r>
    </w:p>
    <w:p w14:paraId="2D46F8A7" w14:textId="77777777" w:rsidR="008C75A3" w:rsidRPr="008C75A3" w:rsidRDefault="008C75A3" w:rsidP="00050D01">
      <w:pPr>
        <w:pStyle w:val="Annextitle"/>
        <w:rPr>
          <w:rFonts w:asciiTheme="minorHAnsi" w:hAnsiTheme="minorHAnsi"/>
          <w:lang w:val="en-GB"/>
        </w:rPr>
      </w:pPr>
      <w:bookmarkStart w:id="12" w:name="OLE_LINK9"/>
      <w:bookmarkStart w:id="13" w:name="OLE_LINK10"/>
      <w:r w:rsidRPr="008C75A3">
        <w:rPr>
          <w:lang w:val="en-GB"/>
        </w:rPr>
        <w:t>The After-Service Health Insurance (ASHI) liability</w:t>
      </w:r>
    </w:p>
    <w:bookmarkEnd w:id="12"/>
    <w:bookmarkEnd w:id="13"/>
    <w:p w14:paraId="16BDF177" w14:textId="77777777" w:rsidR="008C75A3" w:rsidRPr="008C75A3" w:rsidRDefault="008C75A3" w:rsidP="00050D01">
      <w:pPr>
        <w:pStyle w:val="Normalaftertitle"/>
        <w:rPr>
          <w:lang w:val="en-GB"/>
        </w:rPr>
      </w:pPr>
      <w:r w:rsidRPr="008C75A3">
        <w:rPr>
          <w:lang w:val="en-GB"/>
        </w:rPr>
        <w:t>The ITU Council,</w:t>
      </w:r>
    </w:p>
    <w:p w14:paraId="0FE5310F" w14:textId="77777777" w:rsidR="008C75A3" w:rsidRPr="008C75A3" w:rsidRDefault="008C75A3" w:rsidP="00050D01">
      <w:pPr>
        <w:pStyle w:val="Call"/>
        <w:rPr>
          <w:lang w:val="en-GB"/>
        </w:rPr>
      </w:pPr>
      <w:r w:rsidRPr="008C75A3">
        <w:rPr>
          <w:lang w:val="en-GB"/>
        </w:rPr>
        <w:t>having examined</w:t>
      </w:r>
    </w:p>
    <w:p w14:paraId="6697C338" w14:textId="43339BA8" w:rsidR="008C75A3" w:rsidRPr="008C75A3" w:rsidRDefault="008C75A3" w:rsidP="008C75A3">
      <w:pPr>
        <w:rPr>
          <w:lang w:val="en-GB"/>
        </w:rPr>
      </w:pPr>
      <w:r w:rsidRPr="008C75A3">
        <w:rPr>
          <w:lang w:val="en-GB"/>
        </w:rPr>
        <w:t xml:space="preserve">Document </w:t>
      </w:r>
      <w:hyperlink r:id="rId150" w:history="1">
        <w:r w:rsidRPr="008C75A3">
          <w:rPr>
            <w:color w:val="4F81BD" w:themeColor="accent1"/>
            <w:u w:val="single"/>
            <w:lang w:val="en-GB"/>
          </w:rPr>
          <w:t>C26/46</w:t>
        </w:r>
      </w:hyperlink>
      <w:r w:rsidRPr="008C75A3">
        <w:rPr>
          <w:lang w:val="en-GB"/>
        </w:rPr>
        <w:t>,</w:t>
      </w:r>
    </w:p>
    <w:p w14:paraId="67293314" w14:textId="77777777" w:rsidR="008C75A3" w:rsidRPr="008C75A3" w:rsidRDefault="008C75A3" w:rsidP="00050D01">
      <w:pPr>
        <w:pStyle w:val="Call"/>
        <w:rPr>
          <w:lang w:val="en-GB"/>
        </w:rPr>
      </w:pPr>
      <w:r w:rsidRPr="008C75A3">
        <w:rPr>
          <w:lang w:val="en-GB"/>
        </w:rPr>
        <w:t>considering</w:t>
      </w:r>
    </w:p>
    <w:p w14:paraId="32996A25" w14:textId="77777777" w:rsidR="008C75A3" w:rsidRPr="008C75A3" w:rsidRDefault="008C75A3" w:rsidP="008C75A3">
      <w:pPr>
        <w:jc w:val="both"/>
        <w:rPr>
          <w:rFonts w:asciiTheme="minorHAnsi" w:hAnsiTheme="minorHAnsi"/>
          <w:szCs w:val="24"/>
          <w:lang w:val="en-GB"/>
        </w:rPr>
      </w:pPr>
      <w:r w:rsidRPr="008C75A3">
        <w:rPr>
          <w:lang w:val="en-GB"/>
        </w:rPr>
        <w:t>Decision 5 (</w:t>
      </w:r>
      <w:r w:rsidRPr="008C75A3">
        <w:rPr>
          <w:szCs w:val="24"/>
          <w:lang w:val="en-GB"/>
        </w:rPr>
        <w:t xml:space="preserve">Rev. Bucharest, 2022) of the Plenipotentiary Conference </w:t>
      </w:r>
      <w:r w:rsidRPr="008C75A3">
        <w:rPr>
          <w:lang w:val="en-GB"/>
        </w:rPr>
        <w:t>after a careful review of the recommendations issued by the UN ASHI working group (established under General Assembly Resolution A/RES/68/244) and further to the recommendations of both JIU and IMAC</w:t>
      </w:r>
      <w:r w:rsidRPr="008C75A3">
        <w:rPr>
          <w:szCs w:val="24"/>
          <w:lang w:val="en-GB"/>
        </w:rPr>
        <w:t>,</w:t>
      </w:r>
    </w:p>
    <w:p w14:paraId="4289EC27" w14:textId="77777777" w:rsidR="008C75A3" w:rsidRPr="008C75A3" w:rsidRDefault="008C75A3" w:rsidP="00050D01">
      <w:pPr>
        <w:pStyle w:val="Call"/>
        <w:rPr>
          <w:lang w:val="en-GB"/>
        </w:rPr>
      </w:pPr>
      <w:proofErr w:type="gramStart"/>
      <w:r w:rsidRPr="008C75A3">
        <w:rPr>
          <w:lang w:val="en-GB"/>
        </w:rPr>
        <w:t>taking into account</w:t>
      </w:r>
      <w:proofErr w:type="gramEnd"/>
    </w:p>
    <w:p w14:paraId="40355E6C" w14:textId="77777777" w:rsidR="008C75A3" w:rsidRPr="008C75A3" w:rsidRDefault="008C75A3" w:rsidP="008C75A3">
      <w:pPr>
        <w:rPr>
          <w:lang w:val="en-GB"/>
        </w:rPr>
      </w:pPr>
      <w:r w:rsidRPr="008C75A3">
        <w:rPr>
          <w:lang w:val="en-GB"/>
        </w:rPr>
        <w:t xml:space="preserve">Article 25 of the </w:t>
      </w:r>
      <w:hyperlink r:id="rId151" w:history="1">
        <w:r w:rsidRPr="008C75A3">
          <w:rPr>
            <w:color w:val="0563C1"/>
            <w:u w:val="single"/>
            <w:lang w:val="en-GB"/>
          </w:rPr>
          <w:t>Financial Regulations</w:t>
        </w:r>
      </w:hyperlink>
      <w:r w:rsidRPr="008C75A3">
        <w:rPr>
          <w:lang w:val="en-GB"/>
        </w:rPr>
        <w:t>,</w:t>
      </w:r>
    </w:p>
    <w:p w14:paraId="5A742F4C" w14:textId="77777777" w:rsidR="008C75A3" w:rsidRPr="008C75A3" w:rsidRDefault="008C75A3" w:rsidP="00050D01">
      <w:pPr>
        <w:pStyle w:val="Call"/>
        <w:rPr>
          <w:lang w:val="en-GB"/>
        </w:rPr>
      </w:pPr>
      <w:r w:rsidRPr="008C75A3">
        <w:rPr>
          <w:lang w:val="en-GB"/>
        </w:rPr>
        <w:t>decides</w:t>
      </w:r>
    </w:p>
    <w:p w14:paraId="36475D30" w14:textId="77777777" w:rsidR="008C75A3" w:rsidRPr="008C75A3" w:rsidRDefault="008C75A3" w:rsidP="008C75A3">
      <w:pPr>
        <w:jc w:val="both"/>
        <w:rPr>
          <w:rFonts w:asciiTheme="minorHAnsi" w:hAnsiTheme="minorHAnsi"/>
          <w:lang w:val="en-GB"/>
        </w:rPr>
      </w:pPr>
      <w:r w:rsidRPr="008C75A3">
        <w:rPr>
          <w:lang w:val="en-GB"/>
        </w:rPr>
        <w:t>as implemented, an additional financing measure whereby 5.35 per</w:t>
      </w:r>
      <w:r w:rsidRPr="008C75A3">
        <w:rPr>
          <w:color w:val="000000" w:themeColor="text1"/>
          <w:lang w:val="en-GB"/>
        </w:rPr>
        <w:t xml:space="preserve"> cent of the base salary for new staff recruited as from 1 January 2026 has been integrated into the budget going forward, </w:t>
      </w:r>
    </w:p>
    <w:p w14:paraId="6ACEC776" w14:textId="77777777" w:rsidR="008C75A3" w:rsidRPr="008C75A3" w:rsidRDefault="008C75A3" w:rsidP="00050D01">
      <w:pPr>
        <w:pStyle w:val="Call"/>
        <w:rPr>
          <w:lang w:val="en-GB"/>
        </w:rPr>
      </w:pPr>
      <w:r w:rsidRPr="008C75A3">
        <w:rPr>
          <w:lang w:val="en-GB"/>
        </w:rPr>
        <w:t>instructs the Secretary-General</w:t>
      </w:r>
    </w:p>
    <w:p w14:paraId="19C6EF95" w14:textId="77777777" w:rsidR="008C75A3" w:rsidRPr="008C75A3" w:rsidRDefault="008C75A3" w:rsidP="008C75A3">
      <w:pPr>
        <w:jc w:val="both"/>
        <w:rPr>
          <w:color w:val="000000"/>
          <w:lang w:val="en-GB"/>
        </w:rPr>
      </w:pPr>
      <w:r w:rsidRPr="008C75A3">
        <w:rPr>
          <w:szCs w:val="24"/>
          <w:lang w:val="en-GB"/>
        </w:rPr>
        <w:t>to continue to report annually to the Council on the replenishment of the ASHI fund.</w:t>
      </w:r>
    </w:p>
    <w:p w14:paraId="7FE1E863" w14:textId="77777777" w:rsidR="008C75A3" w:rsidRDefault="008C75A3" w:rsidP="008C75A3">
      <w:pPr>
        <w:jc w:val="both"/>
        <w:rPr>
          <w:lang w:val="en-GB"/>
        </w:rPr>
      </w:pPr>
    </w:p>
    <w:p w14:paraId="76CD3C9A" w14:textId="5D8C7896" w:rsidR="00FC4409" w:rsidRPr="008C75A3" w:rsidRDefault="00FC4409" w:rsidP="00050D01">
      <w:pPr>
        <w:jc w:val="center"/>
        <w:rPr>
          <w:lang w:val="en-GB"/>
        </w:rPr>
      </w:pPr>
      <w:r>
        <w:rPr>
          <w:lang w:val="en-GB"/>
        </w:rPr>
        <w:t>****************</w:t>
      </w:r>
    </w:p>
    <w:p w14:paraId="3735858C" w14:textId="5176BCBA" w:rsidR="00A62846" w:rsidRDefault="00A62846">
      <w:pPr>
        <w:tabs>
          <w:tab w:val="clear" w:pos="567"/>
          <w:tab w:val="clear" w:pos="1134"/>
          <w:tab w:val="clear" w:pos="1701"/>
          <w:tab w:val="clear" w:pos="2268"/>
          <w:tab w:val="clear" w:pos="2835"/>
        </w:tabs>
        <w:overflowPunct/>
        <w:autoSpaceDE/>
        <w:autoSpaceDN/>
        <w:adjustRightInd/>
        <w:spacing w:before="0"/>
        <w:textAlignment w:val="auto"/>
        <w:rPr>
          <w:rFonts w:eastAsia="Calibri"/>
          <w:lang w:val="en-GB"/>
        </w:rPr>
      </w:pPr>
      <w:r>
        <w:rPr>
          <w:rFonts w:eastAsia="Calibri"/>
          <w:lang w:val="en-GB"/>
        </w:rPr>
        <w:br w:type="page"/>
      </w:r>
    </w:p>
    <w:p w14:paraId="2DDA092C" w14:textId="590E3335" w:rsidR="00C70E3A" w:rsidRDefault="00C70E3A" w:rsidP="00162AFD">
      <w:pPr>
        <w:pStyle w:val="AnnexNo"/>
        <w:rPr>
          <w:rFonts w:eastAsia="Calibri"/>
          <w:lang w:val="en-GB"/>
        </w:rPr>
      </w:pPr>
      <w:bookmarkStart w:id="14" w:name="Annex_D"/>
      <w:r>
        <w:rPr>
          <w:rFonts w:eastAsia="Calibri"/>
          <w:lang w:val="en-GB"/>
        </w:rPr>
        <w:t xml:space="preserve">Annex </w:t>
      </w:r>
      <w:r w:rsidR="00A64A6B">
        <w:rPr>
          <w:rFonts w:eastAsia="Calibri"/>
          <w:lang w:val="en-GB"/>
        </w:rPr>
        <w:t>D</w:t>
      </w:r>
      <w:bookmarkEnd w:id="14"/>
    </w:p>
    <w:p w14:paraId="007F2FB8" w14:textId="31EABF61" w:rsidR="00A64A6B" w:rsidRPr="00A64A6B" w:rsidRDefault="00A64A6B" w:rsidP="00162AFD">
      <w:pPr>
        <w:keepNext/>
        <w:keepLines/>
        <w:spacing w:before="480"/>
        <w:jc w:val="center"/>
        <w:rPr>
          <w:caps/>
          <w:sz w:val="28"/>
          <w:szCs w:val="28"/>
          <w:lang w:val="en-GB"/>
        </w:rPr>
      </w:pPr>
      <w:r w:rsidRPr="6D6A5C68">
        <w:rPr>
          <w:caps/>
          <w:sz w:val="28"/>
          <w:szCs w:val="28"/>
          <w:lang w:val="en-GB"/>
        </w:rPr>
        <w:t>DRAFT NEW RESOLUTION [...]</w:t>
      </w:r>
    </w:p>
    <w:p w14:paraId="2A566709" w14:textId="5D5E2C0F" w:rsidR="00A64A6B" w:rsidRPr="00A64A6B" w:rsidRDefault="00A64A6B" w:rsidP="00050D01">
      <w:pPr>
        <w:pStyle w:val="Annextitle"/>
        <w:rPr>
          <w:b w:val="0"/>
          <w:szCs w:val="28"/>
          <w:lang w:val="en-GB"/>
        </w:rPr>
      </w:pPr>
      <w:r w:rsidRPr="6D6A5C68">
        <w:rPr>
          <w:lang w:val="en-GB"/>
        </w:rPr>
        <w:t>Allocations of savings achieved in 2025 budget implementation</w:t>
      </w:r>
    </w:p>
    <w:p w14:paraId="4FBB872B" w14:textId="06034EEF" w:rsidR="00A64A6B" w:rsidRPr="00A64A6B" w:rsidRDefault="00A64A6B" w:rsidP="00050D01">
      <w:pPr>
        <w:pStyle w:val="Normalaftertitle"/>
        <w:rPr>
          <w:lang w:val="en-GB"/>
        </w:rPr>
      </w:pPr>
      <w:r w:rsidRPr="00A64A6B">
        <w:rPr>
          <w:lang w:val="en-GB"/>
        </w:rPr>
        <w:t>The ITU Council,</w:t>
      </w:r>
    </w:p>
    <w:p w14:paraId="683D52F0" w14:textId="23D07BAE" w:rsidR="00A64A6B" w:rsidRPr="00A64A6B" w:rsidRDefault="00A64A6B" w:rsidP="00162AFD">
      <w:pPr>
        <w:pStyle w:val="Call"/>
        <w:rPr>
          <w:lang w:val="en-GB"/>
        </w:rPr>
      </w:pPr>
      <w:r w:rsidRPr="00A64A6B">
        <w:rPr>
          <w:lang w:val="en-GB"/>
        </w:rPr>
        <w:t>having considered</w:t>
      </w:r>
    </w:p>
    <w:p w14:paraId="13A3A49F" w14:textId="3D28F12B" w:rsidR="00A64A6B" w:rsidRPr="00A64A6B" w:rsidRDefault="00A64A6B" w:rsidP="00A64A6B">
      <w:pPr>
        <w:jc w:val="both"/>
        <w:rPr>
          <w:rFonts w:cs="Calibri"/>
          <w:lang w:val="en-GB"/>
        </w:rPr>
      </w:pPr>
      <w:r w:rsidRPr="00A64A6B">
        <w:rPr>
          <w:rFonts w:cs="Calibri"/>
          <w:i/>
          <w:iCs/>
          <w:lang w:val="en-GB"/>
        </w:rPr>
        <w:t>a)</w:t>
      </w:r>
      <w:r w:rsidRPr="00162AFD">
        <w:rPr>
          <w:lang w:val="en-GB"/>
        </w:rPr>
        <w:tab/>
      </w:r>
      <w:r w:rsidRPr="00A64A6B">
        <w:rPr>
          <w:rFonts w:cs="Calibri"/>
          <w:lang w:val="en-GB"/>
        </w:rPr>
        <w:t>the savings achieved in the implementation of the 2025 budget that amount to CHF 11.44 million;</w:t>
      </w:r>
    </w:p>
    <w:p w14:paraId="07EF1CAA" w14:textId="77777777" w:rsidR="00A64A6B" w:rsidRPr="00A64A6B" w:rsidRDefault="00A64A6B" w:rsidP="00A64A6B">
      <w:pPr>
        <w:jc w:val="both"/>
        <w:rPr>
          <w:rFonts w:cs="Calibri"/>
          <w:lang w:val="en-GB"/>
        </w:rPr>
      </w:pPr>
      <w:r w:rsidRPr="6D6A5C68">
        <w:rPr>
          <w:rFonts w:cs="Calibri"/>
          <w:i/>
          <w:lang w:val="en-GB"/>
        </w:rPr>
        <w:t>b)</w:t>
      </w:r>
      <w:r w:rsidRPr="00162AFD">
        <w:rPr>
          <w:lang w:val="en-GB"/>
        </w:rPr>
        <w:tab/>
      </w:r>
      <w:r w:rsidRPr="6D6A5C68">
        <w:rPr>
          <w:rFonts w:cs="Calibri"/>
          <w:lang w:val="en-GB"/>
        </w:rPr>
        <w:t xml:space="preserve">Document </w:t>
      </w:r>
      <w:hyperlink r:id="rId152" w:history="1">
        <w:r w:rsidRPr="6D6A5C68">
          <w:rPr>
            <w:rFonts w:cs="Calibri"/>
            <w:color w:val="4F81BD" w:themeColor="accent1"/>
            <w:u w:val="single"/>
            <w:lang w:val="en-GB"/>
          </w:rPr>
          <w:t>C26/42(Rev.2)</w:t>
        </w:r>
      </w:hyperlink>
      <w:r w:rsidRPr="6D6A5C68">
        <w:rPr>
          <w:rFonts w:cs="Calibri"/>
          <w:lang w:val="en-GB"/>
        </w:rPr>
        <w:t>,</w:t>
      </w:r>
    </w:p>
    <w:p w14:paraId="7B2B625F" w14:textId="44A62207" w:rsidR="00A64A6B" w:rsidRPr="00A64A6B" w:rsidRDefault="00A64A6B" w:rsidP="00162AFD">
      <w:pPr>
        <w:pStyle w:val="Call"/>
        <w:rPr>
          <w:lang w:val="en-GB"/>
        </w:rPr>
      </w:pPr>
      <w:r w:rsidRPr="00A64A6B">
        <w:rPr>
          <w:lang w:val="en-GB"/>
        </w:rPr>
        <w:t>resolves</w:t>
      </w:r>
    </w:p>
    <w:p w14:paraId="4A69D4B1" w14:textId="7F6703B4" w:rsidR="00A64A6B" w:rsidRPr="00A64A6B" w:rsidRDefault="00A64A6B" w:rsidP="00A64A6B">
      <w:pPr>
        <w:rPr>
          <w:rFonts w:eastAsiaTheme="minorEastAsia"/>
          <w:lang w:val="en-US" w:eastAsia="zh-CN"/>
        </w:rPr>
      </w:pPr>
      <w:r w:rsidRPr="00A64A6B">
        <w:rPr>
          <w:lang w:val="en-GB" w:eastAsia="en-GB"/>
        </w:rPr>
        <w:t>1</w:t>
      </w:r>
      <w:r w:rsidRPr="00162AFD">
        <w:rPr>
          <w:lang w:val="en-GB"/>
        </w:rPr>
        <w:tab/>
      </w:r>
      <w:r w:rsidRPr="00A64A6B">
        <w:rPr>
          <w:lang w:val="en-GB" w:eastAsia="en-GB"/>
        </w:rPr>
        <w:t>to allocate the savings as follows:</w:t>
      </w:r>
    </w:p>
    <w:p w14:paraId="59115FA5" w14:textId="2FDB63EA" w:rsidR="00A64A6B" w:rsidRPr="00A64A6B" w:rsidRDefault="00A64A6B" w:rsidP="00A64A6B">
      <w:pPr>
        <w:spacing w:before="80"/>
        <w:ind w:left="567" w:hanging="567"/>
        <w:jc w:val="both"/>
        <w:rPr>
          <w:rFonts w:cs="Calibri"/>
          <w:lang w:val="en-GB" w:eastAsia="en-GB"/>
        </w:rPr>
      </w:pPr>
      <w:r w:rsidRPr="00A64A6B">
        <w:rPr>
          <w:rFonts w:eastAsiaTheme="minorEastAsia"/>
          <w:lang w:val="en-US" w:eastAsia="zh-CN"/>
        </w:rPr>
        <w:t>–</w:t>
      </w:r>
      <w:r w:rsidRPr="00162AFD">
        <w:rPr>
          <w:rFonts w:eastAsiaTheme="minorEastAsia"/>
          <w:lang w:val="en-GB"/>
        </w:rPr>
        <w:tab/>
      </w:r>
      <w:r w:rsidRPr="00A64A6B">
        <w:rPr>
          <w:rFonts w:eastAsiaTheme="minorEastAsia"/>
          <w:lang w:val="en-US" w:eastAsia="zh-CN"/>
        </w:rPr>
        <w:t xml:space="preserve">funding of previously approved initiative by the Council, the </w:t>
      </w:r>
      <w:r w:rsidRPr="00A64A6B">
        <w:rPr>
          <w:rFonts w:cs="Calibri"/>
          <w:lang w:val="en-GB" w:eastAsia="en-GB"/>
        </w:rPr>
        <w:t>Young Professional Programme (CHF 1.2 million); and</w:t>
      </w:r>
    </w:p>
    <w:p w14:paraId="0A8F1283" w14:textId="519C4422" w:rsidR="00A64A6B" w:rsidRPr="00A64A6B" w:rsidRDefault="00A64A6B" w:rsidP="00A64A6B">
      <w:pPr>
        <w:spacing w:before="80"/>
        <w:ind w:left="567" w:hanging="567"/>
        <w:jc w:val="both"/>
        <w:rPr>
          <w:lang w:val="en-GB" w:eastAsia="en-GB"/>
        </w:rPr>
      </w:pPr>
      <w:r w:rsidRPr="00A64A6B">
        <w:rPr>
          <w:lang w:val="en-GB" w:eastAsia="en-GB"/>
        </w:rPr>
        <w:t>–</w:t>
      </w:r>
      <w:r w:rsidRPr="00162AFD">
        <w:rPr>
          <w:lang w:val="en-GB"/>
        </w:rPr>
        <w:tab/>
      </w:r>
      <w:r w:rsidRPr="00A64A6B">
        <w:rPr>
          <w:rFonts w:eastAsiaTheme="minorEastAsia"/>
          <w:lang w:val="en-US" w:eastAsia="zh-CN"/>
        </w:rPr>
        <w:t>other proposed allocations:</w:t>
      </w:r>
      <w:r w:rsidRPr="00A64A6B">
        <w:rPr>
          <w:lang w:val="en-GB" w:eastAsia="en-GB"/>
        </w:rPr>
        <w:t xml:space="preserve"> </w:t>
      </w:r>
    </w:p>
    <w:p w14:paraId="2DC5EFB3" w14:textId="28AD13FB"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agreed separations (CHF 2.5 million); </w:t>
      </w:r>
    </w:p>
    <w:p w14:paraId="1D898424" w14:textId="01B6CD94"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address the backlog in SNF (CHF 1 million); </w:t>
      </w:r>
    </w:p>
    <w:p w14:paraId="3F9F11F3" w14:textId="2635FFD1"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SNF core systems and modernization capacity (CHF 1.3 million); </w:t>
      </w:r>
    </w:p>
    <w:p w14:paraId="54806BF2" w14:textId="2E669BCA"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corporate systems modernization (CHF 1.44 million); </w:t>
      </w:r>
    </w:p>
    <w:p w14:paraId="5DBA067E" w14:textId="3F5E88C1"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business continuity measures (CHF 1.5 million); </w:t>
      </w:r>
    </w:p>
    <w:p w14:paraId="4497F8F9" w14:textId="3EDE52A6"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eastAsia="en-GB"/>
        </w:rPr>
        <w:t xml:space="preserve">regional initiatives (CHF 1.3 million); </w:t>
      </w:r>
    </w:p>
    <w:p w14:paraId="15374333" w14:textId="2A978118"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lang w:val="en-GB"/>
        </w:rPr>
        <w:t>18 consultants (SSA) and short-term project staff for AI for Good</w:t>
      </w:r>
      <w:r w:rsidRPr="00A64A6B" w:rsidDel="003C29D7">
        <w:rPr>
          <w:lang w:val="en-GB" w:eastAsia="en-GB"/>
        </w:rPr>
        <w:t xml:space="preserve"> </w:t>
      </w:r>
      <w:r w:rsidRPr="00A64A6B">
        <w:rPr>
          <w:lang w:val="en-GB" w:eastAsia="en-GB"/>
        </w:rPr>
        <w:t xml:space="preserve">in 2026-2027(CHF 1.0 million); </w:t>
      </w:r>
    </w:p>
    <w:p w14:paraId="0419ADBC" w14:textId="159C1D93" w:rsidR="00A64A6B" w:rsidRPr="00A64A6B" w:rsidRDefault="00A64A6B" w:rsidP="00A64A6B">
      <w:pPr>
        <w:spacing w:before="80"/>
        <w:ind w:left="1134" w:hanging="567"/>
        <w:rPr>
          <w:rFonts w:eastAsiaTheme="minorEastAsia"/>
          <w:lang w:val="en-US" w:eastAsia="zh-CN"/>
        </w:rPr>
      </w:pPr>
      <w:r w:rsidRPr="00A64A6B">
        <w:rPr>
          <w:lang w:val="en-GB" w:eastAsia="en-GB"/>
        </w:rPr>
        <w:t>•</w:t>
      </w:r>
      <w:r w:rsidRPr="00162AFD">
        <w:rPr>
          <w:lang w:val="en-GB"/>
        </w:rPr>
        <w:tab/>
      </w:r>
      <w:r w:rsidRPr="00A64A6B">
        <w:rPr>
          <w:rFonts w:asciiTheme="minorHAnsi" w:eastAsiaTheme="minorEastAsia" w:hAnsiTheme="minorHAnsi" w:cstheme="minorBidi"/>
          <w:lang w:val="en-US" w:eastAsia="zh-CN"/>
        </w:rPr>
        <w:t>and transfer to ITU reserve account (CHF 0.20 million)</w:t>
      </w:r>
      <w:r w:rsidRPr="00A64A6B">
        <w:rPr>
          <w:lang w:val="en-GB" w:eastAsia="en-GB"/>
        </w:rPr>
        <w:t>;</w:t>
      </w:r>
    </w:p>
    <w:p w14:paraId="682AAD3B" w14:textId="272F891A" w:rsidR="00A64A6B" w:rsidRPr="00A64A6B" w:rsidRDefault="00A64A6B" w:rsidP="00A64A6B">
      <w:pPr>
        <w:spacing w:before="80"/>
        <w:ind w:left="567" w:hanging="567"/>
        <w:jc w:val="both"/>
        <w:rPr>
          <w:rFonts w:eastAsiaTheme="minorEastAsia"/>
          <w:lang w:val="en-US" w:eastAsia="zh-CN"/>
        </w:rPr>
      </w:pPr>
      <w:r w:rsidRPr="00A64A6B">
        <w:rPr>
          <w:rFonts w:asciiTheme="minorHAnsi" w:eastAsiaTheme="minorEastAsia" w:hAnsiTheme="minorHAnsi" w:cstheme="minorBidi"/>
          <w:lang w:val="en-US" w:eastAsia="zh-CN"/>
        </w:rPr>
        <w:t>2</w:t>
      </w:r>
      <w:r w:rsidRPr="00162AFD">
        <w:rPr>
          <w:rFonts w:eastAsiaTheme="minorEastAsia"/>
          <w:lang w:val="en-GB"/>
        </w:rPr>
        <w:tab/>
      </w:r>
      <w:r w:rsidRPr="00A64A6B">
        <w:rPr>
          <w:rFonts w:asciiTheme="minorHAnsi" w:eastAsiaTheme="minorEastAsia" w:hAnsiTheme="minorHAnsi" w:cstheme="minorBidi"/>
          <w:lang w:val="en-US" w:eastAsia="zh-CN"/>
        </w:rPr>
        <w:t xml:space="preserve">to transfer to </w:t>
      </w:r>
      <w:r w:rsidRPr="00A64A6B">
        <w:rPr>
          <w:lang w:val="en-GB" w:eastAsia="en-GB"/>
        </w:rPr>
        <w:t>ITU reserve account any funding not expensed by the end of 2029, except for SNF core systems and modernization capacity and business continuity,</w:t>
      </w:r>
    </w:p>
    <w:p w14:paraId="4844A984" w14:textId="400A3AEA" w:rsidR="00A64A6B" w:rsidRPr="00A64A6B" w:rsidRDefault="00A64A6B" w:rsidP="00162AFD">
      <w:pPr>
        <w:pStyle w:val="Call"/>
        <w:rPr>
          <w:lang w:val="en-GB"/>
        </w:rPr>
      </w:pPr>
      <w:r w:rsidRPr="00A64A6B">
        <w:rPr>
          <w:lang w:val="en-GB"/>
        </w:rPr>
        <w:t>instructs the Secretary General</w:t>
      </w:r>
    </w:p>
    <w:p w14:paraId="0D281B2D" w14:textId="23AAF1B8" w:rsidR="00A64A6B" w:rsidRPr="00A64A6B" w:rsidRDefault="00A64A6B" w:rsidP="00A64A6B">
      <w:pPr>
        <w:jc w:val="both"/>
        <w:rPr>
          <w:lang w:val="en-US" w:eastAsia="zh-CN"/>
        </w:rPr>
      </w:pPr>
      <w:r w:rsidRPr="00A64A6B">
        <w:rPr>
          <w:lang w:val="en-US" w:eastAsia="zh-CN"/>
        </w:rPr>
        <w:t>1</w:t>
      </w:r>
      <w:r w:rsidRPr="00162AFD">
        <w:rPr>
          <w:lang w:val="en-GB"/>
        </w:rPr>
        <w:tab/>
      </w:r>
      <w:r w:rsidRPr="00A64A6B">
        <w:rPr>
          <w:lang w:val="en-US" w:eastAsia="zh-CN"/>
        </w:rPr>
        <w:t xml:space="preserve">to provide a report to the 2026 Plenipotentiary Conference detailing the financial and operational outlook for AI for Good and related externally funded initiatives (e.g. </w:t>
      </w:r>
      <w:r w:rsidRPr="00A64A6B">
        <w:rPr>
          <w:rFonts w:ascii="Aptos" w:eastAsia="Aptos" w:hAnsi="Aptos" w:cs="Aptos"/>
          <w:sz w:val="22"/>
          <w:szCs w:val="22"/>
          <w:lang w:val="en-GB"/>
        </w:rPr>
        <w:t xml:space="preserve">Machine Learning Challenges, AI </w:t>
      </w:r>
      <w:r w:rsidRPr="00A64A6B">
        <w:rPr>
          <w:rFonts w:ascii="Aptos" w:eastAsia="Aptos" w:hAnsi="Aptos" w:cs="Aptos"/>
          <w:bCs/>
          <w:sz w:val="22"/>
          <w:szCs w:val="22"/>
          <w:lang w:val="en-GB"/>
        </w:rPr>
        <w:t>Skills</w:t>
      </w:r>
      <w:r w:rsidRPr="00A64A6B">
        <w:rPr>
          <w:rFonts w:ascii="Aptos" w:eastAsia="Aptos" w:hAnsi="Aptos" w:cs="Aptos"/>
          <w:sz w:val="22"/>
          <w:szCs w:val="22"/>
          <w:lang w:val="en-GB"/>
        </w:rPr>
        <w:t xml:space="preserve"> Coalition, and AI Startup pitching completions)</w:t>
      </w:r>
      <w:r w:rsidRPr="00A64A6B">
        <w:rPr>
          <w:lang w:val="en-US" w:eastAsia="zh-CN"/>
        </w:rPr>
        <w:t>, including all in-kind, extrabudgetary and voluntary contributions, with recommendations on how this platform can be sustained;</w:t>
      </w:r>
    </w:p>
    <w:p w14:paraId="56A7483E" w14:textId="03EFA7EE" w:rsidR="00A64A6B" w:rsidRPr="00A64A6B" w:rsidRDefault="00A64A6B" w:rsidP="00A64A6B">
      <w:pPr>
        <w:jc w:val="both"/>
        <w:rPr>
          <w:lang w:val="en-US" w:eastAsia="zh-CN"/>
        </w:rPr>
      </w:pPr>
      <w:r w:rsidRPr="00A64A6B">
        <w:rPr>
          <w:lang w:val="en-US" w:eastAsia="zh-CN"/>
        </w:rPr>
        <w:t>2</w:t>
      </w:r>
      <w:r w:rsidRPr="00162AFD">
        <w:rPr>
          <w:lang w:val="en-GB"/>
        </w:rPr>
        <w:tab/>
      </w:r>
      <w:r w:rsidRPr="00A64A6B">
        <w:rPr>
          <w:lang w:val="en-US" w:eastAsia="zh-CN"/>
        </w:rPr>
        <w:t>to report to Council regarding implementation of the budget savings including efficiencies gained and ROI analyses/added value descriptions for investments made through these budget allocations;</w:t>
      </w:r>
    </w:p>
    <w:p w14:paraId="36370F1C" w14:textId="3467660A" w:rsidR="00C70E3A" w:rsidRDefault="00A64A6B" w:rsidP="00050D01">
      <w:pPr>
        <w:tabs>
          <w:tab w:val="clear" w:pos="1134"/>
          <w:tab w:val="clear" w:pos="1701"/>
          <w:tab w:val="clear" w:pos="2268"/>
          <w:tab w:val="clear" w:pos="2835"/>
        </w:tabs>
        <w:overflowPunct/>
        <w:autoSpaceDE/>
        <w:autoSpaceDN/>
        <w:adjustRightInd/>
        <w:jc w:val="both"/>
        <w:textAlignment w:val="auto"/>
        <w:rPr>
          <w:rFonts w:eastAsia="Calibri"/>
          <w:lang w:val="en-GB"/>
        </w:rPr>
      </w:pPr>
      <w:r w:rsidRPr="00A64A6B">
        <w:rPr>
          <w:lang w:val="en-US" w:eastAsia="zh-CN"/>
        </w:rPr>
        <w:t>3</w:t>
      </w:r>
      <w:r w:rsidRPr="00162AFD">
        <w:rPr>
          <w:lang w:val="en-GB"/>
        </w:rPr>
        <w:tab/>
      </w:r>
      <w:r w:rsidRPr="00A64A6B">
        <w:rPr>
          <w:lang w:val="en-US" w:eastAsia="zh-CN"/>
        </w:rPr>
        <w:t xml:space="preserve">to report to Council regarding implementation of the new agreed separation </w:t>
      </w:r>
      <w:proofErr w:type="spellStart"/>
      <w:r w:rsidRPr="00A64A6B">
        <w:rPr>
          <w:lang w:val="en-US" w:eastAsia="zh-CN"/>
        </w:rPr>
        <w:t>programme</w:t>
      </w:r>
      <w:proofErr w:type="spellEnd"/>
      <w:r w:rsidRPr="00A64A6B">
        <w:rPr>
          <w:lang w:val="en-US" w:eastAsia="zh-CN"/>
        </w:rPr>
        <w:t>, the reorganization plan of the General Secretariat and the three Bureaux, if any, specifying the number, departments and grade of staff that voluntarily depart under it.</w:t>
      </w:r>
      <w:r w:rsidR="00C70E3A">
        <w:rPr>
          <w:rFonts w:eastAsia="Calibri"/>
          <w:lang w:val="en-GB"/>
        </w:rPr>
        <w:br w:type="page"/>
      </w:r>
    </w:p>
    <w:p w14:paraId="2A432953" w14:textId="38BEB4E8" w:rsidR="003E4B3F" w:rsidRDefault="00F57B94" w:rsidP="003E4B3F">
      <w:pPr>
        <w:pStyle w:val="AnnexNo"/>
        <w:rPr>
          <w:rFonts w:eastAsia="Calibri"/>
          <w:lang w:val="en-GB"/>
        </w:rPr>
      </w:pPr>
      <w:bookmarkStart w:id="15" w:name="Annex_E"/>
      <w:r>
        <w:rPr>
          <w:rFonts w:eastAsia="Calibri"/>
          <w:lang w:val="en-GB"/>
        </w:rPr>
        <w:t xml:space="preserve">Annex </w:t>
      </w:r>
      <w:r w:rsidR="00C70E3A">
        <w:rPr>
          <w:rFonts w:eastAsia="Calibri"/>
          <w:lang w:val="en-GB"/>
        </w:rPr>
        <w:t>E</w:t>
      </w:r>
      <w:bookmarkEnd w:id="15"/>
    </w:p>
    <w:p w14:paraId="24BE8175" w14:textId="06C44A5E" w:rsidR="00DE6FC3" w:rsidRPr="00DE6FC3" w:rsidRDefault="00DE6FC3" w:rsidP="00162AFD">
      <w:pPr>
        <w:pStyle w:val="AnnexNo"/>
        <w:rPr>
          <w:lang w:val="en-GB"/>
        </w:rPr>
      </w:pPr>
      <w:r w:rsidRPr="00DE6FC3">
        <w:rPr>
          <w:lang w:val="en-GB"/>
        </w:rPr>
        <w:t xml:space="preserve">DRAFT </w:t>
      </w:r>
      <w:r w:rsidR="009662DE">
        <w:rPr>
          <w:lang w:val="en-GB"/>
        </w:rPr>
        <w:t xml:space="preserve">NEW </w:t>
      </w:r>
      <w:r w:rsidRPr="00DE6FC3">
        <w:rPr>
          <w:lang w:val="en-GB"/>
        </w:rPr>
        <w:t>RESOLUTION […]</w:t>
      </w:r>
    </w:p>
    <w:p w14:paraId="3B792EC9" w14:textId="77777777" w:rsidR="00DE6FC3" w:rsidRPr="00DE6FC3" w:rsidRDefault="00DE6FC3" w:rsidP="00162AFD">
      <w:pPr>
        <w:pStyle w:val="Annextitle"/>
        <w:rPr>
          <w:lang w:val="en-GB"/>
        </w:rPr>
      </w:pPr>
      <w:r w:rsidRPr="00DE6FC3">
        <w:rPr>
          <w:lang w:val="en-GB"/>
        </w:rPr>
        <w:t>Conditions of service of ITU elected officials</w:t>
      </w:r>
    </w:p>
    <w:p w14:paraId="3304A139" w14:textId="77777777" w:rsidR="00DE6FC3" w:rsidRPr="00DE6FC3" w:rsidRDefault="00DE6FC3" w:rsidP="00162AFD">
      <w:pPr>
        <w:pStyle w:val="Normalaftertitle"/>
        <w:rPr>
          <w:lang w:val="en-GB"/>
        </w:rPr>
      </w:pPr>
      <w:r w:rsidRPr="00DE6FC3">
        <w:rPr>
          <w:lang w:val="en-GB"/>
        </w:rPr>
        <w:t>The ITU Council,</w:t>
      </w:r>
    </w:p>
    <w:p w14:paraId="53A9D721" w14:textId="77777777" w:rsidR="00DE6FC3" w:rsidRPr="00DE6FC3" w:rsidRDefault="00DE6FC3" w:rsidP="00162AFD">
      <w:pPr>
        <w:pStyle w:val="Call"/>
        <w:rPr>
          <w:lang w:val="en-GB"/>
        </w:rPr>
      </w:pPr>
      <w:r w:rsidRPr="00DE6FC3">
        <w:rPr>
          <w:lang w:val="en-GB"/>
        </w:rPr>
        <w:t>recalling</w:t>
      </w:r>
    </w:p>
    <w:p w14:paraId="35AEFB82" w14:textId="77777777" w:rsidR="00DE6FC3" w:rsidRPr="00DE6FC3" w:rsidRDefault="00DE6FC3" w:rsidP="00DE6FC3">
      <w:pPr>
        <w:jc w:val="both"/>
        <w:rPr>
          <w:lang w:val="en-GB"/>
        </w:rPr>
      </w:pPr>
      <w:r w:rsidRPr="00DE6FC3">
        <w:rPr>
          <w:lang w:val="en-GB"/>
        </w:rPr>
        <w:t>Resolution 46 (Kyoto, 1994) of the Plenipotentiary Conference,</w:t>
      </w:r>
    </w:p>
    <w:p w14:paraId="14F380FF" w14:textId="77777777" w:rsidR="00DE6FC3" w:rsidRPr="00DE6FC3" w:rsidRDefault="00DE6FC3" w:rsidP="00162AFD">
      <w:pPr>
        <w:pStyle w:val="Call"/>
        <w:rPr>
          <w:lang w:val="en-GB"/>
        </w:rPr>
      </w:pPr>
      <w:r w:rsidRPr="00DE6FC3">
        <w:rPr>
          <w:lang w:val="en-GB"/>
        </w:rPr>
        <w:t>having considered</w:t>
      </w:r>
    </w:p>
    <w:p w14:paraId="5CA87726" w14:textId="77777777" w:rsidR="00DE6FC3" w:rsidRPr="00DE6FC3" w:rsidRDefault="00DE6FC3" w:rsidP="00DE6FC3">
      <w:pPr>
        <w:jc w:val="both"/>
        <w:rPr>
          <w:lang w:val="en-GB"/>
        </w:rPr>
      </w:pPr>
      <w:r w:rsidRPr="00DE6FC3">
        <w:rPr>
          <w:lang w:val="en-GB"/>
        </w:rPr>
        <w:t xml:space="preserve">the report by the Secretary-General on the measures taken within the United Nations common system as a result </w:t>
      </w:r>
      <w:r w:rsidRPr="00DE6FC3">
        <w:rPr>
          <w:color w:val="000000" w:themeColor="text1"/>
          <w:lang w:val="en-GB"/>
        </w:rPr>
        <w:t xml:space="preserve">of Resolution </w:t>
      </w:r>
      <w:r w:rsidRPr="00DE6FC3">
        <w:rPr>
          <w:color w:val="000000" w:themeColor="text1"/>
          <w:lang w:val="en-GB" w:eastAsia="zh-CN"/>
        </w:rPr>
        <w:t>80</w:t>
      </w:r>
      <w:r w:rsidRPr="00DE6FC3">
        <w:rPr>
          <w:color w:val="000000" w:themeColor="text1"/>
          <w:lang w:val="en-GB"/>
        </w:rPr>
        <w:t>/2</w:t>
      </w:r>
      <w:r w:rsidRPr="00DE6FC3">
        <w:rPr>
          <w:color w:val="000000" w:themeColor="text1"/>
          <w:lang w:val="en-GB" w:eastAsia="zh-CN"/>
        </w:rPr>
        <w:t>36</w:t>
      </w:r>
      <w:r w:rsidRPr="00DE6FC3">
        <w:rPr>
          <w:color w:val="000000" w:themeColor="text1"/>
          <w:lang w:val="en-GB"/>
        </w:rPr>
        <w:t xml:space="preserve"> of the United Nations </w:t>
      </w:r>
      <w:r w:rsidRPr="00DE6FC3">
        <w:rPr>
          <w:lang w:val="en-GB"/>
        </w:rPr>
        <w:t>General Assembly with regard to conditions of service,</w:t>
      </w:r>
    </w:p>
    <w:p w14:paraId="45EFD5B4" w14:textId="77777777" w:rsidR="00DE6FC3" w:rsidRPr="00DE6FC3" w:rsidRDefault="00DE6FC3" w:rsidP="00162AFD">
      <w:pPr>
        <w:pStyle w:val="Call"/>
        <w:rPr>
          <w:lang w:val="en-GB"/>
        </w:rPr>
      </w:pPr>
      <w:r w:rsidRPr="00DE6FC3">
        <w:rPr>
          <w:lang w:val="en-GB"/>
        </w:rPr>
        <w:t>resolves</w:t>
      </w:r>
    </w:p>
    <w:p w14:paraId="1CE63F9F" w14:textId="77777777" w:rsidR="00DE6FC3" w:rsidRPr="00DE6FC3" w:rsidRDefault="00DE6FC3" w:rsidP="00DE6FC3">
      <w:pPr>
        <w:jc w:val="both"/>
        <w:rPr>
          <w:lang w:val="en-GB"/>
        </w:rPr>
      </w:pPr>
      <w:r w:rsidRPr="00DE6FC3">
        <w:rPr>
          <w:lang w:val="en-GB"/>
        </w:rPr>
        <w:t xml:space="preserve">to approve the following salaries with </w:t>
      </w:r>
      <w:r w:rsidRPr="00DE6FC3">
        <w:rPr>
          <w:color w:val="000000" w:themeColor="text1"/>
          <w:lang w:val="en-GB"/>
        </w:rPr>
        <w:t xml:space="preserve">effect from 1 January 2026 and pensionable </w:t>
      </w:r>
      <w:r w:rsidRPr="00DE6FC3">
        <w:rPr>
          <w:lang w:val="en-GB"/>
        </w:rPr>
        <w:t xml:space="preserve">remuneration with effect </w:t>
      </w:r>
      <w:r w:rsidRPr="00DE6FC3">
        <w:rPr>
          <w:color w:val="000000" w:themeColor="text1"/>
          <w:lang w:val="en-GB"/>
        </w:rPr>
        <w:t xml:space="preserve">from 1 February 2026 for ITU </w:t>
      </w:r>
      <w:r w:rsidRPr="00DE6FC3">
        <w:rPr>
          <w:lang w:val="en-GB"/>
        </w:rPr>
        <w:t>elected officials:</w:t>
      </w:r>
    </w:p>
    <w:p w14:paraId="48237973" w14:textId="77777777" w:rsidR="00DE6FC3" w:rsidRPr="00DE6FC3" w:rsidRDefault="00DE6FC3" w:rsidP="00DE6FC3">
      <w:pPr>
        <w:tabs>
          <w:tab w:val="clear" w:pos="567"/>
          <w:tab w:val="clear" w:pos="1134"/>
          <w:tab w:val="clear" w:pos="1701"/>
          <w:tab w:val="clear" w:pos="2268"/>
          <w:tab w:val="clear" w:pos="2835"/>
        </w:tabs>
        <w:spacing w:before="0"/>
        <w:rPr>
          <w:rFonts w:eastAsiaTheme="minorEastAsia"/>
          <w:sz w:val="22"/>
          <w:lang w:val="en-GB"/>
        </w:rPr>
      </w:pP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DE6FC3" w:rsidRPr="00DE6FC3" w14:paraId="73A88FF3" w14:textId="77777777">
        <w:tc>
          <w:tcPr>
            <w:tcW w:w="2674" w:type="dxa"/>
            <w:tcBorders>
              <w:top w:val="nil"/>
              <w:left w:val="nil"/>
              <w:bottom w:val="nil"/>
              <w:right w:val="single" w:sz="4" w:space="0" w:color="auto"/>
            </w:tcBorders>
          </w:tcPr>
          <w:p w14:paraId="13F6FD95" w14:textId="77777777" w:rsidR="00DE6FC3" w:rsidRPr="00DE6FC3" w:rsidRDefault="00DE6FC3" w:rsidP="00DE6FC3">
            <w:pPr>
              <w:tabs>
                <w:tab w:val="clear" w:pos="567"/>
                <w:tab w:val="clear" w:pos="1134"/>
                <w:tab w:val="clear" w:pos="1701"/>
                <w:tab w:val="clear" w:pos="2268"/>
                <w:tab w:val="clear" w:pos="2835"/>
              </w:tabs>
              <w:spacing w:after="120"/>
              <w:jc w:val="center"/>
              <w:rPr>
                <w:rFonts w:eastAsia="Times New Roman" w:cs="Times New Roman"/>
                <w:b/>
                <w:sz w:val="22"/>
                <w:szCs w:val="20"/>
                <w:lang w:val="en-GB" w:eastAsia="zh-CN"/>
              </w:rPr>
            </w:pPr>
          </w:p>
        </w:tc>
        <w:tc>
          <w:tcPr>
            <w:tcW w:w="6387" w:type="dxa"/>
            <w:gridSpan w:val="3"/>
            <w:tcBorders>
              <w:left w:val="single" w:sz="4" w:space="0" w:color="auto"/>
            </w:tcBorders>
            <w:hideMark/>
          </w:tcPr>
          <w:p w14:paraId="056AF794" w14:textId="77777777" w:rsidR="00DE6FC3" w:rsidRPr="00DE6FC3" w:rsidRDefault="00DE6FC3" w:rsidP="00DE6FC3">
            <w:pPr>
              <w:tabs>
                <w:tab w:val="clear" w:pos="567"/>
                <w:tab w:val="clear" w:pos="1134"/>
                <w:tab w:val="clear" w:pos="1701"/>
                <w:tab w:val="clear" w:pos="2268"/>
                <w:tab w:val="clear" w:pos="2835"/>
              </w:tabs>
              <w:spacing w:after="120"/>
              <w:jc w:val="center"/>
              <w:rPr>
                <w:rFonts w:asciiTheme="minorHAnsi" w:eastAsia="Times New Roman" w:hAnsiTheme="minorHAnsi" w:cs="Times New Roman"/>
                <w:b/>
                <w:sz w:val="22"/>
                <w:szCs w:val="20"/>
                <w:lang w:val="en-GB" w:eastAsia="zh-CN"/>
              </w:rPr>
            </w:pPr>
            <w:r w:rsidRPr="00DE6FC3">
              <w:rPr>
                <w:rFonts w:asciiTheme="minorHAnsi" w:eastAsia="Times New Roman" w:hAnsiTheme="minorHAnsi" w:cs="Times New Roman"/>
                <w:b/>
                <w:sz w:val="22"/>
                <w:szCs w:val="20"/>
                <w:lang w:val="en-GB" w:eastAsia="zh-CN"/>
              </w:rPr>
              <w:t>USD per annum</w:t>
            </w:r>
          </w:p>
        </w:tc>
      </w:tr>
      <w:tr w:rsidR="00DE6FC3" w:rsidRPr="00DE6FC3" w14:paraId="586BE627" w14:textId="77777777">
        <w:tc>
          <w:tcPr>
            <w:tcW w:w="2674" w:type="dxa"/>
            <w:tcBorders>
              <w:top w:val="nil"/>
              <w:left w:val="nil"/>
              <w:bottom w:val="single" w:sz="4" w:space="0" w:color="auto"/>
              <w:right w:val="single" w:sz="4" w:space="0" w:color="auto"/>
            </w:tcBorders>
          </w:tcPr>
          <w:p w14:paraId="24A75D68" w14:textId="77777777" w:rsidR="00DE6FC3" w:rsidRPr="00DE6FC3" w:rsidRDefault="00DE6FC3" w:rsidP="00DE6FC3">
            <w:pPr>
              <w:tabs>
                <w:tab w:val="clear" w:pos="567"/>
                <w:tab w:val="clear" w:pos="1134"/>
                <w:tab w:val="clear" w:pos="1701"/>
                <w:tab w:val="clear" w:pos="2268"/>
                <w:tab w:val="clear" w:pos="2835"/>
              </w:tabs>
              <w:spacing w:after="120"/>
              <w:jc w:val="center"/>
              <w:rPr>
                <w:rFonts w:asciiTheme="minorHAnsi" w:eastAsia="Times New Roman" w:hAnsiTheme="minorHAnsi" w:cs="Times New Roman"/>
                <w:b/>
                <w:sz w:val="22"/>
                <w:szCs w:val="20"/>
                <w:lang w:val="en-GB" w:eastAsia="zh-CN"/>
              </w:rPr>
            </w:pPr>
          </w:p>
        </w:tc>
        <w:tc>
          <w:tcPr>
            <w:tcW w:w="2142" w:type="dxa"/>
            <w:tcBorders>
              <w:left w:val="single" w:sz="4" w:space="0" w:color="auto"/>
            </w:tcBorders>
            <w:hideMark/>
          </w:tcPr>
          <w:p w14:paraId="43B729A2" w14:textId="77777777" w:rsidR="00DE6FC3" w:rsidRPr="00DE6FC3" w:rsidRDefault="00DE6FC3" w:rsidP="00DE6FC3">
            <w:pPr>
              <w:tabs>
                <w:tab w:val="clear" w:pos="567"/>
                <w:tab w:val="clear" w:pos="1134"/>
                <w:tab w:val="clear" w:pos="1701"/>
                <w:tab w:val="clear" w:pos="2268"/>
                <w:tab w:val="clear" w:pos="2835"/>
              </w:tabs>
              <w:spacing w:after="120"/>
              <w:jc w:val="center"/>
              <w:rPr>
                <w:rFonts w:asciiTheme="minorHAnsi" w:eastAsia="Times New Roman" w:hAnsiTheme="minorHAnsi" w:cs="Times New Roman"/>
                <w:b/>
                <w:color w:val="000000" w:themeColor="text1"/>
                <w:sz w:val="18"/>
                <w:szCs w:val="18"/>
                <w:lang w:val="en-GB" w:eastAsia="zh-CN"/>
              </w:rPr>
            </w:pPr>
            <w:r w:rsidRPr="00DE6FC3">
              <w:rPr>
                <w:rFonts w:asciiTheme="minorHAnsi" w:eastAsia="Times New Roman" w:hAnsiTheme="minorHAnsi" w:cs="Times New Roman"/>
                <w:b/>
                <w:color w:val="000000" w:themeColor="text1"/>
                <w:sz w:val="22"/>
                <w:szCs w:val="20"/>
                <w:lang w:val="en-GB" w:eastAsia="zh-CN"/>
              </w:rPr>
              <w:t>Gross</w:t>
            </w:r>
            <w:r w:rsidRPr="00DE6FC3">
              <w:rPr>
                <w:rFonts w:asciiTheme="minorHAnsi" w:eastAsia="Times New Roman" w:hAnsiTheme="minorHAnsi" w:cs="Times New Roman"/>
                <w:b/>
                <w:color w:val="000000" w:themeColor="text1"/>
                <w:sz w:val="22"/>
                <w:szCs w:val="20"/>
                <w:lang w:val="en-GB" w:eastAsia="zh-CN"/>
              </w:rPr>
              <w:br/>
            </w:r>
            <w:r w:rsidRPr="00DE6FC3">
              <w:rPr>
                <w:rFonts w:asciiTheme="minorHAnsi" w:eastAsia="Times New Roman" w:hAnsiTheme="minorHAnsi" w:cs="Times New Roman"/>
                <w:b/>
                <w:bCs/>
                <w:color w:val="000000" w:themeColor="text1"/>
                <w:sz w:val="18"/>
                <w:szCs w:val="18"/>
                <w:lang w:val="en-GB" w:eastAsia="zh-CN"/>
              </w:rPr>
              <w:t>(1 January 2026)</w:t>
            </w:r>
          </w:p>
        </w:tc>
        <w:tc>
          <w:tcPr>
            <w:tcW w:w="2106" w:type="dxa"/>
            <w:hideMark/>
          </w:tcPr>
          <w:p w14:paraId="64C5174C" w14:textId="77777777" w:rsidR="00DE6FC3" w:rsidRPr="00DE6FC3" w:rsidRDefault="00DE6FC3" w:rsidP="00DE6FC3">
            <w:pPr>
              <w:tabs>
                <w:tab w:val="clear" w:pos="567"/>
                <w:tab w:val="clear" w:pos="1134"/>
                <w:tab w:val="clear" w:pos="1701"/>
                <w:tab w:val="clear" w:pos="2268"/>
                <w:tab w:val="clear" w:pos="2835"/>
              </w:tabs>
              <w:spacing w:after="120"/>
              <w:jc w:val="center"/>
              <w:rPr>
                <w:rFonts w:asciiTheme="minorHAnsi" w:eastAsia="Times New Roman" w:hAnsiTheme="minorHAnsi" w:cs="Times New Roman"/>
                <w:b/>
                <w:color w:val="000000" w:themeColor="text1"/>
                <w:sz w:val="22"/>
                <w:szCs w:val="20"/>
                <w:lang w:val="en-GB" w:eastAsia="zh-CN"/>
              </w:rPr>
            </w:pPr>
            <w:r w:rsidRPr="00DE6FC3">
              <w:rPr>
                <w:rFonts w:asciiTheme="minorHAnsi" w:eastAsia="Times New Roman" w:hAnsiTheme="minorHAnsi" w:cs="Times New Roman"/>
                <w:b/>
                <w:color w:val="000000" w:themeColor="text1"/>
                <w:sz w:val="22"/>
                <w:szCs w:val="20"/>
                <w:lang w:val="en-GB" w:eastAsia="zh-CN"/>
              </w:rPr>
              <w:t>Net</w:t>
            </w:r>
            <w:r w:rsidRPr="00DE6FC3">
              <w:rPr>
                <w:rFonts w:asciiTheme="minorHAnsi" w:eastAsia="Times New Roman" w:hAnsiTheme="minorHAnsi" w:cs="Times New Roman"/>
                <w:b/>
                <w:color w:val="000000" w:themeColor="text1"/>
                <w:sz w:val="22"/>
                <w:szCs w:val="20"/>
                <w:lang w:val="en-GB" w:eastAsia="zh-CN"/>
              </w:rPr>
              <w:br/>
            </w:r>
            <w:r w:rsidRPr="00DE6FC3">
              <w:rPr>
                <w:rFonts w:asciiTheme="minorHAnsi" w:eastAsia="Times New Roman" w:hAnsiTheme="minorHAnsi" w:cs="Times New Roman"/>
                <w:b/>
                <w:bCs/>
                <w:color w:val="000000" w:themeColor="text1"/>
                <w:sz w:val="18"/>
                <w:szCs w:val="18"/>
                <w:lang w:val="en-GB" w:eastAsia="zh-CN"/>
              </w:rPr>
              <w:t>(1 January 2026)</w:t>
            </w:r>
          </w:p>
        </w:tc>
        <w:tc>
          <w:tcPr>
            <w:tcW w:w="2139" w:type="dxa"/>
            <w:hideMark/>
          </w:tcPr>
          <w:p w14:paraId="781BAA94" w14:textId="77777777" w:rsidR="00DE6FC3" w:rsidRPr="00DE6FC3" w:rsidRDefault="00DE6FC3" w:rsidP="00DE6FC3">
            <w:pPr>
              <w:tabs>
                <w:tab w:val="clear" w:pos="567"/>
                <w:tab w:val="clear" w:pos="1134"/>
                <w:tab w:val="clear" w:pos="1701"/>
                <w:tab w:val="clear" w:pos="2268"/>
                <w:tab w:val="clear" w:pos="2835"/>
              </w:tabs>
              <w:spacing w:after="120"/>
              <w:jc w:val="center"/>
              <w:rPr>
                <w:rFonts w:asciiTheme="minorHAnsi" w:eastAsia="Times New Roman" w:hAnsiTheme="minorHAnsi" w:cs="Times New Roman"/>
                <w:b/>
                <w:color w:val="000000" w:themeColor="text1"/>
                <w:sz w:val="22"/>
                <w:szCs w:val="20"/>
                <w:lang w:val="en-GB" w:eastAsia="zh-CN"/>
              </w:rPr>
            </w:pPr>
            <w:r w:rsidRPr="00DE6FC3">
              <w:rPr>
                <w:rFonts w:asciiTheme="minorHAnsi" w:eastAsia="Times New Roman" w:hAnsiTheme="minorHAnsi" w:cs="Times New Roman"/>
                <w:b/>
                <w:color w:val="000000" w:themeColor="text1"/>
                <w:sz w:val="22"/>
                <w:szCs w:val="20"/>
                <w:lang w:val="en-GB" w:eastAsia="zh-CN"/>
              </w:rPr>
              <w:t>Pensionable remuneration</w:t>
            </w:r>
            <w:r w:rsidRPr="00DE6FC3">
              <w:rPr>
                <w:rFonts w:asciiTheme="minorHAnsi" w:eastAsia="Times New Roman" w:hAnsiTheme="minorHAnsi" w:cs="Times New Roman"/>
                <w:b/>
                <w:color w:val="000000" w:themeColor="text1"/>
                <w:sz w:val="22"/>
                <w:szCs w:val="20"/>
                <w:lang w:val="en-GB" w:eastAsia="zh-CN"/>
              </w:rPr>
              <w:br/>
            </w:r>
            <w:r w:rsidRPr="00DE6FC3">
              <w:rPr>
                <w:rFonts w:asciiTheme="minorHAnsi" w:eastAsia="Times New Roman" w:hAnsiTheme="minorHAnsi" w:cs="Times New Roman"/>
                <w:b/>
                <w:bCs/>
                <w:color w:val="000000" w:themeColor="text1"/>
                <w:sz w:val="18"/>
                <w:szCs w:val="18"/>
                <w:lang w:val="en-GB" w:eastAsia="zh-CN"/>
              </w:rPr>
              <w:t>(1 February 2026)</w:t>
            </w:r>
          </w:p>
        </w:tc>
      </w:tr>
      <w:tr w:rsidR="00DE6FC3" w:rsidRPr="00DE6FC3" w14:paraId="03BF00DC" w14:textId="77777777">
        <w:tc>
          <w:tcPr>
            <w:tcW w:w="2674" w:type="dxa"/>
            <w:tcBorders>
              <w:top w:val="single" w:sz="4" w:space="0" w:color="auto"/>
            </w:tcBorders>
            <w:hideMark/>
          </w:tcPr>
          <w:p w14:paraId="3E693FB5" w14:textId="77777777" w:rsidR="00DE6FC3" w:rsidRPr="00DE6FC3" w:rsidRDefault="00DE6FC3" w:rsidP="00DE6FC3">
            <w:pPr>
              <w:tabs>
                <w:tab w:val="clear" w:pos="567"/>
                <w:tab w:val="clear" w:pos="1134"/>
                <w:tab w:val="clear" w:pos="1701"/>
                <w:tab w:val="clear" w:pos="2268"/>
                <w:tab w:val="clear" w:pos="2835"/>
              </w:tabs>
              <w:spacing w:before="60" w:after="60"/>
              <w:rPr>
                <w:rFonts w:eastAsia="Times New Roman" w:cs="Calibri"/>
                <w:sz w:val="22"/>
                <w:szCs w:val="20"/>
                <w:lang w:val="en-GB"/>
              </w:rPr>
            </w:pPr>
            <w:r w:rsidRPr="00DE6FC3">
              <w:rPr>
                <w:rFonts w:eastAsia="Times New Roman" w:cs="Calibri"/>
                <w:sz w:val="22"/>
                <w:szCs w:val="20"/>
                <w:lang w:val="en-GB"/>
              </w:rPr>
              <w:t>Secretary-General</w:t>
            </w:r>
          </w:p>
        </w:tc>
        <w:tc>
          <w:tcPr>
            <w:tcW w:w="2142" w:type="dxa"/>
            <w:hideMark/>
          </w:tcPr>
          <w:p w14:paraId="66BDDEEA"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trike/>
                <w:sz w:val="22"/>
                <w:szCs w:val="20"/>
                <w:lang w:val="en-GB" w:eastAsia="zh-CN"/>
              </w:rPr>
            </w:pPr>
            <w:r w:rsidRPr="00DE6FC3">
              <w:rPr>
                <w:rFonts w:eastAsia="Times New Roman" w:cs="Calibri"/>
                <w:sz w:val="22"/>
                <w:szCs w:val="20"/>
                <w:lang w:val="en-GB" w:eastAsia="zh-CN"/>
              </w:rPr>
              <w:t>288 867</w:t>
            </w:r>
          </w:p>
        </w:tc>
        <w:tc>
          <w:tcPr>
            <w:tcW w:w="2106" w:type="dxa"/>
            <w:hideMark/>
          </w:tcPr>
          <w:p w14:paraId="1D1DA0E2"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z w:val="22"/>
                <w:szCs w:val="20"/>
                <w:lang w:val="en-GB" w:eastAsia="zh-CN"/>
              </w:rPr>
            </w:pPr>
            <w:r w:rsidRPr="00DE6FC3">
              <w:rPr>
                <w:rFonts w:eastAsia="Times New Roman" w:cs="Calibri"/>
                <w:sz w:val="22"/>
                <w:szCs w:val="20"/>
                <w:lang w:val="en-GB" w:eastAsia="zh-CN"/>
              </w:rPr>
              <w:t>206 152</w:t>
            </w:r>
          </w:p>
        </w:tc>
        <w:tc>
          <w:tcPr>
            <w:tcW w:w="2139" w:type="dxa"/>
          </w:tcPr>
          <w:p w14:paraId="14B1CAD5"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z w:val="22"/>
                <w:szCs w:val="20"/>
                <w:lang w:val="en-GB" w:eastAsia="zh-CN"/>
              </w:rPr>
            </w:pPr>
            <w:r w:rsidRPr="00DE6FC3">
              <w:rPr>
                <w:rFonts w:eastAsia="Times New Roman" w:cs="Calibri"/>
                <w:sz w:val="22"/>
                <w:szCs w:val="20"/>
                <w:lang w:val="en-GB" w:eastAsia="zh-CN"/>
              </w:rPr>
              <w:t>473 439</w:t>
            </w:r>
          </w:p>
        </w:tc>
      </w:tr>
      <w:tr w:rsidR="00DE6FC3" w:rsidRPr="00DE6FC3" w14:paraId="49AA93C0" w14:textId="77777777">
        <w:tc>
          <w:tcPr>
            <w:tcW w:w="2674" w:type="dxa"/>
            <w:hideMark/>
          </w:tcPr>
          <w:p w14:paraId="5190A33B" w14:textId="77777777" w:rsidR="00DE6FC3" w:rsidRPr="00DE6FC3" w:rsidRDefault="00DE6FC3" w:rsidP="00DE6FC3">
            <w:pPr>
              <w:tabs>
                <w:tab w:val="clear" w:pos="567"/>
                <w:tab w:val="clear" w:pos="1134"/>
                <w:tab w:val="clear" w:pos="1701"/>
                <w:tab w:val="clear" w:pos="2268"/>
                <w:tab w:val="clear" w:pos="2835"/>
              </w:tabs>
              <w:spacing w:before="60" w:after="60"/>
              <w:ind w:right="-57"/>
              <w:rPr>
                <w:rFonts w:eastAsia="Times New Roman" w:cs="Calibri"/>
                <w:sz w:val="22"/>
                <w:szCs w:val="20"/>
                <w:lang w:val="en-GB"/>
              </w:rPr>
            </w:pPr>
            <w:r w:rsidRPr="00DE6FC3">
              <w:rPr>
                <w:rFonts w:eastAsia="Times New Roman" w:cs="Calibri"/>
                <w:sz w:val="22"/>
                <w:szCs w:val="20"/>
                <w:lang w:val="en-GB"/>
              </w:rPr>
              <w:t>Deputy Secretary-General</w:t>
            </w:r>
            <w:r w:rsidRPr="00DE6FC3">
              <w:rPr>
                <w:rFonts w:eastAsia="Times New Roman" w:cs="Calibri"/>
                <w:sz w:val="22"/>
                <w:szCs w:val="20"/>
                <w:lang w:val="en-GB"/>
              </w:rPr>
              <w:br/>
              <w:t>and Directors of the Bureaux</w:t>
            </w:r>
          </w:p>
        </w:tc>
        <w:tc>
          <w:tcPr>
            <w:tcW w:w="2142" w:type="dxa"/>
            <w:hideMark/>
          </w:tcPr>
          <w:p w14:paraId="34D2E7D3"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trike/>
                <w:sz w:val="22"/>
                <w:szCs w:val="20"/>
                <w:lang w:val="en-GB" w:eastAsia="zh-CN"/>
              </w:rPr>
            </w:pPr>
            <w:r w:rsidRPr="00DE6FC3">
              <w:rPr>
                <w:rFonts w:eastAsia="Times New Roman" w:cs="Calibri"/>
                <w:sz w:val="22"/>
                <w:szCs w:val="20"/>
                <w:lang w:val="en-GB" w:eastAsia="zh-CN"/>
              </w:rPr>
              <w:t>263 226</w:t>
            </w:r>
          </w:p>
        </w:tc>
        <w:tc>
          <w:tcPr>
            <w:tcW w:w="2106" w:type="dxa"/>
            <w:hideMark/>
          </w:tcPr>
          <w:p w14:paraId="1A1457E1"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z w:val="22"/>
                <w:szCs w:val="20"/>
                <w:lang w:val="en-GB" w:eastAsia="zh-CN"/>
              </w:rPr>
            </w:pPr>
            <w:r w:rsidRPr="00DE6FC3">
              <w:rPr>
                <w:rFonts w:eastAsia="Times New Roman" w:cs="Calibri"/>
                <w:sz w:val="22"/>
                <w:szCs w:val="20"/>
                <w:lang w:val="en-GB" w:eastAsia="zh-CN"/>
              </w:rPr>
              <w:t>189 229</w:t>
            </w:r>
          </w:p>
        </w:tc>
        <w:tc>
          <w:tcPr>
            <w:tcW w:w="2139" w:type="dxa"/>
          </w:tcPr>
          <w:p w14:paraId="197C1E7E" w14:textId="77777777" w:rsidR="00DE6FC3" w:rsidRPr="00DE6FC3" w:rsidRDefault="00DE6FC3" w:rsidP="00DE6FC3">
            <w:pPr>
              <w:tabs>
                <w:tab w:val="clear" w:pos="567"/>
                <w:tab w:val="clear" w:pos="1134"/>
                <w:tab w:val="clear" w:pos="1701"/>
                <w:tab w:val="clear" w:pos="2268"/>
                <w:tab w:val="clear" w:pos="2835"/>
              </w:tabs>
              <w:spacing w:before="60" w:after="60"/>
              <w:jc w:val="center"/>
              <w:rPr>
                <w:rFonts w:eastAsia="Times New Roman" w:cs="Calibri"/>
                <w:sz w:val="22"/>
                <w:szCs w:val="20"/>
                <w:lang w:val="en-GB" w:eastAsia="zh-CN"/>
              </w:rPr>
            </w:pPr>
            <w:r w:rsidRPr="00DE6FC3">
              <w:rPr>
                <w:rFonts w:eastAsia="Times New Roman" w:cs="Calibri"/>
                <w:sz w:val="22"/>
                <w:szCs w:val="20"/>
                <w:lang w:val="en-GB" w:eastAsia="zh-CN"/>
              </w:rPr>
              <w:t>439 098</w:t>
            </w:r>
          </w:p>
        </w:tc>
      </w:tr>
    </w:tbl>
    <w:p w14:paraId="2FF30DA2" w14:textId="77777777" w:rsidR="00DE6FC3" w:rsidRPr="00DE6FC3" w:rsidRDefault="00DE6FC3" w:rsidP="00DE6FC3">
      <w:pPr>
        <w:tabs>
          <w:tab w:val="clear" w:pos="567"/>
          <w:tab w:val="clear" w:pos="1134"/>
          <w:tab w:val="clear" w:pos="1701"/>
          <w:tab w:val="clear" w:pos="2268"/>
          <w:tab w:val="clear" w:pos="2835"/>
        </w:tabs>
        <w:spacing w:before="0"/>
        <w:rPr>
          <w:rFonts w:eastAsiaTheme="minorEastAsia"/>
          <w:sz w:val="22"/>
          <w:lang w:val="en-GB"/>
        </w:rPr>
      </w:pPr>
    </w:p>
    <w:p w14:paraId="1A5ED460" w14:textId="71E753C3" w:rsidR="00DE6FC3" w:rsidRPr="00DE6FC3" w:rsidRDefault="00DE6FC3" w:rsidP="00DE6FC3">
      <w:pPr>
        <w:rPr>
          <w:lang w:val="en-GB"/>
        </w:rPr>
      </w:pPr>
    </w:p>
    <w:p w14:paraId="6DE59BCE" w14:textId="7473F616" w:rsidR="00B77FE5" w:rsidRPr="00AB514A" w:rsidRDefault="009662DE" w:rsidP="00803D32">
      <w:pPr>
        <w:jc w:val="center"/>
        <w:rPr>
          <w:lang w:val="en-GB"/>
        </w:rPr>
      </w:pPr>
      <w:r>
        <w:rPr>
          <w:lang w:val="en-GB"/>
        </w:rPr>
        <w:t>____________________</w:t>
      </w:r>
      <w:bookmarkEnd w:id="3"/>
      <w:bookmarkEnd w:id="4"/>
      <w:bookmarkEnd w:id="5"/>
      <w:bookmarkEnd w:id="8"/>
    </w:p>
    <w:sectPr w:rsidR="00B77FE5" w:rsidRPr="00AB514A" w:rsidSect="00AD3606">
      <w:footerReference w:type="default" r:id="rId153"/>
      <w:headerReference w:type="first" r:id="rId154"/>
      <w:footerReference w:type="first" r:id="rId15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B506" w14:textId="77777777" w:rsidR="00C57F61" w:rsidRDefault="00C57F61">
      <w:r>
        <w:separator/>
      </w:r>
    </w:p>
  </w:endnote>
  <w:endnote w:type="continuationSeparator" w:id="0">
    <w:p w14:paraId="7338E374" w14:textId="77777777" w:rsidR="00C57F61" w:rsidRDefault="00C57F61">
      <w:r>
        <w:continuationSeparator/>
      </w:r>
    </w:p>
  </w:endnote>
  <w:endnote w:type="continuationNotice" w:id="1">
    <w:p w14:paraId="4972B36D" w14:textId="77777777" w:rsidR="00C57F61" w:rsidRDefault="00C57F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01943" w:rsidRPr="00784011" w14:paraId="64F425B3" w14:textId="77777777">
      <w:trPr>
        <w:jc w:val="center"/>
      </w:trPr>
      <w:tc>
        <w:tcPr>
          <w:tcW w:w="1803" w:type="dxa"/>
          <w:vAlign w:val="center"/>
        </w:tcPr>
        <w:p w14:paraId="54E90B1C" w14:textId="1273F649" w:rsidR="00D01943" w:rsidRDefault="00D01943" w:rsidP="00EE49E8">
          <w:pPr>
            <w:pStyle w:val="Header"/>
            <w:jc w:val="left"/>
            <w:rPr>
              <w:noProof/>
            </w:rPr>
          </w:pPr>
        </w:p>
      </w:tc>
      <w:tc>
        <w:tcPr>
          <w:tcW w:w="8261" w:type="dxa"/>
        </w:tcPr>
        <w:p w14:paraId="0B5C09E4" w14:textId="02B51861" w:rsidR="00D01943" w:rsidRPr="00E06FD5" w:rsidRDefault="00D01943"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63EC5">
            <w:rPr>
              <w:bCs/>
            </w:rPr>
            <w:t>116</w:t>
          </w:r>
          <w:r w:rsidRPr="00623AE3">
            <w:rPr>
              <w:bCs/>
            </w:rPr>
            <w:t>-E</w:t>
          </w:r>
          <w:r>
            <w:rPr>
              <w:bCs/>
            </w:rPr>
            <w:tab/>
          </w:r>
          <w:r>
            <w:fldChar w:fldCharType="begin"/>
          </w:r>
          <w:r>
            <w:instrText>PAGE</w:instrText>
          </w:r>
          <w:r>
            <w:fldChar w:fldCharType="separate"/>
          </w:r>
          <w:r>
            <w:t>1</w:t>
          </w:r>
          <w:r>
            <w:rPr>
              <w:noProof/>
            </w:rPr>
            <w:fldChar w:fldCharType="end"/>
          </w:r>
        </w:p>
      </w:tc>
    </w:tr>
  </w:tbl>
  <w:p w14:paraId="055734E0" w14:textId="77777777" w:rsidR="00D01943" w:rsidRPr="00DB1936" w:rsidRDefault="00D01943"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D01943" w:rsidRPr="00784011" w14:paraId="7FD78228" w14:textId="77777777" w:rsidTr="006B77F1">
      <w:trPr>
        <w:jc w:val="center"/>
      </w:trPr>
      <w:tc>
        <w:tcPr>
          <w:tcW w:w="1803" w:type="dxa"/>
          <w:vAlign w:val="center"/>
        </w:tcPr>
        <w:p w14:paraId="771A4938" w14:textId="77777777" w:rsidR="00D01943" w:rsidRPr="006B77F1" w:rsidRDefault="00D01943" w:rsidP="00EE49E8">
          <w:pPr>
            <w:pStyle w:val="Header"/>
            <w:jc w:val="left"/>
            <w:rPr>
              <w:noProof/>
            </w:rPr>
          </w:pPr>
          <w:hyperlink r:id="rId1" w:history="1">
            <w:r>
              <w:rPr>
                <w:rStyle w:val="Hyperlink"/>
              </w:rPr>
              <w:t>council.itu.int/2026</w:t>
            </w:r>
          </w:hyperlink>
        </w:p>
      </w:tc>
      <w:tc>
        <w:tcPr>
          <w:tcW w:w="8261" w:type="dxa"/>
        </w:tcPr>
        <w:p w14:paraId="4677DFF5" w14:textId="206F8386" w:rsidR="00D01943" w:rsidRPr="00E06FD5" w:rsidRDefault="00D01943"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AA406B">
            <w:rPr>
              <w:bCs/>
            </w:rPr>
            <w:t>116</w:t>
          </w:r>
          <w:r w:rsidRPr="00623AE3">
            <w:rPr>
              <w:bCs/>
            </w:rPr>
            <w:t>-E</w:t>
          </w:r>
          <w:r>
            <w:rPr>
              <w:bCs/>
            </w:rPr>
            <w:tab/>
          </w:r>
          <w:r>
            <w:fldChar w:fldCharType="begin"/>
          </w:r>
          <w:r>
            <w:instrText>PAGE</w:instrText>
          </w:r>
          <w:r>
            <w:fldChar w:fldCharType="separate"/>
          </w:r>
          <w:r>
            <w:t>1</w:t>
          </w:r>
          <w:r>
            <w:rPr>
              <w:noProof/>
            </w:rPr>
            <w:fldChar w:fldCharType="end"/>
          </w:r>
        </w:p>
      </w:tc>
    </w:tr>
  </w:tbl>
  <w:p w14:paraId="09A935AA" w14:textId="77777777" w:rsidR="00D01943" w:rsidRPr="00623AE3" w:rsidRDefault="00D01943"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40F4" w14:textId="77777777" w:rsidR="00C57F61" w:rsidRDefault="00C57F61">
      <w:r>
        <w:t>____________________</w:t>
      </w:r>
    </w:p>
  </w:footnote>
  <w:footnote w:type="continuationSeparator" w:id="0">
    <w:p w14:paraId="2A09A928" w14:textId="77777777" w:rsidR="00C57F61" w:rsidRDefault="00C57F61">
      <w:r>
        <w:continuationSeparator/>
      </w:r>
    </w:p>
  </w:footnote>
  <w:footnote w:type="continuationNotice" w:id="1">
    <w:p w14:paraId="72DAAB2B" w14:textId="77777777" w:rsidR="00C57F61" w:rsidRDefault="00C57F6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E29D" w14:textId="77777777" w:rsidR="00D01943" w:rsidRPr="00512087" w:rsidRDefault="00D01943"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AA6934"/>
    <w:multiLevelType w:val="multilevel"/>
    <w:tmpl w:val="4D0AFE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32904234">
    <w:abstractNumId w:val="0"/>
  </w:num>
  <w:num w:numId="2" w16cid:durableId="14860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B6"/>
    <w:rsid w:val="00000024"/>
    <w:rsid w:val="00000081"/>
    <w:rsid w:val="0000027A"/>
    <w:rsid w:val="0000040E"/>
    <w:rsid w:val="000006CE"/>
    <w:rsid w:val="000008B1"/>
    <w:rsid w:val="0000096C"/>
    <w:rsid w:val="000009C1"/>
    <w:rsid w:val="00000BB9"/>
    <w:rsid w:val="00000E8E"/>
    <w:rsid w:val="000010A6"/>
    <w:rsid w:val="000030B3"/>
    <w:rsid w:val="00003CEE"/>
    <w:rsid w:val="00004C12"/>
    <w:rsid w:val="0000585D"/>
    <w:rsid w:val="00005B55"/>
    <w:rsid w:val="00010474"/>
    <w:rsid w:val="00010B68"/>
    <w:rsid w:val="00010BE6"/>
    <w:rsid w:val="000113FE"/>
    <w:rsid w:val="0001141A"/>
    <w:rsid w:val="00011466"/>
    <w:rsid w:val="00011B87"/>
    <w:rsid w:val="0001218F"/>
    <w:rsid w:val="00012594"/>
    <w:rsid w:val="00012B37"/>
    <w:rsid w:val="00012B7B"/>
    <w:rsid w:val="00012BD0"/>
    <w:rsid w:val="0001335C"/>
    <w:rsid w:val="000137ED"/>
    <w:rsid w:val="00013B6A"/>
    <w:rsid w:val="0001410F"/>
    <w:rsid w:val="000149F2"/>
    <w:rsid w:val="000159D2"/>
    <w:rsid w:val="000159E7"/>
    <w:rsid w:val="0001619B"/>
    <w:rsid w:val="00016544"/>
    <w:rsid w:val="000165CF"/>
    <w:rsid w:val="000172BF"/>
    <w:rsid w:val="00017413"/>
    <w:rsid w:val="0001745C"/>
    <w:rsid w:val="00017563"/>
    <w:rsid w:val="000200B2"/>
    <w:rsid w:val="0002032A"/>
    <w:rsid w:val="000204C6"/>
    <w:rsid w:val="000206FE"/>
    <w:rsid w:val="000210D4"/>
    <w:rsid w:val="000217FD"/>
    <w:rsid w:val="00021AC7"/>
    <w:rsid w:val="00021CE2"/>
    <w:rsid w:val="000221FD"/>
    <w:rsid w:val="00022360"/>
    <w:rsid w:val="000225C1"/>
    <w:rsid w:val="00022714"/>
    <w:rsid w:val="0002316F"/>
    <w:rsid w:val="0002353C"/>
    <w:rsid w:val="000237A5"/>
    <w:rsid w:val="00024464"/>
    <w:rsid w:val="000248ED"/>
    <w:rsid w:val="00024F19"/>
    <w:rsid w:val="000257B5"/>
    <w:rsid w:val="0002599E"/>
    <w:rsid w:val="0002601D"/>
    <w:rsid w:val="00026141"/>
    <w:rsid w:val="00026559"/>
    <w:rsid w:val="000265A7"/>
    <w:rsid w:val="000265B6"/>
    <w:rsid w:val="00026661"/>
    <w:rsid w:val="0002687B"/>
    <w:rsid w:val="00026FF0"/>
    <w:rsid w:val="00027005"/>
    <w:rsid w:val="00027F45"/>
    <w:rsid w:val="0003032D"/>
    <w:rsid w:val="000306D0"/>
    <w:rsid w:val="00030A90"/>
    <w:rsid w:val="00030D2C"/>
    <w:rsid w:val="00030E56"/>
    <w:rsid w:val="00031369"/>
    <w:rsid w:val="0003140C"/>
    <w:rsid w:val="00031431"/>
    <w:rsid w:val="0003190D"/>
    <w:rsid w:val="000321EF"/>
    <w:rsid w:val="00032E95"/>
    <w:rsid w:val="00033AB0"/>
    <w:rsid w:val="00033AB9"/>
    <w:rsid w:val="0003462C"/>
    <w:rsid w:val="00034919"/>
    <w:rsid w:val="000354B8"/>
    <w:rsid w:val="00036098"/>
    <w:rsid w:val="00036BCF"/>
    <w:rsid w:val="00036FEA"/>
    <w:rsid w:val="000372C7"/>
    <w:rsid w:val="00040AC1"/>
    <w:rsid w:val="00041550"/>
    <w:rsid w:val="00041FBF"/>
    <w:rsid w:val="000421B5"/>
    <w:rsid w:val="000430FE"/>
    <w:rsid w:val="0004368C"/>
    <w:rsid w:val="00043FBD"/>
    <w:rsid w:val="00044E41"/>
    <w:rsid w:val="0004549E"/>
    <w:rsid w:val="000458C0"/>
    <w:rsid w:val="000459AD"/>
    <w:rsid w:val="00046832"/>
    <w:rsid w:val="00046D9A"/>
    <w:rsid w:val="0004732F"/>
    <w:rsid w:val="00047CE5"/>
    <w:rsid w:val="00047EFE"/>
    <w:rsid w:val="00050170"/>
    <w:rsid w:val="00050187"/>
    <w:rsid w:val="000501A9"/>
    <w:rsid w:val="000503E1"/>
    <w:rsid w:val="0005070B"/>
    <w:rsid w:val="0005079A"/>
    <w:rsid w:val="00050B9E"/>
    <w:rsid w:val="00050D01"/>
    <w:rsid w:val="00050F95"/>
    <w:rsid w:val="00051461"/>
    <w:rsid w:val="000519A6"/>
    <w:rsid w:val="00052793"/>
    <w:rsid w:val="00053A74"/>
    <w:rsid w:val="00054CA8"/>
    <w:rsid w:val="00055C70"/>
    <w:rsid w:val="00056011"/>
    <w:rsid w:val="00056A4E"/>
    <w:rsid w:val="00056C13"/>
    <w:rsid w:val="00056D19"/>
    <w:rsid w:val="00060055"/>
    <w:rsid w:val="0006007D"/>
    <w:rsid w:val="00060137"/>
    <w:rsid w:val="00061062"/>
    <w:rsid w:val="00061196"/>
    <w:rsid w:val="0006156B"/>
    <w:rsid w:val="0006165D"/>
    <w:rsid w:val="0006187D"/>
    <w:rsid w:val="00061EFB"/>
    <w:rsid w:val="000625FF"/>
    <w:rsid w:val="000626B7"/>
    <w:rsid w:val="000626B9"/>
    <w:rsid w:val="00062AC3"/>
    <w:rsid w:val="00062BF0"/>
    <w:rsid w:val="00062E8A"/>
    <w:rsid w:val="0006300F"/>
    <w:rsid w:val="00063016"/>
    <w:rsid w:val="00063310"/>
    <w:rsid w:val="00063E1E"/>
    <w:rsid w:val="00063F2B"/>
    <w:rsid w:val="00064338"/>
    <w:rsid w:val="0006460E"/>
    <w:rsid w:val="0006465A"/>
    <w:rsid w:val="0006469B"/>
    <w:rsid w:val="00064AFB"/>
    <w:rsid w:val="00064DBB"/>
    <w:rsid w:val="00065157"/>
    <w:rsid w:val="00065310"/>
    <w:rsid w:val="000658DB"/>
    <w:rsid w:val="00066212"/>
    <w:rsid w:val="000663DB"/>
    <w:rsid w:val="000664CD"/>
    <w:rsid w:val="00066795"/>
    <w:rsid w:val="00066C05"/>
    <w:rsid w:val="00066EB5"/>
    <w:rsid w:val="00067C23"/>
    <w:rsid w:val="0007061C"/>
    <w:rsid w:val="00070D4A"/>
    <w:rsid w:val="00071053"/>
    <w:rsid w:val="000712D5"/>
    <w:rsid w:val="0007168D"/>
    <w:rsid w:val="00071914"/>
    <w:rsid w:val="00071DD3"/>
    <w:rsid w:val="00073B90"/>
    <w:rsid w:val="000749F0"/>
    <w:rsid w:val="000749FE"/>
    <w:rsid w:val="00074AEE"/>
    <w:rsid w:val="000750DA"/>
    <w:rsid w:val="000751B1"/>
    <w:rsid w:val="00075B30"/>
    <w:rsid w:val="00076973"/>
    <w:rsid w:val="00076975"/>
    <w:rsid w:val="000769E1"/>
    <w:rsid w:val="00076AF6"/>
    <w:rsid w:val="00076D2D"/>
    <w:rsid w:val="0007722E"/>
    <w:rsid w:val="000773B2"/>
    <w:rsid w:val="000774E8"/>
    <w:rsid w:val="0007796D"/>
    <w:rsid w:val="000801D3"/>
    <w:rsid w:val="000801F2"/>
    <w:rsid w:val="00080D75"/>
    <w:rsid w:val="00082154"/>
    <w:rsid w:val="000823D2"/>
    <w:rsid w:val="0008245B"/>
    <w:rsid w:val="00082D43"/>
    <w:rsid w:val="00082D92"/>
    <w:rsid w:val="0008308D"/>
    <w:rsid w:val="00083238"/>
    <w:rsid w:val="000835EA"/>
    <w:rsid w:val="00083875"/>
    <w:rsid w:val="000840D6"/>
    <w:rsid w:val="00084938"/>
    <w:rsid w:val="00085321"/>
    <w:rsid w:val="00085846"/>
    <w:rsid w:val="00085A19"/>
    <w:rsid w:val="00085CF2"/>
    <w:rsid w:val="00086D6E"/>
    <w:rsid w:val="00086DFD"/>
    <w:rsid w:val="00087562"/>
    <w:rsid w:val="00087997"/>
    <w:rsid w:val="000901F6"/>
    <w:rsid w:val="0009078C"/>
    <w:rsid w:val="00090D73"/>
    <w:rsid w:val="000913A8"/>
    <w:rsid w:val="000914B9"/>
    <w:rsid w:val="00092D89"/>
    <w:rsid w:val="00093274"/>
    <w:rsid w:val="000936C3"/>
    <w:rsid w:val="00093CDA"/>
    <w:rsid w:val="00093EC1"/>
    <w:rsid w:val="000945A1"/>
    <w:rsid w:val="000945D1"/>
    <w:rsid w:val="0009493C"/>
    <w:rsid w:val="0009560D"/>
    <w:rsid w:val="00095AB1"/>
    <w:rsid w:val="00096331"/>
    <w:rsid w:val="00096463"/>
    <w:rsid w:val="00096630"/>
    <w:rsid w:val="00096AF6"/>
    <w:rsid w:val="000971E4"/>
    <w:rsid w:val="00097BEE"/>
    <w:rsid w:val="00097C3F"/>
    <w:rsid w:val="00097CD9"/>
    <w:rsid w:val="00097EDE"/>
    <w:rsid w:val="000A0398"/>
    <w:rsid w:val="000A0A30"/>
    <w:rsid w:val="000A1021"/>
    <w:rsid w:val="000A1036"/>
    <w:rsid w:val="000A1320"/>
    <w:rsid w:val="000A1543"/>
    <w:rsid w:val="000A1AE9"/>
    <w:rsid w:val="000A1BC7"/>
    <w:rsid w:val="000A1BFA"/>
    <w:rsid w:val="000A1FB3"/>
    <w:rsid w:val="000A21AB"/>
    <w:rsid w:val="000A3192"/>
    <w:rsid w:val="000A3525"/>
    <w:rsid w:val="000A377A"/>
    <w:rsid w:val="000A4352"/>
    <w:rsid w:val="000A4440"/>
    <w:rsid w:val="000A4EC0"/>
    <w:rsid w:val="000A51E6"/>
    <w:rsid w:val="000A52EB"/>
    <w:rsid w:val="000A591F"/>
    <w:rsid w:val="000A668D"/>
    <w:rsid w:val="000A67A0"/>
    <w:rsid w:val="000A698D"/>
    <w:rsid w:val="000A6B7B"/>
    <w:rsid w:val="000A6B81"/>
    <w:rsid w:val="000A6FFD"/>
    <w:rsid w:val="000A71BE"/>
    <w:rsid w:val="000A74CD"/>
    <w:rsid w:val="000A76E0"/>
    <w:rsid w:val="000A76E5"/>
    <w:rsid w:val="000A7E91"/>
    <w:rsid w:val="000B04E9"/>
    <w:rsid w:val="000B0B8C"/>
    <w:rsid w:val="000B0F3B"/>
    <w:rsid w:val="000B147B"/>
    <w:rsid w:val="000B1705"/>
    <w:rsid w:val="000B176A"/>
    <w:rsid w:val="000B1CE5"/>
    <w:rsid w:val="000B24E2"/>
    <w:rsid w:val="000B2AAB"/>
    <w:rsid w:val="000B3029"/>
    <w:rsid w:val="000B3BF2"/>
    <w:rsid w:val="000B3DD9"/>
    <w:rsid w:val="000B4042"/>
    <w:rsid w:val="000B4176"/>
    <w:rsid w:val="000B441B"/>
    <w:rsid w:val="000B4474"/>
    <w:rsid w:val="000B5C37"/>
    <w:rsid w:val="000B60E3"/>
    <w:rsid w:val="000B6902"/>
    <w:rsid w:val="000B6D3C"/>
    <w:rsid w:val="000B795E"/>
    <w:rsid w:val="000C059C"/>
    <w:rsid w:val="000C0727"/>
    <w:rsid w:val="000C0A65"/>
    <w:rsid w:val="000C0E80"/>
    <w:rsid w:val="000C0EC9"/>
    <w:rsid w:val="000C179D"/>
    <w:rsid w:val="000C24EE"/>
    <w:rsid w:val="000C2550"/>
    <w:rsid w:val="000C25D2"/>
    <w:rsid w:val="000C2611"/>
    <w:rsid w:val="000C2EA6"/>
    <w:rsid w:val="000C30C2"/>
    <w:rsid w:val="000C32CB"/>
    <w:rsid w:val="000C35DD"/>
    <w:rsid w:val="000C3A87"/>
    <w:rsid w:val="000C3B05"/>
    <w:rsid w:val="000C3C9C"/>
    <w:rsid w:val="000C3F62"/>
    <w:rsid w:val="000C6297"/>
    <w:rsid w:val="000C69A5"/>
    <w:rsid w:val="000C6AF7"/>
    <w:rsid w:val="000C6C27"/>
    <w:rsid w:val="000C70CD"/>
    <w:rsid w:val="000C78D4"/>
    <w:rsid w:val="000D0714"/>
    <w:rsid w:val="000D0AA7"/>
    <w:rsid w:val="000D0CAA"/>
    <w:rsid w:val="000D0D17"/>
    <w:rsid w:val="000D0EB6"/>
    <w:rsid w:val="000D1474"/>
    <w:rsid w:val="000D1941"/>
    <w:rsid w:val="000D1FFB"/>
    <w:rsid w:val="000D24AE"/>
    <w:rsid w:val="000D27FD"/>
    <w:rsid w:val="000D2C08"/>
    <w:rsid w:val="000D2D4D"/>
    <w:rsid w:val="000D2FF6"/>
    <w:rsid w:val="000D3444"/>
    <w:rsid w:val="000D3AB5"/>
    <w:rsid w:val="000D3E51"/>
    <w:rsid w:val="000D4600"/>
    <w:rsid w:val="000D4885"/>
    <w:rsid w:val="000D4B4F"/>
    <w:rsid w:val="000D5F8F"/>
    <w:rsid w:val="000D5FDB"/>
    <w:rsid w:val="000D60D5"/>
    <w:rsid w:val="000D6356"/>
    <w:rsid w:val="000D6618"/>
    <w:rsid w:val="000D6A07"/>
    <w:rsid w:val="000D6A9D"/>
    <w:rsid w:val="000D7170"/>
    <w:rsid w:val="000D75B2"/>
    <w:rsid w:val="000D7906"/>
    <w:rsid w:val="000D7AC2"/>
    <w:rsid w:val="000D7B5C"/>
    <w:rsid w:val="000D7DDF"/>
    <w:rsid w:val="000D7FEC"/>
    <w:rsid w:val="000E0101"/>
    <w:rsid w:val="000E0494"/>
    <w:rsid w:val="000E05F9"/>
    <w:rsid w:val="000E0FFA"/>
    <w:rsid w:val="000E13F7"/>
    <w:rsid w:val="000E1821"/>
    <w:rsid w:val="000E1E23"/>
    <w:rsid w:val="000E2D90"/>
    <w:rsid w:val="000E3287"/>
    <w:rsid w:val="000E3453"/>
    <w:rsid w:val="000E372C"/>
    <w:rsid w:val="000E39C4"/>
    <w:rsid w:val="000E39CF"/>
    <w:rsid w:val="000E3EC7"/>
    <w:rsid w:val="000E41AA"/>
    <w:rsid w:val="000E43C6"/>
    <w:rsid w:val="000E47CF"/>
    <w:rsid w:val="000E498E"/>
    <w:rsid w:val="000E4A7F"/>
    <w:rsid w:val="000E4DAE"/>
    <w:rsid w:val="000E5044"/>
    <w:rsid w:val="000E56EB"/>
    <w:rsid w:val="000E5CDC"/>
    <w:rsid w:val="000E6293"/>
    <w:rsid w:val="000E68C7"/>
    <w:rsid w:val="000E705C"/>
    <w:rsid w:val="000E7228"/>
    <w:rsid w:val="000E753D"/>
    <w:rsid w:val="000E75D5"/>
    <w:rsid w:val="000E75DA"/>
    <w:rsid w:val="000E7EB7"/>
    <w:rsid w:val="000F0D72"/>
    <w:rsid w:val="000F0F41"/>
    <w:rsid w:val="000F157B"/>
    <w:rsid w:val="000F178B"/>
    <w:rsid w:val="000F18C3"/>
    <w:rsid w:val="000F27C7"/>
    <w:rsid w:val="000F27ED"/>
    <w:rsid w:val="000F27EE"/>
    <w:rsid w:val="000F28D5"/>
    <w:rsid w:val="000F2B50"/>
    <w:rsid w:val="000F2D8B"/>
    <w:rsid w:val="000F2EED"/>
    <w:rsid w:val="000F38CD"/>
    <w:rsid w:val="000F3A5E"/>
    <w:rsid w:val="000F3AD3"/>
    <w:rsid w:val="000F3B32"/>
    <w:rsid w:val="000F4123"/>
    <w:rsid w:val="000F51AF"/>
    <w:rsid w:val="000F5DDB"/>
    <w:rsid w:val="000F6222"/>
    <w:rsid w:val="000F6254"/>
    <w:rsid w:val="000F682A"/>
    <w:rsid w:val="000F75B3"/>
    <w:rsid w:val="000F79CD"/>
    <w:rsid w:val="00100493"/>
    <w:rsid w:val="00100C4A"/>
    <w:rsid w:val="001010B2"/>
    <w:rsid w:val="001016F3"/>
    <w:rsid w:val="001023B5"/>
    <w:rsid w:val="00102984"/>
    <w:rsid w:val="00102A3B"/>
    <w:rsid w:val="001034FE"/>
    <w:rsid w:val="00103503"/>
    <w:rsid w:val="00103DBB"/>
    <w:rsid w:val="0010435E"/>
    <w:rsid w:val="0010442E"/>
    <w:rsid w:val="0010496A"/>
    <w:rsid w:val="0010535F"/>
    <w:rsid w:val="00105CD3"/>
    <w:rsid w:val="00105E46"/>
    <w:rsid w:val="00106C77"/>
    <w:rsid w:val="00106F8B"/>
    <w:rsid w:val="00107513"/>
    <w:rsid w:val="00107841"/>
    <w:rsid w:val="00107AFE"/>
    <w:rsid w:val="00107D16"/>
    <w:rsid w:val="001109CC"/>
    <w:rsid w:val="00111453"/>
    <w:rsid w:val="001115EC"/>
    <w:rsid w:val="0011179C"/>
    <w:rsid w:val="001121F5"/>
    <w:rsid w:val="00112553"/>
    <w:rsid w:val="001129BB"/>
    <w:rsid w:val="00112DEB"/>
    <w:rsid w:val="00112EE5"/>
    <w:rsid w:val="001130F4"/>
    <w:rsid w:val="00113A68"/>
    <w:rsid w:val="00113ACE"/>
    <w:rsid w:val="00114269"/>
    <w:rsid w:val="0011457E"/>
    <w:rsid w:val="00114DBD"/>
    <w:rsid w:val="00114E2C"/>
    <w:rsid w:val="001155CE"/>
    <w:rsid w:val="00115688"/>
    <w:rsid w:val="00115753"/>
    <w:rsid w:val="00116988"/>
    <w:rsid w:val="00116D5C"/>
    <w:rsid w:val="00116E5D"/>
    <w:rsid w:val="00116EBD"/>
    <w:rsid w:val="0011718A"/>
    <w:rsid w:val="0012010B"/>
    <w:rsid w:val="0012070D"/>
    <w:rsid w:val="00120A4B"/>
    <w:rsid w:val="00120B87"/>
    <w:rsid w:val="00120B9C"/>
    <w:rsid w:val="001211C5"/>
    <w:rsid w:val="00121306"/>
    <w:rsid w:val="0012148B"/>
    <w:rsid w:val="00121A89"/>
    <w:rsid w:val="00121EA0"/>
    <w:rsid w:val="001221B1"/>
    <w:rsid w:val="00122292"/>
    <w:rsid w:val="00122CE7"/>
    <w:rsid w:val="00122DCE"/>
    <w:rsid w:val="00123A46"/>
    <w:rsid w:val="001246BC"/>
    <w:rsid w:val="00124CD1"/>
    <w:rsid w:val="00124FAF"/>
    <w:rsid w:val="001252AC"/>
    <w:rsid w:val="001253FC"/>
    <w:rsid w:val="00125C42"/>
    <w:rsid w:val="00125F34"/>
    <w:rsid w:val="001260B6"/>
    <w:rsid w:val="0012679B"/>
    <w:rsid w:val="00126DD9"/>
    <w:rsid w:val="00126EFA"/>
    <w:rsid w:val="00126FF0"/>
    <w:rsid w:val="00130045"/>
    <w:rsid w:val="0013084B"/>
    <w:rsid w:val="00130B71"/>
    <w:rsid w:val="00130F88"/>
    <w:rsid w:val="001315E5"/>
    <w:rsid w:val="00132AD9"/>
    <w:rsid w:val="00132B69"/>
    <w:rsid w:val="00133BA6"/>
    <w:rsid w:val="00134564"/>
    <w:rsid w:val="00135198"/>
    <w:rsid w:val="00136009"/>
    <w:rsid w:val="00136383"/>
    <w:rsid w:val="00136527"/>
    <w:rsid w:val="00136570"/>
    <w:rsid w:val="001365D7"/>
    <w:rsid w:val="001400DC"/>
    <w:rsid w:val="0014041A"/>
    <w:rsid w:val="00140A25"/>
    <w:rsid w:val="00140CE1"/>
    <w:rsid w:val="00140E4A"/>
    <w:rsid w:val="0014165E"/>
    <w:rsid w:val="00141B9D"/>
    <w:rsid w:val="00141C70"/>
    <w:rsid w:val="0014200E"/>
    <w:rsid w:val="00142021"/>
    <w:rsid w:val="001424A6"/>
    <w:rsid w:val="001429EC"/>
    <w:rsid w:val="001433E8"/>
    <w:rsid w:val="001436F1"/>
    <w:rsid w:val="00143AE7"/>
    <w:rsid w:val="00143CD7"/>
    <w:rsid w:val="00144D1E"/>
    <w:rsid w:val="001452E3"/>
    <w:rsid w:val="00146A87"/>
    <w:rsid w:val="00146AF9"/>
    <w:rsid w:val="00146B21"/>
    <w:rsid w:val="00146FA9"/>
    <w:rsid w:val="00147587"/>
    <w:rsid w:val="00147891"/>
    <w:rsid w:val="00147D70"/>
    <w:rsid w:val="00147FD7"/>
    <w:rsid w:val="0015189A"/>
    <w:rsid w:val="00151FBB"/>
    <w:rsid w:val="00152876"/>
    <w:rsid w:val="001529A4"/>
    <w:rsid w:val="0015376C"/>
    <w:rsid w:val="00153780"/>
    <w:rsid w:val="00154018"/>
    <w:rsid w:val="00154B06"/>
    <w:rsid w:val="00154B47"/>
    <w:rsid w:val="00154C10"/>
    <w:rsid w:val="00155004"/>
    <w:rsid w:val="00155F09"/>
    <w:rsid w:val="001565B9"/>
    <w:rsid w:val="00156E5E"/>
    <w:rsid w:val="00157163"/>
    <w:rsid w:val="00157E6F"/>
    <w:rsid w:val="0016008B"/>
    <w:rsid w:val="00160B9E"/>
    <w:rsid w:val="00161896"/>
    <w:rsid w:val="001626B3"/>
    <w:rsid w:val="00162AF7"/>
    <w:rsid w:val="00162AFD"/>
    <w:rsid w:val="00163814"/>
    <w:rsid w:val="0016384C"/>
    <w:rsid w:val="001638F3"/>
    <w:rsid w:val="00163E73"/>
    <w:rsid w:val="00164043"/>
    <w:rsid w:val="001645E3"/>
    <w:rsid w:val="001645E4"/>
    <w:rsid w:val="00164E8D"/>
    <w:rsid w:val="0016518F"/>
    <w:rsid w:val="00165F0F"/>
    <w:rsid w:val="00166998"/>
    <w:rsid w:val="00166B3F"/>
    <w:rsid w:val="00166C23"/>
    <w:rsid w:val="0016791A"/>
    <w:rsid w:val="00170652"/>
    <w:rsid w:val="00170655"/>
    <w:rsid w:val="00170FC4"/>
    <w:rsid w:val="00171AAC"/>
    <w:rsid w:val="001722A2"/>
    <w:rsid w:val="001723B5"/>
    <w:rsid w:val="00172664"/>
    <w:rsid w:val="001728D8"/>
    <w:rsid w:val="00173155"/>
    <w:rsid w:val="001745F1"/>
    <w:rsid w:val="00174769"/>
    <w:rsid w:val="001749DF"/>
    <w:rsid w:val="00174E87"/>
    <w:rsid w:val="0017539C"/>
    <w:rsid w:val="001758FA"/>
    <w:rsid w:val="00175AC2"/>
    <w:rsid w:val="0017609F"/>
    <w:rsid w:val="001760F0"/>
    <w:rsid w:val="00176F47"/>
    <w:rsid w:val="00177292"/>
    <w:rsid w:val="00177A70"/>
    <w:rsid w:val="00177C4D"/>
    <w:rsid w:val="00177D58"/>
    <w:rsid w:val="00180093"/>
    <w:rsid w:val="00180A80"/>
    <w:rsid w:val="001816B2"/>
    <w:rsid w:val="001820AA"/>
    <w:rsid w:val="00182204"/>
    <w:rsid w:val="00182339"/>
    <w:rsid w:val="001823D2"/>
    <w:rsid w:val="00182B7D"/>
    <w:rsid w:val="00182FB4"/>
    <w:rsid w:val="001832BC"/>
    <w:rsid w:val="001834FF"/>
    <w:rsid w:val="00183743"/>
    <w:rsid w:val="00184260"/>
    <w:rsid w:val="0018502C"/>
    <w:rsid w:val="0018550D"/>
    <w:rsid w:val="00185847"/>
    <w:rsid w:val="00186049"/>
    <w:rsid w:val="00187206"/>
    <w:rsid w:val="001875C9"/>
    <w:rsid w:val="00187D8F"/>
    <w:rsid w:val="00187F79"/>
    <w:rsid w:val="00190E6B"/>
    <w:rsid w:val="00191154"/>
    <w:rsid w:val="0019182A"/>
    <w:rsid w:val="00191832"/>
    <w:rsid w:val="00191854"/>
    <w:rsid w:val="00191DA1"/>
    <w:rsid w:val="001923DD"/>
    <w:rsid w:val="00193313"/>
    <w:rsid w:val="00193833"/>
    <w:rsid w:val="001948E2"/>
    <w:rsid w:val="0019503A"/>
    <w:rsid w:val="00195180"/>
    <w:rsid w:val="0019519C"/>
    <w:rsid w:val="00195278"/>
    <w:rsid w:val="001956FC"/>
    <w:rsid w:val="00195739"/>
    <w:rsid w:val="00195F85"/>
    <w:rsid w:val="001963F8"/>
    <w:rsid w:val="00196938"/>
    <w:rsid w:val="00197AC8"/>
    <w:rsid w:val="001A0198"/>
    <w:rsid w:val="001A0E35"/>
    <w:rsid w:val="001A1050"/>
    <w:rsid w:val="001A1566"/>
    <w:rsid w:val="001A159D"/>
    <w:rsid w:val="001A2A19"/>
    <w:rsid w:val="001A3154"/>
    <w:rsid w:val="001A34A9"/>
    <w:rsid w:val="001A3B34"/>
    <w:rsid w:val="001A4CEB"/>
    <w:rsid w:val="001A5445"/>
    <w:rsid w:val="001A5662"/>
    <w:rsid w:val="001A63EF"/>
    <w:rsid w:val="001A6A2A"/>
    <w:rsid w:val="001A77FB"/>
    <w:rsid w:val="001A7D1D"/>
    <w:rsid w:val="001B0850"/>
    <w:rsid w:val="001B14F1"/>
    <w:rsid w:val="001B1BDD"/>
    <w:rsid w:val="001B1C3E"/>
    <w:rsid w:val="001B2063"/>
    <w:rsid w:val="001B2494"/>
    <w:rsid w:val="001B2960"/>
    <w:rsid w:val="001B29B5"/>
    <w:rsid w:val="001B2FAF"/>
    <w:rsid w:val="001B3316"/>
    <w:rsid w:val="001B3670"/>
    <w:rsid w:val="001B3924"/>
    <w:rsid w:val="001B3AEA"/>
    <w:rsid w:val="001B3D14"/>
    <w:rsid w:val="001B3FC8"/>
    <w:rsid w:val="001B42A4"/>
    <w:rsid w:val="001B456D"/>
    <w:rsid w:val="001B48DD"/>
    <w:rsid w:val="001B4F75"/>
    <w:rsid w:val="001B4F94"/>
    <w:rsid w:val="001B5075"/>
    <w:rsid w:val="001B51DD"/>
    <w:rsid w:val="001B5498"/>
    <w:rsid w:val="001B5A9F"/>
    <w:rsid w:val="001B5C7C"/>
    <w:rsid w:val="001B67F5"/>
    <w:rsid w:val="001B6BD0"/>
    <w:rsid w:val="001B6C1C"/>
    <w:rsid w:val="001B6C38"/>
    <w:rsid w:val="001B7085"/>
    <w:rsid w:val="001B7324"/>
    <w:rsid w:val="001B77AC"/>
    <w:rsid w:val="001B7A42"/>
    <w:rsid w:val="001C0764"/>
    <w:rsid w:val="001C0E2C"/>
    <w:rsid w:val="001C18BC"/>
    <w:rsid w:val="001C1C61"/>
    <w:rsid w:val="001C2ADF"/>
    <w:rsid w:val="001C2EB0"/>
    <w:rsid w:val="001C3315"/>
    <w:rsid w:val="001C3467"/>
    <w:rsid w:val="001C347F"/>
    <w:rsid w:val="001C3E07"/>
    <w:rsid w:val="001C4FEE"/>
    <w:rsid w:val="001C628E"/>
    <w:rsid w:val="001C6AD2"/>
    <w:rsid w:val="001C6DCE"/>
    <w:rsid w:val="001D01B7"/>
    <w:rsid w:val="001D026D"/>
    <w:rsid w:val="001D079C"/>
    <w:rsid w:val="001D0F89"/>
    <w:rsid w:val="001D16F5"/>
    <w:rsid w:val="001D1B95"/>
    <w:rsid w:val="001D2879"/>
    <w:rsid w:val="001D341D"/>
    <w:rsid w:val="001D3885"/>
    <w:rsid w:val="001D3C5A"/>
    <w:rsid w:val="001D4317"/>
    <w:rsid w:val="001D43AD"/>
    <w:rsid w:val="001D4542"/>
    <w:rsid w:val="001D45FF"/>
    <w:rsid w:val="001D4A58"/>
    <w:rsid w:val="001D5EEB"/>
    <w:rsid w:val="001D6AF6"/>
    <w:rsid w:val="001D6C87"/>
    <w:rsid w:val="001D71C8"/>
    <w:rsid w:val="001E0400"/>
    <w:rsid w:val="001E04B2"/>
    <w:rsid w:val="001E064C"/>
    <w:rsid w:val="001E08DE"/>
    <w:rsid w:val="001E0A1B"/>
    <w:rsid w:val="001E0F7B"/>
    <w:rsid w:val="001E139C"/>
    <w:rsid w:val="001E1690"/>
    <w:rsid w:val="001E175F"/>
    <w:rsid w:val="001E1CC6"/>
    <w:rsid w:val="001E2AFE"/>
    <w:rsid w:val="001E2C78"/>
    <w:rsid w:val="001E2F02"/>
    <w:rsid w:val="001E2FC8"/>
    <w:rsid w:val="001E3000"/>
    <w:rsid w:val="001E3888"/>
    <w:rsid w:val="001E3899"/>
    <w:rsid w:val="001E40CE"/>
    <w:rsid w:val="001E421D"/>
    <w:rsid w:val="001E4D18"/>
    <w:rsid w:val="001E4D24"/>
    <w:rsid w:val="001E61EB"/>
    <w:rsid w:val="001E67CC"/>
    <w:rsid w:val="001F0315"/>
    <w:rsid w:val="001F04E0"/>
    <w:rsid w:val="001F0B72"/>
    <w:rsid w:val="001F1264"/>
    <w:rsid w:val="001F1367"/>
    <w:rsid w:val="001F1A2C"/>
    <w:rsid w:val="001F1C54"/>
    <w:rsid w:val="001F2B60"/>
    <w:rsid w:val="001F3114"/>
    <w:rsid w:val="001F332A"/>
    <w:rsid w:val="001F44A7"/>
    <w:rsid w:val="001F4844"/>
    <w:rsid w:val="001F4D88"/>
    <w:rsid w:val="001F54AC"/>
    <w:rsid w:val="001F5569"/>
    <w:rsid w:val="001F5A70"/>
    <w:rsid w:val="001F5DE9"/>
    <w:rsid w:val="001F5FE9"/>
    <w:rsid w:val="001F6381"/>
    <w:rsid w:val="001F73A9"/>
    <w:rsid w:val="001F747E"/>
    <w:rsid w:val="001F7C27"/>
    <w:rsid w:val="0020074C"/>
    <w:rsid w:val="00200CFD"/>
    <w:rsid w:val="0020139A"/>
    <w:rsid w:val="00201941"/>
    <w:rsid w:val="00201ADA"/>
    <w:rsid w:val="002021BE"/>
    <w:rsid w:val="00202DE6"/>
    <w:rsid w:val="00203AD1"/>
    <w:rsid w:val="00203CAD"/>
    <w:rsid w:val="00203CF2"/>
    <w:rsid w:val="0020487B"/>
    <w:rsid w:val="002048BC"/>
    <w:rsid w:val="00204972"/>
    <w:rsid w:val="00204CF1"/>
    <w:rsid w:val="00204D01"/>
    <w:rsid w:val="00205042"/>
    <w:rsid w:val="002050FE"/>
    <w:rsid w:val="0020567E"/>
    <w:rsid w:val="00205C4A"/>
    <w:rsid w:val="00205F4A"/>
    <w:rsid w:val="00206A01"/>
    <w:rsid w:val="00207285"/>
    <w:rsid w:val="0020756F"/>
    <w:rsid w:val="0020763F"/>
    <w:rsid w:val="00207BA8"/>
    <w:rsid w:val="00207C0A"/>
    <w:rsid w:val="002105C0"/>
    <w:rsid w:val="002107DD"/>
    <w:rsid w:val="00210A75"/>
    <w:rsid w:val="00210B4F"/>
    <w:rsid w:val="00210FA9"/>
    <w:rsid w:val="002113A0"/>
    <w:rsid w:val="0021152C"/>
    <w:rsid w:val="002118D1"/>
    <w:rsid w:val="002119FD"/>
    <w:rsid w:val="002125A3"/>
    <w:rsid w:val="002125A9"/>
    <w:rsid w:val="00212927"/>
    <w:rsid w:val="002130E0"/>
    <w:rsid w:val="0021399A"/>
    <w:rsid w:val="00213F30"/>
    <w:rsid w:val="00214200"/>
    <w:rsid w:val="002144BB"/>
    <w:rsid w:val="00214612"/>
    <w:rsid w:val="00215B4C"/>
    <w:rsid w:val="00215DCA"/>
    <w:rsid w:val="002163F3"/>
    <w:rsid w:val="00216CB2"/>
    <w:rsid w:val="00220A92"/>
    <w:rsid w:val="0022104B"/>
    <w:rsid w:val="002214AC"/>
    <w:rsid w:val="00221A26"/>
    <w:rsid w:val="00221A3B"/>
    <w:rsid w:val="00221F46"/>
    <w:rsid w:val="0022211C"/>
    <w:rsid w:val="0022224B"/>
    <w:rsid w:val="00222CF7"/>
    <w:rsid w:val="0022384C"/>
    <w:rsid w:val="00224278"/>
    <w:rsid w:val="00224D0E"/>
    <w:rsid w:val="002250A5"/>
    <w:rsid w:val="00225393"/>
    <w:rsid w:val="00225AD9"/>
    <w:rsid w:val="00225EAF"/>
    <w:rsid w:val="002260D4"/>
    <w:rsid w:val="00226AB1"/>
    <w:rsid w:val="0022748C"/>
    <w:rsid w:val="0022782C"/>
    <w:rsid w:val="00227B51"/>
    <w:rsid w:val="00227C16"/>
    <w:rsid w:val="00227E85"/>
    <w:rsid w:val="00230AA8"/>
    <w:rsid w:val="00230DB0"/>
    <w:rsid w:val="00231088"/>
    <w:rsid w:val="002312FA"/>
    <w:rsid w:val="00232AD9"/>
    <w:rsid w:val="002331B2"/>
    <w:rsid w:val="00233DB2"/>
    <w:rsid w:val="00233F8B"/>
    <w:rsid w:val="002355FF"/>
    <w:rsid w:val="002356DE"/>
    <w:rsid w:val="00235D37"/>
    <w:rsid w:val="00235D57"/>
    <w:rsid w:val="00235DE9"/>
    <w:rsid w:val="00236531"/>
    <w:rsid w:val="002365E4"/>
    <w:rsid w:val="00236C4C"/>
    <w:rsid w:val="0023745F"/>
    <w:rsid w:val="00237567"/>
    <w:rsid w:val="002401A7"/>
    <w:rsid w:val="002402D7"/>
    <w:rsid w:val="00240B17"/>
    <w:rsid w:val="00240EE9"/>
    <w:rsid w:val="00242550"/>
    <w:rsid w:val="00242686"/>
    <w:rsid w:val="00242EBB"/>
    <w:rsid w:val="00242ECA"/>
    <w:rsid w:val="00242F78"/>
    <w:rsid w:val="0024344D"/>
    <w:rsid w:val="00244F53"/>
    <w:rsid w:val="00245008"/>
    <w:rsid w:val="002456AA"/>
    <w:rsid w:val="00245C13"/>
    <w:rsid w:val="00245E8A"/>
    <w:rsid w:val="002468B9"/>
    <w:rsid w:val="00246A36"/>
    <w:rsid w:val="002476FF"/>
    <w:rsid w:val="00247F27"/>
    <w:rsid w:val="00247F88"/>
    <w:rsid w:val="002500B9"/>
    <w:rsid w:val="00250EFB"/>
    <w:rsid w:val="00251277"/>
    <w:rsid w:val="0025143A"/>
    <w:rsid w:val="00251B91"/>
    <w:rsid w:val="00251FC0"/>
    <w:rsid w:val="00252387"/>
    <w:rsid w:val="00252F35"/>
    <w:rsid w:val="002535BB"/>
    <w:rsid w:val="002540C8"/>
    <w:rsid w:val="002541B8"/>
    <w:rsid w:val="00255325"/>
    <w:rsid w:val="00255333"/>
    <w:rsid w:val="00255DE6"/>
    <w:rsid w:val="0025715D"/>
    <w:rsid w:val="00257DCD"/>
    <w:rsid w:val="00260015"/>
    <w:rsid w:val="00260162"/>
    <w:rsid w:val="002601D8"/>
    <w:rsid w:val="00260201"/>
    <w:rsid w:val="00260974"/>
    <w:rsid w:val="00260E35"/>
    <w:rsid w:val="0026122C"/>
    <w:rsid w:val="002620EA"/>
    <w:rsid w:val="002624B9"/>
    <w:rsid w:val="002633D1"/>
    <w:rsid w:val="0026370B"/>
    <w:rsid w:val="002637ED"/>
    <w:rsid w:val="00263A3B"/>
    <w:rsid w:val="00263B25"/>
    <w:rsid w:val="00263BB2"/>
    <w:rsid w:val="00263EC5"/>
    <w:rsid w:val="00264425"/>
    <w:rsid w:val="00264D28"/>
    <w:rsid w:val="00265875"/>
    <w:rsid w:val="00265908"/>
    <w:rsid w:val="00265A16"/>
    <w:rsid w:val="002677AB"/>
    <w:rsid w:val="00267EBB"/>
    <w:rsid w:val="00270063"/>
    <w:rsid w:val="0027008D"/>
    <w:rsid w:val="0027016C"/>
    <w:rsid w:val="0027079B"/>
    <w:rsid w:val="00270842"/>
    <w:rsid w:val="00270960"/>
    <w:rsid w:val="002711A9"/>
    <w:rsid w:val="00271331"/>
    <w:rsid w:val="00271BB1"/>
    <w:rsid w:val="00272119"/>
    <w:rsid w:val="00272653"/>
    <w:rsid w:val="00272870"/>
    <w:rsid w:val="0027292C"/>
    <w:rsid w:val="00272963"/>
    <w:rsid w:val="00272A14"/>
    <w:rsid w:val="00272C1D"/>
    <w:rsid w:val="0027303B"/>
    <w:rsid w:val="002731A2"/>
    <w:rsid w:val="00273C09"/>
    <w:rsid w:val="00273E39"/>
    <w:rsid w:val="00273F9B"/>
    <w:rsid w:val="00274A79"/>
    <w:rsid w:val="00274A7A"/>
    <w:rsid w:val="00275152"/>
    <w:rsid w:val="00275509"/>
    <w:rsid w:val="0027571B"/>
    <w:rsid w:val="002758C9"/>
    <w:rsid w:val="00275B34"/>
    <w:rsid w:val="00275D14"/>
    <w:rsid w:val="00276574"/>
    <w:rsid w:val="00276996"/>
    <w:rsid w:val="00276F1E"/>
    <w:rsid w:val="002775D5"/>
    <w:rsid w:val="002776F4"/>
    <w:rsid w:val="00277CB7"/>
    <w:rsid w:val="00277DEA"/>
    <w:rsid w:val="002801C6"/>
    <w:rsid w:val="002808BF"/>
    <w:rsid w:val="00280AB8"/>
    <w:rsid w:val="00280B27"/>
    <w:rsid w:val="0028109B"/>
    <w:rsid w:val="0028110F"/>
    <w:rsid w:val="002819AD"/>
    <w:rsid w:val="002819FD"/>
    <w:rsid w:val="00282725"/>
    <w:rsid w:val="00282C3E"/>
    <w:rsid w:val="00283078"/>
    <w:rsid w:val="002835FD"/>
    <w:rsid w:val="00283638"/>
    <w:rsid w:val="002839B1"/>
    <w:rsid w:val="00283DBF"/>
    <w:rsid w:val="002844B9"/>
    <w:rsid w:val="00284C27"/>
    <w:rsid w:val="002859BB"/>
    <w:rsid w:val="00285AC1"/>
    <w:rsid w:val="00285DAE"/>
    <w:rsid w:val="00286A5C"/>
    <w:rsid w:val="00286D4E"/>
    <w:rsid w:val="00286F8E"/>
    <w:rsid w:val="002871DC"/>
    <w:rsid w:val="002875C7"/>
    <w:rsid w:val="00287BC8"/>
    <w:rsid w:val="00287F1C"/>
    <w:rsid w:val="00287FF6"/>
    <w:rsid w:val="00290649"/>
    <w:rsid w:val="002907EC"/>
    <w:rsid w:val="00290EDE"/>
    <w:rsid w:val="00291486"/>
    <w:rsid w:val="002916B4"/>
    <w:rsid w:val="00291B41"/>
    <w:rsid w:val="00292B34"/>
    <w:rsid w:val="002937CD"/>
    <w:rsid w:val="002939E5"/>
    <w:rsid w:val="00293ABB"/>
    <w:rsid w:val="002941A0"/>
    <w:rsid w:val="00294692"/>
    <w:rsid w:val="00294B15"/>
    <w:rsid w:val="00294B94"/>
    <w:rsid w:val="00294C66"/>
    <w:rsid w:val="00295448"/>
    <w:rsid w:val="00295BA3"/>
    <w:rsid w:val="00295D28"/>
    <w:rsid w:val="002966E3"/>
    <w:rsid w:val="002968BE"/>
    <w:rsid w:val="00296B02"/>
    <w:rsid w:val="00296C1B"/>
    <w:rsid w:val="00296D66"/>
    <w:rsid w:val="002978DA"/>
    <w:rsid w:val="00297CD0"/>
    <w:rsid w:val="002A0615"/>
    <w:rsid w:val="002A133E"/>
    <w:rsid w:val="002A1361"/>
    <w:rsid w:val="002A147A"/>
    <w:rsid w:val="002A1908"/>
    <w:rsid w:val="002A211E"/>
    <w:rsid w:val="002A2188"/>
    <w:rsid w:val="002A25A3"/>
    <w:rsid w:val="002A29E4"/>
    <w:rsid w:val="002A3597"/>
    <w:rsid w:val="002A387B"/>
    <w:rsid w:val="002A39E6"/>
    <w:rsid w:val="002A421D"/>
    <w:rsid w:val="002A441B"/>
    <w:rsid w:val="002A455E"/>
    <w:rsid w:val="002A4D6F"/>
    <w:rsid w:val="002A51B2"/>
    <w:rsid w:val="002A6EE0"/>
    <w:rsid w:val="002A73F0"/>
    <w:rsid w:val="002A7915"/>
    <w:rsid w:val="002A7CC9"/>
    <w:rsid w:val="002A7F2A"/>
    <w:rsid w:val="002A7FD6"/>
    <w:rsid w:val="002B0A1E"/>
    <w:rsid w:val="002B0A3F"/>
    <w:rsid w:val="002B1238"/>
    <w:rsid w:val="002B12C2"/>
    <w:rsid w:val="002B14CE"/>
    <w:rsid w:val="002B1CDB"/>
    <w:rsid w:val="002B1F58"/>
    <w:rsid w:val="002B2122"/>
    <w:rsid w:val="002B2916"/>
    <w:rsid w:val="002B2989"/>
    <w:rsid w:val="002B2E18"/>
    <w:rsid w:val="002B34E7"/>
    <w:rsid w:val="002B3A8F"/>
    <w:rsid w:val="002B3ECF"/>
    <w:rsid w:val="002B3EDC"/>
    <w:rsid w:val="002B41C3"/>
    <w:rsid w:val="002B4367"/>
    <w:rsid w:val="002B43F1"/>
    <w:rsid w:val="002B4DAD"/>
    <w:rsid w:val="002B5B4B"/>
    <w:rsid w:val="002B608D"/>
    <w:rsid w:val="002B65FE"/>
    <w:rsid w:val="002B6B7D"/>
    <w:rsid w:val="002B7761"/>
    <w:rsid w:val="002B7D0E"/>
    <w:rsid w:val="002C0947"/>
    <w:rsid w:val="002C1C7A"/>
    <w:rsid w:val="002C1F3B"/>
    <w:rsid w:val="002C211B"/>
    <w:rsid w:val="002C2653"/>
    <w:rsid w:val="002C2FDD"/>
    <w:rsid w:val="002C34F7"/>
    <w:rsid w:val="002C3C64"/>
    <w:rsid w:val="002C3F32"/>
    <w:rsid w:val="002C4582"/>
    <w:rsid w:val="002C4BB7"/>
    <w:rsid w:val="002C4EBB"/>
    <w:rsid w:val="002C5346"/>
    <w:rsid w:val="002C54E2"/>
    <w:rsid w:val="002C55EE"/>
    <w:rsid w:val="002C567F"/>
    <w:rsid w:val="002C68A0"/>
    <w:rsid w:val="002C6EDD"/>
    <w:rsid w:val="002C7068"/>
    <w:rsid w:val="002C7718"/>
    <w:rsid w:val="002C77A5"/>
    <w:rsid w:val="002C77DB"/>
    <w:rsid w:val="002D084D"/>
    <w:rsid w:val="002D0CE2"/>
    <w:rsid w:val="002D120D"/>
    <w:rsid w:val="002D16FF"/>
    <w:rsid w:val="002D1B14"/>
    <w:rsid w:val="002D1BD8"/>
    <w:rsid w:val="002D21FA"/>
    <w:rsid w:val="002D2C98"/>
    <w:rsid w:val="002D30A5"/>
    <w:rsid w:val="002D359E"/>
    <w:rsid w:val="002D3867"/>
    <w:rsid w:val="002D45F7"/>
    <w:rsid w:val="002D460F"/>
    <w:rsid w:val="002D4B57"/>
    <w:rsid w:val="002D59B9"/>
    <w:rsid w:val="002D5A25"/>
    <w:rsid w:val="002D5B39"/>
    <w:rsid w:val="002D5BAA"/>
    <w:rsid w:val="002D5C98"/>
    <w:rsid w:val="002D6D73"/>
    <w:rsid w:val="002D6F65"/>
    <w:rsid w:val="002D77C3"/>
    <w:rsid w:val="002D7F59"/>
    <w:rsid w:val="002E0802"/>
    <w:rsid w:val="002E0978"/>
    <w:rsid w:val="002E09F2"/>
    <w:rsid w:val="002E0E42"/>
    <w:rsid w:val="002E12F3"/>
    <w:rsid w:val="002E190C"/>
    <w:rsid w:val="002E1FD5"/>
    <w:rsid w:val="002E2199"/>
    <w:rsid w:val="002E220F"/>
    <w:rsid w:val="002E26A6"/>
    <w:rsid w:val="002E2D0D"/>
    <w:rsid w:val="002E31A5"/>
    <w:rsid w:val="002E3433"/>
    <w:rsid w:val="002E3D60"/>
    <w:rsid w:val="002E429E"/>
    <w:rsid w:val="002E445F"/>
    <w:rsid w:val="002E450A"/>
    <w:rsid w:val="002E4EF5"/>
    <w:rsid w:val="002E4F6C"/>
    <w:rsid w:val="002E51C3"/>
    <w:rsid w:val="002E58B5"/>
    <w:rsid w:val="002E5A37"/>
    <w:rsid w:val="002E62AB"/>
    <w:rsid w:val="002E6778"/>
    <w:rsid w:val="002E7C13"/>
    <w:rsid w:val="002F069D"/>
    <w:rsid w:val="002F06EC"/>
    <w:rsid w:val="002F097C"/>
    <w:rsid w:val="002F16A0"/>
    <w:rsid w:val="002F185E"/>
    <w:rsid w:val="002F2046"/>
    <w:rsid w:val="002F231B"/>
    <w:rsid w:val="002F258A"/>
    <w:rsid w:val="002F28CD"/>
    <w:rsid w:val="002F2A4E"/>
    <w:rsid w:val="002F2D62"/>
    <w:rsid w:val="002F35F6"/>
    <w:rsid w:val="002F3D74"/>
    <w:rsid w:val="002F3F84"/>
    <w:rsid w:val="002F496F"/>
    <w:rsid w:val="002F49BE"/>
    <w:rsid w:val="002F49E6"/>
    <w:rsid w:val="002F4B11"/>
    <w:rsid w:val="002F50A0"/>
    <w:rsid w:val="002F51FD"/>
    <w:rsid w:val="002F5201"/>
    <w:rsid w:val="002F5250"/>
    <w:rsid w:val="002F558B"/>
    <w:rsid w:val="002F696C"/>
    <w:rsid w:val="002F7AA4"/>
    <w:rsid w:val="002F7C25"/>
    <w:rsid w:val="00300DB0"/>
    <w:rsid w:val="00301349"/>
    <w:rsid w:val="0030160F"/>
    <w:rsid w:val="00301690"/>
    <w:rsid w:val="0030226F"/>
    <w:rsid w:val="00302719"/>
    <w:rsid w:val="0030291B"/>
    <w:rsid w:val="00302B9B"/>
    <w:rsid w:val="003030D9"/>
    <w:rsid w:val="00303C33"/>
    <w:rsid w:val="00303CD0"/>
    <w:rsid w:val="003052D5"/>
    <w:rsid w:val="003053D2"/>
    <w:rsid w:val="003064B2"/>
    <w:rsid w:val="00306F07"/>
    <w:rsid w:val="003074A0"/>
    <w:rsid w:val="00307C3B"/>
    <w:rsid w:val="00310567"/>
    <w:rsid w:val="00310878"/>
    <w:rsid w:val="00310B05"/>
    <w:rsid w:val="00310CA7"/>
    <w:rsid w:val="00311635"/>
    <w:rsid w:val="003117B6"/>
    <w:rsid w:val="0031185B"/>
    <w:rsid w:val="00311A99"/>
    <w:rsid w:val="00311E6C"/>
    <w:rsid w:val="0031251C"/>
    <w:rsid w:val="003127BC"/>
    <w:rsid w:val="00313508"/>
    <w:rsid w:val="00313798"/>
    <w:rsid w:val="00313B44"/>
    <w:rsid w:val="00313D32"/>
    <w:rsid w:val="00314009"/>
    <w:rsid w:val="00314034"/>
    <w:rsid w:val="003143EA"/>
    <w:rsid w:val="0031461C"/>
    <w:rsid w:val="003148E2"/>
    <w:rsid w:val="00314BA6"/>
    <w:rsid w:val="00314BF1"/>
    <w:rsid w:val="00314D6C"/>
    <w:rsid w:val="00314DC6"/>
    <w:rsid w:val="003150D9"/>
    <w:rsid w:val="003157DA"/>
    <w:rsid w:val="00316014"/>
    <w:rsid w:val="00316604"/>
    <w:rsid w:val="003168AC"/>
    <w:rsid w:val="003169E2"/>
    <w:rsid w:val="0031704F"/>
    <w:rsid w:val="00317586"/>
    <w:rsid w:val="003178C4"/>
    <w:rsid w:val="00320223"/>
    <w:rsid w:val="003205B0"/>
    <w:rsid w:val="003206CD"/>
    <w:rsid w:val="003215E2"/>
    <w:rsid w:val="003229BC"/>
    <w:rsid w:val="00322D0D"/>
    <w:rsid w:val="00322FC5"/>
    <w:rsid w:val="00322FFF"/>
    <w:rsid w:val="0032364C"/>
    <w:rsid w:val="00323DF2"/>
    <w:rsid w:val="00323F33"/>
    <w:rsid w:val="00324190"/>
    <w:rsid w:val="0032419E"/>
    <w:rsid w:val="00324935"/>
    <w:rsid w:val="00324B51"/>
    <w:rsid w:val="003251B6"/>
    <w:rsid w:val="003257AF"/>
    <w:rsid w:val="0032587E"/>
    <w:rsid w:val="00325AD3"/>
    <w:rsid w:val="0032618C"/>
    <w:rsid w:val="003262FD"/>
    <w:rsid w:val="00326AED"/>
    <w:rsid w:val="00326BDE"/>
    <w:rsid w:val="00327673"/>
    <w:rsid w:val="00327908"/>
    <w:rsid w:val="00327B05"/>
    <w:rsid w:val="00327EEB"/>
    <w:rsid w:val="003300B1"/>
    <w:rsid w:val="0033076E"/>
    <w:rsid w:val="00331099"/>
    <w:rsid w:val="003317F5"/>
    <w:rsid w:val="00331D2A"/>
    <w:rsid w:val="00331F8D"/>
    <w:rsid w:val="00332784"/>
    <w:rsid w:val="00332A49"/>
    <w:rsid w:val="00333352"/>
    <w:rsid w:val="003336FC"/>
    <w:rsid w:val="00333AE2"/>
    <w:rsid w:val="00333D65"/>
    <w:rsid w:val="00333F2E"/>
    <w:rsid w:val="00335252"/>
    <w:rsid w:val="00335AF7"/>
    <w:rsid w:val="00336415"/>
    <w:rsid w:val="00336B1F"/>
    <w:rsid w:val="0033721B"/>
    <w:rsid w:val="00337316"/>
    <w:rsid w:val="003373D3"/>
    <w:rsid w:val="003374D1"/>
    <w:rsid w:val="00337BCE"/>
    <w:rsid w:val="003410E3"/>
    <w:rsid w:val="00341C46"/>
    <w:rsid w:val="003421FF"/>
    <w:rsid w:val="00342257"/>
    <w:rsid w:val="00342453"/>
    <w:rsid w:val="00342A81"/>
    <w:rsid w:val="00342AF2"/>
    <w:rsid w:val="00342B44"/>
    <w:rsid w:val="00342F1C"/>
    <w:rsid w:val="003432F3"/>
    <w:rsid w:val="003434B3"/>
    <w:rsid w:val="00343C57"/>
    <w:rsid w:val="00343E42"/>
    <w:rsid w:val="00343F10"/>
    <w:rsid w:val="00344F87"/>
    <w:rsid w:val="0034515C"/>
    <w:rsid w:val="00345674"/>
    <w:rsid w:val="00345A05"/>
    <w:rsid w:val="00345BA8"/>
    <w:rsid w:val="0034605D"/>
    <w:rsid w:val="00346A29"/>
    <w:rsid w:val="0034714E"/>
    <w:rsid w:val="00347198"/>
    <w:rsid w:val="00347EBE"/>
    <w:rsid w:val="00347FD1"/>
    <w:rsid w:val="003503A7"/>
    <w:rsid w:val="00350527"/>
    <w:rsid w:val="003506C1"/>
    <w:rsid w:val="00350833"/>
    <w:rsid w:val="00350C54"/>
    <w:rsid w:val="0035188F"/>
    <w:rsid w:val="00352142"/>
    <w:rsid w:val="00352DE7"/>
    <w:rsid w:val="00352E3E"/>
    <w:rsid w:val="00353992"/>
    <w:rsid w:val="00354251"/>
    <w:rsid w:val="003542C1"/>
    <w:rsid w:val="00354353"/>
    <w:rsid w:val="003543F8"/>
    <w:rsid w:val="003544C2"/>
    <w:rsid w:val="00354E95"/>
    <w:rsid w:val="00355571"/>
    <w:rsid w:val="00355936"/>
    <w:rsid w:val="00355A78"/>
    <w:rsid w:val="00355F9B"/>
    <w:rsid w:val="00355FC4"/>
    <w:rsid w:val="003562B2"/>
    <w:rsid w:val="0035648E"/>
    <w:rsid w:val="00356D50"/>
    <w:rsid w:val="00356E18"/>
    <w:rsid w:val="0035737B"/>
    <w:rsid w:val="00357CD2"/>
    <w:rsid w:val="0036027E"/>
    <w:rsid w:val="00360F1A"/>
    <w:rsid w:val="00361465"/>
    <w:rsid w:val="003614BD"/>
    <w:rsid w:val="0036183A"/>
    <w:rsid w:val="003624A4"/>
    <w:rsid w:val="00362ACC"/>
    <w:rsid w:val="00362C08"/>
    <w:rsid w:val="0036333F"/>
    <w:rsid w:val="00363357"/>
    <w:rsid w:val="003633FD"/>
    <w:rsid w:val="00363939"/>
    <w:rsid w:val="00363E47"/>
    <w:rsid w:val="00364146"/>
    <w:rsid w:val="003642F5"/>
    <w:rsid w:val="00364785"/>
    <w:rsid w:val="00364798"/>
    <w:rsid w:val="00365090"/>
    <w:rsid w:val="003653D4"/>
    <w:rsid w:val="003655E8"/>
    <w:rsid w:val="00365E09"/>
    <w:rsid w:val="00365E11"/>
    <w:rsid w:val="00365E1B"/>
    <w:rsid w:val="00365F93"/>
    <w:rsid w:val="00366B2F"/>
    <w:rsid w:val="00366EC1"/>
    <w:rsid w:val="00367000"/>
    <w:rsid w:val="0036726C"/>
    <w:rsid w:val="00367983"/>
    <w:rsid w:val="00370258"/>
    <w:rsid w:val="00370A2A"/>
    <w:rsid w:val="003710E4"/>
    <w:rsid w:val="00371870"/>
    <w:rsid w:val="00371888"/>
    <w:rsid w:val="00371E12"/>
    <w:rsid w:val="00372122"/>
    <w:rsid w:val="003728C8"/>
    <w:rsid w:val="00372CF9"/>
    <w:rsid w:val="00372D86"/>
    <w:rsid w:val="00374808"/>
    <w:rsid w:val="00374CDF"/>
    <w:rsid w:val="00374F23"/>
    <w:rsid w:val="0037518A"/>
    <w:rsid w:val="00375AC6"/>
    <w:rsid w:val="00375C77"/>
    <w:rsid w:val="00376613"/>
    <w:rsid w:val="00377001"/>
    <w:rsid w:val="0037731F"/>
    <w:rsid w:val="003777B4"/>
    <w:rsid w:val="00380FC9"/>
    <w:rsid w:val="003815D4"/>
    <w:rsid w:val="0038242B"/>
    <w:rsid w:val="003824E3"/>
    <w:rsid w:val="00382677"/>
    <w:rsid w:val="00382A2F"/>
    <w:rsid w:val="00382C4B"/>
    <w:rsid w:val="00382D0D"/>
    <w:rsid w:val="00384165"/>
    <w:rsid w:val="003846DD"/>
    <w:rsid w:val="0038493E"/>
    <w:rsid w:val="00385113"/>
    <w:rsid w:val="00385831"/>
    <w:rsid w:val="003874AB"/>
    <w:rsid w:val="003874E5"/>
    <w:rsid w:val="003877F5"/>
    <w:rsid w:val="00387C48"/>
    <w:rsid w:val="003914CC"/>
    <w:rsid w:val="003918E5"/>
    <w:rsid w:val="00391BF3"/>
    <w:rsid w:val="00392DEB"/>
    <w:rsid w:val="003933CF"/>
    <w:rsid w:val="003934E7"/>
    <w:rsid w:val="0039360D"/>
    <w:rsid w:val="003936D3"/>
    <w:rsid w:val="00393B64"/>
    <w:rsid w:val="00393CDF"/>
    <w:rsid w:val="003942D4"/>
    <w:rsid w:val="00394878"/>
    <w:rsid w:val="00394923"/>
    <w:rsid w:val="003958A8"/>
    <w:rsid w:val="00395922"/>
    <w:rsid w:val="00395AA7"/>
    <w:rsid w:val="0039644D"/>
    <w:rsid w:val="00397151"/>
    <w:rsid w:val="003A0590"/>
    <w:rsid w:val="003A1258"/>
    <w:rsid w:val="003A1824"/>
    <w:rsid w:val="003A18E4"/>
    <w:rsid w:val="003A1D82"/>
    <w:rsid w:val="003A22FD"/>
    <w:rsid w:val="003A2AAB"/>
    <w:rsid w:val="003A2D2C"/>
    <w:rsid w:val="003A2F31"/>
    <w:rsid w:val="003A35F8"/>
    <w:rsid w:val="003A3902"/>
    <w:rsid w:val="003A3A15"/>
    <w:rsid w:val="003A3A49"/>
    <w:rsid w:val="003A3FF0"/>
    <w:rsid w:val="003A5178"/>
    <w:rsid w:val="003A52EB"/>
    <w:rsid w:val="003A5470"/>
    <w:rsid w:val="003A5A41"/>
    <w:rsid w:val="003A6E26"/>
    <w:rsid w:val="003A6FD5"/>
    <w:rsid w:val="003A6FEC"/>
    <w:rsid w:val="003A7093"/>
    <w:rsid w:val="003A7270"/>
    <w:rsid w:val="003A72E6"/>
    <w:rsid w:val="003A7E90"/>
    <w:rsid w:val="003B0035"/>
    <w:rsid w:val="003B0172"/>
    <w:rsid w:val="003B0807"/>
    <w:rsid w:val="003B0B12"/>
    <w:rsid w:val="003B0E9A"/>
    <w:rsid w:val="003B0ED3"/>
    <w:rsid w:val="003B1E00"/>
    <w:rsid w:val="003B2191"/>
    <w:rsid w:val="003B29C2"/>
    <w:rsid w:val="003B2EF4"/>
    <w:rsid w:val="003B2EF7"/>
    <w:rsid w:val="003B3127"/>
    <w:rsid w:val="003B38F6"/>
    <w:rsid w:val="003B3F11"/>
    <w:rsid w:val="003B434E"/>
    <w:rsid w:val="003B4414"/>
    <w:rsid w:val="003B4633"/>
    <w:rsid w:val="003B4857"/>
    <w:rsid w:val="003B48A2"/>
    <w:rsid w:val="003B4FAF"/>
    <w:rsid w:val="003B4FD8"/>
    <w:rsid w:val="003B5606"/>
    <w:rsid w:val="003B5DC9"/>
    <w:rsid w:val="003B5E90"/>
    <w:rsid w:val="003B6501"/>
    <w:rsid w:val="003B7618"/>
    <w:rsid w:val="003B77B2"/>
    <w:rsid w:val="003B7971"/>
    <w:rsid w:val="003C009F"/>
    <w:rsid w:val="003C0380"/>
    <w:rsid w:val="003C080E"/>
    <w:rsid w:val="003C0C7E"/>
    <w:rsid w:val="003C1153"/>
    <w:rsid w:val="003C14D1"/>
    <w:rsid w:val="003C2352"/>
    <w:rsid w:val="003C24CE"/>
    <w:rsid w:val="003C2533"/>
    <w:rsid w:val="003C33BD"/>
    <w:rsid w:val="003C4090"/>
    <w:rsid w:val="003C4363"/>
    <w:rsid w:val="003C46AE"/>
    <w:rsid w:val="003C4EB2"/>
    <w:rsid w:val="003C5034"/>
    <w:rsid w:val="003C5D1A"/>
    <w:rsid w:val="003C60C9"/>
    <w:rsid w:val="003C66DE"/>
    <w:rsid w:val="003C686C"/>
    <w:rsid w:val="003C707E"/>
    <w:rsid w:val="003C76A5"/>
    <w:rsid w:val="003C7CD2"/>
    <w:rsid w:val="003D0A1D"/>
    <w:rsid w:val="003D180B"/>
    <w:rsid w:val="003D1B71"/>
    <w:rsid w:val="003D1BF2"/>
    <w:rsid w:val="003D210E"/>
    <w:rsid w:val="003D21D5"/>
    <w:rsid w:val="003D23A5"/>
    <w:rsid w:val="003D2596"/>
    <w:rsid w:val="003D2616"/>
    <w:rsid w:val="003D2A55"/>
    <w:rsid w:val="003D32EE"/>
    <w:rsid w:val="003D3A23"/>
    <w:rsid w:val="003D3B60"/>
    <w:rsid w:val="003D404A"/>
    <w:rsid w:val="003D4A41"/>
    <w:rsid w:val="003D4E83"/>
    <w:rsid w:val="003D4FF1"/>
    <w:rsid w:val="003D5096"/>
    <w:rsid w:val="003D557B"/>
    <w:rsid w:val="003D5A7F"/>
    <w:rsid w:val="003D6607"/>
    <w:rsid w:val="003D6918"/>
    <w:rsid w:val="003D69AC"/>
    <w:rsid w:val="003D6F5B"/>
    <w:rsid w:val="003D7545"/>
    <w:rsid w:val="003D7BA0"/>
    <w:rsid w:val="003E016A"/>
    <w:rsid w:val="003E0190"/>
    <w:rsid w:val="003E05F0"/>
    <w:rsid w:val="003E0AA9"/>
    <w:rsid w:val="003E1590"/>
    <w:rsid w:val="003E238C"/>
    <w:rsid w:val="003E2C49"/>
    <w:rsid w:val="003E3232"/>
    <w:rsid w:val="003E33A2"/>
    <w:rsid w:val="003E3662"/>
    <w:rsid w:val="003E3761"/>
    <w:rsid w:val="003E38A7"/>
    <w:rsid w:val="003E3DE1"/>
    <w:rsid w:val="003E3E5A"/>
    <w:rsid w:val="003E49D4"/>
    <w:rsid w:val="003E4B3F"/>
    <w:rsid w:val="003E4C5C"/>
    <w:rsid w:val="003E5CFA"/>
    <w:rsid w:val="003E5E66"/>
    <w:rsid w:val="003E615F"/>
    <w:rsid w:val="003E67FC"/>
    <w:rsid w:val="003E6BD7"/>
    <w:rsid w:val="003E6D0E"/>
    <w:rsid w:val="003E6F6E"/>
    <w:rsid w:val="003E6F93"/>
    <w:rsid w:val="003E710B"/>
    <w:rsid w:val="003E7533"/>
    <w:rsid w:val="003E7E11"/>
    <w:rsid w:val="003F0228"/>
    <w:rsid w:val="003F0771"/>
    <w:rsid w:val="003F0F98"/>
    <w:rsid w:val="003F1B4F"/>
    <w:rsid w:val="003F1C70"/>
    <w:rsid w:val="003F1F14"/>
    <w:rsid w:val="003F1F1F"/>
    <w:rsid w:val="003F27D2"/>
    <w:rsid w:val="003F2933"/>
    <w:rsid w:val="003F2B01"/>
    <w:rsid w:val="003F3174"/>
    <w:rsid w:val="003F33D1"/>
    <w:rsid w:val="003F342C"/>
    <w:rsid w:val="003F3463"/>
    <w:rsid w:val="003F457F"/>
    <w:rsid w:val="003F4C38"/>
    <w:rsid w:val="003F4D8B"/>
    <w:rsid w:val="003F523E"/>
    <w:rsid w:val="003F5376"/>
    <w:rsid w:val="003F53B8"/>
    <w:rsid w:val="003F5969"/>
    <w:rsid w:val="003F5D17"/>
    <w:rsid w:val="003F5FDD"/>
    <w:rsid w:val="003F6039"/>
    <w:rsid w:val="003F6444"/>
    <w:rsid w:val="003F67D5"/>
    <w:rsid w:val="003F6E77"/>
    <w:rsid w:val="003F7231"/>
    <w:rsid w:val="003F74A4"/>
    <w:rsid w:val="003F763D"/>
    <w:rsid w:val="003F79A9"/>
    <w:rsid w:val="003F7C63"/>
    <w:rsid w:val="003F7D3F"/>
    <w:rsid w:val="00400E19"/>
    <w:rsid w:val="00401897"/>
    <w:rsid w:val="0040202C"/>
    <w:rsid w:val="00402735"/>
    <w:rsid w:val="00403422"/>
    <w:rsid w:val="00403A21"/>
    <w:rsid w:val="00403A6A"/>
    <w:rsid w:val="00403D29"/>
    <w:rsid w:val="0040435A"/>
    <w:rsid w:val="00405144"/>
    <w:rsid w:val="004055F8"/>
    <w:rsid w:val="004059A5"/>
    <w:rsid w:val="00405C98"/>
    <w:rsid w:val="00406BAD"/>
    <w:rsid w:val="00406CDB"/>
    <w:rsid w:val="004072B1"/>
    <w:rsid w:val="0040768C"/>
    <w:rsid w:val="004077A7"/>
    <w:rsid w:val="00411517"/>
    <w:rsid w:val="004128EA"/>
    <w:rsid w:val="004131A0"/>
    <w:rsid w:val="004134C0"/>
    <w:rsid w:val="0041386C"/>
    <w:rsid w:val="0041472B"/>
    <w:rsid w:val="00415A24"/>
    <w:rsid w:val="00415D68"/>
    <w:rsid w:val="004163A6"/>
    <w:rsid w:val="004163EF"/>
    <w:rsid w:val="00416993"/>
    <w:rsid w:val="00416A21"/>
    <w:rsid w:val="00416A24"/>
    <w:rsid w:val="004171F6"/>
    <w:rsid w:val="0041725A"/>
    <w:rsid w:val="00417B83"/>
    <w:rsid w:val="00417D3F"/>
    <w:rsid w:val="0042043C"/>
    <w:rsid w:val="00420B46"/>
    <w:rsid w:val="004211D9"/>
    <w:rsid w:val="0042120F"/>
    <w:rsid w:val="0042127F"/>
    <w:rsid w:val="0042139B"/>
    <w:rsid w:val="00421F5E"/>
    <w:rsid w:val="00422113"/>
    <w:rsid w:val="00422466"/>
    <w:rsid w:val="0042258A"/>
    <w:rsid w:val="004225A4"/>
    <w:rsid w:val="00423AF4"/>
    <w:rsid w:val="00423B71"/>
    <w:rsid w:val="00423C98"/>
    <w:rsid w:val="004240F1"/>
    <w:rsid w:val="00424302"/>
    <w:rsid w:val="00424940"/>
    <w:rsid w:val="00425239"/>
    <w:rsid w:val="004258EE"/>
    <w:rsid w:val="004268B4"/>
    <w:rsid w:val="00426908"/>
    <w:rsid w:val="004271C2"/>
    <w:rsid w:val="00427292"/>
    <w:rsid w:val="004272FD"/>
    <w:rsid w:val="004309AD"/>
    <w:rsid w:val="00431522"/>
    <w:rsid w:val="00431D9D"/>
    <w:rsid w:val="00431D9E"/>
    <w:rsid w:val="004320C3"/>
    <w:rsid w:val="00432D56"/>
    <w:rsid w:val="00433124"/>
    <w:rsid w:val="0043352E"/>
    <w:rsid w:val="00433713"/>
    <w:rsid w:val="00433C6A"/>
    <w:rsid w:val="00433CE8"/>
    <w:rsid w:val="004342AF"/>
    <w:rsid w:val="00434A5C"/>
    <w:rsid w:val="00434D7C"/>
    <w:rsid w:val="00435A41"/>
    <w:rsid w:val="0043697F"/>
    <w:rsid w:val="00436A83"/>
    <w:rsid w:val="004401EE"/>
    <w:rsid w:val="00442343"/>
    <w:rsid w:val="004425DD"/>
    <w:rsid w:val="004432E8"/>
    <w:rsid w:val="004438AB"/>
    <w:rsid w:val="00444003"/>
    <w:rsid w:val="0044458F"/>
    <w:rsid w:val="00444927"/>
    <w:rsid w:val="00444A40"/>
    <w:rsid w:val="00444D28"/>
    <w:rsid w:val="00444D61"/>
    <w:rsid w:val="00445617"/>
    <w:rsid w:val="00445BAC"/>
    <w:rsid w:val="00445EEB"/>
    <w:rsid w:val="00446037"/>
    <w:rsid w:val="00446A7A"/>
    <w:rsid w:val="00446F10"/>
    <w:rsid w:val="004472F0"/>
    <w:rsid w:val="00447355"/>
    <w:rsid w:val="00447380"/>
    <w:rsid w:val="004504E9"/>
    <w:rsid w:val="004515E6"/>
    <w:rsid w:val="00451951"/>
    <w:rsid w:val="00452E31"/>
    <w:rsid w:val="00452F99"/>
    <w:rsid w:val="00453079"/>
    <w:rsid w:val="004534E8"/>
    <w:rsid w:val="00453BE5"/>
    <w:rsid w:val="004544D9"/>
    <w:rsid w:val="004545C6"/>
    <w:rsid w:val="00454EAC"/>
    <w:rsid w:val="004550F7"/>
    <w:rsid w:val="004556E5"/>
    <w:rsid w:val="004559A8"/>
    <w:rsid w:val="0045689E"/>
    <w:rsid w:val="00456A0F"/>
    <w:rsid w:val="00456F1E"/>
    <w:rsid w:val="00457104"/>
    <w:rsid w:val="004573F3"/>
    <w:rsid w:val="00457E84"/>
    <w:rsid w:val="00457F4A"/>
    <w:rsid w:val="00460362"/>
    <w:rsid w:val="00460CEF"/>
    <w:rsid w:val="00462AF6"/>
    <w:rsid w:val="00463618"/>
    <w:rsid w:val="00463802"/>
    <w:rsid w:val="00463EB5"/>
    <w:rsid w:val="00463FC4"/>
    <w:rsid w:val="00464056"/>
    <w:rsid w:val="0046465B"/>
    <w:rsid w:val="00464814"/>
    <w:rsid w:val="00464CAF"/>
    <w:rsid w:val="00464FA3"/>
    <w:rsid w:val="00465564"/>
    <w:rsid w:val="00465893"/>
    <w:rsid w:val="004658AD"/>
    <w:rsid w:val="00465B07"/>
    <w:rsid w:val="00465C35"/>
    <w:rsid w:val="00466BDB"/>
    <w:rsid w:val="00466CEE"/>
    <w:rsid w:val="00467915"/>
    <w:rsid w:val="00467BFC"/>
    <w:rsid w:val="00470361"/>
    <w:rsid w:val="00470431"/>
    <w:rsid w:val="00470497"/>
    <w:rsid w:val="004704AA"/>
    <w:rsid w:val="004709B2"/>
    <w:rsid w:val="00470ED9"/>
    <w:rsid w:val="004715F0"/>
    <w:rsid w:val="00471B3E"/>
    <w:rsid w:val="00471F0D"/>
    <w:rsid w:val="004722A0"/>
    <w:rsid w:val="00472376"/>
    <w:rsid w:val="00472BAD"/>
    <w:rsid w:val="00472D06"/>
    <w:rsid w:val="00472E65"/>
    <w:rsid w:val="004732AF"/>
    <w:rsid w:val="00473353"/>
    <w:rsid w:val="00473C7B"/>
    <w:rsid w:val="00473D32"/>
    <w:rsid w:val="00474075"/>
    <w:rsid w:val="00474473"/>
    <w:rsid w:val="00474539"/>
    <w:rsid w:val="00474E2F"/>
    <w:rsid w:val="004758B3"/>
    <w:rsid w:val="00475A17"/>
    <w:rsid w:val="00475EF9"/>
    <w:rsid w:val="00476ACC"/>
    <w:rsid w:val="00476E8A"/>
    <w:rsid w:val="0048012B"/>
    <w:rsid w:val="0048053E"/>
    <w:rsid w:val="00481C27"/>
    <w:rsid w:val="00481C40"/>
    <w:rsid w:val="004820AA"/>
    <w:rsid w:val="0048219E"/>
    <w:rsid w:val="00482CE6"/>
    <w:rsid w:val="00482DE7"/>
    <w:rsid w:val="0048332F"/>
    <w:rsid w:val="00483B19"/>
    <w:rsid w:val="00484009"/>
    <w:rsid w:val="00484053"/>
    <w:rsid w:val="0048437B"/>
    <w:rsid w:val="00484BEE"/>
    <w:rsid w:val="0048586F"/>
    <w:rsid w:val="00486075"/>
    <w:rsid w:val="00486524"/>
    <w:rsid w:val="004868E9"/>
    <w:rsid w:val="00486E73"/>
    <w:rsid w:val="00487045"/>
    <w:rsid w:val="00490063"/>
    <w:rsid w:val="00490DA4"/>
    <w:rsid w:val="00490E72"/>
    <w:rsid w:val="00491157"/>
    <w:rsid w:val="00491BA9"/>
    <w:rsid w:val="004921C8"/>
    <w:rsid w:val="004930D4"/>
    <w:rsid w:val="00493103"/>
    <w:rsid w:val="0049369C"/>
    <w:rsid w:val="00493E63"/>
    <w:rsid w:val="004942F3"/>
    <w:rsid w:val="0049433D"/>
    <w:rsid w:val="00494E06"/>
    <w:rsid w:val="00495615"/>
    <w:rsid w:val="004959EF"/>
    <w:rsid w:val="00495B0B"/>
    <w:rsid w:val="00495C00"/>
    <w:rsid w:val="0049622E"/>
    <w:rsid w:val="00496AFA"/>
    <w:rsid w:val="00496B6A"/>
    <w:rsid w:val="00496EB2"/>
    <w:rsid w:val="0049715B"/>
    <w:rsid w:val="00497581"/>
    <w:rsid w:val="00497DA3"/>
    <w:rsid w:val="00497E08"/>
    <w:rsid w:val="004A136B"/>
    <w:rsid w:val="004A1441"/>
    <w:rsid w:val="004A1472"/>
    <w:rsid w:val="004A1B8B"/>
    <w:rsid w:val="004A1BE4"/>
    <w:rsid w:val="004A1DC2"/>
    <w:rsid w:val="004A237C"/>
    <w:rsid w:val="004A259C"/>
    <w:rsid w:val="004A2A27"/>
    <w:rsid w:val="004A407C"/>
    <w:rsid w:val="004A46B7"/>
    <w:rsid w:val="004A4880"/>
    <w:rsid w:val="004A5381"/>
    <w:rsid w:val="004A5F34"/>
    <w:rsid w:val="004A6B13"/>
    <w:rsid w:val="004A76D4"/>
    <w:rsid w:val="004A77B4"/>
    <w:rsid w:val="004A78FE"/>
    <w:rsid w:val="004A7F4F"/>
    <w:rsid w:val="004B0224"/>
    <w:rsid w:val="004B08D0"/>
    <w:rsid w:val="004B0ED7"/>
    <w:rsid w:val="004B15ED"/>
    <w:rsid w:val="004B19C6"/>
    <w:rsid w:val="004B22B1"/>
    <w:rsid w:val="004B22F0"/>
    <w:rsid w:val="004B2DCD"/>
    <w:rsid w:val="004B30D5"/>
    <w:rsid w:val="004B37ED"/>
    <w:rsid w:val="004B3D88"/>
    <w:rsid w:val="004B3D94"/>
    <w:rsid w:val="004B47F4"/>
    <w:rsid w:val="004B5425"/>
    <w:rsid w:val="004B5D3D"/>
    <w:rsid w:val="004B5DEE"/>
    <w:rsid w:val="004B5F07"/>
    <w:rsid w:val="004B603F"/>
    <w:rsid w:val="004B71FA"/>
    <w:rsid w:val="004B7571"/>
    <w:rsid w:val="004C031C"/>
    <w:rsid w:val="004C072B"/>
    <w:rsid w:val="004C0C28"/>
    <w:rsid w:val="004C1156"/>
    <w:rsid w:val="004C1936"/>
    <w:rsid w:val="004C1AFE"/>
    <w:rsid w:val="004C2117"/>
    <w:rsid w:val="004C2246"/>
    <w:rsid w:val="004C22FB"/>
    <w:rsid w:val="004C256C"/>
    <w:rsid w:val="004C2696"/>
    <w:rsid w:val="004C2ADC"/>
    <w:rsid w:val="004C2E03"/>
    <w:rsid w:val="004C30FD"/>
    <w:rsid w:val="004C336F"/>
    <w:rsid w:val="004C354B"/>
    <w:rsid w:val="004C36BE"/>
    <w:rsid w:val="004C37DC"/>
    <w:rsid w:val="004C3904"/>
    <w:rsid w:val="004C3EE9"/>
    <w:rsid w:val="004C3F55"/>
    <w:rsid w:val="004C4334"/>
    <w:rsid w:val="004C473E"/>
    <w:rsid w:val="004C47D2"/>
    <w:rsid w:val="004C4F36"/>
    <w:rsid w:val="004C549F"/>
    <w:rsid w:val="004C58E9"/>
    <w:rsid w:val="004C58F0"/>
    <w:rsid w:val="004C5C3E"/>
    <w:rsid w:val="004C6B9C"/>
    <w:rsid w:val="004C6C45"/>
    <w:rsid w:val="004C77D0"/>
    <w:rsid w:val="004C79F4"/>
    <w:rsid w:val="004D06C6"/>
    <w:rsid w:val="004D08C7"/>
    <w:rsid w:val="004D10E4"/>
    <w:rsid w:val="004D10F4"/>
    <w:rsid w:val="004D1357"/>
    <w:rsid w:val="004D1851"/>
    <w:rsid w:val="004D1E78"/>
    <w:rsid w:val="004D204A"/>
    <w:rsid w:val="004D2597"/>
    <w:rsid w:val="004D2755"/>
    <w:rsid w:val="004D2B85"/>
    <w:rsid w:val="004D3978"/>
    <w:rsid w:val="004D3B8D"/>
    <w:rsid w:val="004D3BF5"/>
    <w:rsid w:val="004D42CE"/>
    <w:rsid w:val="004D495C"/>
    <w:rsid w:val="004D4A9F"/>
    <w:rsid w:val="004D4AB4"/>
    <w:rsid w:val="004D599D"/>
    <w:rsid w:val="004D60CA"/>
    <w:rsid w:val="004D6367"/>
    <w:rsid w:val="004D68F6"/>
    <w:rsid w:val="004D6E64"/>
    <w:rsid w:val="004D6EAA"/>
    <w:rsid w:val="004D7630"/>
    <w:rsid w:val="004D783B"/>
    <w:rsid w:val="004D7A59"/>
    <w:rsid w:val="004D7FDD"/>
    <w:rsid w:val="004E07A3"/>
    <w:rsid w:val="004E1512"/>
    <w:rsid w:val="004E1DBE"/>
    <w:rsid w:val="004E27AA"/>
    <w:rsid w:val="004E2EA5"/>
    <w:rsid w:val="004E3AEB"/>
    <w:rsid w:val="004E4257"/>
    <w:rsid w:val="004E4FEB"/>
    <w:rsid w:val="004E56B9"/>
    <w:rsid w:val="004E59F1"/>
    <w:rsid w:val="004E63FD"/>
    <w:rsid w:val="004E6A08"/>
    <w:rsid w:val="004E75B5"/>
    <w:rsid w:val="004E7E22"/>
    <w:rsid w:val="004F08DF"/>
    <w:rsid w:val="004F093F"/>
    <w:rsid w:val="004F0A3E"/>
    <w:rsid w:val="004F0B40"/>
    <w:rsid w:val="004F2882"/>
    <w:rsid w:val="004F2E53"/>
    <w:rsid w:val="004F3004"/>
    <w:rsid w:val="004F329E"/>
    <w:rsid w:val="004F546F"/>
    <w:rsid w:val="004F679B"/>
    <w:rsid w:val="004F68BC"/>
    <w:rsid w:val="004F71C7"/>
    <w:rsid w:val="004F7414"/>
    <w:rsid w:val="004F7680"/>
    <w:rsid w:val="004F7B26"/>
    <w:rsid w:val="004F7B28"/>
    <w:rsid w:val="00500433"/>
    <w:rsid w:val="0050044B"/>
    <w:rsid w:val="0050115A"/>
    <w:rsid w:val="00501285"/>
    <w:rsid w:val="00501324"/>
    <w:rsid w:val="005013B4"/>
    <w:rsid w:val="00501AA4"/>
    <w:rsid w:val="00501DA0"/>
    <w:rsid w:val="0050223C"/>
    <w:rsid w:val="0050295E"/>
    <w:rsid w:val="005033F5"/>
    <w:rsid w:val="00503D18"/>
    <w:rsid w:val="00504464"/>
    <w:rsid w:val="0050462F"/>
    <w:rsid w:val="0050553D"/>
    <w:rsid w:val="00505E32"/>
    <w:rsid w:val="005060EA"/>
    <w:rsid w:val="005064DA"/>
    <w:rsid w:val="005065F7"/>
    <w:rsid w:val="00506602"/>
    <w:rsid w:val="005075A2"/>
    <w:rsid w:val="00511C2D"/>
    <w:rsid w:val="00512087"/>
    <w:rsid w:val="00512421"/>
    <w:rsid w:val="00512862"/>
    <w:rsid w:val="00512A42"/>
    <w:rsid w:val="00512B26"/>
    <w:rsid w:val="005130FB"/>
    <w:rsid w:val="005134B0"/>
    <w:rsid w:val="0051388B"/>
    <w:rsid w:val="005142B9"/>
    <w:rsid w:val="0051447E"/>
    <w:rsid w:val="00514723"/>
    <w:rsid w:val="00514CE8"/>
    <w:rsid w:val="005157D6"/>
    <w:rsid w:val="005160B7"/>
    <w:rsid w:val="0051613D"/>
    <w:rsid w:val="005167B7"/>
    <w:rsid w:val="0051709D"/>
    <w:rsid w:val="00517316"/>
    <w:rsid w:val="0052001F"/>
    <w:rsid w:val="0052072E"/>
    <w:rsid w:val="0052245F"/>
    <w:rsid w:val="005225C9"/>
    <w:rsid w:val="00523937"/>
    <w:rsid w:val="00523CC1"/>
    <w:rsid w:val="00523D42"/>
    <w:rsid w:val="005243FF"/>
    <w:rsid w:val="00524827"/>
    <w:rsid w:val="00524C77"/>
    <w:rsid w:val="005252F7"/>
    <w:rsid w:val="00526198"/>
    <w:rsid w:val="00526A65"/>
    <w:rsid w:val="00526C83"/>
    <w:rsid w:val="00527016"/>
    <w:rsid w:val="00527639"/>
    <w:rsid w:val="00527BC3"/>
    <w:rsid w:val="00527D4C"/>
    <w:rsid w:val="00527DE0"/>
    <w:rsid w:val="005302CE"/>
    <w:rsid w:val="0053045E"/>
    <w:rsid w:val="00530AFB"/>
    <w:rsid w:val="005319A8"/>
    <w:rsid w:val="005323DE"/>
    <w:rsid w:val="0053274E"/>
    <w:rsid w:val="00533927"/>
    <w:rsid w:val="00534785"/>
    <w:rsid w:val="00534FB4"/>
    <w:rsid w:val="00535898"/>
    <w:rsid w:val="005358E1"/>
    <w:rsid w:val="00536B6E"/>
    <w:rsid w:val="00537047"/>
    <w:rsid w:val="005377C2"/>
    <w:rsid w:val="00540A20"/>
    <w:rsid w:val="00540BD3"/>
    <w:rsid w:val="00540FD4"/>
    <w:rsid w:val="00541243"/>
    <w:rsid w:val="00541703"/>
    <w:rsid w:val="00541AA5"/>
    <w:rsid w:val="00542658"/>
    <w:rsid w:val="00542715"/>
    <w:rsid w:val="00543268"/>
    <w:rsid w:val="0054381B"/>
    <w:rsid w:val="00544356"/>
    <w:rsid w:val="00544607"/>
    <w:rsid w:val="005447C9"/>
    <w:rsid w:val="005449A3"/>
    <w:rsid w:val="00544D62"/>
    <w:rsid w:val="00544D65"/>
    <w:rsid w:val="00544D6E"/>
    <w:rsid w:val="00544DD2"/>
    <w:rsid w:val="00544F61"/>
    <w:rsid w:val="005453DD"/>
    <w:rsid w:val="00545BF2"/>
    <w:rsid w:val="00545E6A"/>
    <w:rsid w:val="005463EF"/>
    <w:rsid w:val="00546407"/>
    <w:rsid w:val="00546A0F"/>
    <w:rsid w:val="005472E7"/>
    <w:rsid w:val="00547F50"/>
    <w:rsid w:val="0055053E"/>
    <w:rsid w:val="0055141B"/>
    <w:rsid w:val="005519E9"/>
    <w:rsid w:val="00551ADD"/>
    <w:rsid w:val="00551CC6"/>
    <w:rsid w:val="00551F01"/>
    <w:rsid w:val="00551F63"/>
    <w:rsid w:val="0055292D"/>
    <w:rsid w:val="00552A75"/>
    <w:rsid w:val="00552F7D"/>
    <w:rsid w:val="005534DA"/>
    <w:rsid w:val="00553A08"/>
    <w:rsid w:val="00553E7B"/>
    <w:rsid w:val="005546A6"/>
    <w:rsid w:val="005546A7"/>
    <w:rsid w:val="005547DC"/>
    <w:rsid w:val="00554991"/>
    <w:rsid w:val="00555BC3"/>
    <w:rsid w:val="00555E36"/>
    <w:rsid w:val="005566CF"/>
    <w:rsid w:val="00556AB5"/>
    <w:rsid w:val="00556E0A"/>
    <w:rsid w:val="005576EC"/>
    <w:rsid w:val="005577C3"/>
    <w:rsid w:val="00557885"/>
    <w:rsid w:val="00557A14"/>
    <w:rsid w:val="00557B1B"/>
    <w:rsid w:val="0056075E"/>
    <w:rsid w:val="0056097A"/>
    <w:rsid w:val="005617FC"/>
    <w:rsid w:val="0056183B"/>
    <w:rsid w:val="005623B2"/>
    <w:rsid w:val="00562505"/>
    <w:rsid w:val="0056296C"/>
    <w:rsid w:val="00562EB3"/>
    <w:rsid w:val="005635C9"/>
    <w:rsid w:val="0056395F"/>
    <w:rsid w:val="00564820"/>
    <w:rsid w:val="00564CE4"/>
    <w:rsid w:val="00564FBC"/>
    <w:rsid w:val="005650DF"/>
    <w:rsid w:val="00565333"/>
    <w:rsid w:val="005653F3"/>
    <w:rsid w:val="00565EE0"/>
    <w:rsid w:val="0056616C"/>
    <w:rsid w:val="00566C4A"/>
    <w:rsid w:val="00566CAE"/>
    <w:rsid w:val="0056779D"/>
    <w:rsid w:val="00567976"/>
    <w:rsid w:val="00567E12"/>
    <w:rsid w:val="005702B9"/>
    <w:rsid w:val="0057091A"/>
    <w:rsid w:val="005716FF"/>
    <w:rsid w:val="00571D1C"/>
    <w:rsid w:val="005720D3"/>
    <w:rsid w:val="00572FBF"/>
    <w:rsid w:val="00573D51"/>
    <w:rsid w:val="005740AB"/>
    <w:rsid w:val="005741DD"/>
    <w:rsid w:val="00574D37"/>
    <w:rsid w:val="00575147"/>
    <w:rsid w:val="00575739"/>
    <w:rsid w:val="00575DB7"/>
    <w:rsid w:val="00575FB9"/>
    <w:rsid w:val="00576A80"/>
    <w:rsid w:val="00577B8B"/>
    <w:rsid w:val="005800BC"/>
    <w:rsid w:val="005801A4"/>
    <w:rsid w:val="00580203"/>
    <w:rsid w:val="00580640"/>
    <w:rsid w:val="00581164"/>
    <w:rsid w:val="005820D9"/>
    <w:rsid w:val="0058221A"/>
    <w:rsid w:val="00582422"/>
    <w:rsid w:val="00582442"/>
    <w:rsid w:val="00582C75"/>
    <w:rsid w:val="005830FC"/>
    <w:rsid w:val="00583113"/>
    <w:rsid w:val="00583137"/>
    <w:rsid w:val="0058321A"/>
    <w:rsid w:val="00583D66"/>
    <w:rsid w:val="0058452A"/>
    <w:rsid w:val="0058480D"/>
    <w:rsid w:val="005848A8"/>
    <w:rsid w:val="00584AD1"/>
    <w:rsid w:val="00585859"/>
    <w:rsid w:val="00585AEA"/>
    <w:rsid w:val="005864FE"/>
    <w:rsid w:val="00586881"/>
    <w:rsid w:val="0058715B"/>
    <w:rsid w:val="005871AA"/>
    <w:rsid w:val="005872BC"/>
    <w:rsid w:val="00590215"/>
    <w:rsid w:val="00590A40"/>
    <w:rsid w:val="00590BCA"/>
    <w:rsid w:val="00591330"/>
    <w:rsid w:val="00591525"/>
    <w:rsid w:val="00592091"/>
    <w:rsid w:val="00592094"/>
    <w:rsid w:val="00592713"/>
    <w:rsid w:val="00592B60"/>
    <w:rsid w:val="00592D90"/>
    <w:rsid w:val="00592E87"/>
    <w:rsid w:val="00593BCE"/>
    <w:rsid w:val="00593E8A"/>
    <w:rsid w:val="0059457E"/>
    <w:rsid w:val="00594D9E"/>
    <w:rsid w:val="00594E05"/>
    <w:rsid w:val="005956CC"/>
    <w:rsid w:val="00595ADF"/>
    <w:rsid w:val="0059646B"/>
    <w:rsid w:val="00596C4A"/>
    <w:rsid w:val="00596CFB"/>
    <w:rsid w:val="00597442"/>
    <w:rsid w:val="00597450"/>
    <w:rsid w:val="00597A4E"/>
    <w:rsid w:val="005A0299"/>
    <w:rsid w:val="005A08FE"/>
    <w:rsid w:val="005A1337"/>
    <w:rsid w:val="005A1BB7"/>
    <w:rsid w:val="005A1D29"/>
    <w:rsid w:val="005A1E7D"/>
    <w:rsid w:val="005A29C0"/>
    <w:rsid w:val="005A2A5E"/>
    <w:rsid w:val="005A381F"/>
    <w:rsid w:val="005A4043"/>
    <w:rsid w:val="005A40E2"/>
    <w:rsid w:val="005A46E0"/>
    <w:rsid w:val="005A4A58"/>
    <w:rsid w:val="005A5350"/>
    <w:rsid w:val="005A53B2"/>
    <w:rsid w:val="005A5A35"/>
    <w:rsid w:val="005A5B26"/>
    <w:rsid w:val="005A5CDF"/>
    <w:rsid w:val="005A6204"/>
    <w:rsid w:val="005A6391"/>
    <w:rsid w:val="005A6953"/>
    <w:rsid w:val="005A6A93"/>
    <w:rsid w:val="005A6FEE"/>
    <w:rsid w:val="005A70F9"/>
    <w:rsid w:val="005A7881"/>
    <w:rsid w:val="005A7A21"/>
    <w:rsid w:val="005A7BAD"/>
    <w:rsid w:val="005A7F4F"/>
    <w:rsid w:val="005A7F6B"/>
    <w:rsid w:val="005B0382"/>
    <w:rsid w:val="005B081B"/>
    <w:rsid w:val="005B0BD6"/>
    <w:rsid w:val="005B1806"/>
    <w:rsid w:val="005B1982"/>
    <w:rsid w:val="005B1C48"/>
    <w:rsid w:val="005B1D82"/>
    <w:rsid w:val="005B1E01"/>
    <w:rsid w:val="005B232F"/>
    <w:rsid w:val="005B33DD"/>
    <w:rsid w:val="005B344D"/>
    <w:rsid w:val="005B3A74"/>
    <w:rsid w:val="005B3CAB"/>
    <w:rsid w:val="005B4081"/>
    <w:rsid w:val="005B4BFA"/>
    <w:rsid w:val="005B53C6"/>
    <w:rsid w:val="005B577C"/>
    <w:rsid w:val="005B5CFC"/>
    <w:rsid w:val="005B5D4C"/>
    <w:rsid w:val="005B5E06"/>
    <w:rsid w:val="005B5E7B"/>
    <w:rsid w:val="005B609D"/>
    <w:rsid w:val="005B634A"/>
    <w:rsid w:val="005B6D61"/>
    <w:rsid w:val="005B7ED3"/>
    <w:rsid w:val="005B7F39"/>
    <w:rsid w:val="005C04C7"/>
    <w:rsid w:val="005C0B40"/>
    <w:rsid w:val="005C136B"/>
    <w:rsid w:val="005C177A"/>
    <w:rsid w:val="005C1C2D"/>
    <w:rsid w:val="005C1CDC"/>
    <w:rsid w:val="005C29B0"/>
    <w:rsid w:val="005C2B20"/>
    <w:rsid w:val="005C2D47"/>
    <w:rsid w:val="005C2E5A"/>
    <w:rsid w:val="005C363F"/>
    <w:rsid w:val="005C3C68"/>
    <w:rsid w:val="005C3FE6"/>
    <w:rsid w:val="005C4030"/>
    <w:rsid w:val="005C4848"/>
    <w:rsid w:val="005C4C93"/>
    <w:rsid w:val="005C5903"/>
    <w:rsid w:val="005C6537"/>
    <w:rsid w:val="005C6A6A"/>
    <w:rsid w:val="005C6E48"/>
    <w:rsid w:val="005C731D"/>
    <w:rsid w:val="005C7E0C"/>
    <w:rsid w:val="005D0199"/>
    <w:rsid w:val="005D02AF"/>
    <w:rsid w:val="005D038B"/>
    <w:rsid w:val="005D0651"/>
    <w:rsid w:val="005D07EB"/>
    <w:rsid w:val="005D08EE"/>
    <w:rsid w:val="005D0C8A"/>
    <w:rsid w:val="005D0F5B"/>
    <w:rsid w:val="005D1075"/>
    <w:rsid w:val="005D148C"/>
    <w:rsid w:val="005D1754"/>
    <w:rsid w:val="005D1BB9"/>
    <w:rsid w:val="005D1E2D"/>
    <w:rsid w:val="005D1EF9"/>
    <w:rsid w:val="005D2099"/>
    <w:rsid w:val="005D3198"/>
    <w:rsid w:val="005D3714"/>
    <w:rsid w:val="005D3C92"/>
    <w:rsid w:val="005D3CA0"/>
    <w:rsid w:val="005D3FC9"/>
    <w:rsid w:val="005D40F7"/>
    <w:rsid w:val="005D50B3"/>
    <w:rsid w:val="005D62D6"/>
    <w:rsid w:val="005D6EEF"/>
    <w:rsid w:val="005D70B0"/>
    <w:rsid w:val="005D7877"/>
    <w:rsid w:val="005D7ACD"/>
    <w:rsid w:val="005D7CA9"/>
    <w:rsid w:val="005E0749"/>
    <w:rsid w:val="005E0CE8"/>
    <w:rsid w:val="005E1E70"/>
    <w:rsid w:val="005E2346"/>
    <w:rsid w:val="005E2511"/>
    <w:rsid w:val="005E2D24"/>
    <w:rsid w:val="005E2F1F"/>
    <w:rsid w:val="005E319D"/>
    <w:rsid w:val="005E3F27"/>
    <w:rsid w:val="005E4CC8"/>
    <w:rsid w:val="005E4CE3"/>
    <w:rsid w:val="005E547E"/>
    <w:rsid w:val="005E550D"/>
    <w:rsid w:val="005E5B55"/>
    <w:rsid w:val="005E5D5F"/>
    <w:rsid w:val="005E6197"/>
    <w:rsid w:val="005E62AC"/>
    <w:rsid w:val="005E6D30"/>
    <w:rsid w:val="005E6E45"/>
    <w:rsid w:val="005E789C"/>
    <w:rsid w:val="005E7C76"/>
    <w:rsid w:val="005F011D"/>
    <w:rsid w:val="005F0623"/>
    <w:rsid w:val="005F0D25"/>
    <w:rsid w:val="005F0EA9"/>
    <w:rsid w:val="005F11C2"/>
    <w:rsid w:val="005F1C56"/>
    <w:rsid w:val="005F24BB"/>
    <w:rsid w:val="005F279C"/>
    <w:rsid w:val="005F2A63"/>
    <w:rsid w:val="005F2DB8"/>
    <w:rsid w:val="005F2F32"/>
    <w:rsid w:val="005F3057"/>
    <w:rsid w:val="005F31C5"/>
    <w:rsid w:val="005F3269"/>
    <w:rsid w:val="005F3A63"/>
    <w:rsid w:val="005F3D75"/>
    <w:rsid w:val="005F3E24"/>
    <w:rsid w:val="005F41E6"/>
    <w:rsid w:val="005F512B"/>
    <w:rsid w:val="005F59F7"/>
    <w:rsid w:val="005F5F3E"/>
    <w:rsid w:val="005F6B99"/>
    <w:rsid w:val="005F7817"/>
    <w:rsid w:val="005F7C8F"/>
    <w:rsid w:val="00600392"/>
    <w:rsid w:val="00600689"/>
    <w:rsid w:val="00601060"/>
    <w:rsid w:val="0060118A"/>
    <w:rsid w:val="00601208"/>
    <w:rsid w:val="006019AF"/>
    <w:rsid w:val="00601EF8"/>
    <w:rsid w:val="006020B0"/>
    <w:rsid w:val="006026A5"/>
    <w:rsid w:val="006038A0"/>
    <w:rsid w:val="00603D06"/>
    <w:rsid w:val="00604212"/>
    <w:rsid w:val="00604514"/>
    <w:rsid w:val="00604E99"/>
    <w:rsid w:val="00604FC1"/>
    <w:rsid w:val="0060559D"/>
    <w:rsid w:val="00605A6C"/>
    <w:rsid w:val="00605AEC"/>
    <w:rsid w:val="00605D7F"/>
    <w:rsid w:val="00605DF6"/>
    <w:rsid w:val="00606D0B"/>
    <w:rsid w:val="00606FD6"/>
    <w:rsid w:val="00607732"/>
    <w:rsid w:val="00607B70"/>
    <w:rsid w:val="0061071E"/>
    <w:rsid w:val="00610A4B"/>
    <w:rsid w:val="00611AA3"/>
    <w:rsid w:val="0061200B"/>
    <w:rsid w:val="0061261F"/>
    <w:rsid w:val="00612D4D"/>
    <w:rsid w:val="00613270"/>
    <w:rsid w:val="0061341B"/>
    <w:rsid w:val="0061411D"/>
    <w:rsid w:val="006144A7"/>
    <w:rsid w:val="006144E2"/>
    <w:rsid w:val="006147BA"/>
    <w:rsid w:val="00614B28"/>
    <w:rsid w:val="00614CEE"/>
    <w:rsid w:val="0061533F"/>
    <w:rsid w:val="0061535F"/>
    <w:rsid w:val="0061551D"/>
    <w:rsid w:val="00615C32"/>
    <w:rsid w:val="00615D0B"/>
    <w:rsid w:val="006168DD"/>
    <w:rsid w:val="00617411"/>
    <w:rsid w:val="00617EE5"/>
    <w:rsid w:val="0062012F"/>
    <w:rsid w:val="00620C10"/>
    <w:rsid w:val="00621691"/>
    <w:rsid w:val="0062175C"/>
    <w:rsid w:val="006218C4"/>
    <w:rsid w:val="00621D49"/>
    <w:rsid w:val="006221DF"/>
    <w:rsid w:val="00622DA0"/>
    <w:rsid w:val="00623AE3"/>
    <w:rsid w:val="00623B14"/>
    <w:rsid w:val="00623CC7"/>
    <w:rsid w:val="00624F2A"/>
    <w:rsid w:val="00624F51"/>
    <w:rsid w:val="0062593E"/>
    <w:rsid w:val="00626920"/>
    <w:rsid w:val="00626988"/>
    <w:rsid w:val="00626CD5"/>
    <w:rsid w:val="006279CE"/>
    <w:rsid w:val="00630573"/>
    <w:rsid w:val="00630792"/>
    <w:rsid w:val="006309B1"/>
    <w:rsid w:val="006309EC"/>
    <w:rsid w:val="00631038"/>
    <w:rsid w:val="0063115B"/>
    <w:rsid w:val="00631167"/>
    <w:rsid w:val="006315AB"/>
    <w:rsid w:val="006318AA"/>
    <w:rsid w:val="00631F39"/>
    <w:rsid w:val="00631FB5"/>
    <w:rsid w:val="0063245F"/>
    <w:rsid w:val="00632812"/>
    <w:rsid w:val="00632843"/>
    <w:rsid w:val="0063326E"/>
    <w:rsid w:val="00633282"/>
    <w:rsid w:val="0063341A"/>
    <w:rsid w:val="00633438"/>
    <w:rsid w:val="00633AD4"/>
    <w:rsid w:val="00633EB9"/>
    <w:rsid w:val="006354CC"/>
    <w:rsid w:val="00635A4E"/>
    <w:rsid w:val="00636DE9"/>
    <w:rsid w:val="00637790"/>
    <w:rsid w:val="00637D9C"/>
    <w:rsid w:val="00641723"/>
    <w:rsid w:val="00641A31"/>
    <w:rsid w:val="00642599"/>
    <w:rsid w:val="00642E21"/>
    <w:rsid w:val="0064308B"/>
    <w:rsid w:val="00643D0A"/>
    <w:rsid w:val="00644A7C"/>
    <w:rsid w:val="00645271"/>
    <w:rsid w:val="006453CB"/>
    <w:rsid w:val="006458E6"/>
    <w:rsid w:val="006459CC"/>
    <w:rsid w:val="00645A0F"/>
    <w:rsid w:val="006461A4"/>
    <w:rsid w:val="006464EC"/>
    <w:rsid w:val="00646BD1"/>
    <w:rsid w:val="00646C77"/>
    <w:rsid w:val="00646E39"/>
    <w:rsid w:val="0064737F"/>
    <w:rsid w:val="0064739F"/>
    <w:rsid w:val="00647EE9"/>
    <w:rsid w:val="006502D9"/>
    <w:rsid w:val="00650537"/>
    <w:rsid w:val="0065056A"/>
    <w:rsid w:val="0065069C"/>
    <w:rsid w:val="00650A1C"/>
    <w:rsid w:val="006510A4"/>
    <w:rsid w:val="006511EB"/>
    <w:rsid w:val="0065158A"/>
    <w:rsid w:val="00651BFC"/>
    <w:rsid w:val="00651F4D"/>
    <w:rsid w:val="006520C8"/>
    <w:rsid w:val="006520EF"/>
    <w:rsid w:val="00652175"/>
    <w:rsid w:val="006525D2"/>
    <w:rsid w:val="00652B0F"/>
    <w:rsid w:val="006535F1"/>
    <w:rsid w:val="0065557D"/>
    <w:rsid w:val="0065559E"/>
    <w:rsid w:val="006556B0"/>
    <w:rsid w:val="006557C9"/>
    <w:rsid w:val="00655E8C"/>
    <w:rsid w:val="0065685F"/>
    <w:rsid w:val="006568C1"/>
    <w:rsid w:val="00657717"/>
    <w:rsid w:val="00660367"/>
    <w:rsid w:val="00660D3C"/>
    <w:rsid w:val="00660D50"/>
    <w:rsid w:val="00660DFB"/>
    <w:rsid w:val="00660FB6"/>
    <w:rsid w:val="00661B2D"/>
    <w:rsid w:val="00661ECE"/>
    <w:rsid w:val="0066200E"/>
    <w:rsid w:val="006623F4"/>
    <w:rsid w:val="00662984"/>
    <w:rsid w:val="00662A52"/>
    <w:rsid w:val="00662DAA"/>
    <w:rsid w:val="0066461E"/>
    <w:rsid w:val="006646B4"/>
    <w:rsid w:val="00664CA7"/>
    <w:rsid w:val="00664DCC"/>
    <w:rsid w:val="00664EBB"/>
    <w:rsid w:val="00664F8D"/>
    <w:rsid w:val="006665AD"/>
    <w:rsid w:val="00666756"/>
    <w:rsid w:val="00666F3D"/>
    <w:rsid w:val="006671AB"/>
    <w:rsid w:val="006673C9"/>
    <w:rsid w:val="0066753B"/>
    <w:rsid w:val="00667826"/>
    <w:rsid w:val="00670005"/>
    <w:rsid w:val="0067078F"/>
    <w:rsid w:val="006711BF"/>
    <w:rsid w:val="006711E9"/>
    <w:rsid w:val="006716BB"/>
    <w:rsid w:val="00671867"/>
    <w:rsid w:val="006719CD"/>
    <w:rsid w:val="006720EB"/>
    <w:rsid w:val="00672243"/>
    <w:rsid w:val="0067285E"/>
    <w:rsid w:val="00672B0D"/>
    <w:rsid w:val="00672DD4"/>
    <w:rsid w:val="00672E41"/>
    <w:rsid w:val="0067339F"/>
    <w:rsid w:val="00674A21"/>
    <w:rsid w:val="00674FEA"/>
    <w:rsid w:val="006757F0"/>
    <w:rsid w:val="00676343"/>
    <w:rsid w:val="006764DD"/>
    <w:rsid w:val="00676FA6"/>
    <w:rsid w:val="0067721E"/>
    <w:rsid w:val="00677B29"/>
    <w:rsid w:val="00677E36"/>
    <w:rsid w:val="00680284"/>
    <w:rsid w:val="006804F9"/>
    <w:rsid w:val="00680E2C"/>
    <w:rsid w:val="0068144A"/>
    <w:rsid w:val="006818B6"/>
    <w:rsid w:val="006823B4"/>
    <w:rsid w:val="006828C7"/>
    <w:rsid w:val="00682B88"/>
    <w:rsid w:val="00682D9E"/>
    <w:rsid w:val="00682DB6"/>
    <w:rsid w:val="00683087"/>
    <w:rsid w:val="0068355E"/>
    <w:rsid w:val="00683ACE"/>
    <w:rsid w:val="00683B63"/>
    <w:rsid w:val="00684C35"/>
    <w:rsid w:val="00684E0E"/>
    <w:rsid w:val="00685475"/>
    <w:rsid w:val="00685EE2"/>
    <w:rsid w:val="00685FE9"/>
    <w:rsid w:val="00687045"/>
    <w:rsid w:val="00687061"/>
    <w:rsid w:val="006871DC"/>
    <w:rsid w:val="00687319"/>
    <w:rsid w:val="006875A1"/>
    <w:rsid w:val="00687B3B"/>
    <w:rsid w:val="00687F99"/>
    <w:rsid w:val="00690093"/>
    <w:rsid w:val="00690494"/>
    <w:rsid w:val="00690A83"/>
    <w:rsid w:val="006918A0"/>
    <w:rsid w:val="00691D9E"/>
    <w:rsid w:val="00691FE3"/>
    <w:rsid w:val="0069286C"/>
    <w:rsid w:val="00692CA3"/>
    <w:rsid w:val="00692E1B"/>
    <w:rsid w:val="006930F3"/>
    <w:rsid w:val="0069314F"/>
    <w:rsid w:val="00693426"/>
    <w:rsid w:val="006938CF"/>
    <w:rsid w:val="00693BDE"/>
    <w:rsid w:val="00693D91"/>
    <w:rsid w:val="006946D0"/>
    <w:rsid w:val="00695485"/>
    <w:rsid w:val="0069584B"/>
    <w:rsid w:val="00695B71"/>
    <w:rsid w:val="006961D6"/>
    <w:rsid w:val="0069640A"/>
    <w:rsid w:val="00696B2E"/>
    <w:rsid w:val="00696E5B"/>
    <w:rsid w:val="00697FFE"/>
    <w:rsid w:val="006A058F"/>
    <w:rsid w:val="006A07A3"/>
    <w:rsid w:val="006A0BCE"/>
    <w:rsid w:val="006A0CDA"/>
    <w:rsid w:val="006A13B2"/>
    <w:rsid w:val="006A1500"/>
    <w:rsid w:val="006A1F1A"/>
    <w:rsid w:val="006A2352"/>
    <w:rsid w:val="006A2497"/>
    <w:rsid w:val="006A25BC"/>
    <w:rsid w:val="006A2F3C"/>
    <w:rsid w:val="006A2F4B"/>
    <w:rsid w:val="006A3894"/>
    <w:rsid w:val="006A3A9F"/>
    <w:rsid w:val="006A422F"/>
    <w:rsid w:val="006A4C9E"/>
    <w:rsid w:val="006A4CDB"/>
    <w:rsid w:val="006A4CE1"/>
    <w:rsid w:val="006A56AC"/>
    <w:rsid w:val="006A5A89"/>
    <w:rsid w:val="006A638B"/>
    <w:rsid w:val="006A6456"/>
    <w:rsid w:val="006A6C9D"/>
    <w:rsid w:val="006A6CF4"/>
    <w:rsid w:val="006A6ED2"/>
    <w:rsid w:val="006A6FA3"/>
    <w:rsid w:val="006A7499"/>
    <w:rsid w:val="006A763F"/>
    <w:rsid w:val="006A7B70"/>
    <w:rsid w:val="006B052D"/>
    <w:rsid w:val="006B0A58"/>
    <w:rsid w:val="006B0A84"/>
    <w:rsid w:val="006B0B6B"/>
    <w:rsid w:val="006B1098"/>
    <w:rsid w:val="006B1859"/>
    <w:rsid w:val="006B19FF"/>
    <w:rsid w:val="006B31E4"/>
    <w:rsid w:val="006B3956"/>
    <w:rsid w:val="006B401D"/>
    <w:rsid w:val="006B4454"/>
    <w:rsid w:val="006B4681"/>
    <w:rsid w:val="006B5C6D"/>
    <w:rsid w:val="006B6130"/>
    <w:rsid w:val="006B63DE"/>
    <w:rsid w:val="006B6570"/>
    <w:rsid w:val="006B6680"/>
    <w:rsid w:val="006B6A62"/>
    <w:rsid w:val="006B6DCC"/>
    <w:rsid w:val="006B742E"/>
    <w:rsid w:val="006B77F1"/>
    <w:rsid w:val="006C07EA"/>
    <w:rsid w:val="006C0966"/>
    <w:rsid w:val="006C149F"/>
    <w:rsid w:val="006C1C6C"/>
    <w:rsid w:val="006C1E0F"/>
    <w:rsid w:val="006C201A"/>
    <w:rsid w:val="006C232A"/>
    <w:rsid w:val="006C28A0"/>
    <w:rsid w:val="006C2BFE"/>
    <w:rsid w:val="006C3765"/>
    <w:rsid w:val="006C38AB"/>
    <w:rsid w:val="006C4220"/>
    <w:rsid w:val="006C4D23"/>
    <w:rsid w:val="006C5316"/>
    <w:rsid w:val="006C5E35"/>
    <w:rsid w:val="006C6B2F"/>
    <w:rsid w:val="006C6F95"/>
    <w:rsid w:val="006C7198"/>
    <w:rsid w:val="006C7448"/>
    <w:rsid w:val="006C7902"/>
    <w:rsid w:val="006C7F11"/>
    <w:rsid w:val="006D131B"/>
    <w:rsid w:val="006D1D43"/>
    <w:rsid w:val="006D1F0D"/>
    <w:rsid w:val="006D2652"/>
    <w:rsid w:val="006D285B"/>
    <w:rsid w:val="006D2878"/>
    <w:rsid w:val="006D2C28"/>
    <w:rsid w:val="006D3158"/>
    <w:rsid w:val="006D31F0"/>
    <w:rsid w:val="006D3602"/>
    <w:rsid w:val="006D39A5"/>
    <w:rsid w:val="006D50AE"/>
    <w:rsid w:val="006D588D"/>
    <w:rsid w:val="006D5CDB"/>
    <w:rsid w:val="006D6436"/>
    <w:rsid w:val="006D64B4"/>
    <w:rsid w:val="006D651F"/>
    <w:rsid w:val="006D7635"/>
    <w:rsid w:val="006D79CF"/>
    <w:rsid w:val="006E0272"/>
    <w:rsid w:val="006E02DF"/>
    <w:rsid w:val="006E0656"/>
    <w:rsid w:val="006E0ED7"/>
    <w:rsid w:val="006E17CC"/>
    <w:rsid w:val="006E2E3F"/>
    <w:rsid w:val="006E2F80"/>
    <w:rsid w:val="006E2FD5"/>
    <w:rsid w:val="006E364B"/>
    <w:rsid w:val="006E36D5"/>
    <w:rsid w:val="006E3C51"/>
    <w:rsid w:val="006E420A"/>
    <w:rsid w:val="006E47B8"/>
    <w:rsid w:val="006E5114"/>
    <w:rsid w:val="006E55AB"/>
    <w:rsid w:val="006E56E1"/>
    <w:rsid w:val="006E5719"/>
    <w:rsid w:val="006E5CD5"/>
    <w:rsid w:val="006E6375"/>
    <w:rsid w:val="006E6FB7"/>
    <w:rsid w:val="006E7493"/>
    <w:rsid w:val="006F0167"/>
    <w:rsid w:val="006F06B2"/>
    <w:rsid w:val="006F0B4F"/>
    <w:rsid w:val="006F0EF2"/>
    <w:rsid w:val="006F130D"/>
    <w:rsid w:val="006F1315"/>
    <w:rsid w:val="006F2660"/>
    <w:rsid w:val="006F2BB2"/>
    <w:rsid w:val="006F32AD"/>
    <w:rsid w:val="006F3C73"/>
    <w:rsid w:val="006F3DBE"/>
    <w:rsid w:val="006F400D"/>
    <w:rsid w:val="006F4454"/>
    <w:rsid w:val="006F47D5"/>
    <w:rsid w:val="006F4B5D"/>
    <w:rsid w:val="006F4E1A"/>
    <w:rsid w:val="006F53FB"/>
    <w:rsid w:val="006F5977"/>
    <w:rsid w:val="006F5A51"/>
    <w:rsid w:val="006F6D01"/>
    <w:rsid w:val="006F73CC"/>
    <w:rsid w:val="006F7448"/>
    <w:rsid w:val="006F78F3"/>
    <w:rsid w:val="006F7B8D"/>
    <w:rsid w:val="007002DB"/>
    <w:rsid w:val="00700324"/>
    <w:rsid w:val="007005AF"/>
    <w:rsid w:val="007006F5"/>
    <w:rsid w:val="007008B5"/>
    <w:rsid w:val="00700CCA"/>
    <w:rsid w:val="0070153E"/>
    <w:rsid w:val="007015E6"/>
    <w:rsid w:val="007019BF"/>
    <w:rsid w:val="00701D0D"/>
    <w:rsid w:val="007025BD"/>
    <w:rsid w:val="0070278C"/>
    <w:rsid w:val="00702DEF"/>
    <w:rsid w:val="00702F96"/>
    <w:rsid w:val="00702FF0"/>
    <w:rsid w:val="00703135"/>
    <w:rsid w:val="007033D5"/>
    <w:rsid w:val="007035F8"/>
    <w:rsid w:val="007038B0"/>
    <w:rsid w:val="0070405F"/>
    <w:rsid w:val="007047D0"/>
    <w:rsid w:val="00704FE2"/>
    <w:rsid w:val="00705A24"/>
    <w:rsid w:val="00705DFF"/>
    <w:rsid w:val="00706145"/>
    <w:rsid w:val="00706861"/>
    <w:rsid w:val="00706DA4"/>
    <w:rsid w:val="007072A6"/>
    <w:rsid w:val="00707524"/>
    <w:rsid w:val="0070758D"/>
    <w:rsid w:val="00710764"/>
    <w:rsid w:val="0071088C"/>
    <w:rsid w:val="00711389"/>
    <w:rsid w:val="0071160C"/>
    <w:rsid w:val="00712C73"/>
    <w:rsid w:val="00712DE5"/>
    <w:rsid w:val="007130DB"/>
    <w:rsid w:val="0071383A"/>
    <w:rsid w:val="007139C4"/>
    <w:rsid w:val="00714732"/>
    <w:rsid w:val="00714D72"/>
    <w:rsid w:val="007150C5"/>
    <w:rsid w:val="007152DA"/>
    <w:rsid w:val="0071545D"/>
    <w:rsid w:val="0071566F"/>
    <w:rsid w:val="00715683"/>
    <w:rsid w:val="00715721"/>
    <w:rsid w:val="00715CC2"/>
    <w:rsid w:val="00716210"/>
    <w:rsid w:val="0071641C"/>
    <w:rsid w:val="007168B2"/>
    <w:rsid w:val="00716F9E"/>
    <w:rsid w:val="0071738A"/>
    <w:rsid w:val="00717A94"/>
    <w:rsid w:val="00717B38"/>
    <w:rsid w:val="00717E7F"/>
    <w:rsid w:val="0072032E"/>
    <w:rsid w:val="00721D2E"/>
    <w:rsid w:val="00722551"/>
    <w:rsid w:val="00722554"/>
    <w:rsid w:val="0072283B"/>
    <w:rsid w:val="00722EFC"/>
    <w:rsid w:val="00723611"/>
    <w:rsid w:val="00724AE5"/>
    <w:rsid w:val="00724B08"/>
    <w:rsid w:val="007250BB"/>
    <w:rsid w:val="00725775"/>
    <w:rsid w:val="00725AEB"/>
    <w:rsid w:val="00725CD7"/>
    <w:rsid w:val="00726838"/>
    <w:rsid w:val="007272A4"/>
    <w:rsid w:val="00727798"/>
    <w:rsid w:val="00727B68"/>
    <w:rsid w:val="00730095"/>
    <w:rsid w:val="00731101"/>
    <w:rsid w:val="00731D2F"/>
    <w:rsid w:val="007326AE"/>
    <w:rsid w:val="00732A60"/>
    <w:rsid w:val="00732BF6"/>
    <w:rsid w:val="00732D1B"/>
    <w:rsid w:val="00733200"/>
    <w:rsid w:val="007333C4"/>
    <w:rsid w:val="007343FA"/>
    <w:rsid w:val="00734985"/>
    <w:rsid w:val="00734B3C"/>
    <w:rsid w:val="00734FE7"/>
    <w:rsid w:val="00735484"/>
    <w:rsid w:val="00735E28"/>
    <w:rsid w:val="00735E4C"/>
    <w:rsid w:val="00735F16"/>
    <w:rsid w:val="0073622C"/>
    <w:rsid w:val="007367EE"/>
    <w:rsid w:val="0073770B"/>
    <w:rsid w:val="0073785B"/>
    <w:rsid w:val="00737B58"/>
    <w:rsid w:val="00737D84"/>
    <w:rsid w:val="00737F19"/>
    <w:rsid w:val="007401D6"/>
    <w:rsid w:val="007406DE"/>
    <w:rsid w:val="0074092E"/>
    <w:rsid w:val="00740D82"/>
    <w:rsid w:val="007415E2"/>
    <w:rsid w:val="00742D7C"/>
    <w:rsid w:val="00742E7A"/>
    <w:rsid w:val="00742ED0"/>
    <w:rsid w:val="007433BC"/>
    <w:rsid w:val="00743B0E"/>
    <w:rsid w:val="00743E20"/>
    <w:rsid w:val="0074437B"/>
    <w:rsid w:val="0074442C"/>
    <w:rsid w:val="007453BB"/>
    <w:rsid w:val="007456F6"/>
    <w:rsid w:val="007459B7"/>
    <w:rsid w:val="00745B1E"/>
    <w:rsid w:val="00745DD1"/>
    <w:rsid w:val="0074682C"/>
    <w:rsid w:val="0074706E"/>
    <w:rsid w:val="00747AF0"/>
    <w:rsid w:val="00747C50"/>
    <w:rsid w:val="0075051B"/>
    <w:rsid w:val="007507C2"/>
    <w:rsid w:val="00750A07"/>
    <w:rsid w:val="00750D11"/>
    <w:rsid w:val="00750D74"/>
    <w:rsid w:val="00751313"/>
    <w:rsid w:val="007519C2"/>
    <w:rsid w:val="00751A4E"/>
    <w:rsid w:val="00751E5C"/>
    <w:rsid w:val="007521DC"/>
    <w:rsid w:val="007521EF"/>
    <w:rsid w:val="0075283A"/>
    <w:rsid w:val="00753192"/>
    <w:rsid w:val="0075337E"/>
    <w:rsid w:val="007535A9"/>
    <w:rsid w:val="007535E4"/>
    <w:rsid w:val="00754A1F"/>
    <w:rsid w:val="00754C95"/>
    <w:rsid w:val="007556E9"/>
    <w:rsid w:val="00755CE0"/>
    <w:rsid w:val="00755DB5"/>
    <w:rsid w:val="00755FCC"/>
    <w:rsid w:val="0075630B"/>
    <w:rsid w:val="007571B4"/>
    <w:rsid w:val="0075757C"/>
    <w:rsid w:val="007575D0"/>
    <w:rsid w:val="007576C7"/>
    <w:rsid w:val="00757764"/>
    <w:rsid w:val="007601D4"/>
    <w:rsid w:val="007603F1"/>
    <w:rsid w:val="00760FEE"/>
    <w:rsid w:val="00761C9F"/>
    <w:rsid w:val="0076236F"/>
    <w:rsid w:val="00762451"/>
    <w:rsid w:val="00763021"/>
    <w:rsid w:val="00764907"/>
    <w:rsid w:val="00765C89"/>
    <w:rsid w:val="00766312"/>
    <w:rsid w:val="007663A0"/>
    <w:rsid w:val="00766825"/>
    <w:rsid w:val="00766F2E"/>
    <w:rsid w:val="007672C8"/>
    <w:rsid w:val="007675F5"/>
    <w:rsid w:val="007679FA"/>
    <w:rsid w:val="007701A2"/>
    <w:rsid w:val="007705E9"/>
    <w:rsid w:val="0077110E"/>
    <w:rsid w:val="007713D3"/>
    <w:rsid w:val="00771429"/>
    <w:rsid w:val="00771C82"/>
    <w:rsid w:val="007720C7"/>
    <w:rsid w:val="0077262F"/>
    <w:rsid w:val="0077337A"/>
    <w:rsid w:val="00773CA8"/>
    <w:rsid w:val="00774448"/>
    <w:rsid w:val="0077455E"/>
    <w:rsid w:val="007745E9"/>
    <w:rsid w:val="00774760"/>
    <w:rsid w:val="00774861"/>
    <w:rsid w:val="00774C1B"/>
    <w:rsid w:val="00774D74"/>
    <w:rsid w:val="007752E1"/>
    <w:rsid w:val="00775330"/>
    <w:rsid w:val="00775EAF"/>
    <w:rsid w:val="0077600E"/>
    <w:rsid w:val="00776B38"/>
    <w:rsid w:val="00776E30"/>
    <w:rsid w:val="0077788C"/>
    <w:rsid w:val="00777989"/>
    <w:rsid w:val="00777B11"/>
    <w:rsid w:val="00777D5A"/>
    <w:rsid w:val="00777DB4"/>
    <w:rsid w:val="00777F56"/>
    <w:rsid w:val="00777F6A"/>
    <w:rsid w:val="0078003E"/>
    <w:rsid w:val="00780599"/>
    <w:rsid w:val="007805F4"/>
    <w:rsid w:val="00781A88"/>
    <w:rsid w:val="00781E9E"/>
    <w:rsid w:val="00782146"/>
    <w:rsid w:val="00782261"/>
    <w:rsid w:val="007823F9"/>
    <w:rsid w:val="00782638"/>
    <w:rsid w:val="00782E0F"/>
    <w:rsid w:val="00783D2D"/>
    <w:rsid w:val="007845D6"/>
    <w:rsid w:val="0078549A"/>
    <w:rsid w:val="00785620"/>
    <w:rsid w:val="007857C3"/>
    <w:rsid w:val="00785D4F"/>
    <w:rsid w:val="00785EFF"/>
    <w:rsid w:val="00786B19"/>
    <w:rsid w:val="00786CEC"/>
    <w:rsid w:val="00787126"/>
    <w:rsid w:val="00787583"/>
    <w:rsid w:val="00787D5B"/>
    <w:rsid w:val="0079079C"/>
    <w:rsid w:val="00791662"/>
    <w:rsid w:val="00791F8F"/>
    <w:rsid w:val="00791FFD"/>
    <w:rsid w:val="007927B3"/>
    <w:rsid w:val="00793188"/>
    <w:rsid w:val="00793788"/>
    <w:rsid w:val="00794773"/>
    <w:rsid w:val="00794BC0"/>
    <w:rsid w:val="00794D34"/>
    <w:rsid w:val="0079505C"/>
    <w:rsid w:val="00795557"/>
    <w:rsid w:val="007968EC"/>
    <w:rsid w:val="00796A58"/>
    <w:rsid w:val="00796E46"/>
    <w:rsid w:val="0079754F"/>
    <w:rsid w:val="00797723"/>
    <w:rsid w:val="00797A15"/>
    <w:rsid w:val="007A021D"/>
    <w:rsid w:val="007A0A5B"/>
    <w:rsid w:val="007A0D38"/>
    <w:rsid w:val="007A1585"/>
    <w:rsid w:val="007A17D5"/>
    <w:rsid w:val="007A2233"/>
    <w:rsid w:val="007A2EA3"/>
    <w:rsid w:val="007A32D6"/>
    <w:rsid w:val="007A3FCD"/>
    <w:rsid w:val="007A41E9"/>
    <w:rsid w:val="007A4855"/>
    <w:rsid w:val="007A4B60"/>
    <w:rsid w:val="007A656F"/>
    <w:rsid w:val="007A6925"/>
    <w:rsid w:val="007A6B6C"/>
    <w:rsid w:val="007A707F"/>
    <w:rsid w:val="007A72D6"/>
    <w:rsid w:val="007A7413"/>
    <w:rsid w:val="007A7437"/>
    <w:rsid w:val="007A799A"/>
    <w:rsid w:val="007B0322"/>
    <w:rsid w:val="007B13B3"/>
    <w:rsid w:val="007B19CF"/>
    <w:rsid w:val="007B1EAE"/>
    <w:rsid w:val="007B2B48"/>
    <w:rsid w:val="007B33EA"/>
    <w:rsid w:val="007B34D3"/>
    <w:rsid w:val="007B39ED"/>
    <w:rsid w:val="007B3F68"/>
    <w:rsid w:val="007B44AF"/>
    <w:rsid w:val="007B4646"/>
    <w:rsid w:val="007B474C"/>
    <w:rsid w:val="007B585F"/>
    <w:rsid w:val="007B5AB8"/>
    <w:rsid w:val="007B6B66"/>
    <w:rsid w:val="007B7306"/>
    <w:rsid w:val="007C0ABC"/>
    <w:rsid w:val="007C1E8C"/>
    <w:rsid w:val="007C214E"/>
    <w:rsid w:val="007C2CD5"/>
    <w:rsid w:val="007C312B"/>
    <w:rsid w:val="007C342B"/>
    <w:rsid w:val="007C343E"/>
    <w:rsid w:val="007C3A04"/>
    <w:rsid w:val="007C3A2F"/>
    <w:rsid w:val="007C3FF3"/>
    <w:rsid w:val="007C400C"/>
    <w:rsid w:val="007C417C"/>
    <w:rsid w:val="007C51E8"/>
    <w:rsid w:val="007C5963"/>
    <w:rsid w:val="007C5A22"/>
    <w:rsid w:val="007C5EC7"/>
    <w:rsid w:val="007C6820"/>
    <w:rsid w:val="007C6A44"/>
    <w:rsid w:val="007C6C60"/>
    <w:rsid w:val="007C7242"/>
    <w:rsid w:val="007C7282"/>
    <w:rsid w:val="007C7595"/>
    <w:rsid w:val="007C7B56"/>
    <w:rsid w:val="007D01AF"/>
    <w:rsid w:val="007D08D7"/>
    <w:rsid w:val="007D1ABA"/>
    <w:rsid w:val="007D1F3C"/>
    <w:rsid w:val="007D2316"/>
    <w:rsid w:val="007D2B2C"/>
    <w:rsid w:val="007D2FF8"/>
    <w:rsid w:val="007D32EC"/>
    <w:rsid w:val="007D348E"/>
    <w:rsid w:val="007D38A5"/>
    <w:rsid w:val="007D3942"/>
    <w:rsid w:val="007D394B"/>
    <w:rsid w:val="007D394C"/>
    <w:rsid w:val="007D3E08"/>
    <w:rsid w:val="007D3E7F"/>
    <w:rsid w:val="007D3EA4"/>
    <w:rsid w:val="007D4059"/>
    <w:rsid w:val="007D47C3"/>
    <w:rsid w:val="007D481C"/>
    <w:rsid w:val="007D487D"/>
    <w:rsid w:val="007D496B"/>
    <w:rsid w:val="007D51BD"/>
    <w:rsid w:val="007D54BA"/>
    <w:rsid w:val="007D55C5"/>
    <w:rsid w:val="007D5B81"/>
    <w:rsid w:val="007D5CF6"/>
    <w:rsid w:val="007D5D66"/>
    <w:rsid w:val="007D610A"/>
    <w:rsid w:val="007D635B"/>
    <w:rsid w:val="007D6687"/>
    <w:rsid w:val="007D6A24"/>
    <w:rsid w:val="007D7290"/>
    <w:rsid w:val="007D77A0"/>
    <w:rsid w:val="007D7990"/>
    <w:rsid w:val="007E0181"/>
    <w:rsid w:val="007E038C"/>
    <w:rsid w:val="007E03D8"/>
    <w:rsid w:val="007E0A5B"/>
    <w:rsid w:val="007E107E"/>
    <w:rsid w:val="007E1340"/>
    <w:rsid w:val="007E1837"/>
    <w:rsid w:val="007E1A6B"/>
    <w:rsid w:val="007E1F79"/>
    <w:rsid w:val="007E20D5"/>
    <w:rsid w:val="007E2514"/>
    <w:rsid w:val="007E27D9"/>
    <w:rsid w:val="007E2977"/>
    <w:rsid w:val="007E47A5"/>
    <w:rsid w:val="007E481F"/>
    <w:rsid w:val="007E4D23"/>
    <w:rsid w:val="007E4D2C"/>
    <w:rsid w:val="007E5559"/>
    <w:rsid w:val="007E6344"/>
    <w:rsid w:val="007E6910"/>
    <w:rsid w:val="007E69A0"/>
    <w:rsid w:val="007E6BB0"/>
    <w:rsid w:val="007E7282"/>
    <w:rsid w:val="007E730D"/>
    <w:rsid w:val="007F07DC"/>
    <w:rsid w:val="007F0927"/>
    <w:rsid w:val="007F0D70"/>
    <w:rsid w:val="007F127C"/>
    <w:rsid w:val="007F1D91"/>
    <w:rsid w:val="007F2541"/>
    <w:rsid w:val="007F35CE"/>
    <w:rsid w:val="007F3992"/>
    <w:rsid w:val="007F3C80"/>
    <w:rsid w:val="007F3E4F"/>
    <w:rsid w:val="007F4B69"/>
    <w:rsid w:val="007F4F0B"/>
    <w:rsid w:val="007F51CD"/>
    <w:rsid w:val="007F529F"/>
    <w:rsid w:val="007F53FB"/>
    <w:rsid w:val="007F5E9F"/>
    <w:rsid w:val="007F5EF7"/>
    <w:rsid w:val="007F61AC"/>
    <w:rsid w:val="007F68CB"/>
    <w:rsid w:val="007F6B75"/>
    <w:rsid w:val="007F6BAC"/>
    <w:rsid w:val="007F7D42"/>
    <w:rsid w:val="00800042"/>
    <w:rsid w:val="00800E4E"/>
    <w:rsid w:val="00801058"/>
    <w:rsid w:val="00801344"/>
    <w:rsid w:val="00801AF3"/>
    <w:rsid w:val="00801DCC"/>
    <w:rsid w:val="00801FFE"/>
    <w:rsid w:val="008033E2"/>
    <w:rsid w:val="00803B9A"/>
    <w:rsid w:val="00803D32"/>
    <w:rsid w:val="00806858"/>
    <w:rsid w:val="00806F19"/>
    <w:rsid w:val="00807321"/>
    <w:rsid w:val="0080734A"/>
    <w:rsid w:val="008107A3"/>
    <w:rsid w:val="00810B7A"/>
    <w:rsid w:val="0081109F"/>
    <w:rsid w:val="0081177B"/>
    <w:rsid w:val="00811882"/>
    <w:rsid w:val="00811A5D"/>
    <w:rsid w:val="00813BAC"/>
    <w:rsid w:val="00813CFD"/>
    <w:rsid w:val="00813E5E"/>
    <w:rsid w:val="0081424C"/>
    <w:rsid w:val="00814C66"/>
    <w:rsid w:val="00814CC5"/>
    <w:rsid w:val="0081642B"/>
    <w:rsid w:val="0081652A"/>
    <w:rsid w:val="00816BE3"/>
    <w:rsid w:val="00816C3D"/>
    <w:rsid w:val="00816DB2"/>
    <w:rsid w:val="0082007C"/>
    <w:rsid w:val="00820569"/>
    <w:rsid w:val="00820C0F"/>
    <w:rsid w:val="00821307"/>
    <w:rsid w:val="00821535"/>
    <w:rsid w:val="0082285F"/>
    <w:rsid w:val="00822CB0"/>
    <w:rsid w:val="00824319"/>
    <w:rsid w:val="00824583"/>
    <w:rsid w:val="00824591"/>
    <w:rsid w:val="008247F6"/>
    <w:rsid w:val="00824AE2"/>
    <w:rsid w:val="0082503B"/>
    <w:rsid w:val="008250D5"/>
    <w:rsid w:val="008255B9"/>
    <w:rsid w:val="00825ED8"/>
    <w:rsid w:val="00825FB9"/>
    <w:rsid w:val="0082610B"/>
    <w:rsid w:val="008265DB"/>
    <w:rsid w:val="0082778A"/>
    <w:rsid w:val="008279F3"/>
    <w:rsid w:val="00827B09"/>
    <w:rsid w:val="00827D12"/>
    <w:rsid w:val="008300B6"/>
    <w:rsid w:val="00830AB0"/>
    <w:rsid w:val="008319CE"/>
    <w:rsid w:val="0083224B"/>
    <w:rsid w:val="00832E35"/>
    <w:rsid w:val="0083468C"/>
    <w:rsid w:val="00834BB6"/>
    <w:rsid w:val="0083513D"/>
    <w:rsid w:val="008351F3"/>
    <w:rsid w:val="00835534"/>
    <w:rsid w:val="0083558A"/>
    <w:rsid w:val="008355F4"/>
    <w:rsid w:val="0083581B"/>
    <w:rsid w:val="00837117"/>
    <w:rsid w:val="008408DB"/>
    <w:rsid w:val="008414F3"/>
    <w:rsid w:val="00841890"/>
    <w:rsid w:val="00842015"/>
    <w:rsid w:val="00842ADD"/>
    <w:rsid w:val="00842B11"/>
    <w:rsid w:val="00842B8E"/>
    <w:rsid w:val="0084378D"/>
    <w:rsid w:val="00843B16"/>
    <w:rsid w:val="00843F05"/>
    <w:rsid w:val="008445C5"/>
    <w:rsid w:val="00844796"/>
    <w:rsid w:val="00844F1A"/>
    <w:rsid w:val="008452F0"/>
    <w:rsid w:val="0084546D"/>
    <w:rsid w:val="00845A26"/>
    <w:rsid w:val="00845D99"/>
    <w:rsid w:val="0084728A"/>
    <w:rsid w:val="00847DDB"/>
    <w:rsid w:val="008506A3"/>
    <w:rsid w:val="00851008"/>
    <w:rsid w:val="008514FE"/>
    <w:rsid w:val="008518CD"/>
    <w:rsid w:val="008519E0"/>
    <w:rsid w:val="00851B95"/>
    <w:rsid w:val="00851C2A"/>
    <w:rsid w:val="008520EE"/>
    <w:rsid w:val="008525FC"/>
    <w:rsid w:val="008535DC"/>
    <w:rsid w:val="008537FD"/>
    <w:rsid w:val="00853C9A"/>
    <w:rsid w:val="0085444F"/>
    <w:rsid w:val="00854FD2"/>
    <w:rsid w:val="0085551D"/>
    <w:rsid w:val="00855F44"/>
    <w:rsid w:val="008562A9"/>
    <w:rsid w:val="008566D2"/>
    <w:rsid w:val="008568B6"/>
    <w:rsid w:val="008570D8"/>
    <w:rsid w:val="00857138"/>
    <w:rsid w:val="00857374"/>
    <w:rsid w:val="00857700"/>
    <w:rsid w:val="0085793D"/>
    <w:rsid w:val="00860950"/>
    <w:rsid w:val="00860C94"/>
    <w:rsid w:val="00860F36"/>
    <w:rsid w:val="00861AA2"/>
    <w:rsid w:val="008628D7"/>
    <w:rsid w:val="00862DB1"/>
    <w:rsid w:val="0086305D"/>
    <w:rsid w:val="0086346E"/>
    <w:rsid w:val="00863618"/>
    <w:rsid w:val="00863874"/>
    <w:rsid w:val="00863F19"/>
    <w:rsid w:val="008644FE"/>
    <w:rsid w:val="0086450A"/>
    <w:rsid w:val="00864ADA"/>
    <w:rsid w:val="00864AFF"/>
    <w:rsid w:val="00865059"/>
    <w:rsid w:val="00865925"/>
    <w:rsid w:val="00865C35"/>
    <w:rsid w:val="00865E68"/>
    <w:rsid w:val="0086608B"/>
    <w:rsid w:val="0086637A"/>
    <w:rsid w:val="00866EB3"/>
    <w:rsid w:val="00866EE5"/>
    <w:rsid w:val="00867260"/>
    <w:rsid w:val="0086773C"/>
    <w:rsid w:val="0086783E"/>
    <w:rsid w:val="00867B28"/>
    <w:rsid w:val="00867C77"/>
    <w:rsid w:val="00867FEF"/>
    <w:rsid w:val="00870C60"/>
    <w:rsid w:val="00870DE1"/>
    <w:rsid w:val="00870FB1"/>
    <w:rsid w:val="008711CD"/>
    <w:rsid w:val="008715D9"/>
    <w:rsid w:val="008718D6"/>
    <w:rsid w:val="00871A39"/>
    <w:rsid w:val="00871FF2"/>
    <w:rsid w:val="008723B0"/>
    <w:rsid w:val="00872A58"/>
    <w:rsid w:val="00872D62"/>
    <w:rsid w:val="00872DB9"/>
    <w:rsid w:val="00872DF7"/>
    <w:rsid w:val="0087319E"/>
    <w:rsid w:val="008733E5"/>
    <w:rsid w:val="00873B26"/>
    <w:rsid w:val="00873BE2"/>
    <w:rsid w:val="00874633"/>
    <w:rsid w:val="00874743"/>
    <w:rsid w:val="00874F5A"/>
    <w:rsid w:val="00875017"/>
    <w:rsid w:val="0087564F"/>
    <w:rsid w:val="00875D97"/>
    <w:rsid w:val="008771BB"/>
    <w:rsid w:val="00877834"/>
    <w:rsid w:val="00880043"/>
    <w:rsid w:val="00880215"/>
    <w:rsid w:val="00880B18"/>
    <w:rsid w:val="00881E9D"/>
    <w:rsid w:val="00881EE0"/>
    <w:rsid w:val="00882B89"/>
    <w:rsid w:val="00882BDC"/>
    <w:rsid w:val="00882CCB"/>
    <w:rsid w:val="008835BA"/>
    <w:rsid w:val="0088388E"/>
    <w:rsid w:val="00883A43"/>
    <w:rsid w:val="00884478"/>
    <w:rsid w:val="0088472B"/>
    <w:rsid w:val="00884BC1"/>
    <w:rsid w:val="00885350"/>
    <w:rsid w:val="008853B7"/>
    <w:rsid w:val="008856F9"/>
    <w:rsid w:val="00885770"/>
    <w:rsid w:val="00885A38"/>
    <w:rsid w:val="0088638F"/>
    <w:rsid w:val="00887FE0"/>
    <w:rsid w:val="0089011A"/>
    <w:rsid w:val="00890BD8"/>
    <w:rsid w:val="00890D86"/>
    <w:rsid w:val="0089146A"/>
    <w:rsid w:val="008914F3"/>
    <w:rsid w:val="00891B5B"/>
    <w:rsid w:val="00891BA0"/>
    <w:rsid w:val="00891D61"/>
    <w:rsid w:val="0089463B"/>
    <w:rsid w:val="00894A55"/>
    <w:rsid w:val="00895550"/>
    <w:rsid w:val="00895733"/>
    <w:rsid w:val="00895AB1"/>
    <w:rsid w:val="00895BCB"/>
    <w:rsid w:val="00895EAB"/>
    <w:rsid w:val="00896416"/>
    <w:rsid w:val="00896F4E"/>
    <w:rsid w:val="00897758"/>
    <w:rsid w:val="008978D6"/>
    <w:rsid w:val="00897C50"/>
    <w:rsid w:val="008A0C05"/>
    <w:rsid w:val="008A0C27"/>
    <w:rsid w:val="008A0E8B"/>
    <w:rsid w:val="008A0F91"/>
    <w:rsid w:val="008A10D9"/>
    <w:rsid w:val="008A12B9"/>
    <w:rsid w:val="008A2226"/>
    <w:rsid w:val="008A3AE0"/>
    <w:rsid w:val="008A3EB8"/>
    <w:rsid w:val="008A43B6"/>
    <w:rsid w:val="008A4F43"/>
    <w:rsid w:val="008A542C"/>
    <w:rsid w:val="008A58A8"/>
    <w:rsid w:val="008A627A"/>
    <w:rsid w:val="008A660D"/>
    <w:rsid w:val="008A6912"/>
    <w:rsid w:val="008A6A8B"/>
    <w:rsid w:val="008A72ED"/>
    <w:rsid w:val="008B07BC"/>
    <w:rsid w:val="008B28F3"/>
    <w:rsid w:val="008B2ADA"/>
    <w:rsid w:val="008B2FD0"/>
    <w:rsid w:val="008B2FF4"/>
    <w:rsid w:val="008B3164"/>
    <w:rsid w:val="008B3A15"/>
    <w:rsid w:val="008B45E3"/>
    <w:rsid w:val="008B4A6A"/>
    <w:rsid w:val="008B543B"/>
    <w:rsid w:val="008B5597"/>
    <w:rsid w:val="008B57AE"/>
    <w:rsid w:val="008B6504"/>
    <w:rsid w:val="008B6FBD"/>
    <w:rsid w:val="008B7492"/>
    <w:rsid w:val="008B7970"/>
    <w:rsid w:val="008B7DCC"/>
    <w:rsid w:val="008C003E"/>
    <w:rsid w:val="008C0DD3"/>
    <w:rsid w:val="008C111C"/>
    <w:rsid w:val="008C1960"/>
    <w:rsid w:val="008C1A16"/>
    <w:rsid w:val="008C1FEF"/>
    <w:rsid w:val="008C3795"/>
    <w:rsid w:val="008C3A91"/>
    <w:rsid w:val="008C3C5F"/>
    <w:rsid w:val="008C4203"/>
    <w:rsid w:val="008C42E8"/>
    <w:rsid w:val="008C43DE"/>
    <w:rsid w:val="008C480B"/>
    <w:rsid w:val="008C48ED"/>
    <w:rsid w:val="008C4D1C"/>
    <w:rsid w:val="008C50D3"/>
    <w:rsid w:val="008C608A"/>
    <w:rsid w:val="008C6E18"/>
    <w:rsid w:val="008C7444"/>
    <w:rsid w:val="008C75A3"/>
    <w:rsid w:val="008C75D0"/>
    <w:rsid w:val="008C7884"/>
    <w:rsid w:val="008C7E27"/>
    <w:rsid w:val="008D0416"/>
    <w:rsid w:val="008D0F96"/>
    <w:rsid w:val="008D1040"/>
    <w:rsid w:val="008D1070"/>
    <w:rsid w:val="008D1372"/>
    <w:rsid w:val="008D14CD"/>
    <w:rsid w:val="008D1628"/>
    <w:rsid w:val="008D16A5"/>
    <w:rsid w:val="008D196F"/>
    <w:rsid w:val="008D19BB"/>
    <w:rsid w:val="008D1CD2"/>
    <w:rsid w:val="008D1DBD"/>
    <w:rsid w:val="008D2515"/>
    <w:rsid w:val="008D268D"/>
    <w:rsid w:val="008D27FF"/>
    <w:rsid w:val="008D311C"/>
    <w:rsid w:val="008D3ABD"/>
    <w:rsid w:val="008D446C"/>
    <w:rsid w:val="008D4540"/>
    <w:rsid w:val="008D488C"/>
    <w:rsid w:val="008D4BB1"/>
    <w:rsid w:val="008D54F8"/>
    <w:rsid w:val="008D559E"/>
    <w:rsid w:val="008D59CA"/>
    <w:rsid w:val="008D5E55"/>
    <w:rsid w:val="008D5FDC"/>
    <w:rsid w:val="008D62C5"/>
    <w:rsid w:val="008D6916"/>
    <w:rsid w:val="008D6C4A"/>
    <w:rsid w:val="008D7491"/>
    <w:rsid w:val="008E0299"/>
    <w:rsid w:val="008E05B9"/>
    <w:rsid w:val="008E0FA4"/>
    <w:rsid w:val="008E187E"/>
    <w:rsid w:val="008E1AC1"/>
    <w:rsid w:val="008E2B22"/>
    <w:rsid w:val="008E3B5C"/>
    <w:rsid w:val="008E3C4E"/>
    <w:rsid w:val="008E3D18"/>
    <w:rsid w:val="008E429A"/>
    <w:rsid w:val="008E449C"/>
    <w:rsid w:val="008E4521"/>
    <w:rsid w:val="008E4922"/>
    <w:rsid w:val="008E4E8C"/>
    <w:rsid w:val="008E5B1D"/>
    <w:rsid w:val="008E5C21"/>
    <w:rsid w:val="008E5CE9"/>
    <w:rsid w:val="008E6035"/>
    <w:rsid w:val="008E6221"/>
    <w:rsid w:val="008E63C9"/>
    <w:rsid w:val="008E6999"/>
    <w:rsid w:val="008E706B"/>
    <w:rsid w:val="008E7957"/>
    <w:rsid w:val="008E7B98"/>
    <w:rsid w:val="008E7CD1"/>
    <w:rsid w:val="008F036B"/>
    <w:rsid w:val="008F1012"/>
    <w:rsid w:val="008F132D"/>
    <w:rsid w:val="008F1CE2"/>
    <w:rsid w:val="008F1F6A"/>
    <w:rsid w:val="008F20D6"/>
    <w:rsid w:val="008F229D"/>
    <w:rsid w:val="008F22B1"/>
    <w:rsid w:val="008F24B4"/>
    <w:rsid w:val="008F323A"/>
    <w:rsid w:val="008F3580"/>
    <w:rsid w:val="008F3626"/>
    <w:rsid w:val="008F376C"/>
    <w:rsid w:val="008F3DB4"/>
    <w:rsid w:val="008F40EB"/>
    <w:rsid w:val="008F4800"/>
    <w:rsid w:val="008F48D2"/>
    <w:rsid w:val="008F4D84"/>
    <w:rsid w:val="008F4E63"/>
    <w:rsid w:val="008F57F8"/>
    <w:rsid w:val="008F70D1"/>
    <w:rsid w:val="008F7448"/>
    <w:rsid w:val="008F7F31"/>
    <w:rsid w:val="00900856"/>
    <w:rsid w:val="00900BAF"/>
    <w:rsid w:val="00900C00"/>
    <w:rsid w:val="00900D5E"/>
    <w:rsid w:val="00900D97"/>
    <w:rsid w:val="009010E3"/>
    <w:rsid w:val="0090147A"/>
    <w:rsid w:val="00901C53"/>
    <w:rsid w:val="00901CEF"/>
    <w:rsid w:val="00901DDB"/>
    <w:rsid w:val="00902430"/>
    <w:rsid w:val="00902439"/>
    <w:rsid w:val="009024DD"/>
    <w:rsid w:val="0090391D"/>
    <w:rsid w:val="00903DCC"/>
    <w:rsid w:val="009041D7"/>
    <w:rsid w:val="009044C4"/>
    <w:rsid w:val="009050F6"/>
    <w:rsid w:val="00905614"/>
    <w:rsid w:val="00905C15"/>
    <w:rsid w:val="00906229"/>
    <w:rsid w:val="00906D38"/>
    <w:rsid w:val="00907B46"/>
    <w:rsid w:val="00907CAC"/>
    <w:rsid w:val="00910005"/>
    <w:rsid w:val="009100DC"/>
    <w:rsid w:val="00910511"/>
    <w:rsid w:val="00910B85"/>
    <w:rsid w:val="00911A58"/>
    <w:rsid w:val="00911B13"/>
    <w:rsid w:val="00911D5B"/>
    <w:rsid w:val="00911FB6"/>
    <w:rsid w:val="009123FF"/>
    <w:rsid w:val="009128B3"/>
    <w:rsid w:val="00912BE2"/>
    <w:rsid w:val="0091308B"/>
    <w:rsid w:val="00913373"/>
    <w:rsid w:val="009136B8"/>
    <w:rsid w:val="009138DA"/>
    <w:rsid w:val="00913E12"/>
    <w:rsid w:val="00914674"/>
    <w:rsid w:val="009150B2"/>
    <w:rsid w:val="009154DA"/>
    <w:rsid w:val="00915508"/>
    <w:rsid w:val="00915705"/>
    <w:rsid w:val="00915E26"/>
    <w:rsid w:val="00916465"/>
    <w:rsid w:val="00916C0B"/>
    <w:rsid w:val="00916DDF"/>
    <w:rsid w:val="00917228"/>
    <w:rsid w:val="009173EF"/>
    <w:rsid w:val="00917703"/>
    <w:rsid w:val="00917A6F"/>
    <w:rsid w:val="00917DDB"/>
    <w:rsid w:val="0092000B"/>
    <w:rsid w:val="0092077D"/>
    <w:rsid w:val="00920B71"/>
    <w:rsid w:val="0092126F"/>
    <w:rsid w:val="00921281"/>
    <w:rsid w:val="0092173D"/>
    <w:rsid w:val="009219D6"/>
    <w:rsid w:val="0092219F"/>
    <w:rsid w:val="009227D1"/>
    <w:rsid w:val="00922CC0"/>
    <w:rsid w:val="00922E64"/>
    <w:rsid w:val="009237A6"/>
    <w:rsid w:val="00923CB6"/>
    <w:rsid w:val="00923E5F"/>
    <w:rsid w:val="00924194"/>
    <w:rsid w:val="0092490B"/>
    <w:rsid w:val="009249A9"/>
    <w:rsid w:val="00924A94"/>
    <w:rsid w:val="009256BC"/>
    <w:rsid w:val="009268DF"/>
    <w:rsid w:val="00927198"/>
    <w:rsid w:val="00927436"/>
    <w:rsid w:val="00927A37"/>
    <w:rsid w:val="009302C2"/>
    <w:rsid w:val="009309BC"/>
    <w:rsid w:val="0093114C"/>
    <w:rsid w:val="0093145A"/>
    <w:rsid w:val="00931880"/>
    <w:rsid w:val="009319D5"/>
    <w:rsid w:val="00931B15"/>
    <w:rsid w:val="00931D63"/>
    <w:rsid w:val="00931E9F"/>
    <w:rsid w:val="00931F53"/>
    <w:rsid w:val="00932319"/>
    <w:rsid w:val="00932906"/>
    <w:rsid w:val="00932EF0"/>
    <w:rsid w:val="009331BF"/>
    <w:rsid w:val="0093401E"/>
    <w:rsid w:val="009343DD"/>
    <w:rsid w:val="00934725"/>
    <w:rsid w:val="00935777"/>
    <w:rsid w:val="00935A9B"/>
    <w:rsid w:val="00935C29"/>
    <w:rsid w:val="00935D78"/>
    <w:rsid w:val="00935EC7"/>
    <w:rsid w:val="00936C0C"/>
    <w:rsid w:val="00936D0F"/>
    <w:rsid w:val="009412F0"/>
    <w:rsid w:val="0094139B"/>
    <w:rsid w:val="00941735"/>
    <w:rsid w:val="009417EC"/>
    <w:rsid w:val="0094263F"/>
    <w:rsid w:val="00943810"/>
    <w:rsid w:val="009439C2"/>
    <w:rsid w:val="00943CF4"/>
    <w:rsid w:val="009443A7"/>
    <w:rsid w:val="00944CB4"/>
    <w:rsid w:val="009453D5"/>
    <w:rsid w:val="00946560"/>
    <w:rsid w:val="00946B65"/>
    <w:rsid w:val="00946C94"/>
    <w:rsid w:val="0094742F"/>
    <w:rsid w:val="0095031A"/>
    <w:rsid w:val="00950841"/>
    <w:rsid w:val="00951177"/>
    <w:rsid w:val="00951710"/>
    <w:rsid w:val="0095173B"/>
    <w:rsid w:val="00951A0C"/>
    <w:rsid w:val="00951A72"/>
    <w:rsid w:val="00951C7A"/>
    <w:rsid w:val="00951E0E"/>
    <w:rsid w:val="00952301"/>
    <w:rsid w:val="009525BA"/>
    <w:rsid w:val="00952D1E"/>
    <w:rsid w:val="00952D7B"/>
    <w:rsid w:val="009536A0"/>
    <w:rsid w:val="0095433D"/>
    <w:rsid w:val="009549CB"/>
    <w:rsid w:val="00954C49"/>
    <w:rsid w:val="00954CBD"/>
    <w:rsid w:val="009550D5"/>
    <w:rsid w:val="00955324"/>
    <w:rsid w:val="0095584B"/>
    <w:rsid w:val="00955C8B"/>
    <w:rsid w:val="00955DA9"/>
    <w:rsid w:val="00955E7B"/>
    <w:rsid w:val="00955ECC"/>
    <w:rsid w:val="0095606B"/>
    <w:rsid w:val="009560C0"/>
    <w:rsid w:val="0095622E"/>
    <w:rsid w:val="00956285"/>
    <w:rsid w:val="0095679D"/>
    <w:rsid w:val="009570C4"/>
    <w:rsid w:val="0095734E"/>
    <w:rsid w:val="00957842"/>
    <w:rsid w:val="009603D8"/>
    <w:rsid w:val="00960614"/>
    <w:rsid w:val="00960D8D"/>
    <w:rsid w:val="009617FD"/>
    <w:rsid w:val="00961B0B"/>
    <w:rsid w:val="00962D33"/>
    <w:rsid w:val="00962DA5"/>
    <w:rsid w:val="00965190"/>
    <w:rsid w:val="009658F7"/>
    <w:rsid w:val="00965FA9"/>
    <w:rsid w:val="009662DE"/>
    <w:rsid w:val="00966333"/>
    <w:rsid w:val="0096640F"/>
    <w:rsid w:val="00966446"/>
    <w:rsid w:val="00966B8B"/>
    <w:rsid w:val="00966E57"/>
    <w:rsid w:val="00967273"/>
    <w:rsid w:val="00967E7E"/>
    <w:rsid w:val="009706CA"/>
    <w:rsid w:val="00970EBB"/>
    <w:rsid w:val="0097335C"/>
    <w:rsid w:val="009737E9"/>
    <w:rsid w:val="00974385"/>
    <w:rsid w:val="009744C9"/>
    <w:rsid w:val="00974656"/>
    <w:rsid w:val="00974DEC"/>
    <w:rsid w:val="009758F1"/>
    <w:rsid w:val="009758FD"/>
    <w:rsid w:val="009766CC"/>
    <w:rsid w:val="00977C6A"/>
    <w:rsid w:val="00980753"/>
    <w:rsid w:val="009808B4"/>
    <w:rsid w:val="0098157F"/>
    <w:rsid w:val="009818A8"/>
    <w:rsid w:val="00981D42"/>
    <w:rsid w:val="00981DDB"/>
    <w:rsid w:val="00981FF1"/>
    <w:rsid w:val="009824D7"/>
    <w:rsid w:val="00982CF0"/>
    <w:rsid w:val="00984019"/>
    <w:rsid w:val="009842A1"/>
    <w:rsid w:val="00984503"/>
    <w:rsid w:val="009848DB"/>
    <w:rsid w:val="00984DB4"/>
    <w:rsid w:val="00987284"/>
    <w:rsid w:val="00987ACF"/>
    <w:rsid w:val="0099049F"/>
    <w:rsid w:val="009908FA"/>
    <w:rsid w:val="00990BA7"/>
    <w:rsid w:val="00990CC2"/>
    <w:rsid w:val="00990E0A"/>
    <w:rsid w:val="009917E0"/>
    <w:rsid w:val="00991A50"/>
    <w:rsid w:val="00991B55"/>
    <w:rsid w:val="009934E0"/>
    <w:rsid w:val="00993738"/>
    <w:rsid w:val="00993FDC"/>
    <w:rsid w:val="00994BEF"/>
    <w:rsid w:val="00995542"/>
    <w:rsid w:val="00995AC1"/>
    <w:rsid w:val="00996611"/>
    <w:rsid w:val="0099761A"/>
    <w:rsid w:val="00997B1F"/>
    <w:rsid w:val="009A040F"/>
    <w:rsid w:val="009A084D"/>
    <w:rsid w:val="009A28B0"/>
    <w:rsid w:val="009A2E8C"/>
    <w:rsid w:val="009A30B4"/>
    <w:rsid w:val="009A3611"/>
    <w:rsid w:val="009A407F"/>
    <w:rsid w:val="009A4438"/>
    <w:rsid w:val="009A5484"/>
    <w:rsid w:val="009A5865"/>
    <w:rsid w:val="009A5D08"/>
    <w:rsid w:val="009A68EA"/>
    <w:rsid w:val="009A6B8E"/>
    <w:rsid w:val="009A6D06"/>
    <w:rsid w:val="009A730D"/>
    <w:rsid w:val="009A763A"/>
    <w:rsid w:val="009A7653"/>
    <w:rsid w:val="009A76A8"/>
    <w:rsid w:val="009A79F5"/>
    <w:rsid w:val="009A7C13"/>
    <w:rsid w:val="009A7D4D"/>
    <w:rsid w:val="009B06F2"/>
    <w:rsid w:val="009B1250"/>
    <w:rsid w:val="009B14F4"/>
    <w:rsid w:val="009B1EE4"/>
    <w:rsid w:val="009B267D"/>
    <w:rsid w:val="009B361F"/>
    <w:rsid w:val="009B37F1"/>
    <w:rsid w:val="009B38C3"/>
    <w:rsid w:val="009B3DC3"/>
    <w:rsid w:val="009B4273"/>
    <w:rsid w:val="009B459C"/>
    <w:rsid w:val="009B49E8"/>
    <w:rsid w:val="009B4AD2"/>
    <w:rsid w:val="009B4F4B"/>
    <w:rsid w:val="009B543E"/>
    <w:rsid w:val="009B55AE"/>
    <w:rsid w:val="009B57B8"/>
    <w:rsid w:val="009B6276"/>
    <w:rsid w:val="009B6DCE"/>
    <w:rsid w:val="009B739F"/>
    <w:rsid w:val="009C006D"/>
    <w:rsid w:val="009C038D"/>
    <w:rsid w:val="009C1AAD"/>
    <w:rsid w:val="009C21B3"/>
    <w:rsid w:val="009C3928"/>
    <w:rsid w:val="009C3B2B"/>
    <w:rsid w:val="009C3D06"/>
    <w:rsid w:val="009C45B0"/>
    <w:rsid w:val="009C4872"/>
    <w:rsid w:val="009C4D16"/>
    <w:rsid w:val="009C4D3A"/>
    <w:rsid w:val="009C4DEA"/>
    <w:rsid w:val="009C4E0E"/>
    <w:rsid w:val="009C4ECF"/>
    <w:rsid w:val="009C5022"/>
    <w:rsid w:val="009C5414"/>
    <w:rsid w:val="009C565F"/>
    <w:rsid w:val="009C6004"/>
    <w:rsid w:val="009C65EC"/>
    <w:rsid w:val="009C6C52"/>
    <w:rsid w:val="009C75BC"/>
    <w:rsid w:val="009C78D1"/>
    <w:rsid w:val="009C7BA6"/>
    <w:rsid w:val="009D011D"/>
    <w:rsid w:val="009D0782"/>
    <w:rsid w:val="009D0803"/>
    <w:rsid w:val="009D0D03"/>
    <w:rsid w:val="009D2BC6"/>
    <w:rsid w:val="009D2ECB"/>
    <w:rsid w:val="009D2EEF"/>
    <w:rsid w:val="009D31AA"/>
    <w:rsid w:val="009D39C0"/>
    <w:rsid w:val="009D3BD9"/>
    <w:rsid w:val="009D3F77"/>
    <w:rsid w:val="009D43BC"/>
    <w:rsid w:val="009D4708"/>
    <w:rsid w:val="009D4CB6"/>
    <w:rsid w:val="009D4EA3"/>
    <w:rsid w:val="009D565A"/>
    <w:rsid w:val="009D576C"/>
    <w:rsid w:val="009D5BB8"/>
    <w:rsid w:val="009D70DA"/>
    <w:rsid w:val="009D718E"/>
    <w:rsid w:val="009D7344"/>
    <w:rsid w:val="009D76CD"/>
    <w:rsid w:val="009E0467"/>
    <w:rsid w:val="009E0FBF"/>
    <w:rsid w:val="009E1411"/>
    <w:rsid w:val="009E17BD"/>
    <w:rsid w:val="009E20FA"/>
    <w:rsid w:val="009E238D"/>
    <w:rsid w:val="009E24E9"/>
    <w:rsid w:val="009E282C"/>
    <w:rsid w:val="009E2BDD"/>
    <w:rsid w:val="009E3415"/>
    <w:rsid w:val="009E47AC"/>
    <w:rsid w:val="009E485A"/>
    <w:rsid w:val="009E4978"/>
    <w:rsid w:val="009E4B06"/>
    <w:rsid w:val="009E4E5B"/>
    <w:rsid w:val="009E5187"/>
    <w:rsid w:val="009E550B"/>
    <w:rsid w:val="009E5A18"/>
    <w:rsid w:val="009E6463"/>
    <w:rsid w:val="009E6625"/>
    <w:rsid w:val="009E686F"/>
    <w:rsid w:val="009E6BAB"/>
    <w:rsid w:val="009E7289"/>
    <w:rsid w:val="009E733D"/>
    <w:rsid w:val="009E784B"/>
    <w:rsid w:val="009E7C96"/>
    <w:rsid w:val="009E7E22"/>
    <w:rsid w:val="009F00ED"/>
    <w:rsid w:val="009F0343"/>
    <w:rsid w:val="009F06B9"/>
    <w:rsid w:val="009F0805"/>
    <w:rsid w:val="009F0A5F"/>
    <w:rsid w:val="009F114D"/>
    <w:rsid w:val="009F11F8"/>
    <w:rsid w:val="009F1836"/>
    <w:rsid w:val="009F19DC"/>
    <w:rsid w:val="009F24FB"/>
    <w:rsid w:val="009F2970"/>
    <w:rsid w:val="009F2E0B"/>
    <w:rsid w:val="009F356A"/>
    <w:rsid w:val="009F35C2"/>
    <w:rsid w:val="009F3622"/>
    <w:rsid w:val="009F3D90"/>
    <w:rsid w:val="009F41AF"/>
    <w:rsid w:val="009F443F"/>
    <w:rsid w:val="009F4597"/>
    <w:rsid w:val="009F4CB4"/>
    <w:rsid w:val="009F5921"/>
    <w:rsid w:val="009F5AC1"/>
    <w:rsid w:val="009F5BE7"/>
    <w:rsid w:val="009F69BB"/>
    <w:rsid w:val="009F6F03"/>
    <w:rsid w:val="009F7072"/>
    <w:rsid w:val="009F7726"/>
    <w:rsid w:val="009F7A82"/>
    <w:rsid w:val="00A00177"/>
    <w:rsid w:val="00A001C6"/>
    <w:rsid w:val="00A0046B"/>
    <w:rsid w:val="00A00B6B"/>
    <w:rsid w:val="00A00F94"/>
    <w:rsid w:val="00A01021"/>
    <w:rsid w:val="00A013A4"/>
    <w:rsid w:val="00A01F4F"/>
    <w:rsid w:val="00A0248F"/>
    <w:rsid w:val="00A02C11"/>
    <w:rsid w:val="00A02D0C"/>
    <w:rsid w:val="00A0334A"/>
    <w:rsid w:val="00A0472A"/>
    <w:rsid w:val="00A04754"/>
    <w:rsid w:val="00A04CEC"/>
    <w:rsid w:val="00A0524E"/>
    <w:rsid w:val="00A05290"/>
    <w:rsid w:val="00A05AFF"/>
    <w:rsid w:val="00A05B1E"/>
    <w:rsid w:val="00A06A4C"/>
    <w:rsid w:val="00A10153"/>
    <w:rsid w:val="00A10643"/>
    <w:rsid w:val="00A106B9"/>
    <w:rsid w:val="00A109AF"/>
    <w:rsid w:val="00A10B78"/>
    <w:rsid w:val="00A11498"/>
    <w:rsid w:val="00A11CEC"/>
    <w:rsid w:val="00A12751"/>
    <w:rsid w:val="00A12807"/>
    <w:rsid w:val="00A135D5"/>
    <w:rsid w:val="00A13980"/>
    <w:rsid w:val="00A139DD"/>
    <w:rsid w:val="00A14029"/>
    <w:rsid w:val="00A14095"/>
    <w:rsid w:val="00A1428B"/>
    <w:rsid w:val="00A142AC"/>
    <w:rsid w:val="00A14E50"/>
    <w:rsid w:val="00A154CF"/>
    <w:rsid w:val="00A168AA"/>
    <w:rsid w:val="00A169B2"/>
    <w:rsid w:val="00A16C00"/>
    <w:rsid w:val="00A16D24"/>
    <w:rsid w:val="00A17063"/>
    <w:rsid w:val="00A172D5"/>
    <w:rsid w:val="00A1737F"/>
    <w:rsid w:val="00A173C7"/>
    <w:rsid w:val="00A175B2"/>
    <w:rsid w:val="00A17842"/>
    <w:rsid w:val="00A203F3"/>
    <w:rsid w:val="00A20B8C"/>
    <w:rsid w:val="00A22B37"/>
    <w:rsid w:val="00A22CE4"/>
    <w:rsid w:val="00A23559"/>
    <w:rsid w:val="00A23E6F"/>
    <w:rsid w:val="00A24064"/>
    <w:rsid w:val="00A242E3"/>
    <w:rsid w:val="00A24427"/>
    <w:rsid w:val="00A24981"/>
    <w:rsid w:val="00A24B91"/>
    <w:rsid w:val="00A2542B"/>
    <w:rsid w:val="00A2677A"/>
    <w:rsid w:val="00A27C47"/>
    <w:rsid w:val="00A27F92"/>
    <w:rsid w:val="00A27FCC"/>
    <w:rsid w:val="00A30875"/>
    <w:rsid w:val="00A31107"/>
    <w:rsid w:val="00A312EF"/>
    <w:rsid w:val="00A3151A"/>
    <w:rsid w:val="00A316B1"/>
    <w:rsid w:val="00A32257"/>
    <w:rsid w:val="00A3236A"/>
    <w:rsid w:val="00A32C1C"/>
    <w:rsid w:val="00A33065"/>
    <w:rsid w:val="00A336B6"/>
    <w:rsid w:val="00A340F2"/>
    <w:rsid w:val="00A343E5"/>
    <w:rsid w:val="00A3449E"/>
    <w:rsid w:val="00A35743"/>
    <w:rsid w:val="00A361E4"/>
    <w:rsid w:val="00A36925"/>
    <w:rsid w:val="00A3696D"/>
    <w:rsid w:val="00A36ACB"/>
    <w:rsid w:val="00A36B1E"/>
    <w:rsid w:val="00A36D20"/>
    <w:rsid w:val="00A4016A"/>
    <w:rsid w:val="00A40B53"/>
    <w:rsid w:val="00A40B8D"/>
    <w:rsid w:val="00A40C4F"/>
    <w:rsid w:val="00A41685"/>
    <w:rsid w:val="00A41B5A"/>
    <w:rsid w:val="00A4291E"/>
    <w:rsid w:val="00A42B32"/>
    <w:rsid w:val="00A42BA4"/>
    <w:rsid w:val="00A43760"/>
    <w:rsid w:val="00A43AF4"/>
    <w:rsid w:val="00A43B3B"/>
    <w:rsid w:val="00A43FEA"/>
    <w:rsid w:val="00A443B7"/>
    <w:rsid w:val="00A443F0"/>
    <w:rsid w:val="00A44509"/>
    <w:rsid w:val="00A44EF9"/>
    <w:rsid w:val="00A45026"/>
    <w:rsid w:val="00A4517F"/>
    <w:rsid w:val="00A459B2"/>
    <w:rsid w:val="00A45D3B"/>
    <w:rsid w:val="00A46B6B"/>
    <w:rsid w:val="00A500C8"/>
    <w:rsid w:val="00A502BA"/>
    <w:rsid w:val="00A5138A"/>
    <w:rsid w:val="00A514A4"/>
    <w:rsid w:val="00A51788"/>
    <w:rsid w:val="00A51CE7"/>
    <w:rsid w:val="00A5281F"/>
    <w:rsid w:val="00A52C11"/>
    <w:rsid w:val="00A52CB5"/>
    <w:rsid w:val="00A52FB6"/>
    <w:rsid w:val="00A5348D"/>
    <w:rsid w:val="00A5361D"/>
    <w:rsid w:val="00A53F29"/>
    <w:rsid w:val="00A5494E"/>
    <w:rsid w:val="00A54A10"/>
    <w:rsid w:val="00A54A2F"/>
    <w:rsid w:val="00A54AA8"/>
    <w:rsid w:val="00A54C6E"/>
    <w:rsid w:val="00A55622"/>
    <w:rsid w:val="00A55699"/>
    <w:rsid w:val="00A55AE0"/>
    <w:rsid w:val="00A55CEB"/>
    <w:rsid w:val="00A55D56"/>
    <w:rsid w:val="00A55DDC"/>
    <w:rsid w:val="00A5606C"/>
    <w:rsid w:val="00A5662F"/>
    <w:rsid w:val="00A56AEA"/>
    <w:rsid w:val="00A578F6"/>
    <w:rsid w:val="00A57CDE"/>
    <w:rsid w:val="00A60056"/>
    <w:rsid w:val="00A60C98"/>
    <w:rsid w:val="00A62102"/>
    <w:rsid w:val="00A627AC"/>
    <w:rsid w:val="00A62846"/>
    <w:rsid w:val="00A62916"/>
    <w:rsid w:val="00A62F56"/>
    <w:rsid w:val="00A630F9"/>
    <w:rsid w:val="00A632E0"/>
    <w:rsid w:val="00A63455"/>
    <w:rsid w:val="00A63E40"/>
    <w:rsid w:val="00A64465"/>
    <w:rsid w:val="00A644A7"/>
    <w:rsid w:val="00A64827"/>
    <w:rsid w:val="00A64A6B"/>
    <w:rsid w:val="00A64B12"/>
    <w:rsid w:val="00A6515C"/>
    <w:rsid w:val="00A655F0"/>
    <w:rsid w:val="00A65A09"/>
    <w:rsid w:val="00A65E06"/>
    <w:rsid w:val="00A66208"/>
    <w:rsid w:val="00A666BE"/>
    <w:rsid w:val="00A668A9"/>
    <w:rsid w:val="00A66A7C"/>
    <w:rsid w:val="00A66C8B"/>
    <w:rsid w:val="00A66D43"/>
    <w:rsid w:val="00A6765D"/>
    <w:rsid w:val="00A676E8"/>
    <w:rsid w:val="00A677BC"/>
    <w:rsid w:val="00A67903"/>
    <w:rsid w:val="00A67F0C"/>
    <w:rsid w:val="00A70FF3"/>
    <w:rsid w:val="00A710F6"/>
    <w:rsid w:val="00A71835"/>
    <w:rsid w:val="00A71AAA"/>
    <w:rsid w:val="00A71D78"/>
    <w:rsid w:val="00A71DC3"/>
    <w:rsid w:val="00A7245F"/>
    <w:rsid w:val="00A72623"/>
    <w:rsid w:val="00A72CF1"/>
    <w:rsid w:val="00A73788"/>
    <w:rsid w:val="00A73C7E"/>
    <w:rsid w:val="00A741FB"/>
    <w:rsid w:val="00A747A1"/>
    <w:rsid w:val="00A74BDB"/>
    <w:rsid w:val="00A7514F"/>
    <w:rsid w:val="00A751B2"/>
    <w:rsid w:val="00A75257"/>
    <w:rsid w:val="00A7565D"/>
    <w:rsid w:val="00A75715"/>
    <w:rsid w:val="00A75C2B"/>
    <w:rsid w:val="00A75C8F"/>
    <w:rsid w:val="00A75DFD"/>
    <w:rsid w:val="00A7705D"/>
    <w:rsid w:val="00A77E80"/>
    <w:rsid w:val="00A77EAB"/>
    <w:rsid w:val="00A806D0"/>
    <w:rsid w:val="00A80719"/>
    <w:rsid w:val="00A807B1"/>
    <w:rsid w:val="00A80859"/>
    <w:rsid w:val="00A80B1E"/>
    <w:rsid w:val="00A8151D"/>
    <w:rsid w:val="00A8227E"/>
    <w:rsid w:val="00A828B6"/>
    <w:rsid w:val="00A82ACC"/>
    <w:rsid w:val="00A82F84"/>
    <w:rsid w:val="00A82FB0"/>
    <w:rsid w:val="00A83502"/>
    <w:rsid w:val="00A83A93"/>
    <w:rsid w:val="00A848B2"/>
    <w:rsid w:val="00A8552F"/>
    <w:rsid w:val="00A855B7"/>
    <w:rsid w:val="00A863CC"/>
    <w:rsid w:val="00A87931"/>
    <w:rsid w:val="00A87E0B"/>
    <w:rsid w:val="00A90067"/>
    <w:rsid w:val="00A90471"/>
    <w:rsid w:val="00A909AE"/>
    <w:rsid w:val="00A90A3F"/>
    <w:rsid w:val="00A90B96"/>
    <w:rsid w:val="00A90E51"/>
    <w:rsid w:val="00A90FF8"/>
    <w:rsid w:val="00A91804"/>
    <w:rsid w:val="00A91EA0"/>
    <w:rsid w:val="00A921B6"/>
    <w:rsid w:val="00A92725"/>
    <w:rsid w:val="00A9294A"/>
    <w:rsid w:val="00A93521"/>
    <w:rsid w:val="00A937BF"/>
    <w:rsid w:val="00A93AF3"/>
    <w:rsid w:val="00A93F4C"/>
    <w:rsid w:val="00A94133"/>
    <w:rsid w:val="00A942F0"/>
    <w:rsid w:val="00A943C5"/>
    <w:rsid w:val="00A94803"/>
    <w:rsid w:val="00A94A44"/>
    <w:rsid w:val="00A94B46"/>
    <w:rsid w:val="00A94BAB"/>
    <w:rsid w:val="00A9502B"/>
    <w:rsid w:val="00A95088"/>
    <w:rsid w:val="00A95CC9"/>
    <w:rsid w:val="00A95DE5"/>
    <w:rsid w:val="00A969D3"/>
    <w:rsid w:val="00A9726A"/>
    <w:rsid w:val="00A979E6"/>
    <w:rsid w:val="00AA0C4C"/>
    <w:rsid w:val="00AA216B"/>
    <w:rsid w:val="00AA21FB"/>
    <w:rsid w:val="00AA34EA"/>
    <w:rsid w:val="00AA34FD"/>
    <w:rsid w:val="00AA406B"/>
    <w:rsid w:val="00AA4999"/>
    <w:rsid w:val="00AA51B2"/>
    <w:rsid w:val="00AA52EE"/>
    <w:rsid w:val="00AA5323"/>
    <w:rsid w:val="00AA533D"/>
    <w:rsid w:val="00AA5445"/>
    <w:rsid w:val="00AA5643"/>
    <w:rsid w:val="00AA56E5"/>
    <w:rsid w:val="00AA5EF0"/>
    <w:rsid w:val="00AA62C0"/>
    <w:rsid w:val="00AA759F"/>
    <w:rsid w:val="00AA7A4A"/>
    <w:rsid w:val="00AB0BD2"/>
    <w:rsid w:val="00AB144C"/>
    <w:rsid w:val="00AB1482"/>
    <w:rsid w:val="00AB1A2C"/>
    <w:rsid w:val="00AB356B"/>
    <w:rsid w:val="00AB371B"/>
    <w:rsid w:val="00AB3C8A"/>
    <w:rsid w:val="00AB3FAF"/>
    <w:rsid w:val="00AB4034"/>
    <w:rsid w:val="00AB4AF4"/>
    <w:rsid w:val="00AB514A"/>
    <w:rsid w:val="00AB51A1"/>
    <w:rsid w:val="00AB5B0D"/>
    <w:rsid w:val="00AB5DEF"/>
    <w:rsid w:val="00AB65A7"/>
    <w:rsid w:val="00AB66D3"/>
    <w:rsid w:val="00AB73DE"/>
    <w:rsid w:val="00AB777F"/>
    <w:rsid w:val="00AB7B7E"/>
    <w:rsid w:val="00AC00C3"/>
    <w:rsid w:val="00AC11E3"/>
    <w:rsid w:val="00AC1705"/>
    <w:rsid w:val="00AC22F8"/>
    <w:rsid w:val="00AC2546"/>
    <w:rsid w:val="00AC26A9"/>
    <w:rsid w:val="00AC26EA"/>
    <w:rsid w:val="00AC2742"/>
    <w:rsid w:val="00AC2A6D"/>
    <w:rsid w:val="00AC30F2"/>
    <w:rsid w:val="00AC31AD"/>
    <w:rsid w:val="00AC3A9A"/>
    <w:rsid w:val="00AC4EFB"/>
    <w:rsid w:val="00AC5441"/>
    <w:rsid w:val="00AC6142"/>
    <w:rsid w:val="00AC62F7"/>
    <w:rsid w:val="00AC6326"/>
    <w:rsid w:val="00AC69A3"/>
    <w:rsid w:val="00AC7507"/>
    <w:rsid w:val="00AC75B2"/>
    <w:rsid w:val="00AC786F"/>
    <w:rsid w:val="00AD047E"/>
    <w:rsid w:val="00AD11BD"/>
    <w:rsid w:val="00AD15B3"/>
    <w:rsid w:val="00AD1A19"/>
    <w:rsid w:val="00AD1D17"/>
    <w:rsid w:val="00AD2350"/>
    <w:rsid w:val="00AD29C7"/>
    <w:rsid w:val="00AD2F86"/>
    <w:rsid w:val="00AD326B"/>
    <w:rsid w:val="00AD3606"/>
    <w:rsid w:val="00AD3D51"/>
    <w:rsid w:val="00AD3F3A"/>
    <w:rsid w:val="00AD4A3D"/>
    <w:rsid w:val="00AD5393"/>
    <w:rsid w:val="00AD5A4F"/>
    <w:rsid w:val="00AD61F4"/>
    <w:rsid w:val="00AD683A"/>
    <w:rsid w:val="00AD6F29"/>
    <w:rsid w:val="00AD7D7D"/>
    <w:rsid w:val="00AE01C3"/>
    <w:rsid w:val="00AE156F"/>
    <w:rsid w:val="00AE1807"/>
    <w:rsid w:val="00AE206E"/>
    <w:rsid w:val="00AE270C"/>
    <w:rsid w:val="00AE3552"/>
    <w:rsid w:val="00AE64BC"/>
    <w:rsid w:val="00AE6798"/>
    <w:rsid w:val="00AE6C9B"/>
    <w:rsid w:val="00AE786F"/>
    <w:rsid w:val="00AE7932"/>
    <w:rsid w:val="00AF0253"/>
    <w:rsid w:val="00AF02ED"/>
    <w:rsid w:val="00AF0C29"/>
    <w:rsid w:val="00AF13C3"/>
    <w:rsid w:val="00AF1E90"/>
    <w:rsid w:val="00AF2790"/>
    <w:rsid w:val="00AF2947"/>
    <w:rsid w:val="00AF2E14"/>
    <w:rsid w:val="00AF32C6"/>
    <w:rsid w:val="00AF37B5"/>
    <w:rsid w:val="00AF3857"/>
    <w:rsid w:val="00AF3F1B"/>
    <w:rsid w:val="00AF45FC"/>
    <w:rsid w:val="00AF4620"/>
    <w:rsid w:val="00AF4717"/>
    <w:rsid w:val="00AF4DF8"/>
    <w:rsid w:val="00AF4E74"/>
    <w:rsid w:val="00AF4EF9"/>
    <w:rsid w:val="00AF5923"/>
    <w:rsid w:val="00AF5A98"/>
    <w:rsid w:val="00AF5EDF"/>
    <w:rsid w:val="00AF62FC"/>
    <w:rsid w:val="00AF6C1D"/>
    <w:rsid w:val="00AF6E49"/>
    <w:rsid w:val="00AF7110"/>
    <w:rsid w:val="00B00281"/>
    <w:rsid w:val="00B0050A"/>
    <w:rsid w:val="00B008E1"/>
    <w:rsid w:val="00B00BB1"/>
    <w:rsid w:val="00B00F15"/>
    <w:rsid w:val="00B01A34"/>
    <w:rsid w:val="00B02286"/>
    <w:rsid w:val="00B02455"/>
    <w:rsid w:val="00B032E5"/>
    <w:rsid w:val="00B032F2"/>
    <w:rsid w:val="00B0332A"/>
    <w:rsid w:val="00B0363A"/>
    <w:rsid w:val="00B03680"/>
    <w:rsid w:val="00B036C1"/>
    <w:rsid w:val="00B03764"/>
    <w:rsid w:val="00B0382F"/>
    <w:rsid w:val="00B03C0E"/>
    <w:rsid w:val="00B04193"/>
    <w:rsid w:val="00B044AC"/>
    <w:rsid w:val="00B044FB"/>
    <w:rsid w:val="00B04A67"/>
    <w:rsid w:val="00B04AE9"/>
    <w:rsid w:val="00B051AE"/>
    <w:rsid w:val="00B0583C"/>
    <w:rsid w:val="00B05A12"/>
    <w:rsid w:val="00B06282"/>
    <w:rsid w:val="00B0690E"/>
    <w:rsid w:val="00B06F63"/>
    <w:rsid w:val="00B07DFA"/>
    <w:rsid w:val="00B07F64"/>
    <w:rsid w:val="00B100ED"/>
    <w:rsid w:val="00B104BA"/>
    <w:rsid w:val="00B1145C"/>
    <w:rsid w:val="00B1194A"/>
    <w:rsid w:val="00B11A31"/>
    <w:rsid w:val="00B136A3"/>
    <w:rsid w:val="00B13BC9"/>
    <w:rsid w:val="00B13DD1"/>
    <w:rsid w:val="00B140A8"/>
    <w:rsid w:val="00B14704"/>
    <w:rsid w:val="00B14DAF"/>
    <w:rsid w:val="00B1586F"/>
    <w:rsid w:val="00B15C81"/>
    <w:rsid w:val="00B15CCB"/>
    <w:rsid w:val="00B15E59"/>
    <w:rsid w:val="00B15F7B"/>
    <w:rsid w:val="00B16A8C"/>
    <w:rsid w:val="00B16AFD"/>
    <w:rsid w:val="00B16C13"/>
    <w:rsid w:val="00B173B9"/>
    <w:rsid w:val="00B175F4"/>
    <w:rsid w:val="00B17695"/>
    <w:rsid w:val="00B178BD"/>
    <w:rsid w:val="00B17CC8"/>
    <w:rsid w:val="00B20EA8"/>
    <w:rsid w:val="00B210D7"/>
    <w:rsid w:val="00B219A2"/>
    <w:rsid w:val="00B21BD5"/>
    <w:rsid w:val="00B22688"/>
    <w:rsid w:val="00B22C6C"/>
    <w:rsid w:val="00B23897"/>
    <w:rsid w:val="00B239E7"/>
    <w:rsid w:val="00B23A52"/>
    <w:rsid w:val="00B23A5F"/>
    <w:rsid w:val="00B24E3B"/>
    <w:rsid w:val="00B255EE"/>
    <w:rsid w:val="00B25E6A"/>
    <w:rsid w:val="00B261E6"/>
    <w:rsid w:val="00B26CCD"/>
    <w:rsid w:val="00B2730F"/>
    <w:rsid w:val="00B274EF"/>
    <w:rsid w:val="00B2764E"/>
    <w:rsid w:val="00B2768C"/>
    <w:rsid w:val="00B27DFB"/>
    <w:rsid w:val="00B27EAC"/>
    <w:rsid w:val="00B30057"/>
    <w:rsid w:val="00B30107"/>
    <w:rsid w:val="00B30675"/>
    <w:rsid w:val="00B30A95"/>
    <w:rsid w:val="00B30D04"/>
    <w:rsid w:val="00B30E5D"/>
    <w:rsid w:val="00B311D4"/>
    <w:rsid w:val="00B31695"/>
    <w:rsid w:val="00B3214E"/>
    <w:rsid w:val="00B3255B"/>
    <w:rsid w:val="00B32601"/>
    <w:rsid w:val="00B32AC9"/>
    <w:rsid w:val="00B32BDD"/>
    <w:rsid w:val="00B32CD5"/>
    <w:rsid w:val="00B33477"/>
    <w:rsid w:val="00B3388C"/>
    <w:rsid w:val="00B34647"/>
    <w:rsid w:val="00B3484F"/>
    <w:rsid w:val="00B34D3C"/>
    <w:rsid w:val="00B34FEA"/>
    <w:rsid w:val="00B3505F"/>
    <w:rsid w:val="00B352B9"/>
    <w:rsid w:val="00B35937"/>
    <w:rsid w:val="00B35FC7"/>
    <w:rsid w:val="00B36953"/>
    <w:rsid w:val="00B36FAD"/>
    <w:rsid w:val="00B3722B"/>
    <w:rsid w:val="00B3726F"/>
    <w:rsid w:val="00B37EE3"/>
    <w:rsid w:val="00B400B9"/>
    <w:rsid w:val="00B406AF"/>
    <w:rsid w:val="00B406BE"/>
    <w:rsid w:val="00B40A81"/>
    <w:rsid w:val="00B40F17"/>
    <w:rsid w:val="00B41F2E"/>
    <w:rsid w:val="00B42CDA"/>
    <w:rsid w:val="00B437A4"/>
    <w:rsid w:val="00B447DF"/>
    <w:rsid w:val="00B44910"/>
    <w:rsid w:val="00B44C99"/>
    <w:rsid w:val="00B453C4"/>
    <w:rsid w:val="00B457AB"/>
    <w:rsid w:val="00B45CC8"/>
    <w:rsid w:val="00B462AD"/>
    <w:rsid w:val="00B47E68"/>
    <w:rsid w:val="00B500DA"/>
    <w:rsid w:val="00B50809"/>
    <w:rsid w:val="00B50DEB"/>
    <w:rsid w:val="00B51A77"/>
    <w:rsid w:val="00B51B42"/>
    <w:rsid w:val="00B52137"/>
    <w:rsid w:val="00B522CB"/>
    <w:rsid w:val="00B5236D"/>
    <w:rsid w:val="00B5258E"/>
    <w:rsid w:val="00B52935"/>
    <w:rsid w:val="00B53302"/>
    <w:rsid w:val="00B5360A"/>
    <w:rsid w:val="00B538B9"/>
    <w:rsid w:val="00B5431E"/>
    <w:rsid w:val="00B54658"/>
    <w:rsid w:val="00B556D1"/>
    <w:rsid w:val="00B558B8"/>
    <w:rsid w:val="00B55B2E"/>
    <w:rsid w:val="00B55D64"/>
    <w:rsid w:val="00B55F7F"/>
    <w:rsid w:val="00B56240"/>
    <w:rsid w:val="00B56A21"/>
    <w:rsid w:val="00B56A3A"/>
    <w:rsid w:val="00B56C1D"/>
    <w:rsid w:val="00B56D44"/>
    <w:rsid w:val="00B56DDF"/>
    <w:rsid w:val="00B57026"/>
    <w:rsid w:val="00B574A2"/>
    <w:rsid w:val="00B5764F"/>
    <w:rsid w:val="00B57CC5"/>
    <w:rsid w:val="00B603C7"/>
    <w:rsid w:val="00B60D2B"/>
    <w:rsid w:val="00B60F6C"/>
    <w:rsid w:val="00B61013"/>
    <w:rsid w:val="00B61269"/>
    <w:rsid w:val="00B6140C"/>
    <w:rsid w:val="00B61C6A"/>
    <w:rsid w:val="00B61FF7"/>
    <w:rsid w:val="00B625F9"/>
    <w:rsid w:val="00B62625"/>
    <w:rsid w:val="00B63EDB"/>
    <w:rsid w:val="00B643A1"/>
    <w:rsid w:val="00B64473"/>
    <w:rsid w:val="00B6460F"/>
    <w:rsid w:val="00B64787"/>
    <w:rsid w:val="00B64BCE"/>
    <w:rsid w:val="00B651D0"/>
    <w:rsid w:val="00B6547C"/>
    <w:rsid w:val="00B6592A"/>
    <w:rsid w:val="00B65D3F"/>
    <w:rsid w:val="00B663B0"/>
    <w:rsid w:val="00B6710C"/>
    <w:rsid w:val="00B67250"/>
    <w:rsid w:val="00B67477"/>
    <w:rsid w:val="00B67678"/>
    <w:rsid w:val="00B6793D"/>
    <w:rsid w:val="00B70066"/>
    <w:rsid w:val="00B7016D"/>
    <w:rsid w:val="00B7035F"/>
    <w:rsid w:val="00B709C1"/>
    <w:rsid w:val="00B70B7F"/>
    <w:rsid w:val="00B70DAC"/>
    <w:rsid w:val="00B70DE3"/>
    <w:rsid w:val="00B714E8"/>
    <w:rsid w:val="00B72267"/>
    <w:rsid w:val="00B7239E"/>
    <w:rsid w:val="00B7285B"/>
    <w:rsid w:val="00B7292A"/>
    <w:rsid w:val="00B7296C"/>
    <w:rsid w:val="00B72BFF"/>
    <w:rsid w:val="00B734A8"/>
    <w:rsid w:val="00B734ED"/>
    <w:rsid w:val="00B736EA"/>
    <w:rsid w:val="00B7384D"/>
    <w:rsid w:val="00B7408F"/>
    <w:rsid w:val="00B74120"/>
    <w:rsid w:val="00B74171"/>
    <w:rsid w:val="00B74228"/>
    <w:rsid w:val="00B743FD"/>
    <w:rsid w:val="00B748CC"/>
    <w:rsid w:val="00B7492E"/>
    <w:rsid w:val="00B75077"/>
    <w:rsid w:val="00B76A62"/>
    <w:rsid w:val="00B76EB6"/>
    <w:rsid w:val="00B76F7E"/>
    <w:rsid w:val="00B7737B"/>
    <w:rsid w:val="00B77464"/>
    <w:rsid w:val="00B77ADA"/>
    <w:rsid w:val="00B77FE5"/>
    <w:rsid w:val="00B80021"/>
    <w:rsid w:val="00B80952"/>
    <w:rsid w:val="00B80C48"/>
    <w:rsid w:val="00B80D17"/>
    <w:rsid w:val="00B80EBF"/>
    <w:rsid w:val="00B80EED"/>
    <w:rsid w:val="00B816AA"/>
    <w:rsid w:val="00B81807"/>
    <w:rsid w:val="00B81B1A"/>
    <w:rsid w:val="00B81B32"/>
    <w:rsid w:val="00B81B56"/>
    <w:rsid w:val="00B81E4F"/>
    <w:rsid w:val="00B82487"/>
    <w:rsid w:val="00B824C8"/>
    <w:rsid w:val="00B82BF1"/>
    <w:rsid w:val="00B833DB"/>
    <w:rsid w:val="00B83A5F"/>
    <w:rsid w:val="00B84017"/>
    <w:rsid w:val="00B84447"/>
    <w:rsid w:val="00B844C5"/>
    <w:rsid w:val="00B848B5"/>
    <w:rsid w:val="00B84B9D"/>
    <w:rsid w:val="00B84CEB"/>
    <w:rsid w:val="00B84D11"/>
    <w:rsid w:val="00B85277"/>
    <w:rsid w:val="00B868AA"/>
    <w:rsid w:val="00B86981"/>
    <w:rsid w:val="00B86E9E"/>
    <w:rsid w:val="00B877B1"/>
    <w:rsid w:val="00B90A6D"/>
    <w:rsid w:val="00B911F2"/>
    <w:rsid w:val="00B9131F"/>
    <w:rsid w:val="00B91A2C"/>
    <w:rsid w:val="00B924A9"/>
    <w:rsid w:val="00B9263B"/>
    <w:rsid w:val="00B92C4B"/>
    <w:rsid w:val="00B92C95"/>
    <w:rsid w:val="00B92FE4"/>
    <w:rsid w:val="00B93576"/>
    <w:rsid w:val="00B93C48"/>
    <w:rsid w:val="00B93D8A"/>
    <w:rsid w:val="00B94E29"/>
    <w:rsid w:val="00B950B4"/>
    <w:rsid w:val="00B95144"/>
    <w:rsid w:val="00B953BD"/>
    <w:rsid w:val="00B9641A"/>
    <w:rsid w:val="00B9751B"/>
    <w:rsid w:val="00BA0533"/>
    <w:rsid w:val="00BA060D"/>
    <w:rsid w:val="00BA0ABF"/>
    <w:rsid w:val="00BA0F00"/>
    <w:rsid w:val="00BA153A"/>
    <w:rsid w:val="00BA1838"/>
    <w:rsid w:val="00BA1D8D"/>
    <w:rsid w:val="00BA2632"/>
    <w:rsid w:val="00BA2D14"/>
    <w:rsid w:val="00BA2D50"/>
    <w:rsid w:val="00BA2FFB"/>
    <w:rsid w:val="00BA3489"/>
    <w:rsid w:val="00BA39CA"/>
    <w:rsid w:val="00BA3A41"/>
    <w:rsid w:val="00BA44FB"/>
    <w:rsid w:val="00BA47CE"/>
    <w:rsid w:val="00BA53AC"/>
    <w:rsid w:val="00BA53EA"/>
    <w:rsid w:val="00BA55F7"/>
    <w:rsid w:val="00BA5BF8"/>
    <w:rsid w:val="00BA6573"/>
    <w:rsid w:val="00BA6667"/>
    <w:rsid w:val="00BA687D"/>
    <w:rsid w:val="00BA69B6"/>
    <w:rsid w:val="00BA6C75"/>
    <w:rsid w:val="00BA7C95"/>
    <w:rsid w:val="00BA7FA1"/>
    <w:rsid w:val="00BB02B2"/>
    <w:rsid w:val="00BB0646"/>
    <w:rsid w:val="00BB0C15"/>
    <w:rsid w:val="00BB0CDE"/>
    <w:rsid w:val="00BB1CC9"/>
    <w:rsid w:val="00BB20B2"/>
    <w:rsid w:val="00BB22ED"/>
    <w:rsid w:val="00BB3179"/>
    <w:rsid w:val="00BB3B4E"/>
    <w:rsid w:val="00BB3E2F"/>
    <w:rsid w:val="00BB49B0"/>
    <w:rsid w:val="00BB5369"/>
    <w:rsid w:val="00BB556B"/>
    <w:rsid w:val="00BB565D"/>
    <w:rsid w:val="00BB56A9"/>
    <w:rsid w:val="00BB6830"/>
    <w:rsid w:val="00BB6FB4"/>
    <w:rsid w:val="00BB72AC"/>
    <w:rsid w:val="00BB7340"/>
    <w:rsid w:val="00BB742C"/>
    <w:rsid w:val="00BB7E34"/>
    <w:rsid w:val="00BC001C"/>
    <w:rsid w:val="00BC031B"/>
    <w:rsid w:val="00BC04CA"/>
    <w:rsid w:val="00BC0894"/>
    <w:rsid w:val="00BC0B85"/>
    <w:rsid w:val="00BC125A"/>
    <w:rsid w:val="00BC13F3"/>
    <w:rsid w:val="00BC1737"/>
    <w:rsid w:val="00BC1ECB"/>
    <w:rsid w:val="00BC251A"/>
    <w:rsid w:val="00BC275F"/>
    <w:rsid w:val="00BC2874"/>
    <w:rsid w:val="00BC2B38"/>
    <w:rsid w:val="00BC2B5A"/>
    <w:rsid w:val="00BC2CCB"/>
    <w:rsid w:val="00BC3E3A"/>
    <w:rsid w:val="00BC4528"/>
    <w:rsid w:val="00BC48A8"/>
    <w:rsid w:val="00BC4A20"/>
    <w:rsid w:val="00BC4C9F"/>
    <w:rsid w:val="00BC5529"/>
    <w:rsid w:val="00BC5557"/>
    <w:rsid w:val="00BC594B"/>
    <w:rsid w:val="00BC7093"/>
    <w:rsid w:val="00BC7DEB"/>
    <w:rsid w:val="00BC7F2A"/>
    <w:rsid w:val="00BD032B"/>
    <w:rsid w:val="00BD0940"/>
    <w:rsid w:val="00BD0B79"/>
    <w:rsid w:val="00BD0D6D"/>
    <w:rsid w:val="00BD1B67"/>
    <w:rsid w:val="00BD2791"/>
    <w:rsid w:val="00BD298F"/>
    <w:rsid w:val="00BD37E7"/>
    <w:rsid w:val="00BD3DE4"/>
    <w:rsid w:val="00BD41F0"/>
    <w:rsid w:val="00BD4EF9"/>
    <w:rsid w:val="00BD5703"/>
    <w:rsid w:val="00BD59B8"/>
    <w:rsid w:val="00BD6100"/>
    <w:rsid w:val="00BD611F"/>
    <w:rsid w:val="00BD6482"/>
    <w:rsid w:val="00BD65DC"/>
    <w:rsid w:val="00BD6E42"/>
    <w:rsid w:val="00BD72D1"/>
    <w:rsid w:val="00BD76C0"/>
    <w:rsid w:val="00BD7D4D"/>
    <w:rsid w:val="00BE017B"/>
    <w:rsid w:val="00BE01C6"/>
    <w:rsid w:val="00BE0A1A"/>
    <w:rsid w:val="00BE11BE"/>
    <w:rsid w:val="00BE14BD"/>
    <w:rsid w:val="00BE1915"/>
    <w:rsid w:val="00BE1DA5"/>
    <w:rsid w:val="00BE1EB3"/>
    <w:rsid w:val="00BE231E"/>
    <w:rsid w:val="00BE2583"/>
    <w:rsid w:val="00BE2640"/>
    <w:rsid w:val="00BE310C"/>
    <w:rsid w:val="00BE34FD"/>
    <w:rsid w:val="00BE3AF1"/>
    <w:rsid w:val="00BE3F57"/>
    <w:rsid w:val="00BE3FF5"/>
    <w:rsid w:val="00BE4168"/>
    <w:rsid w:val="00BE4F34"/>
    <w:rsid w:val="00BE5656"/>
    <w:rsid w:val="00BE5FA6"/>
    <w:rsid w:val="00BE6021"/>
    <w:rsid w:val="00BE6A32"/>
    <w:rsid w:val="00BE6E91"/>
    <w:rsid w:val="00BE6FB3"/>
    <w:rsid w:val="00BE738B"/>
    <w:rsid w:val="00BE7B21"/>
    <w:rsid w:val="00BE7DD0"/>
    <w:rsid w:val="00BF04D2"/>
    <w:rsid w:val="00BF06CC"/>
    <w:rsid w:val="00BF0C41"/>
    <w:rsid w:val="00BF0D82"/>
    <w:rsid w:val="00BF13B7"/>
    <w:rsid w:val="00BF1464"/>
    <w:rsid w:val="00BF1812"/>
    <w:rsid w:val="00BF189E"/>
    <w:rsid w:val="00BF1A1B"/>
    <w:rsid w:val="00BF1C5C"/>
    <w:rsid w:val="00BF1D21"/>
    <w:rsid w:val="00BF1FDE"/>
    <w:rsid w:val="00BF27D9"/>
    <w:rsid w:val="00BF371C"/>
    <w:rsid w:val="00BF3AC5"/>
    <w:rsid w:val="00BF46DA"/>
    <w:rsid w:val="00BF470C"/>
    <w:rsid w:val="00BF4731"/>
    <w:rsid w:val="00BF4985"/>
    <w:rsid w:val="00BF570B"/>
    <w:rsid w:val="00BF5E45"/>
    <w:rsid w:val="00BF6398"/>
    <w:rsid w:val="00BF6438"/>
    <w:rsid w:val="00BF6C7E"/>
    <w:rsid w:val="00BF74FE"/>
    <w:rsid w:val="00BF76F2"/>
    <w:rsid w:val="00BF777E"/>
    <w:rsid w:val="00BF7B51"/>
    <w:rsid w:val="00BF7CCF"/>
    <w:rsid w:val="00BF7E89"/>
    <w:rsid w:val="00C00069"/>
    <w:rsid w:val="00C00D20"/>
    <w:rsid w:val="00C01189"/>
    <w:rsid w:val="00C0157B"/>
    <w:rsid w:val="00C02998"/>
    <w:rsid w:val="00C0315A"/>
    <w:rsid w:val="00C032ED"/>
    <w:rsid w:val="00C037C0"/>
    <w:rsid w:val="00C03858"/>
    <w:rsid w:val="00C0458D"/>
    <w:rsid w:val="00C048D6"/>
    <w:rsid w:val="00C04DF7"/>
    <w:rsid w:val="00C06166"/>
    <w:rsid w:val="00C06F66"/>
    <w:rsid w:val="00C072D6"/>
    <w:rsid w:val="00C100D5"/>
    <w:rsid w:val="00C101FD"/>
    <w:rsid w:val="00C10B40"/>
    <w:rsid w:val="00C10CDB"/>
    <w:rsid w:val="00C10E43"/>
    <w:rsid w:val="00C11623"/>
    <w:rsid w:val="00C125F4"/>
    <w:rsid w:val="00C12EE7"/>
    <w:rsid w:val="00C139DA"/>
    <w:rsid w:val="00C142D2"/>
    <w:rsid w:val="00C14849"/>
    <w:rsid w:val="00C14B6D"/>
    <w:rsid w:val="00C15298"/>
    <w:rsid w:val="00C154F1"/>
    <w:rsid w:val="00C15698"/>
    <w:rsid w:val="00C167E4"/>
    <w:rsid w:val="00C17ACA"/>
    <w:rsid w:val="00C17C84"/>
    <w:rsid w:val="00C17DCB"/>
    <w:rsid w:val="00C17E79"/>
    <w:rsid w:val="00C20BE6"/>
    <w:rsid w:val="00C2165E"/>
    <w:rsid w:val="00C21855"/>
    <w:rsid w:val="00C219F3"/>
    <w:rsid w:val="00C21DB1"/>
    <w:rsid w:val="00C22437"/>
    <w:rsid w:val="00C22C82"/>
    <w:rsid w:val="00C23ECA"/>
    <w:rsid w:val="00C257CA"/>
    <w:rsid w:val="00C25A95"/>
    <w:rsid w:val="00C25B53"/>
    <w:rsid w:val="00C25C6E"/>
    <w:rsid w:val="00C26A70"/>
    <w:rsid w:val="00C3074B"/>
    <w:rsid w:val="00C30930"/>
    <w:rsid w:val="00C311A3"/>
    <w:rsid w:val="00C31AF7"/>
    <w:rsid w:val="00C31EF2"/>
    <w:rsid w:val="00C33259"/>
    <w:rsid w:val="00C33B7A"/>
    <w:rsid w:val="00C33C7F"/>
    <w:rsid w:val="00C34722"/>
    <w:rsid w:val="00C3474D"/>
    <w:rsid w:val="00C357A1"/>
    <w:rsid w:val="00C35FB5"/>
    <w:rsid w:val="00C35FC5"/>
    <w:rsid w:val="00C36365"/>
    <w:rsid w:val="00C3661E"/>
    <w:rsid w:val="00C3662A"/>
    <w:rsid w:val="00C374DD"/>
    <w:rsid w:val="00C374DE"/>
    <w:rsid w:val="00C37E7F"/>
    <w:rsid w:val="00C4014E"/>
    <w:rsid w:val="00C40A93"/>
    <w:rsid w:val="00C41969"/>
    <w:rsid w:val="00C41AC4"/>
    <w:rsid w:val="00C41AE6"/>
    <w:rsid w:val="00C420D5"/>
    <w:rsid w:val="00C43771"/>
    <w:rsid w:val="00C43999"/>
    <w:rsid w:val="00C43BC8"/>
    <w:rsid w:val="00C44698"/>
    <w:rsid w:val="00C446C3"/>
    <w:rsid w:val="00C44702"/>
    <w:rsid w:val="00C447EE"/>
    <w:rsid w:val="00C44A2E"/>
    <w:rsid w:val="00C44A50"/>
    <w:rsid w:val="00C45393"/>
    <w:rsid w:val="00C45408"/>
    <w:rsid w:val="00C457DD"/>
    <w:rsid w:val="00C461D1"/>
    <w:rsid w:val="00C46A53"/>
    <w:rsid w:val="00C46C91"/>
    <w:rsid w:val="00C47554"/>
    <w:rsid w:val="00C477E0"/>
    <w:rsid w:val="00C4791B"/>
    <w:rsid w:val="00C47AD4"/>
    <w:rsid w:val="00C507AA"/>
    <w:rsid w:val="00C50CB6"/>
    <w:rsid w:val="00C50FE3"/>
    <w:rsid w:val="00C5136F"/>
    <w:rsid w:val="00C51538"/>
    <w:rsid w:val="00C51828"/>
    <w:rsid w:val="00C519F7"/>
    <w:rsid w:val="00C52633"/>
    <w:rsid w:val="00C527F6"/>
    <w:rsid w:val="00C52827"/>
    <w:rsid w:val="00C528D1"/>
    <w:rsid w:val="00C528E6"/>
    <w:rsid w:val="00C52ACC"/>
    <w:rsid w:val="00C52D81"/>
    <w:rsid w:val="00C537F4"/>
    <w:rsid w:val="00C53FEF"/>
    <w:rsid w:val="00C54490"/>
    <w:rsid w:val="00C54CD1"/>
    <w:rsid w:val="00C550AB"/>
    <w:rsid w:val="00C55198"/>
    <w:rsid w:val="00C5564A"/>
    <w:rsid w:val="00C55754"/>
    <w:rsid w:val="00C55ABC"/>
    <w:rsid w:val="00C5605F"/>
    <w:rsid w:val="00C570FC"/>
    <w:rsid w:val="00C57817"/>
    <w:rsid w:val="00C57B79"/>
    <w:rsid w:val="00C57F61"/>
    <w:rsid w:val="00C600C7"/>
    <w:rsid w:val="00C603FD"/>
    <w:rsid w:val="00C60500"/>
    <w:rsid w:val="00C60959"/>
    <w:rsid w:val="00C60AD0"/>
    <w:rsid w:val="00C60D3E"/>
    <w:rsid w:val="00C60F2D"/>
    <w:rsid w:val="00C617A3"/>
    <w:rsid w:val="00C619A0"/>
    <w:rsid w:val="00C61CC0"/>
    <w:rsid w:val="00C62083"/>
    <w:rsid w:val="00C62525"/>
    <w:rsid w:val="00C62914"/>
    <w:rsid w:val="00C633EF"/>
    <w:rsid w:val="00C63472"/>
    <w:rsid w:val="00C634D9"/>
    <w:rsid w:val="00C63582"/>
    <w:rsid w:val="00C6362A"/>
    <w:rsid w:val="00C644BF"/>
    <w:rsid w:val="00C64C60"/>
    <w:rsid w:val="00C64C9A"/>
    <w:rsid w:val="00C64F77"/>
    <w:rsid w:val="00C64F95"/>
    <w:rsid w:val="00C6520B"/>
    <w:rsid w:val="00C656D3"/>
    <w:rsid w:val="00C65A9A"/>
    <w:rsid w:val="00C65C91"/>
    <w:rsid w:val="00C66028"/>
    <w:rsid w:val="00C66185"/>
    <w:rsid w:val="00C66B25"/>
    <w:rsid w:val="00C675C5"/>
    <w:rsid w:val="00C676AB"/>
    <w:rsid w:val="00C67D67"/>
    <w:rsid w:val="00C70021"/>
    <w:rsid w:val="00C70038"/>
    <w:rsid w:val="00C70388"/>
    <w:rsid w:val="00C707E0"/>
    <w:rsid w:val="00C70A95"/>
    <w:rsid w:val="00C70C1E"/>
    <w:rsid w:val="00C70E3A"/>
    <w:rsid w:val="00C718FF"/>
    <w:rsid w:val="00C71EB9"/>
    <w:rsid w:val="00C71FDD"/>
    <w:rsid w:val="00C7218E"/>
    <w:rsid w:val="00C7338F"/>
    <w:rsid w:val="00C73430"/>
    <w:rsid w:val="00C73992"/>
    <w:rsid w:val="00C746AE"/>
    <w:rsid w:val="00C75235"/>
    <w:rsid w:val="00C75401"/>
    <w:rsid w:val="00C75949"/>
    <w:rsid w:val="00C76021"/>
    <w:rsid w:val="00C765A7"/>
    <w:rsid w:val="00C765C0"/>
    <w:rsid w:val="00C7676E"/>
    <w:rsid w:val="00C76D7E"/>
    <w:rsid w:val="00C7798E"/>
    <w:rsid w:val="00C77B10"/>
    <w:rsid w:val="00C77F92"/>
    <w:rsid w:val="00C806CB"/>
    <w:rsid w:val="00C80AEA"/>
    <w:rsid w:val="00C80D51"/>
    <w:rsid w:val="00C81040"/>
    <w:rsid w:val="00C818E4"/>
    <w:rsid w:val="00C81FD0"/>
    <w:rsid w:val="00C8256C"/>
    <w:rsid w:val="00C8297B"/>
    <w:rsid w:val="00C82EE8"/>
    <w:rsid w:val="00C832B1"/>
    <w:rsid w:val="00C832CA"/>
    <w:rsid w:val="00C83499"/>
    <w:rsid w:val="00C83510"/>
    <w:rsid w:val="00C839E9"/>
    <w:rsid w:val="00C83CD9"/>
    <w:rsid w:val="00C8562D"/>
    <w:rsid w:val="00C8566E"/>
    <w:rsid w:val="00C861AB"/>
    <w:rsid w:val="00C861C8"/>
    <w:rsid w:val="00C864E3"/>
    <w:rsid w:val="00C86F0D"/>
    <w:rsid w:val="00C86F23"/>
    <w:rsid w:val="00C87286"/>
    <w:rsid w:val="00C87BE5"/>
    <w:rsid w:val="00C90210"/>
    <w:rsid w:val="00C906CF"/>
    <w:rsid w:val="00C90DFB"/>
    <w:rsid w:val="00C91090"/>
    <w:rsid w:val="00C92318"/>
    <w:rsid w:val="00C924B5"/>
    <w:rsid w:val="00C9295B"/>
    <w:rsid w:val="00C92ACF"/>
    <w:rsid w:val="00C92B8F"/>
    <w:rsid w:val="00C92FB0"/>
    <w:rsid w:val="00C931BD"/>
    <w:rsid w:val="00C93206"/>
    <w:rsid w:val="00C938AB"/>
    <w:rsid w:val="00C93AAC"/>
    <w:rsid w:val="00C93B51"/>
    <w:rsid w:val="00C93BF6"/>
    <w:rsid w:val="00C943DA"/>
    <w:rsid w:val="00C94F86"/>
    <w:rsid w:val="00C95540"/>
    <w:rsid w:val="00C95647"/>
    <w:rsid w:val="00C965E2"/>
    <w:rsid w:val="00C968BE"/>
    <w:rsid w:val="00C96BE3"/>
    <w:rsid w:val="00C972C4"/>
    <w:rsid w:val="00CA0391"/>
    <w:rsid w:val="00CA1067"/>
    <w:rsid w:val="00CA2C09"/>
    <w:rsid w:val="00CA4344"/>
    <w:rsid w:val="00CA50F4"/>
    <w:rsid w:val="00CA5197"/>
    <w:rsid w:val="00CA54DF"/>
    <w:rsid w:val="00CA5BB4"/>
    <w:rsid w:val="00CA6393"/>
    <w:rsid w:val="00CA7618"/>
    <w:rsid w:val="00CA7995"/>
    <w:rsid w:val="00CB05B1"/>
    <w:rsid w:val="00CB09AD"/>
    <w:rsid w:val="00CB0A05"/>
    <w:rsid w:val="00CB15D0"/>
    <w:rsid w:val="00CB18FF"/>
    <w:rsid w:val="00CB1DF0"/>
    <w:rsid w:val="00CB314D"/>
    <w:rsid w:val="00CB3671"/>
    <w:rsid w:val="00CB394C"/>
    <w:rsid w:val="00CB3A18"/>
    <w:rsid w:val="00CB3A9B"/>
    <w:rsid w:val="00CB45E8"/>
    <w:rsid w:val="00CB471B"/>
    <w:rsid w:val="00CB5955"/>
    <w:rsid w:val="00CB5F78"/>
    <w:rsid w:val="00CB6D1E"/>
    <w:rsid w:val="00CB70C7"/>
    <w:rsid w:val="00CB7368"/>
    <w:rsid w:val="00CB7546"/>
    <w:rsid w:val="00CB75EC"/>
    <w:rsid w:val="00CB78C6"/>
    <w:rsid w:val="00CB7997"/>
    <w:rsid w:val="00CB7B8C"/>
    <w:rsid w:val="00CB7D27"/>
    <w:rsid w:val="00CC03D0"/>
    <w:rsid w:val="00CC03D9"/>
    <w:rsid w:val="00CC091E"/>
    <w:rsid w:val="00CC097D"/>
    <w:rsid w:val="00CC0F9A"/>
    <w:rsid w:val="00CC1449"/>
    <w:rsid w:val="00CC15DE"/>
    <w:rsid w:val="00CC169F"/>
    <w:rsid w:val="00CC16FE"/>
    <w:rsid w:val="00CC17D8"/>
    <w:rsid w:val="00CC197C"/>
    <w:rsid w:val="00CC1C6B"/>
    <w:rsid w:val="00CC1FAE"/>
    <w:rsid w:val="00CC250F"/>
    <w:rsid w:val="00CC27A5"/>
    <w:rsid w:val="00CC2924"/>
    <w:rsid w:val="00CC2BEA"/>
    <w:rsid w:val="00CC3988"/>
    <w:rsid w:val="00CC4586"/>
    <w:rsid w:val="00CC4BB4"/>
    <w:rsid w:val="00CC4CA6"/>
    <w:rsid w:val="00CC4DEE"/>
    <w:rsid w:val="00CC4EEA"/>
    <w:rsid w:val="00CC4F86"/>
    <w:rsid w:val="00CC4FCF"/>
    <w:rsid w:val="00CC5493"/>
    <w:rsid w:val="00CC5599"/>
    <w:rsid w:val="00CC58A7"/>
    <w:rsid w:val="00CC59F4"/>
    <w:rsid w:val="00CC5A20"/>
    <w:rsid w:val="00CC5CAA"/>
    <w:rsid w:val="00CC6346"/>
    <w:rsid w:val="00CC6C50"/>
    <w:rsid w:val="00CC6D5B"/>
    <w:rsid w:val="00CC7B6C"/>
    <w:rsid w:val="00CC7D83"/>
    <w:rsid w:val="00CC7F9C"/>
    <w:rsid w:val="00CD011F"/>
    <w:rsid w:val="00CD0562"/>
    <w:rsid w:val="00CD0C08"/>
    <w:rsid w:val="00CD2189"/>
    <w:rsid w:val="00CD2896"/>
    <w:rsid w:val="00CD29EF"/>
    <w:rsid w:val="00CD2E12"/>
    <w:rsid w:val="00CD3384"/>
    <w:rsid w:val="00CD3924"/>
    <w:rsid w:val="00CD3A55"/>
    <w:rsid w:val="00CD3B2D"/>
    <w:rsid w:val="00CD3D67"/>
    <w:rsid w:val="00CD414A"/>
    <w:rsid w:val="00CD50F0"/>
    <w:rsid w:val="00CD5166"/>
    <w:rsid w:val="00CD5368"/>
    <w:rsid w:val="00CD5390"/>
    <w:rsid w:val="00CD5693"/>
    <w:rsid w:val="00CD5795"/>
    <w:rsid w:val="00CD5F1D"/>
    <w:rsid w:val="00CD6630"/>
    <w:rsid w:val="00CD66AB"/>
    <w:rsid w:val="00CD6A74"/>
    <w:rsid w:val="00CD6D2C"/>
    <w:rsid w:val="00CD6D84"/>
    <w:rsid w:val="00CD6EC5"/>
    <w:rsid w:val="00CD7A37"/>
    <w:rsid w:val="00CE0031"/>
    <w:rsid w:val="00CE03FB"/>
    <w:rsid w:val="00CE068F"/>
    <w:rsid w:val="00CE0A3D"/>
    <w:rsid w:val="00CE0D32"/>
    <w:rsid w:val="00CE1799"/>
    <w:rsid w:val="00CE1863"/>
    <w:rsid w:val="00CE2450"/>
    <w:rsid w:val="00CE26C8"/>
    <w:rsid w:val="00CE2BC1"/>
    <w:rsid w:val="00CE2FA0"/>
    <w:rsid w:val="00CE34D6"/>
    <w:rsid w:val="00CE37DC"/>
    <w:rsid w:val="00CE38B3"/>
    <w:rsid w:val="00CE39B9"/>
    <w:rsid w:val="00CE412A"/>
    <w:rsid w:val="00CE433C"/>
    <w:rsid w:val="00CE514C"/>
    <w:rsid w:val="00CE54BB"/>
    <w:rsid w:val="00CE59EC"/>
    <w:rsid w:val="00CE604C"/>
    <w:rsid w:val="00CE6528"/>
    <w:rsid w:val="00CE669E"/>
    <w:rsid w:val="00CE6922"/>
    <w:rsid w:val="00CE6E88"/>
    <w:rsid w:val="00CE6EA5"/>
    <w:rsid w:val="00CE7097"/>
    <w:rsid w:val="00CE7B89"/>
    <w:rsid w:val="00CF0161"/>
    <w:rsid w:val="00CF12D3"/>
    <w:rsid w:val="00CF13A7"/>
    <w:rsid w:val="00CF157D"/>
    <w:rsid w:val="00CF1F87"/>
    <w:rsid w:val="00CF25BD"/>
    <w:rsid w:val="00CF2622"/>
    <w:rsid w:val="00CF2BAC"/>
    <w:rsid w:val="00CF2C82"/>
    <w:rsid w:val="00CF2D95"/>
    <w:rsid w:val="00CF311C"/>
    <w:rsid w:val="00CF33F3"/>
    <w:rsid w:val="00CF3883"/>
    <w:rsid w:val="00CF3896"/>
    <w:rsid w:val="00CF3FFC"/>
    <w:rsid w:val="00CF4884"/>
    <w:rsid w:val="00CF4A2B"/>
    <w:rsid w:val="00CF4EE0"/>
    <w:rsid w:val="00CF54B9"/>
    <w:rsid w:val="00CF5A63"/>
    <w:rsid w:val="00CF611D"/>
    <w:rsid w:val="00CF62F7"/>
    <w:rsid w:val="00CF64BC"/>
    <w:rsid w:val="00CF699D"/>
    <w:rsid w:val="00CF6AE6"/>
    <w:rsid w:val="00CF74B0"/>
    <w:rsid w:val="00CF75E8"/>
    <w:rsid w:val="00CF764D"/>
    <w:rsid w:val="00CF7C82"/>
    <w:rsid w:val="00D00631"/>
    <w:rsid w:val="00D00C49"/>
    <w:rsid w:val="00D00CF1"/>
    <w:rsid w:val="00D00D6A"/>
    <w:rsid w:val="00D01315"/>
    <w:rsid w:val="00D0173C"/>
    <w:rsid w:val="00D01943"/>
    <w:rsid w:val="00D01C87"/>
    <w:rsid w:val="00D02049"/>
    <w:rsid w:val="00D020E1"/>
    <w:rsid w:val="00D024CA"/>
    <w:rsid w:val="00D0263B"/>
    <w:rsid w:val="00D02808"/>
    <w:rsid w:val="00D028F9"/>
    <w:rsid w:val="00D036A8"/>
    <w:rsid w:val="00D0380A"/>
    <w:rsid w:val="00D05287"/>
    <w:rsid w:val="00D053C8"/>
    <w:rsid w:val="00D054D3"/>
    <w:rsid w:val="00D056C5"/>
    <w:rsid w:val="00D058CF"/>
    <w:rsid w:val="00D060A3"/>
    <w:rsid w:val="00D06183"/>
    <w:rsid w:val="00D0627F"/>
    <w:rsid w:val="00D06C13"/>
    <w:rsid w:val="00D07213"/>
    <w:rsid w:val="00D073EB"/>
    <w:rsid w:val="00D1072B"/>
    <w:rsid w:val="00D10AEF"/>
    <w:rsid w:val="00D10B10"/>
    <w:rsid w:val="00D10D91"/>
    <w:rsid w:val="00D11D59"/>
    <w:rsid w:val="00D11FB8"/>
    <w:rsid w:val="00D12AAB"/>
    <w:rsid w:val="00D12CAE"/>
    <w:rsid w:val="00D13262"/>
    <w:rsid w:val="00D136D9"/>
    <w:rsid w:val="00D139B4"/>
    <w:rsid w:val="00D13A69"/>
    <w:rsid w:val="00D13D47"/>
    <w:rsid w:val="00D13E47"/>
    <w:rsid w:val="00D13FF5"/>
    <w:rsid w:val="00D15836"/>
    <w:rsid w:val="00D158D4"/>
    <w:rsid w:val="00D15C4D"/>
    <w:rsid w:val="00D15F43"/>
    <w:rsid w:val="00D1609A"/>
    <w:rsid w:val="00D163DA"/>
    <w:rsid w:val="00D16505"/>
    <w:rsid w:val="00D16DA3"/>
    <w:rsid w:val="00D17097"/>
    <w:rsid w:val="00D172C5"/>
    <w:rsid w:val="00D17899"/>
    <w:rsid w:val="00D20755"/>
    <w:rsid w:val="00D20C10"/>
    <w:rsid w:val="00D20D9B"/>
    <w:rsid w:val="00D21093"/>
    <w:rsid w:val="00D212F9"/>
    <w:rsid w:val="00D21BF7"/>
    <w:rsid w:val="00D22239"/>
    <w:rsid w:val="00D22C42"/>
    <w:rsid w:val="00D23212"/>
    <w:rsid w:val="00D2393B"/>
    <w:rsid w:val="00D23A6E"/>
    <w:rsid w:val="00D23B9D"/>
    <w:rsid w:val="00D24309"/>
    <w:rsid w:val="00D2463D"/>
    <w:rsid w:val="00D24BE8"/>
    <w:rsid w:val="00D24E7A"/>
    <w:rsid w:val="00D25D18"/>
    <w:rsid w:val="00D27212"/>
    <w:rsid w:val="00D27D0E"/>
    <w:rsid w:val="00D30713"/>
    <w:rsid w:val="00D30ABD"/>
    <w:rsid w:val="00D316D2"/>
    <w:rsid w:val="00D31784"/>
    <w:rsid w:val="00D31963"/>
    <w:rsid w:val="00D31A76"/>
    <w:rsid w:val="00D31FEB"/>
    <w:rsid w:val="00D327C0"/>
    <w:rsid w:val="00D32EDF"/>
    <w:rsid w:val="00D32F6C"/>
    <w:rsid w:val="00D331BC"/>
    <w:rsid w:val="00D3334E"/>
    <w:rsid w:val="00D340F9"/>
    <w:rsid w:val="00D34615"/>
    <w:rsid w:val="00D346F2"/>
    <w:rsid w:val="00D349E6"/>
    <w:rsid w:val="00D34A74"/>
    <w:rsid w:val="00D35330"/>
    <w:rsid w:val="00D354A6"/>
    <w:rsid w:val="00D35EF3"/>
    <w:rsid w:val="00D35F00"/>
    <w:rsid w:val="00D36347"/>
    <w:rsid w:val="00D36EE1"/>
    <w:rsid w:val="00D371B3"/>
    <w:rsid w:val="00D373A3"/>
    <w:rsid w:val="00D37923"/>
    <w:rsid w:val="00D37CF1"/>
    <w:rsid w:val="00D37DFC"/>
    <w:rsid w:val="00D37DFE"/>
    <w:rsid w:val="00D400B6"/>
    <w:rsid w:val="00D402C7"/>
    <w:rsid w:val="00D404E4"/>
    <w:rsid w:val="00D40950"/>
    <w:rsid w:val="00D40DB3"/>
    <w:rsid w:val="00D41449"/>
    <w:rsid w:val="00D415E4"/>
    <w:rsid w:val="00D42670"/>
    <w:rsid w:val="00D42A6C"/>
    <w:rsid w:val="00D42DED"/>
    <w:rsid w:val="00D43BF5"/>
    <w:rsid w:val="00D44D54"/>
    <w:rsid w:val="00D45332"/>
    <w:rsid w:val="00D457C7"/>
    <w:rsid w:val="00D45E08"/>
    <w:rsid w:val="00D4691C"/>
    <w:rsid w:val="00D46DC8"/>
    <w:rsid w:val="00D47625"/>
    <w:rsid w:val="00D479A6"/>
    <w:rsid w:val="00D47BEA"/>
    <w:rsid w:val="00D50E8F"/>
    <w:rsid w:val="00D515DB"/>
    <w:rsid w:val="00D516EC"/>
    <w:rsid w:val="00D51749"/>
    <w:rsid w:val="00D52838"/>
    <w:rsid w:val="00D53598"/>
    <w:rsid w:val="00D53857"/>
    <w:rsid w:val="00D53CD6"/>
    <w:rsid w:val="00D53F59"/>
    <w:rsid w:val="00D5418F"/>
    <w:rsid w:val="00D54718"/>
    <w:rsid w:val="00D550CC"/>
    <w:rsid w:val="00D56454"/>
    <w:rsid w:val="00D567D6"/>
    <w:rsid w:val="00D5684D"/>
    <w:rsid w:val="00D57A3C"/>
    <w:rsid w:val="00D57EEA"/>
    <w:rsid w:val="00D60320"/>
    <w:rsid w:val="00D60958"/>
    <w:rsid w:val="00D6098D"/>
    <w:rsid w:val="00D60BF7"/>
    <w:rsid w:val="00D61B03"/>
    <w:rsid w:val="00D62876"/>
    <w:rsid w:val="00D63E3F"/>
    <w:rsid w:val="00D63EDE"/>
    <w:rsid w:val="00D63F6D"/>
    <w:rsid w:val="00D64010"/>
    <w:rsid w:val="00D6457F"/>
    <w:rsid w:val="00D65041"/>
    <w:rsid w:val="00D65AE8"/>
    <w:rsid w:val="00D65C76"/>
    <w:rsid w:val="00D65E0D"/>
    <w:rsid w:val="00D65F12"/>
    <w:rsid w:val="00D6628A"/>
    <w:rsid w:val="00D662D7"/>
    <w:rsid w:val="00D6671C"/>
    <w:rsid w:val="00D66F7A"/>
    <w:rsid w:val="00D67374"/>
    <w:rsid w:val="00D673C8"/>
    <w:rsid w:val="00D71310"/>
    <w:rsid w:val="00D72549"/>
    <w:rsid w:val="00D72862"/>
    <w:rsid w:val="00D73CD5"/>
    <w:rsid w:val="00D73D3C"/>
    <w:rsid w:val="00D740EA"/>
    <w:rsid w:val="00D74554"/>
    <w:rsid w:val="00D7502F"/>
    <w:rsid w:val="00D75360"/>
    <w:rsid w:val="00D75C1B"/>
    <w:rsid w:val="00D75DA0"/>
    <w:rsid w:val="00D7650F"/>
    <w:rsid w:val="00D7791E"/>
    <w:rsid w:val="00D80CD1"/>
    <w:rsid w:val="00D8115D"/>
    <w:rsid w:val="00D8117C"/>
    <w:rsid w:val="00D813B7"/>
    <w:rsid w:val="00D813EB"/>
    <w:rsid w:val="00D8183C"/>
    <w:rsid w:val="00D8185C"/>
    <w:rsid w:val="00D81EC4"/>
    <w:rsid w:val="00D820A8"/>
    <w:rsid w:val="00D82B79"/>
    <w:rsid w:val="00D8343C"/>
    <w:rsid w:val="00D83DA2"/>
    <w:rsid w:val="00D843DB"/>
    <w:rsid w:val="00D848CD"/>
    <w:rsid w:val="00D84BE7"/>
    <w:rsid w:val="00D84DD1"/>
    <w:rsid w:val="00D85124"/>
    <w:rsid w:val="00D856AB"/>
    <w:rsid w:val="00D86908"/>
    <w:rsid w:val="00D87B1D"/>
    <w:rsid w:val="00D908C4"/>
    <w:rsid w:val="00D90985"/>
    <w:rsid w:val="00D91A8D"/>
    <w:rsid w:val="00D92677"/>
    <w:rsid w:val="00D931EA"/>
    <w:rsid w:val="00D93392"/>
    <w:rsid w:val="00D9389A"/>
    <w:rsid w:val="00D938B2"/>
    <w:rsid w:val="00D93CB9"/>
    <w:rsid w:val="00D942FD"/>
    <w:rsid w:val="00D943A5"/>
    <w:rsid w:val="00D94D6E"/>
    <w:rsid w:val="00D94DC0"/>
    <w:rsid w:val="00D94E0F"/>
    <w:rsid w:val="00D94FAA"/>
    <w:rsid w:val="00D9539A"/>
    <w:rsid w:val="00D95425"/>
    <w:rsid w:val="00D9555C"/>
    <w:rsid w:val="00D95AA6"/>
    <w:rsid w:val="00D95C49"/>
    <w:rsid w:val="00D9686E"/>
    <w:rsid w:val="00D96D4E"/>
    <w:rsid w:val="00D96DDC"/>
    <w:rsid w:val="00D973CA"/>
    <w:rsid w:val="00DA0622"/>
    <w:rsid w:val="00DA1420"/>
    <w:rsid w:val="00DA14A1"/>
    <w:rsid w:val="00DA18DB"/>
    <w:rsid w:val="00DA2919"/>
    <w:rsid w:val="00DA2AE7"/>
    <w:rsid w:val="00DA3005"/>
    <w:rsid w:val="00DA3B7F"/>
    <w:rsid w:val="00DA4D9D"/>
    <w:rsid w:val="00DA4E87"/>
    <w:rsid w:val="00DA4F0A"/>
    <w:rsid w:val="00DA52D8"/>
    <w:rsid w:val="00DA6398"/>
    <w:rsid w:val="00DA63AD"/>
    <w:rsid w:val="00DA6459"/>
    <w:rsid w:val="00DA69F8"/>
    <w:rsid w:val="00DA6B64"/>
    <w:rsid w:val="00DA6DDE"/>
    <w:rsid w:val="00DA70FA"/>
    <w:rsid w:val="00DA795F"/>
    <w:rsid w:val="00DA7CD1"/>
    <w:rsid w:val="00DB07A1"/>
    <w:rsid w:val="00DB0838"/>
    <w:rsid w:val="00DB08D1"/>
    <w:rsid w:val="00DB0A5F"/>
    <w:rsid w:val="00DB0A78"/>
    <w:rsid w:val="00DB0E3E"/>
    <w:rsid w:val="00DB18CE"/>
    <w:rsid w:val="00DB1936"/>
    <w:rsid w:val="00DB19B7"/>
    <w:rsid w:val="00DB1D51"/>
    <w:rsid w:val="00DB1F82"/>
    <w:rsid w:val="00DB21CA"/>
    <w:rsid w:val="00DB23C0"/>
    <w:rsid w:val="00DB2656"/>
    <w:rsid w:val="00DB384B"/>
    <w:rsid w:val="00DB39DB"/>
    <w:rsid w:val="00DB43F0"/>
    <w:rsid w:val="00DB4453"/>
    <w:rsid w:val="00DB4B28"/>
    <w:rsid w:val="00DB4C25"/>
    <w:rsid w:val="00DB5456"/>
    <w:rsid w:val="00DB5D3C"/>
    <w:rsid w:val="00DB606F"/>
    <w:rsid w:val="00DB61B9"/>
    <w:rsid w:val="00DB6D07"/>
    <w:rsid w:val="00DB78A3"/>
    <w:rsid w:val="00DB7B12"/>
    <w:rsid w:val="00DB7D37"/>
    <w:rsid w:val="00DC0153"/>
    <w:rsid w:val="00DC0574"/>
    <w:rsid w:val="00DC0BA0"/>
    <w:rsid w:val="00DC0EB0"/>
    <w:rsid w:val="00DC1310"/>
    <w:rsid w:val="00DC15D8"/>
    <w:rsid w:val="00DC16F6"/>
    <w:rsid w:val="00DC2B66"/>
    <w:rsid w:val="00DC38B3"/>
    <w:rsid w:val="00DC3E9C"/>
    <w:rsid w:val="00DC43D6"/>
    <w:rsid w:val="00DC49C5"/>
    <w:rsid w:val="00DC4BEF"/>
    <w:rsid w:val="00DC5214"/>
    <w:rsid w:val="00DC5279"/>
    <w:rsid w:val="00DC5655"/>
    <w:rsid w:val="00DC5FD3"/>
    <w:rsid w:val="00DC75CE"/>
    <w:rsid w:val="00DC7EA2"/>
    <w:rsid w:val="00DD003A"/>
    <w:rsid w:val="00DD0F92"/>
    <w:rsid w:val="00DD1F48"/>
    <w:rsid w:val="00DD2486"/>
    <w:rsid w:val="00DD27B4"/>
    <w:rsid w:val="00DD45E6"/>
    <w:rsid w:val="00DD4E08"/>
    <w:rsid w:val="00DD559B"/>
    <w:rsid w:val="00DD617F"/>
    <w:rsid w:val="00DD7051"/>
    <w:rsid w:val="00DD74BC"/>
    <w:rsid w:val="00DE088E"/>
    <w:rsid w:val="00DE0E6B"/>
    <w:rsid w:val="00DE1639"/>
    <w:rsid w:val="00DE1922"/>
    <w:rsid w:val="00DE1EB5"/>
    <w:rsid w:val="00DE2ACF"/>
    <w:rsid w:val="00DE2C34"/>
    <w:rsid w:val="00DE2D45"/>
    <w:rsid w:val="00DE33F5"/>
    <w:rsid w:val="00DE43AA"/>
    <w:rsid w:val="00DE468A"/>
    <w:rsid w:val="00DE49D0"/>
    <w:rsid w:val="00DE49E1"/>
    <w:rsid w:val="00DE4A0A"/>
    <w:rsid w:val="00DE4B8B"/>
    <w:rsid w:val="00DE5105"/>
    <w:rsid w:val="00DE532B"/>
    <w:rsid w:val="00DE5655"/>
    <w:rsid w:val="00DE6006"/>
    <w:rsid w:val="00DE670D"/>
    <w:rsid w:val="00DE6F9B"/>
    <w:rsid w:val="00DE6FC3"/>
    <w:rsid w:val="00DF0189"/>
    <w:rsid w:val="00DF0543"/>
    <w:rsid w:val="00DF09AF"/>
    <w:rsid w:val="00DF0D66"/>
    <w:rsid w:val="00DF0F30"/>
    <w:rsid w:val="00DF130E"/>
    <w:rsid w:val="00DF2D73"/>
    <w:rsid w:val="00DF2E4E"/>
    <w:rsid w:val="00DF3DCC"/>
    <w:rsid w:val="00DF4908"/>
    <w:rsid w:val="00DF4E9E"/>
    <w:rsid w:val="00DF5373"/>
    <w:rsid w:val="00DF5377"/>
    <w:rsid w:val="00DF5E9E"/>
    <w:rsid w:val="00DF6AC0"/>
    <w:rsid w:val="00DF6D21"/>
    <w:rsid w:val="00DF787E"/>
    <w:rsid w:val="00E013DA"/>
    <w:rsid w:val="00E0261C"/>
    <w:rsid w:val="00E0262F"/>
    <w:rsid w:val="00E02F80"/>
    <w:rsid w:val="00E0305D"/>
    <w:rsid w:val="00E032E5"/>
    <w:rsid w:val="00E0389F"/>
    <w:rsid w:val="00E03FD5"/>
    <w:rsid w:val="00E040A2"/>
    <w:rsid w:val="00E041E5"/>
    <w:rsid w:val="00E04755"/>
    <w:rsid w:val="00E04820"/>
    <w:rsid w:val="00E04EDA"/>
    <w:rsid w:val="00E051CC"/>
    <w:rsid w:val="00E053F7"/>
    <w:rsid w:val="00E05D11"/>
    <w:rsid w:val="00E05E13"/>
    <w:rsid w:val="00E06196"/>
    <w:rsid w:val="00E06278"/>
    <w:rsid w:val="00E0647C"/>
    <w:rsid w:val="00E06557"/>
    <w:rsid w:val="00E0687F"/>
    <w:rsid w:val="00E06A03"/>
    <w:rsid w:val="00E06AFE"/>
    <w:rsid w:val="00E06FD5"/>
    <w:rsid w:val="00E072A7"/>
    <w:rsid w:val="00E073A9"/>
    <w:rsid w:val="00E07BC7"/>
    <w:rsid w:val="00E07C17"/>
    <w:rsid w:val="00E07D7A"/>
    <w:rsid w:val="00E10999"/>
    <w:rsid w:val="00E10E80"/>
    <w:rsid w:val="00E114EF"/>
    <w:rsid w:val="00E117B3"/>
    <w:rsid w:val="00E1186A"/>
    <w:rsid w:val="00E119A2"/>
    <w:rsid w:val="00E11F60"/>
    <w:rsid w:val="00E124F0"/>
    <w:rsid w:val="00E13DB2"/>
    <w:rsid w:val="00E1469F"/>
    <w:rsid w:val="00E15444"/>
    <w:rsid w:val="00E16380"/>
    <w:rsid w:val="00E171FB"/>
    <w:rsid w:val="00E172F1"/>
    <w:rsid w:val="00E17C1D"/>
    <w:rsid w:val="00E20408"/>
    <w:rsid w:val="00E205FB"/>
    <w:rsid w:val="00E21046"/>
    <w:rsid w:val="00E21776"/>
    <w:rsid w:val="00E21A56"/>
    <w:rsid w:val="00E21E4D"/>
    <w:rsid w:val="00E2230B"/>
    <w:rsid w:val="00E22388"/>
    <w:rsid w:val="00E227F3"/>
    <w:rsid w:val="00E22D31"/>
    <w:rsid w:val="00E22DD0"/>
    <w:rsid w:val="00E23097"/>
    <w:rsid w:val="00E230D2"/>
    <w:rsid w:val="00E23570"/>
    <w:rsid w:val="00E24857"/>
    <w:rsid w:val="00E24E52"/>
    <w:rsid w:val="00E24FE2"/>
    <w:rsid w:val="00E2585D"/>
    <w:rsid w:val="00E25B3A"/>
    <w:rsid w:val="00E262D3"/>
    <w:rsid w:val="00E26542"/>
    <w:rsid w:val="00E2687C"/>
    <w:rsid w:val="00E26A2F"/>
    <w:rsid w:val="00E26DF2"/>
    <w:rsid w:val="00E26E11"/>
    <w:rsid w:val="00E27140"/>
    <w:rsid w:val="00E2728F"/>
    <w:rsid w:val="00E2766C"/>
    <w:rsid w:val="00E27927"/>
    <w:rsid w:val="00E27BE1"/>
    <w:rsid w:val="00E305FB"/>
    <w:rsid w:val="00E307A0"/>
    <w:rsid w:val="00E31AB3"/>
    <w:rsid w:val="00E31EA3"/>
    <w:rsid w:val="00E32DF1"/>
    <w:rsid w:val="00E335E6"/>
    <w:rsid w:val="00E33BAF"/>
    <w:rsid w:val="00E34506"/>
    <w:rsid w:val="00E34A1B"/>
    <w:rsid w:val="00E35A29"/>
    <w:rsid w:val="00E37B8E"/>
    <w:rsid w:val="00E37C19"/>
    <w:rsid w:val="00E37DC8"/>
    <w:rsid w:val="00E37E32"/>
    <w:rsid w:val="00E37EC5"/>
    <w:rsid w:val="00E40655"/>
    <w:rsid w:val="00E408F0"/>
    <w:rsid w:val="00E4093A"/>
    <w:rsid w:val="00E40A5F"/>
    <w:rsid w:val="00E40CCA"/>
    <w:rsid w:val="00E418AE"/>
    <w:rsid w:val="00E41BBE"/>
    <w:rsid w:val="00E41D68"/>
    <w:rsid w:val="00E41FA3"/>
    <w:rsid w:val="00E42081"/>
    <w:rsid w:val="00E43524"/>
    <w:rsid w:val="00E46B08"/>
    <w:rsid w:val="00E46C90"/>
    <w:rsid w:val="00E46DBA"/>
    <w:rsid w:val="00E47257"/>
    <w:rsid w:val="00E476BA"/>
    <w:rsid w:val="00E50527"/>
    <w:rsid w:val="00E507DA"/>
    <w:rsid w:val="00E507E1"/>
    <w:rsid w:val="00E50A69"/>
    <w:rsid w:val="00E513B0"/>
    <w:rsid w:val="00E5200F"/>
    <w:rsid w:val="00E52E91"/>
    <w:rsid w:val="00E52F8E"/>
    <w:rsid w:val="00E5309F"/>
    <w:rsid w:val="00E531F6"/>
    <w:rsid w:val="00E5334E"/>
    <w:rsid w:val="00E53523"/>
    <w:rsid w:val="00E54263"/>
    <w:rsid w:val="00E54283"/>
    <w:rsid w:val="00E5429A"/>
    <w:rsid w:val="00E545C6"/>
    <w:rsid w:val="00E54EF9"/>
    <w:rsid w:val="00E54F7A"/>
    <w:rsid w:val="00E552BA"/>
    <w:rsid w:val="00E55869"/>
    <w:rsid w:val="00E55B4D"/>
    <w:rsid w:val="00E55D68"/>
    <w:rsid w:val="00E55E0D"/>
    <w:rsid w:val="00E55F1C"/>
    <w:rsid w:val="00E568F8"/>
    <w:rsid w:val="00E569DE"/>
    <w:rsid w:val="00E56AAC"/>
    <w:rsid w:val="00E576E3"/>
    <w:rsid w:val="00E576FF"/>
    <w:rsid w:val="00E578B9"/>
    <w:rsid w:val="00E57D49"/>
    <w:rsid w:val="00E603A9"/>
    <w:rsid w:val="00E60F04"/>
    <w:rsid w:val="00E610AC"/>
    <w:rsid w:val="00E618BE"/>
    <w:rsid w:val="00E61EBE"/>
    <w:rsid w:val="00E62180"/>
    <w:rsid w:val="00E6243F"/>
    <w:rsid w:val="00E62898"/>
    <w:rsid w:val="00E62CA6"/>
    <w:rsid w:val="00E62E47"/>
    <w:rsid w:val="00E6442E"/>
    <w:rsid w:val="00E65685"/>
    <w:rsid w:val="00E657CF"/>
    <w:rsid w:val="00E65821"/>
    <w:rsid w:val="00E65AD1"/>
    <w:rsid w:val="00E65B24"/>
    <w:rsid w:val="00E65E12"/>
    <w:rsid w:val="00E660D2"/>
    <w:rsid w:val="00E6612D"/>
    <w:rsid w:val="00E66195"/>
    <w:rsid w:val="00E66403"/>
    <w:rsid w:val="00E66A7B"/>
    <w:rsid w:val="00E67368"/>
    <w:rsid w:val="00E67413"/>
    <w:rsid w:val="00E6798C"/>
    <w:rsid w:val="00E7006C"/>
    <w:rsid w:val="00E70CE2"/>
    <w:rsid w:val="00E7123E"/>
    <w:rsid w:val="00E71840"/>
    <w:rsid w:val="00E71940"/>
    <w:rsid w:val="00E7263D"/>
    <w:rsid w:val="00E73197"/>
    <w:rsid w:val="00E73568"/>
    <w:rsid w:val="00E737CE"/>
    <w:rsid w:val="00E73842"/>
    <w:rsid w:val="00E7384D"/>
    <w:rsid w:val="00E7389A"/>
    <w:rsid w:val="00E73936"/>
    <w:rsid w:val="00E73A27"/>
    <w:rsid w:val="00E7412D"/>
    <w:rsid w:val="00E749C9"/>
    <w:rsid w:val="00E75AE7"/>
    <w:rsid w:val="00E75BA0"/>
    <w:rsid w:val="00E7626B"/>
    <w:rsid w:val="00E7628E"/>
    <w:rsid w:val="00E768AF"/>
    <w:rsid w:val="00E76FC0"/>
    <w:rsid w:val="00E771C2"/>
    <w:rsid w:val="00E77C6C"/>
    <w:rsid w:val="00E80022"/>
    <w:rsid w:val="00E8058B"/>
    <w:rsid w:val="00E80B75"/>
    <w:rsid w:val="00E80C3E"/>
    <w:rsid w:val="00E81AD3"/>
    <w:rsid w:val="00E81BB3"/>
    <w:rsid w:val="00E81E8D"/>
    <w:rsid w:val="00E82051"/>
    <w:rsid w:val="00E8213D"/>
    <w:rsid w:val="00E83575"/>
    <w:rsid w:val="00E83C5A"/>
    <w:rsid w:val="00E84B6E"/>
    <w:rsid w:val="00E854E4"/>
    <w:rsid w:val="00E8559B"/>
    <w:rsid w:val="00E86545"/>
    <w:rsid w:val="00E86DBF"/>
    <w:rsid w:val="00E8764E"/>
    <w:rsid w:val="00E903C1"/>
    <w:rsid w:val="00E9096A"/>
    <w:rsid w:val="00E90A9F"/>
    <w:rsid w:val="00E90BD1"/>
    <w:rsid w:val="00E90BFF"/>
    <w:rsid w:val="00E90DAB"/>
    <w:rsid w:val="00E91A99"/>
    <w:rsid w:val="00E91B78"/>
    <w:rsid w:val="00E92501"/>
    <w:rsid w:val="00E92573"/>
    <w:rsid w:val="00E92993"/>
    <w:rsid w:val="00E92C7D"/>
    <w:rsid w:val="00E93008"/>
    <w:rsid w:val="00E942A0"/>
    <w:rsid w:val="00E94A28"/>
    <w:rsid w:val="00E9510F"/>
    <w:rsid w:val="00E95118"/>
    <w:rsid w:val="00E956F3"/>
    <w:rsid w:val="00E95B2C"/>
    <w:rsid w:val="00E95F48"/>
    <w:rsid w:val="00E969AF"/>
    <w:rsid w:val="00E96D79"/>
    <w:rsid w:val="00E974D5"/>
    <w:rsid w:val="00E97695"/>
    <w:rsid w:val="00E9782B"/>
    <w:rsid w:val="00E97FD9"/>
    <w:rsid w:val="00EA00AB"/>
    <w:rsid w:val="00EA02D9"/>
    <w:rsid w:val="00EA048F"/>
    <w:rsid w:val="00EA0778"/>
    <w:rsid w:val="00EA080F"/>
    <w:rsid w:val="00EA09BA"/>
    <w:rsid w:val="00EA0F44"/>
    <w:rsid w:val="00EA0FBA"/>
    <w:rsid w:val="00EA115A"/>
    <w:rsid w:val="00EA116D"/>
    <w:rsid w:val="00EA150C"/>
    <w:rsid w:val="00EA17A2"/>
    <w:rsid w:val="00EA2294"/>
    <w:rsid w:val="00EA239D"/>
    <w:rsid w:val="00EA25A8"/>
    <w:rsid w:val="00EA280A"/>
    <w:rsid w:val="00EA2A71"/>
    <w:rsid w:val="00EA3403"/>
    <w:rsid w:val="00EA3FF4"/>
    <w:rsid w:val="00EA42C3"/>
    <w:rsid w:val="00EA460E"/>
    <w:rsid w:val="00EA4E6E"/>
    <w:rsid w:val="00EA5615"/>
    <w:rsid w:val="00EA57C6"/>
    <w:rsid w:val="00EA5D2D"/>
    <w:rsid w:val="00EA5E26"/>
    <w:rsid w:val="00EA5F58"/>
    <w:rsid w:val="00EA624D"/>
    <w:rsid w:val="00EA6AD6"/>
    <w:rsid w:val="00EA6D17"/>
    <w:rsid w:val="00EA7028"/>
    <w:rsid w:val="00EA72C5"/>
    <w:rsid w:val="00EA77AE"/>
    <w:rsid w:val="00EB02E2"/>
    <w:rsid w:val="00EB074E"/>
    <w:rsid w:val="00EB077A"/>
    <w:rsid w:val="00EB07DC"/>
    <w:rsid w:val="00EB0D6F"/>
    <w:rsid w:val="00EB12D8"/>
    <w:rsid w:val="00EB135D"/>
    <w:rsid w:val="00EB1485"/>
    <w:rsid w:val="00EB19A0"/>
    <w:rsid w:val="00EB1DF0"/>
    <w:rsid w:val="00EB2232"/>
    <w:rsid w:val="00EB2DAD"/>
    <w:rsid w:val="00EB2DDB"/>
    <w:rsid w:val="00EB30A3"/>
    <w:rsid w:val="00EB4184"/>
    <w:rsid w:val="00EB41F9"/>
    <w:rsid w:val="00EB4712"/>
    <w:rsid w:val="00EB48E5"/>
    <w:rsid w:val="00EB60B1"/>
    <w:rsid w:val="00EB61D6"/>
    <w:rsid w:val="00EB70C9"/>
    <w:rsid w:val="00EB72DA"/>
    <w:rsid w:val="00EB733A"/>
    <w:rsid w:val="00EB74A1"/>
    <w:rsid w:val="00EB7836"/>
    <w:rsid w:val="00EB7A11"/>
    <w:rsid w:val="00EB7CF4"/>
    <w:rsid w:val="00EC0058"/>
    <w:rsid w:val="00EC0488"/>
    <w:rsid w:val="00EC06B3"/>
    <w:rsid w:val="00EC0DA5"/>
    <w:rsid w:val="00EC0FC7"/>
    <w:rsid w:val="00EC1418"/>
    <w:rsid w:val="00EC1D4A"/>
    <w:rsid w:val="00EC1FC9"/>
    <w:rsid w:val="00EC1FD7"/>
    <w:rsid w:val="00EC30BE"/>
    <w:rsid w:val="00EC33C8"/>
    <w:rsid w:val="00EC37A0"/>
    <w:rsid w:val="00EC4253"/>
    <w:rsid w:val="00EC48E2"/>
    <w:rsid w:val="00EC49A1"/>
    <w:rsid w:val="00EC4C4B"/>
    <w:rsid w:val="00EC5337"/>
    <w:rsid w:val="00EC5540"/>
    <w:rsid w:val="00EC6177"/>
    <w:rsid w:val="00EC662A"/>
    <w:rsid w:val="00EC6E38"/>
    <w:rsid w:val="00EC7258"/>
    <w:rsid w:val="00EC7432"/>
    <w:rsid w:val="00EC75D2"/>
    <w:rsid w:val="00EC7A5D"/>
    <w:rsid w:val="00EC7AC4"/>
    <w:rsid w:val="00EC7B4D"/>
    <w:rsid w:val="00EC7CD7"/>
    <w:rsid w:val="00EC7D38"/>
    <w:rsid w:val="00EC7E40"/>
    <w:rsid w:val="00ED00AB"/>
    <w:rsid w:val="00ED0D25"/>
    <w:rsid w:val="00ED0DEC"/>
    <w:rsid w:val="00ED0EC4"/>
    <w:rsid w:val="00ED1058"/>
    <w:rsid w:val="00ED105B"/>
    <w:rsid w:val="00ED11E2"/>
    <w:rsid w:val="00ED160D"/>
    <w:rsid w:val="00ED1C91"/>
    <w:rsid w:val="00ED1D1A"/>
    <w:rsid w:val="00ED1E8C"/>
    <w:rsid w:val="00ED23E7"/>
    <w:rsid w:val="00ED288A"/>
    <w:rsid w:val="00ED364D"/>
    <w:rsid w:val="00ED44AF"/>
    <w:rsid w:val="00ED48B6"/>
    <w:rsid w:val="00ED4DFA"/>
    <w:rsid w:val="00ED554C"/>
    <w:rsid w:val="00ED5F65"/>
    <w:rsid w:val="00ED6094"/>
    <w:rsid w:val="00ED6291"/>
    <w:rsid w:val="00ED6662"/>
    <w:rsid w:val="00ED697B"/>
    <w:rsid w:val="00ED74A3"/>
    <w:rsid w:val="00ED7BB2"/>
    <w:rsid w:val="00EE024B"/>
    <w:rsid w:val="00EE0383"/>
    <w:rsid w:val="00EE06AC"/>
    <w:rsid w:val="00EE079E"/>
    <w:rsid w:val="00EE0ACD"/>
    <w:rsid w:val="00EE10AA"/>
    <w:rsid w:val="00EE12B3"/>
    <w:rsid w:val="00EE18EF"/>
    <w:rsid w:val="00EE1BF8"/>
    <w:rsid w:val="00EE3191"/>
    <w:rsid w:val="00EE36A8"/>
    <w:rsid w:val="00EE3728"/>
    <w:rsid w:val="00EE395F"/>
    <w:rsid w:val="00EE3A9A"/>
    <w:rsid w:val="00EE3B24"/>
    <w:rsid w:val="00EE4536"/>
    <w:rsid w:val="00EE48A5"/>
    <w:rsid w:val="00EE49E8"/>
    <w:rsid w:val="00EE5893"/>
    <w:rsid w:val="00EE5EF1"/>
    <w:rsid w:val="00EE63D9"/>
    <w:rsid w:val="00EE65BE"/>
    <w:rsid w:val="00EE68F6"/>
    <w:rsid w:val="00EE6B77"/>
    <w:rsid w:val="00EE6C14"/>
    <w:rsid w:val="00EE733F"/>
    <w:rsid w:val="00EE79B0"/>
    <w:rsid w:val="00EE7B19"/>
    <w:rsid w:val="00EE7B5F"/>
    <w:rsid w:val="00EF0124"/>
    <w:rsid w:val="00EF05AB"/>
    <w:rsid w:val="00EF0CBC"/>
    <w:rsid w:val="00EF0D97"/>
    <w:rsid w:val="00EF1025"/>
    <w:rsid w:val="00EF1236"/>
    <w:rsid w:val="00EF15DF"/>
    <w:rsid w:val="00EF1715"/>
    <w:rsid w:val="00EF17F3"/>
    <w:rsid w:val="00EF1E56"/>
    <w:rsid w:val="00EF1ED0"/>
    <w:rsid w:val="00EF202A"/>
    <w:rsid w:val="00EF2373"/>
    <w:rsid w:val="00EF2701"/>
    <w:rsid w:val="00EF385B"/>
    <w:rsid w:val="00EF3A41"/>
    <w:rsid w:val="00EF3B3C"/>
    <w:rsid w:val="00EF4099"/>
    <w:rsid w:val="00EF40B5"/>
    <w:rsid w:val="00EF49A7"/>
    <w:rsid w:val="00EF4B0A"/>
    <w:rsid w:val="00EF5453"/>
    <w:rsid w:val="00EF59F4"/>
    <w:rsid w:val="00EF63DD"/>
    <w:rsid w:val="00EF6530"/>
    <w:rsid w:val="00EF6EBD"/>
    <w:rsid w:val="00EF6FB6"/>
    <w:rsid w:val="00EF741B"/>
    <w:rsid w:val="00EF7589"/>
    <w:rsid w:val="00EF7860"/>
    <w:rsid w:val="00EF7AD6"/>
    <w:rsid w:val="00EF7B7E"/>
    <w:rsid w:val="00EF7BFC"/>
    <w:rsid w:val="00EF7CEB"/>
    <w:rsid w:val="00F0073A"/>
    <w:rsid w:val="00F00BC7"/>
    <w:rsid w:val="00F00DF3"/>
    <w:rsid w:val="00F00EC3"/>
    <w:rsid w:val="00F00F82"/>
    <w:rsid w:val="00F0119F"/>
    <w:rsid w:val="00F01963"/>
    <w:rsid w:val="00F02603"/>
    <w:rsid w:val="00F0274A"/>
    <w:rsid w:val="00F02ACC"/>
    <w:rsid w:val="00F02D4D"/>
    <w:rsid w:val="00F03161"/>
    <w:rsid w:val="00F0330B"/>
    <w:rsid w:val="00F04384"/>
    <w:rsid w:val="00F0480C"/>
    <w:rsid w:val="00F0557D"/>
    <w:rsid w:val="00F05AA7"/>
    <w:rsid w:val="00F067FC"/>
    <w:rsid w:val="00F06CFA"/>
    <w:rsid w:val="00F07129"/>
    <w:rsid w:val="00F076E0"/>
    <w:rsid w:val="00F07EF6"/>
    <w:rsid w:val="00F100B6"/>
    <w:rsid w:val="00F10CA0"/>
    <w:rsid w:val="00F111C2"/>
    <w:rsid w:val="00F124A3"/>
    <w:rsid w:val="00F12DAE"/>
    <w:rsid w:val="00F13822"/>
    <w:rsid w:val="00F149B6"/>
    <w:rsid w:val="00F14F66"/>
    <w:rsid w:val="00F1508C"/>
    <w:rsid w:val="00F159E2"/>
    <w:rsid w:val="00F15E7F"/>
    <w:rsid w:val="00F16587"/>
    <w:rsid w:val="00F16BAB"/>
    <w:rsid w:val="00F174AC"/>
    <w:rsid w:val="00F1761D"/>
    <w:rsid w:val="00F205DD"/>
    <w:rsid w:val="00F206D4"/>
    <w:rsid w:val="00F208E6"/>
    <w:rsid w:val="00F20B03"/>
    <w:rsid w:val="00F2144A"/>
    <w:rsid w:val="00F2150A"/>
    <w:rsid w:val="00F2190B"/>
    <w:rsid w:val="00F21A65"/>
    <w:rsid w:val="00F21C64"/>
    <w:rsid w:val="00F231D8"/>
    <w:rsid w:val="00F23C53"/>
    <w:rsid w:val="00F23D3C"/>
    <w:rsid w:val="00F23EB2"/>
    <w:rsid w:val="00F24645"/>
    <w:rsid w:val="00F24A30"/>
    <w:rsid w:val="00F24A6A"/>
    <w:rsid w:val="00F24AD0"/>
    <w:rsid w:val="00F24E3C"/>
    <w:rsid w:val="00F25CFF"/>
    <w:rsid w:val="00F25F1D"/>
    <w:rsid w:val="00F263BA"/>
    <w:rsid w:val="00F266D6"/>
    <w:rsid w:val="00F26A33"/>
    <w:rsid w:val="00F2728F"/>
    <w:rsid w:val="00F276F7"/>
    <w:rsid w:val="00F277F0"/>
    <w:rsid w:val="00F27C66"/>
    <w:rsid w:val="00F30498"/>
    <w:rsid w:val="00F31B11"/>
    <w:rsid w:val="00F31D6E"/>
    <w:rsid w:val="00F31F12"/>
    <w:rsid w:val="00F321FF"/>
    <w:rsid w:val="00F329AC"/>
    <w:rsid w:val="00F32B00"/>
    <w:rsid w:val="00F3300D"/>
    <w:rsid w:val="00F330D0"/>
    <w:rsid w:val="00F3346C"/>
    <w:rsid w:val="00F340FA"/>
    <w:rsid w:val="00F34196"/>
    <w:rsid w:val="00F35109"/>
    <w:rsid w:val="00F3530C"/>
    <w:rsid w:val="00F35C01"/>
    <w:rsid w:val="00F3608F"/>
    <w:rsid w:val="00F366EA"/>
    <w:rsid w:val="00F36C25"/>
    <w:rsid w:val="00F3766A"/>
    <w:rsid w:val="00F37AC7"/>
    <w:rsid w:val="00F40EAC"/>
    <w:rsid w:val="00F419F4"/>
    <w:rsid w:val="00F41D46"/>
    <w:rsid w:val="00F41FD4"/>
    <w:rsid w:val="00F42042"/>
    <w:rsid w:val="00F429DF"/>
    <w:rsid w:val="00F4304A"/>
    <w:rsid w:val="00F4399D"/>
    <w:rsid w:val="00F44620"/>
    <w:rsid w:val="00F4493B"/>
    <w:rsid w:val="00F44C00"/>
    <w:rsid w:val="00F44C40"/>
    <w:rsid w:val="00F45D2C"/>
    <w:rsid w:val="00F45FEF"/>
    <w:rsid w:val="00F4623A"/>
    <w:rsid w:val="00F46C5F"/>
    <w:rsid w:val="00F474CE"/>
    <w:rsid w:val="00F4766C"/>
    <w:rsid w:val="00F478D9"/>
    <w:rsid w:val="00F47F9D"/>
    <w:rsid w:val="00F506A3"/>
    <w:rsid w:val="00F51203"/>
    <w:rsid w:val="00F51867"/>
    <w:rsid w:val="00F52608"/>
    <w:rsid w:val="00F53515"/>
    <w:rsid w:val="00F53932"/>
    <w:rsid w:val="00F53C81"/>
    <w:rsid w:val="00F5456C"/>
    <w:rsid w:val="00F546D9"/>
    <w:rsid w:val="00F5512C"/>
    <w:rsid w:val="00F55268"/>
    <w:rsid w:val="00F55550"/>
    <w:rsid w:val="00F55725"/>
    <w:rsid w:val="00F55E8E"/>
    <w:rsid w:val="00F560BD"/>
    <w:rsid w:val="00F56671"/>
    <w:rsid w:val="00F56BA6"/>
    <w:rsid w:val="00F57B94"/>
    <w:rsid w:val="00F60575"/>
    <w:rsid w:val="00F60D34"/>
    <w:rsid w:val="00F61062"/>
    <w:rsid w:val="00F610ED"/>
    <w:rsid w:val="00F61449"/>
    <w:rsid w:val="00F61527"/>
    <w:rsid w:val="00F61CB9"/>
    <w:rsid w:val="00F61FE8"/>
    <w:rsid w:val="00F62339"/>
    <w:rsid w:val="00F62C28"/>
    <w:rsid w:val="00F62FB0"/>
    <w:rsid w:val="00F632C0"/>
    <w:rsid w:val="00F636B3"/>
    <w:rsid w:val="00F63AE5"/>
    <w:rsid w:val="00F6409C"/>
    <w:rsid w:val="00F641E1"/>
    <w:rsid w:val="00F64309"/>
    <w:rsid w:val="00F644CF"/>
    <w:rsid w:val="00F6469A"/>
    <w:rsid w:val="00F64AC5"/>
    <w:rsid w:val="00F64B9D"/>
    <w:rsid w:val="00F655FE"/>
    <w:rsid w:val="00F65645"/>
    <w:rsid w:val="00F66458"/>
    <w:rsid w:val="00F66919"/>
    <w:rsid w:val="00F6696A"/>
    <w:rsid w:val="00F67A93"/>
    <w:rsid w:val="00F70775"/>
    <w:rsid w:val="00F70D63"/>
    <w:rsid w:val="00F70F8B"/>
    <w:rsid w:val="00F71683"/>
    <w:rsid w:val="00F7172F"/>
    <w:rsid w:val="00F71877"/>
    <w:rsid w:val="00F71888"/>
    <w:rsid w:val="00F726F2"/>
    <w:rsid w:val="00F72853"/>
    <w:rsid w:val="00F73C2F"/>
    <w:rsid w:val="00F73C71"/>
    <w:rsid w:val="00F73EC5"/>
    <w:rsid w:val="00F743D3"/>
    <w:rsid w:val="00F74678"/>
    <w:rsid w:val="00F761F4"/>
    <w:rsid w:val="00F77E25"/>
    <w:rsid w:val="00F77F15"/>
    <w:rsid w:val="00F809DE"/>
    <w:rsid w:val="00F80A13"/>
    <w:rsid w:val="00F80A34"/>
    <w:rsid w:val="00F80A94"/>
    <w:rsid w:val="00F80C73"/>
    <w:rsid w:val="00F80F9F"/>
    <w:rsid w:val="00F82940"/>
    <w:rsid w:val="00F82CB9"/>
    <w:rsid w:val="00F84979"/>
    <w:rsid w:val="00F84B94"/>
    <w:rsid w:val="00F84F81"/>
    <w:rsid w:val="00F858C2"/>
    <w:rsid w:val="00F866F3"/>
    <w:rsid w:val="00F86A5D"/>
    <w:rsid w:val="00F86C6A"/>
    <w:rsid w:val="00F86CC2"/>
    <w:rsid w:val="00F874F2"/>
    <w:rsid w:val="00F875D1"/>
    <w:rsid w:val="00F87DCA"/>
    <w:rsid w:val="00F90C90"/>
    <w:rsid w:val="00F92122"/>
    <w:rsid w:val="00F93495"/>
    <w:rsid w:val="00F93557"/>
    <w:rsid w:val="00F93C36"/>
    <w:rsid w:val="00F93DCD"/>
    <w:rsid w:val="00F94A63"/>
    <w:rsid w:val="00F94E0E"/>
    <w:rsid w:val="00F95069"/>
    <w:rsid w:val="00F95140"/>
    <w:rsid w:val="00F95372"/>
    <w:rsid w:val="00F954FB"/>
    <w:rsid w:val="00F95682"/>
    <w:rsid w:val="00F95BF3"/>
    <w:rsid w:val="00F95FBF"/>
    <w:rsid w:val="00F96481"/>
    <w:rsid w:val="00F96507"/>
    <w:rsid w:val="00F96C88"/>
    <w:rsid w:val="00F96E74"/>
    <w:rsid w:val="00F97490"/>
    <w:rsid w:val="00F979FC"/>
    <w:rsid w:val="00F97A0E"/>
    <w:rsid w:val="00F97E2C"/>
    <w:rsid w:val="00F97E5E"/>
    <w:rsid w:val="00F97EE5"/>
    <w:rsid w:val="00FA0488"/>
    <w:rsid w:val="00FA0726"/>
    <w:rsid w:val="00FA121A"/>
    <w:rsid w:val="00FA1C28"/>
    <w:rsid w:val="00FA1FD0"/>
    <w:rsid w:val="00FA3A59"/>
    <w:rsid w:val="00FA40C6"/>
    <w:rsid w:val="00FA517D"/>
    <w:rsid w:val="00FA5619"/>
    <w:rsid w:val="00FA5719"/>
    <w:rsid w:val="00FA5D94"/>
    <w:rsid w:val="00FA5F25"/>
    <w:rsid w:val="00FA64A9"/>
    <w:rsid w:val="00FA723B"/>
    <w:rsid w:val="00FA74A6"/>
    <w:rsid w:val="00FA7A4E"/>
    <w:rsid w:val="00FA7E6F"/>
    <w:rsid w:val="00FA7F71"/>
    <w:rsid w:val="00FB07B3"/>
    <w:rsid w:val="00FB1279"/>
    <w:rsid w:val="00FB13D0"/>
    <w:rsid w:val="00FB14AC"/>
    <w:rsid w:val="00FB15FD"/>
    <w:rsid w:val="00FB1C8B"/>
    <w:rsid w:val="00FB1CF0"/>
    <w:rsid w:val="00FB1E3F"/>
    <w:rsid w:val="00FB2034"/>
    <w:rsid w:val="00FB433C"/>
    <w:rsid w:val="00FB47EF"/>
    <w:rsid w:val="00FB4DDE"/>
    <w:rsid w:val="00FB4E74"/>
    <w:rsid w:val="00FB4EDD"/>
    <w:rsid w:val="00FB4EE0"/>
    <w:rsid w:val="00FB4F0E"/>
    <w:rsid w:val="00FB6086"/>
    <w:rsid w:val="00FB649A"/>
    <w:rsid w:val="00FB69C2"/>
    <w:rsid w:val="00FB6B76"/>
    <w:rsid w:val="00FB71F1"/>
    <w:rsid w:val="00FB7596"/>
    <w:rsid w:val="00FB78C0"/>
    <w:rsid w:val="00FB7BA1"/>
    <w:rsid w:val="00FC036C"/>
    <w:rsid w:val="00FC0A2B"/>
    <w:rsid w:val="00FC0B78"/>
    <w:rsid w:val="00FC0D72"/>
    <w:rsid w:val="00FC0F11"/>
    <w:rsid w:val="00FC0FAF"/>
    <w:rsid w:val="00FC1283"/>
    <w:rsid w:val="00FC16E5"/>
    <w:rsid w:val="00FC1707"/>
    <w:rsid w:val="00FC1898"/>
    <w:rsid w:val="00FC1BC0"/>
    <w:rsid w:val="00FC1D15"/>
    <w:rsid w:val="00FC1E4F"/>
    <w:rsid w:val="00FC245F"/>
    <w:rsid w:val="00FC2783"/>
    <w:rsid w:val="00FC2A57"/>
    <w:rsid w:val="00FC2C5F"/>
    <w:rsid w:val="00FC2FAB"/>
    <w:rsid w:val="00FC342B"/>
    <w:rsid w:val="00FC4206"/>
    <w:rsid w:val="00FC431F"/>
    <w:rsid w:val="00FC4409"/>
    <w:rsid w:val="00FC48CA"/>
    <w:rsid w:val="00FC59CB"/>
    <w:rsid w:val="00FC607A"/>
    <w:rsid w:val="00FC6463"/>
    <w:rsid w:val="00FC650B"/>
    <w:rsid w:val="00FC7076"/>
    <w:rsid w:val="00FC70EA"/>
    <w:rsid w:val="00FC74CB"/>
    <w:rsid w:val="00FC772B"/>
    <w:rsid w:val="00FC7AAE"/>
    <w:rsid w:val="00FC7BE5"/>
    <w:rsid w:val="00FC7D59"/>
    <w:rsid w:val="00FC7E31"/>
    <w:rsid w:val="00FD02D4"/>
    <w:rsid w:val="00FD03FB"/>
    <w:rsid w:val="00FD0457"/>
    <w:rsid w:val="00FD0482"/>
    <w:rsid w:val="00FD0574"/>
    <w:rsid w:val="00FD098B"/>
    <w:rsid w:val="00FD1CE9"/>
    <w:rsid w:val="00FD2465"/>
    <w:rsid w:val="00FD2D64"/>
    <w:rsid w:val="00FD2F33"/>
    <w:rsid w:val="00FD3304"/>
    <w:rsid w:val="00FD368D"/>
    <w:rsid w:val="00FD3792"/>
    <w:rsid w:val="00FD3EC3"/>
    <w:rsid w:val="00FD3F2B"/>
    <w:rsid w:val="00FD5064"/>
    <w:rsid w:val="00FD5CF2"/>
    <w:rsid w:val="00FD651F"/>
    <w:rsid w:val="00FD65BA"/>
    <w:rsid w:val="00FD65BC"/>
    <w:rsid w:val="00FD6A42"/>
    <w:rsid w:val="00FD6AD7"/>
    <w:rsid w:val="00FD7B8D"/>
    <w:rsid w:val="00FD7CC4"/>
    <w:rsid w:val="00FE07A3"/>
    <w:rsid w:val="00FE08B3"/>
    <w:rsid w:val="00FE177F"/>
    <w:rsid w:val="00FE1B76"/>
    <w:rsid w:val="00FE1C1C"/>
    <w:rsid w:val="00FE1EC2"/>
    <w:rsid w:val="00FE2A81"/>
    <w:rsid w:val="00FE2B6F"/>
    <w:rsid w:val="00FE31BA"/>
    <w:rsid w:val="00FE357F"/>
    <w:rsid w:val="00FE37D0"/>
    <w:rsid w:val="00FE3CBE"/>
    <w:rsid w:val="00FE3D6F"/>
    <w:rsid w:val="00FE405A"/>
    <w:rsid w:val="00FE4077"/>
    <w:rsid w:val="00FE46A1"/>
    <w:rsid w:val="00FE500D"/>
    <w:rsid w:val="00FE50D5"/>
    <w:rsid w:val="00FE5711"/>
    <w:rsid w:val="00FE6C1D"/>
    <w:rsid w:val="00FE6D5C"/>
    <w:rsid w:val="00FE6FC2"/>
    <w:rsid w:val="00FE71DA"/>
    <w:rsid w:val="00FE7345"/>
    <w:rsid w:val="00FE77BF"/>
    <w:rsid w:val="00FE77D2"/>
    <w:rsid w:val="00FE7C74"/>
    <w:rsid w:val="00FE7CB8"/>
    <w:rsid w:val="00FF01A3"/>
    <w:rsid w:val="00FF0994"/>
    <w:rsid w:val="00FF0AEE"/>
    <w:rsid w:val="00FF16D6"/>
    <w:rsid w:val="00FF17D1"/>
    <w:rsid w:val="00FF1C34"/>
    <w:rsid w:val="00FF26DA"/>
    <w:rsid w:val="00FF2E0B"/>
    <w:rsid w:val="00FF385E"/>
    <w:rsid w:val="00FF39B1"/>
    <w:rsid w:val="00FF3D1C"/>
    <w:rsid w:val="00FF3DE8"/>
    <w:rsid w:val="00FF3FDB"/>
    <w:rsid w:val="00FF58B4"/>
    <w:rsid w:val="00FF6079"/>
    <w:rsid w:val="00FF635D"/>
    <w:rsid w:val="00FF6C5F"/>
    <w:rsid w:val="00FF71BE"/>
    <w:rsid w:val="00FF7C3B"/>
    <w:rsid w:val="00FF7EE9"/>
    <w:rsid w:val="01ABD6D5"/>
    <w:rsid w:val="01CF2851"/>
    <w:rsid w:val="0228A63E"/>
    <w:rsid w:val="0240BD69"/>
    <w:rsid w:val="02A6C5FA"/>
    <w:rsid w:val="02EABE00"/>
    <w:rsid w:val="0331117A"/>
    <w:rsid w:val="039A918C"/>
    <w:rsid w:val="03B43CAB"/>
    <w:rsid w:val="04278938"/>
    <w:rsid w:val="04571FE2"/>
    <w:rsid w:val="0480C699"/>
    <w:rsid w:val="054C98C4"/>
    <w:rsid w:val="05BA82B4"/>
    <w:rsid w:val="05C9AAA5"/>
    <w:rsid w:val="05E7E574"/>
    <w:rsid w:val="060B661E"/>
    <w:rsid w:val="06AD249D"/>
    <w:rsid w:val="06E14C74"/>
    <w:rsid w:val="06FA12CD"/>
    <w:rsid w:val="076B87C8"/>
    <w:rsid w:val="078318D3"/>
    <w:rsid w:val="07F17BBF"/>
    <w:rsid w:val="07FAE2A7"/>
    <w:rsid w:val="08253BD6"/>
    <w:rsid w:val="08B1BADE"/>
    <w:rsid w:val="08F20DEC"/>
    <w:rsid w:val="08FAFFEE"/>
    <w:rsid w:val="090D744B"/>
    <w:rsid w:val="0916A9E7"/>
    <w:rsid w:val="0B1949D5"/>
    <w:rsid w:val="0B3F2A64"/>
    <w:rsid w:val="0B7B13BB"/>
    <w:rsid w:val="0B7F2D42"/>
    <w:rsid w:val="0B985121"/>
    <w:rsid w:val="0BA7F9D9"/>
    <w:rsid w:val="0BABC9EE"/>
    <w:rsid w:val="0C582283"/>
    <w:rsid w:val="0CD54492"/>
    <w:rsid w:val="0D1B9C39"/>
    <w:rsid w:val="0D7F9F33"/>
    <w:rsid w:val="0D8BB299"/>
    <w:rsid w:val="0DBBE41B"/>
    <w:rsid w:val="0DD69F9F"/>
    <w:rsid w:val="0E7D95D9"/>
    <w:rsid w:val="0FCF1C73"/>
    <w:rsid w:val="1028611D"/>
    <w:rsid w:val="1043AB56"/>
    <w:rsid w:val="104870AB"/>
    <w:rsid w:val="1063510F"/>
    <w:rsid w:val="1137BB31"/>
    <w:rsid w:val="116793C5"/>
    <w:rsid w:val="1183344E"/>
    <w:rsid w:val="1223A1E8"/>
    <w:rsid w:val="124C5396"/>
    <w:rsid w:val="12D49449"/>
    <w:rsid w:val="130F5173"/>
    <w:rsid w:val="1364DD68"/>
    <w:rsid w:val="137F990A"/>
    <w:rsid w:val="13CF59F6"/>
    <w:rsid w:val="1409B01E"/>
    <w:rsid w:val="141BE751"/>
    <w:rsid w:val="1459A792"/>
    <w:rsid w:val="146C460A"/>
    <w:rsid w:val="14C30205"/>
    <w:rsid w:val="153F5053"/>
    <w:rsid w:val="15671711"/>
    <w:rsid w:val="159CE7C7"/>
    <w:rsid w:val="15FD0BE2"/>
    <w:rsid w:val="161C1FEE"/>
    <w:rsid w:val="16259F6A"/>
    <w:rsid w:val="165444C1"/>
    <w:rsid w:val="16902613"/>
    <w:rsid w:val="1743111E"/>
    <w:rsid w:val="1762442B"/>
    <w:rsid w:val="17CC2624"/>
    <w:rsid w:val="181D7E80"/>
    <w:rsid w:val="18D05FC0"/>
    <w:rsid w:val="1A09057C"/>
    <w:rsid w:val="1A543691"/>
    <w:rsid w:val="1ACE21D7"/>
    <w:rsid w:val="1AF8B4EE"/>
    <w:rsid w:val="1B06B7B0"/>
    <w:rsid w:val="1B55B60A"/>
    <w:rsid w:val="1B826A10"/>
    <w:rsid w:val="1BBE0B8C"/>
    <w:rsid w:val="1C07A181"/>
    <w:rsid w:val="1C85DD01"/>
    <w:rsid w:val="1D1231C1"/>
    <w:rsid w:val="1D31E3A6"/>
    <w:rsid w:val="1D536F04"/>
    <w:rsid w:val="1EB87CF3"/>
    <w:rsid w:val="1F3A6340"/>
    <w:rsid w:val="1F4CDF87"/>
    <w:rsid w:val="1F7DFB26"/>
    <w:rsid w:val="1FDFF920"/>
    <w:rsid w:val="203BFADB"/>
    <w:rsid w:val="219BC889"/>
    <w:rsid w:val="21CBDDCF"/>
    <w:rsid w:val="222509E0"/>
    <w:rsid w:val="223B8DE6"/>
    <w:rsid w:val="2324481D"/>
    <w:rsid w:val="233AF197"/>
    <w:rsid w:val="238D6F74"/>
    <w:rsid w:val="23DC096E"/>
    <w:rsid w:val="246A2617"/>
    <w:rsid w:val="25C1A0BB"/>
    <w:rsid w:val="25C898AB"/>
    <w:rsid w:val="26E2E884"/>
    <w:rsid w:val="26FF8C6D"/>
    <w:rsid w:val="2798EF89"/>
    <w:rsid w:val="27DDCC2F"/>
    <w:rsid w:val="27FE0367"/>
    <w:rsid w:val="2805E460"/>
    <w:rsid w:val="2873B642"/>
    <w:rsid w:val="28C891A1"/>
    <w:rsid w:val="28C9B793"/>
    <w:rsid w:val="28E577EB"/>
    <w:rsid w:val="291EA0AE"/>
    <w:rsid w:val="2A137C80"/>
    <w:rsid w:val="2B0C76CB"/>
    <w:rsid w:val="2B1207F4"/>
    <w:rsid w:val="2B184FE0"/>
    <w:rsid w:val="2B786295"/>
    <w:rsid w:val="2BA0D68B"/>
    <w:rsid w:val="2C2299FE"/>
    <w:rsid w:val="2D642D18"/>
    <w:rsid w:val="2E055EB6"/>
    <w:rsid w:val="2ED46F65"/>
    <w:rsid w:val="2F0F6471"/>
    <w:rsid w:val="2F186AD6"/>
    <w:rsid w:val="2F266188"/>
    <w:rsid w:val="2F30F981"/>
    <w:rsid w:val="2F64809A"/>
    <w:rsid w:val="2F68AA01"/>
    <w:rsid w:val="2FA4738F"/>
    <w:rsid w:val="2FB03FDC"/>
    <w:rsid w:val="308C6088"/>
    <w:rsid w:val="314F32A5"/>
    <w:rsid w:val="31CAF362"/>
    <w:rsid w:val="32852D78"/>
    <w:rsid w:val="32A19F4A"/>
    <w:rsid w:val="32A984E9"/>
    <w:rsid w:val="335A19B2"/>
    <w:rsid w:val="336B8BFC"/>
    <w:rsid w:val="342C5879"/>
    <w:rsid w:val="3437358E"/>
    <w:rsid w:val="34577D6F"/>
    <w:rsid w:val="3484BA49"/>
    <w:rsid w:val="349183E9"/>
    <w:rsid w:val="3508432B"/>
    <w:rsid w:val="35A81554"/>
    <w:rsid w:val="35CBAF9F"/>
    <w:rsid w:val="3673050C"/>
    <w:rsid w:val="36811769"/>
    <w:rsid w:val="368C9177"/>
    <w:rsid w:val="36A3A474"/>
    <w:rsid w:val="370BF9D0"/>
    <w:rsid w:val="374AB4C8"/>
    <w:rsid w:val="378A3853"/>
    <w:rsid w:val="37C38808"/>
    <w:rsid w:val="37D8976C"/>
    <w:rsid w:val="387BAD57"/>
    <w:rsid w:val="3888EE2C"/>
    <w:rsid w:val="38B9F853"/>
    <w:rsid w:val="398C088F"/>
    <w:rsid w:val="3A204851"/>
    <w:rsid w:val="3A328811"/>
    <w:rsid w:val="3B48B89C"/>
    <w:rsid w:val="3B8C99A8"/>
    <w:rsid w:val="3BEB9AE5"/>
    <w:rsid w:val="3C427493"/>
    <w:rsid w:val="3CF2D316"/>
    <w:rsid w:val="3D2EED9E"/>
    <w:rsid w:val="3D75D27E"/>
    <w:rsid w:val="3FC49A53"/>
    <w:rsid w:val="3FC50902"/>
    <w:rsid w:val="40075254"/>
    <w:rsid w:val="41040770"/>
    <w:rsid w:val="411181D3"/>
    <w:rsid w:val="41831109"/>
    <w:rsid w:val="424245A8"/>
    <w:rsid w:val="427A793A"/>
    <w:rsid w:val="42A01ADB"/>
    <w:rsid w:val="42DBC913"/>
    <w:rsid w:val="431DF850"/>
    <w:rsid w:val="43562D2D"/>
    <w:rsid w:val="4383909C"/>
    <w:rsid w:val="43B99C3A"/>
    <w:rsid w:val="449A70F2"/>
    <w:rsid w:val="45E9159C"/>
    <w:rsid w:val="462E3CD4"/>
    <w:rsid w:val="46848C96"/>
    <w:rsid w:val="46DD6866"/>
    <w:rsid w:val="46F37894"/>
    <w:rsid w:val="46F77DE6"/>
    <w:rsid w:val="47D148AA"/>
    <w:rsid w:val="4823795F"/>
    <w:rsid w:val="48DE9B51"/>
    <w:rsid w:val="49D1D4ED"/>
    <w:rsid w:val="4A053EB3"/>
    <w:rsid w:val="4A7AE6A3"/>
    <w:rsid w:val="4A927C00"/>
    <w:rsid w:val="4A9873BD"/>
    <w:rsid w:val="4B2DF150"/>
    <w:rsid w:val="4B7F01EA"/>
    <w:rsid w:val="4C979185"/>
    <w:rsid w:val="4C9D7864"/>
    <w:rsid w:val="4C9FE759"/>
    <w:rsid w:val="4CD597D9"/>
    <w:rsid w:val="4DC6BE90"/>
    <w:rsid w:val="4DCF3CAE"/>
    <w:rsid w:val="4DE1014B"/>
    <w:rsid w:val="4E5B8A88"/>
    <w:rsid w:val="4EDCA9CF"/>
    <w:rsid w:val="4F44377B"/>
    <w:rsid w:val="4F4620D4"/>
    <w:rsid w:val="4F810DE5"/>
    <w:rsid w:val="4FDAE8F6"/>
    <w:rsid w:val="506EFD40"/>
    <w:rsid w:val="509646B9"/>
    <w:rsid w:val="515AA6AB"/>
    <w:rsid w:val="516BB788"/>
    <w:rsid w:val="5170CFD7"/>
    <w:rsid w:val="5176A3BC"/>
    <w:rsid w:val="520334D5"/>
    <w:rsid w:val="5233AF30"/>
    <w:rsid w:val="524FD2F8"/>
    <w:rsid w:val="52EB6BD4"/>
    <w:rsid w:val="532644E9"/>
    <w:rsid w:val="5365ED4B"/>
    <w:rsid w:val="53B3974D"/>
    <w:rsid w:val="53BB1CD1"/>
    <w:rsid w:val="54132517"/>
    <w:rsid w:val="54F97E1D"/>
    <w:rsid w:val="55D946DC"/>
    <w:rsid w:val="564F6DDD"/>
    <w:rsid w:val="56A67D37"/>
    <w:rsid w:val="5720987D"/>
    <w:rsid w:val="574076D6"/>
    <w:rsid w:val="5859FEE8"/>
    <w:rsid w:val="58FBC007"/>
    <w:rsid w:val="59C01BD9"/>
    <w:rsid w:val="59DFC88D"/>
    <w:rsid w:val="59DFCEC2"/>
    <w:rsid w:val="5A349A19"/>
    <w:rsid w:val="5A55C99E"/>
    <w:rsid w:val="5A774A92"/>
    <w:rsid w:val="5B669E77"/>
    <w:rsid w:val="5B902254"/>
    <w:rsid w:val="5BA4FAA8"/>
    <w:rsid w:val="5D45F5FC"/>
    <w:rsid w:val="5D6AF549"/>
    <w:rsid w:val="5D8ACA40"/>
    <w:rsid w:val="5DF982C4"/>
    <w:rsid w:val="5E88852A"/>
    <w:rsid w:val="5EECDDED"/>
    <w:rsid w:val="5FF55364"/>
    <w:rsid w:val="609D6C2E"/>
    <w:rsid w:val="60DCE314"/>
    <w:rsid w:val="6104D302"/>
    <w:rsid w:val="6237C656"/>
    <w:rsid w:val="627D5C2A"/>
    <w:rsid w:val="62C976D2"/>
    <w:rsid w:val="634F871E"/>
    <w:rsid w:val="635C29D0"/>
    <w:rsid w:val="644F0E1B"/>
    <w:rsid w:val="64A25CEB"/>
    <w:rsid w:val="663EBF9B"/>
    <w:rsid w:val="66985598"/>
    <w:rsid w:val="66CAE2EC"/>
    <w:rsid w:val="66D53200"/>
    <w:rsid w:val="674BB9FE"/>
    <w:rsid w:val="6831CBCA"/>
    <w:rsid w:val="68544C9E"/>
    <w:rsid w:val="68701BA5"/>
    <w:rsid w:val="68A7F7E0"/>
    <w:rsid w:val="692DD3BF"/>
    <w:rsid w:val="69C44021"/>
    <w:rsid w:val="69D6E31A"/>
    <w:rsid w:val="6A5945A8"/>
    <w:rsid w:val="6AFD8960"/>
    <w:rsid w:val="6B0D5C98"/>
    <w:rsid w:val="6B29A0AA"/>
    <w:rsid w:val="6BD3B3A4"/>
    <w:rsid w:val="6CBA003E"/>
    <w:rsid w:val="6D6A5C68"/>
    <w:rsid w:val="6D929F4E"/>
    <w:rsid w:val="6E6E21E4"/>
    <w:rsid w:val="6E72BAE3"/>
    <w:rsid w:val="6EDE48A5"/>
    <w:rsid w:val="6FB33699"/>
    <w:rsid w:val="70324350"/>
    <w:rsid w:val="7046516C"/>
    <w:rsid w:val="70922FA4"/>
    <w:rsid w:val="725BFE8E"/>
    <w:rsid w:val="728E4FC1"/>
    <w:rsid w:val="73302585"/>
    <w:rsid w:val="73554ABA"/>
    <w:rsid w:val="73B55A26"/>
    <w:rsid w:val="7408E45C"/>
    <w:rsid w:val="743C3DC6"/>
    <w:rsid w:val="74DF5CB2"/>
    <w:rsid w:val="7526C68F"/>
    <w:rsid w:val="752730DE"/>
    <w:rsid w:val="7536FCA6"/>
    <w:rsid w:val="766CE5FC"/>
    <w:rsid w:val="76781C7D"/>
    <w:rsid w:val="76803687"/>
    <w:rsid w:val="7689578D"/>
    <w:rsid w:val="772546F3"/>
    <w:rsid w:val="773FB4B8"/>
    <w:rsid w:val="778D1E95"/>
    <w:rsid w:val="7805C163"/>
    <w:rsid w:val="78157C88"/>
    <w:rsid w:val="79458E33"/>
    <w:rsid w:val="79F4A203"/>
    <w:rsid w:val="7A73D085"/>
    <w:rsid w:val="7AF18F94"/>
    <w:rsid w:val="7B343147"/>
    <w:rsid w:val="7B4D8D15"/>
    <w:rsid w:val="7B532F41"/>
    <w:rsid w:val="7B605056"/>
    <w:rsid w:val="7B7FCD2A"/>
    <w:rsid w:val="7B803902"/>
    <w:rsid w:val="7BE6C038"/>
    <w:rsid w:val="7C1D3651"/>
    <w:rsid w:val="7DFD393B"/>
    <w:rsid w:val="7E734C4B"/>
    <w:rsid w:val="7E8EA8C0"/>
    <w:rsid w:val="7F1CE07C"/>
    <w:rsid w:val="7F2A687E"/>
    <w:rsid w:val="7FC115D9"/>
    <w:rsid w:val="7FE4AD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A56676"/>
  <w15:docId w15:val="{2075F717-3E67-4DEA-AEFC-ADCCD897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6D6E"/>
    <w:rPr>
      <w:rFonts w:ascii="Calibri" w:hAnsi="Calibri" w:cstheme="minorBidi"/>
      <w:color w:val="4F81BD" w:themeColor="accent1"/>
      <w:szCs w:val="22"/>
      <w:u w:val="single"/>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 w:type="character" w:customStyle="1" w:styleId="Heading1Char">
    <w:name w:val="Heading 1 Char"/>
    <w:basedOn w:val="DefaultParagraphFont"/>
    <w:link w:val="Heading1"/>
    <w:rsid w:val="00AB51A1"/>
    <w:rPr>
      <w:rFonts w:ascii="Calibri" w:hAnsi="Calibri"/>
      <w:b/>
      <w:sz w:val="28"/>
      <w:lang w:val="fr-FR" w:eastAsia="en-US"/>
    </w:rPr>
  </w:style>
  <w:style w:type="character" w:styleId="CommentReference">
    <w:name w:val="annotation reference"/>
    <w:basedOn w:val="DefaultParagraphFont"/>
    <w:uiPriority w:val="99"/>
    <w:semiHidden/>
    <w:unhideWhenUsed/>
    <w:rsid w:val="00324B51"/>
    <w:rPr>
      <w:sz w:val="16"/>
      <w:szCs w:val="16"/>
    </w:rPr>
  </w:style>
  <w:style w:type="paragraph" w:styleId="CommentText">
    <w:name w:val="annotation text"/>
    <w:basedOn w:val="Normal"/>
    <w:link w:val="CommentTextChar"/>
    <w:uiPriority w:val="99"/>
    <w:unhideWhenUsed/>
    <w:rsid w:val="00D67374"/>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lang w:val="en-GB"/>
      <w14:ligatures w14:val="standardContextual"/>
    </w:rPr>
  </w:style>
  <w:style w:type="character" w:customStyle="1" w:styleId="CommentTextChar">
    <w:name w:val="Comment Text Char"/>
    <w:basedOn w:val="DefaultParagraphFont"/>
    <w:link w:val="CommentText"/>
    <w:uiPriority w:val="99"/>
    <w:rsid w:val="00D67374"/>
    <w:rPr>
      <w:rFonts w:asciiTheme="minorHAnsi" w:eastAsiaTheme="minorHAnsi" w:hAnsiTheme="minorHAnsi" w:cstheme="minorBidi"/>
      <w:kern w:val="2"/>
      <w:lang w:val="en-GB" w:eastAsia="en-US"/>
      <w14:ligatures w14:val="standardContextual"/>
    </w:rPr>
  </w:style>
  <w:style w:type="paragraph" w:styleId="ListParagraph">
    <w:name w:val="List Paragraph"/>
    <w:basedOn w:val="Normal"/>
    <w:uiPriority w:val="34"/>
    <w:qFormat/>
    <w:rsid w:val="00342B44"/>
    <w:pPr>
      <w:ind w:left="720"/>
      <w:contextualSpacing/>
    </w:pPr>
  </w:style>
  <w:style w:type="paragraph" w:styleId="Revision">
    <w:name w:val="Revision"/>
    <w:hidden/>
    <w:uiPriority w:val="99"/>
    <w:semiHidden/>
    <w:rsid w:val="0016791A"/>
    <w:rPr>
      <w:rFonts w:ascii="Calibri" w:hAnsi="Calibri"/>
      <w:sz w:val="24"/>
      <w:lang w:val="fr-FR" w:eastAsia="en-US"/>
    </w:rPr>
  </w:style>
  <w:style w:type="paragraph" w:styleId="CommentSubject">
    <w:name w:val="annotation subject"/>
    <w:basedOn w:val="CommentText"/>
    <w:next w:val="CommentText"/>
    <w:link w:val="CommentSubjectChar"/>
    <w:semiHidden/>
    <w:unhideWhenUsed/>
    <w:rsid w:val="00952D1E"/>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lang w:val="fr-FR"/>
      <w14:ligatures w14:val="none"/>
    </w:rPr>
  </w:style>
  <w:style w:type="character" w:customStyle="1" w:styleId="CommentSubjectChar">
    <w:name w:val="Comment Subject Char"/>
    <w:basedOn w:val="CommentTextChar"/>
    <w:link w:val="CommentSubject"/>
    <w:semiHidden/>
    <w:rsid w:val="00952D1E"/>
    <w:rPr>
      <w:rFonts w:ascii="Calibri" w:eastAsiaTheme="minorHAnsi" w:hAnsi="Calibri" w:cstheme="minorBidi"/>
      <w:b/>
      <w:bCs/>
      <w:kern w:val="2"/>
      <w:lang w:val="fr-FR" w:eastAsia="en-US"/>
      <w14:ligatures w14:val="standardContextual"/>
    </w:rPr>
  </w:style>
  <w:style w:type="character" w:styleId="Mention">
    <w:name w:val="Mention"/>
    <w:basedOn w:val="DefaultParagraphFont"/>
    <w:uiPriority w:val="99"/>
    <w:unhideWhenUsed/>
    <w:rsid w:val="00952D1E"/>
    <w:rPr>
      <w:color w:val="2B579A"/>
      <w:shd w:val="clear" w:color="auto" w:fill="E1DFDD"/>
    </w:rPr>
  </w:style>
  <w:style w:type="paragraph" w:styleId="NormalWeb">
    <w:name w:val="Normal (Web)"/>
    <w:basedOn w:val="Normal"/>
    <w:semiHidden/>
    <w:unhideWhenUsed/>
    <w:rsid w:val="00417B83"/>
    <w:rPr>
      <w:rFonts w:ascii="Times New Roman" w:hAnsi="Times New Roman"/>
      <w:szCs w:val="24"/>
    </w:rPr>
  </w:style>
  <w:style w:type="paragraph" w:customStyle="1" w:styleId="Tablefin">
    <w:name w:val="Table_fin"/>
    <w:basedOn w:val="Tabletext"/>
    <w:rsid w:val="00257DCD"/>
    <w:pPr>
      <w:tabs>
        <w:tab w:val="clear" w:pos="284"/>
        <w:tab w:val="clear" w:pos="567"/>
        <w:tab w:val="clear" w:pos="851"/>
      </w:tabs>
      <w:spacing w:before="0" w:after="0"/>
    </w:pPr>
    <w:rPr>
      <w:rFonts w:eastAsiaTheme="minorHAnsi" w:cstheme="minorBidi"/>
      <w:szCs w:val="22"/>
      <w:lang w:val="en-US" w:eastAsia="en-GB"/>
    </w:rPr>
  </w:style>
  <w:style w:type="paragraph" w:styleId="BalloonText">
    <w:name w:val="Balloon Text"/>
    <w:basedOn w:val="Normal"/>
    <w:link w:val="BalloonTextChar"/>
    <w:semiHidden/>
    <w:unhideWhenUsed/>
    <w:rsid w:val="0071641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1641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18816">
      <w:bodyDiv w:val="1"/>
      <w:marLeft w:val="0"/>
      <w:marRight w:val="0"/>
      <w:marTop w:val="0"/>
      <w:marBottom w:val="0"/>
      <w:divBdr>
        <w:top w:val="none" w:sz="0" w:space="0" w:color="auto"/>
        <w:left w:val="none" w:sz="0" w:space="0" w:color="auto"/>
        <w:bottom w:val="none" w:sz="0" w:space="0" w:color="auto"/>
        <w:right w:val="none" w:sz="0" w:space="0" w:color="auto"/>
      </w:divBdr>
    </w:div>
    <w:div w:id="331300081">
      <w:bodyDiv w:val="1"/>
      <w:marLeft w:val="0"/>
      <w:marRight w:val="0"/>
      <w:marTop w:val="0"/>
      <w:marBottom w:val="0"/>
      <w:divBdr>
        <w:top w:val="none" w:sz="0" w:space="0" w:color="auto"/>
        <w:left w:val="none" w:sz="0" w:space="0" w:color="auto"/>
        <w:bottom w:val="none" w:sz="0" w:space="0" w:color="auto"/>
        <w:right w:val="none" w:sz="0" w:space="0" w:color="auto"/>
      </w:divBdr>
    </w:div>
    <w:div w:id="437875068">
      <w:bodyDiv w:val="1"/>
      <w:marLeft w:val="0"/>
      <w:marRight w:val="0"/>
      <w:marTop w:val="0"/>
      <w:marBottom w:val="0"/>
      <w:divBdr>
        <w:top w:val="none" w:sz="0" w:space="0" w:color="auto"/>
        <w:left w:val="none" w:sz="0" w:space="0" w:color="auto"/>
        <w:bottom w:val="none" w:sz="0" w:space="0" w:color="auto"/>
        <w:right w:val="none" w:sz="0" w:space="0" w:color="auto"/>
      </w:divBdr>
    </w:div>
    <w:div w:id="902839417">
      <w:bodyDiv w:val="1"/>
      <w:marLeft w:val="0"/>
      <w:marRight w:val="0"/>
      <w:marTop w:val="0"/>
      <w:marBottom w:val="0"/>
      <w:divBdr>
        <w:top w:val="none" w:sz="0" w:space="0" w:color="auto"/>
        <w:left w:val="none" w:sz="0" w:space="0" w:color="auto"/>
        <w:bottom w:val="none" w:sz="0" w:space="0" w:color="auto"/>
        <w:right w:val="none" w:sz="0" w:space="0" w:color="auto"/>
      </w:divBdr>
    </w:div>
    <w:div w:id="1920409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C-0110/en" TargetMode="External"/><Relationship Id="rId21" Type="http://schemas.openxmlformats.org/officeDocument/2006/relationships/hyperlink" Target="https://www.itu.int/md/S26-CL-C-0034/en" TargetMode="External"/><Relationship Id="rId42" Type="http://schemas.openxmlformats.org/officeDocument/2006/relationships/hyperlink" Target="https://www.itu.int/md/S25-SG-CIR-0036/en" TargetMode="External"/><Relationship Id="rId63" Type="http://schemas.openxmlformats.org/officeDocument/2006/relationships/hyperlink" Target="https://www.itu.int/md/S26-CL-C-0084/en" TargetMode="External"/><Relationship Id="rId84" Type="http://schemas.openxmlformats.org/officeDocument/2006/relationships/hyperlink" Target="https://www.itu.int/md/S26-CL-C-0048/en" TargetMode="External"/><Relationship Id="rId138" Type="http://schemas.openxmlformats.org/officeDocument/2006/relationships/hyperlink" Target="https://www.itu.int/md/S26-CL-C-0067/en" TargetMode="External"/><Relationship Id="rId107" Type="http://schemas.openxmlformats.org/officeDocument/2006/relationships/hyperlink" Target="https://www.itu.int/md/S26-CL-C-0005/en" TargetMode="External"/><Relationship Id="rId11" Type="http://schemas.openxmlformats.org/officeDocument/2006/relationships/hyperlink" Target="https://www.itu.int/md/S26-CL-INF-0026/en" TargetMode="External"/><Relationship Id="rId32" Type="http://schemas.openxmlformats.org/officeDocument/2006/relationships/hyperlink" Target="https://www.itu.int/md/S10-CL-C-0067/en" TargetMode="External"/><Relationship Id="rId53" Type="http://schemas.openxmlformats.org/officeDocument/2006/relationships/hyperlink" Target="https://www.itu.int/md/S26-CL-C-0020/en" TargetMode="External"/><Relationship Id="rId74" Type="http://schemas.openxmlformats.org/officeDocument/2006/relationships/hyperlink" Target="https://www.itu.int/md/S26-CL-C-0112/en" TargetMode="External"/><Relationship Id="rId128" Type="http://schemas.openxmlformats.org/officeDocument/2006/relationships/hyperlink" Target="https://www.itu.int/md/S26-CL-C-0057/en" TargetMode="External"/><Relationship Id="rId149" Type="http://schemas.openxmlformats.org/officeDocument/2006/relationships/hyperlink" Target="https://www.itu.int/md/S26-CL-C-0011/en" TargetMode="External"/><Relationship Id="rId5" Type="http://schemas.openxmlformats.org/officeDocument/2006/relationships/numbering" Target="numbering.xml"/><Relationship Id="rId95" Type="http://schemas.openxmlformats.org/officeDocument/2006/relationships/hyperlink" Target="https://www.itu.int/md/S26-CL-C-0070/en" TargetMode="External"/><Relationship Id="rId22" Type="http://schemas.openxmlformats.org/officeDocument/2006/relationships/hyperlink" Target="https://www.itu.int/md/S26-CL-C-0009/en" TargetMode="External"/><Relationship Id="rId43" Type="http://schemas.openxmlformats.org/officeDocument/2006/relationships/hyperlink" Target="https://www.itu.int/md/S26-CL-C-0073/en" TargetMode="External"/><Relationship Id="rId64" Type="http://schemas.openxmlformats.org/officeDocument/2006/relationships/hyperlink" Target="https://www.itu.int/md/S26-CL-C-0096/en" TargetMode="External"/><Relationship Id="rId118" Type="http://schemas.openxmlformats.org/officeDocument/2006/relationships/hyperlink" Target="https://www.itu.int/md/S26-CL-C-0022/en" TargetMode="External"/><Relationship Id="rId139" Type="http://schemas.openxmlformats.org/officeDocument/2006/relationships/hyperlink" Target="https://www.itu.int/md/S26-CL-C-0062/en" TargetMode="External"/><Relationship Id="rId80" Type="http://schemas.openxmlformats.org/officeDocument/2006/relationships/hyperlink" Target="https://www.itu.int/md/S26-CL-C-0080/en" TargetMode="External"/><Relationship Id="rId85" Type="http://schemas.openxmlformats.org/officeDocument/2006/relationships/hyperlink" Target="https://www.itu.int/md/S26-CL-C-0007/en" TargetMode="External"/><Relationship Id="rId150" Type="http://schemas.openxmlformats.org/officeDocument/2006/relationships/hyperlink" Target="https://www.itu.int/md/S26-CL-C-0046/en" TargetMode="External"/><Relationship Id="rId155" Type="http://schemas.openxmlformats.org/officeDocument/2006/relationships/footer" Target="footer2.xml"/><Relationship Id="rId12" Type="http://schemas.openxmlformats.org/officeDocument/2006/relationships/hyperlink" Target="https://www.itu.int/md/S26-CL-INF-0002/en" TargetMode="External"/><Relationship Id="rId17" Type="http://schemas.openxmlformats.org/officeDocument/2006/relationships/hyperlink" Target="https://www.itu.int/md/S26-CL-C-0053/en" TargetMode="External"/><Relationship Id="rId33" Type="http://schemas.openxmlformats.org/officeDocument/2006/relationships/hyperlink" Target="https://www.itu.int/md/S26-CL-C-0054/en" TargetMode="External"/><Relationship Id="rId38" Type="http://schemas.openxmlformats.org/officeDocument/2006/relationships/hyperlink" Target="https://www.itu.int/md/S26-CL-C-0072/en" TargetMode="External"/><Relationship Id="rId59" Type="http://schemas.openxmlformats.org/officeDocument/2006/relationships/hyperlink" Target="https://www.itu.int/md/S26-CL-C-0084/en" TargetMode="External"/><Relationship Id="rId103" Type="http://schemas.openxmlformats.org/officeDocument/2006/relationships/hyperlink" Target="https://www.itu.int/md/S26-CL-INF-0027/en" TargetMode="External"/><Relationship Id="rId108" Type="http://schemas.openxmlformats.org/officeDocument/2006/relationships/hyperlink" Target="https://www.itu.int/md/S26-CL-INF-0023/en" TargetMode="External"/><Relationship Id="rId124" Type="http://schemas.openxmlformats.org/officeDocument/2006/relationships/hyperlink" Target="https://www.itu.int/md/S26-CL-C-0057/en" TargetMode="External"/><Relationship Id="rId129" Type="http://schemas.openxmlformats.org/officeDocument/2006/relationships/hyperlink" Target="https://www.itu.int/md/S26-CL-C-0049/en" TargetMode="External"/><Relationship Id="rId54" Type="http://schemas.openxmlformats.org/officeDocument/2006/relationships/hyperlink" Target="https://www.itu.int/md/S26-CL-C-0016/en" TargetMode="External"/><Relationship Id="rId70" Type="http://schemas.openxmlformats.org/officeDocument/2006/relationships/hyperlink" Target="https://www.itu.int/md/S26-CL-260428-TD-0006/en" TargetMode="External"/><Relationship Id="rId75" Type="http://schemas.openxmlformats.org/officeDocument/2006/relationships/hyperlink" Target="https://www.itu.int/md/S26-CL-C-0032/en" TargetMode="External"/><Relationship Id="rId91" Type="http://schemas.openxmlformats.org/officeDocument/2006/relationships/hyperlink" Target="https://www.itu.int/md/S26-CL-C-0106/en" TargetMode="External"/><Relationship Id="rId96" Type="http://schemas.openxmlformats.org/officeDocument/2006/relationships/hyperlink" Target="https://www.itu.int/md/S26-CL-C-0102/en" TargetMode="External"/><Relationship Id="rId140" Type="http://schemas.openxmlformats.org/officeDocument/2006/relationships/hyperlink" Target="https://www.itu.int/md/S26-CL-C-0062/en" TargetMode="External"/><Relationship Id="rId145" Type="http://schemas.openxmlformats.org/officeDocument/2006/relationships/hyperlink" Target="https://www.itu.int/md/S26-CL-C-0089/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S26-CL-C-0009/en" TargetMode="External"/><Relationship Id="rId28" Type="http://schemas.openxmlformats.org/officeDocument/2006/relationships/hyperlink" Target="https://www.itu.int/md/S26-CL-C-0043/en" TargetMode="External"/><Relationship Id="rId49" Type="http://schemas.openxmlformats.org/officeDocument/2006/relationships/hyperlink" Target="https://www.itu.int/md/S25-CL-C-0046/en" TargetMode="External"/><Relationship Id="rId114" Type="http://schemas.openxmlformats.org/officeDocument/2006/relationships/hyperlink" Target="https://www.itu.int/md/S26-CL-C-0045/en" TargetMode="External"/><Relationship Id="rId119" Type="http://schemas.openxmlformats.org/officeDocument/2006/relationships/hyperlink" Target="https://www.itu.int/md/S26-CL-C-0039/en" TargetMode="External"/><Relationship Id="rId44" Type="http://schemas.openxmlformats.org/officeDocument/2006/relationships/hyperlink" Target="https://www.itu.int/md/S26-CL-INF-0014/en" TargetMode="External"/><Relationship Id="rId60" Type="http://schemas.openxmlformats.org/officeDocument/2006/relationships/hyperlink" Target="https://www.itu.int/md/S26-CL-C-0096/en" TargetMode="External"/><Relationship Id="rId65" Type="http://schemas.openxmlformats.org/officeDocument/2006/relationships/hyperlink" Target="https://www.itu.int/md/S26-CL-C-0098/en" TargetMode="External"/><Relationship Id="rId81" Type="http://schemas.openxmlformats.org/officeDocument/2006/relationships/hyperlink" Target="https://www.itu.int/md/S26-CL-C-0081/en" TargetMode="External"/><Relationship Id="rId86" Type="http://schemas.openxmlformats.org/officeDocument/2006/relationships/hyperlink" Target="https://www.itu.int/md/S26-CL-C-0048/en" TargetMode="External"/><Relationship Id="rId130" Type="http://schemas.openxmlformats.org/officeDocument/2006/relationships/hyperlink" Target="https://www.itu.int/md/S26-CL-INF-0023/en" TargetMode="External"/><Relationship Id="rId135" Type="http://schemas.openxmlformats.org/officeDocument/2006/relationships/hyperlink" Target="https://www.itu.int/md/S26-CL-C-0066/en" TargetMode="External"/><Relationship Id="rId151" Type="http://schemas.openxmlformats.org/officeDocument/2006/relationships/hyperlink" Target="https://www.itu.int/en/council/Pages/Financial-Regulations.aspx" TargetMode="External"/><Relationship Id="rId156" Type="http://schemas.openxmlformats.org/officeDocument/2006/relationships/fontTable" Target="fontTable.xml"/><Relationship Id="rId13" Type="http://schemas.openxmlformats.org/officeDocument/2006/relationships/hyperlink" Target="https://www.itu.int/md/S26-CL-C-0050/en" TargetMode="External"/><Relationship Id="rId18" Type="http://schemas.openxmlformats.org/officeDocument/2006/relationships/hyperlink" Target="https://www.itu.int/md/S26-CL-C-0111/en" TargetMode="External"/><Relationship Id="rId39" Type="http://schemas.openxmlformats.org/officeDocument/2006/relationships/hyperlink" Target="https://www.itu.int/md/S26-CL-C-0100/en" TargetMode="External"/><Relationship Id="rId109" Type="http://schemas.openxmlformats.org/officeDocument/2006/relationships/hyperlink" Target="https://www.itu.int/md/S26-CL-C-0022/en" TargetMode="External"/><Relationship Id="rId34" Type="http://schemas.openxmlformats.org/officeDocument/2006/relationships/hyperlink" Target="https://www.itu.int/md/S26-CL-260428-TD-0005/en" TargetMode="External"/><Relationship Id="rId50" Type="http://schemas.openxmlformats.org/officeDocument/2006/relationships/hyperlink" Target="https://www.itu.int/md/S26-CL-C-0056/en" TargetMode="External"/><Relationship Id="rId55" Type="http://schemas.openxmlformats.org/officeDocument/2006/relationships/hyperlink" Target="https://www.itu.int/md/S26-CL-C-0107/en" TargetMode="External"/><Relationship Id="rId76" Type="http://schemas.openxmlformats.org/officeDocument/2006/relationships/hyperlink" Target="https://www.itu.int/md/S26-CL-C-0080/en" TargetMode="External"/><Relationship Id="rId97" Type="http://schemas.openxmlformats.org/officeDocument/2006/relationships/hyperlink" Target="https://www.itu.int/md/S26-CL-INF-0004/en" TargetMode="External"/><Relationship Id="rId104" Type="http://schemas.openxmlformats.org/officeDocument/2006/relationships/hyperlink" Target="https://www.itu.int/md/S26-CL-C-0014/en" TargetMode="External"/><Relationship Id="rId120" Type="http://schemas.openxmlformats.org/officeDocument/2006/relationships/hyperlink" Target="https://www.itu.int/md/S26-CL-C-0092/en" TargetMode="External"/><Relationship Id="rId125" Type="http://schemas.openxmlformats.org/officeDocument/2006/relationships/hyperlink" Target="https://www.unjiu.org/sites/www.unjiu.org/files/jiu_rep_2025_4_english.pdf" TargetMode="External"/><Relationship Id="rId141" Type="http://schemas.openxmlformats.org/officeDocument/2006/relationships/hyperlink" Target="https://www.itu.int/md/S26-CL-C-0027/en" TargetMode="External"/><Relationship Id="rId146" Type="http://schemas.openxmlformats.org/officeDocument/2006/relationships/hyperlink" Target="https://www.itu.int/md/S26-CL-C-0088/en" TargetMode="External"/><Relationship Id="rId7" Type="http://schemas.openxmlformats.org/officeDocument/2006/relationships/settings" Target="settings.xml"/><Relationship Id="rId71" Type="http://schemas.openxmlformats.org/officeDocument/2006/relationships/hyperlink" Target="https://www.itu.int/md/S26-CL-C-0042/en" TargetMode="External"/><Relationship Id="rId92" Type="http://schemas.openxmlformats.org/officeDocument/2006/relationships/hyperlink" Target="https://www.itu.int/md/S26-CL-C-0065/en" TargetMode="External"/><Relationship Id="rId2" Type="http://schemas.openxmlformats.org/officeDocument/2006/relationships/customXml" Target="../customXml/item2.xml"/><Relationship Id="rId29" Type="http://schemas.openxmlformats.org/officeDocument/2006/relationships/hyperlink" Target="https://www.itu.int/md/S26-CL-C-0109/en" TargetMode="External"/><Relationship Id="rId24" Type="http://schemas.openxmlformats.org/officeDocument/2006/relationships/hyperlink" Target="https://www.itu.int/md/S26-CL-C-0043/en" TargetMode="External"/><Relationship Id="rId40" Type="http://schemas.openxmlformats.org/officeDocument/2006/relationships/hyperlink" Target="https://www.itu.int/md/S26-CL-C-0073/en" TargetMode="External"/><Relationship Id="rId45" Type="http://schemas.openxmlformats.org/officeDocument/2006/relationships/hyperlink" Target="https://www.itu.int/md/S26-CL-C-0011/en" TargetMode="External"/><Relationship Id="rId66" Type="http://schemas.openxmlformats.org/officeDocument/2006/relationships/hyperlink" Target="https://www.itu.int/md/S26-CL-C-0090/en" TargetMode="External"/><Relationship Id="rId87" Type="http://schemas.openxmlformats.org/officeDocument/2006/relationships/hyperlink" Target="https://www.itu.int/md/S26-CL-C-0063/en" TargetMode="External"/><Relationship Id="rId110" Type="http://schemas.openxmlformats.org/officeDocument/2006/relationships/hyperlink" Target="https://www.itu.int/md/S26-CL-C-0044/en" TargetMode="External"/><Relationship Id="rId115" Type="http://schemas.openxmlformats.org/officeDocument/2006/relationships/hyperlink" Target="https://www.itu.int/md/S26-CL-C-0045/en" TargetMode="External"/><Relationship Id="rId131" Type="http://schemas.openxmlformats.org/officeDocument/2006/relationships/hyperlink" Target="https://www.itu.int/md/S26-CL-INF-0017/en" TargetMode="External"/><Relationship Id="rId136" Type="http://schemas.openxmlformats.org/officeDocument/2006/relationships/hyperlink" Target="https://www.itu.int/md/S26-CL-C-0023/en" TargetMode="External"/><Relationship Id="rId157" Type="http://schemas.openxmlformats.org/officeDocument/2006/relationships/theme" Target="theme/theme1.xml"/><Relationship Id="rId61" Type="http://schemas.openxmlformats.org/officeDocument/2006/relationships/hyperlink" Target="https://www.itu.int/md/S26-CL-C-0098/en" TargetMode="External"/><Relationship Id="rId82" Type="http://schemas.openxmlformats.org/officeDocument/2006/relationships/hyperlink" Target="https://www.itu.int/md/S26-CL-C-0091/en" TargetMode="External"/><Relationship Id="rId152" Type="http://schemas.openxmlformats.org/officeDocument/2006/relationships/hyperlink" Target="https://www.itu.int/md/S26-CL-C-0042/en" TargetMode="External"/><Relationship Id="rId19" Type="http://schemas.openxmlformats.org/officeDocument/2006/relationships/hyperlink" Target="https://www.itu.int/md/S26-CL-C-0034/en" TargetMode="External"/><Relationship Id="rId14" Type="http://schemas.openxmlformats.org/officeDocument/2006/relationships/hyperlink" Target="https://www.itu.int/md/S26-CWGFHR22-C-0033/en" TargetMode="External"/><Relationship Id="rId30" Type="http://schemas.openxmlformats.org/officeDocument/2006/relationships/hyperlink" Target="https://www.itu.int/md/S26-CL-C-0103/en" TargetMode="External"/><Relationship Id="rId35" Type="http://schemas.openxmlformats.org/officeDocument/2006/relationships/hyperlink" Target="https://www.itu.int/md/S26-CL-260428-TD-0005/en" TargetMode="External"/><Relationship Id="rId56" Type="http://schemas.openxmlformats.org/officeDocument/2006/relationships/hyperlink" Target="https://www.itu.int/md/S26-CL-C-0075/en" TargetMode="External"/><Relationship Id="rId77" Type="http://schemas.openxmlformats.org/officeDocument/2006/relationships/hyperlink" Target="https://www.itu.int/md/S26-CL-C-0081/en" TargetMode="External"/><Relationship Id="rId100" Type="http://schemas.openxmlformats.org/officeDocument/2006/relationships/hyperlink" Target="https://www.itu.int/md/S26-CL-C-0071/en" TargetMode="External"/><Relationship Id="rId105" Type="http://schemas.openxmlformats.org/officeDocument/2006/relationships/hyperlink" Target="https://www.itu.int/md/S26-CL-INF-0027/en" TargetMode="External"/><Relationship Id="rId126" Type="http://schemas.openxmlformats.org/officeDocument/2006/relationships/hyperlink" Target="https://www.unjiu.org/sites/www.unjiu.org/files/jiu_rep_2025_3_english.pdf" TargetMode="External"/><Relationship Id="rId147" Type="http://schemas.openxmlformats.org/officeDocument/2006/relationships/hyperlink" Target="https://www.itu.int/md/S26-CL-C-0054/en" TargetMode="External"/><Relationship Id="rId8" Type="http://schemas.openxmlformats.org/officeDocument/2006/relationships/webSettings" Target="webSettings.xml"/><Relationship Id="rId51" Type="http://schemas.openxmlformats.org/officeDocument/2006/relationships/hyperlink" Target="https://www.itu.int/md/S26-CL-C-0056/en" TargetMode="External"/><Relationship Id="rId72" Type="http://schemas.openxmlformats.org/officeDocument/2006/relationships/hyperlink" Target="https://www.itu.int/md/S26-CL-C-0112/en" TargetMode="External"/><Relationship Id="rId93" Type="http://schemas.openxmlformats.org/officeDocument/2006/relationships/hyperlink" Target="https://www.itu.int/md/S26-CL-C-0105/en" TargetMode="External"/><Relationship Id="rId98" Type="http://schemas.openxmlformats.org/officeDocument/2006/relationships/hyperlink" Target="https://www.itu.int/md/S26-CL-C-0070/en" TargetMode="External"/><Relationship Id="rId121" Type="http://schemas.openxmlformats.org/officeDocument/2006/relationships/hyperlink" Target="https://www.itu.int/md/S26-CL-C-0092/en" TargetMode="External"/><Relationship Id="rId142" Type="http://schemas.openxmlformats.org/officeDocument/2006/relationships/hyperlink" Target="https://www.itu.int/md/S26-CL-C-0089/en" TargetMode="External"/><Relationship Id="rId3" Type="http://schemas.openxmlformats.org/officeDocument/2006/relationships/customXml" Target="../customXml/item3.xml"/><Relationship Id="rId25" Type="http://schemas.openxmlformats.org/officeDocument/2006/relationships/hyperlink" Target="https://www.itu.int/md/S26-CL-C-0109/en" TargetMode="External"/><Relationship Id="rId46" Type="http://schemas.openxmlformats.org/officeDocument/2006/relationships/hyperlink" Target="https://www.itu.int/md/S26-CL-C-0011/en" TargetMode="External"/><Relationship Id="rId67" Type="http://schemas.openxmlformats.org/officeDocument/2006/relationships/hyperlink" Target="https://www.itu.int/md/S26-CL-C-0042/en" TargetMode="External"/><Relationship Id="rId116" Type="http://schemas.openxmlformats.org/officeDocument/2006/relationships/hyperlink" Target="https://www.itu.int/md/S26-CL-C-0110/en" TargetMode="External"/><Relationship Id="rId137" Type="http://schemas.openxmlformats.org/officeDocument/2006/relationships/hyperlink" Target="https://www.itu.int/md/S26-CL-C-0067/en" TargetMode="External"/><Relationship Id="rId158" Type="http://schemas.microsoft.com/office/2019/05/relationships/documenttasks" Target="documenttasks/documenttasks1.xml"/><Relationship Id="rId20" Type="http://schemas.openxmlformats.org/officeDocument/2006/relationships/hyperlink" Target="https://www.itu.int/md/S26-CL-C-0042/en" TargetMode="External"/><Relationship Id="rId41" Type="http://schemas.openxmlformats.org/officeDocument/2006/relationships/hyperlink" Target="https://www.itu.int/md/S26-CL-INF-0014/en" TargetMode="External"/><Relationship Id="rId62" Type="http://schemas.openxmlformats.org/officeDocument/2006/relationships/hyperlink" Target="https://www.itu.int/md/S26-CL-C-0090/en" TargetMode="External"/><Relationship Id="rId83" Type="http://schemas.openxmlformats.org/officeDocument/2006/relationships/hyperlink" Target="https://www.itu.int/md/S26-CL-C-0007/en" TargetMode="External"/><Relationship Id="rId88" Type="http://schemas.openxmlformats.org/officeDocument/2006/relationships/hyperlink" Target="https://www.itu.int/md/S26-CL-C-0063/en" TargetMode="External"/><Relationship Id="rId111" Type="http://schemas.openxmlformats.org/officeDocument/2006/relationships/hyperlink" Target="https://www.itu.int/md/S26-CL-C-0039/en" TargetMode="External"/><Relationship Id="rId132" Type="http://schemas.openxmlformats.org/officeDocument/2006/relationships/hyperlink" Target="https://www.itu.int/md/S26-CL-C-0049/en" TargetMode="External"/><Relationship Id="rId153" Type="http://schemas.openxmlformats.org/officeDocument/2006/relationships/footer" Target="footer1.xml"/><Relationship Id="rId15" Type="http://schemas.openxmlformats.org/officeDocument/2006/relationships/hyperlink" Target="https://www.itu.int/md/S26-CL-C-0050/en" TargetMode="External"/><Relationship Id="rId36" Type="http://schemas.openxmlformats.org/officeDocument/2006/relationships/hyperlink" Target="https://www.itu.int/md/S26-CL-C-0072/en" TargetMode="External"/><Relationship Id="rId57" Type="http://schemas.openxmlformats.org/officeDocument/2006/relationships/hyperlink" Target="https://www.itu.int/md/S26-CL-C-0016/en" TargetMode="External"/><Relationship Id="rId106" Type="http://schemas.openxmlformats.org/officeDocument/2006/relationships/hyperlink" Target="https://www.itu.int/md/S26-CL-C-0044/en" TargetMode="External"/><Relationship Id="rId127" Type="http://schemas.openxmlformats.org/officeDocument/2006/relationships/hyperlink" Target="https://www.unjiu.org/sites/www.unjiu.org/files/jiu_rep_2025_2.pdf" TargetMode="External"/><Relationship Id="rId10" Type="http://schemas.openxmlformats.org/officeDocument/2006/relationships/endnotes" Target="endnotes.xml"/><Relationship Id="rId31" Type="http://schemas.openxmlformats.org/officeDocument/2006/relationships/hyperlink" Target="https://www.itu.int/md/S26-CL-C-0047/en" TargetMode="External"/><Relationship Id="rId52" Type="http://schemas.openxmlformats.org/officeDocument/2006/relationships/hyperlink" Target="https://www.itu.int/md/S26-CL-C-0020/en" TargetMode="External"/><Relationship Id="rId73" Type="http://schemas.openxmlformats.org/officeDocument/2006/relationships/hyperlink" Target="https://www.itu.int/md/S26-CL-C-0032/en" TargetMode="External"/><Relationship Id="rId78" Type="http://schemas.openxmlformats.org/officeDocument/2006/relationships/hyperlink" Target="https://www.itu.int/md/S26-CL-C-0091/en" TargetMode="External"/><Relationship Id="rId94" Type="http://schemas.openxmlformats.org/officeDocument/2006/relationships/hyperlink" Target="https://www.itu.int/md/S26-CL-C-0106/en" TargetMode="External"/><Relationship Id="rId99" Type="http://schemas.openxmlformats.org/officeDocument/2006/relationships/hyperlink" Target="https://www.itu.int/md/S26-CL-C-0102/en" TargetMode="External"/><Relationship Id="rId101" Type="http://schemas.openxmlformats.org/officeDocument/2006/relationships/hyperlink" Target="https://www.itu.int/md/S26-CL-C-0071/en" TargetMode="External"/><Relationship Id="rId122" Type="http://schemas.openxmlformats.org/officeDocument/2006/relationships/hyperlink" Target="https://www.itu.int/md/S26-CL-C-0036/en" TargetMode="External"/><Relationship Id="rId143" Type="http://schemas.openxmlformats.org/officeDocument/2006/relationships/hyperlink" Target="https://www.itu.int/md/S26-CL-C-0088/en" TargetMode="External"/><Relationship Id="rId148" Type="http://schemas.openxmlformats.org/officeDocument/2006/relationships/hyperlink" Target="https://www.itu.int/md/S26-CL-260428-TD-0005/e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S26-CL-C-0103/en" TargetMode="External"/><Relationship Id="rId47" Type="http://schemas.openxmlformats.org/officeDocument/2006/relationships/hyperlink" Target="https://www.itu.int/md/S26-CL-C-0038/en" TargetMode="External"/><Relationship Id="rId68" Type="http://schemas.openxmlformats.org/officeDocument/2006/relationships/hyperlink" Target="https://www.itu.int/md/S26-CL-C-0034/en" TargetMode="External"/><Relationship Id="rId89" Type="http://schemas.openxmlformats.org/officeDocument/2006/relationships/hyperlink" Target="https://www.itu.int/md/S26-CL-C-0065/en" TargetMode="External"/><Relationship Id="rId112" Type="http://schemas.openxmlformats.org/officeDocument/2006/relationships/hyperlink" Target="https://www.itu.int/md/S26-CL-INF-0028/en" TargetMode="External"/><Relationship Id="rId133" Type="http://schemas.openxmlformats.org/officeDocument/2006/relationships/hyperlink" Target="https://www.itu.int/md/S26-CL-C-0066/en" TargetMode="External"/><Relationship Id="rId154" Type="http://schemas.openxmlformats.org/officeDocument/2006/relationships/header" Target="header1.xml"/><Relationship Id="rId16" Type="http://schemas.openxmlformats.org/officeDocument/2006/relationships/hyperlink" Target="https://www.itu.int/md/S26-CL-C-0053/en" TargetMode="External"/><Relationship Id="rId37" Type="http://schemas.openxmlformats.org/officeDocument/2006/relationships/hyperlink" Target="https://www.itu.int/md/S26-CL-C-0100/en" TargetMode="External"/><Relationship Id="rId58" Type="http://schemas.openxmlformats.org/officeDocument/2006/relationships/hyperlink" Target="https://www.itu.int/md/S26-CL-C-0019/en" TargetMode="External"/><Relationship Id="rId79" Type="http://schemas.openxmlformats.org/officeDocument/2006/relationships/hyperlink" Target="https://www.itu.int/md/S26-CL-C-0032/en" TargetMode="External"/><Relationship Id="rId102" Type="http://schemas.openxmlformats.org/officeDocument/2006/relationships/hyperlink" Target="https://www.itu.int/md/S26-CL-C-0014/en" TargetMode="External"/><Relationship Id="rId123" Type="http://schemas.openxmlformats.org/officeDocument/2006/relationships/hyperlink" Target="https://www.itu.int/md/S26-CL-C-0036/en" TargetMode="External"/><Relationship Id="rId144" Type="http://schemas.openxmlformats.org/officeDocument/2006/relationships/hyperlink" Target="https://www.itu.int/md/S26-CL-C-0027/en" TargetMode="External"/><Relationship Id="rId90" Type="http://schemas.openxmlformats.org/officeDocument/2006/relationships/hyperlink" Target="https://www.itu.int/md/S26-CL-C-0105/en" TargetMode="External"/><Relationship Id="rId27" Type="http://schemas.openxmlformats.org/officeDocument/2006/relationships/hyperlink" Target="https://www.itu.int/md/S26-CL-C-0042/en" TargetMode="External"/><Relationship Id="rId48" Type="http://schemas.openxmlformats.org/officeDocument/2006/relationships/hyperlink" Target="https://www.itu.int/md/S26-CL-C-0046/en" TargetMode="External"/><Relationship Id="rId69" Type="http://schemas.openxmlformats.org/officeDocument/2006/relationships/hyperlink" Target="https://www.itu.int/md/S24-CL-C-0031/en" TargetMode="External"/><Relationship Id="rId113" Type="http://schemas.openxmlformats.org/officeDocument/2006/relationships/hyperlink" Target="https://www.itu.int/md/S26-CL-C-0039/en" TargetMode="External"/><Relationship Id="rId134" Type="http://schemas.openxmlformats.org/officeDocument/2006/relationships/hyperlink" Target="https://www.itu.int/md/S26-CL-C-005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documenttasks/documenttasks1.xml><?xml version="1.0" encoding="utf-8"?>
<t:Tasks xmlns:t="http://schemas.microsoft.com/office/tasks/2019/documenttasks" xmlns:oel="http://schemas.microsoft.com/office/2019/extlst">
  <t:Task id="{D816F1FE-E511-4B71-BF92-EE6241A165FB}">
    <t:Anchor>
      <t:Comment id="720705482"/>
    </t:Anchor>
    <t:History>
      <t:Event id="{3376A910-59D7-442B-869B-3BCEFEAE355A}" time="2026-05-06T14:48:15.732Z">
        <t:Attribution userId="S::elizabeth.locatelli@itu.int::4e632b38-a133-4903-bdc0-7453d16dbb7b" userProvider="AD" userName="Locatelli, Elizabeth"/>
        <t:Anchor>
          <t:Comment id="720705482"/>
        </t:Anchor>
        <t:Create/>
      </t:Event>
      <t:Event id="{0567049D-1C8D-46B6-98A3-C78D633F6194}" time="2026-05-06T14:48:15.732Z">
        <t:Attribution userId="S::elizabeth.locatelli@itu.int::4e632b38-a133-4903-bdc0-7453d16dbb7b" userProvider="AD" userName="Locatelli, Elizabeth"/>
        <t:Anchor>
          <t:Comment id="720705482"/>
        </t:Anchor>
        <t:Assign userId="S::mikheil.chitashvili@itu.int::a2076ce9-a56a-4e33-8d1d-1d5411c40841" userProvider="AD" userName="Chitashvili, Mikheil"/>
      </t:Event>
      <t:Event id="{5D0699ED-3F9B-485B-B1BE-6BA89F8A5A3E}" time="2026-05-06T14:48:15.732Z">
        <t:Attribution userId="S::elizabeth.locatelli@itu.int::4e632b38-a133-4903-bdc0-7453d16dbb7b" userProvider="AD" userName="Locatelli, Elizabeth"/>
        <t:Anchor>
          <t:Comment id="720705482"/>
        </t:Anchor>
        <t:SetTitle title="@Chitashvili, Mikheil could you please review this section asap and confirm when it is ok?"/>
      </t:Event>
      <t:Event id="{EE786971-7F30-47A6-9EEE-381BE9C36C53}" time="2026-05-07T10:17:16.226Z">
        <t:Attribution userId="S::mikheil.chitashvili@itu.int::a2076ce9-a56a-4e33-8d1d-1d5411c40841" userProvider="AD" userName="Chitashvili, Mikheil"/>
        <t:Anchor>
          <t:Comment id="1127491429"/>
        </t:Anchor>
        <t:UnassignAll/>
      </t:Event>
      <t:Event id="{A9AA4A96-D15E-4BFB-8D9B-D1C45C279F79}" time="2026-05-07T10:17:16.226Z">
        <t:Attribution userId="S::mikheil.chitashvili@itu.int::a2076ce9-a56a-4e33-8d1d-1d5411c40841" userProvider="AD" userName="Chitashvili, Mikheil"/>
        <t:Anchor>
          <t:Comment id="1127491429"/>
        </t:Anchor>
        <t:Assign userId="S::elizabeth.locatelli@itu.int::4e632b38-a133-4903-bdc0-7453d16dbb7b" userProvider="AD" userName="Locatelli, Elizabeth"/>
      </t:Event>
      <t:Event id="{E30CFB85-B6BF-4BF9-BF4B-314F0A2A9F27}" time="2026-05-08T08:33:44.887Z">
        <t:Attribution userId="S::ricarda.brouard@itu.int::886417f6-4fe6-47f8-93fa-a541586b3990" userProvider="AD" userName="Brouard, Ricar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8" ma:contentTypeDescription="Create a new document." ma:contentTypeScope="" ma:versionID="a0b38ed13965c2144e991bf474a47057">
  <xsd:schema xmlns:xsd="http://www.w3.org/2001/XMLSchema" xmlns:xs="http://www.w3.org/2001/XMLSchema" xmlns:p="http://schemas.microsoft.com/office/2006/metadata/properties" xmlns:ns2="a4c22657-7647-457b-a399-8471255bb166" targetNamespace="http://schemas.microsoft.com/office/2006/metadata/properties" ma:root="true" ma:fieldsID="e0587f8bedd9841da62e2c0c0da53b53"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5D6D-8AB2-4D0F-A1E3-5A1BADDC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7BF93-0889-41A0-B66B-BE6CB1A471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495F1-B0DA-4145-94E4-41F26AFF1B95}">
  <ds:schemaRefs>
    <ds:schemaRef ds:uri="http://schemas.microsoft.com/sharepoint/v3/contenttype/forms"/>
  </ds:schemaRefs>
</ds:datastoreItem>
</file>

<file path=customXml/itemProps4.xml><?xml version="1.0" encoding="utf-8"?>
<ds:datastoreItem xmlns:ds="http://schemas.openxmlformats.org/officeDocument/2006/customXml" ds:itemID="{8D2078B0-9F35-4689-8F75-704DD8F9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7</TotalTime>
  <Pages>75</Pages>
  <Words>36249</Words>
  <Characters>209520</Characters>
  <Application>Microsoft Office Word</Application>
  <DocSecurity>0</DocSecurity>
  <Lines>3379</Lines>
  <Paragraphs>1028</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244741</CharactersWithSpaces>
  <SharedDoc>false</SharedDoc>
  <HLinks>
    <vt:vector size="1344" baseType="variant">
      <vt:variant>
        <vt:i4>7733304</vt:i4>
      </vt:variant>
      <vt:variant>
        <vt:i4>450</vt:i4>
      </vt:variant>
      <vt:variant>
        <vt:i4>0</vt:i4>
      </vt:variant>
      <vt:variant>
        <vt:i4>5</vt:i4>
      </vt:variant>
      <vt:variant>
        <vt:lpwstr>https://www.itu.int/md/S26-CL-C-0042/en</vt:lpwstr>
      </vt:variant>
      <vt:variant>
        <vt:lpwstr/>
      </vt:variant>
      <vt:variant>
        <vt:i4>2293867</vt:i4>
      </vt:variant>
      <vt:variant>
        <vt:i4>447</vt:i4>
      </vt:variant>
      <vt:variant>
        <vt:i4>0</vt:i4>
      </vt:variant>
      <vt:variant>
        <vt:i4>5</vt:i4>
      </vt:variant>
      <vt:variant>
        <vt:lpwstr>https://www.itu.int/en/council/Pages/Financial-Regulations.aspx</vt:lpwstr>
      </vt:variant>
      <vt:variant>
        <vt:lpwstr/>
      </vt:variant>
      <vt:variant>
        <vt:i4>7471160</vt:i4>
      </vt:variant>
      <vt:variant>
        <vt:i4>444</vt:i4>
      </vt:variant>
      <vt:variant>
        <vt:i4>0</vt:i4>
      </vt:variant>
      <vt:variant>
        <vt:i4>5</vt:i4>
      </vt:variant>
      <vt:variant>
        <vt:lpwstr>https://www.itu.int/md/S26-CL-C-0046/en</vt:lpwstr>
      </vt:variant>
      <vt:variant>
        <vt:lpwstr/>
      </vt:variant>
      <vt:variant>
        <vt:i4>7667773</vt:i4>
      </vt:variant>
      <vt:variant>
        <vt:i4>441</vt:i4>
      </vt:variant>
      <vt:variant>
        <vt:i4>0</vt:i4>
      </vt:variant>
      <vt:variant>
        <vt:i4>5</vt:i4>
      </vt:variant>
      <vt:variant>
        <vt:lpwstr>https://www.itu.int/md/S26-CL-C-0011/en</vt:lpwstr>
      </vt:variant>
      <vt:variant>
        <vt:lpwstr/>
      </vt:variant>
      <vt:variant>
        <vt:i4>4128806</vt:i4>
      </vt:variant>
      <vt:variant>
        <vt:i4>438</vt:i4>
      </vt:variant>
      <vt:variant>
        <vt:i4>0</vt:i4>
      </vt:variant>
      <vt:variant>
        <vt:i4>5</vt:i4>
      </vt:variant>
      <vt:variant>
        <vt:lpwstr>https://www.itu.int/md/S26-CL-260428-TD-0005/en</vt:lpwstr>
      </vt:variant>
      <vt:variant>
        <vt:lpwstr/>
      </vt:variant>
      <vt:variant>
        <vt:i4>7340089</vt:i4>
      </vt:variant>
      <vt:variant>
        <vt:i4>435</vt:i4>
      </vt:variant>
      <vt:variant>
        <vt:i4>0</vt:i4>
      </vt:variant>
      <vt:variant>
        <vt:i4>5</vt:i4>
      </vt:variant>
      <vt:variant>
        <vt:lpwstr>https://www.itu.int/md/S26-CL-C-0054/en</vt:lpwstr>
      </vt:variant>
      <vt:variant>
        <vt:lpwstr/>
      </vt:variant>
      <vt:variant>
        <vt:i4>8126516</vt:i4>
      </vt:variant>
      <vt:variant>
        <vt:i4>432</vt:i4>
      </vt:variant>
      <vt:variant>
        <vt:i4>0</vt:i4>
      </vt:variant>
      <vt:variant>
        <vt:i4>5</vt:i4>
      </vt:variant>
      <vt:variant>
        <vt:lpwstr>https://www.itu.int/md/S26-CL-C-0088/en</vt:lpwstr>
      </vt:variant>
      <vt:variant>
        <vt:lpwstr/>
      </vt:variant>
      <vt:variant>
        <vt:i4>8192052</vt:i4>
      </vt:variant>
      <vt:variant>
        <vt:i4>429</vt:i4>
      </vt:variant>
      <vt:variant>
        <vt:i4>0</vt:i4>
      </vt:variant>
      <vt:variant>
        <vt:i4>5</vt:i4>
      </vt:variant>
      <vt:variant>
        <vt:lpwstr>https://www.itu.int/md/S26-CL-C-0089/en</vt:lpwstr>
      </vt:variant>
      <vt:variant>
        <vt:lpwstr/>
      </vt:variant>
      <vt:variant>
        <vt:i4>7536702</vt:i4>
      </vt:variant>
      <vt:variant>
        <vt:i4>426</vt:i4>
      </vt:variant>
      <vt:variant>
        <vt:i4>0</vt:i4>
      </vt:variant>
      <vt:variant>
        <vt:i4>5</vt:i4>
      </vt:variant>
      <vt:variant>
        <vt:lpwstr>https://www.itu.int/md/S26-CL-C-0027/en</vt:lpwstr>
      </vt:variant>
      <vt:variant>
        <vt:lpwstr/>
      </vt:variant>
      <vt:variant>
        <vt:i4>8126516</vt:i4>
      </vt:variant>
      <vt:variant>
        <vt:i4>423</vt:i4>
      </vt:variant>
      <vt:variant>
        <vt:i4>0</vt:i4>
      </vt:variant>
      <vt:variant>
        <vt:i4>5</vt:i4>
      </vt:variant>
      <vt:variant>
        <vt:lpwstr>https://www.itu.int/md/S26-CL-C-0088/en</vt:lpwstr>
      </vt:variant>
      <vt:variant>
        <vt:lpwstr/>
      </vt:variant>
      <vt:variant>
        <vt:i4>8192052</vt:i4>
      </vt:variant>
      <vt:variant>
        <vt:i4>420</vt:i4>
      </vt:variant>
      <vt:variant>
        <vt:i4>0</vt:i4>
      </vt:variant>
      <vt:variant>
        <vt:i4>5</vt:i4>
      </vt:variant>
      <vt:variant>
        <vt:lpwstr>https://www.itu.int/md/S26-CL-C-0089/en</vt:lpwstr>
      </vt:variant>
      <vt:variant>
        <vt:lpwstr/>
      </vt:variant>
      <vt:variant>
        <vt:i4>7536702</vt:i4>
      </vt:variant>
      <vt:variant>
        <vt:i4>417</vt:i4>
      </vt:variant>
      <vt:variant>
        <vt:i4>0</vt:i4>
      </vt:variant>
      <vt:variant>
        <vt:i4>5</vt:i4>
      </vt:variant>
      <vt:variant>
        <vt:lpwstr>https://www.itu.int/md/S26-CL-C-0027/en</vt:lpwstr>
      </vt:variant>
      <vt:variant>
        <vt:lpwstr/>
      </vt:variant>
      <vt:variant>
        <vt:i4>7733306</vt:i4>
      </vt:variant>
      <vt:variant>
        <vt:i4>414</vt:i4>
      </vt:variant>
      <vt:variant>
        <vt:i4>0</vt:i4>
      </vt:variant>
      <vt:variant>
        <vt:i4>5</vt:i4>
      </vt:variant>
      <vt:variant>
        <vt:lpwstr>https://www.itu.int/md/S26-CL-C-0062/en</vt:lpwstr>
      </vt:variant>
      <vt:variant>
        <vt:lpwstr/>
      </vt:variant>
      <vt:variant>
        <vt:i4>7733306</vt:i4>
      </vt:variant>
      <vt:variant>
        <vt:i4>411</vt:i4>
      </vt:variant>
      <vt:variant>
        <vt:i4>0</vt:i4>
      </vt:variant>
      <vt:variant>
        <vt:i4>5</vt:i4>
      </vt:variant>
      <vt:variant>
        <vt:lpwstr>https://www.itu.int/md/S26-CL-C-0062/en</vt:lpwstr>
      </vt:variant>
      <vt:variant>
        <vt:lpwstr/>
      </vt:variant>
      <vt:variant>
        <vt:i4>7536698</vt:i4>
      </vt:variant>
      <vt:variant>
        <vt:i4>408</vt:i4>
      </vt:variant>
      <vt:variant>
        <vt:i4>0</vt:i4>
      </vt:variant>
      <vt:variant>
        <vt:i4>5</vt:i4>
      </vt:variant>
      <vt:variant>
        <vt:lpwstr>https://www.itu.int/md/S26-CL-C-0067/en</vt:lpwstr>
      </vt:variant>
      <vt:variant>
        <vt:lpwstr/>
      </vt:variant>
      <vt:variant>
        <vt:i4>7536698</vt:i4>
      </vt:variant>
      <vt:variant>
        <vt:i4>405</vt:i4>
      </vt:variant>
      <vt:variant>
        <vt:i4>0</vt:i4>
      </vt:variant>
      <vt:variant>
        <vt:i4>5</vt:i4>
      </vt:variant>
      <vt:variant>
        <vt:lpwstr>https://www.itu.int/md/S26-CL-C-0067/en</vt:lpwstr>
      </vt:variant>
      <vt:variant>
        <vt:lpwstr/>
      </vt:variant>
      <vt:variant>
        <vt:i4>5505143</vt:i4>
      </vt:variant>
      <vt:variant>
        <vt:i4>402</vt:i4>
      </vt:variant>
      <vt:variant>
        <vt:i4>0</vt:i4>
      </vt:variant>
      <vt:variant>
        <vt:i4>5</vt:i4>
      </vt:variant>
      <vt:variant>
        <vt:lpwstr/>
      </vt:variant>
      <vt:variant>
        <vt:lpwstr>Annex_E</vt:lpwstr>
      </vt:variant>
      <vt:variant>
        <vt:i4>7798846</vt:i4>
      </vt:variant>
      <vt:variant>
        <vt:i4>399</vt:i4>
      </vt:variant>
      <vt:variant>
        <vt:i4>0</vt:i4>
      </vt:variant>
      <vt:variant>
        <vt:i4>5</vt:i4>
      </vt:variant>
      <vt:variant>
        <vt:lpwstr>https://www.itu.int/md/S26-CL-C-0023/en</vt:lpwstr>
      </vt:variant>
      <vt:variant>
        <vt:lpwstr/>
      </vt:variant>
      <vt:variant>
        <vt:i4>7471162</vt:i4>
      </vt:variant>
      <vt:variant>
        <vt:i4>396</vt:i4>
      </vt:variant>
      <vt:variant>
        <vt:i4>0</vt:i4>
      </vt:variant>
      <vt:variant>
        <vt:i4>5</vt:i4>
      </vt:variant>
      <vt:variant>
        <vt:lpwstr>https://www.itu.int/md/S26-CL-C-0066/en</vt:lpwstr>
      </vt:variant>
      <vt:variant>
        <vt:lpwstr/>
      </vt:variant>
      <vt:variant>
        <vt:i4>7602233</vt:i4>
      </vt:variant>
      <vt:variant>
        <vt:i4>393</vt:i4>
      </vt:variant>
      <vt:variant>
        <vt:i4>0</vt:i4>
      </vt:variant>
      <vt:variant>
        <vt:i4>5</vt:i4>
      </vt:variant>
      <vt:variant>
        <vt:lpwstr>https://www.itu.int/md/S26-CL-C-0050/en</vt:lpwstr>
      </vt:variant>
      <vt:variant>
        <vt:lpwstr/>
      </vt:variant>
      <vt:variant>
        <vt:i4>7471162</vt:i4>
      </vt:variant>
      <vt:variant>
        <vt:i4>390</vt:i4>
      </vt:variant>
      <vt:variant>
        <vt:i4>0</vt:i4>
      </vt:variant>
      <vt:variant>
        <vt:i4>5</vt:i4>
      </vt:variant>
      <vt:variant>
        <vt:lpwstr>https://www.itu.int/md/S26-CL-C-0066/en</vt:lpwstr>
      </vt:variant>
      <vt:variant>
        <vt:lpwstr/>
      </vt:variant>
      <vt:variant>
        <vt:i4>8192056</vt:i4>
      </vt:variant>
      <vt:variant>
        <vt:i4>387</vt:i4>
      </vt:variant>
      <vt:variant>
        <vt:i4>0</vt:i4>
      </vt:variant>
      <vt:variant>
        <vt:i4>5</vt:i4>
      </vt:variant>
      <vt:variant>
        <vt:lpwstr>https://www.itu.int/md/S26-CL-C-0049/en</vt:lpwstr>
      </vt:variant>
      <vt:variant>
        <vt:lpwstr/>
      </vt:variant>
      <vt:variant>
        <vt:i4>1900625</vt:i4>
      </vt:variant>
      <vt:variant>
        <vt:i4>384</vt:i4>
      </vt:variant>
      <vt:variant>
        <vt:i4>0</vt:i4>
      </vt:variant>
      <vt:variant>
        <vt:i4>5</vt:i4>
      </vt:variant>
      <vt:variant>
        <vt:lpwstr>https://www.itu.int/md/S26-CL-INF-0017/en</vt:lpwstr>
      </vt:variant>
      <vt:variant>
        <vt:lpwstr/>
      </vt:variant>
      <vt:variant>
        <vt:i4>1638482</vt:i4>
      </vt:variant>
      <vt:variant>
        <vt:i4>381</vt:i4>
      </vt:variant>
      <vt:variant>
        <vt:i4>0</vt:i4>
      </vt:variant>
      <vt:variant>
        <vt:i4>5</vt:i4>
      </vt:variant>
      <vt:variant>
        <vt:lpwstr>https://www.itu.int/md/S26-CL-INF-0023/en</vt:lpwstr>
      </vt:variant>
      <vt:variant>
        <vt:lpwstr/>
      </vt:variant>
      <vt:variant>
        <vt:i4>8192056</vt:i4>
      </vt:variant>
      <vt:variant>
        <vt:i4>378</vt:i4>
      </vt:variant>
      <vt:variant>
        <vt:i4>0</vt:i4>
      </vt:variant>
      <vt:variant>
        <vt:i4>5</vt:i4>
      </vt:variant>
      <vt:variant>
        <vt:lpwstr>https://www.itu.int/md/S26-CL-C-0049/en</vt:lpwstr>
      </vt:variant>
      <vt:variant>
        <vt:lpwstr/>
      </vt:variant>
      <vt:variant>
        <vt:i4>7536697</vt:i4>
      </vt:variant>
      <vt:variant>
        <vt:i4>375</vt:i4>
      </vt:variant>
      <vt:variant>
        <vt:i4>0</vt:i4>
      </vt:variant>
      <vt:variant>
        <vt:i4>5</vt:i4>
      </vt:variant>
      <vt:variant>
        <vt:lpwstr>https://www.itu.int/md/S26-CL-C-0057/en</vt:lpwstr>
      </vt:variant>
      <vt:variant>
        <vt:lpwstr/>
      </vt:variant>
      <vt:variant>
        <vt:i4>3932229</vt:i4>
      </vt:variant>
      <vt:variant>
        <vt:i4>372</vt:i4>
      </vt:variant>
      <vt:variant>
        <vt:i4>0</vt:i4>
      </vt:variant>
      <vt:variant>
        <vt:i4>5</vt:i4>
      </vt:variant>
      <vt:variant>
        <vt:lpwstr>https://www.unjiu.org/sites/www.unjiu.org/files/jiu_rep_2025_2.pdf</vt:lpwstr>
      </vt:variant>
      <vt:variant>
        <vt:lpwstr/>
      </vt:variant>
      <vt:variant>
        <vt:i4>4063339</vt:i4>
      </vt:variant>
      <vt:variant>
        <vt:i4>369</vt:i4>
      </vt:variant>
      <vt:variant>
        <vt:i4>0</vt:i4>
      </vt:variant>
      <vt:variant>
        <vt:i4>5</vt:i4>
      </vt:variant>
      <vt:variant>
        <vt:lpwstr>https://www.unjiu.org/sites/www.unjiu.org/files/jiu_rep_2025_3_english.pdf</vt:lpwstr>
      </vt:variant>
      <vt:variant>
        <vt:lpwstr/>
      </vt:variant>
      <vt:variant>
        <vt:i4>3735659</vt:i4>
      </vt:variant>
      <vt:variant>
        <vt:i4>366</vt:i4>
      </vt:variant>
      <vt:variant>
        <vt:i4>0</vt:i4>
      </vt:variant>
      <vt:variant>
        <vt:i4>5</vt:i4>
      </vt:variant>
      <vt:variant>
        <vt:lpwstr>https://www.unjiu.org/sites/www.unjiu.org/files/jiu_rep_2025_4_english.pdf</vt:lpwstr>
      </vt:variant>
      <vt:variant>
        <vt:lpwstr/>
      </vt:variant>
      <vt:variant>
        <vt:i4>7536697</vt:i4>
      </vt:variant>
      <vt:variant>
        <vt:i4>363</vt:i4>
      </vt:variant>
      <vt:variant>
        <vt:i4>0</vt:i4>
      </vt:variant>
      <vt:variant>
        <vt:i4>5</vt:i4>
      </vt:variant>
      <vt:variant>
        <vt:lpwstr>https://www.itu.int/md/S26-CL-C-0057/en</vt:lpwstr>
      </vt:variant>
      <vt:variant>
        <vt:lpwstr/>
      </vt:variant>
      <vt:variant>
        <vt:i4>7471167</vt:i4>
      </vt:variant>
      <vt:variant>
        <vt:i4>360</vt:i4>
      </vt:variant>
      <vt:variant>
        <vt:i4>0</vt:i4>
      </vt:variant>
      <vt:variant>
        <vt:i4>5</vt:i4>
      </vt:variant>
      <vt:variant>
        <vt:lpwstr>https://www.itu.int/md/S26-CL-C-0036/en</vt:lpwstr>
      </vt:variant>
      <vt:variant>
        <vt:lpwstr/>
      </vt:variant>
      <vt:variant>
        <vt:i4>7471167</vt:i4>
      </vt:variant>
      <vt:variant>
        <vt:i4>357</vt:i4>
      </vt:variant>
      <vt:variant>
        <vt:i4>0</vt:i4>
      </vt:variant>
      <vt:variant>
        <vt:i4>5</vt:i4>
      </vt:variant>
      <vt:variant>
        <vt:lpwstr>https://www.itu.int/md/S26-CL-C-0036/en</vt:lpwstr>
      </vt:variant>
      <vt:variant>
        <vt:lpwstr/>
      </vt:variant>
      <vt:variant>
        <vt:i4>7733301</vt:i4>
      </vt:variant>
      <vt:variant>
        <vt:i4>354</vt:i4>
      </vt:variant>
      <vt:variant>
        <vt:i4>0</vt:i4>
      </vt:variant>
      <vt:variant>
        <vt:i4>5</vt:i4>
      </vt:variant>
      <vt:variant>
        <vt:lpwstr>https://www.itu.int/md/S26-CL-C-0092/en</vt:lpwstr>
      </vt:variant>
      <vt:variant>
        <vt:lpwstr/>
      </vt:variant>
      <vt:variant>
        <vt:i4>7733301</vt:i4>
      </vt:variant>
      <vt:variant>
        <vt:i4>342</vt:i4>
      </vt:variant>
      <vt:variant>
        <vt:i4>0</vt:i4>
      </vt:variant>
      <vt:variant>
        <vt:i4>5</vt:i4>
      </vt:variant>
      <vt:variant>
        <vt:lpwstr>https://www.itu.int/md/S26-CL-C-0092/en</vt:lpwstr>
      </vt:variant>
      <vt:variant>
        <vt:lpwstr/>
      </vt:variant>
      <vt:variant>
        <vt:i4>8192063</vt:i4>
      </vt:variant>
      <vt:variant>
        <vt:i4>339</vt:i4>
      </vt:variant>
      <vt:variant>
        <vt:i4>0</vt:i4>
      </vt:variant>
      <vt:variant>
        <vt:i4>5</vt:i4>
      </vt:variant>
      <vt:variant>
        <vt:lpwstr>https://www.itu.int/md/S26-CL-C-0039/en</vt:lpwstr>
      </vt:variant>
      <vt:variant>
        <vt:lpwstr/>
      </vt:variant>
      <vt:variant>
        <vt:i4>7733310</vt:i4>
      </vt:variant>
      <vt:variant>
        <vt:i4>336</vt:i4>
      </vt:variant>
      <vt:variant>
        <vt:i4>0</vt:i4>
      </vt:variant>
      <vt:variant>
        <vt:i4>5</vt:i4>
      </vt:variant>
      <vt:variant>
        <vt:lpwstr>https://www.itu.int/md/S26-CL-C-0022/en</vt:lpwstr>
      </vt:variant>
      <vt:variant>
        <vt:lpwstr/>
      </vt:variant>
      <vt:variant>
        <vt:i4>7667773</vt:i4>
      </vt:variant>
      <vt:variant>
        <vt:i4>333</vt:i4>
      </vt:variant>
      <vt:variant>
        <vt:i4>0</vt:i4>
      </vt:variant>
      <vt:variant>
        <vt:i4>5</vt:i4>
      </vt:variant>
      <vt:variant>
        <vt:lpwstr>https://www.itu.int/md/S26-CL-C-0110/en</vt:lpwstr>
      </vt:variant>
      <vt:variant>
        <vt:lpwstr/>
      </vt:variant>
      <vt:variant>
        <vt:i4>7667773</vt:i4>
      </vt:variant>
      <vt:variant>
        <vt:i4>330</vt:i4>
      </vt:variant>
      <vt:variant>
        <vt:i4>0</vt:i4>
      </vt:variant>
      <vt:variant>
        <vt:i4>5</vt:i4>
      </vt:variant>
      <vt:variant>
        <vt:lpwstr>https://www.itu.int/md/S26-CL-C-0110/en</vt:lpwstr>
      </vt:variant>
      <vt:variant>
        <vt:lpwstr/>
      </vt:variant>
      <vt:variant>
        <vt:i4>7405624</vt:i4>
      </vt:variant>
      <vt:variant>
        <vt:i4>327</vt:i4>
      </vt:variant>
      <vt:variant>
        <vt:i4>0</vt:i4>
      </vt:variant>
      <vt:variant>
        <vt:i4>5</vt:i4>
      </vt:variant>
      <vt:variant>
        <vt:lpwstr>https://www.itu.int/md/S26-CL-C-0045/en</vt:lpwstr>
      </vt:variant>
      <vt:variant>
        <vt:lpwstr/>
      </vt:variant>
      <vt:variant>
        <vt:i4>7405624</vt:i4>
      </vt:variant>
      <vt:variant>
        <vt:i4>324</vt:i4>
      </vt:variant>
      <vt:variant>
        <vt:i4>0</vt:i4>
      </vt:variant>
      <vt:variant>
        <vt:i4>5</vt:i4>
      </vt:variant>
      <vt:variant>
        <vt:lpwstr>https://www.itu.int/md/S26-CL-C-0045/en</vt:lpwstr>
      </vt:variant>
      <vt:variant>
        <vt:lpwstr/>
      </vt:variant>
      <vt:variant>
        <vt:i4>8192063</vt:i4>
      </vt:variant>
      <vt:variant>
        <vt:i4>321</vt:i4>
      </vt:variant>
      <vt:variant>
        <vt:i4>0</vt:i4>
      </vt:variant>
      <vt:variant>
        <vt:i4>5</vt:i4>
      </vt:variant>
      <vt:variant>
        <vt:lpwstr>https://www.itu.int/md/S26-CL-C-0039/en</vt:lpwstr>
      </vt:variant>
      <vt:variant>
        <vt:lpwstr/>
      </vt:variant>
      <vt:variant>
        <vt:i4>1179730</vt:i4>
      </vt:variant>
      <vt:variant>
        <vt:i4>318</vt:i4>
      </vt:variant>
      <vt:variant>
        <vt:i4>0</vt:i4>
      </vt:variant>
      <vt:variant>
        <vt:i4>5</vt:i4>
      </vt:variant>
      <vt:variant>
        <vt:lpwstr>https://www.itu.int/md/S26-CL-INF-0028/en</vt:lpwstr>
      </vt:variant>
      <vt:variant>
        <vt:lpwstr/>
      </vt:variant>
      <vt:variant>
        <vt:i4>8192063</vt:i4>
      </vt:variant>
      <vt:variant>
        <vt:i4>315</vt:i4>
      </vt:variant>
      <vt:variant>
        <vt:i4>0</vt:i4>
      </vt:variant>
      <vt:variant>
        <vt:i4>5</vt:i4>
      </vt:variant>
      <vt:variant>
        <vt:lpwstr>https://www.itu.int/md/S26-CL-C-0039/en</vt:lpwstr>
      </vt:variant>
      <vt:variant>
        <vt:lpwstr/>
      </vt:variant>
      <vt:variant>
        <vt:i4>7340088</vt:i4>
      </vt:variant>
      <vt:variant>
        <vt:i4>312</vt:i4>
      </vt:variant>
      <vt:variant>
        <vt:i4>0</vt:i4>
      </vt:variant>
      <vt:variant>
        <vt:i4>5</vt:i4>
      </vt:variant>
      <vt:variant>
        <vt:lpwstr>https://www.itu.int/md/S26-CL-C-0044/en</vt:lpwstr>
      </vt:variant>
      <vt:variant>
        <vt:lpwstr/>
      </vt:variant>
      <vt:variant>
        <vt:i4>7733310</vt:i4>
      </vt:variant>
      <vt:variant>
        <vt:i4>309</vt:i4>
      </vt:variant>
      <vt:variant>
        <vt:i4>0</vt:i4>
      </vt:variant>
      <vt:variant>
        <vt:i4>5</vt:i4>
      </vt:variant>
      <vt:variant>
        <vt:lpwstr>https://www.itu.int/md/S26-CL-C-0022/en</vt:lpwstr>
      </vt:variant>
      <vt:variant>
        <vt:lpwstr/>
      </vt:variant>
      <vt:variant>
        <vt:i4>1638482</vt:i4>
      </vt:variant>
      <vt:variant>
        <vt:i4>306</vt:i4>
      </vt:variant>
      <vt:variant>
        <vt:i4>0</vt:i4>
      </vt:variant>
      <vt:variant>
        <vt:i4>5</vt:i4>
      </vt:variant>
      <vt:variant>
        <vt:lpwstr>https://www.itu.int/md/S26-CL-INF-0023/en</vt:lpwstr>
      </vt:variant>
      <vt:variant>
        <vt:lpwstr/>
      </vt:variant>
      <vt:variant>
        <vt:i4>7405628</vt:i4>
      </vt:variant>
      <vt:variant>
        <vt:i4>303</vt:i4>
      </vt:variant>
      <vt:variant>
        <vt:i4>0</vt:i4>
      </vt:variant>
      <vt:variant>
        <vt:i4>5</vt:i4>
      </vt:variant>
      <vt:variant>
        <vt:lpwstr>https://www.itu.int/md/S26-CL-C-0005/en</vt:lpwstr>
      </vt:variant>
      <vt:variant>
        <vt:lpwstr/>
      </vt:variant>
      <vt:variant>
        <vt:i4>7340088</vt:i4>
      </vt:variant>
      <vt:variant>
        <vt:i4>300</vt:i4>
      </vt:variant>
      <vt:variant>
        <vt:i4>0</vt:i4>
      </vt:variant>
      <vt:variant>
        <vt:i4>5</vt:i4>
      </vt:variant>
      <vt:variant>
        <vt:lpwstr>https://www.itu.int/md/S26-CL-C-0044/en</vt:lpwstr>
      </vt:variant>
      <vt:variant>
        <vt:lpwstr/>
      </vt:variant>
      <vt:variant>
        <vt:i4>1900626</vt:i4>
      </vt:variant>
      <vt:variant>
        <vt:i4>297</vt:i4>
      </vt:variant>
      <vt:variant>
        <vt:i4>0</vt:i4>
      </vt:variant>
      <vt:variant>
        <vt:i4>5</vt:i4>
      </vt:variant>
      <vt:variant>
        <vt:lpwstr>https://www.itu.int/md/S26-CL-INF-0027/en</vt:lpwstr>
      </vt:variant>
      <vt:variant>
        <vt:lpwstr/>
      </vt:variant>
      <vt:variant>
        <vt:i4>7340093</vt:i4>
      </vt:variant>
      <vt:variant>
        <vt:i4>294</vt:i4>
      </vt:variant>
      <vt:variant>
        <vt:i4>0</vt:i4>
      </vt:variant>
      <vt:variant>
        <vt:i4>5</vt:i4>
      </vt:variant>
      <vt:variant>
        <vt:lpwstr>https://www.itu.int/md/S26-CL-C-0014/en</vt:lpwstr>
      </vt:variant>
      <vt:variant>
        <vt:lpwstr/>
      </vt:variant>
      <vt:variant>
        <vt:i4>1900626</vt:i4>
      </vt:variant>
      <vt:variant>
        <vt:i4>291</vt:i4>
      </vt:variant>
      <vt:variant>
        <vt:i4>0</vt:i4>
      </vt:variant>
      <vt:variant>
        <vt:i4>5</vt:i4>
      </vt:variant>
      <vt:variant>
        <vt:lpwstr>https://www.itu.int/md/S26-CL-INF-0027/en</vt:lpwstr>
      </vt:variant>
      <vt:variant>
        <vt:lpwstr/>
      </vt:variant>
      <vt:variant>
        <vt:i4>7340093</vt:i4>
      </vt:variant>
      <vt:variant>
        <vt:i4>288</vt:i4>
      </vt:variant>
      <vt:variant>
        <vt:i4>0</vt:i4>
      </vt:variant>
      <vt:variant>
        <vt:i4>5</vt:i4>
      </vt:variant>
      <vt:variant>
        <vt:lpwstr>https://www.itu.int/md/S26-CL-C-0014/en</vt:lpwstr>
      </vt:variant>
      <vt:variant>
        <vt:lpwstr/>
      </vt:variant>
      <vt:variant>
        <vt:i4>7667771</vt:i4>
      </vt:variant>
      <vt:variant>
        <vt:i4>285</vt:i4>
      </vt:variant>
      <vt:variant>
        <vt:i4>0</vt:i4>
      </vt:variant>
      <vt:variant>
        <vt:i4>5</vt:i4>
      </vt:variant>
      <vt:variant>
        <vt:lpwstr>https://www.itu.int/md/S26-CL-C-0071/en</vt:lpwstr>
      </vt:variant>
      <vt:variant>
        <vt:lpwstr/>
      </vt:variant>
      <vt:variant>
        <vt:i4>7667771</vt:i4>
      </vt:variant>
      <vt:variant>
        <vt:i4>282</vt:i4>
      </vt:variant>
      <vt:variant>
        <vt:i4>0</vt:i4>
      </vt:variant>
      <vt:variant>
        <vt:i4>5</vt:i4>
      </vt:variant>
      <vt:variant>
        <vt:lpwstr>https://www.itu.int/md/S26-CL-C-0071/en</vt:lpwstr>
      </vt:variant>
      <vt:variant>
        <vt:lpwstr/>
      </vt:variant>
      <vt:variant>
        <vt:i4>7798844</vt:i4>
      </vt:variant>
      <vt:variant>
        <vt:i4>279</vt:i4>
      </vt:variant>
      <vt:variant>
        <vt:i4>0</vt:i4>
      </vt:variant>
      <vt:variant>
        <vt:i4>5</vt:i4>
      </vt:variant>
      <vt:variant>
        <vt:lpwstr>https://www.itu.int/md/S26-CL-C-0102/en</vt:lpwstr>
      </vt:variant>
      <vt:variant>
        <vt:lpwstr/>
      </vt:variant>
      <vt:variant>
        <vt:i4>7602235</vt:i4>
      </vt:variant>
      <vt:variant>
        <vt:i4>276</vt:i4>
      </vt:variant>
      <vt:variant>
        <vt:i4>0</vt:i4>
      </vt:variant>
      <vt:variant>
        <vt:i4>5</vt:i4>
      </vt:variant>
      <vt:variant>
        <vt:lpwstr>https://www.itu.int/md/S26-CL-C-0070/en</vt:lpwstr>
      </vt:variant>
      <vt:variant>
        <vt:lpwstr/>
      </vt:variant>
      <vt:variant>
        <vt:i4>1966160</vt:i4>
      </vt:variant>
      <vt:variant>
        <vt:i4>273</vt:i4>
      </vt:variant>
      <vt:variant>
        <vt:i4>0</vt:i4>
      </vt:variant>
      <vt:variant>
        <vt:i4>5</vt:i4>
      </vt:variant>
      <vt:variant>
        <vt:lpwstr>https://www.itu.int/md/S26-CL-INF-0004/en</vt:lpwstr>
      </vt:variant>
      <vt:variant>
        <vt:lpwstr/>
      </vt:variant>
      <vt:variant>
        <vt:i4>7798844</vt:i4>
      </vt:variant>
      <vt:variant>
        <vt:i4>270</vt:i4>
      </vt:variant>
      <vt:variant>
        <vt:i4>0</vt:i4>
      </vt:variant>
      <vt:variant>
        <vt:i4>5</vt:i4>
      </vt:variant>
      <vt:variant>
        <vt:lpwstr>https://www.itu.int/md/S26-CL-C-0102/en</vt:lpwstr>
      </vt:variant>
      <vt:variant>
        <vt:lpwstr/>
      </vt:variant>
      <vt:variant>
        <vt:i4>7602235</vt:i4>
      </vt:variant>
      <vt:variant>
        <vt:i4>267</vt:i4>
      </vt:variant>
      <vt:variant>
        <vt:i4>0</vt:i4>
      </vt:variant>
      <vt:variant>
        <vt:i4>5</vt:i4>
      </vt:variant>
      <vt:variant>
        <vt:lpwstr>https://www.itu.int/md/S26-CL-C-0070/en</vt:lpwstr>
      </vt:variant>
      <vt:variant>
        <vt:lpwstr/>
      </vt:variant>
      <vt:variant>
        <vt:i4>7536700</vt:i4>
      </vt:variant>
      <vt:variant>
        <vt:i4>264</vt:i4>
      </vt:variant>
      <vt:variant>
        <vt:i4>0</vt:i4>
      </vt:variant>
      <vt:variant>
        <vt:i4>5</vt:i4>
      </vt:variant>
      <vt:variant>
        <vt:lpwstr>https://www.itu.int/md/S26-CL-C-0106/en</vt:lpwstr>
      </vt:variant>
      <vt:variant>
        <vt:lpwstr/>
      </vt:variant>
      <vt:variant>
        <vt:i4>7340092</vt:i4>
      </vt:variant>
      <vt:variant>
        <vt:i4>261</vt:i4>
      </vt:variant>
      <vt:variant>
        <vt:i4>0</vt:i4>
      </vt:variant>
      <vt:variant>
        <vt:i4>5</vt:i4>
      </vt:variant>
      <vt:variant>
        <vt:lpwstr>https://www.itu.int/md/S26-CL-C-0105/en</vt:lpwstr>
      </vt:variant>
      <vt:variant>
        <vt:lpwstr/>
      </vt:variant>
      <vt:variant>
        <vt:i4>7405626</vt:i4>
      </vt:variant>
      <vt:variant>
        <vt:i4>258</vt:i4>
      </vt:variant>
      <vt:variant>
        <vt:i4>0</vt:i4>
      </vt:variant>
      <vt:variant>
        <vt:i4>5</vt:i4>
      </vt:variant>
      <vt:variant>
        <vt:lpwstr>https://www.itu.int/md/S26-CL-C-0065/en</vt:lpwstr>
      </vt:variant>
      <vt:variant>
        <vt:lpwstr/>
      </vt:variant>
      <vt:variant>
        <vt:i4>7536700</vt:i4>
      </vt:variant>
      <vt:variant>
        <vt:i4>255</vt:i4>
      </vt:variant>
      <vt:variant>
        <vt:i4>0</vt:i4>
      </vt:variant>
      <vt:variant>
        <vt:i4>5</vt:i4>
      </vt:variant>
      <vt:variant>
        <vt:lpwstr>https://www.itu.int/md/S26-CL-C-0106/en</vt:lpwstr>
      </vt:variant>
      <vt:variant>
        <vt:lpwstr/>
      </vt:variant>
      <vt:variant>
        <vt:i4>7340092</vt:i4>
      </vt:variant>
      <vt:variant>
        <vt:i4>252</vt:i4>
      </vt:variant>
      <vt:variant>
        <vt:i4>0</vt:i4>
      </vt:variant>
      <vt:variant>
        <vt:i4>5</vt:i4>
      </vt:variant>
      <vt:variant>
        <vt:lpwstr>https://www.itu.int/md/S26-CL-C-0105/en</vt:lpwstr>
      </vt:variant>
      <vt:variant>
        <vt:lpwstr/>
      </vt:variant>
      <vt:variant>
        <vt:i4>7405626</vt:i4>
      </vt:variant>
      <vt:variant>
        <vt:i4>249</vt:i4>
      </vt:variant>
      <vt:variant>
        <vt:i4>0</vt:i4>
      </vt:variant>
      <vt:variant>
        <vt:i4>5</vt:i4>
      </vt:variant>
      <vt:variant>
        <vt:lpwstr>https://www.itu.int/md/S26-CL-C-0065/en</vt:lpwstr>
      </vt:variant>
      <vt:variant>
        <vt:lpwstr/>
      </vt:variant>
      <vt:variant>
        <vt:i4>7798842</vt:i4>
      </vt:variant>
      <vt:variant>
        <vt:i4>246</vt:i4>
      </vt:variant>
      <vt:variant>
        <vt:i4>0</vt:i4>
      </vt:variant>
      <vt:variant>
        <vt:i4>5</vt:i4>
      </vt:variant>
      <vt:variant>
        <vt:lpwstr>https://www.itu.int/md/S26-CL-C-0063/en</vt:lpwstr>
      </vt:variant>
      <vt:variant>
        <vt:lpwstr/>
      </vt:variant>
      <vt:variant>
        <vt:i4>7798842</vt:i4>
      </vt:variant>
      <vt:variant>
        <vt:i4>243</vt:i4>
      </vt:variant>
      <vt:variant>
        <vt:i4>0</vt:i4>
      </vt:variant>
      <vt:variant>
        <vt:i4>5</vt:i4>
      </vt:variant>
      <vt:variant>
        <vt:lpwstr>https://www.itu.int/md/S26-CL-C-0063/en</vt:lpwstr>
      </vt:variant>
      <vt:variant>
        <vt:lpwstr/>
      </vt:variant>
      <vt:variant>
        <vt:i4>8126520</vt:i4>
      </vt:variant>
      <vt:variant>
        <vt:i4>240</vt:i4>
      </vt:variant>
      <vt:variant>
        <vt:i4>0</vt:i4>
      </vt:variant>
      <vt:variant>
        <vt:i4>5</vt:i4>
      </vt:variant>
      <vt:variant>
        <vt:lpwstr>https://www.itu.int/md/S26-CL-C-0048/en</vt:lpwstr>
      </vt:variant>
      <vt:variant>
        <vt:lpwstr/>
      </vt:variant>
      <vt:variant>
        <vt:i4>7536700</vt:i4>
      </vt:variant>
      <vt:variant>
        <vt:i4>237</vt:i4>
      </vt:variant>
      <vt:variant>
        <vt:i4>0</vt:i4>
      </vt:variant>
      <vt:variant>
        <vt:i4>5</vt:i4>
      </vt:variant>
      <vt:variant>
        <vt:lpwstr>https://www.itu.int/md/S26-CL-C-0007/en</vt:lpwstr>
      </vt:variant>
      <vt:variant>
        <vt:lpwstr/>
      </vt:variant>
      <vt:variant>
        <vt:i4>8126520</vt:i4>
      </vt:variant>
      <vt:variant>
        <vt:i4>234</vt:i4>
      </vt:variant>
      <vt:variant>
        <vt:i4>0</vt:i4>
      </vt:variant>
      <vt:variant>
        <vt:i4>5</vt:i4>
      </vt:variant>
      <vt:variant>
        <vt:lpwstr>https://www.itu.int/md/S26-CL-C-0048/en</vt:lpwstr>
      </vt:variant>
      <vt:variant>
        <vt:lpwstr/>
      </vt:variant>
      <vt:variant>
        <vt:i4>7536700</vt:i4>
      </vt:variant>
      <vt:variant>
        <vt:i4>231</vt:i4>
      </vt:variant>
      <vt:variant>
        <vt:i4>0</vt:i4>
      </vt:variant>
      <vt:variant>
        <vt:i4>5</vt:i4>
      </vt:variant>
      <vt:variant>
        <vt:lpwstr>https://www.itu.int/md/S26-CL-C-0007/en</vt:lpwstr>
      </vt:variant>
      <vt:variant>
        <vt:lpwstr/>
      </vt:variant>
      <vt:variant>
        <vt:i4>7667765</vt:i4>
      </vt:variant>
      <vt:variant>
        <vt:i4>228</vt:i4>
      </vt:variant>
      <vt:variant>
        <vt:i4>0</vt:i4>
      </vt:variant>
      <vt:variant>
        <vt:i4>5</vt:i4>
      </vt:variant>
      <vt:variant>
        <vt:lpwstr>https://www.itu.int/md/S26-CL-C-0091/en</vt:lpwstr>
      </vt:variant>
      <vt:variant>
        <vt:lpwstr/>
      </vt:variant>
      <vt:variant>
        <vt:i4>7667764</vt:i4>
      </vt:variant>
      <vt:variant>
        <vt:i4>225</vt:i4>
      </vt:variant>
      <vt:variant>
        <vt:i4>0</vt:i4>
      </vt:variant>
      <vt:variant>
        <vt:i4>5</vt:i4>
      </vt:variant>
      <vt:variant>
        <vt:lpwstr>https://www.itu.int/md/S26-CL-C-0081/en</vt:lpwstr>
      </vt:variant>
      <vt:variant>
        <vt:lpwstr/>
      </vt:variant>
      <vt:variant>
        <vt:i4>7602228</vt:i4>
      </vt:variant>
      <vt:variant>
        <vt:i4>222</vt:i4>
      </vt:variant>
      <vt:variant>
        <vt:i4>0</vt:i4>
      </vt:variant>
      <vt:variant>
        <vt:i4>5</vt:i4>
      </vt:variant>
      <vt:variant>
        <vt:lpwstr>https://www.itu.int/md/S26-CL-C-0080/en</vt:lpwstr>
      </vt:variant>
      <vt:variant>
        <vt:lpwstr/>
      </vt:variant>
      <vt:variant>
        <vt:i4>7733311</vt:i4>
      </vt:variant>
      <vt:variant>
        <vt:i4>219</vt:i4>
      </vt:variant>
      <vt:variant>
        <vt:i4>0</vt:i4>
      </vt:variant>
      <vt:variant>
        <vt:i4>5</vt:i4>
      </vt:variant>
      <vt:variant>
        <vt:lpwstr>https://www.itu.int/md/S26-CL-C-0032/en</vt:lpwstr>
      </vt:variant>
      <vt:variant>
        <vt:lpwstr/>
      </vt:variant>
      <vt:variant>
        <vt:i4>7667765</vt:i4>
      </vt:variant>
      <vt:variant>
        <vt:i4>216</vt:i4>
      </vt:variant>
      <vt:variant>
        <vt:i4>0</vt:i4>
      </vt:variant>
      <vt:variant>
        <vt:i4>5</vt:i4>
      </vt:variant>
      <vt:variant>
        <vt:lpwstr>https://www.itu.int/md/S26-CL-C-0091/en</vt:lpwstr>
      </vt:variant>
      <vt:variant>
        <vt:lpwstr/>
      </vt:variant>
      <vt:variant>
        <vt:i4>7667764</vt:i4>
      </vt:variant>
      <vt:variant>
        <vt:i4>213</vt:i4>
      </vt:variant>
      <vt:variant>
        <vt:i4>0</vt:i4>
      </vt:variant>
      <vt:variant>
        <vt:i4>5</vt:i4>
      </vt:variant>
      <vt:variant>
        <vt:lpwstr>https://www.itu.int/md/S26-CL-C-0081/en</vt:lpwstr>
      </vt:variant>
      <vt:variant>
        <vt:lpwstr/>
      </vt:variant>
      <vt:variant>
        <vt:i4>7602228</vt:i4>
      </vt:variant>
      <vt:variant>
        <vt:i4>210</vt:i4>
      </vt:variant>
      <vt:variant>
        <vt:i4>0</vt:i4>
      </vt:variant>
      <vt:variant>
        <vt:i4>5</vt:i4>
      </vt:variant>
      <vt:variant>
        <vt:lpwstr>https://www.itu.int/md/S26-CL-C-0080/en</vt:lpwstr>
      </vt:variant>
      <vt:variant>
        <vt:lpwstr/>
      </vt:variant>
      <vt:variant>
        <vt:i4>7733311</vt:i4>
      </vt:variant>
      <vt:variant>
        <vt:i4>207</vt:i4>
      </vt:variant>
      <vt:variant>
        <vt:i4>0</vt:i4>
      </vt:variant>
      <vt:variant>
        <vt:i4>5</vt:i4>
      </vt:variant>
      <vt:variant>
        <vt:lpwstr>https://www.itu.int/md/S26-CL-C-0032/en</vt:lpwstr>
      </vt:variant>
      <vt:variant>
        <vt:lpwstr/>
      </vt:variant>
      <vt:variant>
        <vt:i4>7798845</vt:i4>
      </vt:variant>
      <vt:variant>
        <vt:i4>204</vt:i4>
      </vt:variant>
      <vt:variant>
        <vt:i4>0</vt:i4>
      </vt:variant>
      <vt:variant>
        <vt:i4>5</vt:i4>
      </vt:variant>
      <vt:variant>
        <vt:lpwstr>https://www.itu.int/md/S26-CL-C-0112/en</vt:lpwstr>
      </vt:variant>
      <vt:variant>
        <vt:lpwstr/>
      </vt:variant>
      <vt:variant>
        <vt:i4>7733311</vt:i4>
      </vt:variant>
      <vt:variant>
        <vt:i4>201</vt:i4>
      </vt:variant>
      <vt:variant>
        <vt:i4>0</vt:i4>
      </vt:variant>
      <vt:variant>
        <vt:i4>5</vt:i4>
      </vt:variant>
      <vt:variant>
        <vt:lpwstr>https://www.itu.int/md/S26-CL-C-0032/en</vt:lpwstr>
      </vt:variant>
      <vt:variant>
        <vt:lpwstr/>
      </vt:variant>
      <vt:variant>
        <vt:i4>7798845</vt:i4>
      </vt:variant>
      <vt:variant>
        <vt:i4>198</vt:i4>
      </vt:variant>
      <vt:variant>
        <vt:i4>0</vt:i4>
      </vt:variant>
      <vt:variant>
        <vt:i4>5</vt:i4>
      </vt:variant>
      <vt:variant>
        <vt:lpwstr>https://www.itu.int/md/S26-CL-C-0112/en</vt:lpwstr>
      </vt:variant>
      <vt:variant>
        <vt:lpwstr/>
      </vt:variant>
      <vt:variant>
        <vt:i4>5505143</vt:i4>
      </vt:variant>
      <vt:variant>
        <vt:i4>195</vt:i4>
      </vt:variant>
      <vt:variant>
        <vt:i4>0</vt:i4>
      </vt:variant>
      <vt:variant>
        <vt:i4>5</vt:i4>
      </vt:variant>
      <vt:variant>
        <vt:lpwstr/>
      </vt:variant>
      <vt:variant>
        <vt:lpwstr>Annex_D</vt:lpwstr>
      </vt:variant>
      <vt:variant>
        <vt:i4>7733304</vt:i4>
      </vt:variant>
      <vt:variant>
        <vt:i4>192</vt:i4>
      </vt:variant>
      <vt:variant>
        <vt:i4>0</vt:i4>
      </vt:variant>
      <vt:variant>
        <vt:i4>5</vt:i4>
      </vt:variant>
      <vt:variant>
        <vt:lpwstr>https://www.itu.int/md/S26-CL-C-0042/en</vt:lpwstr>
      </vt:variant>
      <vt:variant>
        <vt:lpwstr/>
      </vt:variant>
      <vt:variant>
        <vt:i4>3932198</vt:i4>
      </vt:variant>
      <vt:variant>
        <vt:i4>189</vt:i4>
      </vt:variant>
      <vt:variant>
        <vt:i4>0</vt:i4>
      </vt:variant>
      <vt:variant>
        <vt:i4>5</vt:i4>
      </vt:variant>
      <vt:variant>
        <vt:lpwstr>https://www.itu.int/md/S26-CL-260428-TD-0006/en</vt:lpwstr>
      </vt:variant>
      <vt:variant>
        <vt:lpwstr/>
      </vt:variant>
      <vt:variant>
        <vt:i4>7798847</vt:i4>
      </vt:variant>
      <vt:variant>
        <vt:i4>186</vt:i4>
      </vt:variant>
      <vt:variant>
        <vt:i4>0</vt:i4>
      </vt:variant>
      <vt:variant>
        <vt:i4>5</vt:i4>
      </vt:variant>
      <vt:variant>
        <vt:lpwstr>https://www.itu.int/md/S24-CL-C-0031/en</vt:lpwstr>
      </vt:variant>
      <vt:variant>
        <vt:lpwstr/>
      </vt:variant>
      <vt:variant>
        <vt:i4>7340095</vt:i4>
      </vt:variant>
      <vt:variant>
        <vt:i4>183</vt:i4>
      </vt:variant>
      <vt:variant>
        <vt:i4>0</vt:i4>
      </vt:variant>
      <vt:variant>
        <vt:i4>5</vt:i4>
      </vt:variant>
      <vt:variant>
        <vt:lpwstr>https://www.itu.int/md/S26-CL-C-0034/en</vt:lpwstr>
      </vt:variant>
      <vt:variant>
        <vt:lpwstr/>
      </vt:variant>
      <vt:variant>
        <vt:i4>7733304</vt:i4>
      </vt:variant>
      <vt:variant>
        <vt:i4>180</vt:i4>
      </vt:variant>
      <vt:variant>
        <vt:i4>0</vt:i4>
      </vt:variant>
      <vt:variant>
        <vt:i4>5</vt:i4>
      </vt:variant>
      <vt:variant>
        <vt:lpwstr>https://www.itu.int/md/S26-CL-C-0042/en</vt:lpwstr>
      </vt:variant>
      <vt:variant>
        <vt:lpwstr/>
      </vt:variant>
      <vt:variant>
        <vt:i4>7602229</vt:i4>
      </vt:variant>
      <vt:variant>
        <vt:i4>177</vt:i4>
      </vt:variant>
      <vt:variant>
        <vt:i4>0</vt:i4>
      </vt:variant>
      <vt:variant>
        <vt:i4>5</vt:i4>
      </vt:variant>
      <vt:variant>
        <vt:lpwstr>https://www.itu.int/md/S26-CL-C-0090/en</vt:lpwstr>
      </vt:variant>
      <vt:variant>
        <vt:lpwstr/>
      </vt:variant>
      <vt:variant>
        <vt:i4>8126517</vt:i4>
      </vt:variant>
      <vt:variant>
        <vt:i4>174</vt:i4>
      </vt:variant>
      <vt:variant>
        <vt:i4>0</vt:i4>
      </vt:variant>
      <vt:variant>
        <vt:i4>5</vt:i4>
      </vt:variant>
      <vt:variant>
        <vt:lpwstr>https://www.itu.int/md/S26-CL-C-0098/en</vt:lpwstr>
      </vt:variant>
      <vt:variant>
        <vt:lpwstr/>
      </vt:variant>
      <vt:variant>
        <vt:i4>7471157</vt:i4>
      </vt:variant>
      <vt:variant>
        <vt:i4>171</vt:i4>
      </vt:variant>
      <vt:variant>
        <vt:i4>0</vt:i4>
      </vt:variant>
      <vt:variant>
        <vt:i4>5</vt:i4>
      </vt:variant>
      <vt:variant>
        <vt:lpwstr>https://www.itu.int/md/S26-CL-C-0096/en</vt:lpwstr>
      </vt:variant>
      <vt:variant>
        <vt:lpwstr/>
      </vt:variant>
      <vt:variant>
        <vt:i4>7340084</vt:i4>
      </vt:variant>
      <vt:variant>
        <vt:i4>168</vt:i4>
      </vt:variant>
      <vt:variant>
        <vt:i4>0</vt:i4>
      </vt:variant>
      <vt:variant>
        <vt:i4>5</vt:i4>
      </vt:variant>
      <vt:variant>
        <vt:lpwstr>https://www.itu.int/md/S26-CL-C-0084/en</vt:lpwstr>
      </vt:variant>
      <vt:variant>
        <vt:lpwstr/>
      </vt:variant>
      <vt:variant>
        <vt:i4>8192061</vt:i4>
      </vt:variant>
      <vt:variant>
        <vt:i4>165</vt:i4>
      </vt:variant>
      <vt:variant>
        <vt:i4>0</vt:i4>
      </vt:variant>
      <vt:variant>
        <vt:i4>5</vt:i4>
      </vt:variant>
      <vt:variant>
        <vt:lpwstr>https://www.itu.int/md/S26-CL-C-0019/en</vt:lpwstr>
      </vt:variant>
      <vt:variant>
        <vt:lpwstr/>
      </vt:variant>
      <vt:variant>
        <vt:i4>7602229</vt:i4>
      </vt:variant>
      <vt:variant>
        <vt:i4>162</vt:i4>
      </vt:variant>
      <vt:variant>
        <vt:i4>0</vt:i4>
      </vt:variant>
      <vt:variant>
        <vt:i4>5</vt:i4>
      </vt:variant>
      <vt:variant>
        <vt:lpwstr>https://www.itu.int/md/S26-CL-C-0090/en</vt:lpwstr>
      </vt:variant>
      <vt:variant>
        <vt:lpwstr/>
      </vt:variant>
      <vt:variant>
        <vt:i4>8126517</vt:i4>
      </vt:variant>
      <vt:variant>
        <vt:i4>159</vt:i4>
      </vt:variant>
      <vt:variant>
        <vt:i4>0</vt:i4>
      </vt:variant>
      <vt:variant>
        <vt:i4>5</vt:i4>
      </vt:variant>
      <vt:variant>
        <vt:lpwstr>https://www.itu.int/md/S26-CL-C-0098/en</vt:lpwstr>
      </vt:variant>
      <vt:variant>
        <vt:lpwstr/>
      </vt:variant>
      <vt:variant>
        <vt:i4>7471157</vt:i4>
      </vt:variant>
      <vt:variant>
        <vt:i4>156</vt:i4>
      </vt:variant>
      <vt:variant>
        <vt:i4>0</vt:i4>
      </vt:variant>
      <vt:variant>
        <vt:i4>5</vt:i4>
      </vt:variant>
      <vt:variant>
        <vt:lpwstr>https://www.itu.int/md/S26-CL-C-0096/en</vt:lpwstr>
      </vt:variant>
      <vt:variant>
        <vt:lpwstr/>
      </vt:variant>
      <vt:variant>
        <vt:i4>7340084</vt:i4>
      </vt:variant>
      <vt:variant>
        <vt:i4>153</vt:i4>
      </vt:variant>
      <vt:variant>
        <vt:i4>0</vt:i4>
      </vt:variant>
      <vt:variant>
        <vt:i4>5</vt:i4>
      </vt:variant>
      <vt:variant>
        <vt:lpwstr>https://www.itu.int/md/S26-CL-C-0084/en</vt:lpwstr>
      </vt:variant>
      <vt:variant>
        <vt:lpwstr/>
      </vt:variant>
      <vt:variant>
        <vt:i4>8192061</vt:i4>
      </vt:variant>
      <vt:variant>
        <vt:i4>150</vt:i4>
      </vt:variant>
      <vt:variant>
        <vt:i4>0</vt:i4>
      </vt:variant>
      <vt:variant>
        <vt:i4>5</vt:i4>
      </vt:variant>
      <vt:variant>
        <vt:lpwstr>https://www.itu.int/md/S26-CL-C-0019/en</vt:lpwstr>
      </vt:variant>
      <vt:variant>
        <vt:lpwstr/>
      </vt:variant>
      <vt:variant>
        <vt:i4>7471165</vt:i4>
      </vt:variant>
      <vt:variant>
        <vt:i4>147</vt:i4>
      </vt:variant>
      <vt:variant>
        <vt:i4>0</vt:i4>
      </vt:variant>
      <vt:variant>
        <vt:i4>5</vt:i4>
      </vt:variant>
      <vt:variant>
        <vt:lpwstr>https://www.itu.int/md/S26-CL-C-0016/en</vt:lpwstr>
      </vt:variant>
      <vt:variant>
        <vt:lpwstr/>
      </vt:variant>
      <vt:variant>
        <vt:i4>7405627</vt:i4>
      </vt:variant>
      <vt:variant>
        <vt:i4>144</vt:i4>
      </vt:variant>
      <vt:variant>
        <vt:i4>0</vt:i4>
      </vt:variant>
      <vt:variant>
        <vt:i4>5</vt:i4>
      </vt:variant>
      <vt:variant>
        <vt:lpwstr>https://www.itu.int/md/S26-CL-C-0075/en</vt:lpwstr>
      </vt:variant>
      <vt:variant>
        <vt:lpwstr/>
      </vt:variant>
      <vt:variant>
        <vt:i4>7471164</vt:i4>
      </vt:variant>
      <vt:variant>
        <vt:i4>141</vt:i4>
      </vt:variant>
      <vt:variant>
        <vt:i4>0</vt:i4>
      </vt:variant>
      <vt:variant>
        <vt:i4>5</vt:i4>
      </vt:variant>
      <vt:variant>
        <vt:lpwstr>https://www.itu.int/md/S26-CL-C-0107/en</vt:lpwstr>
      </vt:variant>
      <vt:variant>
        <vt:lpwstr/>
      </vt:variant>
      <vt:variant>
        <vt:i4>7471165</vt:i4>
      </vt:variant>
      <vt:variant>
        <vt:i4>138</vt:i4>
      </vt:variant>
      <vt:variant>
        <vt:i4>0</vt:i4>
      </vt:variant>
      <vt:variant>
        <vt:i4>5</vt:i4>
      </vt:variant>
      <vt:variant>
        <vt:lpwstr>https://www.itu.int/md/S26-CL-C-0016/en</vt:lpwstr>
      </vt:variant>
      <vt:variant>
        <vt:lpwstr/>
      </vt:variant>
      <vt:variant>
        <vt:i4>7602238</vt:i4>
      </vt:variant>
      <vt:variant>
        <vt:i4>135</vt:i4>
      </vt:variant>
      <vt:variant>
        <vt:i4>0</vt:i4>
      </vt:variant>
      <vt:variant>
        <vt:i4>5</vt:i4>
      </vt:variant>
      <vt:variant>
        <vt:lpwstr>https://www.itu.int/md/S26-CL-C-0020/en</vt:lpwstr>
      </vt:variant>
      <vt:variant>
        <vt:lpwstr/>
      </vt:variant>
      <vt:variant>
        <vt:i4>7602238</vt:i4>
      </vt:variant>
      <vt:variant>
        <vt:i4>132</vt:i4>
      </vt:variant>
      <vt:variant>
        <vt:i4>0</vt:i4>
      </vt:variant>
      <vt:variant>
        <vt:i4>5</vt:i4>
      </vt:variant>
      <vt:variant>
        <vt:lpwstr>https://www.itu.int/md/S26-CL-C-0020/en</vt:lpwstr>
      </vt:variant>
      <vt:variant>
        <vt:lpwstr/>
      </vt:variant>
      <vt:variant>
        <vt:i4>7471161</vt:i4>
      </vt:variant>
      <vt:variant>
        <vt:i4>129</vt:i4>
      </vt:variant>
      <vt:variant>
        <vt:i4>0</vt:i4>
      </vt:variant>
      <vt:variant>
        <vt:i4>5</vt:i4>
      </vt:variant>
      <vt:variant>
        <vt:lpwstr>https://www.itu.int/md/S26-CL-C-0056/en</vt:lpwstr>
      </vt:variant>
      <vt:variant>
        <vt:lpwstr/>
      </vt:variant>
      <vt:variant>
        <vt:i4>7471161</vt:i4>
      </vt:variant>
      <vt:variant>
        <vt:i4>126</vt:i4>
      </vt:variant>
      <vt:variant>
        <vt:i4>0</vt:i4>
      </vt:variant>
      <vt:variant>
        <vt:i4>5</vt:i4>
      </vt:variant>
      <vt:variant>
        <vt:lpwstr>https://www.itu.int/md/S26-CL-C-0056/en</vt:lpwstr>
      </vt:variant>
      <vt:variant>
        <vt:lpwstr/>
      </vt:variant>
      <vt:variant>
        <vt:i4>5505143</vt:i4>
      </vt:variant>
      <vt:variant>
        <vt:i4>123</vt:i4>
      </vt:variant>
      <vt:variant>
        <vt:i4>0</vt:i4>
      </vt:variant>
      <vt:variant>
        <vt:i4>5</vt:i4>
      </vt:variant>
      <vt:variant>
        <vt:lpwstr/>
      </vt:variant>
      <vt:variant>
        <vt:lpwstr>Annex_C</vt:lpwstr>
      </vt:variant>
      <vt:variant>
        <vt:i4>7405624</vt:i4>
      </vt:variant>
      <vt:variant>
        <vt:i4>120</vt:i4>
      </vt:variant>
      <vt:variant>
        <vt:i4>0</vt:i4>
      </vt:variant>
      <vt:variant>
        <vt:i4>5</vt:i4>
      </vt:variant>
      <vt:variant>
        <vt:lpwstr>https://www.itu.int/md/S25-CL-C-0046/en</vt:lpwstr>
      </vt:variant>
      <vt:variant>
        <vt:lpwstr/>
      </vt:variant>
      <vt:variant>
        <vt:i4>7471160</vt:i4>
      </vt:variant>
      <vt:variant>
        <vt:i4>117</vt:i4>
      </vt:variant>
      <vt:variant>
        <vt:i4>0</vt:i4>
      </vt:variant>
      <vt:variant>
        <vt:i4>5</vt:i4>
      </vt:variant>
      <vt:variant>
        <vt:lpwstr>https://www.itu.int/md/S26-CL-C-0046/en</vt:lpwstr>
      </vt:variant>
      <vt:variant>
        <vt:lpwstr/>
      </vt:variant>
      <vt:variant>
        <vt:i4>8126527</vt:i4>
      </vt:variant>
      <vt:variant>
        <vt:i4>114</vt:i4>
      </vt:variant>
      <vt:variant>
        <vt:i4>0</vt:i4>
      </vt:variant>
      <vt:variant>
        <vt:i4>5</vt:i4>
      </vt:variant>
      <vt:variant>
        <vt:lpwstr>https://www.itu.int/md/S26-CL-C-0038/en</vt:lpwstr>
      </vt:variant>
      <vt:variant>
        <vt:lpwstr/>
      </vt:variant>
      <vt:variant>
        <vt:i4>5505143</vt:i4>
      </vt:variant>
      <vt:variant>
        <vt:i4>111</vt:i4>
      </vt:variant>
      <vt:variant>
        <vt:i4>0</vt:i4>
      </vt:variant>
      <vt:variant>
        <vt:i4>5</vt:i4>
      </vt:variant>
      <vt:variant>
        <vt:lpwstr/>
      </vt:variant>
      <vt:variant>
        <vt:lpwstr>Annex_B</vt:lpwstr>
      </vt:variant>
      <vt:variant>
        <vt:i4>7667773</vt:i4>
      </vt:variant>
      <vt:variant>
        <vt:i4>108</vt:i4>
      </vt:variant>
      <vt:variant>
        <vt:i4>0</vt:i4>
      </vt:variant>
      <vt:variant>
        <vt:i4>5</vt:i4>
      </vt:variant>
      <vt:variant>
        <vt:lpwstr>https://www.itu.int/md/S26-CL-C-0011/en</vt:lpwstr>
      </vt:variant>
      <vt:variant>
        <vt:lpwstr/>
      </vt:variant>
      <vt:variant>
        <vt:i4>7667773</vt:i4>
      </vt:variant>
      <vt:variant>
        <vt:i4>105</vt:i4>
      </vt:variant>
      <vt:variant>
        <vt:i4>0</vt:i4>
      </vt:variant>
      <vt:variant>
        <vt:i4>5</vt:i4>
      </vt:variant>
      <vt:variant>
        <vt:lpwstr>https://www.itu.int/md/S26-CL-C-0011/en</vt:lpwstr>
      </vt:variant>
      <vt:variant>
        <vt:lpwstr/>
      </vt:variant>
      <vt:variant>
        <vt:i4>1966161</vt:i4>
      </vt:variant>
      <vt:variant>
        <vt:i4>102</vt:i4>
      </vt:variant>
      <vt:variant>
        <vt:i4>0</vt:i4>
      </vt:variant>
      <vt:variant>
        <vt:i4>5</vt:i4>
      </vt:variant>
      <vt:variant>
        <vt:lpwstr>https://www.itu.int/md/S26-CL-INF-0014/en</vt:lpwstr>
      </vt:variant>
      <vt:variant>
        <vt:lpwstr/>
      </vt:variant>
      <vt:variant>
        <vt:i4>7798843</vt:i4>
      </vt:variant>
      <vt:variant>
        <vt:i4>99</vt:i4>
      </vt:variant>
      <vt:variant>
        <vt:i4>0</vt:i4>
      </vt:variant>
      <vt:variant>
        <vt:i4>5</vt:i4>
      </vt:variant>
      <vt:variant>
        <vt:lpwstr>https://www.itu.int/md/S26-CL-C-0073/en</vt:lpwstr>
      </vt:variant>
      <vt:variant>
        <vt:lpwstr/>
      </vt:variant>
      <vt:variant>
        <vt:i4>524358</vt:i4>
      </vt:variant>
      <vt:variant>
        <vt:i4>96</vt:i4>
      </vt:variant>
      <vt:variant>
        <vt:i4>0</vt:i4>
      </vt:variant>
      <vt:variant>
        <vt:i4>5</vt:i4>
      </vt:variant>
      <vt:variant>
        <vt:lpwstr>https://www.itu.int/md/S25-SG-CIR-0036/en</vt:lpwstr>
      </vt:variant>
      <vt:variant>
        <vt:lpwstr/>
      </vt:variant>
      <vt:variant>
        <vt:i4>1966161</vt:i4>
      </vt:variant>
      <vt:variant>
        <vt:i4>93</vt:i4>
      </vt:variant>
      <vt:variant>
        <vt:i4>0</vt:i4>
      </vt:variant>
      <vt:variant>
        <vt:i4>5</vt:i4>
      </vt:variant>
      <vt:variant>
        <vt:lpwstr>https://www.itu.int/md/S26-CL-INF-0014/en</vt:lpwstr>
      </vt:variant>
      <vt:variant>
        <vt:lpwstr/>
      </vt:variant>
      <vt:variant>
        <vt:i4>7798843</vt:i4>
      </vt:variant>
      <vt:variant>
        <vt:i4>90</vt:i4>
      </vt:variant>
      <vt:variant>
        <vt:i4>0</vt:i4>
      </vt:variant>
      <vt:variant>
        <vt:i4>5</vt:i4>
      </vt:variant>
      <vt:variant>
        <vt:lpwstr>https://www.itu.int/md/S26-CL-C-0073/en</vt:lpwstr>
      </vt:variant>
      <vt:variant>
        <vt:lpwstr/>
      </vt:variant>
      <vt:variant>
        <vt:i4>7667772</vt:i4>
      </vt:variant>
      <vt:variant>
        <vt:i4>87</vt:i4>
      </vt:variant>
      <vt:variant>
        <vt:i4>0</vt:i4>
      </vt:variant>
      <vt:variant>
        <vt:i4>5</vt:i4>
      </vt:variant>
      <vt:variant>
        <vt:lpwstr>https://www.itu.int/md/S26-CL-C-0100/en</vt:lpwstr>
      </vt:variant>
      <vt:variant>
        <vt:lpwstr/>
      </vt:variant>
      <vt:variant>
        <vt:i4>7733307</vt:i4>
      </vt:variant>
      <vt:variant>
        <vt:i4>84</vt:i4>
      </vt:variant>
      <vt:variant>
        <vt:i4>0</vt:i4>
      </vt:variant>
      <vt:variant>
        <vt:i4>5</vt:i4>
      </vt:variant>
      <vt:variant>
        <vt:lpwstr>https://www.itu.int/md/S26-CL-C-0072/en</vt:lpwstr>
      </vt:variant>
      <vt:variant>
        <vt:lpwstr/>
      </vt:variant>
      <vt:variant>
        <vt:i4>7667772</vt:i4>
      </vt:variant>
      <vt:variant>
        <vt:i4>81</vt:i4>
      </vt:variant>
      <vt:variant>
        <vt:i4>0</vt:i4>
      </vt:variant>
      <vt:variant>
        <vt:i4>5</vt:i4>
      </vt:variant>
      <vt:variant>
        <vt:lpwstr>https://www.itu.int/md/S26-CL-C-0100/en</vt:lpwstr>
      </vt:variant>
      <vt:variant>
        <vt:lpwstr/>
      </vt:variant>
      <vt:variant>
        <vt:i4>7733307</vt:i4>
      </vt:variant>
      <vt:variant>
        <vt:i4>78</vt:i4>
      </vt:variant>
      <vt:variant>
        <vt:i4>0</vt:i4>
      </vt:variant>
      <vt:variant>
        <vt:i4>5</vt:i4>
      </vt:variant>
      <vt:variant>
        <vt:lpwstr>https://www.itu.int/md/S26-CL-C-0072/en</vt:lpwstr>
      </vt:variant>
      <vt:variant>
        <vt:lpwstr/>
      </vt:variant>
      <vt:variant>
        <vt:i4>5505143</vt:i4>
      </vt:variant>
      <vt:variant>
        <vt:i4>75</vt:i4>
      </vt:variant>
      <vt:variant>
        <vt:i4>0</vt:i4>
      </vt:variant>
      <vt:variant>
        <vt:i4>5</vt:i4>
      </vt:variant>
      <vt:variant>
        <vt:lpwstr/>
      </vt:variant>
      <vt:variant>
        <vt:lpwstr>Annex_A</vt:lpwstr>
      </vt:variant>
      <vt:variant>
        <vt:i4>4128806</vt:i4>
      </vt:variant>
      <vt:variant>
        <vt:i4>72</vt:i4>
      </vt:variant>
      <vt:variant>
        <vt:i4>0</vt:i4>
      </vt:variant>
      <vt:variant>
        <vt:i4>5</vt:i4>
      </vt:variant>
      <vt:variant>
        <vt:lpwstr>https://www.itu.int/md/S26-CL-260428-TD-0005/en</vt:lpwstr>
      </vt:variant>
      <vt:variant>
        <vt:lpwstr/>
      </vt:variant>
      <vt:variant>
        <vt:i4>4128806</vt:i4>
      </vt:variant>
      <vt:variant>
        <vt:i4>69</vt:i4>
      </vt:variant>
      <vt:variant>
        <vt:i4>0</vt:i4>
      </vt:variant>
      <vt:variant>
        <vt:i4>5</vt:i4>
      </vt:variant>
      <vt:variant>
        <vt:lpwstr>https://www.itu.int/md/S26-CL-260428-TD-0005/en</vt:lpwstr>
      </vt:variant>
      <vt:variant>
        <vt:lpwstr/>
      </vt:variant>
      <vt:variant>
        <vt:i4>7340089</vt:i4>
      </vt:variant>
      <vt:variant>
        <vt:i4>66</vt:i4>
      </vt:variant>
      <vt:variant>
        <vt:i4>0</vt:i4>
      </vt:variant>
      <vt:variant>
        <vt:i4>5</vt:i4>
      </vt:variant>
      <vt:variant>
        <vt:lpwstr>https://www.itu.int/md/S26-CL-C-0054/en</vt:lpwstr>
      </vt:variant>
      <vt:variant>
        <vt:lpwstr/>
      </vt:variant>
      <vt:variant>
        <vt:i4>7667769</vt:i4>
      </vt:variant>
      <vt:variant>
        <vt:i4>63</vt:i4>
      </vt:variant>
      <vt:variant>
        <vt:i4>0</vt:i4>
      </vt:variant>
      <vt:variant>
        <vt:i4>5</vt:i4>
      </vt:variant>
      <vt:variant>
        <vt:lpwstr>https://www.itu.int/md/S10-CL-C-0067/en</vt:lpwstr>
      </vt:variant>
      <vt:variant>
        <vt:lpwstr/>
      </vt:variant>
      <vt:variant>
        <vt:i4>7536696</vt:i4>
      </vt:variant>
      <vt:variant>
        <vt:i4>60</vt:i4>
      </vt:variant>
      <vt:variant>
        <vt:i4>0</vt:i4>
      </vt:variant>
      <vt:variant>
        <vt:i4>5</vt:i4>
      </vt:variant>
      <vt:variant>
        <vt:lpwstr>https://www.itu.int/md/S26-CL-C-0047/en</vt:lpwstr>
      </vt:variant>
      <vt:variant>
        <vt:lpwstr/>
      </vt:variant>
      <vt:variant>
        <vt:i4>7733308</vt:i4>
      </vt:variant>
      <vt:variant>
        <vt:i4>57</vt:i4>
      </vt:variant>
      <vt:variant>
        <vt:i4>0</vt:i4>
      </vt:variant>
      <vt:variant>
        <vt:i4>5</vt:i4>
      </vt:variant>
      <vt:variant>
        <vt:lpwstr>https://www.itu.int/md/S26-CL-C-0103/en</vt:lpwstr>
      </vt:variant>
      <vt:variant>
        <vt:lpwstr/>
      </vt:variant>
      <vt:variant>
        <vt:i4>8126524</vt:i4>
      </vt:variant>
      <vt:variant>
        <vt:i4>54</vt:i4>
      </vt:variant>
      <vt:variant>
        <vt:i4>0</vt:i4>
      </vt:variant>
      <vt:variant>
        <vt:i4>5</vt:i4>
      </vt:variant>
      <vt:variant>
        <vt:lpwstr>https://www.itu.int/md/S26-CL-C-0109/en</vt:lpwstr>
      </vt:variant>
      <vt:variant>
        <vt:lpwstr/>
      </vt:variant>
      <vt:variant>
        <vt:i4>7798840</vt:i4>
      </vt:variant>
      <vt:variant>
        <vt:i4>51</vt:i4>
      </vt:variant>
      <vt:variant>
        <vt:i4>0</vt:i4>
      </vt:variant>
      <vt:variant>
        <vt:i4>5</vt:i4>
      </vt:variant>
      <vt:variant>
        <vt:lpwstr>https://www.itu.int/md/S26-CL-C-0043/en</vt:lpwstr>
      </vt:variant>
      <vt:variant>
        <vt:lpwstr/>
      </vt:variant>
      <vt:variant>
        <vt:i4>7733304</vt:i4>
      </vt:variant>
      <vt:variant>
        <vt:i4>48</vt:i4>
      </vt:variant>
      <vt:variant>
        <vt:i4>0</vt:i4>
      </vt:variant>
      <vt:variant>
        <vt:i4>5</vt:i4>
      </vt:variant>
      <vt:variant>
        <vt:lpwstr>https://www.itu.int/md/S26-CL-C-0042/en</vt:lpwstr>
      </vt:variant>
      <vt:variant>
        <vt:lpwstr/>
      </vt:variant>
      <vt:variant>
        <vt:i4>7733308</vt:i4>
      </vt:variant>
      <vt:variant>
        <vt:i4>45</vt:i4>
      </vt:variant>
      <vt:variant>
        <vt:i4>0</vt:i4>
      </vt:variant>
      <vt:variant>
        <vt:i4>5</vt:i4>
      </vt:variant>
      <vt:variant>
        <vt:lpwstr>https://www.itu.int/md/S26-CL-C-0103/en</vt:lpwstr>
      </vt:variant>
      <vt:variant>
        <vt:lpwstr/>
      </vt:variant>
      <vt:variant>
        <vt:i4>8126524</vt:i4>
      </vt:variant>
      <vt:variant>
        <vt:i4>42</vt:i4>
      </vt:variant>
      <vt:variant>
        <vt:i4>0</vt:i4>
      </vt:variant>
      <vt:variant>
        <vt:i4>5</vt:i4>
      </vt:variant>
      <vt:variant>
        <vt:lpwstr>https://www.itu.int/md/S26-CL-C-0109/en</vt:lpwstr>
      </vt:variant>
      <vt:variant>
        <vt:lpwstr/>
      </vt:variant>
      <vt:variant>
        <vt:i4>7798840</vt:i4>
      </vt:variant>
      <vt:variant>
        <vt:i4>39</vt:i4>
      </vt:variant>
      <vt:variant>
        <vt:i4>0</vt:i4>
      </vt:variant>
      <vt:variant>
        <vt:i4>5</vt:i4>
      </vt:variant>
      <vt:variant>
        <vt:lpwstr>https://www.itu.int/md/S26-CL-C-0043/en</vt:lpwstr>
      </vt:variant>
      <vt:variant>
        <vt:lpwstr/>
      </vt:variant>
      <vt:variant>
        <vt:i4>8192060</vt:i4>
      </vt:variant>
      <vt:variant>
        <vt:i4>36</vt:i4>
      </vt:variant>
      <vt:variant>
        <vt:i4>0</vt:i4>
      </vt:variant>
      <vt:variant>
        <vt:i4>5</vt:i4>
      </vt:variant>
      <vt:variant>
        <vt:lpwstr>https://www.itu.int/md/S26-CL-C-0009/en</vt:lpwstr>
      </vt:variant>
      <vt:variant>
        <vt:lpwstr/>
      </vt:variant>
      <vt:variant>
        <vt:i4>8192060</vt:i4>
      </vt:variant>
      <vt:variant>
        <vt:i4>33</vt:i4>
      </vt:variant>
      <vt:variant>
        <vt:i4>0</vt:i4>
      </vt:variant>
      <vt:variant>
        <vt:i4>5</vt:i4>
      </vt:variant>
      <vt:variant>
        <vt:lpwstr>https://www.itu.int/md/S26-CL-C-0009/en</vt:lpwstr>
      </vt:variant>
      <vt:variant>
        <vt:lpwstr/>
      </vt:variant>
      <vt:variant>
        <vt:i4>7340095</vt:i4>
      </vt:variant>
      <vt:variant>
        <vt:i4>30</vt:i4>
      </vt:variant>
      <vt:variant>
        <vt:i4>0</vt:i4>
      </vt:variant>
      <vt:variant>
        <vt:i4>5</vt:i4>
      </vt:variant>
      <vt:variant>
        <vt:lpwstr>https://www.itu.int/md/S26-CL-C-0034/en</vt:lpwstr>
      </vt:variant>
      <vt:variant>
        <vt:lpwstr/>
      </vt:variant>
      <vt:variant>
        <vt:i4>7733304</vt:i4>
      </vt:variant>
      <vt:variant>
        <vt:i4>27</vt:i4>
      </vt:variant>
      <vt:variant>
        <vt:i4>0</vt:i4>
      </vt:variant>
      <vt:variant>
        <vt:i4>5</vt:i4>
      </vt:variant>
      <vt:variant>
        <vt:lpwstr>https://www.itu.int/md/S26-CL-C-0042/en</vt:lpwstr>
      </vt:variant>
      <vt:variant>
        <vt:lpwstr/>
      </vt:variant>
      <vt:variant>
        <vt:i4>7340095</vt:i4>
      </vt:variant>
      <vt:variant>
        <vt:i4>24</vt:i4>
      </vt:variant>
      <vt:variant>
        <vt:i4>0</vt:i4>
      </vt:variant>
      <vt:variant>
        <vt:i4>5</vt:i4>
      </vt:variant>
      <vt:variant>
        <vt:lpwstr>https://www.itu.int/md/S26-CL-C-0034/en</vt:lpwstr>
      </vt:variant>
      <vt:variant>
        <vt:lpwstr/>
      </vt:variant>
      <vt:variant>
        <vt:i4>7602237</vt:i4>
      </vt:variant>
      <vt:variant>
        <vt:i4>21</vt:i4>
      </vt:variant>
      <vt:variant>
        <vt:i4>0</vt:i4>
      </vt:variant>
      <vt:variant>
        <vt:i4>5</vt:i4>
      </vt:variant>
      <vt:variant>
        <vt:lpwstr>https://www.itu.int/md/S26-CL-C-0111/en</vt:lpwstr>
      </vt:variant>
      <vt:variant>
        <vt:lpwstr/>
      </vt:variant>
      <vt:variant>
        <vt:i4>7798841</vt:i4>
      </vt:variant>
      <vt:variant>
        <vt:i4>18</vt:i4>
      </vt:variant>
      <vt:variant>
        <vt:i4>0</vt:i4>
      </vt:variant>
      <vt:variant>
        <vt:i4>5</vt:i4>
      </vt:variant>
      <vt:variant>
        <vt:lpwstr>https://www.itu.int/md/S26-CL-C-0053/en</vt:lpwstr>
      </vt:variant>
      <vt:variant>
        <vt:lpwstr/>
      </vt:variant>
      <vt:variant>
        <vt:i4>7798841</vt:i4>
      </vt:variant>
      <vt:variant>
        <vt:i4>15</vt:i4>
      </vt:variant>
      <vt:variant>
        <vt:i4>0</vt:i4>
      </vt:variant>
      <vt:variant>
        <vt:i4>5</vt:i4>
      </vt:variant>
      <vt:variant>
        <vt:lpwstr>https://www.itu.int/md/S26-CL-C-0053/en</vt:lpwstr>
      </vt:variant>
      <vt:variant>
        <vt:lpwstr/>
      </vt:variant>
      <vt:variant>
        <vt:i4>7602233</vt:i4>
      </vt:variant>
      <vt:variant>
        <vt:i4>12</vt:i4>
      </vt:variant>
      <vt:variant>
        <vt:i4>0</vt:i4>
      </vt:variant>
      <vt:variant>
        <vt:i4>5</vt:i4>
      </vt:variant>
      <vt:variant>
        <vt:lpwstr>https://www.itu.int/md/S26-CL-C-0050/en</vt:lpwstr>
      </vt:variant>
      <vt:variant>
        <vt:lpwstr/>
      </vt:variant>
      <vt:variant>
        <vt:i4>4849666</vt:i4>
      </vt:variant>
      <vt:variant>
        <vt:i4>9</vt:i4>
      </vt:variant>
      <vt:variant>
        <vt:i4>0</vt:i4>
      </vt:variant>
      <vt:variant>
        <vt:i4>5</vt:i4>
      </vt:variant>
      <vt:variant>
        <vt:lpwstr>https://www.itu.int/md/S26-CWGFHR22-C-0033/en</vt:lpwstr>
      </vt:variant>
      <vt:variant>
        <vt:lpwstr/>
      </vt:variant>
      <vt:variant>
        <vt:i4>7602233</vt:i4>
      </vt:variant>
      <vt:variant>
        <vt:i4>6</vt:i4>
      </vt:variant>
      <vt:variant>
        <vt:i4>0</vt:i4>
      </vt:variant>
      <vt:variant>
        <vt:i4>5</vt:i4>
      </vt:variant>
      <vt:variant>
        <vt:lpwstr>https://www.itu.int/md/S26-CL-C-0050/en</vt:lpwstr>
      </vt:variant>
      <vt:variant>
        <vt:lpwstr/>
      </vt:variant>
      <vt:variant>
        <vt:i4>1572944</vt:i4>
      </vt:variant>
      <vt:variant>
        <vt:i4>3</vt:i4>
      </vt:variant>
      <vt:variant>
        <vt:i4>0</vt:i4>
      </vt:variant>
      <vt:variant>
        <vt:i4>5</vt:i4>
      </vt:variant>
      <vt:variant>
        <vt:lpwstr>https://www.itu.int/md/S26-CL-INF-0002/en</vt:lpwstr>
      </vt:variant>
      <vt:variant>
        <vt:lpwstr/>
      </vt:variant>
      <vt:variant>
        <vt:i4>1835090</vt:i4>
      </vt:variant>
      <vt:variant>
        <vt:i4>0</vt:i4>
      </vt:variant>
      <vt:variant>
        <vt:i4>0</vt:i4>
      </vt:variant>
      <vt:variant>
        <vt:i4>5</vt:i4>
      </vt:variant>
      <vt:variant>
        <vt:lpwstr>https://www.itu.int/md/S26-CL-INF-0026/en</vt:lpwstr>
      </vt:variant>
      <vt:variant>
        <vt:lpwstr/>
      </vt:variant>
      <vt:variant>
        <vt:i4>25</vt:i4>
      </vt:variant>
      <vt:variant>
        <vt:i4>3</vt:i4>
      </vt:variant>
      <vt:variant>
        <vt:i4>0</vt:i4>
      </vt:variant>
      <vt:variant>
        <vt:i4>5</vt:i4>
      </vt:variant>
      <vt:variant>
        <vt:lpwstr>https://council.itu.int/2026/en/</vt:lpwstr>
      </vt:variant>
      <vt:variant>
        <vt:lpwstr/>
      </vt:variant>
      <vt:variant>
        <vt:i4>5373996</vt:i4>
      </vt:variant>
      <vt:variant>
        <vt:i4>222</vt:i4>
      </vt:variant>
      <vt:variant>
        <vt:i4>0</vt:i4>
      </vt:variant>
      <vt:variant>
        <vt:i4>5</vt:i4>
      </vt:variant>
      <vt:variant>
        <vt:lpwstr>mailto:victoria.sukenik@itu.int</vt:lpwstr>
      </vt:variant>
      <vt:variant>
        <vt:lpwstr/>
      </vt:variant>
      <vt:variant>
        <vt:i4>65655</vt:i4>
      </vt:variant>
      <vt:variant>
        <vt:i4>219</vt:i4>
      </vt:variant>
      <vt:variant>
        <vt:i4>0</vt:i4>
      </vt:variant>
      <vt:variant>
        <vt:i4>5</vt:i4>
      </vt:variant>
      <vt:variant>
        <vt:lpwstr>mailto:catalin.marinescu@itu.int</vt:lpwstr>
      </vt:variant>
      <vt:variant>
        <vt:lpwstr/>
      </vt:variant>
      <vt:variant>
        <vt:i4>5963820</vt:i4>
      </vt:variant>
      <vt:variant>
        <vt:i4>216</vt:i4>
      </vt:variant>
      <vt:variant>
        <vt:i4>0</vt:i4>
      </vt:variant>
      <vt:variant>
        <vt:i4>5</vt:i4>
      </vt:variant>
      <vt:variant>
        <vt:lpwstr>mailto:montserrat.fernandez@itu.int</vt:lpwstr>
      </vt:variant>
      <vt:variant>
        <vt:lpwstr/>
      </vt:variant>
      <vt:variant>
        <vt:i4>5963820</vt:i4>
      </vt:variant>
      <vt:variant>
        <vt:i4>213</vt:i4>
      </vt:variant>
      <vt:variant>
        <vt:i4>0</vt:i4>
      </vt:variant>
      <vt:variant>
        <vt:i4>5</vt:i4>
      </vt:variant>
      <vt:variant>
        <vt:lpwstr>mailto:montserrat.fernandez@itu.int</vt:lpwstr>
      </vt:variant>
      <vt:variant>
        <vt:lpwstr/>
      </vt:variant>
      <vt:variant>
        <vt:i4>589932</vt:i4>
      </vt:variant>
      <vt:variant>
        <vt:i4>210</vt:i4>
      </vt:variant>
      <vt:variant>
        <vt:i4>0</vt:i4>
      </vt:variant>
      <vt:variant>
        <vt:i4>5</vt:i4>
      </vt:variant>
      <vt:variant>
        <vt:lpwstr>mailto:khuloud.odeh@itu.int</vt:lpwstr>
      </vt:variant>
      <vt:variant>
        <vt:lpwstr/>
      </vt:variant>
      <vt:variant>
        <vt:i4>6291482</vt:i4>
      </vt:variant>
      <vt:variant>
        <vt:i4>207</vt:i4>
      </vt:variant>
      <vt:variant>
        <vt:i4>0</vt:i4>
      </vt:variant>
      <vt:variant>
        <vt:i4>5</vt:i4>
      </vt:variant>
      <vt:variant>
        <vt:lpwstr>mailto:fei.you@itu.int</vt:lpwstr>
      </vt:variant>
      <vt:variant>
        <vt:lpwstr/>
      </vt:variant>
      <vt:variant>
        <vt:i4>65641</vt:i4>
      </vt:variant>
      <vt:variant>
        <vt:i4>204</vt:i4>
      </vt:variant>
      <vt:variant>
        <vt:i4>0</vt:i4>
      </vt:variant>
      <vt:variant>
        <vt:i4>5</vt:i4>
      </vt:variant>
      <vt:variant>
        <vt:lpwstr>mailto:maria.traficanti@itu.int</vt:lpwstr>
      </vt:variant>
      <vt:variant>
        <vt:lpwstr/>
      </vt:variant>
      <vt:variant>
        <vt:i4>6291482</vt:i4>
      </vt:variant>
      <vt:variant>
        <vt:i4>201</vt:i4>
      </vt:variant>
      <vt:variant>
        <vt:i4>0</vt:i4>
      </vt:variant>
      <vt:variant>
        <vt:i4>5</vt:i4>
      </vt:variant>
      <vt:variant>
        <vt:lpwstr>mailto:fei.you@itu.int</vt:lpwstr>
      </vt:variant>
      <vt:variant>
        <vt:lpwstr/>
      </vt:variant>
      <vt:variant>
        <vt:i4>8192023</vt:i4>
      </vt:variant>
      <vt:variant>
        <vt:i4>198</vt:i4>
      </vt:variant>
      <vt:variant>
        <vt:i4>0</vt:i4>
      </vt:variant>
      <vt:variant>
        <vt:i4>5</vt:i4>
      </vt:variant>
      <vt:variant>
        <vt:lpwstr>mailto:elizabeth.locatelli@itu.int</vt:lpwstr>
      </vt:variant>
      <vt:variant>
        <vt:lpwstr/>
      </vt:variant>
      <vt:variant>
        <vt:i4>65641</vt:i4>
      </vt:variant>
      <vt:variant>
        <vt:i4>195</vt:i4>
      </vt:variant>
      <vt:variant>
        <vt:i4>0</vt:i4>
      </vt:variant>
      <vt:variant>
        <vt:i4>5</vt:i4>
      </vt:variant>
      <vt:variant>
        <vt:lpwstr>mailto:maria.traficanti@itu.int</vt:lpwstr>
      </vt:variant>
      <vt:variant>
        <vt:lpwstr/>
      </vt:variant>
      <vt:variant>
        <vt:i4>65641</vt:i4>
      </vt:variant>
      <vt:variant>
        <vt:i4>192</vt:i4>
      </vt:variant>
      <vt:variant>
        <vt:i4>0</vt:i4>
      </vt:variant>
      <vt:variant>
        <vt:i4>5</vt:i4>
      </vt:variant>
      <vt:variant>
        <vt:lpwstr>mailto:maria.traficanti@itu.int</vt:lpwstr>
      </vt:variant>
      <vt:variant>
        <vt:lpwstr/>
      </vt:variant>
      <vt:variant>
        <vt:i4>6291482</vt:i4>
      </vt:variant>
      <vt:variant>
        <vt:i4>189</vt:i4>
      </vt:variant>
      <vt:variant>
        <vt:i4>0</vt:i4>
      </vt:variant>
      <vt:variant>
        <vt:i4>5</vt:i4>
      </vt:variant>
      <vt:variant>
        <vt:lpwstr>mailto:fei.you@itu.int</vt:lpwstr>
      </vt:variant>
      <vt:variant>
        <vt:lpwstr/>
      </vt:variant>
      <vt:variant>
        <vt:i4>8192023</vt:i4>
      </vt:variant>
      <vt:variant>
        <vt:i4>186</vt:i4>
      </vt:variant>
      <vt:variant>
        <vt:i4>0</vt:i4>
      </vt:variant>
      <vt:variant>
        <vt:i4>5</vt:i4>
      </vt:variant>
      <vt:variant>
        <vt:lpwstr>mailto:elizabeth.locatelli@itu.int</vt:lpwstr>
      </vt:variant>
      <vt:variant>
        <vt:lpwstr/>
      </vt:variant>
      <vt:variant>
        <vt:i4>65641</vt:i4>
      </vt:variant>
      <vt:variant>
        <vt:i4>183</vt:i4>
      </vt:variant>
      <vt:variant>
        <vt:i4>0</vt:i4>
      </vt:variant>
      <vt:variant>
        <vt:i4>5</vt:i4>
      </vt:variant>
      <vt:variant>
        <vt:lpwstr>mailto:maria.traficanti@itu.int</vt:lpwstr>
      </vt:variant>
      <vt:variant>
        <vt:lpwstr/>
      </vt:variant>
      <vt:variant>
        <vt:i4>8192023</vt:i4>
      </vt:variant>
      <vt:variant>
        <vt:i4>180</vt:i4>
      </vt:variant>
      <vt:variant>
        <vt:i4>0</vt:i4>
      </vt:variant>
      <vt:variant>
        <vt:i4>5</vt:i4>
      </vt:variant>
      <vt:variant>
        <vt:lpwstr>mailto:elizabeth.locatelli@itu.int</vt:lpwstr>
      </vt:variant>
      <vt:variant>
        <vt:lpwstr/>
      </vt:variant>
      <vt:variant>
        <vt:i4>5898277</vt:i4>
      </vt:variant>
      <vt:variant>
        <vt:i4>177</vt:i4>
      </vt:variant>
      <vt:variant>
        <vt:i4>0</vt:i4>
      </vt:variant>
      <vt:variant>
        <vt:i4>5</vt:i4>
      </vt:variant>
      <vt:variant>
        <vt:lpwstr>mailto:martin.philibert@itu.int</vt:lpwstr>
      </vt:variant>
      <vt:variant>
        <vt:lpwstr/>
      </vt:variant>
      <vt:variant>
        <vt:i4>6684698</vt:i4>
      </vt:variant>
      <vt:variant>
        <vt:i4>174</vt:i4>
      </vt:variant>
      <vt:variant>
        <vt:i4>0</vt:i4>
      </vt:variant>
      <vt:variant>
        <vt:i4>5</vt:i4>
      </vt:variant>
      <vt:variant>
        <vt:lpwstr>mailto:mario.castrogrande@itu.int</vt:lpwstr>
      </vt:variant>
      <vt:variant>
        <vt:lpwstr/>
      </vt:variant>
      <vt:variant>
        <vt:i4>3211335</vt:i4>
      </vt:variant>
      <vt:variant>
        <vt:i4>171</vt:i4>
      </vt:variant>
      <vt:variant>
        <vt:i4>0</vt:i4>
      </vt:variant>
      <vt:variant>
        <vt:i4>5</vt:i4>
      </vt:variant>
      <vt:variant>
        <vt:lpwstr>mailto:alassane.ba@itu.int</vt:lpwstr>
      </vt:variant>
      <vt:variant>
        <vt:lpwstr/>
      </vt:variant>
      <vt:variant>
        <vt:i4>65655</vt:i4>
      </vt:variant>
      <vt:variant>
        <vt:i4>168</vt:i4>
      </vt:variant>
      <vt:variant>
        <vt:i4>0</vt:i4>
      </vt:variant>
      <vt:variant>
        <vt:i4>5</vt:i4>
      </vt:variant>
      <vt:variant>
        <vt:lpwstr>mailto:catalin.marinescu@itu.int</vt:lpwstr>
      </vt:variant>
      <vt:variant>
        <vt:lpwstr/>
      </vt:variant>
      <vt:variant>
        <vt:i4>65655</vt:i4>
      </vt:variant>
      <vt:variant>
        <vt:i4>165</vt:i4>
      </vt:variant>
      <vt:variant>
        <vt:i4>0</vt:i4>
      </vt:variant>
      <vt:variant>
        <vt:i4>5</vt:i4>
      </vt:variant>
      <vt:variant>
        <vt:lpwstr>mailto:catalin.marinescu@itu.int</vt:lpwstr>
      </vt:variant>
      <vt:variant>
        <vt:lpwstr/>
      </vt:variant>
      <vt:variant>
        <vt:i4>65655</vt:i4>
      </vt:variant>
      <vt:variant>
        <vt:i4>162</vt:i4>
      </vt:variant>
      <vt:variant>
        <vt:i4>0</vt:i4>
      </vt:variant>
      <vt:variant>
        <vt:i4>5</vt:i4>
      </vt:variant>
      <vt:variant>
        <vt:lpwstr>mailto:catalin.marinescu@itu.int</vt:lpwstr>
      </vt:variant>
      <vt:variant>
        <vt:lpwstr/>
      </vt:variant>
      <vt:variant>
        <vt:i4>65655</vt:i4>
      </vt:variant>
      <vt:variant>
        <vt:i4>159</vt:i4>
      </vt:variant>
      <vt:variant>
        <vt:i4>0</vt:i4>
      </vt:variant>
      <vt:variant>
        <vt:i4>5</vt:i4>
      </vt:variant>
      <vt:variant>
        <vt:lpwstr>mailto:catalin.marinescu@itu.int</vt:lpwstr>
      </vt:variant>
      <vt:variant>
        <vt:lpwstr/>
      </vt:variant>
      <vt:variant>
        <vt:i4>5963818</vt:i4>
      </vt:variant>
      <vt:variant>
        <vt:i4>156</vt:i4>
      </vt:variant>
      <vt:variant>
        <vt:i4>0</vt:i4>
      </vt:variant>
      <vt:variant>
        <vt:i4>5</vt:i4>
      </vt:variant>
      <vt:variant>
        <vt:lpwstr>mailto:samantha.beck@itu.int</vt:lpwstr>
      </vt:variant>
      <vt:variant>
        <vt:lpwstr/>
      </vt:variant>
      <vt:variant>
        <vt:i4>5963818</vt:i4>
      </vt:variant>
      <vt:variant>
        <vt:i4>153</vt:i4>
      </vt:variant>
      <vt:variant>
        <vt:i4>0</vt:i4>
      </vt:variant>
      <vt:variant>
        <vt:i4>5</vt:i4>
      </vt:variant>
      <vt:variant>
        <vt:lpwstr>mailto:samantha.beck@itu.int</vt:lpwstr>
      </vt:variant>
      <vt:variant>
        <vt:lpwstr/>
      </vt:variant>
      <vt:variant>
        <vt:i4>5963818</vt:i4>
      </vt:variant>
      <vt:variant>
        <vt:i4>150</vt:i4>
      </vt:variant>
      <vt:variant>
        <vt:i4>0</vt:i4>
      </vt:variant>
      <vt:variant>
        <vt:i4>5</vt:i4>
      </vt:variant>
      <vt:variant>
        <vt:lpwstr>mailto:samantha.beck@itu.int</vt:lpwstr>
      </vt:variant>
      <vt:variant>
        <vt:lpwstr/>
      </vt:variant>
      <vt:variant>
        <vt:i4>7012376</vt:i4>
      </vt:variant>
      <vt:variant>
        <vt:i4>147</vt:i4>
      </vt:variant>
      <vt:variant>
        <vt:i4>0</vt:i4>
      </vt:variant>
      <vt:variant>
        <vt:i4>5</vt:i4>
      </vt:variant>
      <vt:variant>
        <vt:lpwstr>mailto:archana.gulati@itu.int</vt:lpwstr>
      </vt:variant>
      <vt:variant>
        <vt:lpwstr/>
      </vt:variant>
      <vt:variant>
        <vt:i4>5963818</vt:i4>
      </vt:variant>
      <vt:variant>
        <vt:i4>144</vt:i4>
      </vt:variant>
      <vt:variant>
        <vt:i4>0</vt:i4>
      </vt:variant>
      <vt:variant>
        <vt:i4>5</vt:i4>
      </vt:variant>
      <vt:variant>
        <vt:lpwstr>mailto:samantha.beck@itu.int</vt:lpwstr>
      </vt:variant>
      <vt:variant>
        <vt:lpwstr/>
      </vt:variant>
      <vt:variant>
        <vt:i4>1441830</vt:i4>
      </vt:variant>
      <vt:variant>
        <vt:i4>141</vt:i4>
      </vt:variant>
      <vt:variant>
        <vt:i4>0</vt:i4>
      </vt:variant>
      <vt:variant>
        <vt:i4>5</vt:i4>
      </vt:variant>
      <vt:variant>
        <vt:lpwstr>mailto:mardjaneh.khabiri-herscu@itu.int</vt:lpwstr>
      </vt:variant>
      <vt:variant>
        <vt:lpwstr/>
      </vt:variant>
      <vt:variant>
        <vt:i4>65657</vt:i4>
      </vt:variant>
      <vt:variant>
        <vt:i4>138</vt:i4>
      </vt:variant>
      <vt:variant>
        <vt:i4>0</vt:i4>
      </vt:variant>
      <vt:variant>
        <vt:i4>5</vt:i4>
      </vt:variant>
      <vt:variant>
        <vt:lpwstr>mailto:negar.takesh@itu.int</vt:lpwstr>
      </vt:variant>
      <vt:variant>
        <vt:lpwstr/>
      </vt:variant>
      <vt:variant>
        <vt:i4>4587562</vt:i4>
      </vt:variant>
      <vt:variant>
        <vt:i4>135</vt:i4>
      </vt:variant>
      <vt:variant>
        <vt:i4>0</vt:i4>
      </vt:variant>
      <vt:variant>
        <vt:i4>5</vt:i4>
      </vt:variant>
      <vt:variant>
        <vt:lpwstr>mailto:kate.carrara@itu.int</vt:lpwstr>
      </vt:variant>
      <vt:variant>
        <vt:lpwstr/>
      </vt:variant>
      <vt:variant>
        <vt:i4>65657</vt:i4>
      </vt:variant>
      <vt:variant>
        <vt:i4>132</vt:i4>
      </vt:variant>
      <vt:variant>
        <vt:i4>0</vt:i4>
      </vt:variant>
      <vt:variant>
        <vt:i4>5</vt:i4>
      </vt:variant>
      <vt:variant>
        <vt:lpwstr>mailto:negar.takesh@itu.int</vt:lpwstr>
      </vt:variant>
      <vt:variant>
        <vt:lpwstr/>
      </vt:variant>
      <vt:variant>
        <vt:i4>4587562</vt:i4>
      </vt:variant>
      <vt:variant>
        <vt:i4>129</vt:i4>
      </vt:variant>
      <vt:variant>
        <vt:i4>0</vt:i4>
      </vt:variant>
      <vt:variant>
        <vt:i4>5</vt:i4>
      </vt:variant>
      <vt:variant>
        <vt:lpwstr>mailto:kate.carrara@itu.int</vt:lpwstr>
      </vt:variant>
      <vt:variant>
        <vt:lpwstr/>
      </vt:variant>
      <vt:variant>
        <vt:i4>65657</vt:i4>
      </vt:variant>
      <vt:variant>
        <vt:i4>126</vt:i4>
      </vt:variant>
      <vt:variant>
        <vt:i4>0</vt:i4>
      </vt:variant>
      <vt:variant>
        <vt:i4>5</vt:i4>
      </vt:variant>
      <vt:variant>
        <vt:lpwstr>mailto:negar.takesh@itu.int</vt:lpwstr>
      </vt:variant>
      <vt:variant>
        <vt:lpwstr/>
      </vt:variant>
      <vt:variant>
        <vt:i4>65657</vt:i4>
      </vt:variant>
      <vt:variant>
        <vt:i4>123</vt:i4>
      </vt:variant>
      <vt:variant>
        <vt:i4>0</vt:i4>
      </vt:variant>
      <vt:variant>
        <vt:i4>5</vt:i4>
      </vt:variant>
      <vt:variant>
        <vt:lpwstr>mailto:negar.takesh@itu.int</vt:lpwstr>
      </vt:variant>
      <vt:variant>
        <vt:lpwstr/>
      </vt:variant>
      <vt:variant>
        <vt:i4>4587562</vt:i4>
      </vt:variant>
      <vt:variant>
        <vt:i4>120</vt:i4>
      </vt:variant>
      <vt:variant>
        <vt:i4>0</vt:i4>
      </vt:variant>
      <vt:variant>
        <vt:i4>5</vt:i4>
      </vt:variant>
      <vt:variant>
        <vt:lpwstr>mailto:kate.carrara@itu.int</vt:lpwstr>
      </vt:variant>
      <vt:variant>
        <vt:lpwstr/>
      </vt:variant>
      <vt:variant>
        <vt:i4>65657</vt:i4>
      </vt:variant>
      <vt:variant>
        <vt:i4>117</vt:i4>
      </vt:variant>
      <vt:variant>
        <vt:i4>0</vt:i4>
      </vt:variant>
      <vt:variant>
        <vt:i4>5</vt:i4>
      </vt:variant>
      <vt:variant>
        <vt:lpwstr>mailto:negar.takesh@itu.int</vt:lpwstr>
      </vt:variant>
      <vt:variant>
        <vt:lpwstr/>
      </vt:variant>
      <vt:variant>
        <vt:i4>8192023</vt:i4>
      </vt:variant>
      <vt:variant>
        <vt:i4>114</vt:i4>
      </vt:variant>
      <vt:variant>
        <vt:i4>0</vt:i4>
      </vt:variant>
      <vt:variant>
        <vt:i4>5</vt:i4>
      </vt:variant>
      <vt:variant>
        <vt:lpwstr>mailto:elizabeth.locatelli@itu.int</vt:lpwstr>
      </vt:variant>
      <vt:variant>
        <vt:lpwstr/>
      </vt:variant>
      <vt:variant>
        <vt:i4>7274509</vt:i4>
      </vt:variant>
      <vt:variant>
        <vt:i4>111</vt:i4>
      </vt:variant>
      <vt:variant>
        <vt:i4>0</vt:i4>
      </vt:variant>
      <vt:variant>
        <vt:i4>5</vt:i4>
      </vt:variant>
      <vt:variant>
        <vt:lpwstr>mailto:mikheil.chitashvili@itu.int</vt:lpwstr>
      </vt:variant>
      <vt:variant>
        <vt:lpwstr/>
      </vt:variant>
      <vt:variant>
        <vt:i4>8192023</vt:i4>
      </vt:variant>
      <vt:variant>
        <vt:i4>108</vt:i4>
      </vt:variant>
      <vt:variant>
        <vt:i4>0</vt:i4>
      </vt:variant>
      <vt:variant>
        <vt:i4>5</vt:i4>
      </vt:variant>
      <vt:variant>
        <vt:lpwstr>mailto:elizabeth.locatelli@itu.int</vt:lpwstr>
      </vt:variant>
      <vt:variant>
        <vt:lpwstr/>
      </vt:variant>
      <vt:variant>
        <vt:i4>7274509</vt:i4>
      </vt:variant>
      <vt:variant>
        <vt:i4>105</vt:i4>
      </vt:variant>
      <vt:variant>
        <vt:i4>0</vt:i4>
      </vt:variant>
      <vt:variant>
        <vt:i4>5</vt:i4>
      </vt:variant>
      <vt:variant>
        <vt:lpwstr>mailto:mikheil.chitashvili@itu.int</vt:lpwstr>
      </vt:variant>
      <vt:variant>
        <vt:lpwstr/>
      </vt:variant>
      <vt:variant>
        <vt:i4>3211335</vt:i4>
      </vt:variant>
      <vt:variant>
        <vt:i4>102</vt:i4>
      </vt:variant>
      <vt:variant>
        <vt:i4>0</vt:i4>
      </vt:variant>
      <vt:variant>
        <vt:i4>5</vt:i4>
      </vt:variant>
      <vt:variant>
        <vt:lpwstr>mailto:alassane.ba@itu.int</vt:lpwstr>
      </vt:variant>
      <vt:variant>
        <vt:lpwstr/>
      </vt:variant>
      <vt:variant>
        <vt:i4>7667721</vt:i4>
      </vt:variant>
      <vt:variant>
        <vt:i4>99</vt:i4>
      </vt:variant>
      <vt:variant>
        <vt:i4>0</vt:i4>
      </vt:variant>
      <vt:variant>
        <vt:i4>5</vt:i4>
      </vt:variant>
      <vt:variant>
        <vt:lpwstr>mailto:Bilel.Jamoussi@itu.int</vt:lpwstr>
      </vt:variant>
      <vt:variant>
        <vt:lpwstr/>
      </vt:variant>
      <vt:variant>
        <vt:i4>7602180</vt:i4>
      </vt:variant>
      <vt:variant>
        <vt:i4>96</vt:i4>
      </vt:variant>
      <vt:variant>
        <vt:i4>0</vt:i4>
      </vt:variant>
      <vt:variant>
        <vt:i4>5</vt:i4>
      </vt:variant>
      <vt:variant>
        <vt:lpwstr>mailto:diana.tomimura@itu.int</vt:lpwstr>
      </vt:variant>
      <vt:variant>
        <vt:lpwstr/>
      </vt:variant>
      <vt:variant>
        <vt:i4>7667721</vt:i4>
      </vt:variant>
      <vt:variant>
        <vt:i4>93</vt:i4>
      </vt:variant>
      <vt:variant>
        <vt:i4>0</vt:i4>
      </vt:variant>
      <vt:variant>
        <vt:i4>5</vt:i4>
      </vt:variant>
      <vt:variant>
        <vt:lpwstr>mailto:Bilel.Jamoussi@itu.int</vt:lpwstr>
      </vt:variant>
      <vt:variant>
        <vt:lpwstr/>
      </vt:variant>
      <vt:variant>
        <vt:i4>7602180</vt:i4>
      </vt:variant>
      <vt:variant>
        <vt:i4>90</vt:i4>
      </vt:variant>
      <vt:variant>
        <vt:i4>0</vt:i4>
      </vt:variant>
      <vt:variant>
        <vt:i4>5</vt:i4>
      </vt:variant>
      <vt:variant>
        <vt:lpwstr>mailto:diana.tomimura@itu.int</vt:lpwstr>
      </vt:variant>
      <vt:variant>
        <vt:lpwstr/>
      </vt:variant>
      <vt:variant>
        <vt:i4>3211335</vt:i4>
      </vt:variant>
      <vt:variant>
        <vt:i4>87</vt:i4>
      </vt:variant>
      <vt:variant>
        <vt:i4>0</vt:i4>
      </vt:variant>
      <vt:variant>
        <vt:i4>5</vt:i4>
      </vt:variant>
      <vt:variant>
        <vt:lpwstr>mailto:alassane.ba@itu.int</vt:lpwstr>
      </vt:variant>
      <vt:variant>
        <vt:lpwstr/>
      </vt:variant>
      <vt:variant>
        <vt:i4>1310834</vt:i4>
      </vt:variant>
      <vt:variant>
        <vt:i4>84</vt:i4>
      </vt:variant>
      <vt:variant>
        <vt:i4>0</vt:i4>
      </vt:variant>
      <vt:variant>
        <vt:i4>5</vt:i4>
      </vt:variant>
      <vt:variant>
        <vt:lpwstr>mailto:brian.elliott@itu.int</vt:lpwstr>
      </vt:variant>
      <vt:variant>
        <vt:lpwstr/>
      </vt:variant>
      <vt:variant>
        <vt:i4>1310834</vt:i4>
      </vt:variant>
      <vt:variant>
        <vt:i4>81</vt:i4>
      </vt:variant>
      <vt:variant>
        <vt:i4>0</vt:i4>
      </vt:variant>
      <vt:variant>
        <vt:i4>5</vt:i4>
      </vt:variant>
      <vt:variant>
        <vt:lpwstr>mailto:brian.elliott@itu.int</vt:lpwstr>
      </vt:variant>
      <vt:variant>
        <vt:lpwstr/>
      </vt:variant>
      <vt:variant>
        <vt:i4>1310834</vt:i4>
      </vt:variant>
      <vt:variant>
        <vt:i4>78</vt:i4>
      </vt:variant>
      <vt:variant>
        <vt:i4>0</vt:i4>
      </vt:variant>
      <vt:variant>
        <vt:i4>5</vt:i4>
      </vt:variant>
      <vt:variant>
        <vt:lpwstr>mailto:brian.elliott@itu.int</vt:lpwstr>
      </vt:variant>
      <vt:variant>
        <vt:lpwstr/>
      </vt:variant>
      <vt:variant>
        <vt:i4>1310834</vt:i4>
      </vt:variant>
      <vt:variant>
        <vt:i4>75</vt:i4>
      </vt:variant>
      <vt:variant>
        <vt:i4>0</vt:i4>
      </vt:variant>
      <vt:variant>
        <vt:i4>5</vt:i4>
      </vt:variant>
      <vt:variant>
        <vt:lpwstr>mailto:brian.elliott@itu.int</vt:lpwstr>
      </vt:variant>
      <vt:variant>
        <vt:lpwstr/>
      </vt:variant>
      <vt:variant>
        <vt:i4>1310834</vt:i4>
      </vt:variant>
      <vt:variant>
        <vt:i4>72</vt:i4>
      </vt:variant>
      <vt:variant>
        <vt:i4>0</vt:i4>
      </vt:variant>
      <vt:variant>
        <vt:i4>5</vt:i4>
      </vt:variant>
      <vt:variant>
        <vt:lpwstr>mailto:brian.elliott@itu.int</vt:lpwstr>
      </vt:variant>
      <vt:variant>
        <vt:lpwstr/>
      </vt:variant>
      <vt:variant>
        <vt:i4>1310834</vt:i4>
      </vt:variant>
      <vt:variant>
        <vt:i4>69</vt:i4>
      </vt:variant>
      <vt:variant>
        <vt:i4>0</vt:i4>
      </vt:variant>
      <vt:variant>
        <vt:i4>5</vt:i4>
      </vt:variant>
      <vt:variant>
        <vt:lpwstr>mailto:brian.elliott@itu.int</vt:lpwstr>
      </vt:variant>
      <vt:variant>
        <vt:lpwstr/>
      </vt:variant>
      <vt:variant>
        <vt:i4>8192023</vt:i4>
      </vt:variant>
      <vt:variant>
        <vt:i4>66</vt:i4>
      </vt:variant>
      <vt:variant>
        <vt:i4>0</vt:i4>
      </vt:variant>
      <vt:variant>
        <vt:i4>5</vt:i4>
      </vt:variant>
      <vt:variant>
        <vt:lpwstr>mailto:elizabeth.locatelli@itu.int</vt:lpwstr>
      </vt:variant>
      <vt:variant>
        <vt:lpwstr/>
      </vt:variant>
      <vt:variant>
        <vt:i4>852064</vt:i4>
      </vt:variant>
      <vt:variant>
        <vt:i4>63</vt:i4>
      </vt:variant>
      <vt:variant>
        <vt:i4>0</vt:i4>
      </vt:variant>
      <vt:variant>
        <vt:i4>5</vt:i4>
      </vt:variant>
      <vt:variant>
        <vt:lpwstr>mailto:alexandre.vallet@itu.int</vt:lpwstr>
      </vt:variant>
      <vt:variant>
        <vt:lpwstr/>
      </vt:variant>
      <vt:variant>
        <vt:i4>852064</vt:i4>
      </vt:variant>
      <vt:variant>
        <vt:i4>60</vt:i4>
      </vt:variant>
      <vt:variant>
        <vt:i4>0</vt:i4>
      </vt:variant>
      <vt:variant>
        <vt:i4>5</vt:i4>
      </vt:variant>
      <vt:variant>
        <vt:lpwstr>mailto:alexandre.vallet@itu.int</vt:lpwstr>
      </vt:variant>
      <vt:variant>
        <vt:lpwstr/>
      </vt:variant>
      <vt:variant>
        <vt:i4>3735627</vt:i4>
      </vt:variant>
      <vt:variant>
        <vt:i4>57</vt:i4>
      </vt:variant>
      <vt:variant>
        <vt:i4>0</vt:i4>
      </vt:variant>
      <vt:variant>
        <vt:i4>5</vt:i4>
      </vt:variant>
      <vt:variant>
        <vt:lpwstr>mailto:amanda.caradec@itu.int</vt:lpwstr>
      </vt:variant>
      <vt:variant>
        <vt:lpwstr/>
      </vt:variant>
      <vt:variant>
        <vt:i4>3735627</vt:i4>
      </vt:variant>
      <vt:variant>
        <vt:i4>54</vt:i4>
      </vt:variant>
      <vt:variant>
        <vt:i4>0</vt:i4>
      </vt:variant>
      <vt:variant>
        <vt:i4>5</vt:i4>
      </vt:variant>
      <vt:variant>
        <vt:lpwstr>mailto:amanda.caradec@itu.int</vt:lpwstr>
      </vt:variant>
      <vt:variant>
        <vt:lpwstr/>
      </vt:variant>
      <vt:variant>
        <vt:i4>8257549</vt:i4>
      </vt:variant>
      <vt:variant>
        <vt:i4>51</vt:i4>
      </vt:variant>
      <vt:variant>
        <vt:i4>0</vt:i4>
      </vt:variant>
      <vt:variant>
        <vt:i4>5</vt:i4>
      </vt:variant>
      <vt:variant>
        <vt:lpwstr>mailto:stefano.chiodaroli@itu.int</vt:lpwstr>
      </vt:variant>
      <vt:variant>
        <vt:lpwstr/>
      </vt:variant>
      <vt:variant>
        <vt:i4>7667721</vt:i4>
      </vt:variant>
      <vt:variant>
        <vt:i4>48</vt:i4>
      </vt:variant>
      <vt:variant>
        <vt:i4>0</vt:i4>
      </vt:variant>
      <vt:variant>
        <vt:i4>5</vt:i4>
      </vt:variant>
      <vt:variant>
        <vt:lpwstr>mailto:Bilel.Jamoussi@itu.int</vt:lpwstr>
      </vt:variant>
      <vt:variant>
        <vt:lpwstr/>
      </vt:variant>
      <vt:variant>
        <vt:i4>3211335</vt:i4>
      </vt:variant>
      <vt:variant>
        <vt:i4>45</vt:i4>
      </vt:variant>
      <vt:variant>
        <vt:i4>0</vt:i4>
      </vt:variant>
      <vt:variant>
        <vt:i4>5</vt:i4>
      </vt:variant>
      <vt:variant>
        <vt:lpwstr>mailto:alassane.ba@itu.int</vt:lpwstr>
      </vt:variant>
      <vt:variant>
        <vt:lpwstr/>
      </vt:variant>
      <vt:variant>
        <vt:i4>8192023</vt:i4>
      </vt:variant>
      <vt:variant>
        <vt:i4>42</vt:i4>
      </vt:variant>
      <vt:variant>
        <vt:i4>0</vt:i4>
      </vt:variant>
      <vt:variant>
        <vt:i4>5</vt:i4>
      </vt:variant>
      <vt:variant>
        <vt:lpwstr>mailto:elizabeth.locatelli@itu.int</vt:lpwstr>
      </vt:variant>
      <vt:variant>
        <vt:lpwstr/>
      </vt:variant>
      <vt:variant>
        <vt:i4>3735627</vt:i4>
      </vt:variant>
      <vt:variant>
        <vt:i4>39</vt:i4>
      </vt:variant>
      <vt:variant>
        <vt:i4>0</vt:i4>
      </vt:variant>
      <vt:variant>
        <vt:i4>5</vt:i4>
      </vt:variant>
      <vt:variant>
        <vt:lpwstr>mailto:amanda.caradec@itu.int</vt:lpwstr>
      </vt:variant>
      <vt:variant>
        <vt:lpwstr/>
      </vt:variant>
      <vt:variant>
        <vt:i4>3211335</vt:i4>
      </vt:variant>
      <vt:variant>
        <vt:i4>36</vt:i4>
      </vt:variant>
      <vt:variant>
        <vt:i4>0</vt:i4>
      </vt:variant>
      <vt:variant>
        <vt:i4>5</vt:i4>
      </vt:variant>
      <vt:variant>
        <vt:lpwstr>mailto:alassane.ba@itu.int</vt:lpwstr>
      </vt:variant>
      <vt:variant>
        <vt:lpwstr/>
      </vt:variant>
      <vt:variant>
        <vt:i4>3211335</vt:i4>
      </vt:variant>
      <vt:variant>
        <vt:i4>33</vt:i4>
      </vt:variant>
      <vt:variant>
        <vt:i4>0</vt:i4>
      </vt:variant>
      <vt:variant>
        <vt:i4>5</vt:i4>
      </vt:variant>
      <vt:variant>
        <vt:lpwstr>mailto:alassane.ba@itu.int</vt:lpwstr>
      </vt:variant>
      <vt:variant>
        <vt:lpwstr/>
      </vt:variant>
      <vt:variant>
        <vt:i4>7012376</vt:i4>
      </vt:variant>
      <vt:variant>
        <vt:i4>30</vt:i4>
      </vt:variant>
      <vt:variant>
        <vt:i4>0</vt:i4>
      </vt:variant>
      <vt:variant>
        <vt:i4>5</vt:i4>
      </vt:variant>
      <vt:variant>
        <vt:lpwstr>mailto:archana.gulati@itu.int</vt:lpwstr>
      </vt:variant>
      <vt:variant>
        <vt:lpwstr/>
      </vt:variant>
      <vt:variant>
        <vt:i4>3211335</vt:i4>
      </vt:variant>
      <vt:variant>
        <vt:i4>27</vt:i4>
      </vt:variant>
      <vt:variant>
        <vt:i4>0</vt:i4>
      </vt:variant>
      <vt:variant>
        <vt:i4>5</vt:i4>
      </vt:variant>
      <vt:variant>
        <vt:lpwstr>mailto:alassane.ba@itu.int</vt:lpwstr>
      </vt:variant>
      <vt:variant>
        <vt:lpwstr/>
      </vt:variant>
      <vt:variant>
        <vt:i4>3211335</vt:i4>
      </vt:variant>
      <vt:variant>
        <vt:i4>24</vt:i4>
      </vt:variant>
      <vt:variant>
        <vt:i4>0</vt:i4>
      </vt:variant>
      <vt:variant>
        <vt:i4>5</vt:i4>
      </vt:variant>
      <vt:variant>
        <vt:lpwstr>mailto:alassane.ba@itu.int</vt:lpwstr>
      </vt:variant>
      <vt:variant>
        <vt:lpwstr/>
      </vt:variant>
      <vt:variant>
        <vt:i4>1310834</vt:i4>
      </vt:variant>
      <vt:variant>
        <vt:i4>21</vt:i4>
      </vt:variant>
      <vt:variant>
        <vt:i4>0</vt:i4>
      </vt:variant>
      <vt:variant>
        <vt:i4>5</vt:i4>
      </vt:variant>
      <vt:variant>
        <vt:lpwstr>mailto:brian.elliott@itu.int</vt:lpwstr>
      </vt:variant>
      <vt:variant>
        <vt:lpwstr/>
      </vt:variant>
      <vt:variant>
        <vt:i4>1310834</vt:i4>
      </vt:variant>
      <vt:variant>
        <vt:i4>18</vt:i4>
      </vt:variant>
      <vt:variant>
        <vt:i4>0</vt:i4>
      </vt:variant>
      <vt:variant>
        <vt:i4>5</vt:i4>
      </vt:variant>
      <vt:variant>
        <vt:lpwstr>mailto:brian.elliott@itu.int</vt:lpwstr>
      </vt:variant>
      <vt:variant>
        <vt:lpwstr/>
      </vt:variant>
      <vt:variant>
        <vt:i4>6094888</vt:i4>
      </vt:variant>
      <vt:variant>
        <vt:i4>15</vt:i4>
      </vt:variant>
      <vt:variant>
        <vt:i4>0</vt:i4>
      </vt:variant>
      <vt:variant>
        <vt:i4>5</vt:i4>
      </vt:variant>
      <vt:variant>
        <vt:lpwstr>mailto:ramita.sharma@itu.int</vt:lpwstr>
      </vt:variant>
      <vt:variant>
        <vt:lpwstr/>
      </vt:variant>
      <vt:variant>
        <vt:i4>6094888</vt:i4>
      </vt:variant>
      <vt:variant>
        <vt:i4>12</vt:i4>
      </vt:variant>
      <vt:variant>
        <vt:i4>0</vt:i4>
      </vt:variant>
      <vt:variant>
        <vt:i4>5</vt:i4>
      </vt:variant>
      <vt:variant>
        <vt:lpwstr>mailto:ramita.sharma@itu.int</vt:lpwstr>
      </vt:variant>
      <vt:variant>
        <vt:lpwstr/>
      </vt:variant>
      <vt:variant>
        <vt:i4>7602180</vt:i4>
      </vt:variant>
      <vt:variant>
        <vt:i4>9</vt:i4>
      </vt:variant>
      <vt:variant>
        <vt:i4>0</vt:i4>
      </vt:variant>
      <vt:variant>
        <vt:i4>5</vt:i4>
      </vt:variant>
      <vt:variant>
        <vt:lpwstr>mailto:diana.tomimura@itu.int</vt:lpwstr>
      </vt:variant>
      <vt:variant>
        <vt:lpwstr/>
      </vt:variant>
      <vt:variant>
        <vt:i4>7602180</vt:i4>
      </vt:variant>
      <vt:variant>
        <vt:i4>6</vt:i4>
      </vt:variant>
      <vt:variant>
        <vt:i4>0</vt:i4>
      </vt:variant>
      <vt:variant>
        <vt:i4>5</vt:i4>
      </vt:variant>
      <vt:variant>
        <vt:lpwstr>mailto:diana.tomimura@itu.int</vt:lpwstr>
      </vt:variant>
      <vt:variant>
        <vt:lpwstr/>
      </vt:variant>
      <vt:variant>
        <vt:i4>3211335</vt:i4>
      </vt:variant>
      <vt:variant>
        <vt:i4>3</vt:i4>
      </vt:variant>
      <vt:variant>
        <vt:i4>0</vt:i4>
      </vt:variant>
      <vt:variant>
        <vt:i4>5</vt:i4>
      </vt:variant>
      <vt:variant>
        <vt:lpwstr>mailto:alassane.ba@itu.int</vt:lpwstr>
      </vt:variant>
      <vt:variant>
        <vt:lpwstr/>
      </vt:variant>
      <vt:variant>
        <vt:i4>3211335</vt:i4>
      </vt:variant>
      <vt:variant>
        <vt:i4>0</vt:i4>
      </vt:variant>
      <vt:variant>
        <vt:i4>0</vt:i4>
      </vt:variant>
      <vt:variant>
        <vt:i4>5</vt:i4>
      </vt:variant>
      <vt:variant>
        <vt:lpwstr>mailto:alassane.ba@itu.int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TPU E RR</dc:creator>
  <cp:keywords>C26; C2026; Council 2026; PP26</cp:keywords>
  <dc:description/>
  <cp:lastModifiedBy>GBS</cp:lastModifiedBy>
  <cp:revision>3</cp:revision>
  <cp:lastPrinted>2000-07-20T19:30:00Z</cp:lastPrinted>
  <dcterms:created xsi:type="dcterms:W3CDTF">2026-05-08T14:52:00Z</dcterms:created>
  <dcterms:modified xsi:type="dcterms:W3CDTF">2026-05-08T14:59:00Z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Order">
    <vt:r8>336200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