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6053EEFF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D8841DC" w14:textId="52C5A394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86966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1F5378F4" w14:textId="289979C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386966">
              <w:rPr>
                <w:b/>
                <w:lang w:val="fr-CH"/>
              </w:rPr>
              <w:t>111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4FA0EB48" w14:textId="77777777" w:rsidTr="00555C29">
        <w:trPr>
          <w:cantSplit/>
        </w:trPr>
        <w:tc>
          <w:tcPr>
            <w:tcW w:w="3969" w:type="dxa"/>
            <w:vMerge/>
          </w:tcPr>
          <w:p w14:paraId="0F049BFC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EE0C2E0" w14:textId="2E54FC21" w:rsidR="00E24D59" w:rsidRPr="00E85629" w:rsidRDefault="00386966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22DF0E40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B6F162D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FB2A134" w14:textId="48B8488B" w:rsidR="00E24D59" w:rsidRPr="00386966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386966">
              <w:rPr>
                <w:rFonts w:cstheme="minorHAnsi" w:hint="eastAsia"/>
                <w:b/>
                <w:bCs/>
                <w:lang w:val="en-US" w:eastAsia="zh-CN"/>
              </w:rPr>
              <w:t>英文</w:t>
            </w:r>
          </w:p>
        </w:tc>
      </w:tr>
      <w:tr w:rsidR="00E24D59" w:rsidRPr="00813E5E" w14:paraId="0E828789" w14:textId="77777777" w:rsidTr="00555C29">
        <w:trPr>
          <w:cantSplit/>
          <w:trHeight w:val="23"/>
        </w:trPr>
        <w:tc>
          <w:tcPr>
            <w:tcW w:w="3969" w:type="dxa"/>
          </w:tcPr>
          <w:p w14:paraId="6232763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4EE8C20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62F18F73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096596D" w14:textId="2E89ED1D" w:rsidR="00E24D59" w:rsidRPr="00C24DAC" w:rsidRDefault="00ED3FB5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ED3FB5">
              <w:rPr>
                <w:rFonts w:hint="eastAsia"/>
              </w:rPr>
              <w:t>无线电通信顾问组（</w:t>
            </w:r>
            <w:r w:rsidRPr="00ED3FB5">
              <w:rPr>
                <w:rFonts w:hint="eastAsia"/>
              </w:rPr>
              <w:t>RAG</w:t>
            </w:r>
            <w:r w:rsidRPr="00ED3FB5">
              <w:rPr>
                <w:rFonts w:hint="eastAsia"/>
              </w:rPr>
              <w:t>）主席</w:t>
            </w:r>
          </w:p>
        </w:tc>
      </w:tr>
      <w:tr w:rsidR="00E24D59" w:rsidRPr="00813E5E" w14:paraId="263B06BE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8191B59" w14:textId="0A147B05" w:rsidR="00E24D59" w:rsidRPr="00C24DAC" w:rsidRDefault="00ED3FB5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>
              <w:rPr>
                <w:rFonts w:hint="eastAsia"/>
              </w:rPr>
              <w:t>有关估算</w:t>
            </w:r>
            <w:r w:rsidRPr="00ED3FB5">
              <w:rPr>
                <w:rFonts w:hint="eastAsia"/>
              </w:rPr>
              <w:t>国际电联大会和全会</w:t>
            </w:r>
            <w:r>
              <w:rPr>
                <w:rFonts w:hint="eastAsia"/>
              </w:rPr>
              <w:t>拟议</w:t>
            </w:r>
            <w:r w:rsidRPr="00ED3FB5">
              <w:rPr>
                <w:rFonts w:hint="eastAsia"/>
              </w:rPr>
              <w:t>决定和决议的财务影响的程序说明</w:t>
            </w:r>
          </w:p>
        </w:tc>
      </w:tr>
      <w:tr w:rsidR="00E24D59" w:rsidRPr="00813E5E" w14:paraId="09A80181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17E5F98" w14:textId="35AD8FA1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28262961" w14:textId="6C48434C" w:rsidR="003F086E" w:rsidRPr="00477D57" w:rsidRDefault="00ED3FB5" w:rsidP="00176051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ED3FB5">
              <w:rPr>
                <w:rFonts w:hint="eastAsia"/>
                <w:lang w:eastAsia="zh-CN"/>
              </w:rPr>
              <w:t>本文件介绍了</w:t>
            </w:r>
            <w:r w:rsidR="00FE3AC4">
              <w:rPr>
                <w:rFonts w:hint="eastAsia"/>
                <w:lang w:eastAsia="zh-CN"/>
              </w:rPr>
              <w:t>RAG</w:t>
            </w:r>
            <w:r w:rsidRPr="00ED3FB5">
              <w:rPr>
                <w:rFonts w:hint="eastAsia"/>
                <w:lang w:eastAsia="zh-CN"/>
              </w:rPr>
              <w:t>主席</w:t>
            </w:r>
            <w:r w:rsidR="00D73A8F">
              <w:rPr>
                <w:rFonts w:hint="eastAsia"/>
                <w:lang w:eastAsia="zh-CN"/>
              </w:rPr>
              <w:t>有关</w:t>
            </w:r>
            <w:r w:rsidRPr="00D73A8F">
              <w:rPr>
                <w:rFonts w:hint="eastAsia"/>
                <w:lang w:eastAsia="zh-CN"/>
              </w:rPr>
              <w:t>估算</w:t>
            </w:r>
            <w:r w:rsidRPr="00ED3FB5">
              <w:rPr>
                <w:rFonts w:hint="eastAsia"/>
                <w:lang w:eastAsia="zh-CN"/>
              </w:rPr>
              <w:t>国际电联大会和全会拟议决定和决议的财务影响的</w:t>
            </w:r>
            <w:r>
              <w:rPr>
                <w:rFonts w:hint="eastAsia"/>
                <w:lang w:val="en-US" w:eastAsia="zh-CN"/>
              </w:rPr>
              <w:t>程序</w:t>
            </w:r>
            <w:r w:rsidRPr="00ED3FB5">
              <w:rPr>
                <w:rFonts w:hint="eastAsia"/>
                <w:lang w:eastAsia="zh-CN"/>
              </w:rPr>
              <w:t>说明。</w:t>
            </w:r>
          </w:p>
          <w:p w14:paraId="5B0E3BF0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4C1E4DE3" w14:textId="4C6C2806" w:rsidR="003F086E" w:rsidRPr="00477D57" w:rsidRDefault="00ED3FB5" w:rsidP="00176051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ED3FB5">
              <w:rPr>
                <w:rFonts w:hint="eastAsia"/>
                <w:lang w:eastAsia="zh-CN"/>
              </w:rPr>
              <w:t>请理事会</w:t>
            </w:r>
            <w:r w:rsidRPr="00FE3AC4">
              <w:rPr>
                <w:rFonts w:hint="eastAsia"/>
                <w:b/>
                <w:bCs/>
                <w:lang w:eastAsia="zh-CN"/>
              </w:rPr>
              <w:t>审议</w:t>
            </w:r>
            <w:r w:rsidR="00FE3AC4">
              <w:rPr>
                <w:rFonts w:hint="eastAsia"/>
                <w:lang w:eastAsia="zh-CN"/>
              </w:rPr>
              <w:t>RAG</w:t>
            </w:r>
            <w:r w:rsidRPr="00ED3FB5">
              <w:rPr>
                <w:rFonts w:hint="eastAsia"/>
                <w:lang w:eastAsia="zh-CN"/>
              </w:rPr>
              <w:t>的意见。</w:t>
            </w:r>
          </w:p>
          <w:p w14:paraId="2A0AB92E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786ED580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F018DC1" w14:textId="11E58421" w:rsidR="00E24D59" w:rsidRPr="00477D57" w:rsidRDefault="00D73A8F" w:rsidP="00C53FDF">
            <w:pPr>
              <w:spacing w:after="120"/>
              <w:ind w:firstLineChars="200" w:firstLine="44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r w:rsidRPr="00D73A8F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文件：</w:t>
            </w:r>
            <w:hyperlink r:id="rId8">
              <w:r w:rsidR="00386966" w:rsidRPr="00D73A8F">
                <w:rPr>
                  <w:rStyle w:val="Hyperlink"/>
                  <w:rFonts w:eastAsia="SimSun"/>
                  <w:sz w:val="22"/>
                  <w:szCs w:val="22"/>
                  <w:lang w:eastAsia="zh-CN"/>
                </w:rPr>
                <w:t>RAG/57</w:t>
              </w:r>
            </w:hyperlink>
            <w:r w:rsidR="00C53FDF">
              <w:rPr>
                <w:rFonts w:ascii="STKaiti" w:eastAsia="STKaiti" w:hAnsi="STKaiti" w:hint="eastAsia"/>
                <w:lang w:eastAsia="zh-CN"/>
              </w:rPr>
              <w:t>；</w:t>
            </w:r>
            <w:r w:rsidR="005C44B8">
              <w:rPr>
                <w:rFonts w:eastAsia="STKaiti" w:cs="Calibri" w:hint="eastAsia"/>
                <w:sz w:val="22"/>
                <w:szCs w:val="22"/>
                <w:lang w:eastAsia="zh-CN"/>
              </w:rPr>
              <w:t>载有</w:t>
            </w:r>
            <w:r w:rsidR="00176051" w:rsidRPr="00176051">
              <w:rPr>
                <w:rFonts w:eastAsia="STKaiti" w:cs="Calibri"/>
                <w:sz w:val="22"/>
                <w:szCs w:val="22"/>
                <w:lang w:eastAsia="zh-CN"/>
              </w:rPr>
              <w:t>RAG</w:t>
            </w:r>
            <w:r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结论摘要</w:t>
            </w:r>
            <w:r w:rsidR="005C44B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的</w:t>
            </w:r>
            <w:r w:rsidR="005C44B8" w:rsidRPr="00176051">
              <w:rPr>
                <w:rFonts w:eastAsia="STKaiti" w:cs="Calibri"/>
                <w:sz w:val="22"/>
                <w:szCs w:val="22"/>
                <w:lang w:eastAsia="zh-CN"/>
              </w:rPr>
              <w:t>BR</w:t>
            </w:r>
            <w:hyperlink r:id="rId9" w:history="1">
              <w:r w:rsidR="005C44B8" w:rsidRPr="00D73A8F">
                <w:rPr>
                  <w:rStyle w:val="Hyperlink"/>
                  <w:rFonts w:eastAsia="SimSun"/>
                  <w:sz w:val="22"/>
                  <w:szCs w:val="22"/>
                  <w:lang w:eastAsia="zh-CN"/>
                </w:rPr>
                <w:t>CA/281</w:t>
              </w:r>
            </w:hyperlink>
            <w:r w:rsidR="005C44B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</w:t>
            </w:r>
            <w:r w:rsidR="005C44B8" w:rsidRPr="0051635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通函</w:t>
            </w:r>
            <w:r w:rsidR="00386966" w:rsidRPr="00516358">
              <w:rPr>
                <w:rStyle w:val="Hyperlink"/>
                <w:rFonts w:eastAsia="SimSun" w:hint="eastAsia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bookmarkEnd w:id="2"/>
      <w:bookmarkEnd w:id="6"/>
    </w:tbl>
    <w:p w14:paraId="0D4E63E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35BEEBD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32511C1" w14:textId="37805D16" w:rsidR="00386966" w:rsidRPr="00B034CD" w:rsidRDefault="00386966" w:rsidP="001A741C">
      <w:pPr>
        <w:pStyle w:val="Heading1"/>
        <w:rPr>
          <w:lang w:eastAsia="zh-CN"/>
        </w:rPr>
      </w:pPr>
      <w:r w:rsidRPr="00B034CD">
        <w:rPr>
          <w:lang w:eastAsia="zh-CN"/>
        </w:rPr>
        <w:lastRenderedPageBreak/>
        <w:t>1</w:t>
      </w:r>
      <w:r w:rsidRPr="00B034CD">
        <w:rPr>
          <w:lang w:eastAsia="zh-CN"/>
        </w:rPr>
        <w:tab/>
      </w:r>
      <w:r w:rsidR="005B01F1">
        <w:rPr>
          <w:rFonts w:hint="eastAsia"/>
          <w:lang w:eastAsia="zh-CN"/>
        </w:rPr>
        <w:t>背景</w:t>
      </w:r>
    </w:p>
    <w:p w14:paraId="4026C0D3" w14:textId="1551F7BA" w:rsidR="00386966" w:rsidRPr="00B034CD" w:rsidRDefault="005B01F1" w:rsidP="00516358">
      <w:pPr>
        <w:overflowPunct/>
        <w:autoSpaceDE/>
        <w:autoSpaceDN/>
        <w:adjustRightInd/>
        <w:spacing w:after="120"/>
        <w:ind w:firstLineChars="200" w:firstLine="480"/>
        <w:textAlignment w:val="auto"/>
        <w:rPr>
          <w:lang w:eastAsia="zh-CN"/>
        </w:rPr>
      </w:pPr>
      <w:r>
        <w:rPr>
          <w:rFonts w:hint="eastAsia"/>
          <w:lang w:eastAsia="zh-CN"/>
        </w:rPr>
        <w:t>无线电通信顾问组（</w:t>
      </w:r>
      <w:r w:rsidRPr="005B01F1"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）</w:t>
      </w:r>
      <w:r w:rsidRPr="005B01F1">
        <w:rPr>
          <w:rFonts w:hint="eastAsia"/>
          <w:lang w:eastAsia="zh-CN"/>
        </w:rPr>
        <w:t>审议了理事会财务和人力资源工作组</w:t>
      </w:r>
      <w:r>
        <w:rPr>
          <w:rFonts w:hint="eastAsia"/>
          <w:lang w:eastAsia="zh-CN"/>
        </w:rPr>
        <w:t>（</w:t>
      </w:r>
      <w:r w:rsidRPr="005B01F1">
        <w:rPr>
          <w:rFonts w:hint="eastAsia"/>
          <w:lang w:eastAsia="zh-CN"/>
        </w:rPr>
        <w:t>CWG-FHR</w:t>
      </w:r>
      <w:r>
        <w:rPr>
          <w:rFonts w:hint="eastAsia"/>
          <w:lang w:eastAsia="zh-CN"/>
        </w:rPr>
        <w:t>）</w:t>
      </w:r>
      <w:r w:rsidRPr="005B01F1">
        <w:rPr>
          <w:rFonts w:hint="eastAsia"/>
          <w:lang w:eastAsia="zh-CN"/>
        </w:rPr>
        <w:t>发给各部门顾问组和跨部门协调组（</w:t>
      </w:r>
      <w:r w:rsidRPr="005B01F1">
        <w:rPr>
          <w:rFonts w:hint="eastAsia"/>
          <w:lang w:eastAsia="zh-CN"/>
        </w:rPr>
        <w:t>ISCG</w:t>
      </w:r>
      <w:r w:rsidRPr="005B01F1">
        <w:rPr>
          <w:rFonts w:hint="eastAsia"/>
          <w:lang w:eastAsia="zh-CN"/>
        </w:rPr>
        <w:t>）的</w:t>
      </w:r>
      <w:r>
        <w:rPr>
          <w:rFonts w:hint="eastAsia"/>
          <w:lang w:eastAsia="zh-CN"/>
        </w:rPr>
        <w:t>、有关</w:t>
      </w:r>
      <w:r w:rsidRPr="005B01F1">
        <w:rPr>
          <w:rFonts w:hint="eastAsia"/>
          <w:lang w:eastAsia="zh-CN"/>
        </w:rPr>
        <w:t>估算国际电联大会和全会</w:t>
      </w:r>
      <w:r>
        <w:rPr>
          <w:rFonts w:hint="eastAsia"/>
          <w:lang w:eastAsia="zh-CN"/>
        </w:rPr>
        <w:t>拟议</w:t>
      </w:r>
      <w:r w:rsidRPr="005B01F1">
        <w:rPr>
          <w:rFonts w:hint="eastAsia"/>
          <w:lang w:eastAsia="zh-CN"/>
        </w:rPr>
        <w:t>决定和决议的财务影响的</w:t>
      </w:r>
      <w:r>
        <w:rPr>
          <w:rFonts w:hint="eastAsia"/>
          <w:lang w:eastAsia="zh-CN"/>
        </w:rPr>
        <w:t>程序的</w:t>
      </w:r>
      <w:r w:rsidRPr="005B01F1">
        <w:rPr>
          <w:rFonts w:hint="eastAsia"/>
          <w:lang w:eastAsia="zh-CN"/>
        </w:rPr>
        <w:t>联络声明（</w:t>
      </w:r>
      <w:hyperlink r:id="rId10" w:history="1">
        <w:r w:rsidRPr="00672240">
          <w:rPr>
            <w:rStyle w:val="Hyperlink"/>
            <w:rFonts w:eastAsia="SimSun"/>
            <w:lang w:eastAsia="zh-CN"/>
          </w:rPr>
          <w:t>RAG/57</w:t>
        </w:r>
      </w:hyperlink>
      <w:r w:rsidRPr="005B01F1">
        <w:rPr>
          <w:rFonts w:hint="eastAsia"/>
          <w:lang w:eastAsia="zh-CN"/>
        </w:rPr>
        <w:t>号文件</w:t>
      </w:r>
      <w:r>
        <w:rPr>
          <w:rFonts w:hint="eastAsia"/>
          <w:lang w:eastAsia="zh-CN"/>
        </w:rPr>
        <w:t>）</w:t>
      </w:r>
      <w:r w:rsidRPr="005B01F1">
        <w:rPr>
          <w:rFonts w:hint="eastAsia"/>
          <w:lang w:eastAsia="zh-CN"/>
        </w:rPr>
        <w:t>。</w:t>
      </w:r>
    </w:p>
    <w:p w14:paraId="29C042D6" w14:textId="3D8E564C" w:rsidR="00386966" w:rsidRPr="00B034CD" w:rsidRDefault="005B01F1" w:rsidP="00516358">
      <w:pPr>
        <w:overflowPunct/>
        <w:autoSpaceDE/>
        <w:autoSpaceDN/>
        <w:adjustRightInd/>
        <w:spacing w:after="120"/>
        <w:ind w:firstLineChars="200" w:firstLine="480"/>
        <w:textAlignment w:val="auto"/>
        <w:rPr>
          <w:lang w:eastAsia="zh-CN"/>
        </w:rPr>
      </w:pPr>
      <w:r w:rsidRPr="005B01F1">
        <w:rPr>
          <w:rFonts w:hint="eastAsia"/>
          <w:lang w:eastAsia="zh-CN"/>
        </w:rPr>
        <w:t>RAG</w:t>
      </w:r>
      <w:r w:rsidRPr="005B01F1">
        <w:rPr>
          <w:rFonts w:hint="eastAsia"/>
          <w:lang w:eastAsia="zh-CN"/>
        </w:rPr>
        <w:t>讨论了在世界无线电通信大会背景下提供此类估算的</w:t>
      </w:r>
      <w:r>
        <w:rPr>
          <w:rFonts w:hint="eastAsia"/>
          <w:lang w:eastAsia="zh-CN"/>
        </w:rPr>
        <w:t>难度。</w:t>
      </w:r>
    </w:p>
    <w:p w14:paraId="4FD0D09A" w14:textId="4A77E2DE" w:rsidR="00386966" w:rsidRPr="00B034CD" w:rsidRDefault="00386966" w:rsidP="001A741C">
      <w:pPr>
        <w:pStyle w:val="Heading1"/>
        <w:rPr>
          <w:lang w:eastAsia="zh-CN"/>
        </w:rPr>
      </w:pPr>
      <w:r w:rsidRPr="00B034CD">
        <w:rPr>
          <w:lang w:eastAsia="zh-CN"/>
        </w:rPr>
        <w:t>2</w:t>
      </w:r>
      <w:r w:rsidRPr="00B034CD">
        <w:rPr>
          <w:lang w:eastAsia="zh-CN"/>
        </w:rPr>
        <w:tab/>
      </w:r>
      <w:r w:rsidR="005B01F1">
        <w:rPr>
          <w:rFonts w:hint="eastAsia"/>
          <w:lang w:eastAsia="zh-CN"/>
        </w:rPr>
        <w:t>提案</w:t>
      </w:r>
    </w:p>
    <w:p w14:paraId="088B0FB8" w14:textId="038A73A4" w:rsidR="00E323D0" w:rsidRDefault="00143872" w:rsidP="00516358">
      <w:pPr>
        <w:ind w:firstLineChars="200" w:firstLine="480"/>
        <w:rPr>
          <w:lang w:eastAsia="zh-CN"/>
        </w:rPr>
      </w:pPr>
      <w:r w:rsidRPr="00143872">
        <w:rPr>
          <w:rFonts w:hint="eastAsia"/>
          <w:lang w:eastAsia="zh-CN"/>
        </w:rPr>
        <w:t>由于议题、议项</w:t>
      </w:r>
      <w:r>
        <w:rPr>
          <w:rFonts w:hint="eastAsia"/>
          <w:lang w:eastAsia="zh-CN"/>
        </w:rPr>
        <w:t>、</w:t>
      </w:r>
      <w:r w:rsidRPr="00143872">
        <w:rPr>
          <w:rFonts w:hint="eastAsia"/>
          <w:lang w:eastAsia="zh-CN"/>
        </w:rPr>
        <w:t>相关决定及决议的复杂性，</w:t>
      </w:r>
      <w:r w:rsidR="005C44B8">
        <w:rPr>
          <w:rFonts w:hint="eastAsia"/>
          <w:lang w:eastAsia="zh-CN"/>
        </w:rPr>
        <w:t>目前在</w:t>
      </w:r>
      <w:r w:rsidR="005C44B8" w:rsidRPr="00143872">
        <w:rPr>
          <w:rFonts w:hint="eastAsia"/>
          <w:lang w:eastAsia="zh-CN"/>
        </w:rPr>
        <w:t>WRC-27</w:t>
      </w:r>
      <w:r w:rsidR="005C44B8">
        <w:rPr>
          <w:rFonts w:hint="eastAsia"/>
          <w:lang w:eastAsia="zh-CN"/>
        </w:rPr>
        <w:t>召开</w:t>
      </w:r>
      <w:r w:rsidRPr="00143872">
        <w:rPr>
          <w:rFonts w:hint="eastAsia"/>
          <w:lang w:eastAsia="zh-CN"/>
        </w:rPr>
        <w:t>之前</w:t>
      </w:r>
      <w:r w:rsidR="005C44B8">
        <w:rPr>
          <w:rFonts w:hint="eastAsia"/>
          <w:lang w:eastAsia="zh-CN"/>
        </w:rPr>
        <w:t>采用</w:t>
      </w:r>
      <w:r w:rsidRPr="00143872">
        <w:rPr>
          <w:rFonts w:hint="eastAsia"/>
          <w:lang w:eastAsia="zh-CN"/>
        </w:rPr>
        <w:t>拟议的成本估算方法可能具有挑战</w:t>
      </w:r>
      <w:r w:rsidR="005C44B8">
        <w:rPr>
          <w:rFonts w:hint="eastAsia"/>
          <w:lang w:eastAsia="zh-CN"/>
        </w:rPr>
        <w:t>性</w:t>
      </w:r>
      <w:r w:rsidRPr="00143872">
        <w:rPr>
          <w:rFonts w:hint="eastAsia"/>
          <w:lang w:eastAsia="zh-CN"/>
        </w:rPr>
        <w:t>。</w:t>
      </w:r>
    </w:p>
    <w:p w14:paraId="59E6B353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4DB4" w14:textId="77777777" w:rsidR="00386966" w:rsidRDefault="00386966">
      <w:r>
        <w:separator/>
      </w:r>
    </w:p>
  </w:endnote>
  <w:endnote w:type="continuationSeparator" w:id="0">
    <w:p w14:paraId="37ABD389" w14:textId="77777777" w:rsidR="00386966" w:rsidRDefault="0038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53B1FDA" w14:textId="77777777" w:rsidTr="00E31DCE">
      <w:trPr>
        <w:jc w:val="center"/>
      </w:trPr>
      <w:tc>
        <w:tcPr>
          <w:tcW w:w="1803" w:type="dxa"/>
          <w:vAlign w:val="center"/>
        </w:tcPr>
        <w:p w14:paraId="5DDE56D0" w14:textId="77AE0B11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386966">
            <w:rPr>
              <w:noProof/>
              <w:color w:val="808080" w:themeColor="background1" w:themeShade="80"/>
            </w:rPr>
            <w:t xml:space="preserve"> 2601024</w:t>
          </w:r>
        </w:p>
      </w:tc>
      <w:tc>
        <w:tcPr>
          <w:tcW w:w="8261" w:type="dxa"/>
        </w:tcPr>
        <w:p w14:paraId="35B53EE8" w14:textId="3003A501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386966">
            <w:rPr>
              <w:bCs/>
              <w:color w:val="808080" w:themeColor="background1" w:themeShade="80"/>
            </w:rPr>
            <w:t>111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841B24E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7F23455" w14:textId="77777777" w:rsidTr="00E31DCE">
      <w:trPr>
        <w:jc w:val="center"/>
      </w:trPr>
      <w:tc>
        <w:tcPr>
          <w:tcW w:w="1803" w:type="dxa"/>
          <w:vAlign w:val="center"/>
        </w:tcPr>
        <w:p w14:paraId="70F04409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4C6EF678" w14:textId="594C891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386966">
            <w:rPr>
              <w:bCs/>
              <w:color w:val="808080" w:themeColor="background1" w:themeShade="80"/>
            </w:rPr>
            <w:t>111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1CE7973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5AD0" w14:textId="77777777" w:rsidR="00386966" w:rsidRDefault="00386966">
      <w:r>
        <w:t>____________________</w:t>
      </w:r>
    </w:p>
  </w:footnote>
  <w:footnote w:type="continuationSeparator" w:id="0">
    <w:p w14:paraId="6733D9FB" w14:textId="77777777" w:rsidR="00386966" w:rsidRDefault="0038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4CA6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3CAC24C0" wp14:editId="330AB1F1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66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43872"/>
    <w:rsid w:val="0015333E"/>
    <w:rsid w:val="00157773"/>
    <w:rsid w:val="00176051"/>
    <w:rsid w:val="0018251A"/>
    <w:rsid w:val="00190272"/>
    <w:rsid w:val="00193244"/>
    <w:rsid w:val="00195C6C"/>
    <w:rsid w:val="00195FED"/>
    <w:rsid w:val="001A4BD6"/>
    <w:rsid w:val="001A741C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86966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16358"/>
    <w:rsid w:val="00537627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B01F1"/>
    <w:rsid w:val="005C44B8"/>
    <w:rsid w:val="005C6632"/>
    <w:rsid w:val="005D1C9E"/>
    <w:rsid w:val="00602842"/>
    <w:rsid w:val="00630DD5"/>
    <w:rsid w:val="00637584"/>
    <w:rsid w:val="00654257"/>
    <w:rsid w:val="0065435A"/>
    <w:rsid w:val="00660890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56F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53FDF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2212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73A8F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9332E"/>
    <w:rsid w:val="00ED3FB5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DEFD6"/>
  <w15:docId w15:val="{EF51BB68-45D9-469A-9874-AC7CF57F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7/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23-RAG-C-0057/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81/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RAD\C\POOL%20C%20&#27169;&#26495;\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2</Pages>
  <Words>318</Words>
  <Characters>293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608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Process for providing estimates of the financial implication of proposed decisions and resolutions at ITU conferences and assemblies</dc:title>
  <dc:subject>ITU Council 2026</dc:subject>
  <cp:keywords>C26; C2026; Council 2026; PP26</cp:keywords>
  <dc:description/>
  <cp:lastPrinted>2015-02-24T13:23:00Z</cp:lastPrinted>
  <dcterms:created xsi:type="dcterms:W3CDTF">2026-04-22T17:02:00Z</dcterms:created>
  <dcterms:modified xsi:type="dcterms:W3CDTF">2026-04-22T17:02:00Z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