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D80E43" w14:paraId="4E94A20B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80DCEEF" w14:textId="3D2F28ED" w:rsidR="00FE57F6" w:rsidRPr="00D80E43" w:rsidRDefault="00CC1FAF" w:rsidP="00062D81">
            <w:pPr>
              <w:spacing w:before="0"/>
              <w:rPr>
                <w:b/>
                <w:bCs/>
                <w:lang w:val="es-ES_tradnl"/>
              </w:rPr>
            </w:pPr>
            <w:bookmarkStart w:id="0" w:name="_Hlk133421839"/>
            <w:r w:rsidRPr="00D80E43">
              <w:rPr>
                <w:b/>
                <w:bCs/>
                <w:lang w:val="es-ES_tradnl"/>
              </w:rPr>
              <w:t>Punto del o</w:t>
            </w:r>
            <w:r w:rsidR="00BB6FD8" w:rsidRPr="00D80E43">
              <w:rPr>
                <w:b/>
                <w:bCs/>
                <w:lang w:val="es-ES_tradnl"/>
              </w:rPr>
              <w:t>rden del día</w:t>
            </w:r>
            <w:r w:rsidR="00FE57F6" w:rsidRPr="00D80E43">
              <w:rPr>
                <w:b/>
                <w:bCs/>
                <w:lang w:val="es-ES_tradnl"/>
              </w:rPr>
              <w:t xml:space="preserve">: </w:t>
            </w:r>
            <w:r w:rsidR="00062D81" w:rsidRPr="00D80E43">
              <w:rPr>
                <w:b/>
                <w:bCs/>
                <w:lang w:val="es-ES_tradnl"/>
              </w:rPr>
              <w:t>PL 2</w:t>
            </w:r>
          </w:p>
        </w:tc>
        <w:tc>
          <w:tcPr>
            <w:tcW w:w="5245" w:type="dxa"/>
          </w:tcPr>
          <w:p w14:paraId="74C898A3" w14:textId="0863E69A" w:rsidR="00FE57F6" w:rsidRPr="00D80E43" w:rsidRDefault="00FE57F6" w:rsidP="00062D81">
            <w:pPr>
              <w:spacing w:before="0"/>
              <w:jc w:val="right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Document</w:t>
            </w:r>
            <w:r w:rsidR="00F24B71" w:rsidRPr="00D80E43">
              <w:rPr>
                <w:b/>
                <w:bCs/>
                <w:lang w:val="es-ES_tradnl"/>
              </w:rPr>
              <w:t>o</w:t>
            </w:r>
            <w:r w:rsidRPr="00D80E43">
              <w:rPr>
                <w:b/>
                <w:bCs/>
                <w:lang w:val="es-ES_tradnl"/>
              </w:rPr>
              <w:t xml:space="preserve"> </w:t>
            </w:r>
            <w:proofErr w:type="spellStart"/>
            <w:r w:rsidRPr="00D80E43">
              <w:rPr>
                <w:b/>
                <w:bCs/>
                <w:lang w:val="es-ES_tradnl"/>
              </w:rPr>
              <w:t>C2</w:t>
            </w:r>
            <w:r w:rsidR="00F85E5C" w:rsidRPr="00D80E43">
              <w:rPr>
                <w:b/>
                <w:bCs/>
                <w:lang w:val="es-ES_tradnl"/>
              </w:rPr>
              <w:t>6</w:t>
            </w:r>
            <w:proofErr w:type="spellEnd"/>
            <w:r w:rsidRPr="00D80E43">
              <w:rPr>
                <w:b/>
                <w:bCs/>
                <w:lang w:val="es-ES_tradnl"/>
              </w:rPr>
              <w:t>/</w:t>
            </w:r>
            <w:r w:rsidR="00062D81" w:rsidRPr="00D80E43">
              <w:rPr>
                <w:b/>
                <w:bCs/>
                <w:lang w:val="es-ES_tradnl"/>
              </w:rPr>
              <w:t>109</w:t>
            </w:r>
            <w:r w:rsidRPr="00D80E43">
              <w:rPr>
                <w:b/>
                <w:bCs/>
                <w:lang w:val="es-ES_tradnl"/>
              </w:rPr>
              <w:t>-</w:t>
            </w:r>
            <w:r w:rsidR="00F24B71" w:rsidRPr="00D80E43">
              <w:rPr>
                <w:b/>
                <w:bCs/>
                <w:lang w:val="es-ES_tradnl"/>
              </w:rPr>
              <w:t>S</w:t>
            </w:r>
          </w:p>
        </w:tc>
      </w:tr>
      <w:tr w:rsidR="00FE57F6" w:rsidRPr="00D80E43" w14:paraId="23A3C959" w14:textId="77777777" w:rsidTr="00C4421B">
        <w:trPr>
          <w:cantSplit/>
        </w:trPr>
        <w:tc>
          <w:tcPr>
            <w:tcW w:w="3969" w:type="dxa"/>
            <w:vMerge/>
          </w:tcPr>
          <w:p w14:paraId="37197183" w14:textId="77777777" w:rsidR="00FE57F6" w:rsidRPr="00D80E43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66248F8C" w14:textId="47E1923B" w:rsidR="00FE57F6" w:rsidRPr="00D80E43" w:rsidRDefault="00062D81" w:rsidP="00062D81">
            <w:pPr>
              <w:spacing w:before="0"/>
              <w:jc w:val="right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21 de abril de 2026</w:t>
            </w:r>
          </w:p>
        </w:tc>
      </w:tr>
      <w:tr w:rsidR="00FE57F6" w:rsidRPr="00D80E43" w14:paraId="417BDE8F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5D702CDA" w14:textId="77777777" w:rsidR="00FE57F6" w:rsidRPr="00D80E43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33759903" w14:textId="77777777" w:rsidR="00FE57F6" w:rsidRPr="00D80E43" w:rsidRDefault="00F24B71" w:rsidP="00062D81">
            <w:pPr>
              <w:spacing w:before="0"/>
              <w:jc w:val="right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Original: inglés</w:t>
            </w:r>
          </w:p>
        </w:tc>
      </w:tr>
      <w:tr w:rsidR="00FE57F6" w:rsidRPr="00D80E43" w14:paraId="30DA7C20" w14:textId="77777777" w:rsidTr="00C4421B">
        <w:trPr>
          <w:cantSplit/>
          <w:trHeight w:val="23"/>
        </w:trPr>
        <w:tc>
          <w:tcPr>
            <w:tcW w:w="3969" w:type="dxa"/>
          </w:tcPr>
          <w:p w14:paraId="4815DEF4" w14:textId="77777777" w:rsidR="00FE57F6" w:rsidRPr="00D80E43" w:rsidRDefault="00FE57F6" w:rsidP="00423589">
            <w:pPr>
              <w:rPr>
                <w:b/>
                <w:bCs/>
                <w:lang w:val="es-ES_tradnl"/>
              </w:rPr>
            </w:pPr>
          </w:p>
        </w:tc>
        <w:tc>
          <w:tcPr>
            <w:tcW w:w="5245" w:type="dxa"/>
          </w:tcPr>
          <w:p w14:paraId="0A1709AA" w14:textId="77777777" w:rsidR="00FE57F6" w:rsidRPr="00D80E43" w:rsidRDefault="00FE57F6" w:rsidP="00423589">
            <w:pPr>
              <w:jc w:val="right"/>
              <w:rPr>
                <w:b/>
                <w:bCs/>
                <w:lang w:val="es-ES_tradnl"/>
              </w:rPr>
            </w:pPr>
          </w:p>
        </w:tc>
      </w:tr>
      <w:tr w:rsidR="00FE57F6" w:rsidRPr="00D80E43" w14:paraId="3AC1238D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8D8A866" w14:textId="2DF5C128" w:rsidR="00FE57F6" w:rsidRPr="00D80E43" w:rsidRDefault="00062D81" w:rsidP="00C4421B">
            <w:pPr>
              <w:pStyle w:val="Source"/>
              <w:jc w:val="left"/>
              <w:rPr>
                <w:sz w:val="32"/>
                <w:szCs w:val="32"/>
                <w:lang w:val="es-ES_tradnl"/>
              </w:rPr>
            </w:pPr>
            <w:r w:rsidRPr="00D80E43">
              <w:rPr>
                <w:rFonts w:cstheme="minorHAnsi"/>
                <w:sz w:val="32"/>
                <w:szCs w:val="32"/>
                <w:lang w:val="es-ES_tradnl"/>
              </w:rPr>
              <w:t>Presidenta del Grupo Asesor de Desarrollo de las Telecomunicaciones (</w:t>
            </w:r>
            <w:proofErr w:type="spellStart"/>
            <w:r w:rsidRPr="00D80E43">
              <w:rPr>
                <w:rFonts w:cstheme="minorHAnsi"/>
                <w:sz w:val="32"/>
                <w:szCs w:val="32"/>
                <w:lang w:val="es-ES_tradnl"/>
              </w:rPr>
              <w:t>GADT</w:t>
            </w:r>
            <w:proofErr w:type="spellEnd"/>
            <w:r w:rsidRPr="00D80E43">
              <w:rPr>
                <w:rFonts w:cstheme="minorHAnsi"/>
                <w:sz w:val="32"/>
                <w:szCs w:val="32"/>
                <w:lang w:val="es-ES_tradnl"/>
              </w:rPr>
              <w:t>)</w:t>
            </w:r>
          </w:p>
        </w:tc>
      </w:tr>
      <w:tr w:rsidR="00FE57F6" w:rsidRPr="00D80E43" w14:paraId="5710C263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E7DB18A" w14:textId="014EFF67" w:rsidR="00FE57F6" w:rsidRPr="00D80E43" w:rsidRDefault="00D80E43" w:rsidP="00C4421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es-ES_tradnl"/>
              </w:rPr>
            </w:pPr>
            <w:r w:rsidRPr="00D80E43">
              <w:rPr>
                <w:sz w:val="32"/>
                <w:szCs w:val="32"/>
                <w:lang w:val="es-ES_tradnl"/>
              </w:rPr>
              <w:t xml:space="preserve">DECLARACIÓN DE COORDINACIÓN SOBRE LA PROPUESTA DE ATRIBUCIÓN DE FONDOS PARA APOYAR LA IMPLEMENTACIÓN DE LAS INICIATIVAS REGIONALES DE LA </w:t>
            </w:r>
            <w:proofErr w:type="spellStart"/>
            <w:r w:rsidRPr="00D80E43">
              <w:rPr>
                <w:sz w:val="32"/>
                <w:szCs w:val="32"/>
                <w:lang w:val="es-ES_tradnl"/>
              </w:rPr>
              <w:t>CMDT</w:t>
            </w:r>
            <w:proofErr w:type="spellEnd"/>
            <w:r w:rsidRPr="00D80E43">
              <w:rPr>
                <w:sz w:val="32"/>
                <w:szCs w:val="32"/>
                <w:lang w:val="es-ES_tradnl"/>
              </w:rPr>
              <w:t>-25</w:t>
            </w:r>
          </w:p>
        </w:tc>
      </w:tr>
      <w:tr w:rsidR="00FE57F6" w:rsidRPr="00D80E43" w14:paraId="18DF118A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8FE4634" w14:textId="77777777" w:rsidR="00FE57F6" w:rsidRPr="00D80E43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D80E43">
              <w:rPr>
                <w:b/>
                <w:bCs/>
                <w:sz w:val="26"/>
                <w:szCs w:val="26"/>
                <w:lang w:val="es-ES_tradnl"/>
              </w:rPr>
              <w:t>Finalidad</w:t>
            </w:r>
          </w:p>
          <w:p w14:paraId="0DD8047F" w14:textId="53ED8718" w:rsidR="00FE57F6" w:rsidRPr="00D80E43" w:rsidRDefault="00062D81" w:rsidP="00D80E43">
            <w:pPr>
              <w:jc w:val="both"/>
              <w:rPr>
                <w:lang w:val="es-ES_tradnl"/>
              </w:rPr>
            </w:pPr>
            <w:r w:rsidRPr="00D80E43">
              <w:rPr>
                <w:lang w:val="es-ES_tradnl"/>
              </w:rPr>
              <w:t>La presente declaración de coordinación contiene una propuesta para la consideración de la reunión de</w:t>
            </w:r>
            <w:r w:rsidR="00423589" w:rsidRPr="00D80E43">
              <w:rPr>
                <w:lang w:val="es-ES_tradnl"/>
              </w:rPr>
              <w:t> </w:t>
            </w:r>
            <w:r w:rsidRPr="00D80E43">
              <w:rPr>
                <w:lang w:val="es-ES_tradnl"/>
              </w:rPr>
              <w:t>2026 del Consejo de la</w:t>
            </w:r>
            <w:r w:rsidR="009561D7" w:rsidRPr="00D80E43">
              <w:rPr>
                <w:lang w:val="es-ES_tradnl"/>
              </w:rPr>
              <w:t> </w:t>
            </w:r>
            <w:r w:rsidRPr="00D80E43">
              <w:rPr>
                <w:lang w:val="es-ES_tradnl"/>
              </w:rPr>
              <w:t>UIT a fin de examinar la atribución de fondos necesarios para apoyar la aplicación de los resultados de la</w:t>
            </w:r>
            <w:r w:rsidR="00423589" w:rsidRPr="00D80E43">
              <w:rPr>
                <w:lang w:val="es-ES_tradnl"/>
              </w:rPr>
              <w:t> </w:t>
            </w:r>
            <w:proofErr w:type="spellStart"/>
            <w:r w:rsidRPr="00D80E43">
              <w:rPr>
                <w:lang w:val="es-ES_tradnl"/>
              </w:rPr>
              <w:t>CMDT</w:t>
            </w:r>
            <w:proofErr w:type="spellEnd"/>
            <w:r w:rsidRPr="00D80E43">
              <w:rPr>
                <w:lang w:val="es-ES_tradnl"/>
              </w:rPr>
              <w:t>-25 sobre las Iniciativas Regionales adoptadas en la Conferencia. La propuesta tiene en cuenta las anteriores atribuciones concedidas por las reuniones de 2018 y 2023 del Consejo para apoyar la aplicación de los resultados de la</w:t>
            </w:r>
            <w:r w:rsidR="00423589" w:rsidRPr="00D80E43">
              <w:rPr>
                <w:lang w:val="es-ES_tradnl"/>
              </w:rPr>
              <w:t> </w:t>
            </w:r>
            <w:proofErr w:type="spellStart"/>
            <w:r w:rsidRPr="00D80E43">
              <w:rPr>
                <w:lang w:val="es-ES_tradnl"/>
              </w:rPr>
              <w:t>CMDT</w:t>
            </w:r>
            <w:proofErr w:type="spellEnd"/>
            <w:r w:rsidRPr="00D80E43">
              <w:rPr>
                <w:lang w:val="es-ES_tradnl"/>
              </w:rPr>
              <w:t xml:space="preserve">-17 y la </w:t>
            </w:r>
            <w:proofErr w:type="spellStart"/>
            <w:r w:rsidRPr="00D80E43">
              <w:rPr>
                <w:lang w:val="es-ES_tradnl"/>
              </w:rPr>
              <w:t>CMDT</w:t>
            </w:r>
            <w:proofErr w:type="spellEnd"/>
            <w:r w:rsidRPr="00D80E43">
              <w:rPr>
                <w:lang w:val="es-ES_tradnl"/>
              </w:rPr>
              <w:t>-22, respectivamente.</w:t>
            </w:r>
          </w:p>
          <w:p w14:paraId="33313A2E" w14:textId="77777777" w:rsidR="00FE57F6" w:rsidRPr="00D80E43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D80E43">
              <w:rPr>
                <w:b/>
                <w:bCs/>
                <w:sz w:val="26"/>
                <w:szCs w:val="26"/>
                <w:lang w:val="es-ES_tradnl"/>
              </w:rPr>
              <w:t xml:space="preserve">Acción solicitada </w:t>
            </w:r>
            <w:r w:rsidR="00677A97" w:rsidRPr="00D80E43">
              <w:rPr>
                <w:b/>
                <w:bCs/>
                <w:sz w:val="26"/>
                <w:szCs w:val="26"/>
                <w:lang w:val="es-ES_tradnl"/>
              </w:rPr>
              <w:t>al</w:t>
            </w:r>
            <w:r w:rsidRPr="00D80E43">
              <w:rPr>
                <w:b/>
                <w:bCs/>
                <w:sz w:val="26"/>
                <w:szCs w:val="26"/>
                <w:lang w:val="es-ES_tradnl"/>
              </w:rPr>
              <w:t xml:space="preserve"> Consejo</w:t>
            </w:r>
          </w:p>
          <w:p w14:paraId="0291B97A" w14:textId="5CA96272" w:rsidR="00F92BED" w:rsidRPr="00D80E43" w:rsidRDefault="00062D81" w:rsidP="00062D81">
            <w:pPr>
              <w:rPr>
                <w:lang w:val="es-ES_tradnl"/>
              </w:rPr>
            </w:pPr>
            <w:r w:rsidRPr="00D80E43">
              <w:rPr>
                <w:lang w:val="es-ES_tradnl"/>
              </w:rPr>
              <w:t xml:space="preserve">Se pide al Consejo que </w:t>
            </w:r>
            <w:r w:rsidRPr="00D80E43">
              <w:rPr>
                <w:b/>
                <w:bCs/>
                <w:lang w:val="es-ES_tradnl"/>
              </w:rPr>
              <w:t>examine</w:t>
            </w:r>
            <w:r w:rsidRPr="00D80E43">
              <w:rPr>
                <w:lang w:val="es-ES_tradnl"/>
              </w:rPr>
              <w:t xml:space="preserve"> la atribución de fondos necesarios para apoyar la aplicación de los resultados de la</w:t>
            </w:r>
            <w:r w:rsidR="00423589" w:rsidRPr="00D80E43">
              <w:rPr>
                <w:lang w:val="es-ES_tradnl"/>
              </w:rPr>
              <w:t> </w:t>
            </w:r>
            <w:proofErr w:type="spellStart"/>
            <w:r w:rsidRPr="00D80E43">
              <w:rPr>
                <w:lang w:val="es-ES_tradnl"/>
              </w:rPr>
              <w:t>CMDT</w:t>
            </w:r>
            <w:proofErr w:type="spellEnd"/>
            <w:r w:rsidRPr="00D80E43">
              <w:rPr>
                <w:lang w:val="es-ES_tradnl"/>
              </w:rPr>
              <w:t>-25 sobre las Iniciativas Regionales adoptadas en la Conferencia.</w:t>
            </w:r>
          </w:p>
          <w:p w14:paraId="03C010CB" w14:textId="77777777" w:rsidR="00FE57F6" w:rsidRPr="00D80E43" w:rsidRDefault="00FE57F6" w:rsidP="00062D81">
            <w:pPr>
              <w:rPr>
                <w:caps/>
                <w:lang w:val="es-ES_tradnl"/>
              </w:rPr>
            </w:pPr>
            <w:r w:rsidRPr="00D80E43">
              <w:rPr>
                <w:lang w:val="es-ES_tradnl"/>
              </w:rPr>
              <w:t>__________________</w:t>
            </w:r>
          </w:p>
          <w:p w14:paraId="7A50F4C3" w14:textId="6D9610D9" w:rsidR="00FE57F6" w:rsidRPr="00D80E43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D80E43">
              <w:rPr>
                <w:b/>
                <w:bCs/>
                <w:sz w:val="26"/>
                <w:szCs w:val="26"/>
                <w:lang w:val="es-ES_tradnl"/>
              </w:rPr>
              <w:t>Referencia</w:t>
            </w:r>
            <w:r w:rsidR="00F92BED" w:rsidRPr="00D80E43">
              <w:rPr>
                <w:b/>
                <w:bCs/>
                <w:sz w:val="26"/>
                <w:szCs w:val="26"/>
                <w:lang w:val="es-ES_tradnl"/>
              </w:rPr>
              <w:t>s</w:t>
            </w:r>
          </w:p>
          <w:p w14:paraId="0ECAE5D0" w14:textId="279E98D7" w:rsidR="00FE57F6" w:rsidRPr="00D80E43" w:rsidRDefault="00D80E43" w:rsidP="00062D81">
            <w:pPr>
              <w:spacing w:after="120"/>
              <w:rPr>
                <w:i/>
                <w:iCs/>
                <w:sz w:val="22"/>
                <w:szCs w:val="22"/>
                <w:lang w:val="es-ES_tradnl"/>
              </w:rPr>
            </w:pPr>
            <w:r w:rsidRPr="00D80E43">
              <w:rPr>
                <w:i/>
                <w:iCs/>
                <w:sz w:val="22"/>
                <w:szCs w:val="22"/>
                <w:lang w:val="es-ES_tradnl"/>
              </w:rPr>
              <w:t xml:space="preserve">Documento </w:t>
            </w:r>
            <w:hyperlink r:id="rId6" w:history="1">
              <w:proofErr w:type="spellStart"/>
              <w:r w:rsidR="00062D81" w:rsidRPr="00D80E43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_tradnl"/>
                </w:rPr>
                <w:t>C26</w:t>
              </w:r>
              <w:proofErr w:type="spellEnd"/>
              <w:r w:rsidR="00062D81" w:rsidRPr="00D80E43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_tradnl"/>
                </w:rPr>
                <w:t>/42</w:t>
              </w:r>
            </w:hyperlink>
          </w:p>
        </w:tc>
      </w:tr>
      <w:bookmarkEnd w:id="0"/>
    </w:tbl>
    <w:p w14:paraId="52C5CC8A" w14:textId="77777777" w:rsidR="001559F5" w:rsidRPr="00D80E43" w:rsidRDefault="001559F5" w:rsidP="00062D81">
      <w:pPr>
        <w:rPr>
          <w:lang w:val="es-ES_tradnl"/>
        </w:rPr>
      </w:pPr>
      <w:r w:rsidRPr="00D80E43">
        <w:rPr>
          <w:lang w:val="es-ES_tradnl"/>
        </w:rPr>
        <w:br w:type="page"/>
      </w:r>
    </w:p>
    <w:tbl>
      <w:tblPr>
        <w:tblpPr w:leftFromText="180" w:rightFromText="180" w:vertAnchor="page" w:horzAnchor="margin" w:tblpY="931"/>
        <w:tblW w:w="10031" w:type="dxa"/>
        <w:tblLayout w:type="fixed"/>
        <w:tblLook w:val="0000" w:firstRow="0" w:lastRow="0" w:firstColumn="0" w:lastColumn="0" w:noHBand="0" w:noVBand="0"/>
      </w:tblPr>
      <w:tblGrid>
        <w:gridCol w:w="1190"/>
        <w:gridCol w:w="1362"/>
        <w:gridCol w:w="1928"/>
        <w:gridCol w:w="1865"/>
        <w:gridCol w:w="3686"/>
      </w:tblGrid>
      <w:tr w:rsidR="00062D81" w:rsidRPr="00D80E43" w14:paraId="5AA04FD1" w14:textId="77777777" w:rsidTr="00836F0F">
        <w:trPr>
          <w:cantSplit/>
          <w:trHeight w:val="1134"/>
        </w:trPr>
        <w:tc>
          <w:tcPr>
            <w:tcW w:w="6345" w:type="dxa"/>
            <w:gridSpan w:val="4"/>
          </w:tcPr>
          <w:p w14:paraId="25DB77B9" w14:textId="77777777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ind w:left="34"/>
              <w:rPr>
                <w:b/>
                <w:bCs/>
                <w:sz w:val="32"/>
                <w:szCs w:val="32"/>
                <w:lang w:val="es-ES_tradnl"/>
              </w:rPr>
            </w:pPr>
            <w:r w:rsidRPr="00D80E43">
              <w:rPr>
                <w:b/>
                <w:bCs/>
                <w:color w:val="000000"/>
                <w:sz w:val="32"/>
                <w:szCs w:val="32"/>
                <w:lang w:val="es-ES_tradnl"/>
              </w:rPr>
              <w:lastRenderedPageBreak/>
              <w:t>Grupo Asesor de Desarrollo de las Telecomunicaciones (</w:t>
            </w:r>
            <w:proofErr w:type="spellStart"/>
            <w:r w:rsidRPr="00D80E43">
              <w:rPr>
                <w:b/>
                <w:bCs/>
                <w:color w:val="000000"/>
                <w:sz w:val="32"/>
                <w:szCs w:val="32"/>
                <w:lang w:val="es-ES_tradnl"/>
              </w:rPr>
              <w:t>GADT</w:t>
            </w:r>
            <w:proofErr w:type="spellEnd"/>
            <w:r w:rsidRPr="00D80E43">
              <w:rPr>
                <w:b/>
                <w:bCs/>
                <w:color w:val="000000"/>
                <w:sz w:val="32"/>
                <w:szCs w:val="32"/>
                <w:lang w:val="es-ES_tradnl"/>
              </w:rPr>
              <w:t>)</w:t>
            </w:r>
          </w:p>
          <w:p w14:paraId="6F8CC4D4" w14:textId="77777777" w:rsidR="00062D81" w:rsidRPr="00D80E43" w:rsidRDefault="00062D81" w:rsidP="00836F0F">
            <w:pPr>
              <w:tabs>
                <w:tab w:val="clear" w:pos="567"/>
                <w:tab w:val="clear" w:pos="1134"/>
                <w:tab w:val="clear" w:pos="1701"/>
                <w:tab w:val="clear" w:pos="2835"/>
                <w:tab w:val="left" w:pos="1871"/>
              </w:tabs>
              <w:spacing w:after="48"/>
              <w:ind w:left="34"/>
              <w:rPr>
                <w:b/>
                <w:bCs/>
                <w:sz w:val="26"/>
                <w:szCs w:val="26"/>
                <w:lang w:val="es-ES_tradnl"/>
              </w:rPr>
            </w:pPr>
            <w:r w:rsidRPr="00D80E43">
              <w:rPr>
                <w:b/>
                <w:bCs/>
                <w:color w:val="000000"/>
                <w:sz w:val="26"/>
                <w:szCs w:val="26"/>
                <w:lang w:val="es-ES_tradnl"/>
              </w:rPr>
              <w:t>33.ª reunión, Ginebra (Suiza), 7-10 de abril de 2026</w:t>
            </w:r>
          </w:p>
        </w:tc>
        <w:tc>
          <w:tcPr>
            <w:tcW w:w="3686" w:type="dxa"/>
          </w:tcPr>
          <w:p w14:paraId="0667E3F1" w14:textId="77777777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line="240" w:lineRule="atLeast"/>
              <w:jc w:val="right"/>
              <w:rPr>
                <w:rFonts w:cs="Calibri"/>
                <w:lang w:val="es-ES_tradnl"/>
              </w:rPr>
            </w:pPr>
            <w:r w:rsidRPr="00D80E43">
              <w:rPr>
                <w:color w:val="000000"/>
                <w:lang w:val="es-ES_tradnl" w:eastAsia="fr-FR"/>
              </w:rPr>
              <w:drawing>
                <wp:inline distT="0" distB="0" distL="0" distR="0" wp14:anchorId="0A0C9B0A" wp14:editId="20A493F2">
                  <wp:extent cx="712470" cy="775970"/>
                  <wp:effectExtent l="0" t="0" r="0" b="5080"/>
                  <wp:docPr id="1154768095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928410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D81" w:rsidRPr="00D80E43" w14:paraId="5C59B0D3" w14:textId="77777777" w:rsidTr="00836F0F">
        <w:trPr>
          <w:cantSplit/>
        </w:trPr>
        <w:tc>
          <w:tcPr>
            <w:tcW w:w="6345" w:type="dxa"/>
            <w:gridSpan w:val="4"/>
            <w:tcBorders>
              <w:top w:val="single" w:sz="12" w:space="0" w:color="auto"/>
            </w:tcBorders>
          </w:tcPr>
          <w:p w14:paraId="5322F8C4" w14:textId="77777777" w:rsidR="00062D81" w:rsidRPr="00D80E43" w:rsidRDefault="00062D81" w:rsidP="00423589">
            <w:pPr>
              <w:spacing w:before="0"/>
              <w:rPr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7FAE49FF" w14:textId="77777777" w:rsidR="00062D81" w:rsidRPr="00D80E43" w:rsidRDefault="00062D81" w:rsidP="00423589">
            <w:pPr>
              <w:spacing w:before="0"/>
              <w:rPr>
                <w:lang w:val="es-ES_tradnl"/>
              </w:rPr>
            </w:pPr>
          </w:p>
        </w:tc>
      </w:tr>
      <w:tr w:rsidR="00062D81" w:rsidRPr="00D80E43" w14:paraId="4010D125" w14:textId="77777777" w:rsidTr="00836F0F">
        <w:trPr>
          <w:cantSplit/>
          <w:trHeight w:val="23"/>
        </w:trPr>
        <w:tc>
          <w:tcPr>
            <w:tcW w:w="6345" w:type="dxa"/>
            <w:gridSpan w:val="4"/>
          </w:tcPr>
          <w:p w14:paraId="77E16BC9" w14:textId="77777777" w:rsidR="00062D81" w:rsidRPr="00D80E43" w:rsidRDefault="00062D81" w:rsidP="009561D7">
            <w:pPr>
              <w:spacing w:before="0"/>
              <w:rPr>
                <w:b/>
                <w:bCs/>
                <w:lang w:val="es-ES_tradnl"/>
              </w:rPr>
            </w:pPr>
          </w:p>
        </w:tc>
        <w:tc>
          <w:tcPr>
            <w:tcW w:w="3686" w:type="dxa"/>
          </w:tcPr>
          <w:p w14:paraId="1DF0F5C2" w14:textId="77777777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851"/>
                <w:tab w:val="left" w:pos="1871"/>
              </w:tabs>
              <w:spacing w:before="0" w:line="240" w:lineRule="atLeast"/>
              <w:rPr>
                <w:rFonts w:cs="Calibri"/>
                <w:szCs w:val="24"/>
                <w:lang w:val="es-ES_tradnl"/>
              </w:rPr>
            </w:pPr>
            <w:proofErr w:type="spellStart"/>
            <w:r w:rsidRPr="00D80E43">
              <w:rPr>
                <w:b/>
                <w:bCs/>
                <w:color w:val="000000"/>
                <w:lang w:val="es-ES_tradnl"/>
              </w:rPr>
              <w:t>TDAG</w:t>
            </w:r>
            <w:proofErr w:type="spellEnd"/>
            <w:r w:rsidRPr="00D80E43">
              <w:rPr>
                <w:b/>
                <w:bCs/>
                <w:color w:val="000000"/>
                <w:lang w:val="es-ES_tradnl"/>
              </w:rPr>
              <w:t xml:space="preserve">-26 – </w:t>
            </w:r>
            <w:proofErr w:type="spellStart"/>
            <w:r w:rsidRPr="00D80E43">
              <w:rPr>
                <w:b/>
                <w:bCs/>
                <w:color w:val="000000"/>
                <w:lang w:val="es-ES_tradnl"/>
              </w:rPr>
              <w:t>LS</w:t>
            </w:r>
            <w:proofErr w:type="spellEnd"/>
            <w:r w:rsidRPr="00D80E43">
              <w:rPr>
                <w:b/>
                <w:bCs/>
                <w:color w:val="000000"/>
                <w:lang w:val="es-ES_tradnl"/>
              </w:rPr>
              <w:t xml:space="preserve"> 3</w:t>
            </w:r>
          </w:p>
        </w:tc>
      </w:tr>
      <w:tr w:rsidR="00062D81" w:rsidRPr="00D80E43" w14:paraId="5D9659F1" w14:textId="77777777" w:rsidTr="00836F0F">
        <w:trPr>
          <w:cantSplit/>
          <w:trHeight w:val="23"/>
        </w:trPr>
        <w:tc>
          <w:tcPr>
            <w:tcW w:w="6345" w:type="dxa"/>
            <w:gridSpan w:val="4"/>
          </w:tcPr>
          <w:p w14:paraId="60343EB9" w14:textId="77777777" w:rsidR="00062D81" w:rsidRPr="00D80E43" w:rsidRDefault="00062D81" w:rsidP="009561D7">
            <w:pPr>
              <w:spacing w:before="0"/>
              <w:rPr>
                <w:b/>
                <w:bCs/>
                <w:lang w:val="es-ES_tradnl"/>
              </w:rPr>
            </w:pPr>
          </w:p>
        </w:tc>
        <w:tc>
          <w:tcPr>
            <w:tcW w:w="3686" w:type="dxa"/>
          </w:tcPr>
          <w:p w14:paraId="4F572795" w14:textId="77777777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before="0" w:line="240" w:lineRule="atLeast"/>
              <w:rPr>
                <w:rFonts w:cs="Calibri"/>
                <w:szCs w:val="24"/>
                <w:lang w:val="es-ES_tradnl"/>
              </w:rPr>
            </w:pPr>
            <w:r w:rsidRPr="00D80E43">
              <w:rPr>
                <w:b/>
                <w:bCs/>
                <w:color w:val="000000"/>
                <w:lang w:val="es-ES_tradnl"/>
              </w:rPr>
              <w:t>10 de abril de 2026</w:t>
            </w:r>
          </w:p>
        </w:tc>
      </w:tr>
      <w:tr w:rsidR="00062D81" w:rsidRPr="00D80E43" w14:paraId="3EE6CB3B" w14:textId="77777777" w:rsidTr="00836F0F">
        <w:trPr>
          <w:cantSplit/>
          <w:trHeight w:val="23"/>
        </w:trPr>
        <w:tc>
          <w:tcPr>
            <w:tcW w:w="6345" w:type="dxa"/>
            <w:gridSpan w:val="4"/>
          </w:tcPr>
          <w:p w14:paraId="6C055215" w14:textId="77777777" w:rsidR="00062D81" w:rsidRPr="00D80E43" w:rsidRDefault="00062D81" w:rsidP="009561D7">
            <w:pPr>
              <w:spacing w:before="0"/>
              <w:rPr>
                <w:lang w:val="es-ES_tradnl"/>
              </w:rPr>
            </w:pPr>
          </w:p>
        </w:tc>
        <w:tc>
          <w:tcPr>
            <w:tcW w:w="3686" w:type="dxa"/>
          </w:tcPr>
          <w:p w14:paraId="232AE02C" w14:textId="77777777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993"/>
                <w:tab w:val="left" w:pos="1871"/>
              </w:tabs>
              <w:spacing w:before="0"/>
              <w:rPr>
                <w:rFonts w:cs="Calibri"/>
                <w:b/>
                <w:szCs w:val="24"/>
                <w:lang w:val="es-ES_tradnl"/>
              </w:rPr>
            </w:pPr>
            <w:r w:rsidRPr="00D80E43">
              <w:rPr>
                <w:b/>
                <w:bCs/>
                <w:color w:val="000000"/>
                <w:lang w:val="es-ES_tradnl"/>
              </w:rPr>
              <w:t>Solo en inglés</w:t>
            </w:r>
          </w:p>
        </w:tc>
      </w:tr>
      <w:tr w:rsidR="00062D81" w:rsidRPr="00D80E43" w14:paraId="6530AC29" w14:textId="77777777" w:rsidTr="00836F0F">
        <w:trPr>
          <w:cantSplit/>
          <w:trHeight w:val="23"/>
        </w:trPr>
        <w:tc>
          <w:tcPr>
            <w:tcW w:w="10031" w:type="dxa"/>
            <w:gridSpan w:val="5"/>
          </w:tcPr>
          <w:p w14:paraId="370F68B5" w14:textId="77777777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before="240" w:after="240"/>
              <w:jc w:val="center"/>
              <w:rPr>
                <w:b/>
                <w:sz w:val="28"/>
                <w:szCs w:val="28"/>
                <w:lang w:val="es-ES_tradnl"/>
              </w:rPr>
            </w:pPr>
            <w:r w:rsidRPr="00D80E43">
              <w:rPr>
                <w:b/>
                <w:bCs/>
                <w:color w:val="000000"/>
                <w:sz w:val="28"/>
                <w:szCs w:val="28"/>
                <w:lang w:val="es-ES_tradnl"/>
              </w:rPr>
              <w:t>Presidenta del Grupo Asesor de Desarrollo de las Telecomunicaciones (</w:t>
            </w:r>
            <w:proofErr w:type="spellStart"/>
            <w:r w:rsidRPr="00D80E43">
              <w:rPr>
                <w:b/>
                <w:bCs/>
                <w:color w:val="000000"/>
                <w:sz w:val="28"/>
                <w:szCs w:val="28"/>
                <w:lang w:val="es-ES_tradnl"/>
              </w:rPr>
              <w:t>GADT</w:t>
            </w:r>
            <w:proofErr w:type="spellEnd"/>
            <w:r w:rsidRPr="00D80E43">
              <w:rPr>
                <w:b/>
                <w:bCs/>
                <w:color w:val="000000"/>
                <w:sz w:val="28"/>
                <w:szCs w:val="28"/>
                <w:lang w:val="es-ES_tradnl"/>
              </w:rPr>
              <w:t>)</w:t>
            </w:r>
          </w:p>
        </w:tc>
      </w:tr>
      <w:tr w:rsidR="00062D81" w:rsidRPr="00D80E43" w14:paraId="7DC7787C" w14:textId="77777777" w:rsidTr="00836F0F">
        <w:trPr>
          <w:cantSplit/>
          <w:trHeight w:val="23"/>
        </w:trPr>
        <w:tc>
          <w:tcPr>
            <w:tcW w:w="10031" w:type="dxa"/>
            <w:gridSpan w:val="5"/>
            <w:vAlign w:val="center"/>
          </w:tcPr>
          <w:p w14:paraId="17499AE1" w14:textId="5A647EC1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jc w:val="center"/>
              <w:rPr>
                <w:sz w:val="28"/>
                <w:szCs w:val="28"/>
                <w:lang w:val="es-ES_tradnl"/>
              </w:rPr>
            </w:pPr>
            <w:r w:rsidRPr="00D80E43">
              <w:rPr>
                <w:color w:val="000000"/>
                <w:sz w:val="28"/>
                <w:szCs w:val="28"/>
                <w:lang w:val="es-ES_tradnl"/>
              </w:rPr>
              <w:t xml:space="preserve">Propuesta de atribución de fondos para apoyar la implementación </w:t>
            </w:r>
            <w:r w:rsidR="00423589" w:rsidRPr="00D80E43">
              <w:rPr>
                <w:color w:val="000000"/>
                <w:sz w:val="28"/>
                <w:szCs w:val="28"/>
                <w:lang w:val="es-ES_tradnl"/>
              </w:rPr>
              <w:br/>
            </w:r>
            <w:r w:rsidRPr="00D80E43">
              <w:rPr>
                <w:color w:val="000000"/>
                <w:sz w:val="28"/>
                <w:szCs w:val="28"/>
                <w:lang w:val="es-ES_tradnl"/>
              </w:rPr>
              <w:t xml:space="preserve">de las Iniciativas Regionales de la </w:t>
            </w:r>
            <w:proofErr w:type="spellStart"/>
            <w:r w:rsidRPr="00D80E43">
              <w:rPr>
                <w:color w:val="000000"/>
                <w:sz w:val="28"/>
                <w:szCs w:val="28"/>
                <w:lang w:val="es-ES_tradnl"/>
              </w:rPr>
              <w:t>CMDT</w:t>
            </w:r>
            <w:proofErr w:type="spellEnd"/>
            <w:r w:rsidRPr="00D80E43">
              <w:rPr>
                <w:color w:val="000000"/>
                <w:sz w:val="28"/>
                <w:szCs w:val="28"/>
                <w:lang w:val="es-ES_tradnl"/>
              </w:rPr>
              <w:t>-25</w:t>
            </w:r>
          </w:p>
        </w:tc>
      </w:tr>
      <w:tr w:rsidR="00062D81" w:rsidRPr="00D80E43" w14:paraId="24C1CF3A" w14:textId="77777777" w:rsidTr="00836F0F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68662993" w14:textId="77777777" w:rsidR="00062D81" w:rsidRPr="00D80E43" w:rsidRDefault="00062D81" w:rsidP="009561D7">
            <w:pPr>
              <w:spacing w:before="40" w:after="40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Para acción a:</w:t>
            </w:r>
          </w:p>
        </w:tc>
        <w:tc>
          <w:tcPr>
            <w:tcW w:w="7479" w:type="dxa"/>
            <w:gridSpan w:val="3"/>
            <w:vAlign w:val="center"/>
          </w:tcPr>
          <w:p w14:paraId="3255E869" w14:textId="5C855366" w:rsidR="00062D81" w:rsidRPr="00D80E43" w:rsidRDefault="00062D81" w:rsidP="009561D7">
            <w:pPr>
              <w:spacing w:before="40" w:after="40"/>
              <w:rPr>
                <w:lang w:val="es-ES_tradnl"/>
              </w:rPr>
            </w:pPr>
            <w:r w:rsidRPr="00D80E43">
              <w:rPr>
                <w:lang w:val="es-ES_tradnl"/>
              </w:rPr>
              <w:t>Reunión de 2026 del Consejo de la</w:t>
            </w:r>
            <w:r w:rsidR="00423589" w:rsidRPr="00D80E43">
              <w:rPr>
                <w:lang w:val="es-ES_tradnl"/>
              </w:rPr>
              <w:t> </w:t>
            </w:r>
            <w:r w:rsidRPr="00D80E43">
              <w:rPr>
                <w:lang w:val="es-ES_tradnl"/>
              </w:rPr>
              <w:t>UIT</w:t>
            </w:r>
          </w:p>
        </w:tc>
      </w:tr>
      <w:tr w:rsidR="00062D81" w:rsidRPr="00D80E43" w14:paraId="405DB994" w14:textId="77777777" w:rsidTr="00836F0F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3A3797B2" w14:textId="77777777" w:rsidR="00062D81" w:rsidRPr="00D80E43" w:rsidRDefault="00062D81" w:rsidP="009561D7">
            <w:pPr>
              <w:spacing w:before="40" w:after="40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Para información a:</w:t>
            </w:r>
          </w:p>
        </w:tc>
        <w:tc>
          <w:tcPr>
            <w:tcW w:w="7479" w:type="dxa"/>
            <w:gridSpan w:val="3"/>
            <w:vAlign w:val="center"/>
          </w:tcPr>
          <w:p w14:paraId="01C36747" w14:textId="77777777" w:rsidR="00062D81" w:rsidRPr="00D80E43" w:rsidRDefault="00062D81" w:rsidP="009561D7">
            <w:pPr>
              <w:spacing w:before="40" w:after="40"/>
              <w:rPr>
                <w:lang w:val="es-ES_tradnl"/>
              </w:rPr>
            </w:pPr>
            <w:r w:rsidRPr="00D80E43">
              <w:rPr>
                <w:lang w:val="es-ES_tradnl"/>
              </w:rPr>
              <w:t>--</w:t>
            </w:r>
          </w:p>
        </w:tc>
      </w:tr>
      <w:tr w:rsidR="00062D81" w:rsidRPr="00D80E43" w14:paraId="37850FBA" w14:textId="77777777" w:rsidTr="00836F0F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66A531BE" w14:textId="77777777" w:rsidR="00062D81" w:rsidRPr="00D80E43" w:rsidRDefault="00062D81" w:rsidP="009561D7">
            <w:pPr>
              <w:spacing w:before="40" w:after="40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Plazo:</w:t>
            </w:r>
          </w:p>
        </w:tc>
        <w:tc>
          <w:tcPr>
            <w:tcW w:w="7479" w:type="dxa"/>
            <w:gridSpan w:val="3"/>
            <w:vAlign w:val="center"/>
          </w:tcPr>
          <w:p w14:paraId="6A7221BC" w14:textId="77777777" w:rsidR="00062D81" w:rsidRPr="00D80E43" w:rsidRDefault="00062D81" w:rsidP="009561D7">
            <w:pPr>
              <w:spacing w:before="40" w:after="40"/>
              <w:rPr>
                <w:lang w:val="es-ES_tradnl"/>
              </w:rPr>
            </w:pPr>
            <w:r w:rsidRPr="00D80E43">
              <w:rPr>
                <w:lang w:val="es-ES_tradnl"/>
              </w:rPr>
              <w:t>--</w:t>
            </w:r>
          </w:p>
        </w:tc>
      </w:tr>
      <w:tr w:rsidR="00062D81" w:rsidRPr="00D80E43" w14:paraId="3A274559" w14:textId="77777777" w:rsidTr="00836F0F">
        <w:trPr>
          <w:cantSplit/>
          <w:trHeight w:val="2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6B911AA" w14:textId="77777777" w:rsidR="00062D81" w:rsidRPr="00D80E43" w:rsidRDefault="00062D81" w:rsidP="009561D7">
            <w:pPr>
              <w:spacing w:before="0"/>
              <w:rPr>
                <w:b/>
                <w:bCs/>
                <w:lang w:val="es-ES_tradnl"/>
              </w:rPr>
            </w:pP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  <w:vAlign w:val="center"/>
          </w:tcPr>
          <w:p w14:paraId="04E757FD" w14:textId="77777777" w:rsidR="00062D81" w:rsidRPr="00D80E43" w:rsidRDefault="00062D81" w:rsidP="009561D7">
            <w:pPr>
              <w:spacing w:before="0"/>
              <w:rPr>
                <w:lang w:val="es-ES_tradnl"/>
              </w:rPr>
            </w:pPr>
          </w:p>
        </w:tc>
      </w:tr>
      <w:tr w:rsidR="00062D81" w:rsidRPr="00D80E43" w14:paraId="629AB76E" w14:textId="77777777" w:rsidTr="009561D7">
        <w:trPr>
          <w:cantSplit/>
          <w:trHeight w:val="23"/>
        </w:trPr>
        <w:tc>
          <w:tcPr>
            <w:tcW w:w="1190" w:type="dxa"/>
            <w:tcBorders>
              <w:top w:val="single" w:sz="4" w:space="0" w:color="auto"/>
            </w:tcBorders>
          </w:tcPr>
          <w:p w14:paraId="0F9C4944" w14:textId="77777777" w:rsidR="00062D81" w:rsidRPr="00D80E43" w:rsidRDefault="00062D81" w:rsidP="00423589">
            <w:pPr>
              <w:spacing w:before="20" w:after="20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</w:tcBorders>
          </w:tcPr>
          <w:p w14:paraId="79B378B0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Nombre/Organización/Entidad: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</w:tcPr>
          <w:p w14:paraId="7529E09C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Sra. Fleur Regina Assoumou Bessou, Presidenta del Grupo Asesor de Desarrollo de las Telecomunicaciones</w:t>
            </w:r>
          </w:p>
        </w:tc>
      </w:tr>
      <w:tr w:rsidR="00062D81" w:rsidRPr="00D80E43" w14:paraId="30683549" w14:textId="77777777" w:rsidTr="009561D7">
        <w:trPr>
          <w:cantSplit/>
          <w:trHeight w:val="23"/>
        </w:trPr>
        <w:tc>
          <w:tcPr>
            <w:tcW w:w="1190" w:type="dxa"/>
          </w:tcPr>
          <w:p w14:paraId="647BF36A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</w:p>
        </w:tc>
        <w:tc>
          <w:tcPr>
            <w:tcW w:w="3290" w:type="dxa"/>
            <w:gridSpan w:val="2"/>
          </w:tcPr>
          <w:p w14:paraId="02361E66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Teléfono:</w:t>
            </w:r>
          </w:p>
        </w:tc>
        <w:tc>
          <w:tcPr>
            <w:tcW w:w="5551" w:type="dxa"/>
            <w:gridSpan w:val="2"/>
          </w:tcPr>
          <w:p w14:paraId="7138F051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+225 0707815208</w:t>
            </w:r>
          </w:p>
        </w:tc>
      </w:tr>
      <w:tr w:rsidR="00062D81" w:rsidRPr="00D80E43" w14:paraId="77222238" w14:textId="77777777" w:rsidTr="009561D7">
        <w:trPr>
          <w:cantSplit/>
          <w:trHeight w:val="23"/>
        </w:trPr>
        <w:tc>
          <w:tcPr>
            <w:tcW w:w="1190" w:type="dxa"/>
            <w:tcBorders>
              <w:bottom w:val="single" w:sz="4" w:space="0" w:color="auto"/>
            </w:tcBorders>
          </w:tcPr>
          <w:p w14:paraId="28D1049E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</w:tcPr>
          <w:p w14:paraId="75AAE5BB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Correo-e:</w:t>
            </w:r>
          </w:p>
        </w:tc>
        <w:tc>
          <w:tcPr>
            <w:tcW w:w="5551" w:type="dxa"/>
            <w:gridSpan w:val="2"/>
            <w:tcBorders>
              <w:bottom w:val="single" w:sz="4" w:space="0" w:color="auto"/>
            </w:tcBorders>
          </w:tcPr>
          <w:p w14:paraId="383C29F3" w14:textId="32A38E10" w:rsidR="00062D81" w:rsidRPr="00D80E43" w:rsidRDefault="009561D7" w:rsidP="00423589">
            <w:pPr>
              <w:spacing w:before="20" w:after="20"/>
              <w:rPr>
                <w:lang w:val="es-ES_tradnl"/>
              </w:rPr>
            </w:pPr>
            <w:hyperlink r:id="rId8" w:history="1">
              <w:proofErr w:type="spellStart"/>
              <w:r w:rsidRPr="00D80E43">
                <w:rPr>
                  <w:rStyle w:val="Hyperlink"/>
                  <w:rFonts w:eastAsia="Times New Roman" w:cs="Times New Roman"/>
                  <w:szCs w:val="20"/>
                  <w:lang w:val="es-ES_tradnl"/>
                </w:rPr>
                <w:t>bessou.regina@artci.ci</w:t>
              </w:r>
              <w:proofErr w:type="spellEnd"/>
            </w:hyperlink>
          </w:p>
        </w:tc>
      </w:tr>
      <w:tr w:rsidR="00062D81" w:rsidRPr="00D80E43" w14:paraId="1F453FE6" w14:textId="77777777" w:rsidTr="009561D7">
        <w:trPr>
          <w:cantSplit/>
          <w:trHeight w:val="23"/>
        </w:trPr>
        <w:tc>
          <w:tcPr>
            <w:tcW w:w="1190" w:type="dxa"/>
            <w:tcBorders>
              <w:top w:val="single" w:sz="4" w:space="0" w:color="auto"/>
            </w:tcBorders>
          </w:tcPr>
          <w:p w14:paraId="7387C177" w14:textId="77777777" w:rsidR="00062D81" w:rsidRPr="00D80E43" w:rsidRDefault="00062D81" w:rsidP="00423589">
            <w:pPr>
              <w:spacing w:before="20" w:after="20"/>
              <w:rPr>
                <w:b/>
                <w:bCs/>
                <w:lang w:val="es-ES_tradnl"/>
              </w:rPr>
            </w:pPr>
            <w:r w:rsidRPr="00D80E43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</w:tcBorders>
          </w:tcPr>
          <w:p w14:paraId="3A15EDA3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Nombre/Organización/Entidad: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</w:tcPr>
          <w:p w14:paraId="764A6658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 xml:space="preserve">Sra. Archana </w:t>
            </w:r>
            <w:proofErr w:type="spellStart"/>
            <w:r w:rsidRPr="00D80E43">
              <w:rPr>
                <w:lang w:val="es-ES_tradnl"/>
              </w:rPr>
              <w:t>Gulati</w:t>
            </w:r>
            <w:proofErr w:type="spellEnd"/>
            <w:r w:rsidRPr="00D80E43">
              <w:rPr>
                <w:lang w:val="es-ES_tradnl"/>
              </w:rPr>
              <w:t>, Directora Adjunta de la Oficina de Desarrollo de las Telecomunicaciones</w:t>
            </w:r>
          </w:p>
        </w:tc>
      </w:tr>
      <w:tr w:rsidR="00062D81" w:rsidRPr="00D80E43" w14:paraId="1E6BBE84" w14:textId="77777777" w:rsidTr="009561D7">
        <w:trPr>
          <w:cantSplit/>
          <w:trHeight w:val="23"/>
        </w:trPr>
        <w:tc>
          <w:tcPr>
            <w:tcW w:w="1190" w:type="dxa"/>
          </w:tcPr>
          <w:p w14:paraId="3EB10CD5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</w:p>
        </w:tc>
        <w:tc>
          <w:tcPr>
            <w:tcW w:w="3290" w:type="dxa"/>
            <w:gridSpan w:val="2"/>
          </w:tcPr>
          <w:p w14:paraId="29461CA6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Teléfono:</w:t>
            </w:r>
          </w:p>
        </w:tc>
        <w:tc>
          <w:tcPr>
            <w:tcW w:w="5551" w:type="dxa"/>
            <w:gridSpan w:val="2"/>
          </w:tcPr>
          <w:p w14:paraId="01C5DAE9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+41 22 730 6475</w:t>
            </w:r>
          </w:p>
        </w:tc>
      </w:tr>
      <w:tr w:rsidR="00062D81" w:rsidRPr="00D80E43" w14:paraId="7B40F9B9" w14:textId="77777777" w:rsidTr="009561D7">
        <w:trPr>
          <w:cantSplit/>
          <w:trHeight w:val="23"/>
        </w:trPr>
        <w:tc>
          <w:tcPr>
            <w:tcW w:w="1190" w:type="dxa"/>
          </w:tcPr>
          <w:p w14:paraId="26788554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</w:p>
        </w:tc>
        <w:tc>
          <w:tcPr>
            <w:tcW w:w="3290" w:type="dxa"/>
            <w:gridSpan w:val="2"/>
          </w:tcPr>
          <w:p w14:paraId="789FBAE8" w14:textId="77777777" w:rsidR="00062D81" w:rsidRPr="00D80E43" w:rsidRDefault="00062D81" w:rsidP="00423589">
            <w:pPr>
              <w:spacing w:before="20" w:after="20"/>
              <w:rPr>
                <w:lang w:val="es-ES_tradnl"/>
              </w:rPr>
            </w:pPr>
            <w:r w:rsidRPr="00D80E43">
              <w:rPr>
                <w:lang w:val="es-ES_tradnl"/>
              </w:rPr>
              <w:t>Correo-e:</w:t>
            </w:r>
          </w:p>
        </w:tc>
        <w:tc>
          <w:tcPr>
            <w:tcW w:w="5551" w:type="dxa"/>
            <w:gridSpan w:val="2"/>
          </w:tcPr>
          <w:p w14:paraId="22D25CDB" w14:textId="5EBB612C" w:rsidR="00062D81" w:rsidRPr="00D80E43" w:rsidRDefault="009561D7" w:rsidP="00423589">
            <w:pPr>
              <w:spacing w:before="20" w:after="20"/>
              <w:rPr>
                <w:lang w:val="es-ES_tradnl"/>
              </w:rPr>
            </w:pPr>
            <w:hyperlink r:id="rId9" w:history="1">
              <w:proofErr w:type="spellStart"/>
              <w:r w:rsidRPr="00D80E43">
                <w:rPr>
                  <w:rStyle w:val="Hyperlink"/>
                  <w:rFonts w:eastAsia="Times New Roman" w:cs="Times New Roman"/>
                  <w:szCs w:val="20"/>
                  <w:lang w:val="es-ES_tradnl"/>
                </w:rPr>
                <w:t>archana.gulati@itu.int</w:t>
              </w:r>
              <w:proofErr w:type="spellEnd"/>
            </w:hyperlink>
          </w:p>
        </w:tc>
      </w:tr>
      <w:tr w:rsidR="00062D81" w:rsidRPr="00D80E43" w14:paraId="08646D69" w14:textId="77777777" w:rsidTr="00836F0F">
        <w:trPr>
          <w:cantSplit/>
          <w:trHeight w:val="23"/>
        </w:trPr>
        <w:tc>
          <w:tcPr>
            <w:tcW w:w="10031" w:type="dxa"/>
            <w:gridSpan w:val="5"/>
          </w:tcPr>
          <w:p w14:paraId="06B928F2" w14:textId="77777777" w:rsidR="00062D81" w:rsidRPr="00D80E43" w:rsidRDefault="00062D81" w:rsidP="009561D7">
            <w:pPr>
              <w:spacing w:before="0"/>
              <w:rPr>
                <w:lang w:val="es-ES_tradnl"/>
              </w:rPr>
            </w:pPr>
          </w:p>
        </w:tc>
      </w:tr>
      <w:tr w:rsidR="00062D81" w:rsidRPr="00D80E43" w14:paraId="1B8AA7E4" w14:textId="77777777" w:rsidTr="00836F0F">
        <w:trPr>
          <w:cantSplit/>
          <w:trHeight w:val="2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00B" w14:textId="77777777" w:rsidR="00062D81" w:rsidRPr="00D80E43" w:rsidRDefault="00062D81" w:rsidP="00836F0F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rPr>
                <w:b/>
                <w:bCs/>
                <w:szCs w:val="24"/>
                <w:lang w:val="es-ES_tradnl"/>
              </w:rPr>
            </w:pPr>
            <w:r w:rsidRPr="00D80E43">
              <w:rPr>
                <w:b/>
                <w:bCs/>
                <w:color w:val="000000"/>
                <w:lang w:val="es-ES_tradnl"/>
              </w:rPr>
              <w:t>Resumen:</w:t>
            </w:r>
          </w:p>
          <w:p w14:paraId="3C6220A1" w14:textId="34E3AC28" w:rsidR="00062D81" w:rsidRPr="00D80E43" w:rsidRDefault="00062D81" w:rsidP="00423589">
            <w:pPr>
              <w:spacing w:after="60"/>
              <w:rPr>
                <w:rFonts w:cs="Calibri"/>
                <w:shd w:val="clear" w:color="auto" w:fill="FFFFFF"/>
                <w:lang w:val="es-ES_tradnl"/>
              </w:rPr>
            </w:pPr>
            <w:r w:rsidRPr="00D80E43">
              <w:rPr>
                <w:lang w:val="es-ES_tradnl"/>
              </w:rPr>
              <w:t>La presente declaración de coordinación contiene una propuesta para la consideración de la reunión de</w:t>
            </w:r>
            <w:r w:rsidR="00423589" w:rsidRPr="00D80E43">
              <w:rPr>
                <w:lang w:val="es-ES_tradnl"/>
              </w:rPr>
              <w:t> </w:t>
            </w:r>
            <w:r w:rsidRPr="00D80E43">
              <w:rPr>
                <w:lang w:val="es-ES_tradnl"/>
              </w:rPr>
              <w:t>2026 del Consejo de la</w:t>
            </w:r>
            <w:r w:rsidR="009561D7" w:rsidRPr="00D80E43">
              <w:rPr>
                <w:lang w:val="es-ES_tradnl"/>
              </w:rPr>
              <w:t> </w:t>
            </w:r>
            <w:r w:rsidRPr="00D80E43">
              <w:rPr>
                <w:lang w:val="es-ES_tradnl"/>
              </w:rPr>
              <w:t xml:space="preserve">UIT a fin de examinar la atribución de fondos necesarios para apoyar la aplicación de los resultados de la </w:t>
            </w:r>
            <w:proofErr w:type="spellStart"/>
            <w:r w:rsidRPr="00D80E43">
              <w:rPr>
                <w:lang w:val="es-ES_tradnl"/>
              </w:rPr>
              <w:t>CMDT</w:t>
            </w:r>
            <w:proofErr w:type="spellEnd"/>
            <w:r w:rsidRPr="00D80E43">
              <w:rPr>
                <w:lang w:val="es-ES_tradnl"/>
              </w:rPr>
              <w:t>-25 sobre las Iniciativas Regionales adoptadas en la Conferencia. La propuesta tiene en cuenta las anteriores atribuciones concedidas por las reuniones de</w:t>
            </w:r>
            <w:r w:rsidR="00423589" w:rsidRPr="00D80E43">
              <w:rPr>
                <w:lang w:val="es-ES_tradnl"/>
              </w:rPr>
              <w:t> </w:t>
            </w:r>
            <w:r w:rsidRPr="00D80E43">
              <w:rPr>
                <w:lang w:val="es-ES_tradnl"/>
              </w:rPr>
              <w:t>2018 y 2023 del Consejo para apoyar la aplicación de los resultados de la</w:t>
            </w:r>
            <w:r w:rsidR="00423589" w:rsidRPr="00D80E43">
              <w:rPr>
                <w:lang w:val="es-ES_tradnl"/>
              </w:rPr>
              <w:t> </w:t>
            </w:r>
            <w:proofErr w:type="spellStart"/>
            <w:r w:rsidRPr="00D80E43">
              <w:rPr>
                <w:lang w:val="es-ES_tradnl"/>
              </w:rPr>
              <w:t>CMDT</w:t>
            </w:r>
            <w:proofErr w:type="spellEnd"/>
            <w:r w:rsidRPr="00D80E43">
              <w:rPr>
                <w:lang w:val="es-ES_tradnl"/>
              </w:rPr>
              <w:t>-17 y la</w:t>
            </w:r>
            <w:r w:rsidR="00423589" w:rsidRPr="00D80E43">
              <w:rPr>
                <w:lang w:val="es-ES_tradnl"/>
              </w:rPr>
              <w:t> </w:t>
            </w:r>
            <w:proofErr w:type="spellStart"/>
            <w:r w:rsidRPr="00D80E43">
              <w:rPr>
                <w:lang w:val="es-ES_tradnl"/>
              </w:rPr>
              <w:t>CMDT</w:t>
            </w:r>
            <w:proofErr w:type="spellEnd"/>
            <w:r w:rsidRPr="00D80E43">
              <w:rPr>
                <w:lang w:val="es-ES_tradnl"/>
              </w:rPr>
              <w:t>-22, respectivamente.</w:t>
            </w:r>
          </w:p>
        </w:tc>
      </w:tr>
    </w:tbl>
    <w:p w14:paraId="434F52F7" w14:textId="74AC48DE" w:rsidR="00062D81" w:rsidRPr="00D80E43" w:rsidRDefault="00062D81" w:rsidP="00D80E43">
      <w:pPr>
        <w:pStyle w:val="Normalaftertitle"/>
        <w:jc w:val="both"/>
        <w:rPr>
          <w:lang w:val="es-ES_tradnl"/>
        </w:rPr>
      </w:pPr>
      <w:r w:rsidRPr="00D80E43">
        <w:rPr>
          <w:lang w:val="es-ES_tradnl"/>
        </w:rPr>
        <w:t>La Conferencia Mundial de Desarrollo de las Telecomunicaciones de 2025 (</w:t>
      </w:r>
      <w:proofErr w:type="spellStart"/>
      <w:r w:rsidRPr="00D80E43">
        <w:rPr>
          <w:lang w:val="es-ES_tradnl"/>
        </w:rPr>
        <w:t>CMDT</w:t>
      </w:r>
      <w:proofErr w:type="spellEnd"/>
      <w:r w:rsidRPr="00D80E43">
        <w:rPr>
          <w:lang w:val="es-ES_tradnl"/>
        </w:rPr>
        <w:t>-25), celebrada en Bakú (Azerbaiyán), aprobó la Declaración de Bakú y el Plan de Acción de Bakú, que incluían un conjunto exhaustivo de treinta Iniciativas Regionales destinadas a atender las necesidades específicas de cada región para impulsar la conectividad universal y efectiva y acelerar la transformación regional. Estos resultados constituyen un mandato claro y ambicioso para el Sector de Desarrollo de las Telecomunicaciones.</w:t>
      </w:r>
    </w:p>
    <w:p w14:paraId="552EAC10" w14:textId="54B059D0" w:rsidR="00062D81" w:rsidRPr="00D80E43" w:rsidRDefault="00062D81" w:rsidP="00D80E43">
      <w:pPr>
        <w:jc w:val="both"/>
        <w:rPr>
          <w:lang w:val="es-ES_tradnl"/>
        </w:rPr>
      </w:pPr>
      <w:r w:rsidRPr="00D80E43">
        <w:rPr>
          <w:lang w:val="es-ES_tradnl"/>
        </w:rPr>
        <w:t>El</w:t>
      </w:r>
      <w:r w:rsidR="00423589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GADT</w:t>
      </w:r>
      <w:proofErr w:type="spellEnd"/>
      <w:r w:rsidRPr="00D80E43">
        <w:rPr>
          <w:lang w:val="es-ES_tradnl"/>
        </w:rPr>
        <w:t xml:space="preserve"> recuerda que el</w:t>
      </w:r>
      <w:r w:rsidR="00423589" w:rsidRPr="00D80E43">
        <w:rPr>
          <w:lang w:val="es-ES_tradnl"/>
        </w:rPr>
        <w:t> </w:t>
      </w:r>
      <w:r w:rsidRPr="00D80E43">
        <w:rPr>
          <w:lang w:val="es-ES_tradnl"/>
        </w:rPr>
        <w:t>UIT-D ha dependido sistemáticamente de la implementación basada en proyectos, con el apoyo de financiación inicial específica, como mecanismo efectivo y basado en resultados para cumplir los mandatos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CMDT. Al mismo tiempo, el</w:t>
      </w:r>
      <w:r w:rsidR="009561D7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GADT</w:t>
      </w:r>
      <w:proofErr w:type="spellEnd"/>
      <w:r w:rsidRPr="00D80E43">
        <w:rPr>
          <w:lang w:val="es-ES_tradnl"/>
        </w:rPr>
        <w:t xml:space="preserve"> reconoce que la firma de nuevos proyectos depende en gran medida de la disponibilidad de </w:t>
      </w:r>
      <w:r w:rsidRPr="00D80E43">
        <w:rPr>
          <w:lang w:val="es-ES_tradnl"/>
        </w:rPr>
        <w:lastRenderedPageBreak/>
        <w:t>fondos y asociados financieros dispuestos a respaldar los trabajos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UIT, y que una serie de donantes esperan que los organismos que reciben fondos y/o los países beneficiarios que reciben apoyo proporcionen un cierto nivel de cofinanciación para garantizar la viabilidad de nuevos proyectos, lo que añade dificultades adicionales a la labor de movilización de recursos. El</w:t>
      </w:r>
      <w:r w:rsidR="009561D7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GADT</w:t>
      </w:r>
      <w:proofErr w:type="spellEnd"/>
      <w:r w:rsidRPr="00D80E43">
        <w:rPr>
          <w:lang w:val="es-ES_tradnl"/>
        </w:rPr>
        <w:t xml:space="preserve"> toma nota de las preocupaciones planteadas por algunos delegados de que los requisitos de cofinanciación pueden crear obstáculos para algunos países en desarrollo, en particular los países menos adelantados (</w:t>
      </w:r>
      <w:proofErr w:type="spellStart"/>
      <w:r w:rsidRPr="00D80E43">
        <w:rPr>
          <w:lang w:val="es-ES_tradnl"/>
        </w:rPr>
        <w:t>PMA</w:t>
      </w:r>
      <w:proofErr w:type="spellEnd"/>
      <w:r w:rsidRPr="00D80E43">
        <w:rPr>
          <w:lang w:val="es-ES_tradnl"/>
        </w:rPr>
        <w:t>).</w:t>
      </w:r>
    </w:p>
    <w:p w14:paraId="7A8BD5F3" w14:textId="6221A5F4" w:rsidR="00062D81" w:rsidRPr="00D80E43" w:rsidRDefault="00062D81" w:rsidP="00D80E43">
      <w:pPr>
        <w:jc w:val="both"/>
        <w:rPr>
          <w:lang w:val="es-ES_tradnl"/>
        </w:rPr>
      </w:pPr>
      <w:r w:rsidRPr="00D80E43">
        <w:rPr>
          <w:lang w:val="es-ES_tradnl"/>
        </w:rPr>
        <w:t>Además, el</w:t>
      </w:r>
      <w:r w:rsidR="00423589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GADT</w:t>
      </w:r>
      <w:proofErr w:type="spellEnd"/>
      <w:r w:rsidRPr="00D80E43">
        <w:rPr>
          <w:lang w:val="es-ES_tradnl"/>
        </w:rPr>
        <w:t xml:space="preserve"> reconoce las modificaciones aportadas a la Resolución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 xml:space="preserve">17 (Rev. Bakú, 2025) sobre la </w:t>
      </w:r>
      <w:r w:rsidRPr="00D80E43">
        <w:rPr>
          <w:i/>
          <w:iCs/>
          <w:lang w:val="es-ES_tradnl"/>
        </w:rPr>
        <w:t xml:space="preserve">movilización de recursos, la ejecución y la cooperación para las Iniciativas Regionales aprobadas </w:t>
      </w:r>
      <w:r w:rsidRPr="00D80E43">
        <w:rPr>
          <w:lang w:val="es-ES_tradnl"/>
        </w:rPr>
        <w:t>y la nueva Resolución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 xml:space="preserve">92 (Bakú, 2025) sobre el </w:t>
      </w:r>
      <w:r w:rsidRPr="00D80E43">
        <w:rPr>
          <w:i/>
          <w:iCs/>
          <w:lang w:val="es-ES_tradnl"/>
        </w:rPr>
        <w:t>fortalecimiento del papel de las Oficinas Regionales de la</w:t>
      </w:r>
      <w:r w:rsidR="009561D7" w:rsidRPr="00D80E43">
        <w:rPr>
          <w:i/>
          <w:iCs/>
          <w:lang w:val="es-ES_tradnl"/>
        </w:rPr>
        <w:t> </w:t>
      </w:r>
      <w:r w:rsidRPr="00D80E43">
        <w:rPr>
          <w:i/>
          <w:iCs/>
          <w:lang w:val="es-ES_tradnl"/>
        </w:rPr>
        <w:t>UIT en la aceleración de la transformación digital y el aprovechamiento de las alianzas</w:t>
      </w:r>
      <w:r w:rsidRPr="00D80E43">
        <w:rPr>
          <w:lang w:val="es-ES_tradnl"/>
        </w:rPr>
        <w:t>, en las que se pide la creación de un conjunto exhaustivo de mecanismos y directrices para que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BDT diseñe conjuntamente proyectos con asociados y beneficiarios y apoye la movilización de fondos por conducto de procesos estructurados. Asimismo, el</w:t>
      </w:r>
      <w:r w:rsidR="009561D7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GADT</w:t>
      </w:r>
      <w:proofErr w:type="spellEnd"/>
      <w:r w:rsidRPr="00D80E43">
        <w:rPr>
          <w:lang w:val="es-ES_tradnl"/>
        </w:rPr>
        <w:t xml:space="preserve"> reconoce los recientes cambios del Reglamento Financiero en la parte de las contribuciones en especie, valiosa para la implementación de las Iniciativas Regionales.</w:t>
      </w:r>
    </w:p>
    <w:p w14:paraId="619BB9F2" w14:textId="2C8CEF88" w:rsidR="00062D81" w:rsidRPr="00D80E43" w:rsidRDefault="00062D81" w:rsidP="00D80E43">
      <w:pPr>
        <w:jc w:val="both"/>
        <w:rPr>
          <w:lang w:val="es-ES_tradnl"/>
        </w:rPr>
      </w:pPr>
      <w:r w:rsidRPr="00D80E43">
        <w:rPr>
          <w:lang w:val="es-ES_tradnl"/>
        </w:rPr>
        <w:t>Con estas consideraciones, el</w:t>
      </w:r>
      <w:r w:rsidR="009561D7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GADT</w:t>
      </w:r>
      <w:proofErr w:type="spellEnd"/>
      <w:r w:rsidRPr="00D80E43">
        <w:rPr>
          <w:lang w:val="es-ES_tradnl"/>
        </w:rPr>
        <w:t xml:space="preserve"> reconoce la importancia de atribuir fondos adecuados del presupuesto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 xml:space="preserve">UIT para apoyar la creación de nuevos proyectos en apoyo de la aplicación de los resultados de la </w:t>
      </w:r>
      <w:proofErr w:type="spellStart"/>
      <w:r w:rsidRPr="00D80E43">
        <w:rPr>
          <w:lang w:val="es-ES_tradnl"/>
        </w:rPr>
        <w:t>CMDT</w:t>
      </w:r>
      <w:proofErr w:type="spellEnd"/>
      <w:r w:rsidRPr="00D80E43">
        <w:rPr>
          <w:lang w:val="es-ES_tradnl"/>
        </w:rPr>
        <w:t>-25 sobre las Iniciativas Regionales. Dicha atribución aprovecharía las experiencias positivas de la anterior financiación atribuida por el Consejo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UIT en apoyo de la implementación de Iniciativas Regionales de la</w:t>
      </w:r>
      <w:r w:rsidR="00E87F10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CMDT</w:t>
      </w:r>
      <w:proofErr w:type="spellEnd"/>
      <w:r w:rsidRPr="00D80E43">
        <w:rPr>
          <w:lang w:val="es-ES_tradnl"/>
        </w:rPr>
        <w:t>-17 y la</w:t>
      </w:r>
      <w:r w:rsidR="00E87F10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CMDT</w:t>
      </w:r>
      <w:proofErr w:type="spellEnd"/>
      <w:r w:rsidRPr="00D80E43">
        <w:rPr>
          <w:lang w:val="es-ES_tradnl"/>
        </w:rPr>
        <w:t>-23 respectivamente (5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millones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CHF en la reunión de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2018 y 3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millones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CHF en la reunión de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2023).</w:t>
      </w:r>
    </w:p>
    <w:p w14:paraId="2E395DB2" w14:textId="28DFDFE6" w:rsidR="00062D81" w:rsidRPr="00D80E43" w:rsidRDefault="00062D81" w:rsidP="00D80E43">
      <w:pPr>
        <w:jc w:val="both"/>
        <w:rPr>
          <w:lang w:val="es-ES_tradnl"/>
        </w:rPr>
      </w:pPr>
      <w:r w:rsidRPr="00D80E43">
        <w:rPr>
          <w:lang w:val="es-ES_tradnl"/>
        </w:rPr>
        <w:t xml:space="preserve">Las Resoluciones adoptadas en la </w:t>
      </w:r>
      <w:proofErr w:type="spellStart"/>
      <w:r w:rsidRPr="00D80E43">
        <w:rPr>
          <w:lang w:val="es-ES_tradnl"/>
        </w:rPr>
        <w:t>CMDT</w:t>
      </w:r>
      <w:proofErr w:type="spellEnd"/>
      <w:r w:rsidRPr="00D80E43">
        <w:rPr>
          <w:lang w:val="es-ES_tradnl"/>
        </w:rPr>
        <w:t>-25 se aplicarán con cargo al presupuesto ordinario, así como a fondos extrapresupuestarios recibidos a través de proyectos y contribuciones voluntarias. A través del Documento</w:t>
      </w:r>
      <w:r w:rsidR="009561D7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fldChar w:fldCharType="begin"/>
      </w:r>
      <w:r w:rsidRPr="00D80E43">
        <w:rPr>
          <w:lang w:val="es-ES_tradnl"/>
        </w:rPr>
        <w:instrText>HYPERLINK "https://www.itu.int/md/S26-CL-C-0042/es"</w:instrText>
      </w:r>
      <w:r w:rsidRPr="00D80E43">
        <w:rPr>
          <w:lang w:val="es-ES_tradnl"/>
        </w:rPr>
      </w:r>
      <w:r w:rsidRPr="00D80E43">
        <w:rPr>
          <w:lang w:val="es-ES_tradnl"/>
        </w:rPr>
        <w:fldChar w:fldCharType="separate"/>
      </w:r>
      <w:r w:rsidRPr="00D80E43">
        <w:rPr>
          <w:rStyle w:val="Hyperlink"/>
          <w:rFonts w:eastAsia="Times New Roman" w:cs="Times New Roman"/>
          <w:szCs w:val="20"/>
          <w:lang w:val="es-ES_tradnl"/>
        </w:rPr>
        <w:t>C26</w:t>
      </w:r>
      <w:proofErr w:type="spellEnd"/>
      <w:r w:rsidRPr="00D80E43">
        <w:rPr>
          <w:rStyle w:val="Hyperlink"/>
          <w:rFonts w:eastAsia="Times New Roman" w:cs="Times New Roman"/>
          <w:szCs w:val="20"/>
          <w:lang w:val="es-ES_tradnl"/>
        </w:rPr>
        <w:t>/42</w:t>
      </w:r>
      <w:r w:rsidRPr="00D80E43">
        <w:rPr>
          <w:lang w:val="es-ES_tradnl"/>
        </w:rPr>
        <w:fldChar w:fldCharType="end"/>
      </w:r>
      <w:r w:rsidRPr="00D80E43">
        <w:rPr>
          <w:lang w:val="es-ES_tradnl"/>
        </w:rPr>
        <w:t xml:space="preserve"> del Consejo, la Secretaría propone asignar una parte de los ahorros de la ejecución del presupuesto de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 xml:space="preserve">2025 a las Iniciativas Regionales aprobadas por la </w:t>
      </w:r>
      <w:proofErr w:type="spellStart"/>
      <w:r w:rsidRPr="00D80E43">
        <w:rPr>
          <w:lang w:val="es-ES_tradnl"/>
        </w:rPr>
        <w:t>CMDT</w:t>
      </w:r>
      <w:proofErr w:type="spellEnd"/>
      <w:r w:rsidRPr="00D80E43">
        <w:rPr>
          <w:lang w:val="es-ES_tradnl"/>
        </w:rPr>
        <w:t>-25.</w:t>
      </w:r>
      <w:hyperlink r:id="rId10" w:history="1"/>
    </w:p>
    <w:p w14:paraId="69CC34E7" w14:textId="232F2DA4" w:rsidR="00062D81" w:rsidRPr="00D80E43" w:rsidRDefault="00062D81" w:rsidP="00D80E43">
      <w:pPr>
        <w:jc w:val="both"/>
        <w:rPr>
          <w:lang w:val="es-ES_tradnl"/>
        </w:rPr>
      </w:pPr>
      <w:r w:rsidRPr="00D80E43">
        <w:rPr>
          <w:lang w:val="es-ES_tradnl"/>
        </w:rPr>
        <w:t>En vista de lo anterior, y observando las opciones presentadas por la Secretaría, el</w:t>
      </w:r>
      <w:r w:rsidR="009561D7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t>GADT</w:t>
      </w:r>
      <w:proofErr w:type="spellEnd"/>
      <w:r w:rsidRPr="00D80E43">
        <w:rPr>
          <w:lang w:val="es-ES_tradnl"/>
        </w:rPr>
        <w:t xml:space="preserve"> invita al Consejo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 xml:space="preserve">UIT a que acoja favorablemente la posibilidad de aprobar una atribución apropiada de fondos para apoyar el nuevo conjunto de Iniciativas Regionales aprobadas en la </w:t>
      </w:r>
      <w:proofErr w:type="spellStart"/>
      <w:r w:rsidRPr="00D80E43">
        <w:rPr>
          <w:lang w:val="es-ES_tradnl"/>
        </w:rPr>
        <w:t>CMDT</w:t>
      </w:r>
      <w:proofErr w:type="spellEnd"/>
      <w:r w:rsidRPr="00D80E43">
        <w:rPr>
          <w:lang w:val="es-ES_tradnl"/>
        </w:rPr>
        <w:t>-25. Esto incluye los 1,30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millones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CHF propuestos para llevar a cabo proyectos en el marco de Iniciativas Regionales para 2026-2027 a partir de los ahorros conseguidos en la ejecución presupuestaria de</w:t>
      </w:r>
      <w:r w:rsidR="00E87F10" w:rsidRPr="00D80E43">
        <w:rPr>
          <w:lang w:val="es-ES_tradnl"/>
        </w:rPr>
        <w:t> </w:t>
      </w:r>
      <w:r w:rsidRPr="00D80E43">
        <w:rPr>
          <w:lang w:val="es-ES_tradnl"/>
        </w:rPr>
        <w:t>2025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UIT, presentados en el Documento</w:t>
      </w:r>
      <w:r w:rsidR="009561D7" w:rsidRPr="00D80E43">
        <w:rPr>
          <w:lang w:val="es-ES_tradnl"/>
        </w:rPr>
        <w:t> </w:t>
      </w:r>
      <w:proofErr w:type="spellStart"/>
      <w:r w:rsidRPr="00D80E43">
        <w:rPr>
          <w:lang w:val="es-ES_tradnl"/>
        </w:rPr>
        <w:fldChar w:fldCharType="begin"/>
      </w:r>
      <w:r w:rsidRPr="00D80E43">
        <w:rPr>
          <w:lang w:val="es-ES_tradnl"/>
        </w:rPr>
        <w:instrText>HYPERLINK "https://www.itu.int/md/S26-CL-C-0042/es"</w:instrText>
      </w:r>
      <w:r w:rsidRPr="00D80E43">
        <w:rPr>
          <w:lang w:val="es-ES_tradnl"/>
        </w:rPr>
      </w:r>
      <w:r w:rsidRPr="00D80E43">
        <w:rPr>
          <w:lang w:val="es-ES_tradnl"/>
        </w:rPr>
        <w:fldChar w:fldCharType="separate"/>
      </w:r>
      <w:r w:rsidRPr="00D80E43">
        <w:rPr>
          <w:rStyle w:val="Hyperlink"/>
          <w:rFonts w:eastAsia="Times New Roman" w:cs="Times New Roman"/>
          <w:szCs w:val="20"/>
          <w:lang w:val="es-ES_tradnl"/>
        </w:rPr>
        <w:t>C26</w:t>
      </w:r>
      <w:proofErr w:type="spellEnd"/>
      <w:r w:rsidRPr="00D80E43">
        <w:rPr>
          <w:rStyle w:val="Hyperlink"/>
          <w:rFonts w:eastAsia="Times New Roman" w:cs="Times New Roman"/>
          <w:szCs w:val="20"/>
          <w:lang w:val="es-ES_tradnl"/>
        </w:rPr>
        <w:t>/42</w:t>
      </w:r>
      <w:r w:rsidRPr="00D80E43">
        <w:rPr>
          <w:lang w:val="es-ES_tradnl"/>
        </w:rPr>
        <w:fldChar w:fldCharType="end"/>
      </w:r>
      <w:r w:rsidRPr="00D80E43">
        <w:rPr>
          <w:lang w:val="es-ES_tradnl"/>
        </w:rPr>
        <w:t xml:space="preserve"> del Consejo, pero podría no limitarse a ello, sobre la base de la solicitud presentada por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BDT (véanse los documentos a los que se hace referencia) respecto de la atribución adicional de fondos para 2028-2029, del Plan Financiero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UIT para 2028</w:t>
      </w:r>
      <w:r w:rsidR="009561D7" w:rsidRPr="00D80E43">
        <w:rPr>
          <w:lang w:val="es-ES_tradnl"/>
        </w:rPr>
        <w:noBreakHyphen/>
      </w:r>
      <w:r w:rsidRPr="00D80E43">
        <w:rPr>
          <w:lang w:val="es-ES_tradnl"/>
        </w:rPr>
        <w:t>2030.</w:t>
      </w:r>
      <w:hyperlink r:id="rId11" w:history="1"/>
    </w:p>
    <w:p w14:paraId="5A166772" w14:textId="68E01867" w:rsidR="00062D81" w:rsidRPr="00D80E43" w:rsidRDefault="00062D81" w:rsidP="00D80E43">
      <w:pPr>
        <w:jc w:val="both"/>
        <w:rPr>
          <w:lang w:val="es-ES_tradnl"/>
        </w:rPr>
      </w:pPr>
      <w:r w:rsidRPr="00D80E43">
        <w:rPr>
          <w:lang w:val="es-ES_tradnl"/>
        </w:rPr>
        <w:t>La atribución apropiada ayudaría a hacer frente a las repercusiones financieras de la conferencia y a mejorar la capacidad de la</w:t>
      </w:r>
      <w:r w:rsidR="009561D7" w:rsidRPr="00D80E43">
        <w:rPr>
          <w:lang w:val="es-ES_tradnl"/>
        </w:rPr>
        <w:t> </w:t>
      </w:r>
      <w:r w:rsidRPr="00D80E43">
        <w:rPr>
          <w:lang w:val="es-ES_tradnl"/>
        </w:rPr>
        <w:t>UIT para movilizar fondos extrapresupuestarios adicionales en apoyo de los Estados Miembros con miras a atender las necesidades específicas de cada región, promover la conectividad universal y efectiva y acelerar la transformación digital.</w:t>
      </w:r>
    </w:p>
    <w:p w14:paraId="4C6E6064" w14:textId="77777777" w:rsidR="00F92BED" w:rsidRPr="00D80E43" w:rsidRDefault="00F92BED" w:rsidP="00423589">
      <w:pPr>
        <w:pStyle w:val="Reasons"/>
        <w:spacing w:before="0"/>
        <w:rPr>
          <w:lang w:val="es-ES_tradnl"/>
        </w:rPr>
      </w:pPr>
    </w:p>
    <w:p w14:paraId="4174BC50" w14:textId="77777777" w:rsidR="00F92BED" w:rsidRPr="00D80E43" w:rsidRDefault="00F92BED" w:rsidP="00F92BED">
      <w:pPr>
        <w:jc w:val="center"/>
        <w:rPr>
          <w:lang w:val="es-ES_tradnl"/>
        </w:rPr>
      </w:pPr>
      <w:r w:rsidRPr="00D80E43">
        <w:rPr>
          <w:lang w:val="es-ES_tradnl"/>
        </w:rPr>
        <w:t>______________</w:t>
      </w:r>
    </w:p>
    <w:sectPr w:rsidR="00F92BED" w:rsidRPr="00D80E43" w:rsidSect="00C538FC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5CE3" w14:textId="77777777" w:rsidR="002B70D3" w:rsidRDefault="002B70D3">
      <w:r>
        <w:separator/>
      </w:r>
    </w:p>
  </w:endnote>
  <w:endnote w:type="continuationSeparator" w:id="0">
    <w:p w14:paraId="46D86808" w14:textId="77777777" w:rsidR="002B70D3" w:rsidRDefault="002B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47F4E2B" w14:textId="77777777" w:rsidTr="00E31DCE">
      <w:trPr>
        <w:jc w:val="center"/>
      </w:trPr>
      <w:tc>
        <w:tcPr>
          <w:tcW w:w="1803" w:type="dxa"/>
          <w:vAlign w:val="center"/>
        </w:tcPr>
        <w:p w14:paraId="0491D479" w14:textId="62C3CAB6" w:rsidR="003273A4" w:rsidRDefault="00062D81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2601023</w:t>
          </w:r>
        </w:p>
      </w:tc>
      <w:tc>
        <w:tcPr>
          <w:tcW w:w="8261" w:type="dxa"/>
        </w:tcPr>
        <w:p w14:paraId="6990D66F" w14:textId="1047B03C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F25ED">
            <w:rPr>
              <w:bCs/>
            </w:rPr>
            <w:t>109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2E6AC66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0C12863B" w14:textId="77777777" w:rsidTr="00E31DCE">
      <w:trPr>
        <w:jc w:val="center"/>
      </w:trPr>
      <w:tc>
        <w:tcPr>
          <w:tcW w:w="1803" w:type="dxa"/>
          <w:vAlign w:val="center"/>
        </w:tcPr>
        <w:p w14:paraId="5E5BBE1C" w14:textId="33FB0DB5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</w:p>
      </w:tc>
      <w:tc>
        <w:tcPr>
          <w:tcW w:w="8261" w:type="dxa"/>
        </w:tcPr>
        <w:p w14:paraId="009916F6" w14:textId="4FE7E524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62D81">
            <w:rPr>
              <w:bCs/>
            </w:rPr>
            <w:t>109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DB43504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16B0" w14:textId="77777777" w:rsidR="002B70D3" w:rsidRDefault="002B70D3">
      <w:r>
        <w:t>____________________</w:t>
      </w:r>
    </w:p>
  </w:footnote>
  <w:footnote w:type="continuationSeparator" w:id="0">
    <w:p w14:paraId="03A91312" w14:textId="77777777" w:rsidR="002B70D3" w:rsidRDefault="002B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46E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1EEA23E4" wp14:editId="176FA6FD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D3"/>
    <w:rsid w:val="000007D1"/>
    <w:rsid w:val="0006007D"/>
    <w:rsid w:val="00062D81"/>
    <w:rsid w:val="00093EEB"/>
    <w:rsid w:val="000B0D00"/>
    <w:rsid w:val="000B7C15"/>
    <w:rsid w:val="000D1D0F"/>
    <w:rsid w:val="000E3F07"/>
    <w:rsid w:val="000F5290"/>
    <w:rsid w:val="000F5A95"/>
    <w:rsid w:val="0010165C"/>
    <w:rsid w:val="00114141"/>
    <w:rsid w:val="00146BFB"/>
    <w:rsid w:val="001559F5"/>
    <w:rsid w:val="00157AC4"/>
    <w:rsid w:val="0016169C"/>
    <w:rsid w:val="001958F5"/>
    <w:rsid w:val="001A241C"/>
    <w:rsid w:val="001B6E2B"/>
    <w:rsid w:val="001F14A2"/>
    <w:rsid w:val="00277DEA"/>
    <w:rsid w:val="002801AA"/>
    <w:rsid w:val="002946E2"/>
    <w:rsid w:val="002B70D3"/>
    <w:rsid w:val="002C3F32"/>
    <w:rsid w:val="002C4676"/>
    <w:rsid w:val="002C70B0"/>
    <w:rsid w:val="002F3CC4"/>
    <w:rsid w:val="003032E2"/>
    <w:rsid w:val="0031300A"/>
    <w:rsid w:val="003273A4"/>
    <w:rsid w:val="0034796E"/>
    <w:rsid w:val="00423589"/>
    <w:rsid w:val="004571B0"/>
    <w:rsid w:val="00465C35"/>
    <w:rsid w:val="00473962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20BE4"/>
    <w:rsid w:val="0083635D"/>
    <w:rsid w:val="008451E8"/>
    <w:rsid w:val="0084546D"/>
    <w:rsid w:val="008F6ABC"/>
    <w:rsid w:val="00913B9C"/>
    <w:rsid w:val="00927F93"/>
    <w:rsid w:val="009561D7"/>
    <w:rsid w:val="00956E77"/>
    <w:rsid w:val="009A338E"/>
    <w:rsid w:val="009A76A8"/>
    <w:rsid w:val="009F4811"/>
    <w:rsid w:val="00A01F4F"/>
    <w:rsid w:val="00A109AF"/>
    <w:rsid w:val="00A94438"/>
    <w:rsid w:val="00AA390C"/>
    <w:rsid w:val="00AD5A4D"/>
    <w:rsid w:val="00AF0EAC"/>
    <w:rsid w:val="00AF25ED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39AD"/>
    <w:rsid w:val="00C4421B"/>
    <w:rsid w:val="00C538FC"/>
    <w:rsid w:val="00C55B1F"/>
    <w:rsid w:val="00CC1FAF"/>
    <w:rsid w:val="00CF1A67"/>
    <w:rsid w:val="00D2750E"/>
    <w:rsid w:val="00D375E0"/>
    <w:rsid w:val="00D50A36"/>
    <w:rsid w:val="00D62446"/>
    <w:rsid w:val="00D80E43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87F10"/>
    <w:rsid w:val="00E92DE8"/>
    <w:rsid w:val="00E9332E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6FB50"/>
  <w15:docId w15:val="{8C0EB8CB-271A-4D52-90E2-0BF6D5A6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sou.regina@artci.c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tu.int/md/S26-CL-C-0042/es" TargetMode="External"/><Relationship Id="rId11" Type="http://schemas.openxmlformats.org/officeDocument/2006/relationships/hyperlink" Target="https://www.itu.int/md/S26-CL-C-0042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6-CL-C-0042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ana.gulati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4</TotalTime>
  <Pages>3</Pages>
  <Words>1032</Words>
  <Characters>6179</Characters>
  <Application>Microsoft Office Word</Application>
  <DocSecurity>0</DocSecurity>
  <Lines>110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Declaración de coordinación sobre la propuesta de atribución de fondos para apoyar la implementación de las iniciativas regionales de la CMDT-25</vt:lpstr>
    </vt:vector>
  </TitlesOfParts>
  <Manager>Secretaría General - Pool</Manager>
  <Company>International Telecommunication Union</Company>
  <LinksUpToDate>false</LinksUpToDate>
  <CharactersWithSpaces>7171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coordinación sobre la propuesta de atribución de fondos para apoyar la implementación de las iniciativas regionales de la CMDT-25</dc:title>
  <dc:subject>Consejo 2026 de la UIT</dc:subject>
  <cp:keywords>C26; C2026; Council 2026; PP26</cp:keywords>
  <dc:description/>
  <cp:lastPrinted>2006-03-24T09:51:00Z</cp:lastPrinted>
  <dcterms:created xsi:type="dcterms:W3CDTF">2026-04-22T17:18:00Z</dcterms:created>
  <dcterms:modified xsi:type="dcterms:W3CDTF">2026-04-22T17:20:00Z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