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602F6A70" w14:textId="77777777" w:rsidTr="00796BDB">
        <w:trPr>
          <w:cantSplit/>
          <w:trHeight w:val="23"/>
        </w:trPr>
        <w:tc>
          <w:tcPr>
            <w:tcW w:w="3969" w:type="dxa"/>
            <w:vMerge w:val="restart"/>
            <w:tcMar>
              <w:left w:w="0" w:type="dxa"/>
            </w:tcMar>
          </w:tcPr>
          <w:p w14:paraId="348B7C50" w14:textId="2341687D" w:rsidR="00D72F49" w:rsidRPr="00E85629" w:rsidRDefault="00D72F49" w:rsidP="00796BDB">
            <w:pPr>
              <w:tabs>
                <w:tab w:val="left" w:pos="851"/>
              </w:tabs>
              <w:spacing w:before="0" w:line="240" w:lineRule="atLeast"/>
              <w:rPr>
                <w:b/>
              </w:rPr>
            </w:pPr>
            <w:r w:rsidRPr="00122CE1">
              <w:rPr>
                <w:b/>
              </w:rPr>
              <w:t>Point de l'ordre du jour</w:t>
            </w:r>
            <w:r>
              <w:rPr>
                <w:b/>
              </w:rPr>
              <w:t>:</w:t>
            </w:r>
            <w:r w:rsidR="00E54A53">
              <w:rPr>
                <w:b/>
              </w:rPr>
              <w:t xml:space="preserve"> PL 2</w:t>
            </w:r>
          </w:p>
        </w:tc>
        <w:tc>
          <w:tcPr>
            <w:tcW w:w="5245" w:type="dxa"/>
          </w:tcPr>
          <w:p w14:paraId="662CCFDE" w14:textId="681CE3AE"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E54A53">
              <w:rPr>
                <w:b/>
              </w:rPr>
              <w:t>109</w:t>
            </w:r>
            <w:r>
              <w:rPr>
                <w:b/>
              </w:rPr>
              <w:t>-F</w:t>
            </w:r>
          </w:p>
        </w:tc>
      </w:tr>
      <w:tr w:rsidR="00D72F49" w:rsidRPr="00C049D7" w14:paraId="7F0ECE8F" w14:textId="77777777" w:rsidTr="00796BDB">
        <w:trPr>
          <w:cantSplit/>
        </w:trPr>
        <w:tc>
          <w:tcPr>
            <w:tcW w:w="3969" w:type="dxa"/>
            <w:vMerge/>
          </w:tcPr>
          <w:p w14:paraId="16132F05" w14:textId="77777777" w:rsidR="00D72F49" w:rsidRPr="00813E5E" w:rsidRDefault="00D72F49" w:rsidP="00796BDB">
            <w:pPr>
              <w:tabs>
                <w:tab w:val="left" w:pos="851"/>
              </w:tabs>
              <w:spacing w:line="240" w:lineRule="atLeast"/>
              <w:rPr>
                <w:b/>
              </w:rPr>
            </w:pPr>
          </w:p>
        </w:tc>
        <w:tc>
          <w:tcPr>
            <w:tcW w:w="5245" w:type="dxa"/>
          </w:tcPr>
          <w:p w14:paraId="78FF8E9B" w14:textId="5EB6EB63" w:rsidR="00D72F49" w:rsidRPr="00FC6D7D" w:rsidRDefault="00E54A53" w:rsidP="00796BDB">
            <w:pPr>
              <w:tabs>
                <w:tab w:val="left" w:pos="851"/>
              </w:tabs>
              <w:spacing w:before="0"/>
              <w:jc w:val="right"/>
              <w:rPr>
                <w:b/>
                <w:lang w:val="en-GB"/>
              </w:rPr>
            </w:pPr>
            <w:r>
              <w:rPr>
                <w:b/>
              </w:rPr>
              <w:t>21 avril 2026</w:t>
            </w:r>
          </w:p>
        </w:tc>
      </w:tr>
      <w:tr w:rsidR="00D72F49" w:rsidRPr="00813E5E" w14:paraId="7CDFCAB8" w14:textId="77777777" w:rsidTr="00796BDB">
        <w:trPr>
          <w:cantSplit/>
          <w:trHeight w:val="23"/>
        </w:trPr>
        <w:tc>
          <w:tcPr>
            <w:tcW w:w="3969" w:type="dxa"/>
            <w:vMerge/>
          </w:tcPr>
          <w:p w14:paraId="761746B2" w14:textId="77777777" w:rsidR="00D72F49" w:rsidRPr="00FC6D7D" w:rsidRDefault="00D72F49" w:rsidP="00796BDB">
            <w:pPr>
              <w:tabs>
                <w:tab w:val="left" w:pos="851"/>
              </w:tabs>
              <w:spacing w:line="240" w:lineRule="atLeast"/>
              <w:rPr>
                <w:b/>
                <w:lang w:val="en-GB"/>
              </w:rPr>
            </w:pPr>
          </w:p>
        </w:tc>
        <w:tc>
          <w:tcPr>
            <w:tcW w:w="5245" w:type="dxa"/>
          </w:tcPr>
          <w:p w14:paraId="76001984"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16400544" w14:textId="77777777" w:rsidTr="00796BDB">
        <w:trPr>
          <w:cantSplit/>
          <w:trHeight w:val="23"/>
        </w:trPr>
        <w:tc>
          <w:tcPr>
            <w:tcW w:w="3969" w:type="dxa"/>
          </w:tcPr>
          <w:p w14:paraId="3070F918" w14:textId="77777777" w:rsidR="00D72F49" w:rsidRPr="00813E5E" w:rsidRDefault="00D72F49" w:rsidP="00796BDB">
            <w:pPr>
              <w:tabs>
                <w:tab w:val="left" w:pos="851"/>
              </w:tabs>
              <w:spacing w:line="240" w:lineRule="atLeast"/>
              <w:rPr>
                <w:b/>
              </w:rPr>
            </w:pPr>
          </w:p>
        </w:tc>
        <w:tc>
          <w:tcPr>
            <w:tcW w:w="5245" w:type="dxa"/>
          </w:tcPr>
          <w:p w14:paraId="7910D81F" w14:textId="77777777" w:rsidR="00D72F49" w:rsidRDefault="00D72F49" w:rsidP="00796BDB">
            <w:pPr>
              <w:tabs>
                <w:tab w:val="left" w:pos="851"/>
              </w:tabs>
              <w:spacing w:before="0" w:line="240" w:lineRule="atLeast"/>
              <w:jc w:val="right"/>
              <w:rPr>
                <w:b/>
              </w:rPr>
            </w:pPr>
          </w:p>
        </w:tc>
      </w:tr>
      <w:tr w:rsidR="00D72F49" w:rsidRPr="00122CE1" w14:paraId="4FDDEF9F" w14:textId="77777777" w:rsidTr="00796BDB">
        <w:trPr>
          <w:cantSplit/>
        </w:trPr>
        <w:tc>
          <w:tcPr>
            <w:tcW w:w="9214" w:type="dxa"/>
            <w:gridSpan w:val="2"/>
            <w:tcMar>
              <w:left w:w="0" w:type="dxa"/>
            </w:tcMar>
          </w:tcPr>
          <w:p w14:paraId="3116B9AD" w14:textId="1298A4D9" w:rsidR="00D72F49" w:rsidRPr="00C42437" w:rsidRDefault="00E54A53" w:rsidP="00796BDB">
            <w:pPr>
              <w:pStyle w:val="Source"/>
              <w:jc w:val="left"/>
              <w:rPr>
                <w:sz w:val="34"/>
                <w:szCs w:val="34"/>
                <w:lang w:val="fr-CH"/>
              </w:rPr>
            </w:pPr>
            <w:r w:rsidRPr="00E54A53">
              <w:rPr>
                <w:rFonts w:cstheme="minorHAnsi"/>
                <w:color w:val="000000"/>
                <w:sz w:val="34"/>
                <w:szCs w:val="34"/>
              </w:rPr>
              <w:t>Présidente du Groupe consultatif pour le développement des télécommunications (GCDT)</w:t>
            </w:r>
          </w:p>
        </w:tc>
      </w:tr>
      <w:tr w:rsidR="00D72F49" w:rsidRPr="00813E5E" w14:paraId="4BF781AA" w14:textId="77777777" w:rsidTr="00796BDB">
        <w:trPr>
          <w:cantSplit/>
        </w:trPr>
        <w:tc>
          <w:tcPr>
            <w:tcW w:w="9214" w:type="dxa"/>
            <w:gridSpan w:val="2"/>
            <w:tcMar>
              <w:left w:w="0" w:type="dxa"/>
            </w:tcMar>
          </w:tcPr>
          <w:p w14:paraId="103E956F" w14:textId="6BD427AB" w:rsidR="00D72F49" w:rsidRPr="00E54A53" w:rsidRDefault="00E54A53" w:rsidP="00796BDB">
            <w:pPr>
              <w:pStyle w:val="Subtitle"/>
              <w:framePr w:hSpace="0" w:wrap="auto" w:hAnchor="text" w:xAlign="left" w:yAlign="inline"/>
              <w:rPr>
                <w:sz w:val="32"/>
                <w:szCs w:val="32"/>
                <w:lang w:val="fr-FR"/>
              </w:rPr>
            </w:pPr>
            <w:r w:rsidRPr="00E54A53">
              <w:rPr>
                <w:rFonts w:cstheme="minorHAnsi"/>
                <w:sz w:val="32"/>
                <w:szCs w:val="32"/>
                <w:lang w:val="fr-FR"/>
              </w:rPr>
              <w:t>NOTE DE LIAISON SUR LA PROPOSITION VISANT À ALLOUER DES FONDS POUR APPUYER LA MISE EN ŒUVRE DES INITIATIVES RÉGIONALES DE LA CMDT-25</w:t>
            </w:r>
          </w:p>
        </w:tc>
      </w:tr>
      <w:tr w:rsidR="00D72F49" w:rsidRPr="00813E5E" w14:paraId="160125A9" w14:textId="77777777" w:rsidTr="00796BDB">
        <w:trPr>
          <w:cantSplit/>
        </w:trPr>
        <w:tc>
          <w:tcPr>
            <w:tcW w:w="9214" w:type="dxa"/>
            <w:gridSpan w:val="2"/>
            <w:tcBorders>
              <w:top w:val="single" w:sz="4" w:space="0" w:color="auto"/>
              <w:bottom w:val="single" w:sz="4" w:space="0" w:color="auto"/>
            </w:tcBorders>
            <w:tcMar>
              <w:left w:w="0" w:type="dxa"/>
            </w:tcMar>
          </w:tcPr>
          <w:p w14:paraId="71363564" w14:textId="77777777" w:rsidR="00D72F49" w:rsidRPr="0099485B" w:rsidRDefault="00F37FE5" w:rsidP="00796BDB">
            <w:pPr>
              <w:spacing w:before="160"/>
              <w:rPr>
                <w:b/>
                <w:bCs/>
                <w:sz w:val="26"/>
                <w:szCs w:val="26"/>
                <w:lang w:val="fr-CH"/>
              </w:rPr>
            </w:pPr>
            <w:r>
              <w:rPr>
                <w:b/>
                <w:bCs/>
                <w:sz w:val="26"/>
                <w:szCs w:val="26"/>
                <w:lang w:val="fr-CH"/>
              </w:rPr>
              <w:t>Objet</w:t>
            </w:r>
          </w:p>
          <w:p w14:paraId="47AB26FA" w14:textId="1D2E64E9" w:rsidR="00D72F49" w:rsidRPr="0099485B" w:rsidRDefault="00E54A53" w:rsidP="00796BDB">
            <w:pPr>
              <w:rPr>
                <w:lang w:val="fr-CH"/>
              </w:rPr>
            </w:pPr>
            <w:r w:rsidRPr="00E54A53">
              <w:rPr>
                <w:lang w:val="fr-CH"/>
              </w:rPr>
              <w:t>La présente note de liaison contient une proposition soumise au Conseil de l'UIT à sa session de 2026 visant à envisager d'allouer les fonds nécessaires pour appuyer la mise en œuvre des résultats de la CMDT-25 concernant les initiatives régionales adoptées par la Conférence. La proposition tient compte des allocations précédemment accordées par le Conseil à ses sessions de 2018 et de 2023 pour appuyer la mise en œuvre des résultats de la CMDT-17 et de la CMDT-22, respectivement.</w:t>
            </w:r>
          </w:p>
          <w:p w14:paraId="0C032329"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6F68834E" w14:textId="43A4E6B7" w:rsidR="00D72F49" w:rsidRPr="00122CE1" w:rsidRDefault="00E54A53" w:rsidP="00796BDB">
            <w:pPr>
              <w:rPr>
                <w:lang w:val="fr-CH"/>
              </w:rPr>
            </w:pPr>
            <w:r w:rsidRPr="00E54A53">
              <w:rPr>
                <w:lang w:val="fr-CH"/>
              </w:rPr>
              <w:t>Le Conseil est prié d'</w:t>
            </w:r>
            <w:r w:rsidRPr="00E54A53">
              <w:rPr>
                <w:b/>
                <w:bCs/>
                <w:lang w:val="fr-CH"/>
              </w:rPr>
              <w:t>envisager</w:t>
            </w:r>
            <w:r w:rsidRPr="00E54A53">
              <w:rPr>
                <w:lang w:val="fr-CH"/>
              </w:rPr>
              <w:t xml:space="preserve"> d'allouer les fonds nécessaires afin d'appuyer la mise en œuvre des résultats de la CMDT-25 concernant les initiatives régionales adoptées par la Conférence.</w:t>
            </w:r>
          </w:p>
          <w:p w14:paraId="5700B038" w14:textId="77777777" w:rsidR="00D72F49" w:rsidRPr="00813E5E" w:rsidRDefault="00D72F49" w:rsidP="00796BDB">
            <w:pPr>
              <w:spacing w:before="160"/>
              <w:rPr>
                <w:caps/>
                <w:sz w:val="22"/>
              </w:rPr>
            </w:pPr>
            <w:r w:rsidRPr="00813E5E">
              <w:rPr>
                <w:sz w:val="22"/>
              </w:rPr>
              <w:t>____________</w:t>
            </w:r>
            <w:r>
              <w:rPr>
                <w:sz w:val="22"/>
              </w:rPr>
              <w:t>______</w:t>
            </w:r>
          </w:p>
          <w:p w14:paraId="5075372C" w14:textId="77777777" w:rsidR="00D72F49" w:rsidRDefault="00D72F49" w:rsidP="00796BDB">
            <w:pPr>
              <w:spacing w:before="160"/>
              <w:rPr>
                <w:b/>
                <w:bCs/>
                <w:sz w:val="26"/>
                <w:szCs w:val="26"/>
              </w:rPr>
            </w:pPr>
            <w:r w:rsidRPr="00F16BAB">
              <w:rPr>
                <w:b/>
                <w:bCs/>
                <w:sz w:val="26"/>
                <w:szCs w:val="26"/>
              </w:rPr>
              <w:t>Références</w:t>
            </w:r>
          </w:p>
          <w:p w14:paraId="3BD2833A" w14:textId="3D8513A7" w:rsidR="00D72F49" w:rsidRPr="00E54A53" w:rsidRDefault="00E54A53" w:rsidP="00CE5172">
            <w:pPr>
              <w:pStyle w:val="Referencetext"/>
              <w:framePr w:hSpace="0" w:wrap="auto" w:vAnchor="margin" w:hAnchor="text" w:xAlign="left" w:yAlign="inline"/>
              <w:rPr>
                <w:sz w:val="24"/>
                <w:szCs w:val="24"/>
              </w:rPr>
            </w:pPr>
            <w:hyperlink r:id="rId7" w:history="1">
              <w:r w:rsidRPr="00E54A53">
                <w:rPr>
                  <w:rStyle w:val="Hyperlink"/>
                  <w:rFonts w:eastAsia="Times New Roman" w:cs="Times New Roman"/>
                  <w:sz w:val="24"/>
                  <w:szCs w:val="24"/>
                </w:rPr>
                <w:t>Document C26/42</w:t>
              </w:r>
            </w:hyperlink>
          </w:p>
        </w:tc>
      </w:tr>
    </w:tbl>
    <w:p w14:paraId="5658E059"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pPr w:leftFromText="180" w:rightFromText="180" w:vertAnchor="page" w:horzAnchor="margin" w:tblpY="931"/>
        <w:tblW w:w="10035" w:type="dxa"/>
        <w:tblLayout w:type="fixed"/>
        <w:tblLook w:val="04A0" w:firstRow="1" w:lastRow="0" w:firstColumn="1" w:lastColumn="0" w:noHBand="0" w:noVBand="1"/>
      </w:tblPr>
      <w:tblGrid>
        <w:gridCol w:w="1276"/>
        <w:gridCol w:w="1277"/>
        <w:gridCol w:w="1702"/>
        <w:gridCol w:w="2093"/>
        <w:gridCol w:w="3687"/>
      </w:tblGrid>
      <w:tr w:rsidR="00E54A53" w14:paraId="3382C325" w14:textId="77777777" w:rsidTr="00E54A53">
        <w:trPr>
          <w:cantSplit/>
          <w:trHeight w:val="1134"/>
        </w:trPr>
        <w:tc>
          <w:tcPr>
            <w:tcW w:w="6348" w:type="dxa"/>
            <w:gridSpan w:val="4"/>
            <w:hideMark/>
          </w:tcPr>
          <w:p w14:paraId="7CAC81D5" w14:textId="77777777" w:rsidR="00E54A53" w:rsidRDefault="00E54A53">
            <w:pPr>
              <w:tabs>
                <w:tab w:val="clear" w:pos="567"/>
                <w:tab w:val="clear" w:pos="1701"/>
                <w:tab w:val="left" w:pos="1871"/>
              </w:tabs>
              <w:ind w:left="34"/>
              <w:rPr>
                <w:b/>
                <w:bCs/>
                <w:sz w:val="32"/>
                <w:szCs w:val="32"/>
              </w:rPr>
            </w:pPr>
            <w:r>
              <w:rPr>
                <w:b/>
                <w:bCs/>
                <w:color w:val="000000"/>
                <w:sz w:val="32"/>
                <w:szCs w:val="32"/>
              </w:rPr>
              <w:lastRenderedPageBreak/>
              <w:t>Groupe consultatif pour le développement des télécommunications (GCDT)</w:t>
            </w:r>
          </w:p>
          <w:p w14:paraId="00FDD087" w14:textId="77777777" w:rsidR="00E54A53" w:rsidRDefault="00E54A53">
            <w:pPr>
              <w:tabs>
                <w:tab w:val="clear" w:pos="567"/>
                <w:tab w:val="clear" w:pos="1134"/>
                <w:tab w:val="clear" w:pos="1701"/>
                <w:tab w:val="left" w:pos="1871"/>
              </w:tabs>
              <w:spacing w:after="48"/>
              <w:ind w:left="34"/>
              <w:rPr>
                <w:b/>
                <w:bCs/>
                <w:sz w:val="28"/>
                <w:szCs w:val="28"/>
              </w:rPr>
            </w:pPr>
            <w:r>
              <w:rPr>
                <w:b/>
                <w:bCs/>
                <w:color w:val="000000"/>
              </w:rPr>
              <w:t>33ème réunion, Genève (Suisse), 7-10 avril 2026</w:t>
            </w:r>
          </w:p>
        </w:tc>
        <w:tc>
          <w:tcPr>
            <w:tcW w:w="3687" w:type="dxa"/>
            <w:hideMark/>
          </w:tcPr>
          <w:p w14:paraId="2435802B" w14:textId="3134CA19" w:rsidR="00E54A53" w:rsidRDefault="00E54A53">
            <w:pPr>
              <w:tabs>
                <w:tab w:val="clear" w:pos="567"/>
                <w:tab w:val="clear" w:pos="1701"/>
                <w:tab w:val="left" w:pos="1871"/>
              </w:tabs>
              <w:spacing w:line="240" w:lineRule="atLeast"/>
              <w:jc w:val="right"/>
              <w:rPr>
                <w:rFonts w:cs="Calibri"/>
              </w:rPr>
            </w:pPr>
            <w:r>
              <w:rPr>
                <w:noProof/>
                <w:color w:val="000000"/>
                <w:lang w:eastAsia="fr-FR"/>
              </w:rPr>
              <w:drawing>
                <wp:inline distT="0" distB="0" distL="0" distR="0" wp14:anchorId="7B0151D0" wp14:editId="094EDB03">
                  <wp:extent cx="716280" cy="770890"/>
                  <wp:effectExtent l="0" t="0" r="7620" b="0"/>
                  <wp:docPr id="125568035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770890"/>
                          </a:xfrm>
                          <a:prstGeom prst="rect">
                            <a:avLst/>
                          </a:prstGeom>
                          <a:noFill/>
                          <a:ln>
                            <a:noFill/>
                          </a:ln>
                        </pic:spPr>
                      </pic:pic>
                    </a:graphicData>
                  </a:graphic>
                </wp:inline>
              </w:drawing>
            </w:r>
          </w:p>
        </w:tc>
      </w:tr>
      <w:tr w:rsidR="00E54A53" w14:paraId="72131C93" w14:textId="77777777" w:rsidTr="00E54A53">
        <w:trPr>
          <w:cantSplit/>
        </w:trPr>
        <w:tc>
          <w:tcPr>
            <w:tcW w:w="6348" w:type="dxa"/>
            <w:gridSpan w:val="4"/>
            <w:tcBorders>
              <w:top w:val="single" w:sz="12" w:space="0" w:color="auto"/>
              <w:left w:val="nil"/>
              <w:bottom w:val="nil"/>
              <w:right w:val="nil"/>
            </w:tcBorders>
          </w:tcPr>
          <w:p w14:paraId="3A853965" w14:textId="77777777" w:rsidR="00E54A53" w:rsidRDefault="00E54A53">
            <w:pPr>
              <w:tabs>
                <w:tab w:val="clear" w:pos="567"/>
                <w:tab w:val="clear" w:pos="1701"/>
                <w:tab w:val="left" w:pos="1871"/>
              </w:tabs>
              <w:spacing w:before="0" w:after="48" w:line="240" w:lineRule="atLeast"/>
              <w:rPr>
                <w:rFonts w:cs="Calibri"/>
                <w:b/>
                <w:smallCaps/>
                <w:sz w:val="20"/>
              </w:rPr>
            </w:pPr>
          </w:p>
        </w:tc>
        <w:tc>
          <w:tcPr>
            <w:tcW w:w="3687" w:type="dxa"/>
            <w:tcBorders>
              <w:top w:val="single" w:sz="12" w:space="0" w:color="auto"/>
              <w:left w:val="nil"/>
              <w:bottom w:val="nil"/>
              <w:right w:val="nil"/>
            </w:tcBorders>
          </w:tcPr>
          <w:p w14:paraId="23F7BCCF" w14:textId="77777777" w:rsidR="00E54A53" w:rsidRDefault="00E54A53">
            <w:pPr>
              <w:tabs>
                <w:tab w:val="clear" w:pos="567"/>
                <w:tab w:val="clear" w:pos="1701"/>
                <w:tab w:val="left" w:pos="1871"/>
              </w:tabs>
              <w:spacing w:before="0" w:line="240" w:lineRule="atLeast"/>
              <w:rPr>
                <w:rFonts w:cs="Calibri"/>
                <w:sz w:val="20"/>
              </w:rPr>
            </w:pPr>
          </w:p>
        </w:tc>
      </w:tr>
      <w:tr w:rsidR="00E54A53" w14:paraId="7EE54B87" w14:textId="77777777" w:rsidTr="00E54A53">
        <w:trPr>
          <w:cantSplit/>
          <w:trHeight w:val="23"/>
        </w:trPr>
        <w:tc>
          <w:tcPr>
            <w:tcW w:w="6348" w:type="dxa"/>
            <w:gridSpan w:val="4"/>
          </w:tcPr>
          <w:p w14:paraId="623C2943" w14:textId="77777777" w:rsidR="00E54A53" w:rsidRDefault="00E54A53">
            <w:pPr>
              <w:tabs>
                <w:tab w:val="clear" w:pos="567"/>
                <w:tab w:val="clear" w:pos="1701"/>
                <w:tab w:val="left" w:pos="851"/>
                <w:tab w:val="left" w:pos="1871"/>
              </w:tabs>
              <w:spacing w:before="0" w:line="240" w:lineRule="atLeast"/>
              <w:rPr>
                <w:rFonts w:cs="Calibri"/>
                <w:b/>
                <w:szCs w:val="24"/>
              </w:rPr>
            </w:pPr>
          </w:p>
        </w:tc>
        <w:tc>
          <w:tcPr>
            <w:tcW w:w="3687" w:type="dxa"/>
            <w:hideMark/>
          </w:tcPr>
          <w:p w14:paraId="3907E4E7" w14:textId="77777777" w:rsidR="00E54A53" w:rsidRDefault="00E54A53">
            <w:pPr>
              <w:tabs>
                <w:tab w:val="clear" w:pos="567"/>
                <w:tab w:val="clear" w:pos="1701"/>
                <w:tab w:val="left" w:pos="851"/>
                <w:tab w:val="left" w:pos="1871"/>
              </w:tabs>
              <w:spacing w:before="0" w:line="240" w:lineRule="atLeast"/>
              <w:rPr>
                <w:rFonts w:cs="Calibri"/>
                <w:szCs w:val="24"/>
              </w:rPr>
            </w:pPr>
            <w:r>
              <w:rPr>
                <w:b/>
                <w:bCs/>
                <w:color w:val="000000"/>
              </w:rPr>
              <w:t>TDAG-26 – LS 3</w:t>
            </w:r>
          </w:p>
        </w:tc>
      </w:tr>
      <w:tr w:rsidR="00E54A53" w14:paraId="72DB35A6" w14:textId="77777777" w:rsidTr="00E54A53">
        <w:trPr>
          <w:cantSplit/>
          <w:trHeight w:val="23"/>
        </w:trPr>
        <w:tc>
          <w:tcPr>
            <w:tcW w:w="6348" w:type="dxa"/>
            <w:gridSpan w:val="4"/>
          </w:tcPr>
          <w:p w14:paraId="3D8F8389" w14:textId="77777777" w:rsidR="00E54A53" w:rsidRDefault="00E54A53">
            <w:pPr>
              <w:tabs>
                <w:tab w:val="clear" w:pos="567"/>
                <w:tab w:val="clear" w:pos="1701"/>
                <w:tab w:val="left" w:pos="851"/>
                <w:tab w:val="left" w:pos="1871"/>
              </w:tabs>
              <w:spacing w:before="0" w:line="240" w:lineRule="atLeast"/>
              <w:rPr>
                <w:rFonts w:cs="Calibri"/>
                <w:b/>
                <w:szCs w:val="24"/>
                <w:lang w:val="es-ES_tradnl"/>
              </w:rPr>
            </w:pPr>
          </w:p>
        </w:tc>
        <w:tc>
          <w:tcPr>
            <w:tcW w:w="3687" w:type="dxa"/>
            <w:hideMark/>
          </w:tcPr>
          <w:p w14:paraId="45B60499" w14:textId="77777777" w:rsidR="00E54A53" w:rsidRDefault="00E54A53">
            <w:pPr>
              <w:tabs>
                <w:tab w:val="clear" w:pos="567"/>
                <w:tab w:val="clear" w:pos="1701"/>
                <w:tab w:val="left" w:pos="1871"/>
              </w:tabs>
              <w:spacing w:before="0" w:line="240" w:lineRule="atLeast"/>
              <w:rPr>
                <w:rFonts w:cs="Calibri"/>
                <w:szCs w:val="24"/>
              </w:rPr>
            </w:pPr>
            <w:r>
              <w:rPr>
                <w:b/>
                <w:bCs/>
                <w:color w:val="000000"/>
              </w:rPr>
              <w:t>10 avril 2026</w:t>
            </w:r>
          </w:p>
        </w:tc>
      </w:tr>
      <w:tr w:rsidR="00E54A53" w14:paraId="66F484F7" w14:textId="77777777" w:rsidTr="00E54A53">
        <w:trPr>
          <w:cantSplit/>
          <w:trHeight w:val="23"/>
        </w:trPr>
        <w:tc>
          <w:tcPr>
            <w:tcW w:w="6348" w:type="dxa"/>
            <w:gridSpan w:val="4"/>
          </w:tcPr>
          <w:p w14:paraId="5EA619DD" w14:textId="77777777" w:rsidR="00E54A53" w:rsidRDefault="00E54A53">
            <w:pPr>
              <w:tabs>
                <w:tab w:val="clear" w:pos="567"/>
                <w:tab w:val="clear" w:pos="1701"/>
                <w:tab w:val="left" w:pos="851"/>
                <w:tab w:val="left" w:pos="1871"/>
              </w:tabs>
              <w:spacing w:before="0" w:line="240" w:lineRule="atLeast"/>
              <w:rPr>
                <w:rFonts w:cs="Calibri"/>
                <w:szCs w:val="24"/>
              </w:rPr>
            </w:pPr>
          </w:p>
        </w:tc>
        <w:tc>
          <w:tcPr>
            <w:tcW w:w="3687" w:type="dxa"/>
            <w:hideMark/>
          </w:tcPr>
          <w:p w14:paraId="253B172B" w14:textId="77777777" w:rsidR="00E54A53" w:rsidRDefault="00E54A53">
            <w:pPr>
              <w:tabs>
                <w:tab w:val="clear" w:pos="567"/>
                <w:tab w:val="clear" w:pos="1701"/>
                <w:tab w:val="left" w:pos="993"/>
                <w:tab w:val="left" w:pos="1871"/>
              </w:tabs>
              <w:spacing w:before="0"/>
              <w:rPr>
                <w:rFonts w:cs="Calibri"/>
                <w:b/>
                <w:szCs w:val="24"/>
              </w:rPr>
            </w:pPr>
            <w:r>
              <w:rPr>
                <w:b/>
                <w:bCs/>
                <w:color w:val="000000"/>
              </w:rPr>
              <w:t>Original: anglais</w:t>
            </w:r>
          </w:p>
        </w:tc>
      </w:tr>
      <w:tr w:rsidR="00E54A53" w:rsidRPr="00E54A53" w14:paraId="3DE77865" w14:textId="77777777" w:rsidTr="00E54A53">
        <w:trPr>
          <w:cantSplit/>
          <w:trHeight w:val="23"/>
        </w:trPr>
        <w:tc>
          <w:tcPr>
            <w:tcW w:w="10035" w:type="dxa"/>
            <w:gridSpan w:val="5"/>
            <w:hideMark/>
          </w:tcPr>
          <w:p w14:paraId="4D9DE859" w14:textId="5FAE6372" w:rsidR="00E54A53" w:rsidRDefault="00E54A53">
            <w:pPr>
              <w:tabs>
                <w:tab w:val="clear" w:pos="567"/>
                <w:tab w:val="clear" w:pos="1701"/>
                <w:tab w:val="left" w:pos="1871"/>
              </w:tabs>
              <w:spacing w:before="240" w:after="240"/>
              <w:jc w:val="center"/>
              <w:rPr>
                <w:b/>
                <w:sz w:val="28"/>
                <w:szCs w:val="22"/>
              </w:rPr>
            </w:pPr>
            <w:r>
              <w:rPr>
                <w:b/>
                <w:bCs/>
                <w:color w:val="000000"/>
                <w:sz w:val="28"/>
                <w:szCs w:val="22"/>
              </w:rPr>
              <w:t xml:space="preserve">Présidente du Groupe consultatif pour le développement </w:t>
            </w:r>
            <w:r>
              <w:rPr>
                <w:b/>
                <w:bCs/>
                <w:color w:val="000000"/>
                <w:sz w:val="28"/>
                <w:szCs w:val="22"/>
              </w:rPr>
              <w:br/>
              <w:t>des télécommunications (GCDT)</w:t>
            </w:r>
          </w:p>
        </w:tc>
      </w:tr>
      <w:tr w:rsidR="00E54A53" w:rsidRPr="00E54A53" w14:paraId="23F1A118" w14:textId="77777777" w:rsidTr="00E54A53">
        <w:trPr>
          <w:cantSplit/>
          <w:trHeight w:val="23"/>
        </w:trPr>
        <w:tc>
          <w:tcPr>
            <w:tcW w:w="10035" w:type="dxa"/>
            <w:gridSpan w:val="5"/>
            <w:vAlign w:val="center"/>
            <w:hideMark/>
          </w:tcPr>
          <w:p w14:paraId="7402A144" w14:textId="4029E714" w:rsidR="00E54A53" w:rsidRDefault="00E54A53">
            <w:pPr>
              <w:tabs>
                <w:tab w:val="clear" w:pos="567"/>
                <w:tab w:val="clear" w:pos="1701"/>
                <w:tab w:val="left" w:pos="1871"/>
              </w:tabs>
              <w:spacing w:after="120"/>
              <w:jc w:val="center"/>
              <w:rPr>
                <w:sz w:val="28"/>
                <w:szCs w:val="22"/>
              </w:rPr>
            </w:pPr>
            <w:r>
              <w:rPr>
                <w:color w:val="000000"/>
                <w:sz w:val="28"/>
                <w:szCs w:val="22"/>
              </w:rPr>
              <w:t xml:space="preserve">Proposition visant à allouer des fonds pour appuyer la mise </w:t>
            </w:r>
            <w:r>
              <w:rPr>
                <w:color w:val="000000"/>
                <w:sz w:val="28"/>
                <w:szCs w:val="22"/>
              </w:rPr>
              <w:br/>
              <w:t>en œuvre des initiatives régionales de la CMDT-25</w:t>
            </w:r>
          </w:p>
        </w:tc>
      </w:tr>
      <w:tr w:rsidR="00E54A53" w:rsidRPr="00E54A53" w14:paraId="5C014E75" w14:textId="77777777" w:rsidTr="00E54A53">
        <w:trPr>
          <w:cantSplit/>
          <w:trHeight w:val="23"/>
        </w:trPr>
        <w:tc>
          <w:tcPr>
            <w:tcW w:w="2553" w:type="dxa"/>
            <w:gridSpan w:val="2"/>
            <w:vAlign w:val="center"/>
            <w:hideMark/>
          </w:tcPr>
          <w:p w14:paraId="07BDE512" w14:textId="77777777" w:rsidR="00E54A53" w:rsidRDefault="00E54A53">
            <w:pPr>
              <w:tabs>
                <w:tab w:val="clear" w:pos="567"/>
                <w:tab w:val="clear" w:pos="1701"/>
                <w:tab w:val="left" w:pos="1871"/>
              </w:tabs>
              <w:spacing w:before="60" w:after="60"/>
              <w:rPr>
                <w:b/>
                <w:bCs/>
                <w:szCs w:val="24"/>
              </w:rPr>
            </w:pPr>
            <w:r>
              <w:rPr>
                <w:b/>
                <w:bCs/>
                <w:color w:val="000000"/>
              </w:rPr>
              <w:t>Pour suite à donner par:</w:t>
            </w:r>
          </w:p>
        </w:tc>
        <w:tc>
          <w:tcPr>
            <w:tcW w:w="7482" w:type="dxa"/>
            <w:gridSpan w:val="3"/>
            <w:vAlign w:val="center"/>
            <w:hideMark/>
          </w:tcPr>
          <w:p w14:paraId="1B09A4BB" w14:textId="77777777" w:rsidR="00E54A53" w:rsidRDefault="00E54A53">
            <w:pPr>
              <w:tabs>
                <w:tab w:val="clear" w:pos="567"/>
                <w:tab w:val="clear" w:pos="1701"/>
                <w:tab w:val="left" w:pos="1871"/>
              </w:tabs>
              <w:spacing w:before="60" w:after="60"/>
              <w:rPr>
                <w:szCs w:val="24"/>
              </w:rPr>
            </w:pPr>
            <w:r>
              <w:rPr>
                <w:color w:val="000000"/>
              </w:rPr>
              <w:t>Le Conseil de l'UIT, à sa session de 2026</w:t>
            </w:r>
          </w:p>
        </w:tc>
      </w:tr>
      <w:tr w:rsidR="00E54A53" w14:paraId="0E65297E" w14:textId="77777777" w:rsidTr="00E54A53">
        <w:trPr>
          <w:cantSplit/>
          <w:trHeight w:val="23"/>
        </w:trPr>
        <w:tc>
          <w:tcPr>
            <w:tcW w:w="2553" w:type="dxa"/>
            <w:gridSpan w:val="2"/>
            <w:vAlign w:val="center"/>
            <w:hideMark/>
          </w:tcPr>
          <w:p w14:paraId="392BC502" w14:textId="77777777" w:rsidR="00E54A53" w:rsidRDefault="00E54A53">
            <w:pPr>
              <w:tabs>
                <w:tab w:val="clear" w:pos="567"/>
                <w:tab w:val="clear" w:pos="1701"/>
                <w:tab w:val="left" w:pos="1871"/>
              </w:tabs>
              <w:spacing w:before="60" w:after="60"/>
              <w:rPr>
                <w:b/>
                <w:bCs/>
                <w:szCs w:val="24"/>
              </w:rPr>
            </w:pPr>
            <w:r>
              <w:rPr>
                <w:b/>
                <w:bCs/>
                <w:color w:val="000000"/>
              </w:rPr>
              <w:t>Pour information à:</w:t>
            </w:r>
          </w:p>
        </w:tc>
        <w:tc>
          <w:tcPr>
            <w:tcW w:w="7482" w:type="dxa"/>
            <w:gridSpan w:val="3"/>
            <w:vAlign w:val="center"/>
            <w:hideMark/>
          </w:tcPr>
          <w:p w14:paraId="5F31A3C8" w14:textId="4ABBF51A" w:rsidR="00E54A53" w:rsidRDefault="00E54A53">
            <w:pPr>
              <w:tabs>
                <w:tab w:val="clear" w:pos="567"/>
                <w:tab w:val="clear" w:pos="1701"/>
                <w:tab w:val="left" w:pos="1871"/>
              </w:tabs>
              <w:spacing w:before="60" w:after="60"/>
              <w:rPr>
                <w:szCs w:val="24"/>
              </w:rPr>
            </w:pPr>
            <w:r w:rsidRPr="00E54A53">
              <w:rPr>
                <w:color w:val="000000"/>
              </w:rPr>
              <w:t>–</w:t>
            </w:r>
          </w:p>
        </w:tc>
      </w:tr>
      <w:tr w:rsidR="00E54A53" w14:paraId="558869A9" w14:textId="77777777" w:rsidTr="00E54A53">
        <w:trPr>
          <w:cantSplit/>
          <w:trHeight w:val="23"/>
        </w:trPr>
        <w:tc>
          <w:tcPr>
            <w:tcW w:w="2553" w:type="dxa"/>
            <w:gridSpan w:val="2"/>
            <w:vAlign w:val="center"/>
            <w:hideMark/>
          </w:tcPr>
          <w:p w14:paraId="59F58796" w14:textId="77777777" w:rsidR="00E54A53" w:rsidRDefault="00E54A53">
            <w:pPr>
              <w:tabs>
                <w:tab w:val="clear" w:pos="567"/>
                <w:tab w:val="clear" w:pos="1701"/>
                <w:tab w:val="left" w:pos="1871"/>
              </w:tabs>
              <w:spacing w:before="60" w:after="60"/>
              <w:rPr>
                <w:b/>
                <w:bCs/>
                <w:szCs w:val="24"/>
              </w:rPr>
            </w:pPr>
            <w:r>
              <w:rPr>
                <w:b/>
                <w:bCs/>
                <w:color w:val="000000"/>
              </w:rPr>
              <w:t>Délai:</w:t>
            </w:r>
          </w:p>
        </w:tc>
        <w:tc>
          <w:tcPr>
            <w:tcW w:w="7482" w:type="dxa"/>
            <w:gridSpan w:val="3"/>
            <w:vAlign w:val="center"/>
            <w:hideMark/>
          </w:tcPr>
          <w:p w14:paraId="3B5F63E7" w14:textId="1EEF002F" w:rsidR="00E54A53" w:rsidRDefault="00E54A53">
            <w:pPr>
              <w:tabs>
                <w:tab w:val="clear" w:pos="567"/>
                <w:tab w:val="clear" w:pos="1701"/>
                <w:tab w:val="left" w:pos="1871"/>
              </w:tabs>
              <w:spacing w:before="60" w:after="60"/>
              <w:rPr>
                <w:szCs w:val="24"/>
              </w:rPr>
            </w:pPr>
            <w:r w:rsidRPr="00E54A53">
              <w:rPr>
                <w:color w:val="000000"/>
              </w:rPr>
              <w:t>–</w:t>
            </w:r>
          </w:p>
        </w:tc>
      </w:tr>
      <w:tr w:rsidR="00E54A53" w14:paraId="19FFA7AE" w14:textId="77777777" w:rsidTr="00E54A53">
        <w:trPr>
          <w:cantSplit/>
          <w:trHeight w:val="23"/>
        </w:trPr>
        <w:tc>
          <w:tcPr>
            <w:tcW w:w="2553" w:type="dxa"/>
            <w:gridSpan w:val="2"/>
            <w:tcBorders>
              <w:top w:val="nil"/>
              <w:left w:val="nil"/>
              <w:bottom w:val="single" w:sz="4" w:space="0" w:color="auto"/>
              <w:right w:val="nil"/>
            </w:tcBorders>
            <w:vAlign w:val="center"/>
          </w:tcPr>
          <w:p w14:paraId="6D4A62F1" w14:textId="77777777" w:rsidR="00E54A53" w:rsidRDefault="00E54A53">
            <w:pPr>
              <w:tabs>
                <w:tab w:val="clear" w:pos="567"/>
                <w:tab w:val="clear" w:pos="1701"/>
                <w:tab w:val="left" w:pos="1871"/>
              </w:tabs>
              <w:spacing w:before="0"/>
              <w:jc w:val="both"/>
              <w:rPr>
                <w:b/>
                <w:bCs/>
                <w:szCs w:val="24"/>
              </w:rPr>
            </w:pPr>
          </w:p>
        </w:tc>
        <w:tc>
          <w:tcPr>
            <w:tcW w:w="7482" w:type="dxa"/>
            <w:gridSpan w:val="3"/>
            <w:tcBorders>
              <w:top w:val="nil"/>
              <w:left w:val="nil"/>
              <w:bottom w:val="single" w:sz="4" w:space="0" w:color="auto"/>
              <w:right w:val="nil"/>
            </w:tcBorders>
            <w:vAlign w:val="center"/>
          </w:tcPr>
          <w:p w14:paraId="59C29CA1" w14:textId="77777777" w:rsidR="00E54A53" w:rsidRDefault="00E54A53">
            <w:pPr>
              <w:tabs>
                <w:tab w:val="clear" w:pos="567"/>
                <w:tab w:val="clear" w:pos="1701"/>
                <w:tab w:val="left" w:pos="1871"/>
              </w:tabs>
              <w:spacing w:before="0"/>
              <w:jc w:val="both"/>
              <w:rPr>
                <w:szCs w:val="24"/>
              </w:rPr>
            </w:pPr>
          </w:p>
        </w:tc>
      </w:tr>
      <w:tr w:rsidR="00E54A53" w:rsidRPr="00E54A53" w14:paraId="01C8E9DE" w14:textId="77777777" w:rsidTr="00E54A53">
        <w:trPr>
          <w:cantSplit/>
          <w:trHeight w:val="23"/>
        </w:trPr>
        <w:tc>
          <w:tcPr>
            <w:tcW w:w="1276" w:type="dxa"/>
            <w:tcBorders>
              <w:top w:val="single" w:sz="4" w:space="0" w:color="auto"/>
              <w:left w:val="nil"/>
              <w:bottom w:val="nil"/>
              <w:right w:val="nil"/>
            </w:tcBorders>
            <w:hideMark/>
          </w:tcPr>
          <w:p w14:paraId="7FD073DB" w14:textId="77777777" w:rsidR="00E54A53" w:rsidRDefault="00E54A53">
            <w:pPr>
              <w:tabs>
                <w:tab w:val="clear" w:pos="567"/>
                <w:tab w:val="clear" w:pos="1701"/>
                <w:tab w:val="left" w:pos="1871"/>
              </w:tabs>
              <w:spacing w:before="40"/>
              <w:rPr>
                <w:rFonts w:cs="Times New Roman Bold"/>
                <w:b/>
                <w:bCs/>
                <w:szCs w:val="24"/>
              </w:rPr>
            </w:pPr>
            <w:r>
              <w:rPr>
                <w:b/>
                <w:bCs/>
                <w:color w:val="000000"/>
                <w:szCs w:val="24"/>
              </w:rPr>
              <w:t>Contact:</w:t>
            </w:r>
          </w:p>
        </w:tc>
        <w:tc>
          <w:tcPr>
            <w:tcW w:w="2979" w:type="dxa"/>
            <w:gridSpan w:val="2"/>
            <w:tcBorders>
              <w:top w:val="single" w:sz="4" w:space="0" w:color="auto"/>
              <w:left w:val="nil"/>
              <w:bottom w:val="nil"/>
              <w:right w:val="nil"/>
            </w:tcBorders>
            <w:hideMark/>
          </w:tcPr>
          <w:p w14:paraId="7AF99ADB" w14:textId="77777777" w:rsidR="00E54A53" w:rsidRDefault="00E54A53">
            <w:pPr>
              <w:tabs>
                <w:tab w:val="clear" w:pos="567"/>
                <w:tab w:val="clear" w:pos="1134"/>
                <w:tab w:val="clear" w:pos="1701"/>
                <w:tab w:val="clear" w:pos="2268"/>
                <w:tab w:val="left" w:pos="1871"/>
                <w:tab w:val="left" w:pos="2302"/>
              </w:tabs>
              <w:overflowPunct/>
              <w:autoSpaceDE/>
              <w:adjustRightInd/>
              <w:spacing w:before="40"/>
              <w:ind w:left="2302" w:hanging="2302"/>
              <w:rPr>
                <w:szCs w:val="24"/>
              </w:rPr>
            </w:pPr>
            <w:r>
              <w:rPr>
                <w:color w:val="000000"/>
                <w:szCs w:val="24"/>
              </w:rPr>
              <w:t>Nom/Organisation/Entité:</w:t>
            </w:r>
          </w:p>
        </w:tc>
        <w:tc>
          <w:tcPr>
            <w:tcW w:w="5780" w:type="dxa"/>
            <w:gridSpan w:val="2"/>
            <w:tcBorders>
              <w:top w:val="single" w:sz="4" w:space="0" w:color="auto"/>
              <w:left w:val="nil"/>
              <w:bottom w:val="nil"/>
              <w:right w:val="nil"/>
            </w:tcBorders>
            <w:hideMark/>
          </w:tcPr>
          <w:p w14:paraId="54B6BEF7" w14:textId="77777777" w:rsidR="00E54A53" w:rsidRDefault="00E54A53">
            <w:pPr>
              <w:tabs>
                <w:tab w:val="clear" w:pos="567"/>
                <w:tab w:val="left" w:pos="720"/>
              </w:tabs>
              <w:spacing w:before="40"/>
              <w:rPr>
                <w:rFonts w:cs="Times New Roman Bold"/>
                <w:szCs w:val="24"/>
              </w:rPr>
            </w:pPr>
            <w:r>
              <w:rPr>
                <w:color w:val="000000"/>
                <w:szCs w:val="24"/>
              </w:rPr>
              <w:t>Mme Fleur Regina Assoumou Bessou, Présidente du Groupe consultatif pour le développement des télécommunications</w:t>
            </w:r>
          </w:p>
        </w:tc>
      </w:tr>
      <w:tr w:rsidR="00E54A53" w14:paraId="045EFA31" w14:textId="77777777" w:rsidTr="00E54A53">
        <w:trPr>
          <w:cantSplit/>
          <w:trHeight w:val="23"/>
        </w:trPr>
        <w:tc>
          <w:tcPr>
            <w:tcW w:w="1276" w:type="dxa"/>
          </w:tcPr>
          <w:p w14:paraId="13C09EDA" w14:textId="77777777" w:rsidR="00E54A53" w:rsidRDefault="00E54A53">
            <w:pPr>
              <w:tabs>
                <w:tab w:val="clear" w:pos="567"/>
                <w:tab w:val="clear" w:pos="1701"/>
                <w:tab w:val="left" w:pos="1871"/>
              </w:tabs>
              <w:spacing w:before="0"/>
              <w:rPr>
                <w:rFonts w:cs="Times New Roman Bold"/>
                <w:szCs w:val="24"/>
              </w:rPr>
            </w:pPr>
          </w:p>
        </w:tc>
        <w:tc>
          <w:tcPr>
            <w:tcW w:w="2979" w:type="dxa"/>
            <w:gridSpan w:val="2"/>
            <w:hideMark/>
          </w:tcPr>
          <w:p w14:paraId="5F9AC353" w14:textId="77777777" w:rsidR="00E54A53" w:rsidRDefault="00E54A53">
            <w:pPr>
              <w:tabs>
                <w:tab w:val="clear" w:pos="567"/>
                <w:tab w:val="clear" w:pos="1134"/>
                <w:tab w:val="clear" w:pos="1701"/>
                <w:tab w:val="clear" w:pos="2268"/>
                <w:tab w:val="left" w:pos="1871"/>
                <w:tab w:val="left" w:pos="2302"/>
              </w:tabs>
              <w:overflowPunct/>
              <w:autoSpaceDE/>
              <w:adjustRightInd/>
              <w:spacing w:before="40"/>
              <w:rPr>
                <w:szCs w:val="24"/>
              </w:rPr>
            </w:pPr>
            <w:r>
              <w:rPr>
                <w:color w:val="000000"/>
                <w:szCs w:val="24"/>
              </w:rPr>
              <w:t>Numéro de téléphone:</w:t>
            </w:r>
          </w:p>
        </w:tc>
        <w:tc>
          <w:tcPr>
            <w:tcW w:w="5780" w:type="dxa"/>
            <w:gridSpan w:val="2"/>
            <w:hideMark/>
          </w:tcPr>
          <w:p w14:paraId="4F44257D" w14:textId="77777777" w:rsidR="00E54A53" w:rsidRDefault="00E54A53">
            <w:pPr>
              <w:tabs>
                <w:tab w:val="clear" w:pos="567"/>
                <w:tab w:val="clear" w:pos="1701"/>
                <w:tab w:val="left" w:pos="1871"/>
              </w:tabs>
              <w:spacing w:before="40"/>
              <w:rPr>
                <w:rFonts w:cs="Times New Roman Bold"/>
                <w:szCs w:val="24"/>
              </w:rPr>
            </w:pPr>
            <w:r>
              <w:rPr>
                <w:color w:val="000000"/>
                <w:szCs w:val="24"/>
              </w:rPr>
              <w:t>+225 0707815208</w:t>
            </w:r>
          </w:p>
        </w:tc>
      </w:tr>
      <w:tr w:rsidR="00E54A53" w14:paraId="2A44B69E" w14:textId="77777777" w:rsidTr="00E54A53">
        <w:trPr>
          <w:cantSplit/>
          <w:trHeight w:val="23"/>
        </w:trPr>
        <w:tc>
          <w:tcPr>
            <w:tcW w:w="1276" w:type="dxa"/>
            <w:tcBorders>
              <w:top w:val="nil"/>
              <w:left w:val="nil"/>
              <w:bottom w:val="single" w:sz="4" w:space="0" w:color="auto"/>
              <w:right w:val="nil"/>
            </w:tcBorders>
          </w:tcPr>
          <w:p w14:paraId="4AB0CBBE" w14:textId="77777777" w:rsidR="00E54A53" w:rsidRDefault="00E54A53">
            <w:pPr>
              <w:tabs>
                <w:tab w:val="clear" w:pos="567"/>
                <w:tab w:val="clear" w:pos="1701"/>
                <w:tab w:val="left" w:pos="1871"/>
              </w:tabs>
              <w:spacing w:before="0"/>
              <w:rPr>
                <w:rFonts w:cs="Times New Roman Bold"/>
                <w:szCs w:val="24"/>
              </w:rPr>
            </w:pPr>
          </w:p>
        </w:tc>
        <w:tc>
          <w:tcPr>
            <w:tcW w:w="2979" w:type="dxa"/>
            <w:gridSpan w:val="2"/>
            <w:tcBorders>
              <w:top w:val="nil"/>
              <w:left w:val="nil"/>
              <w:bottom w:val="single" w:sz="4" w:space="0" w:color="auto"/>
              <w:right w:val="nil"/>
            </w:tcBorders>
            <w:hideMark/>
          </w:tcPr>
          <w:p w14:paraId="7B851CB9" w14:textId="77777777" w:rsidR="00E54A53" w:rsidRDefault="00E54A53">
            <w:pPr>
              <w:tabs>
                <w:tab w:val="clear" w:pos="567"/>
                <w:tab w:val="clear" w:pos="1134"/>
                <w:tab w:val="clear" w:pos="1701"/>
                <w:tab w:val="clear" w:pos="2268"/>
                <w:tab w:val="left" w:pos="1871"/>
                <w:tab w:val="left" w:pos="2302"/>
              </w:tabs>
              <w:overflowPunct/>
              <w:autoSpaceDE/>
              <w:adjustRightInd/>
              <w:spacing w:before="40"/>
              <w:rPr>
                <w:szCs w:val="24"/>
              </w:rPr>
            </w:pPr>
            <w:r>
              <w:rPr>
                <w:color w:val="000000"/>
                <w:szCs w:val="24"/>
              </w:rPr>
              <w:t>Courriel:</w:t>
            </w:r>
          </w:p>
        </w:tc>
        <w:tc>
          <w:tcPr>
            <w:tcW w:w="5780" w:type="dxa"/>
            <w:gridSpan w:val="2"/>
            <w:tcBorders>
              <w:top w:val="nil"/>
              <w:left w:val="nil"/>
              <w:bottom w:val="single" w:sz="4" w:space="0" w:color="auto"/>
              <w:right w:val="nil"/>
            </w:tcBorders>
            <w:hideMark/>
          </w:tcPr>
          <w:p w14:paraId="3CABEA35" w14:textId="77777777" w:rsidR="00E54A53" w:rsidRDefault="00E54A53">
            <w:pPr>
              <w:tabs>
                <w:tab w:val="clear" w:pos="567"/>
                <w:tab w:val="clear" w:pos="1701"/>
                <w:tab w:val="left" w:pos="1871"/>
              </w:tabs>
              <w:spacing w:before="40"/>
              <w:rPr>
                <w:rFonts w:cs="Times New Roman Bold"/>
                <w:szCs w:val="24"/>
              </w:rPr>
            </w:pPr>
            <w:hyperlink r:id="rId9" w:history="1">
              <w:hyperlink r:id="rId10" w:history="1">
                <w:r>
                  <w:rPr>
                    <w:rStyle w:val="Hyperlink"/>
                    <w:rFonts w:cs="Times New Roman Bold"/>
                    <w:szCs w:val="24"/>
                  </w:rPr>
                  <w:t>bessou.regina@artci.ci</w:t>
                </w:r>
              </w:hyperlink>
              <w:r>
                <w:rPr>
                  <w:rStyle w:val="Hyperlink"/>
                  <w:color w:val="000000"/>
                  <w:szCs w:val="24"/>
                </w:rPr>
                <w:t xml:space="preserve"> </w:t>
              </w:r>
            </w:hyperlink>
          </w:p>
        </w:tc>
      </w:tr>
      <w:tr w:rsidR="00E54A53" w:rsidRPr="00E54A53" w14:paraId="7B880497" w14:textId="77777777" w:rsidTr="00E54A53">
        <w:trPr>
          <w:cantSplit/>
          <w:trHeight w:val="23"/>
        </w:trPr>
        <w:tc>
          <w:tcPr>
            <w:tcW w:w="1276" w:type="dxa"/>
            <w:tcBorders>
              <w:top w:val="single" w:sz="4" w:space="0" w:color="auto"/>
              <w:left w:val="nil"/>
              <w:bottom w:val="nil"/>
              <w:right w:val="nil"/>
            </w:tcBorders>
            <w:hideMark/>
          </w:tcPr>
          <w:p w14:paraId="291E8A31" w14:textId="77777777" w:rsidR="00E54A53" w:rsidRDefault="00E54A53">
            <w:pPr>
              <w:tabs>
                <w:tab w:val="clear" w:pos="567"/>
                <w:tab w:val="clear" w:pos="1701"/>
                <w:tab w:val="left" w:pos="1871"/>
              </w:tabs>
              <w:spacing w:before="0"/>
              <w:rPr>
                <w:rFonts w:cs="Times New Roman Bold"/>
                <w:szCs w:val="24"/>
              </w:rPr>
            </w:pPr>
            <w:r>
              <w:rPr>
                <w:b/>
                <w:bCs/>
                <w:color w:val="000000"/>
                <w:szCs w:val="24"/>
              </w:rPr>
              <w:t>Contact:</w:t>
            </w:r>
          </w:p>
        </w:tc>
        <w:tc>
          <w:tcPr>
            <w:tcW w:w="2979" w:type="dxa"/>
            <w:gridSpan w:val="2"/>
            <w:tcBorders>
              <w:top w:val="single" w:sz="4" w:space="0" w:color="auto"/>
              <w:left w:val="nil"/>
              <w:bottom w:val="nil"/>
              <w:right w:val="nil"/>
            </w:tcBorders>
            <w:hideMark/>
          </w:tcPr>
          <w:p w14:paraId="13A83586" w14:textId="77777777" w:rsidR="00E54A53" w:rsidRDefault="00E54A53">
            <w:pPr>
              <w:tabs>
                <w:tab w:val="clear" w:pos="567"/>
                <w:tab w:val="clear" w:pos="1134"/>
                <w:tab w:val="clear" w:pos="1701"/>
                <w:tab w:val="clear" w:pos="2268"/>
                <w:tab w:val="left" w:pos="1871"/>
                <w:tab w:val="left" w:pos="2302"/>
              </w:tabs>
              <w:overflowPunct/>
              <w:autoSpaceDE/>
              <w:adjustRightInd/>
              <w:spacing w:before="40"/>
              <w:rPr>
                <w:szCs w:val="24"/>
              </w:rPr>
            </w:pPr>
            <w:r>
              <w:rPr>
                <w:color w:val="000000"/>
                <w:szCs w:val="24"/>
              </w:rPr>
              <w:t>Nom/Organisation/Entité:</w:t>
            </w:r>
          </w:p>
        </w:tc>
        <w:tc>
          <w:tcPr>
            <w:tcW w:w="5780" w:type="dxa"/>
            <w:gridSpan w:val="2"/>
            <w:tcBorders>
              <w:top w:val="single" w:sz="4" w:space="0" w:color="auto"/>
              <w:left w:val="nil"/>
              <w:bottom w:val="nil"/>
              <w:right w:val="nil"/>
            </w:tcBorders>
            <w:hideMark/>
          </w:tcPr>
          <w:p w14:paraId="371A003D" w14:textId="77777777" w:rsidR="00E54A53" w:rsidRDefault="00E54A53">
            <w:pPr>
              <w:tabs>
                <w:tab w:val="clear" w:pos="567"/>
                <w:tab w:val="clear" w:pos="1701"/>
                <w:tab w:val="left" w:pos="1871"/>
              </w:tabs>
              <w:spacing w:before="40"/>
              <w:rPr>
                <w:rFonts w:cs="Times New Roman Bold"/>
                <w:szCs w:val="24"/>
                <w:u w:val="single"/>
              </w:rPr>
            </w:pPr>
            <w:r>
              <w:rPr>
                <w:color w:val="000000"/>
                <w:szCs w:val="24"/>
              </w:rPr>
              <w:t>Mme Archana Gulati, Adjointe au Directeur du Bureau de développement des télécommunications</w:t>
            </w:r>
          </w:p>
        </w:tc>
      </w:tr>
      <w:tr w:rsidR="00E54A53" w14:paraId="156388F4" w14:textId="77777777" w:rsidTr="00E54A53">
        <w:trPr>
          <w:cantSplit/>
          <w:trHeight w:val="23"/>
        </w:trPr>
        <w:tc>
          <w:tcPr>
            <w:tcW w:w="1276" w:type="dxa"/>
          </w:tcPr>
          <w:p w14:paraId="2C250C4B" w14:textId="77777777" w:rsidR="00E54A53" w:rsidRDefault="00E54A53">
            <w:pPr>
              <w:tabs>
                <w:tab w:val="clear" w:pos="567"/>
                <w:tab w:val="clear" w:pos="1701"/>
                <w:tab w:val="left" w:pos="1871"/>
              </w:tabs>
              <w:spacing w:before="0"/>
              <w:rPr>
                <w:rFonts w:cs="Times New Roman Bold"/>
                <w:szCs w:val="24"/>
              </w:rPr>
            </w:pPr>
          </w:p>
        </w:tc>
        <w:tc>
          <w:tcPr>
            <w:tcW w:w="2979" w:type="dxa"/>
            <w:gridSpan w:val="2"/>
            <w:hideMark/>
          </w:tcPr>
          <w:p w14:paraId="24556167" w14:textId="77777777" w:rsidR="00E54A53" w:rsidRDefault="00E54A53">
            <w:pPr>
              <w:tabs>
                <w:tab w:val="clear" w:pos="567"/>
                <w:tab w:val="clear" w:pos="1134"/>
                <w:tab w:val="clear" w:pos="1701"/>
                <w:tab w:val="clear" w:pos="2268"/>
                <w:tab w:val="left" w:pos="1871"/>
                <w:tab w:val="left" w:pos="2302"/>
              </w:tabs>
              <w:overflowPunct/>
              <w:autoSpaceDE/>
              <w:adjustRightInd/>
              <w:spacing w:before="40"/>
              <w:rPr>
                <w:szCs w:val="24"/>
              </w:rPr>
            </w:pPr>
            <w:r>
              <w:rPr>
                <w:color w:val="000000"/>
                <w:szCs w:val="24"/>
              </w:rPr>
              <w:t>Numéro de téléphone:</w:t>
            </w:r>
          </w:p>
        </w:tc>
        <w:tc>
          <w:tcPr>
            <w:tcW w:w="5780" w:type="dxa"/>
            <w:gridSpan w:val="2"/>
            <w:hideMark/>
          </w:tcPr>
          <w:p w14:paraId="7A86832F" w14:textId="77777777" w:rsidR="00E54A53" w:rsidRDefault="00E54A53">
            <w:pPr>
              <w:tabs>
                <w:tab w:val="clear" w:pos="567"/>
                <w:tab w:val="clear" w:pos="1701"/>
                <w:tab w:val="left" w:pos="1871"/>
              </w:tabs>
              <w:spacing w:before="40"/>
              <w:rPr>
                <w:rFonts w:cs="Times New Roman Bold"/>
                <w:szCs w:val="24"/>
                <w:u w:val="single"/>
              </w:rPr>
            </w:pPr>
            <w:r>
              <w:rPr>
                <w:color w:val="000000"/>
                <w:szCs w:val="24"/>
              </w:rPr>
              <w:t>+41 22 730 6475</w:t>
            </w:r>
          </w:p>
        </w:tc>
      </w:tr>
      <w:tr w:rsidR="00E54A53" w14:paraId="04465126" w14:textId="77777777" w:rsidTr="00E54A53">
        <w:trPr>
          <w:cantSplit/>
          <w:trHeight w:val="23"/>
        </w:trPr>
        <w:tc>
          <w:tcPr>
            <w:tcW w:w="1276" w:type="dxa"/>
          </w:tcPr>
          <w:p w14:paraId="2689BB41" w14:textId="77777777" w:rsidR="00E54A53" w:rsidRDefault="00E54A53">
            <w:pPr>
              <w:tabs>
                <w:tab w:val="clear" w:pos="567"/>
                <w:tab w:val="clear" w:pos="1701"/>
                <w:tab w:val="left" w:pos="1871"/>
              </w:tabs>
              <w:spacing w:before="0"/>
              <w:rPr>
                <w:rFonts w:cs="Times New Roman Bold"/>
                <w:szCs w:val="24"/>
              </w:rPr>
            </w:pPr>
          </w:p>
        </w:tc>
        <w:tc>
          <w:tcPr>
            <w:tcW w:w="2979" w:type="dxa"/>
            <w:gridSpan w:val="2"/>
            <w:hideMark/>
          </w:tcPr>
          <w:p w14:paraId="0CE17273" w14:textId="77777777" w:rsidR="00E54A53" w:rsidRDefault="00E54A53">
            <w:pPr>
              <w:tabs>
                <w:tab w:val="clear" w:pos="567"/>
                <w:tab w:val="clear" w:pos="1134"/>
                <w:tab w:val="clear" w:pos="1701"/>
                <w:tab w:val="clear" w:pos="2268"/>
                <w:tab w:val="left" w:pos="1871"/>
                <w:tab w:val="left" w:pos="2302"/>
              </w:tabs>
              <w:overflowPunct/>
              <w:autoSpaceDE/>
              <w:adjustRightInd/>
              <w:spacing w:before="40"/>
              <w:rPr>
                <w:szCs w:val="24"/>
              </w:rPr>
            </w:pPr>
            <w:r>
              <w:rPr>
                <w:color w:val="000000"/>
                <w:szCs w:val="24"/>
              </w:rPr>
              <w:t>Courriel:</w:t>
            </w:r>
          </w:p>
        </w:tc>
        <w:tc>
          <w:tcPr>
            <w:tcW w:w="5780" w:type="dxa"/>
            <w:gridSpan w:val="2"/>
            <w:hideMark/>
          </w:tcPr>
          <w:p w14:paraId="3FF06458" w14:textId="77777777" w:rsidR="00E54A53" w:rsidRDefault="00E54A53">
            <w:pPr>
              <w:tabs>
                <w:tab w:val="clear" w:pos="567"/>
                <w:tab w:val="clear" w:pos="1701"/>
                <w:tab w:val="left" w:pos="1871"/>
              </w:tabs>
              <w:spacing w:before="40"/>
              <w:rPr>
                <w:rFonts w:cs="Times New Roman Bold"/>
                <w:color w:val="0000FF"/>
                <w:szCs w:val="24"/>
                <w:u w:val="single"/>
              </w:rPr>
            </w:pPr>
            <w:hyperlink r:id="rId11" w:history="1">
              <w:r>
                <w:rPr>
                  <w:rStyle w:val="Hyperlink"/>
                  <w:rFonts w:cs="Times New Roman Bold"/>
                  <w:szCs w:val="24"/>
                </w:rPr>
                <w:t>archana.gulati@itu.int</w:t>
              </w:r>
            </w:hyperlink>
          </w:p>
        </w:tc>
      </w:tr>
      <w:tr w:rsidR="00E54A53" w14:paraId="604B1FE1" w14:textId="77777777" w:rsidTr="00E54A53">
        <w:trPr>
          <w:cantSplit/>
          <w:trHeight w:val="23"/>
        </w:trPr>
        <w:tc>
          <w:tcPr>
            <w:tcW w:w="10035" w:type="dxa"/>
            <w:gridSpan w:val="5"/>
          </w:tcPr>
          <w:p w14:paraId="18A3D5BB" w14:textId="77777777" w:rsidR="00E54A53" w:rsidRDefault="00E54A53">
            <w:pPr>
              <w:tabs>
                <w:tab w:val="clear" w:pos="567"/>
                <w:tab w:val="clear" w:pos="1701"/>
                <w:tab w:val="left" w:pos="1871"/>
              </w:tabs>
              <w:spacing w:before="0"/>
              <w:rPr>
                <w:rFonts w:cs="Times New Roman Bold"/>
                <w:szCs w:val="24"/>
              </w:rPr>
            </w:pPr>
          </w:p>
        </w:tc>
      </w:tr>
      <w:tr w:rsidR="00E54A53" w:rsidRPr="00E54A53" w14:paraId="0594A675" w14:textId="77777777" w:rsidTr="00E54A53">
        <w:trPr>
          <w:cantSplit/>
          <w:trHeight w:val="23"/>
        </w:trPr>
        <w:tc>
          <w:tcPr>
            <w:tcW w:w="10035" w:type="dxa"/>
            <w:gridSpan w:val="5"/>
            <w:tcBorders>
              <w:top w:val="single" w:sz="4" w:space="0" w:color="auto"/>
              <w:left w:val="single" w:sz="4" w:space="0" w:color="auto"/>
              <w:bottom w:val="single" w:sz="4" w:space="0" w:color="auto"/>
              <w:right w:val="single" w:sz="4" w:space="0" w:color="auto"/>
            </w:tcBorders>
            <w:hideMark/>
          </w:tcPr>
          <w:p w14:paraId="3D12D660" w14:textId="77777777" w:rsidR="00E54A53" w:rsidRDefault="00E54A53">
            <w:pPr>
              <w:tabs>
                <w:tab w:val="clear" w:pos="567"/>
                <w:tab w:val="clear" w:pos="1701"/>
                <w:tab w:val="left" w:pos="1871"/>
              </w:tabs>
              <w:spacing w:after="120"/>
              <w:rPr>
                <w:b/>
                <w:bCs/>
                <w:szCs w:val="24"/>
              </w:rPr>
            </w:pPr>
            <w:r>
              <w:rPr>
                <w:b/>
                <w:bCs/>
                <w:color w:val="000000"/>
              </w:rPr>
              <w:t>Résumé:</w:t>
            </w:r>
          </w:p>
          <w:p w14:paraId="16B70056" w14:textId="4B4401B8" w:rsidR="00E54A53" w:rsidRDefault="00E54A53">
            <w:pPr>
              <w:tabs>
                <w:tab w:val="clear" w:pos="567"/>
                <w:tab w:val="clear" w:pos="1701"/>
                <w:tab w:val="left" w:pos="1871"/>
              </w:tabs>
              <w:spacing w:after="120"/>
              <w:rPr>
                <w:rFonts w:cs="Calibri"/>
                <w:color w:val="000000"/>
                <w:shd w:val="clear" w:color="auto" w:fill="FFFFFF"/>
              </w:rPr>
            </w:pPr>
            <w:r>
              <w:rPr>
                <w:color w:val="000000"/>
              </w:rPr>
              <w:t>La présente note de liaison contient une proposition soumise au Conseil de l'UIT à sa session de 2026 visant à envisager d'allouer les fonds nécessaires pour appuyer la mise en œuvre des résultats de la CMDT-25 concernant les initiatives régionales adoptées par la Conférence. La proposition tient compte des fonds précédemment accordés par le Conseil à ses sessions de 2018 et de 2023 pour appuyer la mise en œuvre des résultats de la CMDT-17 et de la CMDT-22, respectivement.</w:t>
            </w:r>
          </w:p>
        </w:tc>
      </w:tr>
    </w:tbl>
    <w:p w14:paraId="2826CF59" w14:textId="0C1B40E1" w:rsidR="00E54A53" w:rsidRDefault="00E54A53" w:rsidP="00E54A53">
      <w:r>
        <w:t>La Conférence mondiale de développement des télécommunications de 2025 (CMDT-25), qui s'est tenue à Bakou (Azerbaïdjan), a adopté la Déclaration de Bakou et le Plan d'action de Bakou, qui comprennent un ensemble complet de trente initiatives régionales visant à répondre aux besoins particuliers de chaque région, afin de promouvoir une connectivité universelle et efficace et d'accélérer la transformation numérique. Ces résultats constituent un mandat clair et ambitieux pour le Secteur du développement des télécommunications.</w:t>
      </w:r>
    </w:p>
    <w:p w14:paraId="73ED5C33" w14:textId="136B5051" w:rsidR="00E54A53" w:rsidRDefault="00E54A53" w:rsidP="00E54A53">
      <w:r>
        <w:lastRenderedPageBreak/>
        <w:t>Le GCDT rappelle que l'UIT-D a systématiquement eu recours à une mise en œuvre par projet, appuyée par des capitaux d'amorçage ciblés, en tant que mécanisme efficace et axé sur les résultats pour mettre en application les mandats de la CMDT. Dans le même temps, le GCDT reconnaît que la possibilité de signer de nouveaux projets dépend dans une large mesure de la disponibilité de fonds et de partenaires de financement disposés à financer les travaux de l'UIT et qu'un certain nombre de donateurs attendent des organismes recevant des fonds et/ou des pays bénéficiaires d'un appui qu'ils fournissent un certain niveau de cofinancement pour garantir la faisabilité de nouveaux projets, ce qui complique davantage le travail de mobilisation des ressources. Le GCDT prend note des préoccupations soulevées par certains délégués craignant que les exigences de cofinancement ne créent des obstacles pour certains pays en développement, en particulier les pays les moins avancés (PMA).</w:t>
      </w:r>
    </w:p>
    <w:p w14:paraId="73F70CAE" w14:textId="47CFEB17" w:rsidR="00E54A53" w:rsidRDefault="00E54A53" w:rsidP="00E54A53">
      <w:r>
        <w:t>En outre, le GCDT prend acte des modifications apportées à la Résolution 17 (Rév. Bakou, 2025) intitulée "Mobilisation des ressources, mise en œuvre et coopération en ce qui concerne les initiatives régionales approuvées", ainsi que de la nouvelle Résolution 92 (Bakou, 2025) intitulée "Renforcement du rôle des bureaux régionaux de l'UIT dans l'accélération de la transformation numérique et mise à profit des partenariats", qui préconisent la création d'un ensemble complet de mécanismes et de lignes directrices permettant au BDT de concevoir conjointement des projets avec des partenaires et des bénéficiaires et d'appuyer la mobilisation de fonds selon un processus structuré. En outre, le GCDT prend acte des modifications apportées récemment au Règlement financier en ce qui concerne les contributions en nature, ce qui est utile pour la mise en œuvre des initiatives régionales.</w:t>
      </w:r>
    </w:p>
    <w:p w14:paraId="67AE6EA9" w14:textId="12069A59" w:rsidR="00E54A53" w:rsidRDefault="00E54A53" w:rsidP="00E54A53">
      <w:r>
        <w:t>Compte tenu de ces considérations, le GCDT reconnaît qu'il est important d'affecter des fonds suffisants provenant du budget de l'UIT pour faciliter la mise en place de nouveaux projets à l'appui de la mise en œuvre des résultats de la CMDT-25 sur les initiatives régionales. Cette allocation s'appuierait sur les résultats positifs obtenus avec les précédents financements alloués par le Conseil de l'UIT à l'appui de la mise en œuvre des initiatives régionales de la CMDT-17 et de la CMDT-23 respectivement (5 millions CHF à la session de 2018 et 3 millions CHF à la session de 2023).</w:t>
      </w:r>
    </w:p>
    <w:p w14:paraId="29D8488D" w14:textId="67618859" w:rsidR="00E54A53" w:rsidRDefault="00E54A53" w:rsidP="00E54A53">
      <w:r>
        <w:t xml:space="preserve">Les Résolutions adoptées par la CMDT-25 seront mises en œuvre au moyen du budget ordinaire, ainsi que de fonds extrabudgétaires reçus via des projets et des contributions volontaires. Dans le </w:t>
      </w:r>
      <w:hyperlink r:id="rId12" w:history="1">
        <w:r w:rsidRPr="00E54A53">
          <w:rPr>
            <w:rStyle w:val="Hyperlink"/>
            <w:rFonts w:eastAsia="Times New Roman" w:cs="Times New Roman"/>
            <w:szCs w:val="20"/>
          </w:rPr>
          <w:t>Document C26/42</w:t>
        </w:r>
      </w:hyperlink>
      <w:r>
        <w:t>, le Secrétariat propose d'affecter une partie des économies réalisées dans le cadre de l'exécution du budget 2025 aux initiatives régionales approuvées par la CMDT-25.</w:t>
      </w:r>
    </w:p>
    <w:p w14:paraId="69640610" w14:textId="32D887E3" w:rsidR="00E54A53" w:rsidRDefault="00E54A53" w:rsidP="00E54A53">
      <w:r>
        <w:t xml:space="preserve">Au vu de ce qui précède, et compte tenu des options présentées par le Secrétariat, le GCDT invite le Conseil de l'UIT à donner un avis favorable en vue d'approuver la proposition visant à allouer les fonds nécessaires à l'appui de la nouvelle série d'initiatives régionales adoptées par la CMDT-25. Cela inclut le montant proposé de 1,30 million CHF destiné à la réalisation des projets relevant des initiatives régionales en 2026-2027, financé par les économies réalisées dans le cadre de l'exécution du budget 2025 de l'UIT, tel que présenté dans le </w:t>
      </w:r>
      <w:hyperlink r:id="rId13" w:history="1">
        <w:r w:rsidRPr="00E54A53">
          <w:rPr>
            <w:rStyle w:val="Hyperlink"/>
            <w:rFonts w:eastAsia="Times New Roman" w:cs="Times New Roman"/>
            <w:szCs w:val="20"/>
          </w:rPr>
          <w:t>Document C26/42</w:t>
        </w:r>
      </w:hyperlink>
      <w:r>
        <w:t xml:space="preserve"> du Conseil, sans toutefois s'y limiter, sur la base de la demande formulée par le BDT (voir les documents de référence) concernant une allocation budgétaire supplémentaire pour 2028-2029, à partir du Plan financier de l'UIT pour la période 2028</w:t>
      </w:r>
      <w:r>
        <w:noBreakHyphen/>
        <w:t>2030.</w:t>
      </w:r>
    </w:p>
    <w:p w14:paraId="0C83625A" w14:textId="3D498089" w:rsidR="00E54A53" w:rsidRPr="00E54A53" w:rsidRDefault="00E54A53" w:rsidP="00E54A53">
      <w:r>
        <w:t>Une allocation appropriée permettrait de faire face aux incidences financières de la Conférence et de renforcer la capacité de l'UIT à mobiliser des fonds extrabudgétaires supplémentaires afin d'aider les États Membres de l'UIT à répondre aux besoins particuliers de chaque région, à promouvoir une connectivité universelle et efficace et à accélérer la transformation numérique.</w:t>
      </w:r>
    </w:p>
    <w:p w14:paraId="6AA68708" w14:textId="77777777" w:rsidR="00897553" w:rsidRDefault="006A11AE" w:rsidP="002D2336">
      <w:pPr>
        <w:jc w:val="center"/>
      </w:pPr>
      <w:r>
        <w:t>______________</w:t>
      </w:r>
    </w:p>
    <w:sectPr w:rsidR="00897553" w:rsidSect="00D72F49">
      <w:headerReference w:type="even"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756A" w14:textId="77777777" w:rsidR="00676621" w:rsidRDefault="00676621">
      <w:r>
        <w:separator/>
      </w:r>
    </w:p>
  </w:endnote>
  <w:endnote w:type="continuationSeparator" w:id="0">
    <w:p w14:paraId="1FA73547" w14:textId="77777777" w:rsidR="00676621" w:rsidRDefault="0067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3F02" w14:textId="3E69602C" w:rsidR="00732045" w:rsidRDefault="00676621">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F0464C">
      <w:t>24.04.26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46EF224" w14:textId="77777777" w:rsidTr="00E31DCE">
      <w:trPr>
        <w:jc w:val="center"/>
      </w:trPr>
      <w:tc>
        <w:tcPr>
          <w:tcW w:w="1803" w:type="dxa"/>
          <w:vAlign w:val="center"/>
        </w:tcPr>
        <w:p w14:paraId="13D84DC2" w14:textId="4732551A" w:rsidR="00A51849" w:rsidRDefault="00E54A53" w:rsidP="00A51849">
          <w:pPr>
            <w:pStyle w:val="Header"/>
            <w:jc w:val="left"/>
            <w:rPr>
              <w:noProof/>
            </w:rPr>
          </w:pPr>
          <w:r>
            <w:rPr>
              <w:noProof/>
            </w:rPr>
            <w:t>2601023</w:t>
          </w:r>
        </w:p>
      </w:tc>
      <w:tc>
        <w:tcPr>
          <w:tcW w:w="8261" w:type="dxa"/>
        </w:tcPr>
        <w:p w14:paraId="6C2BB941" w14:textId="6150A94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E54A53">
            <w:rPr>
              <w:bCs/>
            </w:rPr>
            <w:t>109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F4C2EE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B6153D5" w14:textId="77777777" w:rsidTr="00E31DCE">
      <w:trPr>
        <w:jc w:val="center"/>
      </w:trPr>
      <w:tc>
        <w:tcPr>
          <w:tcW w:w="1803" w:type="dxa"/>
          <w:vAlign w:val="center"/>
        </w:tcPr>
        <w:p w14:paraId="6F1E70F1"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DDFBCF7" w14:textId="0127D72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E54A53">
            <w:rPr>
              <w:bCs/>
            </w:rPr>
            <w:t>109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FD9CED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91D9" w14:textId="77777777" w:rsidR="00676621" w:rsidRDefault="00676621">
      <w:r>
        <w:t>____________________</w:t>
      </w:r>
    </w:p>
  </w:footnote>
  <w:footnote w:type="continuationSeparator" w:id="0">
    <w:p w14:paraId="4FACA0A8" w14:textId="77777777" w:rsidR="00676621" w:rsidRDefault="0067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D80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B6157AE"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3A4"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21"/>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1648C"/>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466D"/>
    <w:rsid w:val="005F7BFE"/>
    <w:rsid w:val="00600017"/>
    <w:rsid w:val="00602682"/>
    <w:rsid w:val="006235CA"/>
    <w:rsid w:val="0062366E"/>
    <w:rsid w:val="006643AB"/>
    <w:rsid w:val="00676621"/>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54A53"/>
    <w:rsid w:val="00E93668"/>
    <w:rsid w:val="00E95647"/>
    <w:rsid w:val="00EB6350"/>
    <w:rsid w:val="00ED799B"/>
    <w:rsid w:val="00F0464C"/>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A5D2B"/>
  <w15:docId w15:val="{09487626-807B-4AC3-BE7E-48E2875B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6-CL-C-0042/fr"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md/S26-CL-C-0042/fr" TargetMode="External"/><Relationship Id="rId12" Type="http://schemas.openxmlformats.org/officeDocument/2006/relationships/hyperlink" Target="https://www.itu.int/md/S26-CL-C-0042/f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ana.gulati@itu.i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essou.regina@artci.c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ssou.regina@artci.ci"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0</TotalTime>
  <Pages>4</Pages>
  <Words>1115</Words>
  <Characters>6223</Characters>
  <Application>Microsoft Office Word</Application>
  <DocSecurity>0</DocSecurity>
  <Lines>148</Lines>
  <Paragraphs>59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7279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liaison sur la proposition visant à allouer des fonds pour appuyer la mise en œuvre des initiatives régionales de la CMDT-25</dc:title>
  <dc:subject>Conseil 2026 de l'UIT</dc:subject>
  <dc:creator>GBS</dc:creator>
  <cp:keywords>C26; C2026; Council 2026; PP26</cp:keywords>
  <dc:description/>
  <cp:lastModifiedBy>GBS</cp:lastModifiedBy>
  <cp:revision>2</cp:revision>
  <cp:lastPrinted>2000-07-18T08:55:00Z</cp:lastPrinted>
  <dcterms:created xsi:type="dcterms:W3CDTF">2026-04-26T13:11:00Z</dcterms:created>
  <dcterms:modified xsi:type="dcterms:W3CDTF">2026-04-26T13:11:00Z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