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FD2F3BD" w14:textId="77777777" w:rsidTr="00555C29">
        <w:trPr>
          <w:cantSplit/>
          <w:trHeight w:val="23"/>
        </w:trPr>
        <w:tc>
          <w:tcPr>
            <w:tcW w:w="3969" w:type="dxa"/>
            <w:vMerge w:val="restart"/>
            <w:tcMar>
              <w:left w:w="0" w:type="dxa"/>
            </w:tcMar>
          </w:tcPr>
          <w:p w14:paraId="7FF80100" w14:textId="3F32C938"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D56E7B">
              <w:rPr>
                <w:b/>
                <w:bCs/>
                <w:color w:val="000000"/>
                <w:lang w:val="zh-CN"/>
              </w:rPr>
              <w:t>PL.2</w:t>
            </w:r>
          </w:p>
        </w:tc>
        <w:tc>
          <w:tcPr>
            <w:tcW w:w="5245" w:type="dxa"/>
          </w:tcPr>
          <w:p w14:paraId="684B679D" w14:textId="2443C335"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D56E7B">
              <w:rPr>
                <w:rFonts w:hint="eastAsia"/>
                <w:b/>
                <w:lang w:val="fr-CH" w:eastAsia="zh-CN"/>
              </w:rPr>
              <w:t>109</w:t>
            </w:r>
            <w:r w:rsidRPr="00E24D59">
              <w:rPr>
                <w:b/>
                <w:lang w:val="fr-CH"/>
              </w:rPr>
              <w:t>-C</w:t>
            </w:r>
          </w:p>
        </w:tc>
      </w:tr>
      <w:tr w:rsidR="00E24D59" w:rsidRPr="00813E5E" w14:paraId="58C8E2D8" w14:textId="77777777" w:rsidTr="00555C29">
        <w:trPr>
          <w:cantSplit/>
        </w:trPr>
        <w:tc>
          <w:tcPr>
            <w:tcW w:w="3969" w:type="dxa"/>
            <w:vMerge/>
          </w:tcPr>
          <w:p w14:paraId="4ADD5D3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94F0D95" w14:textId="0081A57E" w:rsidR="00E24D59" w:rsidRPr="00E85629" w:rsidRDefault="00D56E7B"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21</w:t>
            </w:r>
            <w:r>
              <w:rPr>
                <w:rFonts w:hint="eastAsia"/>
                <w:b/>
                <w:lang w:eastAsia="zh-CN"/>
              </w:rPr>
              <w:t>日</w:t>
            </w:r>
          </w:p>
        </w:tc>
      </w:tr>
      <w:tr w:rsidR="00E24D59" w:rsidRPr="00813E5E" w14:paraId="4F8E434B" w14:textId="77777777" w:rsidTr="00555C29">
        <w:trPr>
          <w:cantSplit/>
          <w:trHeight w:val="23"/>
        </w:trPr>
        <w:tc>
          <w:tcPr>
            <w:tcW w:w="3969" w:type="dxa"/>
            <w:vMerge/>
          </w:tcPr>
          <w:p w14:paraId="2DB370E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7FE3D9B" w14:textId="347517AA"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D56E7B">
              <w:rPr>
                <w:rFonts w:cstheme="minorHAnsi" w:hint="eastAsia"/>
                <w:b/>
                <w:bCs/>
                <w:lang w:val="ru-RU" w:eastAsia="zh-CN"/>
              </w:rPr>
              <w:t>英文</w:t>
            </w:r>
          </w:p>
        </w:tc>
      </w:tr>
      <w:tr w:rsidR="00E24D59" w:rsidRPr="00813E5E" w14:paraId="407DCDF8" w14:textId="77777777" w:rsidTr="00555C29">
        <w:trPr>
          <w:cantSplit/>
          <w:trHeight w:val="23"/>
        </w:trPr>
        <w:tc>
          <w:tcPr>
            <w:tcW w:w="3969" w:type="dxa"/>
          </w:tcPr>
          <w:p w14:paraId="1FB861E0" w14:textId="77777777" w:rsidR="00E24D59" w:rsidRPr="00813E5E" w:rsidRDefault="00E24D59" w:rsidP="00555C29">
            <w:pPr>
              <w:tabs>
                <w:tab w:val="left" w:pos="851"/>
              </w:tabs>
              <w:spacing w:line="240" w:lineRule="atLeast"/>
              <w:rPr>
                <w:b/>
              </w:rPr>
            </w:pPr>
          </w:p>
        </w:tc>
        <w:tc>
          <w:tcPr>
            <w:tcW w:w="5245" w:type="dxa"/>
          </w:tcPr>
          <w:p w14:paraId="7F8F88BE" w14:textId="77777777" w:rsidR="00E24D59" w:rsidRDefault="00E24D59" w:rsidP="00555C29">
            <w:pPr>
              <w:tabs>
                <w:tab w:val="left" w:pos="851"/>
              </w:tabs>
              <w:spacing w:before="0" w:line="240" w:lineRule="atLeast"/>
              <w:jc w:val="right"/>
              <w:rPr>
                <w:b/>
              </w:rPr>
            </w:pPr>
          </w:p>
        </w:tc>
      </w:tr>
      <w:tr w:rsidR="00E24D59" w:rsidRPr="00813E5E" w14:paraId="5F8DA741" w14:textId="77777777" w:rsidTr="00555C29">
        <w:trPr>
          <w:cantSplit/>
        </w:trPr>
        <w:tc>
          <w:tcPr>
            <w:tcW w:w="9214" w:type="dxa"/>
            <w:gridSpan w:val="2"/>
            <w:tcMar>
              <w:left w:w="0" w:type="dxa"/>
            </w:tcMar>
          </w:tcPr>
          <w:p w14:paraId="35538121" w14:textId="2D7833E8" w:rsidR="00E24D59" w:rsidRPr="00C24DAC" w:rsidRDefault="00D56E7B" w:rsidP="00C24DAC">
            <w:pPr>
              <w:pStyle w:val="Source"/>
              <w:framePr w:hSpace="0" w:wrap="auto" w:vAnchor="margin" w:hAnchor="text" w:xAlign="left" w:yAlign="inline"/>
            </w:pPr>
            <w:bookmarkStart w:id="5" w:name="dsource" w:colFirst="0" w:colLast="0"/>
            <w:bookmarkEnd w:id="4"/>
            <w:r>
              <w:rPr>
                <w:bCs/>
                <w:color w:val="000000"/>
                <w:lang w:val="zh-CN"/>
              </w:rPr>
              <w:t>电信发展顾问组（</w:t>
            </w:r>
            <w:r>
              <w:rPr>
                <w:bCs/>
                <w:color w:val="000000"/>
                <w:lang w:val="zh-CN"/>
              </w:rPr>
              <w:t>TDAG</w:t>
            </w:r>
            <w:r>
              <w:rPr>
                <w:bCs/>
                <w:color w:val="000000"/>
                <w:lang w:val="zh-CN"/>
              </w:rPr>
              <w:t>）主席</w:t>
            </w:r>
          </w:p>
        </w:tc>
      </w:tr>
      <w:tr w:rsidR="00E24D59" w:rsidRPr="00813E5E" w14:paraId="0017EFA1" w14:textId="77777777" w:rsidTr="00555C29">
        <w:trPr>
          <w:cantSplit/>
        </w:trPr>
        <w:tc>
          <w:tcPr>
            <w:tcW w:w="9214" w:type="dxa"/>
            <w:gridSpan w:val="2"/>
            <w:tcMar>
              <w:left w:w="0" w:type="dxa"/>
            </w:tcMar>
          </w:tcPr>
          <w:p w14:paraId="58564167" w14:textId="37101E71" w:rsidR="00E24D59" w:rsidRPr="00C24DAC" w:rsidRDefault="00D56E7B" w:rsidP="009D1D31">
            <w:pPr>
              <w:pStyle w:val="Subtitle"/>
              <w:framePr w:hSpace="0" w:wrap="auto" w:vAnchor="margin" w:hAnchor="text" w:xAlign="left" w:yAlign="inline"/>
              <w:ind w:right="319"/>
            </w:pPr>
            <w:bookmarkStart w:id="6" w:name="dtitle1" w:colFirst="0" w:colLast="0"/>
            <w:bookmarkEnd w:id="5"/>
            <w:r>
              <w:rPr>
                <w:color w:val="000000"/>
                <w:lang w:val="zh-CN"/>
              </w:rPr>
              <w:t>关于支持</w:t>
            </w:r>
            <w:r>
              <w:rPr>
                <w:rFonts w:hint="eastAsia"/>
                <w:color w:val="000000"/>
                <w:lang w:val="zh-CN"/>
              </w:rPr>
              <w:t>落实</w:t>
            </w:r>
            <w:r>
              <w:rPr>
                <w:color w:val="000000"/>
                <w:lang w:val="zh-CN"/>
              </w:rPr>
              <w:t>WTDC-25</w:t>
            </w:r>
            <w:r>
              <w:rPr>
                <w:rFonts w:hint="eastAsia"/>
                <w:color w:val="000000"/>
                <w:lang w:val="zh-CN"/>
              </w:rPr>
              <w:t>各项</w:t>
            </w:r>
            <w:r>
              <w:rPr>
                <w:color w:val="000000"/>
                <w:lang w:val="zh-CN"/>
              </w:rPr>
              <w:t>区域性举措的拟议资金分配的联络声明</w:t>
            </w:r>
          </w:p>
        </w:tc>
      </w:tr>
      <w:tr w:rsidR="00E24D59" w:rsidRPr="00813E5E" w14:paraId="247E34CF" w14:textId="77777777" w:rsidTr="00555C29">
        <w:trPr>
          <w:cantSplit/>
        </w:trPr>
        <w:tc>
          <w:tcPr>
            <w:tcW w:w="9214" w:type="dxa"/>
            <w:gridSpan w:val="2"/>
            <w:tcBorders>
              <w:top w:val="single" w:sz="4" w:space="0" w:color="auto"/>
              <w:bottom w:val="single" w:sz="4" w:space="0" w:color="auto"/>
            </w:tcBorders>
            <w:tcMar>
              <w:left w:w="0" w:type="dxa"/>
            </w:tcMar>
          </w:tcPr>
          <w:p w14:paraId="3150937C" w14:textId="71E144B6" w:rsidR="003F086E" w:rsidRPr="00477D57" w:rsidRDefault="003F086E" w:rsidP="00555C29">
            <w:pPr>
              <w:rPr>
                <w:b/>
                <w:bCs/>
                <w:lang w:eastAsia="zh-CN"/>
              </w:rPr>
            </w:pPr>
            <w:r w:rsidRPr="00477D57">
              <w:rPr>
                <w:b/>
                <w:bCs/>
                <w:lang w:eastAsia="zh-CN"/>
              </w:rPr>
              <w:t>目的</w:t>
            </w:r>
          </w:p>
          <w:p w14:paraId="1B083474" w14:textId="77777777" w:rsidR="00D56E7B" w:rsidRPr="00C0458D" w:rsidRDefault="00D56E7B" w:rsidP="00D56E7B">
            <w:pPr>
              <w:ind w:firstLineChars="200" w:firstLine="480"/>
              <w:rPr>
                <w:lang w:eastAsia="zh-CN"/>
              </w:rPr>
            </w:pPr>
            <w:r>
              <w:rPr>
                <w:lang w:val="zh-CN" w:eastAsia="zh-CN"/>
              </w:rPr>
              <w:t>本联络声明载有供国际电联理事会</w:t>
            </w:r>
            <w:r>
              <w:rPr>
                <w:lang w:val="zh-CN" w:eastAsia="zh-CN"/>
              </w:rPr>
              <w:t>2026</w:t>
            </w:r>
            <w:r>
              <w:rPr>
                <w:lang w:val="zh-CN" w:eastAsia="zh-CN"/>
              </w:rPr>
              <w:t>年会议审议的提案，以考虑划拨必要资金，支持落实</w:t>
            </w:r>
            <w:r>
              <w:rPr>
                <w:lang w:val="zh-CN" w:eastAsia="zh-CN"/>
              </w:rPr>
              <w:t>WTDC-25</w:t>
            </w:r>
            <w:r>
              <w:rPr>
                <w:lang w:val="zh-CN" w:eastAsia="zh-CN"/>
              </w:rPr>
              <w:t>关于大会通过的</w:t>
            </w:r>
            <w:r>
              <w:rPr>
                <w:rFonts w:hint="eastAsia"/>
                <w:lang w:val="zh-CN" w:eastAsia="zh-CN"/>
              </w:rPr>
              <w:t>各项</w:t>
            </w:r>
            <w:r>
              <w:rPr>
                <w:lang w:val="zh-CN" w:eastAsia="zh-CN"/>
              </w:rPr>
              <w:t>区域性举措的成果。该提案考虑到了</w:t>
            </w:r>
            <w:r>
              <w:rPr>
                <w:lang w:eastAsia="zh-CN"/>
              </w:rPr>
              <w:t>此</w:t>
            </w:r>
            <w:r>
              <w:rPr>
                <w:lang w:val="zh-CN" w:eastAsia="zh-CN"/>
              </w:rPr>
              <w:t>前理事会</w:t>
            </w:r>
            <w:r>
              <w:rPr>
                <w:lang w:val="zh-CN" w:eastAsia="zh-CN"/>
              </w:rPr>
              <w:t>2018</w:t>
            </w:r>
            <w:r>
              <w:rPr>
                <w:lang w:val="zh-CN" w:eastAsia="zh-CN"/>
              </w:rPr>
              <w:t>年和</w:t>
            </w:r>
            <w:r>
              <w:rPr>
                <w:lang w:val="zh-CN" w:eastAsia="zh-CN"/>
              </w:rPr>
              <w:t>2023</w:t>
            </w:r>
            <w:r>
              <w:rPr>
                <w:lang w:val="zh-CN" w:eastAsia="zh-CN"/>
              </w:rPr>
              <w:t>年会议</w:t>
            </w:r>
            <w:r>
              <w:rPr>
                <w:lang w:eastAsia="zh-CN"/>
              </w:rPr>
              <w:t>批准</w:t>
            </w:r>
            <w:r>
              <w:rPr>
                <w:lang w:val="zh-CN" w:eastAsia="zh-CN"/>
              </w:rPr>
              <w:t>的拨款，</w:t>
            </w:r>
            <w:r>
              <w:rPr>
                <w:lang w:eastAsia="zh-CN"/>
              </w:rPr>
              <w:t>分别用于</w:t>
            </w:r>
            <w:r>
              <w:rPr>
                <w:lang w:val="zh-CN" w:eastAsia="zh-CN"/>
              </w:rPr>
              <w:t>支持落实</w:t>
            </w:r>
            <w:r>
              <w:rPr>
                <w:lang w:val="zh-CN" w:eastAsia="zh-CN"/>
              </w:rPr>
              <w:t>WTDC-17</w:t>
            </w:r>
            <w:r>
              <w:rPr>
                <w:lang w:val="zh-CN" w:eastAsia="zh-CN"/>
              </w:rPr>
              <w:t>和</w:t>
            </w:r>
            <w:r>
              <w:rPr>
                <w:lang w:val="zh-CN" w:eastAsia="zh-CN"/>
              </w:rPr>
              <w:t>WTDC-22</w:t>
            </w:r>
            <w:r>
              <w:rPr>
                <w:lang w:val="zh-CN" w:eastAsia="zh-CN"/>
              </w:rPr>
              <w:t>的成果。</w:t>
            </w:r>
          </w:p>
          <w:p w14:paraId="24D0FDBD" w14:textId="77777777" w:rsidR="00D56E7B" w:rsidRDefault="00D56E7B" w:rsidP="00D56E7B">
            <w:pPr>
              <w:spacing w:before="160"/>
              <w:rPr>
                <w:b/>
                <w:bCs/>
                <w:sz w:val="26"/>
                <w:szCs w:val="26"/>
                <w:lang w:eastAsia="zh-CN"/>
              </w:rPr>
            </w:pPr>
            <w:r>
              <w:rPr>
                <w:b/>
                <w:bCs/>
                <w:color w:val="000000"/>
                <w:lang w:val="zh-CN" w:eastAsia="zh-CN"/>
              </w:rPr>
              <w:t>理事会需采取的行动</w:t>
            </w:r>
          </w:p>
          <w:p w14:paraId="00A30CF6" w14:textId="77777777" w:rsidR="00D56E7B" w:rsidRDefault="00D56E7B" w:rsidP="00D56E7B">
            <w:pPr>
              <w:ind w:firstLineChars="200" w:firstLine="480"/>
              <w:rPr>
                <w:lang w:eastAsia="zh-CN"/>
              </w:rPr>
            </w:pPr>
            <w:r>
              <w:rPr>
                <w:color w:val="000000"/>
                <w:lang w:val="zh-CN" w:eastAsia="zh-CN"/>
              </w:rPr>
              <w:t>请理事会</w:t>
            </w:r>
            <w:r w:rsidRPr="000D5ED5">
              <w:rPr>
                <w:rFonts w:hint="eastAsia"/>
                <w:b/>
                <w:bCs/>
                <w:color w:val="000000"/>
                <w:lang w:val="zh-CN" w:eastAsia="zh-CN"/>
              </w:rPr>
              <w:t>审议</w:t>
            </w:r>
            <w:r>
              <w:rPr>
                <w:color w:val="000000"/>
                <w:lang w:val="zh-CN" w:eastAsia="zh-CN"/>
              </w:rPr>
              <w:t>划拨必要资金，支持落实</w:t>
            </w:r>
            <w:r>
              <w:rPr>
                <w:color w:val="000000"/>
                <w:lang w:val="zh-CN" w:eastAsia="zh-CN"/>
              </w:rPr>
              <w:t>WTDC-25</w:t>
            </w:r>
            <w:r>
              <w:rPr>
                <w:color w:val="000000"/>
                <w:lang w:val="zh-CN" w:eastAsia="zh-CN"/>
              </w:rPr>
              <w:t>关于大会通过的</w:t>
            </w:r>
            <w:r>
              <w:rPr>
                <w:rFonts w:hint="eastAsia"/>
                <w:color w:val="000000"/>
                <w:lang w:val="zh-CN" w:eastAsia="zh-CN"/>
              </w:rPr>
              <w:t>各项</w:t>
            </w:r>
            <w:r>
              <w:rPr>
                <w:color w:val="000000"/>
                <w:lang w:val="zh-CN" w:eastAsia="zh-CN"/>
              </w:rPr>
              <w:t>区域性举措的成果。</w:t>
            </w:r>
          </w:p>
          <w:p w14:paraId="04F180B8" w14:textId="77777777" w:rsidR="00E24D59" w:rsidRPr="00DA2D30" w:rsidRDefault="00DA2D30" w:rsidP="00DA2D30">
            <w:r>
              <w:t>_______________</w:t>
            </w:r>
          </w:p>
          <w:p w14:paraId="3FE3CABE" w14:textId="77777777" w:rsidR="00E24D59" w:rsidRPr="00477D57" w:rsidRDefault="00E24D59" w:rsidP="00555C29">
            <w:pPr>
              <w:rPr>
                <w:b/>
                <w:bCs/>
                <w:lang w:eastAsia="zh-CN"/>
              </w:rPr>
            </w:pPr>
            <w:r w:rsidRPr="00477D57">
              <w:rPr>
                <w:rFonts w:hint="eastAsia"/>
                <w:b/>
                <w:bCs/>
                <w:lang w:eastAsia="zh-CN"/>
              </w:rPr>
              <w:t>参考文件</w:t>
            </w:r>
          </w:p>
          <w:p w14:paraId="20E5A1D5" w14:textId="331BC3D2" w:rsidR="00E24D59" w:rsidRPr="00477D57" w:rsidRDefault="00D56E7B" w:rsidP="00D56E7B">
            <w:pPr>
              <w:spacing w:after="120"/>
              <w:ind w:firstLineChars="200" w:firstLine="480"/>
              <w:rPr>
                <w:rFonts w:asciiTheme="majorEastAsia" w:eastAsiaTheme="majorEastAsia" w:hAnsiTheme="majorEastAsia"/>
                <w:i/>
                <w:iCs/>
                <w:sz w:val="22"/>
                <w:szCs w:val="22"/>
              </w:rPr>
            </w:pPr>
            <w:hyperlink r:id="rId8" w:history="1">
              <w:r w:rsidRPr="000D5ED5">
                <w:rPr>
                  <w:rStyle w:val="Hyperlink"/>
                  <w:rFonts w:eastAsia="SimSun" w:cs="Calibri"/>
                  <w:sz w:val="22"/>
                  <w:szCs w:val="22"/>
                </w:rPr>
                <w:t>C26/42</w:t>
              </w:r>
            </w:hyperlink>
          </w:p>
        </w:tc>
      </w:tr>
      <w:bookmarkEnd w:id="2"/>
      <w:bookmarkEnd w:id="6"/>
    </w:tbl>
    <w:p w14:paraId="1865D86B"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vertAnchor="page" w:horzAnchor="margin" w:tblpY="931"/>
        <w:tblW w:w="10031" w:type="dxa"/>
        <w:tblLayout w:type="fixed"/>
        <w:tblLook w:val="0000" w:firstRow="0" w:lastRow="0" w:firstColumn="0" w:lastColumn="0" w:noHBand="0" w:noVBand="0"/>
      </w:tblPr>
      <w:tblGrid>
        <w:gridCol w:w="1276"/>
        <w:gridCol w:w="1276"/>
        <w:gridCol w:w="1701"/>
        <w:gridCol w:w="2092"/>
        <w:gridCol w:w="3686"/>
      </w:tblGrid>
      <w:tr w:rsidR="00D56E7B" w:rsidRPr="00CF4727" w14:paraId="2020548A" w14:textId="77777777" w:rsidTr="00B83003">
        <w:trPr>
          <w:cantSplit/>
          <w:trHeight w:val="1134"/>
        </w:trPr>
        <w:tc>
          <w:tcPr>
            <w:tcW w:w="6345" w:type="dxa"/>
            <w:gridSpan w:val="4"/>
          </w:tcPr>
          <w:p w14:paraId="21348EAE" w14:textId="77777777" w:rsidR="00D56E7B" w:rsidRPr="00D56E7B" w:rsidRDefault="00D56E7B" w:rsidP="00B83003">
            <w:pPr>
              <w:tabs>
                <w:tab w:val="left" w:pos="1871"/>
              </w:tabs>
              <w:ind w:left="34"/>
              <w:rPr>
                <w:b/>
                <w:bCs/>
                <w:sz w:val="40"/>
                <w:szCs w:val="40"/>
                <w:lang w:eastAsia="zh-CN"/>
              </w:rPr>
            </w:pPr>
            <w:r w:rsidRPr="00D56E7B">
              <w:rPr>
                <w:b/>
                <w:bCs/>
                <w:color w:val="000000"/>
                <w:sz w:val="32"/>
                <w:szCs w:val="24"/>
                <w:lang w:val="zh-CN" w:eastAsia="zh-CN"/>
              </w:rPr>
              <w:lastRenderedPageBreak/>
              <w:t>电信发展顾问组（</w:t>
            </w:r>
            <w:r w:rsidRPr="00D56E7B">
              <w:rPr>
                <w:b/>
                <w:bCs/>
                <w:color w:val="000000"/>
                <w:sz w:val="32"/>
                <w:szCs w:val="24"/>
                <w:lang w:val="zh-CN" w:eastAsia="zh-CN"/>
              </w:rPr>
              <w:t>TDAG</w:t>
            </w:r>
            <w:r w:rsidRPr="00D56E7B">
              <w:rPr>
                <w:b/>
                <w:bCs/>
                <w:color w:val="000000"/>
                <w:sz w:val="32"/>
                <w:szCs w:val="24"/>
                <w:lang w:val="zh-CN" w:eastAsia="zh-CN"/>
              </w:rPr>
              <w:t>）</w:t>
            </w:r>
          </w:p>
          <w:p w14:paraId="78526D8B" w14:textId="77777777" w:rsidR="00D56E7B" w:rsidRPr="00D56E7B" w:rsidRDefault="00D56E7B" w:rsidP="00B83003">
            <w:pPr>
              <w:tabs>
                <w:tab w:val="left" w:pos="1871"/>
              </w:tabs>
              <w:spacing w:after="48"/>
              <w:ind w:left="34"/>
              <w:rPr>
                <w:b/>
                <w:bCs/>
                <w:sz w:val="26"/>
                <w:szCs w:val="26"/>
                <w:lang w:eastAsia="zh-CN"/>
              </w:rPr>
            </w:pPr>
            <w:r w:rsidRPr="00D56E7B">
              <w:rPr>
                <w:b/>
                <w:bCs/>
                <w:color w:val="000000"/>
                <w:sz w:val="26"/>
                <w:szCs w:val="26"/>
                <w:lang w:val="zh-CN" w:eastAsia="zh-CN"/>
              </w:rPr>
              <w:t>第</w:t>
            </w:r>
            <w:r w:rsidRPr="00D56E7B">
              <w:rPr>
                <w:b/>
                <w:bCs/>
                <w:color w:val="000000"/>
                <w:sz w:val="26"/>
                <w:szCs w:val="26"/>
                <w:lang w:val="zh-CN" w:eastAsia="zh-CN"/>
              </w:rPr>
              <w:t>33</w:t>
            </w:r>
            <w:r w:rsidRPr="00D56E7B">
              <w:rPr>
                <w:b/>
                <w:bCs/>
                <w:color w:val="000000"/>
                <w:sz w:val="26"/>
                <w:szCs w:val="26"/>
                <w:lang w:val="zh-CN" w:eastAsia="zh-CN"/>
              </w:rPr>
              <w:t>次会议，</w:t>
            </w:r>
            <w:r w:rsidRPr="00D56E7B">
              <w:rPr>
                <w:b/>
                <w:bCs/>
                <w:color w:val="000000"/>
                <w:sz w:val="26"/>
                <w:szCs w:val="26"/>
                <w:lang w:val="zh-CN" w:eastAsia="zh-CN"/>
              </w:rPr>
              <w:t>2026</w:t>
            </w:r>
            <w:r w:rsidRPr="00D56E7B">
              <w:rPr>
                <w:b/>
                <w:bCs/>
                <w:color w:val="000000"/>
                <w:sz w:val="26"/>
                <w:szCs w:val="26"/>
                <w:lang w:val="zh-CN" w:eastAsia="zh-CN"/>
              </w:rPr>
              <w:t>年</w:t>
            </w:r>
            <w:r w:rsidRPr="00D56E7B">
              <w:rPr>
                <w:b/>
                <w:bCs/>
                <w:color w:val="000000"/>
                <w:sz w:val="26"/>
                <w:szCs w:val="26"/>
                <w:lang w:val="zh-CN" w:eastAsia="zh-CN"/>
              </w:rPr>
              <w:t>4</w:t>
            </w:r>
            <w:r w:rsidRPr="00D56E7B">
              <w:rPr>
                <w:b/>
                <w:bCs/>
                <w:color w:val="000000"/>
                <w:sz w:val="26"/>
                <w:szCs w:val="26"/>
                <w:lang w:val="zh-CN" w:eastAsia="zh-CN"/>
              </w:rPr>
              <w:t>月</w:t>
            </w:r>
            <w:r w:rsidRPr="00D56E7B">
              <w:rPr>
                <w:b/>
                <w:bCs/>
                <w:color w:val="000000"/>
                <w:sz w:val="26"/>
                <w:szCs w:val="26"/>
                <w:lang w:val="zh-CN" w:eastAsia="zh-CN"/>
              </w:rPr>
              <w:t>7-10</w:t>
            </w:r>
            <w:r w:rsidRPr="00D56E7B">
              <w:rPr>
                <w:b/>
                <w:bCs/>
                <w:color w:val="000000"/>
                <w:sz w:val="26"/>
                <w:szCs w:val="26"/>
                <w:lang w:val="zh-CN" w:eastAsia="zh-CN"/>
              </w:rPr>
              <w:t>日，瑞士日内瓦</w:t>
            </w:r>
          </w:p>
        </w:tc>
        <w:tc>
          <w:tcPr>
            <w:tcW w:w="3686" w:type="dxa"/>
          </w:tcPr>
          <w:p w14:paraId="0D416084" w14:textId="77777777" w:rsidR="00D56E7B" w:rsidRPr="00CF4727" w:rsidRDefault="00D56E7B" w:rsidP="00B83003">
            <w:pPr>
              <w:tabs>
                <w:tab w:val="left" w:pos="1871"/>
              </w:tabs>
              <w:spacing w:line="240" w:lineRule="atLeast"/>
              <w:jc w:val="right"/>
              <w:rPr>
                <w:rFonts w:cs="Calibri"/>
              </w:rPr>
            </w:pPr>
            <w:r w:rsidRPr="00CF4727">
              <w:rPr>
                <w:noProof/>
                <w:color w:val="000000"/>
                <w:lang w:val="fr-FR" w:eastAsia="fr-FR"/>
              </w:rPr>
              <w:drawing>
                <wp:inline distT="0" distB="0" distL="0" distR="0" wp14:anchorId="69E5F7DE" wp14:editId="3662EDB8">
                  <wp:extent cx="712470" cy="775970"/>
                  <wp:effectExtent l="0" t="0" r="0" b="5080"/>
                  <wp:docPr id="115476809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928410" descr="A close 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775970"/>
                          </a:xfrm>
                          <a:prstGeom prst="rect">
                            <a:avLst/>
                          </a:prstGeom>
                          <a:noFill/>
                          <a:ln>
                            <a:noFill/>
                          </a:ln>
                        </pic:spPr>
                      </pic:pic>
                    </a:graphicData>
                  </a:graphic>
                </wp:inline>
              </w:drawing>
            </w:r>
          </w:p>
        </w:tc>
      </w:tr>
      <w:tr w:rsidR="00D56E7B" w:rsidRPr="00CF4727" w14:paraId="127A2219" w14:textId="77777777" w:rsidTr="00B83003">
        <w:trPr>
          <w:cantSplit/>
        </w:trPr>
        <w:tc>
          <w:tcPr>
            <w:tcW w:w="6345" w:type="dxa"/>
            <w:gridSpan w:val="4"/>
            <w:tcBorders>
              <w:top w:val="single" w:sz="12" w:space="0" w:color="auto"/>
            </w:tcBorders>
          </w:tcPr>
          <w:p w14:paraId="1357E889" w14:textId="77777777" w:rsidR="00D56E7B" w:rsidRPr="00CF4727" w:rsidRDefault="00D56E7B" w:rsidP="00B83003">
            <w:pPr>
              <w:tabs>
                <w:tab w:val="left" w:pos="1871"/>
              </w:tabs>
              <w:spacing w:before="0" w:after="48" w:line="240" w:lineRule="atLeast"/>
              <w:rPr>
                <w:rFonts w:cs="Calibri"/>
                <w:b/>
                <w:smallCaps/>
                <w:sz w:val="20"/>
              </w:rPr>
            </w:pPr>
          </w:p>
        </w:tc>
        <w:tc>
          <w:tcPr>
            <w:tcW w:w="3686" w:type="dxa"/>
            <w:tcBorders>
              <w:top w:val="single" w:sz="12" w:space="0" w:color="auto"/>
            </w:tcBorders>
          </w:tcPr>
          <w:p w14:paraId="2E807E4D" w14:textId="77777777" w:rsidR="00D56E7B" w:rsidRPr="00CF4727" w:rsidRDefault="00D56E7B" w:rsidP="00B83003">
            <w:pPr>
              <w:tabs>
                <w:tab w:val="left" w:pos="1871"/>
              </w:tabs>
              <w:spacing w:before="0" w:line="240" w:lineRule="atLeast"/>
              <w:rPr>
                <w:rFonts w:cs="Calibri"/>
                <w:sz w:val="20"/>
              </w:rPr>
            </w:pPr>
          </w:p>
        </w:tc>
      </w:tr>
      <w:tr w:rsidR="00D56E7B" w:rsidRPr="00CF4727" w14:paraId="05F647EE" w14:textId="77777777" w:rsidTr="00B83003">
        <w:trPr>
          <w:cantSplit/>
          <w:trHeight w:val="23"/>
        </w:trPr>
        <w:tc>
          <w:tcPr>
            <w:tcW w:w="6345" w:type="dxa"/>
            <w:gridSpan w:val="4"/>
          </w:tcPr>
          <w:p w14:paraId="727ACF8D" w14:textId="77777777" w:rsidR="00D56E7B" w:rsidRPr="00CF4727" w:rsidRDefault="00D56E7B" w:rsidP="00B83003">
            <w:pPr>
              <w:tabs>
                <w:tab w:val="left" w:pos="851"/>
                <w:tab w:val="left" w:pos="1871"/>
              </w:tabs>
              <w:spacing w:before="0" w:line="240" w:lineRule="atLeast"/>
              <w:rPr>
                <w:rFonts w:cs="Calibri"/>
                <w:b/>
                <w:szCs w:val="24"/>
              </w:rPr>
            </w:pPr>
          </w:p>
        </w:tc>
        <w:tc>
          <w:tcPr>
            <w:tcW w:w="3686" w:type="dxa"/>
          </w:tcPr>
          <w:p w14:paraId="6C795672" w14:textId="6DE0220F" w:rsidR="00D56E7B" w:rsidRPr="00CF4727" w:rsidRDefault="00D56E7B" w:rsidP="00B83003">
            <w:pPr>
              <w:tabs>
                <w:tab w:val="left" w:pos="851"/>
                <w:tab w:val="left" w:pos="1871"/>
              </w:tabs>
              <w:spacing w:before="0" w:line="240" w:lineRule="atLeast"/>
              <w:rPr>
                <w:rFonts w:cs="Calibri"/>
                <w:szCs w:val="24"/>
              </w:rPr>
            </w:pPr>
            <w:proofErr w:type="spellStart"/>
            <w:r>
              <w:rPr>
                <w:b/>
                <w:bCs/>
                <w:color w:val="000000"/>
                <w:lang w:val="zh-CN"/>
              </w:rPr>
              <w:t>文件</w:t>
            </w:r>
            <w:proofErr w:type="spellEnd"/>
            <w:r w:rsidR="001B2937">
              <w:rPr>
                <w:rFonts w:hint="eastAsia"/>
                <w:b/>
                <w:bCs/>
                <w:color w:val="000000"/>
                <w:lang w:val="zh-CN" w:eastAsia="zh-CN"/>
              </w:rPr>
              <w:t xml:space="preserve"> </w:t>
            </w:r>
            <w:r w:rsidR="009D1D31" w:rsidRPr="00CF4727">
              <w:rPr>
                <w:b/>
                <w:bCs/>
                <w:lang w:val="pt-BR"/>
              </w:rPr>
              <w:t>TDAG-26 – LS 3</w:t>
            </w:r>
            <w:r>
              <w:rPr>
                <w:rFonts w:hint="eastAsia"/>
                <w:b/>
                <w:bCs/>
                <w:color w:val="000000"/>
                <w:lang w:val="zh-CN"/>
              </w:rPr>
              <w:t>-C</w:t>
            </w:r>
          </w:p>
        </w:tc>
      </w:tr>
      <w:tr w:rsidR="00D56E7B" w:rsidRPr="00CF4727" w14:paraId="244FD7F2" w14:textId="77777777" w:rsidTr="00B83003">
        <w:trPr>
          <w:cantSplit/>
          <w:trHeight w:val="23"/>
        </w:trPr>
        <w:tc>
          <w:tcPr>
            <w:tcW w:w="6345" w:type="dxa"/>
            <w:gridSpan w:val="4"/>
          </w:tcPr>
          <w:p w14:paraId="54323A52" w14:textId="77777777" w:rsidR="00D56E7B" w:rsidRPr="00CF4727" w:rsidRDefault="00D56E7B" w:rsidP="00B83003">
            <w:pPr>
              <w:tabs>
                <w:tab w:val="left" w:pos="851"/>
                <w:tab w:val="left" w:pos="1871"/>
              </w:tabs>
              <w:spacing w:before="0" w:line="240" w:lineRule="atLeast"/>
              <w:rPr>
                <w:rFonts w:cs="Calibri"/>
                <w:b/>
                <w:szCs w:val="24"/>
                <w:lang w:val="es-ES_tradnl"/>
              </w:rPr>
            </w:pPr>
          </w:p>
        </w:tc>
        <w:tc>
          <w:tcPr>
            <w:tcW w:w="3686" w:type="dxa"/>
          </w:tcPr>
          <w:p w14:paraId="25F432DC" w14:textId="77777777" w:rsidR="00D56E7B" w:rsidRPr="00CF4727" w:rsidRDefault="00D56E7B" w:rsidP="00B83003">
            <w:pPr>
              <w:tabs>
                <w:tab w:val="left" w:pos="1871"/>
              </w:tabs>
              <w:spacing w:before="0" w:line="240" w:lineRule="atLeast"/>
              <w:rPr>
                <w:rFonts w:cs="Calibri"/>
                <w:szCs w:val="24"/>
              </w:rPr>
            </w:pPr>
            <w:r>
              <w:rPr>
                <w:b/>
                <w:bCs/>
                <w:color w:val="000000"/>
                <w:lang w:val="zh-CN"/>
              </w:rPr>
              <w:t>2026</w:t>
            </w:r>
            <w:r>
              <w:rPr>
                <w:b/>
                <w:bCs/>
                <w:color w:val="000000"/>
                <w:lang w:val="zh-CN"/>
              </w:rPr>
              <w:t>年</w:t>
            </w:r>
            <w:r>
              <w:rPr>
                <w:b/>
                <w:bCs/>
                <w:color w:val="000000"/>
                <w:lang w:val="zh-CN"/>
              </w:rPr>
              <w:t>4</w:t>
            </w:r>
            <w:r>
              <w:rPr>
                <w:b/>
                <w:bCs/>
                <w:color w:val="000000"/>
                <w:lang w:val="zh-CN"/>
              </w:rPr>
              <w:t>月</w:t>
            </w:r>
            <w:r>
              <w:rPr>
                <w:b/>
                <w:bCs/>
                <w:color w:val="000000"/>
                <w:lang w:val="zh-CN"/>
              </w:rPr>
              <w:t>10</w:t>
            </w:r>
            <w:r>
              <w:rPr>
                <w:b/>
                <w:bCs/>
                <w:color w:val="000000"/>
                <w:lang w:val="zh-CN"/>
              </w:rPr>
              <w:t>日</w:t>
            </w:r>
          </w:p>
        </w:tc>
      </w:tr>
      <w:tr w:rsidR="00D56E7B" w:rsidRPr="00CF4727" w14:paraId="05A8BD7E" w14:textId="77777777" w:rsidTr="00B83003">
        <w:trPr>
          <w:cantSplit/>
          <w:trHeight w:val="23"/>
        </w:trPr>
        <w:tc>
          <w:tcPr>
            <w:tcW w:w="6345" w:type="dxa"/>
            <w:gridSpan w:val="4"/>
          </w:tcPr>
          <w:p w14:paraId="261C3755" w14:textId="77777777" w:rsidR="00D56E7B" w:rsidRPr="00CF4727" w:rsidRDefault="00D56E7B" w:rsidP="00B83003">
            <w:pPr>
              <w:tabs>
                <w:tab w:val="left" w:pos="851"/>
                <w:tab w:val="left" w:pos="1871"/>
              </w:tabs>
              <w:spacing w:before="0" w:line="240" w:lineRule="atLeast"/>
              <w:rPr>
                <w:rFonts w:cs="Calibri"/>
                <w:szCs w:val="24"/>
              </w:rPr>
            </w:pPr>
          </w:p>
        </w:tc>
        <w:tc>
          <w:tcPr>
            <w:tcW w:w="3686" w:type="dxa"/>
          </w:tcPr>
          <w:p w14:paraId="2383783F" w14:textId="77777777" w:rsidR="00D56E7B" w:rsidRPr="00CF4727" w:rsidRDefault="00D56E7B" w:rsidP="00B83003">
            <w:pPr>
              <w:tabs>
                <w:tab w:val="left" w:pos="993"/>
                <w:tab w:val="left" w:pos="1871"/>
              </w:tabs>
              <w:spacing w:before="0"/>
              <w:rPr>
                <w:rFonts w:cs="Calibri"/>
                <w:b/>
                <w:szCs w:val="24"/>
              </w:rPr>
            </w:pPr>
            <w:proofErr w:type="spellStart"/>
            <w:r>
              <w:rPr>
                <w:rFonts w:hint="eastAsia"/>
                <w:b/>
                <w:bCs/>
                <w:color w:val="000000"/>
                <w:lang w:val="zh-CN"/>
              </w:rPr>
              <w:t>仅提供英文</w:t>
            </w:r>
            <w:proofErr w:type="spellEnd"/>
          </w:p>
        </w:tc>
      </w:tr>
      <w:tr w:rsidR="00D56E7B" w:rsidRPr="00CF4727" w14:paraId="2AE44F41" w14:textId="77777777" w:rsidTr="00B83003">
        <w:trPr>
          <w:cantSplit/>
          <w:trHeight w:val="23"/>
        </w:trPr>
        <w:tc>
          <w:tcPr>
            <w:tcW w:w="10031" w:type="dxa"/>
            <w:gridSpan w:val="5"/>
          </w:tcPr>
          <w:p w14:paraId="357A2B85" w14:textId="77777777" w:rsidR="00D56E7B" w:rsidRPr="00D56E7B" w:rsidRDefault="00D56E7B" w:rsidP="00B83003">
            <w:pPr>
              <w:tabs>
                <w:tab w:val="left" w:pos="1871"/>
              </w:tabs>
              <w:spacing w:before="240" w:after="240"/>
              <w:jc w:val="center"/>
              <w:rPr>
                <w:b/>
                <w:sz w:val="28"/>
                <w:szCs w:val="22"/>
                <w:lang w:eastAsia="zh-CN"/>
              </w:rPr>
            </w:pPr>
            <w:r w:rsidRPr="00D56E7B">
              <w:rPr>
                <w:b/>
                <w:bCs/>
                <w:color w:val="000000"/>
                <w:sz w:val="28"/>
                <w:szCs w:val="22"/>
                <w:lang w:val="zh-CN" w:eastAsia="zh-CN"/>
              </w:rPr>
              <w:t>电信发展顾问组（</w:t>
            </w:r>
            <w:r w:rsidRPr="00D56E7B">
              <w:rPr>
                <w:b/>
                <w:bCs/>
                <w:color w:val="000000"/>
                <w:sz w:val="28"/>
                <w:szCs w:val="22"/>
                <w:lang w:val="zh-CN" w:eastAsia="zh-CN"/>
              </w:rPr>
              <w:t>TDAG</w:t>
            </w:r>
            <w:r w:rsidRPr="00D56E7B">
              <w:rPr>
                <w:b/>
                <w:bCs/>
                <w:color w:val="000000"/>
                <w:sz w:val="28"/>
                <w:szCs w:val="22"/>
                <w:lang w:val="zh-CN" w:eastAsia="zh-CN"/>
              </w:rPr>
              <w:t>）主席</w:t>
            </w:r>
          </w:p>
        </w:tc>
      </w:tr>
      <w:tr w:rsidR="00D56E7B" w:rsidRPr="00CF4727" w14:paraId="786C2028" w14:textId="77777777" w:rsidTr="00B83003">
        <w:trPr>
          <w:cantSplit/>
          <w:trHeight w:val="23"/>
        </w:trPr>
        <w:tc>
          <w:tcPr>
            <w:tcW w:w="10031" w:type="dxa"/>
            <w:gridSpan w:val="5"/>
            <w:vAlign w:val="center"/>
          </w:tcPr>
          <w:p w14:paraId="13C14476" w14:textId="77777777" w:rsidR="00D56E7B" w:rsidRPr="00D56E7B" w:rsidRDefault="00D56E7B" w:rsidP="001B2937">
            <w:pPr>
              <w:pStyle w:val="Title1"/>
              <w:framePr w:hSpace="0" w:wrap="auto" w:vAnchor="margin" w:hAnchor="text" w:xAlign="left" w:yAlign="inline"/>
              <w:tabs>
                <w:tab w:val="clear" w:pos="567"/>
                <w:tab w:val="clear" w:pos="1701"/>
                <w:tab w:val="clear" w:pos="2835"/>
                <w:tab w:val="left" w:pos="1871"/>
              </w:tabs>
              <w:spacing w:before="120" w:after="120"/>
              <w:jc w:val="center"/>
              <w:rPr>
                <w:sz w:val="28"/>
                <w:szCs w:val="22"/>
              </w:rPr>
            </w:pPr>
            <w:r w:rsidRPr="001B2937">
              <w:rPr>
                <w:rFonts w:asciiTheme="minorHAnsi" w:hAnsiTheme="minorHAnsi" w:cs="Times New Roman" w:hint="eastAsia"/>
                <w:color w:val="000000"/>
                <w:sz w:val="28"/>
                <w:szCs w:val="20"/>
                <w:lang w:val="zh-CN"/>
              </w:rPr>
              <w:t>支持落实</w:t>
            </w:r>
            <w:r w:rsidRPr="001B2937">
              <w:rPr>
                <w:rFonts w:asciiTheme="minorHAnsi" w:hAnsiTheme="minorHAnsi" w:cs="Times New Roman" w:hint="eastAsia"/>
                <w:color w:val="000000"/>
                <w:sz w:val="28"/>
                <w:szCs w:val="20"/>
                <w:lang w:val="zh-CN"/>
              </w:rPr>
              <w:t>WTDC-25</w:t>
            </w:r>
            <w:r w:rsidRPr="001B2937">
              <w:rPr>
                <w:rFonts w:asciiTheme="minorHAnsi" w:hAnsiTheme="minorHAnsi" w:cs="Times New Roman" w:hint="eastAsia"/>
                <w:color w:val="000000"/>
                <w:sz w:val="28"/>
                <w:szCs w:val="20"/>
                <w:lang w:val="zh-CN"/>
              </w:rPr>
              <w:t>区域性举措的拟议资金分配</w:t>
            </w:r>
          </w:p>
        </w:tc>
      </w:tr>
      <w:tr w:rsidR="00D56E7B" w:rsidRPr="00CF4727" w14:paraId="5C5655C0" w14:textId="77777777" w:rsidTr="00B83003">
        <w:trPr>
          <w:cantSplit/>
          <w:trHeight w:val="23"/>
        </w:trPr>
        <w:tc>
          <w:tcPr>
            <w:tcW w:w="2552" w:type="dxa"/>
            <w:gridSpan w:val="2"/>
            <w:vAlign w:val="center"/>
          </w:tcPr>
          <w:p w14:paraId="671A8EB2" w14:textId="77777777" w:rsidR="00D56E7B" w:rsidRPr="00CF4727" w:rsidRDefault="00D56E7B" w:rsidP="00B83003">
            <w:pPr>
              <w:tabs>
                <w:tab w:val="left" w:pos="1871"/>
              </w:tabs>
              <w:spacing w:before="60" w:after="60"/>
              <w:rPr>
                <w:b/>
                <w:bCs/>
                <w:szCs w:val="24"/>
              </w:rPr>
            </w:pPr>
            <w:proofErr w:type="spellStart"/>
            <w:r w:rsidRPr="00E93351">
              <w:rPr>
                <w:rFonts w:hint="eastAsia"/>
                <w:b/>
                <w:bCs/>
                <w:color w:val="000000"/>
                <w:lang w:val="zh-CN"/>
              </w:rPr>
              <w:t>采取行动方</w:t>
            </w:r>
            <w:proofErr w:type="spellEnd"/>
            <w:r w:rsidRPr="00E93351">
              <w:rPr>
                <w:rFonts w:hint="eastAsia"/>
                <w:b/>
                <w:bCs/>
                <w:color w:val="000000"/>
                <w:lang w:val="zh-CN"/>
              </w:rPr>
              <w:t>：</w:t>
            </w:r>
          </w:p>
        </w:tc>
        <w:tc>
          <w:tcPr>
            <w:tcW w:w="7479" w:type="dxa"/>
            <w:gridSpan w:val="3"/>
            <w:vAlign w:val="center"/>
          </w:tcPr>
          <w:p w14:paraId="00E13FB9" w14:textId="77777777" w:rsidR="00D56E7B" w:rsidRPr="00CF4727" w:rsidRDefault="00D56E7B" w:rsidP="00B83003">
            <w:pPr>
              <w:tabs>
                <w:tab w:val="left" w:pos="1871"/>
              </w:tabs>
              <w:spacing w:before="60" w:after="60"/>
              <w:rPr>
                <w:szCs w:val="24"/>
                <w:lang w:eastAsia="zh-CN"/>
              </w:rPr>
            </w:pPr>
            <w:r>
              <w:rPr>
                <w:color w:val="000000"/>
                <w:lang w:val="zh-CN" w:eastAsia="zh-CN"/>
              </w:rPr>
              <w:t>国际电联理事会</w:t>
            </w:r>
            <w:r>
              <w:rPr>
                <w:color w:val="000000"/>
                <w:lang w:val="zh-CN" w:eastAsia="zh-CN"/>
              </w:rPr>
              <w:t>2026</w:t>
            </w:r>
            <w:r>
              <w:rPr>
                <w:color w:val="000000"/>
                <w:lang w:val="zh-CN" w:eastAsia="zh-CN"/>
              </w:rPr>
              <w:t>年会议</w:t>
            </w:r>
          </w:p>
        </w:tc>
      </w:tr>
      <w:tr w:rsidR="00D56E7B" w:rsidRPr="00CF4727" w14:paraId="0037AEBC" w14:textId="77777777" w:rsidTr="00B83003">
        <w:trPr>
          <w:cantSplit/>
          <w:trHeight w:val="23"/>
        </w:trPr>
        <w:tc>
          <w:tcPr>
            <w:tcW w:w="2552" w:type="dxa"/>
            <w:gridSpan w:val="2"/>
            <w:vAlign w:val="center"/>
          </w:tcPr>
          <w:p w14:paraId="772493C5" w14:textId="77777777" w:rsidR="00D56E7B" w:rsidRPr="00CF4727" w:rsidRDefault="00D56E7B" w:rsidP="00B83003">
            <w:pPr>
              <w:tabs>
                <w:tab w:val="left" w:pos="1871"/>
              </w:tabs>
              <w:spacing w:before="60" w:after="60"/>
              <w:rPr>
                <w:b/>
                <w:bCs/>
                <w:szCs w:val="24"/>
              </w:rPr>
            </w:pPr>
            <w:proofErr w:type="spellStart"/>
            <w:r w:rsidRPr="00E93351">
              <w:rPr>
                <w:rFonts w:hint="eastAsia"/>
                <w:b/>
                <w:bCs/>
                <w:color w:val="000000"/>
                <w:lang w:val="zh-CN"/>
              </w:rPr>
              <w:t>供参考方</w:t>
            </w:r>
            <w:proofErr w:type="spellEnd"/>
            <w:r w:rsidRPr="00E93351">
              <w:rPr>
                <w:rFonts w:hint="eastAsia"/>
                <w:b/>
                <w:bCs/>
                <w:color w:val="000000"/>
                <w:lang w:val="zh-CN"/>
              </w:rPr>
              <w:t>：</w:t>
            </w:r>
          </w:p>
        </w:tc>
        <w:tc>
          <w:tcPr>
            <w:tcW w:w="7479" w:type="dxa"/>
            <w:gridSpan w:val="3"/>
            <w:vAlign w:val="center"/>
          </w:tcPr>
          <w:p w14:paraId="5145DCE2" w14:textId="77777777" w:rsidR="00D56E7B" w:rsidRPr="00CF4727" w:rsidRDefault="00D56E7B" w:rsidP="00B83003">
            <w:pPr>
              <w:tabs>
                <w:tab w:val="left" w:pos="1871"/>
              </w:tabs>
              <w:spacing w:before="60" w:after="60"/>
              <w:rPr>
                <w:szCs w:val="24"/>
              </w:rPr>
            </w:pPr>
            <w:r>
              <w:rPr>
                <w:color w:val="000000"/>
                <w:lang w:val="zh-CN"/>
              </w:rPr>
              <w:t>--</w:t>
            </w:r>
          </w:p>
        </w:tc>
      </w:tr>
      <w:tr w:rsidR="00D56E7B" w:rsidRPr="00CF4727" w14:paraId="15E7E2F8" w14:textId="77777777" w:rsidTr="00B83003">
        <w:trPr>
          <w:cantSplit/>
          <w:trHeight w:val="23"/>
        </w:trPr>
        <w:tc>
          <w:tcPr>
            <w:tcW w:w="2552" w:type="dxa"/>
            <w:gridSpan w:val="2"/>
            <w:vAlign w:val="center"/>
          </w:tcPr>
          <w:p w14:paraId="73371399" w14:textId="77777777" w:rsidR="00D56E7B" w:rsidRPr="00CF4727" w:rsidRDefault="00D56E7B" w:rsidP="00B83003">
            <w:pPr>
              <w:tabs>
                <w:tab w:val="left" w:pos="1871"/>
              </w:tabs>
              <w:spacing w:before="60" w:after="60"/>
              <w:rPr>
                <w:b/>
                <w:bCs/>
                <w:szCs w:val="24"/>
              </w:rPr>
            </w:pPr>
            <w:proofErr w:type="spellStart"/>
            <w:r w:rsidRPr="00E93351">
              <w:rPr>
                <w:rFonts w:hint="eastAsia"/>
                <w:b/>
                <w:bCs/>
                <w:color w:val="000000"/>
                <w:lang w:val="zh-CN"/>
              </w:rPr>
              <w:t>截止日期</w:t>
            </w:r>
            <w:proofErr w:type="spellEnd"/>
            <w:r>
              <w:rPr>
                <w:rFonts w:hint="eastAsia"/>
                <w:b/>
                <w:bCs/>
                <w:color w:val="000000"/>
                <w:lang w:val="zh-CN"/>
              </w:rPr>
              <w:t>：</w:t>
            </w:r>
          </w:p>
        </w:tc>
        <w:tc>
          <w:tcPr>
            <w:tcW w:w="7479" w:type="dxa"/>
            <w:gridSpan w:val="3"/>
            <w:vAlign w:val="center"/>
          </w:tcPr>
          <w:p w14:paraId="22F7C25B" w14:textId="77777777" w:rsidR="00D56E7B" w:rsidRPr="00CF4727" w:rsidRDefault="00D56E7B" w:rsidP="00B83003">
            <w:pPr>
              <w:tabs>
                <w:tab w:val="left" w:pos="1871"/>
              </w:tabs>
              <w:spacing w:before="60" w:after="60"/>
              <w:rPr>
                <w:szCs w:val="24"/>
              </w:rPr>
            </w:pPr>
            <w:r>
              <w:rPr>
                <w:color w:val="000000"/>
                <w:lang w:val="zh-CN"/>
              </w:rPr>
              <w:t>--</w:t>
            </w:r>
          </w:p>
        </w:tc>
      </w:tr>
      <w:tr w:rsidR="00D56E7B" w:rsidRPr="00CF4727" w14:paraId="56DF683B" w14:textId="77777777" w:rsidTr="00B83003">
        <w:trPr>
          <w:cantSplit/>
          <w:trHeight w:val="23"/>
        </w:trPr>
        <w:tc>
          <w:tcPr>
            <w:tcW w:w="2552" w:type="dxa"/>
            <w:gridSpan w:val="2"/>
            <w:tcBorders>
              <w:bottom w:val="single" w:sz="4" w:space="0" w:color="auto"/>
            </w:tcBorders>
            <w:vAlign w:val="center"/>
          </w:tcPr>
          <w:p w14:paraId="7BFB09A0" w14:textId="77777777" w:rsidR="00D56E7B" w:rsidRPr="00CF4727" w:rsidRDefault="00D56E7B" w:rsidP="00B83003">
            <w:pPr>
              <w:tabs>
                <w:tab w:val="left" w:pos="1871"/>
              </w:tabs>
              <w:spacing w:before="0"/>
              <w:rPr>
                <w:b/>
                <w:bCs/>
                <w:szCs w:val="24"/>
              </w:rPr>
            </w:pPr>
          </w:p>
        </w:tc>
        <w:tc>
          <w:tcPr>
            <w:tcW w:w="7479" w:type="dxa"/>
            <w:gridSpan w:val="3"/>
            <w:tcBorders>
              <w:bottom w:val="single" w:sz="4" w:space="0" w:color="auto"/>
            </w:tcBorders>
            <w:vAlign w:val="center"/>
          </w:tcPr>
          <w:p w14:paraId="68AD2E8B" w14:textId="77777777" w:rsidR="00D56E7B" w:rsidRPr="00CF4727" w:rsidRDefault="00D56E7B" w:rsidP="00B83003">
            <w:pPr>
              <w:tabs>
                <w:tab w:val="left" w:pos="1871"/>
              </w:tabs>
              <w:spacing w:before="0"/>
              <w:rPr>
                <w:szCs w:val="24"/>
              </w:rPr>
            </w:pPr>
          </w:p>
        </w:tc>
      </w:tr>
      <w:tr w:rsidR="00D56E7B" w:rsidRPr="00CF4727" w14:paraId="0C7F921A" w14:textId="77777777" w:rsidTr="00B83003">
        <w:trPr>
          <w:cantSplit/>
          <w:trHeight w:val="23"/>
        </w:trPr>
        <w:tc>
          <w:tcPr>
            <w:tcW w:w="1276" w:type="dxa"/>
            <w:tcBorders>
              <w:top w:val="single" w:sz="4" w:space="0" w:color="auto"/>
            </w:tcBorders>
          </w:tcPr>
          <w:p w14:paraId="53AE8230" w14:textId="77777777" w:rsidR="00D56E7B" w:rsidRPr="00CF4727" w:rsidRDefault="00D56E7B" w:rsidP="00B83003">
            <w:pPr>
              <w:tabs>
                <w:tab w:val="left" w:pos="1871"/>
              </w:tabs>
              <w:spacing w:before="40"/>
              <w:rPr>
                <w:rFonts w:cs="Times New Roman Bold"/>
                <w:b/>
                <w:bCs/>
                <w:szCs w:val="24"/>
              </w:rPr>
            </w:pPr>
            <w:proofErr w:type="spellStart"/>
            <w:r>
              <w:rPr>
                <w:rFonts w:hint="eastAsia"/>
                <w:b/>
                <w:bCs/>
                <w:color w:val="000000"/>
                <w:lang w:val="zh-CN"/>
              </w:rPr>
              <w:t>联系人</w:t>
            </w:r>
            <w:proofErr w:type="spellEnd"/>
            <w:r>
              <w:rPr>
                <w:rFonts w:hint="eastAsia"/>
                <w:b/>
                <w:bCs/>
                <w:color w:val="000000"/>
                <w:lang w:val="zh-CN"/>
              </w:rPr>
              <w:t>：</w:t>
            </w:r>
          </w:p>
        </w:tc>
        <w:tc>
          <w:tcPr>
            <w:tcW w:w="2977" w:type="dxa"/>
            <w:gridSpan w:val="2"/>
            <w:tcBorders>
              <w:top w:val="single" w:sz="4" w:space="0" w:color="auto"/>
            </w:tcBorders>
          </w:tcPr>
          <w:p w14:paraId="68C554B6" w14:textId="77777777" w:rsidR="00D56E7B" w:rsidRPr="00CF4727" w:rsidRDefault="00D56E7B" w:rsidP="00B83003">
            <w:pPr>
              <w:tabs>
                <w:tab w:val="left" w:pos="1871"/>
                <w:tab w:val="left" w:pos="2302"/>
              </w:tabs>
              <w:overflowPunct/>
              <w:autoSpaceDE/>
              <w:autoSpaceDN/>
              <w:adjustRightInd/>
              <w:spacing w:before="40"/>
              <w:ind w:left="2302" w:hanging="2302"/>
              <w:textAlignment w:val="auto"/>
              <w:rPr>
                <w:szCs w:val="24"/>
              </w:rPr>
            </w:pPr>
            <w:proofErr w:type="spellStart"/>
            <w:r>
              <w:rPr>
                <w:color w:val="000000"/>
                <w:lang w:val="zh-CN"/>
              </w:rPr>
              <w:t>姓名</w:t>
            </w:r>
            <w:proofErr w:type="spellEnd"/>
            <w:r>
              <w:rPr>
                <w:color w:val="000000"/>
                <w:lang w:val="zh-CN"/>
              </w:rPr>
              <w:t>/</w:t>
            </w:r>
            <w:proofErr w:type="spellStart"/>
            <w:r>
              <w:rPr>
                <w:color w:val="000000"/>
                <w:lang w:val="zh-CN"/>
              </w:rPr>
              <w:t>组织</w:t>
            </w:r>
            <w:proofErr w:type="spellEnd"/>
            <w:r>
              <w:rPr>
                <w:color w:val="000000"/>
                <w:lang w:val="zh-CN"/>
              </w:rPr>
              <w:t>/</w:t>
            </w:r>
            <w:proofErr w:type="spellStart"/>
            <w:r>
              <w:rPr>
                <w:color w:val="000000"/>
                <w:lang w:val="zh-CN"/>
              </w:rPr>
              <w:t>实体</w:t>
            </w:r>
            <w:proofErr w:type="spellEnd"/>
            <w:r>
              <w:rPr>
                <w:color w:val="000000"/>
                <w:lang w:val="zh-CN"/>
              </w:rPr>
              <w:t>：</w:t>
            </w:r>
          </w:p>
        </w:tc>
        <w:tc>
          <w:tcPr>
            <w:tcW w:w="5778" w:type="dxa"/>
            <w:gridSpan w:val="2"/>
            <w:tcBorders>
              <w:top w:val="single" w:sz="4" w:space="0" w:color="auto"/>
            </w:tcBorders>
          </w:tcPr>
          <w:p w14:paraId="754FABD2" w14:textId="40F83308" w:rsidR="00D56E7B" w:rsidRPr="00CF4727" w:rsidRDefault="00D56E7B" w:rsidP="00B83003">
            <w:pPr>
              <w:spacing w:before="40"/>
              <w:rPr>
                <w:rFonts w:cs="Times New Roman Bold"/>
                <w:szCs w:val="24"/>
              </w:rPr>
            </w:pPr>
            <w:proofErr w:type="spellStart"/>
            <w:r>
              <w:rPr>
                <w:color w:val="000000"/>
                <w:lang w:val="zh-CN"/>
              </w:rPr>
              <w:t>电信发展顾问组主席</w:t>
            </w:r>
            <w:proofErr w:type="spellEnd"/>
            <w:r>
              <w:rPr>
                <w:color w:val="000000"/>
                <w:lang w:val="zh-CN"/>
              </w:rPr>
              <w:t xml:space="preserve"> </w:t>
            </w:r>
            <w:r>
              <w:rPr>
                <w:color w:val="000000"/>
                <w:lang w:val="zh-CN"/>
              </w:rPr>
              <w:br/>
              <w:t>Fleur Regina Assoumou Bessou</w:t>
            </w:r>
            <w:proofErr w:type="spellStart"/>
            <w:r>
              <w:rPr>
                <w:color w:val="000000"/>
                <w:lang w:val="zh-CN"/>
              </w:rPr>
              <w:t>女士</w:t>
            </w:r>
            <w:proofErr w:type="spellEnd"/>
          </w:p>
        </w:tc>
      </w:tr>
      <w:tr w:rsidR="00D56E7B" w:rsidRPr="00CF4727" w14:paraId="4F426C33" w14:textId="77777777" w:rsidTr="00B83003">
        <w:trPr>
          <w:cantSplit/>
          <w:trHeight w:val="23"/>
        </w:trPr>
        <w:tc>
          <w:tcPr>
            <w:tcW w:w="1276" w:type="dxa"/>
          </w:tcPr>
          <w:p w14:paraId="151497D6" w14:textId="77777777" w:rsidR="00D56E7B" w:rsidRPr="00CF4727" w:rsidRDefault="00D56E7B" w:rsidP="00B83003">
            <w:pPr>
              <w:tabs>
                <w:tab w:val="left" w:pos="1871"/>
              </w:tabs>
              <w:spacing w:before="0"/>
              <w:rPr>
                <w:rFonts w:cs="Times New Roman Bold"/>
                <w:sz w:val="22"/>
                <w:szCs w:val="22"/>
              </w:rPr>
            </w:pPr>
          </w:p>
        </w:tc>
        <w:tc>
          <w:tcPr>
            <w:tcW w:w="2977" w:type="dxa"/>
            <w:gridSpan w:val="2"/>
          </w:tcPr>
          <w:p w14:paraId="52119C8C" w14:textId="77777777" w:rsidR="00D56E7B" w:rsidRPr="00CF4727" w:rsidRDefault="00D56E7B" w:rsidP="00B83003">
            <w:pPr>
              <w:tabs>
                <w:tab w:val="left" w:pos="1871"/>
                <w:tab w:val="left" w:pos="2302"/>
              </w:tabs>
              <w:overflowPunct/>
              <w:autoSpaceDE/>
              <w:autoSpaceDN/>
              <w:adjustRightInd/>
              <w:spacing w:before="40"/>
              <w:textAlignment w:val="auto"/>
              <w:rPr>
                <w:szCs w:val="24"/>
              </w:rPr>
            </w:pPr>
            <w:proofErr w:type="spellStart"/>
            <w:r>
              <w:rPr>
                <w:color w:val="000000"/>
                <w:lang w:val="zh-CN"/>
              </w:rPr>
              <w:t>电话号码</w:t>
            </w:r>
            <w:proofErr w:type="spellEnd"/>
            <w:r>
              <w:rPr>
                <w:color w:val="000000"/>
                <w:lang w:val="zh-CN"/>
              </w:rPr>
              <w:t>：</w:t>
            </w:r>
          </w:p>
        </w:tc>
        <w:tc>
          <w:tcPr>
            <w:tcW w:w="5778" w:type="dxa"/>
            <w:gridSpan w:val="2"/>
          </w:tcPr>
          <w:p w14:paraId="08AF7C5B" w14:textId="77777777" w:rsidR="00D56E7B" w:rsidRPr="00CF4727" w:rsidRDefault="00D56E7B" w:rsidP="00B83003">
            <w:pPr>
              <w:tabs>
                <w:tab w:val="left" w:pos="1871"/>
              </w:tabs>
              <w:spacing w:before="40"/>
              <w:rPr>
                <w:rFonts w:cs="Times New Roman Bold"/>
                <w:szCs w:val="24"/>
              </w:rPr>
            </w:pPr>
            <w:r>
              <w:rPr>
                <w:color w:val="000000"/>
                <w:lang w:val="zh-CN"/>
              </w:rPr>
              <w:t>+225 0707815208</w:t>
            </w:r>
          </w:p>
        </w:tc>
      </w:tr>
      <w:tr w:rsidR="00D56E7B" w:rsidRPr="00CF4727" w14:paraId="4FD86625" w14:textId="77777777" w:rsidTr="00B83003">
        <w:trPr>
          <w:cantSplit/>
          <w:trHeight w:val="23"/>
        </w:trPr>
        <w:tc>
          <w:tcPr>
            <w:tcW w:w="1276" w:type="dxa"/>
            <w:tcBorders>
              <w:bottom w:val="single" w:sz="4" w:space="0" w:color="auto"/>
            </w:tcBorders>
          </w:tcPr>
          <w:p w14:paraId="423DC2C2" w14:textId="77777777" w:rsidR="00D56E7B" w:rsidRPr="00CF4727" w:rsidRDefault="00D56E7B" w:rsidP="00B83003">
            <w:pPr>
              <w:tabs>
                <w:tab w:val="left" w:pos="1871"/>
              </w:tabs>
              <w:spacing w:before="0"/>
              <w:rPr>
                <w:rFonts w:cs="Times New Roman Bold"/>
                <w:sz w:val="22"/>
                <w:szCs w:val="22"/>
              </w:rPr>
            </w:pPr>
          </w:p>
        </w:tc>
        <w:tc>
          <w:tcPr>
            <w:tcW w:w="2977" w:type="dxa"/>
            <w:gridSpan w:val="2"/>
            <w:tcBorders>
              <w:bottom w:val="single" w:sz="4" w:space="0" w:color="auto"/>
            </w:tcBorders>
          </w:tcPr>
          <w:p w14:paraId="56656B56" w14:textId="77777777" w:rsidR="00D56E7B" w:rsidRPr="00CF4727" w:rsidRDefault="00D56E7B" w:rsidP="00B83003">
            <w:pPr>
              <w:tabs>
                <w:tab w:val="left" w:pos="1871"/>
                <w:tab w:val="left" w:pos="2302"/>
              </w:tabs>
              <w:overflowPunct/>
              <w:autoSpaceDE/>
              <w:autoSpaceDN/>
              <w:adjustRightInd/>
              <w:spacing w:before="40"/>
              <w:textAlignment w:val="auto"/>
              <w:rPr>
                <w:szCs w:val="24"/>
              </w:rPr>
            </w:pPr>
            <w:proofErr w:type="spellStart"/>
            <w:r>
              <w:rPr>
                <w:color w:val="000000"/>
                <w:lang w:val="zh-CN"/>
              </w:rPr>
              <w:t>电子邮件</w:t>
            </w:r>
            <w:proofErr w:type="spellEnd"/>
            <w:r>
              <w:rPr>
                <w:color w:val="000000"/>
                <w:lang w:val="zh-CN"/>
              </w:rPr>
              <w:t>：</w:t>
            </w:r>
          </w:p>
        </w:tc>
        <w:tc>
          <w:tcPr>
            <w:tcW w:w="5778" w:type="dxa"/>
            <w:gridSpan w:val="2"/>
            <w:tcBorders>
              <w:bottom w:val="single" w:sz="4" w:space="0" w:color="auto"/>
            </w:tcBorders>
          </w:tcPr>
          <w:p w14:paraId="0BD39A70" w14:textId="77777777" w:rsidR="00D56E7B" w:rsidRPr="00D56E7B" w:rsidRDefault="00D56E7B" w:rsidP="00B83003">
            <w:pPr>
              <w:tabs>
                <w:tab w:val="left" w:pos="1871"/>
              </w:tabs>
              <w:spacing w:before="40"/>
              <w:rPr>
                <w:rStyle w:val="Hyperlink"/>
                <w:rFonts w:eastAsia="SimSun"/>
              </w:rPr>
            </w:pPr>
            <w:hyperlink r:id="rId10" w:history="1">
              <w:r w:rsidRPr="00D56E7B">
                <w:rPr>
                  <w:rStyle w:val="Hyperlink"/>
                  <w:rFonts w:eastAsia="SimSun"/>
                </w:rPr>
                <w:t>bessou.regina@artci.ci</w:t>
              </w:r>
            </w:hyperlink>
          </w:p>
        </w:tc>
      </w:tr>
      <w:tr w:rsidR="00D56E7B" w:rsidRPr="00CF4727" w14:paraId="695F2081" w14:textId="77777777" w:rsidTr="00B83003">
        <w:trPr>
          <w:cantSplit/>
          <w:trHeight w:val="23"/>
        </w:trPr>
        <w:tc>
          <w:tcPr>
            <w:tcW w:w="1276" w:type="dxa"/>
            <w:tcBorders>
              <w:top w:val="single" w:sz="4" w:space="0" w:color="auto"/>
            </w:tcBorders>
          </w:tcPr>
          <w:p w14:paraId="3BD380C5" w14:textId="77777777" w:rsidR="00D56E7B" w:rsidRPr="00CF4727" w:rsidRDefault="00D56E7B" w:rsidP="00B83003">
            <w:pPr>
              <w:tabs>
                <w:tab w:val="left" w:pos="1871"/>
              </w:tabs>
              <w:spacing w:before="0"/>
              <w:rPr>
                <w:rFonts w:cs="Times New Roman Bold"/>
                <w:sz w:val="22"/>
                <w:szCs w:val="22"/>
              </w:rPr>
            </w:pPr>
            <w:proofErr w:type="spellStart"/>
            <w:r>
              <w:rPr>
                <w:rFonts w:hint="eastAsia"/>
                <w:b/>
                <w:bCs/>
                <w:color w:val="000000"/>
                <w:lang w:val="zh-CN"/>
              </w:rPr>
              <w:t>联系人</w:t>
            </w:r>
            <w:proofErr w:type="spellEnd"/>
            <w:r>
              <w:rPr>
                <w:rFonts w:hint="eastAsia"/>
                <w:b/>
                <w:bCs/>
                <w:color w:val="000000"/>
                <w:lang w:val="zh-CN"/>
              </w:rPr>
              <w:t>：</w:t>
            </w:r>
          </w:p>
        </w:tc>
        <w:tc>
          <w:tcPr>
            <w:tcW w:w="2977" w:type="dxa"/>
            <w:gridSpan w:val="2"/>
            <w:tcBorders>
              <w:top w:val="single" w:sz="4" w:space="0" w:color="auto"/>
            </w:tcBorders>
          </w:tcPr>
          <w:p w14:paraId="3BFFCB8D" w14:textId="77777777" w:rsidR="00D56E7B" w:rsidRPr="00CF4727" w:rsidRDefault="00D56E7B" w:rsidP="00B83003">
            <w:pPr>
              <w:tabs>
                <w:tab w:val="left" w:pos="1871"/>
                <w:tab w:val="left" w:pos="2302"/>
              </w:tabs>
              <w:overflowPunct/>
              <w:autoSpaceDE/>
              <w:autoSpaceDN/>
              <w:adjustRightInd/>
              <w:spacing w:before="40"/>
              <w:textAlignment w:val="auto"/>
              <w:rPr>
                <w:szCs w:val="24"/>
              </w:rPr>
            </w:pPr>
            <w:proofErr w:type="spellStart"/>
            <w:r>
              <w:rPr>
                <w:color w:val="000000"/>
                <w:lang w:val="zh-CN"/>
              </w:rPr>
              <w:t>姓名</w:t>
            </w:r>
            <w:proofErr w:type="spellEnd"/>
            <w:r>
              <w:rPr>
                <w:color w:val="000000"/>
                <w:lang w:val="zh-CN"/>
              </w:rPr>
              <w:t>/</w:t>
            </w:r>
            <w:proofErr w:type="spellStart"/>
            <w:r>
              <w:rPr>
                <w:color w:val="000000"/>
                <w:lang w:val="zh-CN"/>
              </w:rPr>
              <w:t>组织</w:t>
            </w:r>
            <w:proofErr w:type="spellEnd"/>
            <w:r>
              <w:rPr>
                <w:color w:val="000000"/>
                <w:lang w:val="zh-CN"/>
              </w:rPr>
              <w:t>/</w:t>
            </w:r>
            <w:proofErr w:type="spellStart"/>
            <w:r>
              <w:rPr>
                <w:color w:val="000000"/>
                <w:lang w:val="zh-CN"/>
              </w:rPr>
              <w:t>实体</w:t>
            </w:r>
            <w:proofErr w:type="spellEnd"/>
            <w:r>
              <w:rPr>
                <w:color w:val="000000"/>
                <w:lang w:val="zh-CN"/>
              </w:rPr>
              <w:t>：</w:t>
            </w:r>
          </w:p>
        </w:tc>
        <w:tc>
          <w:tcPr>
            <w:tcW w:w="5778" w:type="dxa"/>
            <w:gridSpan w:val="2"/>
            <w:tcBorders>
              <w:top w:val="single" w:sz="4" w:space="0" w:color="auto"/>
            </w:tcBorders>
          </w:tcPr>
          <w:p w14:paraId="5F30ACB9" w14:textId="77777777" w:rsidR="00D56E7B" w:rsidRPr="00CF4727" w:rsidRDefault="00D56E7B" w:rsidP="00B83003">
            <w:pPr>
              <w:tabs>
                <w:tab w:val="left" w:pos="1871"/>
              </w:tabs>
              <w:spacing w:before="40"/>
              <w:rPr>
                <w:rFonts w:cs="Times New Roman Bold"/>
                <w:szCs w:val="24"/>
                <w:u w:val="single"/>
              </w:rPr>
            </w:pPr>
            <w:proofErr w:type="spellStart"/>
            <w:r>
              <w:rPr>
                <w:color w:val="000000"/>
                <w:lang w:val="zh-CN"/>
              </w:rPr>
              <w:t>电信发展局副主任</w:t>
            </w:r>
            <w:proofErr w:type="spellEnd"/>
            <w:r>
              <w:rPr>
                <w:color w:val="000000"/>
                <w:lang w:val="zh-CN"/>
              </w:rPr>
              <w:t>Archana Gulati</w:t>
            </w:r>
            <w:proofErr w:type="spellStart"/>
            <w:r>
              <w:rPr>
                <w:color w:val="000000"/>
                <w:lang w:val="zh-CN"/>
              </w:rPr>
              <w:t>女士</w:t>
            </w:r>
            <w:proofErr w:type="spellEnd"/>
          </w:p>
        </w:tc>
      </w:tr>
      <w:tr w:rsidR="00D56E7B" w:rsidRPr="00CF4727" w14:paraId="75E17BF8" w14:textId="77777777" w:rsidTr="00B83003">
        <w:trPr>
          <w:cantSplit/>
          <w:trHeight w:val="23"/>
        </w:trPr>
        <w:tc>
          <w:tcPr>
            <w:tcW w:w="1276" w:type="dxa"/>
          </w:tcPr>
          <w:p w14:paraId="016ED2E7" w14:textId="77777777" w:rsidR="00D56E7B" w:rsidRPr="00CF4727" w:rsidRDefault="00D56E7B" w:rsidP="00B83003">
            <w:pPr>
              <w:tabs>
                <w:tab w:val="left" w:pos="1871"/>
              </w:tabs>
              <w:spacing w:before="0"/>
              <w:rPr>
                <w:rFonts w:cs="Times New Roman Bold"/>
                <w:sz w:val="22"/>
                <w:szCs w:val="22"/>
              </w:rPr>
            </w:pPr>
          </w:p>
        </w:tc>
        <w:tc>
          <w:tcPr>
            <w:tcW w:w="2977" w:type="dxa"/>
            <w:gridSpan w:val="2"/>
          </w:tcPr>
          <w:p w14:paraId="139D99D3" w14:textId="77777777" w:rsidR="00D56E7B" w:rsidRPr="00CF4727" w:rsidRDefault="00D56E7B" w:rsidP="00B83003">
            <w:pPr>
              <w:tabs>
                <w:tab w:val="left" w:pos="1871"/>
                <w:tab w:val="left" w:pos="2302"/>
              </w:tabs>
              <w:overflowPunct/>
              <w:autoSpaceDE/>
              <w:autoSpaceDN/>
              <w:adjustRightInd/>
              <w:spacing w:before="40"/>
              <w:textAlignment w:val="auto"/>
              <w:rPr>
                <w:szCs w:val="24"/>
              </w:rPr>
            </w:pPr>
            <w:proofErr w:type="spellStart"/>
            <w:r>
              <w:rPr>
                <w:color w:val="000000"/>
                <w:lang w:val="zh-CN"/>
              </w:rPr>
              <w:t>电话号码</w:t>
            </w:r>
            <w:proofErr w:type="spellEnd"/>
            <w:r>
              <w:rPr>
                <w:color w:val="000000"/>
                <w:lang w:val="zh-CN"/>
              </w:rPr>
              <w:t>：</w:t>
            </w:r>
          </w:p>
        </w:tc>
        <w:tc>
          <w:tcPr>
            <w:tcW w:w="5778" w:type="dxa"/>
            <w:gridSpan w:val="2"/>
          </w:tcPr>
          <w:p w14:paraId="2022E615" w14:textId="77777777" w:rsidR="00D56E7B" w:rsidRPr="00CF4727" w:rsidRDefault="00D56E7B" w:rsidP="00B83003">
            <w:pPr>
              <w:tabs>
                <w:tab w:val="left" w:pos="1871"/>
              </w:tabs>
              <w:spacing w:before="40"/>
              <w:rPr>
                <w:rFonts w:cs="Times New Roman Bold"/>
                <w:szCs w:val="24"/>
                <w:u w:val="single"/>
              </w:rPr>
            </w:pPr>
            <w:r>
              <w:rPr>
                <w:color w:val="000000"/>
                <w:lang w:val="zh-CN"/>
              </w:rPr>
              <w:t>+41 22 730 6475</w:t>
            </w:r>
          </w:p>
        </w:tc>
      </w:tr>
      <w:tr w:rsidR="00D56E7B" w:rsidRPr="00CF4727" w14:paraId="621943D7" w14:textId="77777777" w:rsidTr="00B83003">
        <w:trPr>
          <w:cantSplit/>
          <w:trHeight w:val="23"/>
        </w:trPr>
        <w:tc>
          <w:tcPr>
            <w:tcW w:w="1276" w:type="dxa"/>
          </w:tcPr>
          <w:p w14:paraId="665DD476" w14:textId="77777777" w:rsidR="00D56E7B" w:rsidRPr="00CF4727" w:rsidRDefault="00D56E7B" w:rsidP="00B83003">
            <w:pPr>
              <w:tabs>
                <w:tab w:val="left" w:pos="1871"/>
              </w:tabs>
              <w:spacing w:before="0"/>
              <w:rPr>
                <w:rFonts w:cs="Times New Roman Bold"/>
                <w:sz w:val="22"/>
                <w:szCs w:val="22"/>
              </w:rPr>
            </w:pPr>
          </w:p>
        </w:tc>
        <w:tc>
          <w:tcPr>
            <w:tcW w:w="2977" w:type="dxa"/>
            <w:gridSpan w:val="2"/>
          </w:tcPr>
          <w:p w14:paraId="38ACA2BC" w14:textId="77777777" w:rsidR="00D56E7B" w:rsidRPr="00CF4727" w:rsidRDefault="00D56E7B" w:rsidP="00B83003">
            <w:pPr>
              <w:tabs>
                <w:tab w:val="left" w:pos="1871"/>
                <w:tab w:val="left" w:pos="2302"/>
              </w:tabs>
              <w:overflowPunct/>
              <w:autoSpaceDE/>
              <w:autoSpaceDN/>
              <w:adjustRightInd/>
              <w:spacing w:before="40"/>
              <w:textAlignment w:val="auto"/>
              <w:rPr>
                <w:szCs w:val="24"/>
              </w:rPr>
            </w:pPr>
            <w:proofErr w:type="spellStart"/>
            <w:r>
              <w:rPr>
                <w:color w:val="000000"/>
                <w:lang w:val="zh-CN"/>
              </w:rPr>
              <w:t>电子邮件</w:t>
            </w:r>
            <w:proofErr w:type="spellEnd"/>
            <w:r>
              <w:rPr>
                <w:color w:val="000000"/>
                <w:lang w:val="zh-CN"/>
              </w:rPr>
              <w:t>：</w:t>
            </w:r>
          </w:p>
        </w:tc>
        <w:tc>
          <w:tcPr>
            <w:tcW w:w="5778" w:type="dxa"/>
            <w:gridSpan w:val="2"/>
          </w:tcPr>
          <w:p w14:paraId="51EBE767" w14:textId="77777777" w:rsidR="00D56E7B" w:rsidRPr="00D56E7B" w:rsidRDefault="00D56E7B" w:rsidP="00B83003">
            <w:pPr>
              <w:tabs>
                <w:tab w:val="left" w:pos="1871"/>
              </w:tabs>
              <w:spacing w:before="40"/>
              <w:rPr>
                <w:rStyle w:val="Hyperlink"/>
                <w:rFonts w:eastAsia="SimSun"/>
              </w:rPr>
            </w:pPr>
            <w:hyperlink r:id="rId11" w:history="1">
              <w:r w:rsidRPr="00D56E7B">
                <w:rPr>
                  <w:rStyle w:val="Hyperlink"/>
                  <w:rFonts w:eastAsia="SimSun"/>
                </w:rPr>
                <w:t>archana.gulati@itu.int</w:t>
              </w:r>
            </w:hyperlink>
          </w:p>
        </w:tc>
      </w:tr>
      <w:tr w:rsidR="00D56E7B" w:rsidRPr="00CF4727" w14:paraId="57A757F3" w14:textId="77777777" w:rsidTr="00B83003">
        <w:trPr>
          <w:cantSplit/>
          <w:trHeight w:val="23"/>
        </w:trPr>
        <w:tc>
          <w:tcPr>
            <w:tcW w:w="10031" w:type="dxa"/>
            <w:gridSpan w:val="5"/>
          </w:tcPr>
          <w:p w14:paraId="7E4C7EBF" w14:textId="77777777" w:rsidR="00D56E7B" w:rsidRPr="00CF4727" w:rsidRDefault="00D56E7B" w:rsidP="00B83003">
            <w:pPr>
              <w:tabs>
                <w:tab w:val="left" w:pos="1871"/>
              </w:tabs>
              <w:spacing w:before="0"/>
              <w:rPr>
                <w:rFonts w:cs="Times New Roman Bold"/>
                <w:szCs w:val="24"/>
              </w:rPr>
            </w:pPr>
          </w:p>
        </w:tc>
      </w:tr>
      <w:tr w:rsidR="00D56E7B" w:rsidRPr="00CF4727" w14:paraId="394A948A" w14:textId="77777777" w:rsidTr="00B83003">
        <w:trPr>
          <w:cantSplit/>
          <w:trHeight w:val="23"/>
        </w:trPr>
        <w:tc>
          <w:tcPr>
            <w:tcW w:w="10031" w:type="dxa"/>
            <w:gridSpan w:val="5"/>
            <w:tcBorders>
              <w:top w:val="single" w:sz="4" w:space="0" w:color="auto"/>
              <w:left w:val="single" w:sz="4" w:space="0" w:color="auto"/>
              <w:bottom w:val="single" w:sz="4" w:space="0" w:color="auto"/>
              <w:right w:val="single" w:sz="4" w:space="0" w:color="auto"/>
            </w:tcBorders>
          </w:tcPr>
          <w:p w14:paraId="49E5FB24" w14:textId="77777777" w:rsidR="00D56E7B" w:rsidRPr="00CF4727" w:rsidRDefault="00D56E7B" w:rsidP="00B83003">
            <w:pPr>
              <w:tabs>
                <w:tab w:val="left" w:pos="1871"/>
              </w:tabs>
              <w:rPr>
                <w:b/>
                <w:bCs/>
                <w:szCs w:val="24"/>
                <w:lang w:eastAsia="zh-CN"/>
              </w:rPr>
            </w:pPr>
            <w:r>
              <w:rPr>
                <w:b/>
                <w:bCs/>
                <w:color w:val="000000"/>
                <w:lang w:val="zh-CN" w:eastAsia="zh-CN"/>
              </w:rPr>
              <w:t>摘要：</w:t>
            </w:r>
          </w:p>
          <w:p w14:paraId="16E06335" w14:textId="77777777" w:rsidR="00D56E7B" w:rsidRPr="00CF4727" w:rsidRDefault="00D56E7B" w:rsidP="001A00EF">
            <w:pPr>
              <w:tabs>
                <w:tab w:val="left" w:pos="1871"/>
              </w:tabs>
              <w:spacing w:after="120"/>
              <w:ind w:firstLineChars="200" w:firstLine="480"/>
              <w:rPr>
                <w:rFonts w:cs="Calibri"/>
                <w:color w:val="000000"/>
                <w:shd w:val="clear" w:color="auto" w:fill="FFFFFF"/>
                <w:lang w:eastAsia="zh-CN"/>
              </w:rPr>
            </w:pPr>
            <w:r w:rsidRPr="00E93351">
              <w:rPr>
                <w:rFonts w:hint="eastAsia"/>
                <w:color w:val="000000"/>
                <w:lang w:val="zh-CN" w:eastAsia="zh-CN"/>
              </w:rPr>
              <w:t>本联络声明载有供国际电联理事会</w:t>
            </w:r>
            <w:r w:rsidRPr="00E93351">
              <w:rPr>
                <w:rFonts w:hint="eastAsia"/>
                <w:color w:val="000000"/>
                <w:lang w:val="zh-CN" w:eastAsia="zh-CN"/>
              </w:rPr>
              <w:t>2026</w:t>
            </w:r>
            <w:r w:rsidRPr="00E93351">
              <w:rPr>
                <w:rFonts w:hint="eastAsia"/>
                <w:color w:val="000000"/>
                <w:lang w:val="zh-CN" w:eastAsia="zh-CN"/>
              </w:rPr>
              <w:t>年会议审议的提案，以考虑划拨必要资金，支持落实</w:t>
            </w:r>
            <w:r w:rsidRPr="00E93351">
              <w:rPr>
                <w:rFonts w:hint="eastAsia"/>
                <w:color w:val="000000"/>
                <w:lang w:val="zh-CN" w:eastAsia="zh-CN"/>
              </w:rPr>
              <w:t>WTDC-25</w:t>
            </w:r>
            <w:r w:rsidRPr="00E93351">
              <w:rPr>
                <w:rFonts w:hint="eastAsia"/>
                <w:color w:val="000000"/>
                <w:lang w:val="zh-CN" w:eastAsia="zh-CN"/>
              </w:rPr>
              <w:t>关于大会通过的各项区域性举措的成果。该提案考虑到了理事会</w:t>
            </w:r>
            <w:r w:rsidRPr="00E93351">
              <w:rPr>
                <w:rFonts w:hint="eastAsia"/>
                <w:color w:val="000000"/>
                <w:lang w:val="zh-CN" w:eastAsia="zh-CN"/>
              </w:rPr>
              <w:t>2018</w:t>
            </w:r>
            <w:r w:rsidRPr="00E93351">
              <w:rPr>
                <w:rFonts w:hint="eastAsia"/>
                <w:color w:val="000000"/>
                <w:lang w:val="zh-CN" w:eastAsia="zh-CN"/>
              </w:rPr>
              <w:t>年和</w:t>
            </w:r>
            <w:r w:rsidRPr="00E93351">
              <w:rPr>
                <w:rFonts w:hint="eastAsia"/>
                <w:color w:val="000000"/>
                <w:lang w:val="zh-CN" w:eastAsia="zh-CN"/>
              </w:rPr>
              <w:t>2023</w:t>
            </w:r>
            <w:r w:rsidRPr="00E93351">
              <w:rPr>
                <w:rFonts w:hint="eastAsia"/>
                <w:color w:val="000000"/>
                <w:lang w:val="zh-CN" w:eastAsia="zh-CN"/>
              </w:rPr>
              <w:t>年会议此前批准的拨款，分别用于支持落实</w:t>
            </w:r>
            <w:r w:rsidRPr="00E93351">
              <w:rPr>
                <w:rFonts w:hint="eastAsia"/>
                <w:color w:val="000000"/>
                <w:lang w:val="zh-CN" w:eastAsia="zh-CN"/>
              </w:rPr>
              <w:t>WTDC-17</w:t>
            </w:r>
            <w:r w:rsidRPr="00E93351">
              <w:rPr>
                <w:rFonts w:hint="eastAsia"/>
                <w:color w:val="000000"/>
                <w:lang w:val="zh-CN" w:eastAsia="zh-CN"/>
              </w:rPr>
              <w:t>和</w:t>
            </w:r>
            <w:r w:rsidRPr="00E93351">
              <w:rPr>
                <w:rFonts w:hint="eastAsia"/>
                <w:color w:val="000000"/>
                <w:lang w:val="zh-CN" w:eastAsia="zh-CN"/>
              </w:rPr>
              <w:t>WTDC-22</w:t>
            </w:r>
            <w:r w:rsidRPr="00E93351">
              <w:rPr>
                <w:rFonts w:hint="eastAsia"/>
                <w:color w:val="000000"/>
                <w:lang w:val="zh-CN" w:eastAsia="zh-CN"/>
              </w:rPr>
              <w:t>的成果。</w:t>
            </w:r>
          </w:p>
        </w:tc>
      </w:tr>
    </w:tbl>
    <w:p w14:paraId="637F2C31" w14:textId="77777777" w:rsidR="00D56E7B" w:rsidRPr="00CF4727" w:rsidRDefault="00D56E7B" w:rsidP="00302CA7">
      <w:pPr>
        <w:spacing w:before="360"/>
        <w:ind w:firstLineChars="200" w:firstLine="480"/>
        <w:rPr>
          <w:rFonts w:cs="Arial"/>
          <w:lang w:eastAsia="zh-CN"/>
        </w:rPr>
      </w:pPr>
      <w:r>
        <w:rPr>
          <w:lang w:val="zh-CN" w:eastAsia="zh-CN"/>
        </w:rPr>
        <w:t>在阿塞拜疆巴库举行的</w:t>
      </w:r>
      <w:r>
        <w:rPr>
          <w:lang w:val="zh-CN" w:eastAsia="zh-CN"/>
        </w:rPr>
        <w:t>2025</w:t>
      </w:r>
      <w:r>
        <w:rPr>
          <w:lang w:val="zh-CN" w:eastAsia="zh-CN"/>
        </w:rPr>
        <w:t>年世界电信发展大会（</w:t>
      </w:r>
      <w:r>
        <w:rPr>
          <w:lang w:val="zh-CN" w:eastAsia="zh-CN"/>
        </w:rPr>
        <w:t>WTDC-25</w:t>
      </w:r>
      <w:r>
        <w:rPr>
          <w:lang w:val="zh-CN" w:eastAsia="zh-CN"/>
        </w:rPr>
        <w:t>）通过了《巴库宣言》和《巴库行动计划》，其中包括一套全面的三十项区域性举措，旨在满足</w:t>
      </w:r>
      <w:r>
        <w:rPr>
          <w:lang w:eastAsia="zh-CN"/>
        </w:rPr>
        <w:t>各</w:t>
      </w:r>
      <w:r>
        <w:rPr>
          <w:lang w:val="zh-CN" w:eastAsia="zh-CN"/>
        </w:rPr>
        <w:t>区域的具体需求，以推进普遍和有意义的连接并加速数字化转型。这些成果</w:t>
      </w:r>
      <w:r>
        <w:rPr>
          <w:lang w:eastAsia="zh-CN"/>
        </w:rPr>
        <w:t>为</w:t>
      </w:r>
      <w:r>
        <w:rPr>
          <w:lang w:val="zh-CN" w:eastAsia="zh-CN"/>
        </w:rPr>
        <w:t>电信发展部门</w:t>
      </w:r>
      <w:r>
        <w:rPr>
          <w:lang w:eastAsia="zh-CN"/>
        </w:rPr>
        <w:t>确立了</w:t>
      </w:r>
      <w:r>
        <w:rPr>
          <w:rFonts w:hint="eastAsia"/>
          <w:lang w:val="zh-CN" w:eastAsia="zh-CN"/>
        </w:rPr>
        <w:t>清晰</w:t>
      </w:r>
      <w:r>
        <w:rPr>
          <w:lang w:eastAsia="zh-CN"/>
        </w:rPr>
        <w:t>且</w:t>
      </w:r>
      <w:r>
        <w:rPr>
          <w:lang w:val="zh-CN" w:eastAsia="zh-CN"/>
        </w:rPr>
        <w:t>雄心勃勃的职责。</w:t>
      </w:r>
    </w:p>
    <w:p w14:paraId="20CF4ADD" w14:textId="77777777" w:rsidR="00D56E7B" w:rsidRPr="00CF4727" w:rsidRDefault="00D56E7B" w:rsidP="00D56E7B">
      <w:pPr>
        <w:ind w:firstLineChars="200" w:firstLine="480"/>
        <w:rPr>
          <w:rFonts w:cs="Calibri"/>
          <w:szCs w:val="24"/>
          <w:lang w:eastAsia="zh-CN"/>
        </w:rPr>
      </w:pPr>
      <w:r>
        <w:rPr>
          <w:lang w:val="zh-CN" w:eastAsia="zh-CN"/>
        </w:rPr>
        <w:t>TDAG</w:t>
      </w:r>
      <w:r>
        <w:rPr>
          <w:lang w:val="zh-CN" w:eastAsia="zh-CN"/>
        </w:rPr>
        <w:t>回顾指出，</w:t>
      </w:r>
      <w:r>
        <w:rPr>
          <w:lang w:val="zh-CN" w:eastAsia="zh-CN"/>
        </w:rPr>
        <w:t>ITU-D</w:t>
      </w:r>
      <w:r>
        <w:rPr>
          <w:lang w:val="zh-CN" w:eastAsia="zh-CN"/>
        </w:rPr>
        <w:t>一直</w:t>
      </w:r>
      <w:r>
        <w:rPr>
          <w:lang w:eastAsia="zh-CN"/>
        </w:rPr>
        <w:t>以来都</w:t>
      </w:r>
      <w:r>
        <w:rPr>
          <w:lang w:val="zh-CN" w:eastAsia="zh-CN"/>
        </w:rPr>
        <w:t>依靠</w:t>
      </w:r>
      <w:r>
        <w:rPr>
          <w:lang w:eastAsia="zh-CN"/>
        </w:rPr>
        <w:t>以项目为基础的实施方式</w:t>
      </w:r>
      <w:r>
        <w:rPr>
          <w:lang w:val="zh-CN" w:eastAsia="zh-CN"/>
        </w:rPr>
        <w:t>，并</w:t>
      </w:r>
      <w:r>
        <w:rPr>
          <w:lang w:eastAsia="zh-CN"/>
        </w:rPr>
        <w:t>辅以</w:t>
      </w:r>
      <w:r>
        <w:rPr>
          <w:lang w:val="zh-CN" w:eastAsia="zh-CN"/>
        </w:rPr>
        <w:t>定向种子资金，将其作为有效和基于结果的机制来执行</w:t>
      </w:r>
      <w:r>
        <w:rPr>
          <w:lang w:val="zh-CN" w:eastAsia="zh-CN"/>
        </w:rPr>
        <w:t>WTDC</w:t>
      </w:r>
      <w:r>
        <w:rPr>
          <w:lang w:val="zh-CN" w:eastAsia="zh-CN"/>
        </w:rPr>
        <w:t>的职责。与此同时，</w:t>
      </w:r>
      <w:r>
        <w:rPr>
          <w:lang w:val="zh-CN" w:eastAsia="zh-CN"/>
        </w:rPr>
        <w:t>TDAG</w:t>
      </w:r>
      <w:r>
        <w:rPr>
          <w:lang w:val="zh-CN" w:eastAsia="zh-CN"/>
        </w:rPr>
        <w:t>承认，签署新项目的可行性在很大程度上取决于是否有资金和愿意为国际电联工作提供资金的合作伙伴，而且许多捐助方希望接受资金的机构和</w:t>
      </w:r>
      <w:r>
        <w:rPr>
          <w:lang w:val="zh-CN" w:eastAsia="zh-CN"/>
        </w:rPr>
        <w:t>/</w:t>
      </w:r>
      <w:r>
        <w:rPr>
          <w:lang w:val="zh-CN" w:eastAsia="zh-CN"/>
        </w:rPr>
        <w:t>或接受支持的受益国提供一定程度的共同资金，以确保新项目的可行性，</w:t>
      </w:r>
      <w:r>
        <w:rPr>
          <w:lang w:eastAsia="zh-CN"/>
        </w:rPr>
        <w:t>这</w:t>
      </w:r>
      <w:r>
        <w:rPr>
          <w:lang w:val="zh-CN" w:eastAsia="zh-CN"/>
        </w:rPr>
        <w:t>给资源筹措工作带来了更多挑战。</w:t>
      </w:r>
      <w:r>
        <w:rPr>
          <w:lang w:val="zh-CN" w:eastAsia="zh-CN"/>
        </w:rPr>
        <w:t>TDAG</w:t>
      </w:r>
      <w:r>
        <w:rPr>
          <w:lang w:val="zh-CN" w:eastAsia="zh-CN"/>
        </w:rPr>
        <w:t>注意到一些代表提出的</w:t>
      </w:r>
      <w:r>
        <w:rPr>
          <w:lang w:eastAsia="zh-CN"/>
        </w:rPr>
        <w:t>关切</w:t>
      </w:r>
      <w:r>
        <w:rPr>
          <w:lang w:val="zh-CN" w:eastAsia="zh-CN"/>
        </w:rPr>
        <w:t>，即共同出资的要求可能会</w:t>
      </w:r>
      <w:r>
        <w:rPr>
          <w:lang w:eastAsia="zh-CN"/>
        </w:rPr>
        <w:t>对</w:t>
      </w:r>
      <w:r>
        <w:rPr>
          <w:lang w:val="zh-CN" w:eastAsia="zh-CN"/>
        </w:rPr>
        <w:t>一些发展中国家，特别是最不发达国家（</w:t>
      </w:r>
      <w:r>
        <w:rPr>
          <w:lang w:val="zh-CN" w:eastAsia="zh-CN"/>
        </w:rPr>
        <w:t>LDC</w:t>
      </w:r>
      <w:r>
        <w:rPr>
          <w:lang w:val="zh-CN" w:eastAsia="zh-CN"/>
        </w:rPr>
        <w:t>）造成障碍。</w:t>
      </w:r>
    </w:p>
    <w:p w14:paraId="4B77CBD0" w14:textId="77777777" w:rsidR="00D56E7B" w:rsidRDefault="00D56E7B" w:rsidP="00D56E7B">
      <w:pPr>
        <w:ind w:firstLineChars="200" w:firstLine="480"/>
        <w:rPr>
          <w:lang w:val="zh-CN" w:eastAsia="zh-CN"/>
        </w:rPr>
      </w:pPr>
      <w:r>
        <w:rPr>
          <w:lang w:val="zh-CN" w:eastAsia="zh-CN"/>
        </w:rPr>
        <w:lastRenderedPageBreak/>
        <w:t>此外，</w:t>
      </w:r>
      <w:r>
        <w:rPr>
          <w:lang w:val="zh-CN" w:eastAsia="zh-CN"/>
        </w:rPr>
        <w:t>TDAG</w:t>
      </w:r>
      <w:r>
        <w:rPr>
          <w:lang w:val="zh-CN" w:eastAsia="zh-CN"/>
        </w:rPr>
        <w:t>认识到</w:t>
      </w:r>
      <w:r>
        <w:rPr>
          <w:rFonts w:hint="eastAsia"/>
          <w:lang w:val="zh-CN" w:eastAsia="zh-CN"/>
        </w:rPr>
        <w:t>关于</w:t>
      </w:r>
      <w:r w:rsidRPr="00D41761">
        <w:rPr>
          <w:rFonts w:ascii="STKaiti" w:eastAsia="STKaiti" w:hAnsi="STKaiti" w:hint="eastAsia"/>
          <w:lang w:val="zh-CN" w:eastAsia="zh-CN"/>
        </w:rPr>
        <w:t>对已获批准的区域性举措进行资源筹措、实施和合作</w:t>
      </w:r>
      <w:r w:rsidRPr="00855481">
        <w:rPr>
          <w:rFonts w:hint="eastAsia"/>
          <w:lang w:val="zh-CN" w:eastAsia="zh-CN"/>
        </w:rPr>
        <w:t>的第</w:t>
      </w:r>
      <w:r w:rsidRPr="00855481">
        <w:rPr>
          <w:rFonts w:hint="eastAsia"/>
          <w:lang w:val="zh-CN" w:eastAsia="zh-CN"/>
        </w:rPr>
        <w:t>17</w:t>
      </w:r>
      <w:r w:rsidRPr="00855481">
        <w:rPr>
          <w:rFonts w:hint="eastAsia"/>
          <w:lang w:val="zh-CN" w:eastAsia="zh-CN"/>
        </w:rPr>
        <w:t>号决议（</w:t>
      </w:r>
      <w:r w:rsidRPr="00855481">
        <w:rPr>
          <w:rFonts w:hint="eastAsia"/>
          <w:lang w:val="zh-CN" w:eastAsia="zh-CN"/>
        </w:rPr>
        <w:t>2025</w:t>
      </w:r>
      <w:r w:rsidRPr="00855481">
        <w:rPr>
          <w:rFonts w:hint="eastAsia"/>
          <w:lang w:val="zh-CN" w:eastAsia="zh-CN"/>
        </w:rPr>
        <w:t>年，巴库，修订版）</w:t>
      </w:r>
      <w:r>
        <w:rPr>
          <w:rFonts w:hint="eastAsia"/>
          <w:lang w:val="zh-CN" w:eastAsia="zh-CN"/>
        </w:rPr>
        <w:t>所做</w:t>
      </w:r>
      <w:r>
        <w:rPr>
          <w:lang w:val="zh-CN" w:eastAsia="zh-CN"/>
        </w:rPr>
        <w:t>的修改以及</w:t>
      </w:r>
      <w:r>
        <w:rPr>
          <w:rFonts w:hint="eastAsia"/>
          <w:lang w:val="zh-CN" w:eastAsia="zh-CN"/>
        </w:rPr>
        <w:t>关于</w:t>
      </w:r>
      <w:r w:rsidRPr="00D41761">
        <w:rPr>
          <w:rFonts w:ascii="STKaiti" w:eastAsia="STKaiti" w:hAnsi="STKaiti"/>
          <w:lang w:val="zh-CN" w:eastAsia="zh-CN"/>
        </w:rPr>
        <w:t>加强国际电联区域代表处在加速数字化转型和利用伙伴关系方面的作用</w:t>
      </w:r>
      <w:r>
        <w:rPr>
          <w:rFonts w:hint="eastAsia"/>
          <w:lang w:val="zh-CN" w:eastAsia="zh-CN"/>
        </w:rPr>
        <w:t>的</w:t>
      </w:r>
      <w:r>
        <w:rPr>
          <w:lang w:val="zh-CN" w:eastAsia="zh-CN"/>
        </w:rPr>
        <w:t>第</w:t>
      </w:r>
      <w:r>
        <w:rPr>
          <w:lang w:val="zh-CN" w:eastAsia="zh-CN"/>
        </w:rPr>
        <w:t>92</w:t>
      </w:r>
      <w:r>
        <w:rPr>
          <w:lang w:val="zh-CN" w:eastAsia="zh-CN"/>
        </w:rPr>
        <w:t>号</w:t>
      </w:r>
      <w:r>
        <w:rPr>
          <w:rFonts w:hint="eastAsia"/>
          <w:lang w:val="zh-CN" w:eastAsia="zh-CN"/>
        </w:rPr>
        <w:t>新</w:t>
      </w:r>
      <w:r>
        <w:rPr>
          <w:lang w:val="zh-CN" w:eastAsia="zh-CN"/>
        </w:rPr>
        <w:t>决议（</w:t>
      </w:r>
      <w:r>
        <w:rPr>
          <w:lang w:val="zh-CN" w:eastAsia="zh-CN"/>
        </w:rPr>
        <w:t>2025</w:t>
      </w:r>
      <w:r>
        <w:rPr>
          <w:lang w:val="zh-CN" w:eastAsia="zh-CN"/>
        </w:rPr>
        <w:t>年，巴库），这些决议呼吁为电信发展局与合作伙伴和受益方共同设计项目创建一套全面的机制和导则，并通过结构化流程支持</w:t>
      </w:r>
      <w:r>
        <w:rPr>
          <w:rFonts w:hint="eastAsia"/>
          <w:lang w:val="zh-CN" w:eastAsia="zh-CN"/>
        </w:rPr>
        <w:t>筹措</w:t>
      </w:r>
      <w:r>
        <w:rPr>
          <w:lang w:val="zh-CN" w:eastAsia="zh-CN"/>
        </w:rPr>
        <w:t>资金。此外，</w:t>
      </w:r>
      <w:r>
        <w:rPr>
          <w:lang w:val="zh-CN" w:eastAsia="zh-CN"/>
        </w:rPr>
        <w:t>TDAG</w:t>
      </w:r>
      <w:r>
        <w:rPr>
          <w:rFonts w:hint="eastAsia"/>
          <w:lang w:val="zh-CN" w:eastAsia="zh-CN"/>
        </w:rPr>
        <w:t>还</w:t>
      </w:r>
      <w:r>
        <w:rPr>
          <w:lang w:val="zh-CN" w:eastAsia="zh-CN"/>
        </w:rPr>
        <w:t>认识到《财务规则》中有关实物捐助部分的最新变化，这对区域性举措的实施很有价值</w:t>
      </w:r>
      <w:r>
        <w:rPr>
          <w:rFonts w:hint="eastAsia"/>
          <w:lang w:val="zh-CN" w:eastAsia="zh-CN"/>
        </w:rPr>
        <w:t>。</w:t>
      </w:r>
    </w:p>
    <w:p w14:paraId="4DD2C7FF" w14:textId="77777777" w:rsidR="00D56E7B" w:rsidRPr="00CF4727" w:rsidRDefault="00D56E7B" w:rsidP="00D56E7B">
      <w:pPr>
        <w:ind w:firstLineChars="200" w:firstLine="480"/>
        <w:rPr>
          <w:rFonts w:cs="Calibri"/>
          <w:szCs w:val="24"/>
          <w:lang w:eastAsia="zh-CN"/>
        </w:rPr>
      </w:pPr>
      <w:r>
        <w:rPr>
          <w:lang w:eastAsia="zh-CN"/>
        </w:rPr>
        <w:t>基于上述考虑，</w:t>
      </w:r>
      <w:r>
        <w:rPr>
          <w:lang w:eastAsia="zh-CN"/>
        </w:rPr>
        <w:t>TDAG</w:t>
      </w:r>
      <w:r>
        <w:rPr>
          <w:lang w:eastAsia="zh-CN"/>
        </w:rPr>
        <w:t>认识到，</w:t>
      </w:r>
      <w:r>
        <w:rPr>
          <w:lang w:val="zh-CN" w:eastAsia="zh-CN"/>
        </w:rPr>
        <w:t>从国际电联预算中划拨充足资金</w:t>
      </w:r>
      <w:r>
        <w:rPr>
          <w:rFonts w:hint="eastAsia"/>
          <w:lang w:val="zh-CN" w:eastAsia="zh-CN"/>
        </w:rPr>
        <w:t>，</w:t>
      </w:r>
      <w:r>
        <w:rPr>
          <w:lang w:val="zh-CN" w:eastAsia="zh-CN"/>
        </w:rPr>
        <w:t>支持设立新项目</w:t>
      </w:r>
      <w:r>
        <w:rPr>
          <w:rFonts w:hint="eastAsia"/>
          <w:lang w:val="zh-CN" w:eastAsia="zh-CN"/>
        </w:rPr>
        <w:t>、</w:t>
      </w:r>
      <w:r>
        <w:rPr>
          <w:lang w:eastAsia="zh-CN"/>
        </w:rPr>
        <w:t>推动</w:t>
      </w:r>
      <w:r>
        <w:rPr>
          <w:lang w:val="zh-CN" w:eastAsia="zh-CN"/>
        </w:rPr>
        <w:t>落实</w:t>
      </w:r>
      <w:r>
        <w:rPr>
          <w:lang w:val="zh-CN" w:eastAsia="zh-CN"/>
        </w:rPr>
        <w:t>WTDC-25</w:t>
      </w:r>
      <w:r>
        <w:rPr>
          <w:lang w:val="zh-CN" w:eastAsia="zh-CN"/>
        </w:rPr>
        <w:t>关于区域性举措的成果</w:t>
      </w:r>
      <w:r>
        <w:rPr>
          <w:lang w:eastAsia="zh-CN"/>
        </w:rPr>
        <w:t>，具有重要意义</w:t>
      </w:r>
      <w:r>
        <w:rPr>
          <w:lang w:val="zh-CN" w:eastAsia="zh-CN"/>
        </w:rPr>
        <w:t>。</w:t>
      </w:r>
      <w:r>
        <w:rPr>
          <w:lang w:eastAsia="zh-CN"/>
        </w:rPr>
        <w:t>此类</w:t>
      </w:r>
      <w:r>
        <w:rPr>
          <w:lang w:val="zh-CN" w:eastAsia="zh-CN"/>
        </w:rPr>
        <w:t>拨款将</w:t>
      </w:r>
      <w:r>
        <w:rPr>
          <w:lang w:eastAsia="zh-CN"/>
        </w:rPr>
        <w:t>借鉴</w:t>
      </w:r>
      <w:r>
        <w:rPr>
          <w:lang w:val="zh-CN" w:eastAsia="zh-CN"/>
        </w:rPr>
        <w:t>国际电联理事会</w:t>
      </w:r>
      <w:r>
        <w:rPr>
          <w:lang w:eastAsia="zh-CN"/>
        </w:rPr>
        <w:t>此前</w:t>
      </w:r>
      <w:r>
        <w:rPr>
          <w:lang w:val="zh-CN" w:eastAsia="zh-CN"/>
        </w:rPr>
        <w:t>为支持</w:t>
      </w:r>
      <w:r>
        <w:rPr>
          <w:lang w:eastAsia="zh-CN"/>
        </w:rPr>
        <w:t>落</w:t>
      </w:r>
      <w:r>
        <w:rPr>
          <w:lang w:val="zh-CN" w:eastAsia="zh-CN"/>
        </w:rPr>
        <w:t>实</w:t>
      </w:r>
      <w:r>
        <w:rPr>
          <w:lang w:val="zh-CN" w:eastAsia="zh-CN"/>
        </w:rPr>
        <w:t>WTDC-17</w:t>
      </w:r>
      <w:r>
        <w:rPr>
          <w:lang w:val="zh-CN" w:eastAsia="zh-CN"/>
        </w:rPr>
        <w:t>和</w:t>
      </w:r>
      <w:r>
        <w:rPr>
          <w:lang w:val="zh-CN" w:eastAsia="zh-CN"/>
        </w:rPr>
        <w:t>WTDC-23</w:t>
      </w:r>
      <w:r>
        <w:rPr>
          <w:lang w:val="zh-CN" w:eastAsia="zh-CN"/>
        </w:rPr>
        <w:t>区域性举措而</w:t>
      </w:r>
      <w:r>
        <w:rPr>
          <w:lang w:eastAsia="zh-CN"/>
        </w:rPr>
        <w:t>分别</w:t>
      </w:r>
      <w:r>
        <w:rPr>
          <w:lang w:val="zh-CN" w:eastAsia="zh-CN"/>
        </w:rPr>
        <w:t>划拨资金（</w:t>
      </w:r>
      <w:r>
        <w:rPr>
          <w:lang w:val="zh-CN" w:eastAsia="zh-CN"/>
        </w:rPr>
        <w:t>2018</w:t>
      </w:r>
      <w:r>
        <w:rPr>
          <w:lang w:val="zh-CN" w:eastAsia="zh-CN"/>
        </w:rPr>
        <w:t>年会议</w:t>
      </w:r>
      <w:r>
        <w:rPr>
          <w:lang w:eastAsia="zh-CN"/>
        </w:rPr>
        <w:t>拨款</w:t>
      </w:r>
      <w:r>
        <w:rPr>
          <w:lang w:val="zh-CN" w:eastAsia="zh-CN"/>
        </w:rPr>
        <w:t>500</w:t>
      </w:r>
      <w:r>
        <w:rPr>
          <w:lang w:val="zh-CN" w:eastAsia="zh-CN"/>
        </w:rPr>
        <w:t>万瑞郎，</w:t>
      </w:r>
      <w:r>
        <w:rPr>
          <w:lang w:val="zh-CN" w:eastAsia="zh-CN"/>
        </w:rPr>
        <w:t>2023</w:t>
      </w:r>
      <w:r>
        <w:rPr>
          <w:lang w:val="zh-CN" w:eastAsia="zh-CN"/>
        </w:rPr>
        <w:t>年会议</w:t>
      </w:r>
      <w:r>
        <w:rPr>
          <w:lang w:eastAsia="zh-CN"/>
        </w:rPr>
        <w:t>拨款</w:t>
      </w:r>
      <w:r>
        <w:rPr>
          <w:lang w:val="zh-CN" w:eastAsia="zh-CN"/>
        </w:rPr>
        <w:t>300</w:t>
      </w:r>
      <w:r>
        <w:rPr>
          <w:lang w:val="zh-CN" w:eastAsia="zh-CN"/>
        </w:rPr>
        <w:t>万瑞郎）的积极经验。</w:t>
      </w:r>
    </w:p>
    <w:p w14:paraId="2A4F6EE2" w14:textId="77777777" w:rsidR="00D56E7B" w:rsidRPr="00CF4727" w:rsidRDefault="00D56E7B" w:rsidP="00D56E7B">
      <w:pPr>
        <w:ind w:firstLineChars="200" w:firstLine="480"/>
        <w:rPr>
          <w:rFonts w:cs="Calibri"/>
          <w:szCs w:val="24"/>
          <w:lang w:eastAsia="zh-CN"/>
        </w:rPr>
      </w:pPr>
      <w:r>
        <w:rPr>
          <w:lang w:val="zh-CN" w:eastAsia="zh-CN"/>
        </w:rPr>
        <w:t>WTDC-25</w:t>
      </w:r>
      <w:r>
        <w:rPr>
          <w:lang w:val="zh-CN" w:eastAsia="zh-CN"/>
        </w:rPr>
        <w:t>通过的决议将利用正常预算以及通过项目和自愿捐款获得的预算外资金予以实施。秘书处在理事会</w:t>
      </w:r>
      <w:hyperlink r:id="rId12" w:history="1">
        <w:r w:rsidRPr="00D56E7B">
          <w:rPr>
            <w:rStyle w:val="Hyperlink"/>
            <w:rFonts w:eastAsia="SimSun"/>
            <w:lang w:eastAsia="zh-CN"/>
          </w:rPr>
          <w:t>C26/42</w:t>
        </w:r>
      </w:hyperlink>
      <w:r>
        <w:rPr>
          <w:lang w:val="zh-CN" w:eastAsia="zh-CN"/>
        </w:rPr>
        <w:t>号文件中提议，将</w:t>
      </w:r>
      <w:r>
        <w:rPr>
          <w:lang w:val="zh-CN" w:eastAsia="zh-CN"/>
        </w:rPr>
        <w:t>2025</w:t>
      </w:r>
      <w:r>
        <w:rPr>
          <w:lang w:val="zh-CN" w:eastAsia="zh-CN"/>
        </w:rPr>
        <w:t>年预算执行节余中的一部分资金划拨给</w:t>
      </w:r>
      <w:r>
        <w:rPr>
          <w:lang w:val="zh-CN" w:eastAsia="zh-CN"/>
        </w:rPr>
        <w:t>WTDC-25</w:t>
      </w:r>
      <w:r>
        <w:rPr>
          <w:lang w:val="zh-CN" w:eastAsia="zh-CN"/>
        </w:rPr>
        <w:t>批准的区域性举措。</w:t>
      </w:r>
      <w:hyperlink r:id="rId13" w:history="1"/>
    </w:p>
    <w:p w14:paraId="445DA77F" w14:textId="77777777" w:rsidR="00D56E7B" w:rsidRPr="002F1F9E" w:rsidRDefault="00D56E7B" w:rsidP="00D56E7B">
      <w:pPr>
        <w:ind w:firstLineChars="200" w:firstLine="488"/>
        <w:rPr>
          <w:rFonts w:cs="Arial"/>
          <w:spacing w:val="2"/>
          <w:lang w:eastAsia="zh-CN"/>
        </w:rPr>
      </w:pPr>
      <w:r w:rsidRPr="002F1F9E">
        <w:rPr>
          <w:spacing w:val="2"/>
          <w:lang w:val="zh-CN" w:eastAsia="zh-CN"/>
        </w:rPr>
        <w:t>鉴于上述情况，并注意到秘书处提出的方案，</w:t>
      </w:r>
      <w:r w:rsidRPr="002F1F9E">
        <w:rPr>
          <w:spacing w:val="2"/>
          <w:lang w:val="zh-CN" w:eastAsia="zh-CN"/>
        </w:rPr>
        <w:t>TDAG</w:t>
      </w:r>
      <w:r w:rsidRPr="002F1F9E">
        <w:rPr>
          <w:spacing w:val="2"/>
          <w:lang w:val="zh-CN" w:eastAsia="zh-CN"/>
        </w:rPr>
        <w:t>请国际电联理事会给予积极考虑，批准适当的资金分配，以支持</w:t>
      </w:r>
      <w:r w:rsidRPr="002F1F9E">
        <w:rPr>
          <w:spacing w:val="2"/>
          <w:lang w:val="zh-CN" w:eastAsia="zh-CN"/>
        </w:rPr>
        <w:t>WTDC-25</w:t>
      </w:r>
      <w:r w:rsidRPr="002F1F9E">
        <w:rPr>
          <w:spacing w:val="2"/>
          <w:lang w:val="zh-CN" w:eastAsia="zh-CN"/>
        </w:rPr>
        <w:t>通过的一系列新的区域性举措。这包括根据理事会</w:t>
      </w:r>
      <w:hyperlink r:id="rId14" w:history="1">
        <w:r w:rsidRPr="002F1F9E">
          <w:rPr>
            <w:rStyle w:val="Hyperlink"/>
            <w:rFonts w:eastAsia="SimSun"/>
            <w:spacing w:val="2"/>
            <w:lang w:eastAsia="zh-CN"/>
          </w:rPr>
          <w:t>C26/42</w:t>
        </w:r>
      </w:hyperlink>
      <w:r w:rsidRPr="002F1F9E">
        <w:rPr>
          <w:spacing w:val="2"/>
          <w:lang w:val="zh-CN" w:eastAsia="zh-CN"/>
        </w:rPr>
        <w:t>号文件所述，拟议从</w:t>
      </w:r>
      <w:r w:rsidRPr="002F1F9E">
        <w:rPr>
          <w:spacing w:val="2"/>
          <w:lang w:val="zh-CN" w:eastAsia="zh-CN"/>
        </w:rPr>
        <w:t>2025</w:t>
      </w:r>
      <w:r w:rsidRPr="002F1F9E">
        <w:rPr>
          <w:spacing w:val="2"/>
          <w:lang w:val="zh-CN" w:eastAsia="zh-CN"/>
        </w:rPr>
        <w:t>年国际电联预算执行节余中</w:t>
      </w:r>
      <w:r w:rsidRPr="002F1F9E">
        <w:rPr>
          <w:spacing w:val="2"/>
          <w:lang w:eastAsia="zh-CN"/>
        </w:rPr>
        <w:t>拨出</w:t>
      </w:r>
      <w:r w:rsidRPr="002F1F9E">
        <w:rPr>
          <w:spacing w:val="2"/>
          <w:lang w:val="zh-CN" w:eastAsia="zh-CN"/>
        </w:rPr>
        <w:t>130</w:t>
      </w:r>
      <w:r w:rsidRPr="002F1F9E">
        <w:rPr>
          <w:spacing w:val="2"/>
          <w:lang w:val="zh-CN" w:eastAsia="zh-CN"/>
        </w:rPr>
        <w:t>万瑞郎</w:t>
      </w:r>
      <w:r w:rsidRPr="002F1F9E">
        <w:rPr>
          <w:rFonts w:hint="eastAsia"/>
          <w:spacing w:val="2"/>
          <w:lang w:val="zh-CN" w:eastAsia="zh-CN"/>
        </w:rPr>
        <w:t>，</w:t>
      </w:r>
      <w:r w:rsidRPr="002F1F9E">
        <w:rPr>
          <w:spacing w:val="2"/>
          <w:lang w:eastAsia="zh-CN"/>
        </w:rPr>
        <w:t>用于</w:t>
      </w:r>
      <w:r w:rsidRPr="002F1F9E">
        <w:rPr>
          <w:spacing w:val="2"/>
          <w:lang w:val="zh-CN" w:eastAsia="zh-CN"/>
        </w:rPr>
        <w:t>2026-2027</w:t>
      </w:r>
      <w:r w:rsidRPr="002F1F9E">
        <w:rPr>
          <w:spacing w:val="2"/>
          <w:lang w:val="zh-CN" w:eastAsia="zh-CN"/>
        </w:rPr>
        <w:t>年实施区域性举措下的项目，但根据电信发展局提出的</w:t>
      </w:r>
      <w:r w:rsidRPr="002F1F9E">
        <w:rPr>
          <w:spacing w:val="2"/>
          <w:lang w:eastAsia="zh-CN"/>
        </w:rPr>
        <w:t>从</w:t>
      </w:r>
      <w:r w:rsidRPr="002F1F9E">
        <w:rPr>
          <w:spacing w:val="2"/>
          <w:lang w:val="zh-CN" w:eastAsia="zh-CN"/>
        </w:rPr>
        <w:t>国际电联</w:t>
      </w:r>
      <w:r w:rsidRPr="002F1F9E">
        <w:rPr>
          <w:spacing w:val="2"/>
          <w:lang w:val="zh-CN" w:eastAsia="zh-CN"/>
        </w:rPr>
        <w:t>2028-2030</w:t>
      </w:r>
      <w:r w:rsidRPr="002F1F9E">
        <w:rPr>
          <w:spacing w:val="2"/>
          <w:lang w:val="zh-CN" w:eastAsia="zh-CN"/>
        </w:rPr>
        <w:t>年财务规划</w:t>
      </w:r>
      <w:r w:rsidRPr="002F1F9E">
        <w:rPr>
          <w:spacing w:val="2"/>
          <w:lang w:eastAsia="zh-CN"/>
        </w:rPr>
        <w:t>中</w:t>
      </w:r>
      <w:r w:rsidRPr="002F1F9E">
        <w:rPr>
          <w:spacing w:val="2"/>
          <w:lang w:val="zh-CN" w:eastAsia="zh-CN"/>
        </w:rPr>
        <w:t>为</w:t>
      </w:r>
      <w:r w:rsidRPr="002F1F9E">
        <w:rPr>
          <w:spacing w:val="2"/>
          <w:lang w:val="zh-CN" w:eastAsia="zh-CN"/>
        </w:rPr>
        <w:t>2028-2029</w:t>
      </w:r>
      <w:r w:rsidRPr="002F1F9E">
        <w:rPr>
          <w:spacing w:val="2"/>
          <w:lang w:val="zh-CN" w:eastAsia="zh-CN"/>
        </w:rPr>
        <w:t>年额外划拨资金的请求（见参考文件），资金分配可能不仅限于此。</w:t>
      </w:r>
      <w:hyperlink r:id="rId15" w:history="1"/>
    </w:p>
    <w:p w14:paraId="57EF9358" w14:textId="77777777" w:rsidR="00D56E7B" w:rsidRPr="00CF4727" w:rsidRDefault="00D56E7B" w:rsidP="00D56E7B">
      <w:pPr>
        <w:ind w:firstLineChars="200" w:firstLine="480"/>
        <w:rPr>
          <w:rFonts w:cs="Calibri"/>
          <w:szCs w:val="24"/>
          <w:lang w:eastAsia="zh-CN"/>
        </w:rPr>
      </w:pPr>
      <w:r>
        <w:rPr>
          <w:lang w:val="zh-CN" w:eastAsia="zh-CN"/>
        </w:rPr>
        <w:t>适当的拨款将有助于解决大会的财务影响问题，并增强国际电联调动更多预算外资金的能力，以支持国际电联成员国</w:t>
      </w:r>
      <w:r>
        <w:rPr>
          <w:rFonts w:hint="eastAsia"/>
          <w:lang w:val="zh-CN" w:eastAsia="zh-CN"/>
        </w:rPr>
        <w:t>，</w:t>
      </w:r>
      <w:r>
        <w:rPr>
          <w:lang w:val="zh-CN" w:eastAsia="zh-CN"/>
        </w:rPr>
        <w:t>满足</w:t>
      </w:r>
      <w:r>
        <w:rPr>
          <w:rFonts w:hint="eastAsia"/>
          <w:lang w:val="zh-CN" w:eastAsia="zh-CN"/>
        </w:rPr>
        <w:t>各</w:t>
      </w:r>
      <w:r>
        <w:rPr>
          <w:lang w:val="zh-CN" w:eastAsia="zh-CN"/>
        </w:rPr>
        <w:t>区域的具体需求，促进普遍和有意义的连接并加速数字化转型。</w:t>
      </w:r>
    </w:p>
    <w:p w14:paraId="1CF47980" w14:textId="77777777" w:rsidR="00D56E7B" w:rsidRPr="00CF4727" w:rsidRDefault="00D56E7B" w:rsidP="001A00EF">
      <w:pPr>
        <w:overflowPunct/>
        <w:autoSpaceDE/>
        <w:autoSpaceDN/>
        <w:adjustRightInd/>
        <w:spacing w:before="240"/>
        <w:jc w:val="center"/>
        <w:textAlignment w:val="auto"/>
        <w:rPr>
          <w:szCs w:val="24"/>
        </w:rPr>
      </w:pPr>
      <w:r>
        <w:rPr>
          <w:lang w:val="zh-CN"/>
        </w:rPr>
        <w:t>_______________</w:t>
      </w:r>
    </w:p>
    <w:sectPr w:rsidR="00D56E7B" w:rsidRPr="00CF4727" w:rsidSect="00E24D59">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630A" w14:textId="77777777" w:rsidR="00D729A5" w:rsidRDefault="00D729A5">
      <w:r>
        <w:separator/>
      </w:r>
    </w:p>
  </w:endnote>
  <w:endnote w:type="continuationSeparator" w:id="0">
    <w:p w14:paraId="05CFE47B" w14:textId="77777777" w:rsidR="00D729A5" w:rsidRDefault="00D7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9311CB4" w14:textId="77777777" w:rsidTr="00E31DCE">
      <w:trPr>
        <w:jc w:val="center"/>
      </w:trPr>
      <w:tc>
        <w:tcPr>
          <w:tcW w:w="1803" w:type="dxa"/>
          <w:vAlign w:val="center"/>
        </w:tcPr>
        <w:p w14:paraId="55883B67" w14:textId="4FBC8660" w:rsidR="00E24D59" w:rsidRPr="000955EB" w:rsidRDefault="009D1D31" w:rsidP="00E24D59">
          <w:pPr>
            <w:pStyle w:val="Header"/>
            <w:jc w:val="left"/>
            <w:rPr>
              <w:rFonts w:eastAsiaTheme="minorEastAsia"/>
              <w:noProof/>
              <w:color w:val="808080" w:themeColor="background1" w:themeShade="80"/>
              <w:lang w:eastAsia="zh-CN"/>
            </w:rPr>
          </w:pPr>
          <w:r>
            <w:rPr>
              <w:noProof/>
              <w:color w:val="808080" w:themeColor="background1" w:themeShade="80"/>
            </w:rPr>
            <w:t>R</w:t>
          </w:r>
          <w:r w:rsidR="000955EB">
            <w:rPr>
              <w:rFonts w:eastAsiaTheme="minorEastAsia" w:hint="eastAsia"/>
              <w:noProof/>
              <w:color w:val="808080" w:themeColor="background1" w:themeShade="80"/>
              <w:lang w:eastAsia="zh-CN"/>
            </w:rPr>
            <w:t>2601023</w:t>
          </w:r>
        </w:p>
      </w:tc>
      <w:tc>
        <w:tcPr>
          <w:tcW w:w="8261" w:type="dxa"/>
        </w:tcPr>
        <w:p w14:paraId="665BC212" w14:textId="0A2EA6C2"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0955EB">
            <w:rPr>
              <w:rFonts w:eastAsiaTheme="minorEastAsia" w:hint="eastAsia"/>
              <w:bCs/>
              <w:color w:val="808080" w:themeColor="background1" w:themeShade="80"/>
              <w:lang w:eastAsia="zh-CN"/>
            </w:rPr>
            <w:t>109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C27226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5ACED86" w14:textId="77777777" w:rsidTr="00E31DCE">
      <w:trPr>
        <w:jc w:val="center"/>
      </w:trPr>
      <w:tc>
        <w:tcPr>
          <w:tcW w:w="1803" w:type="dxa"/>
          <w:vAlign w:val="center"/>
        </w:tcPr>
        <w:p w14:paraId="7E65FAE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95825C0" w14:textId="12C281C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D56E7B">
            <w:rPr>
              <w:rFonts w:eastAsiaTheme="minorEastAsia" w:hint="eastAsia"/>
              <w:bCs/>
              <w:color w:val="808080" w:themeColor="background1" w:themeShade="80"/>
              <w:lang w:eastAsia="zh-CN"/>
            </w:rPr>
            <w:t>109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620FF0D"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EBBF" w14:textId="77777777" w:rsidR="00D729A5" w:rsidRDefault="00D729A5">
      <w:r>
        <w:t>____________________</w:t>
      </w:r>
    </w:p>
  </w:footnote>
  <w:footnote w:type="continuationSeparator" w:id="0">
    <w:p w14:paraId="4E853D20" w14:textId="77777777" w:rsidR="00D729A5" w:rsidRDefault="00D7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7FEB"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B"/>
    <w:rsid w:val="00001B77"/>
    <w:rsid w:val="0000517A"/>
    <w:rsid w:val="0000538F"/>
    <w:rsid w:val="00031E72"/>
    <w:rsid w:val="000404D2"/>
    <w:rsid w:val="0006185B"/>
    <w:rsid w:val="000646BD"/>
    <w:rsid w:val="000853C0"/>
    <w:rsid w:val="00093DD9"/>
    <w:rsid w:val="0009409E"/>
    <w:rsid w:val="000955EB"/>
    <w:rsid w:val="000A1C21"/>
    <w:rsid w:val="000C0BC5"/>
    <w:rsid w:val="000D15EA"/>
    <w:rsid w:val="000D7012"/>
    <w:rsid w:val="00100D84"/>
    <w:rsid w:val="00110C5F"/>
    <w:rsid w:val="00124C9D"/>
    <w:rsid w:val="001305DE"/>
    <w:rsid w:val="0015333E"/>
    <w:rsid w:val="00157773"/>
    <w:rsid w:val="00165EC1"/>
    <w:rsid w:val="0018251A"/>
    <w:rsid w:val="00190272"/>
    <w:rsid w:val="00193244"/>
    <w:rsid w:val="00195C6C"/>
    <w:rsid w:val="00195FED"/>
    <w:rsid w:val="001A00EF"/>
    <w:rsid w:val="001A4BD6"/>
    <w:rsid w:val="001B2937"/>
    <w:rsid w:val="001B6E2B"/>
    <w:rsid w:val="001D5A18"/>
    <w:rsid w:val="00215132"/>
    <w:rsid w:val="00220C45"/>
    <w:rsid w:val="00224449"/>
    <w:rsid w:val="00277DEA"/>
    <w:rsid w:val="00280EB8"/>
    <w:rsid w:val="002916B4"/>
    <w:rsid w:val="002A1D39"/>
    <w:rsid w:val="002A6670"/>
    <w:rsid w:val="002C3F32"/>
    <w:rsid w:val="002F1F9E"/>
    <w:rsid w:val="00302CA7"/>
    <w:rsid w:val="00303502"/>
    <w:rsid w:val="00325C25"/>
    <w:rsid w:val="00372C8F"/>
    <w:rsid w:val="00380ECE"/>
    <w:rsid w:val="00393DDF"/>
    <w:rsid w:val="00397F55"/>
    <w:rsid w:val="003B4454"/>
    <w:rsid w:val="003C2CC7"/>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C4C94"/>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8203B"/>
    <w:rsid w:val="00890AFB"/>
    <w:rsid w:val="00890FC4"/>
    <w:rsid w:val="00895905"/>
    <w:rsid w:val="008F64AD"/>
    <w:rsid w:val="00911230"/>
    <w:rsid w:val="00911867"/>
    <w:rsid w:val="009164A9"/>
    <w:rsid w:val="009258CB"/>
    <w:rsid w:val="0093362E"/>
    <w:rsid w:val="00944563"/>
    <w:rsid w:val="00953160"/>
    <w:rsid w:val="00953B69"/>
    <w:rsid w:val="009625D8"/>
    <w:rsid w:val="00983878"/>
    <w:rsid w:val="0098459B"/>
    <w:rsid w:val="00997185"/>
    <w:rsid w:val="009A3456"/>
    <w:rsid w:val="009A76A8"/>
    <w:rsid w:val="009C2458"/>
    <w:rsid w:val="009C4A7B"/>
    <w:rsid w:val="009C6123"/>
    <w:rsid w:val="009D1D31"/>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C5685"/>
    <w:rsid w:val="00BD0954"/>
    <w:rsid w:val="00BD1A5A"/>
    <w:rsid w:val="00BD3776"/>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56E7B"/>
    <w:rsid w:val="00D666BC"/>
    <w:rsid w:val="00D729A5"/>
    <w:rsid w:val="00D747D6"/>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E0734"/>
    <w:rsid w:val="00FE5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C285"/>
  <w15:docId w15:val="{6CDEB007-381A-41AE-A1B8-AEC474A7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3C2CC7"/>
    <w:rPr>
      <w:rFonts w:eastAsia="Times New Roman"/>
      <w:i w:val="0"/>
      <w:noProof/>
      <w:color w:val="0070C0"/>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 TargetMode="External"/><Relationship Id="rId13" Type="http://schemas.openxmlformats.org/officeDocument/2006/relationships/hyperlink" Target="https://www.itu.int/md/S26-CL-C-004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4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ana.gulati@itu.int" TargetMode="External"/><Relationship Id="rId5" Type="http://schemas.openxmlformats.org/officeDocument/2006/relationships/webSettings" Target="webSettings.xml"/><Relationship Id="rId15" Type="http://schemas.openxmlformats.org/officeDocument/2006/relationships/hyperlink" Target="https://www.itu.int/md/S26-CL-C-0042/" TargetMode="External"/><Relationship Id="rId10" Type="http://schemas.openxmlformats.org/officeDocument/2006/relationships/hyperlink" Target="mailto:bessou.regina@artci.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itu.int/md/S26-CL-C-004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120;&#29992;&#27169;&#2649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3</Pages>
  <Words>1501</Words>
  <Characters>850</Characters>
  <Application>Microsoft Office Word</Application>
  <DocSecurity>0</DocSecurity>
  <Lines>47</Lines>
  <Paragraphs>61</Paragraphs>
  <ScaleCrop>false</ScaleCrop>
  <HeadingPairs>
    <vt:vector size="2" baseType="variant">
      <vt:variant>
        <vt:lpstr>Title</vt:lpstr>
      </vt:variant>
      <vt:variant>
        <vt:i4>1</vt:i4>
      </vt:variant>
    </vt:vector>
  </HeadingPairs>
  <TitlesOfParts>
    <vt:vector size="1" baseType="lpstr">
      <vt:lpstr>Liaison statement on proposed allocation of funds to support the implementation of WTDC-25 Regional Initiatives</vt:lpstr>
    </vt:vector>
  </TitlesOfParts>
  <Manager>General Secretariat - Pool</Manager>
  <Company>International Telecommunication Union (ITU)</Company>
  <LinksUpToDate>false</LinksUpToDate>
  <CharactersWithSpaces>2290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on proposed allocation of funds to support the implementation of WTDC-25 Regional Initiatives</dc:title>
  <dc:subject>ITU Council 2026</dc:subject>
  <cp:keywords>C26; C2026; Council 2026; PP26</cp:keywords>
  <dc:description/>
  <cp:lastPrinted>2015-02-24T13:23:00Z</cp:lastPrinted>
  <dcterms:created xsi:type="dcterms:W3CDTF">2026-04-24T16:10:00Z</dcterms:created>
  <dcterms:modified xsi:type="dcterms:W3CDTF">2026-04-24T16:11:00Z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