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2972"/>
      </w:tblGrid>
      <w:tr w:rsidR="007B0AA0" w14:paraId="39421071" w14:textId="77777777" w:rsidTr="00F363FE">
        <w:tc>
          <w:tcPr>
            <w:tcW w:w="6512" w:type="dxa"/>
          </w:tcPr>
          <w:p w14:paraId="7CD5DD5C" w14:textId="44821E49" w:rsidR="007B0AA0" w:rsidRPr="006A47B1" w:rsidRDefault="007B0AA0" w:rsidP="00F363FE">
            <w:pPr>
              <w:spacing w:before="60" w:after="60" w:line="260" w:lineRule="exact"/>
              <w:rPr>
                <w:b/>
                <w:bCs/>
                <w:lang w:val="en-GB"/>
              </w:rPr>
            </w:pPr>
            <w:r w:rsidRPr="007B0AA0">
              <w:rPr>
                <w:rFonts w:hint="cs"/>
                <w:b/>
                <w:bCs/>
                <w:rtl/>
                <w:lang w:bidi="ar-EG"/>
              </w:rPr>
              <w:t>بند جدول الأعمال:</w:t>
            </w:r>
            <w:r w:rsidR="006A47B1">
              <w:rPr>
                <w:rFonts w:hint="cs"/>
                <w:b/>
                <w:bCs/>
                <w:rtl/>
              </w:rPr>
              <w:t xml:space="preserve"> </w:t>
            </w:r>
            <w:r w:rsidR="006A47B1">
              <w:rPr>
                <w:b/>
                <w:bCs/>
                <w:lang w:val="en-GB"/>
              </w:rPr>
              <w:t>PL-2</w:t>
            </w:r>
          </w:p>
        </w:tc>
        <w:tc>
          <w:tcPr>
            <w:tcW w:w="3117" w:type="dxa"/>
          </w:tcPr>
          <w:p w14:paraId="339A15C6" w14:textId="736B3D49"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6A47B1">
              <w:rPr>
                <w:b/>
                <w:bCs/>
                <w:lang w:bidi="ar-EG"/>
              </w:rPr>
              <w:t>109</w:t>
            </w:r>
            <w:r w:rsidRPr="007B0AA0">
              <w:rPr>
                <w:b/>
                <w:bCs/>
                <w:lang w:bidi="ar-EG"/>
              </w:rPr>
              <w:t>-A</w:t>
            </w:r>
          </w:p>
        </w:tc>
      </w:tr>
      <w:tr w:rsidR="007B0AA0" w14:paraId="7C4B8905" w14:textId="77777777" w:rsidTr="00F363FE">
        <w:tc>
          <w:tcPr>
            <w:tcW w:w="6512" w:type="dxa"/>
          </w:tcPr>
          <w:p w14:paraId="367D8BC7" w14:textId="77777777" w:rsidR="007B0AA0" w:rsidRPr="007B0AA0" w:rsidRDefault="007B0AA0" w:rsidP="00F363FE">
            <w:pPr>
              <w:spacing w:before="60" w:after="60" w:line="260" w:lineRule="exact"/>
              <w:rPr>
                <w:b/>
                <w:bCs/>
                <w:rtl/>
                <w:lang w:bidi="ar-EG"/>
              </w:rPr>
            </w:pPr>
          </w:p>
        </w:tc>
        <w:tc>
          <w:tcPr>
            <w:tcW w:w="3117" w:type="dxa"/>
          </w:tcPr>
          <w:p w14:paraId="09682B23" w14:textId="3DA18AC0" w:rsidR="007B0AA0" w:rsidRPr="006A47B1" w:rsidRDefault="006A47B1" w:rsidP="00F363FE">
            <w:pPr>
              <w:spacing w:before="60" w:after="60" w:line="260" w:lineRule="exact"/>
              <w:rPr>
                <w:b/>
                <w:bCs/>
                <w:lang w:val="en-GB"/>
              </w:rPr>
            </w:pPr>
            <w:r>
              <w:rPr>
                <w:b/>
                <w:bCs/>
                <w:lang w:bidi="ar-EG"/>
              </w:rPr>
              <w:t>21</w:t>
            </w:r>
            <w:r>
              <w:rPr>
                <w:rFonts w:hint="cs"/>
                <w:b/>
                <w:bCs/>
                <w:rtl/>
              </w:rPr>
              <w:t xml:space="preserve"> أبريل </w:t>
            </w:r>
            <w:r>
              <w:rPr>
                <w:b/>
                <w:bCs/>
                <w:lang w:val="en-GB"/>
              </w:rPr>
              <w:t>2026</w:t>
            </w:r>
          </w:p>
        </w:tc>
      </w:tr>
      <w:tr w:rsidR="007B0AA0" w14:paraId="5CFD1366" w14:textId="77777777" w:rsidTr="00F363FE">
        <w:tc>
          <w:tcPr>
            <w:tcW w:w="6512" w:type="dxa"/>
          </w:tcPr>
          <w:p w14:paraId="78D48491" w14:textId="77777777" w:rsidR="007B0AA0" w:rsidRPr="007B0AA0" w:rsidRDefault="007B0AA0" w:rsidP="00F363FE">
            <w:pPr>
              <w:spacing w:before="60" w:after="60" w:line="260" w:lineRule="exact"/>
              <w:rPr>
                <w:b/>
                <w:bCs/>
                <w:rtl/>
                <w:lang w:bidi="ar-EG"/>
              </w:rPr>
            </w:pPr>
          </w:p>
        </w:tc>
        <w:tc>
          <w:tcPr>
            <w:tcW w:w="3117" w:type="dxa"/>
          </w:tcPr>
          <w:p w14:paraId="0BEEA358"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1B85CD7" w14:textId="77777777" w:rsidTr="00F363FE">
        <w:tc>
          <w:tcPr>
            <w:tcW w:w="6512" w:type="dxa"/>
          </w:tcPr>
          <w:p w14:paraId="73DE253D" w14:textId="77777777" w:rsidR="007B0AA0" w:rsidRDefault="007B0AA0" w:rsidP="00F363FE">
            <w:pPr>
              <w:spacing w:before="60" w:after="60" w:line="260" w:lineRule="exact"/>
              <w:rPr>
                <w:lang w:bidi="ar-EG"/>
              </w:rPr>
            </w:pPr>
          </w:p>
        </w:tc>
        <w:tc>
          <w:tcPr>
            <w:tcW w:w="3117" w:type="dxa"/>
          </w:tcPr>
          <w:p w14:paraId="2C4798A9" w14:textId="77777777" w:rsidR="007B0AA0" w:rsidRDefault="007B0AA0" w:rsidP="00F363FE">
            <w:pPr>
              <w:spacing w:before="60" w:after="60" w:line="260" w:lineRule="exact"/>
              <w:rPr>
                <w:rtl/>
                <w:lang w:bidi="ar-EG"/>
              </w:rPr>
            </w:pPr>
          </w:p>
        </w:tc>
      </w:tr>
      <w:tr w:rsidR="007B0AA0" w14:paraId="174F013B" w14:textId="77777777" w:rsidTr="00EE7446">
        <w:tc>
          <w:tcPr>
            <w:tcW w:w="9629" w:type="dxa"/>
            <w:gridSpan w:val="2"/>
          </w:tcPr>
          <w:p w14:paraId="28CE8EF4" w14:textId="31F1B878" w:rsidR="007B0AA0" w:rsidRPr="006A47B1" w:rsidRDefault="006A47B1" w:rsidP="007B0AA0">
            <w:pPr>
              <w:pStyle w:val="Source"/>
              <w:jc w:val="left"/>
              <w:rPr>
                <w:lang w:val="en-GB"/>
              </w:rPr>
            </w:pPr>
            <w:r w:rsidRPr="006A47B1">
              <w:rPr>
                <w:rtl/>
                <w:lang w:bidi="ar-EG"/>
              </w:rPr>
              <w:t>رئيسة الفريق الاستشاري لتنمية الاتصالات</w:t>
            </w:r>
            <w:r>
              <w:rPr>
                <w:rFonts w:hint="cs"/>
                <w:rtl/>
              </w:rPr>
              <w:t xml:space="preserve"> </w:t>
            </w:r>
            <w:r>
              <w:rPr>
                <w:lang w:val="en-GB"/>
              </w:rPr>
              <w:t>(TDAG)</w:t>
            </w:r>
          </w:p>
        </w:tc>
      </w:tr>
      <w:tr w:rsidR="007B0AA0" w14:paraId="07BBDF5C" w14:textId="77777777" w:rsidTr="007B0AA0">
        <w:tc>
          <w:tcPr>
            <w:tcW w:w="9629" w:type="dxa"/>
            <w:gridSpan w:val="2"/>
            <w:tcBorders>
              <w:bottom w:val="single" w:sz="4" w:space="0" w:color="auto"/>
            </w:tcBorders>
          </w:tcPr>
          <w:p w14:paraId="4CEEFF10" w14:textId="2A65AF37" w:rsidR="007B0AA0" w:rsidRPr="005546CF" w:rsidRDefault="006A47B1" w:rsidP="007B0AA0">
            <w:pPr>
              <w:pStyle w:val="Subtitle0"/>
              <w:rPr>
                <w:sz w:val="32"/>
                <w:szCs w:val="32"/>
              </w:rPr>
            </w:pPr>
            <w:r w:rsidRPr="006A47B1">
              <w:rPr>
                <w:sz w:val="32"/>
                <w:szCs w:val="32"/>
                <w:rtl/>
              </w:rPr>
              <w:t>بيان اتصال بشأن التخصيص المقترح للأموال لدعم تنفيذ المبادرات الإقليمية للمؤتمر العالمي لتنمية الاتصالات لعام 2025 (</w:t>
            </w:r>
            <w:r w:rsidRPr="006A47B1">
              <w:rPr>
                <w:sz w:val="32"/>
                <w:szCs w:val="32"/>
              </w:rPr>
              <w:t>WTDC-25</w:t>
            </w:r>
            <w:r w:rsidRPr="006A47B1">
              <w:rPr>
                <w:sz w:val="32"/>
                <w:szCs w:val="32"/>
                <w:rtl/>
              </w:rPr>
              <w:t>)</w:t>
            </w:r>
          </w:p>
        </w:tc>
      </w:tr>
      <w:tr w:rsidR="007B0AA0" w14:paraId="09DC6749" w14:textId="77777777" w:rsidTr="007B0AA0">
        <w:tc>
          <w:tcPr>
            <w:tcW w:w="9629" w:type="dxa"/>
            <w:gridSpan w:val="2"/>
            <w:tcBorders>
              <w:top w:val="single" w:sz="4" w:space="0" w:color="auto"/>
              <w:bottom w:val="single" w:sz="4" w:space="0" w:color="auto"/>
            </w:tcBorders>
          </w:tcPr>
          <w:p w14:paraId="4D747808" w14:textId="77777777" w:rsidR="007B0AA0" w:rsidRPr="007B0AA0" w:rsidRDefault="007B0AA0" w:rsidP="007B0AA0">
            <w:pPr>
              <w:rPr>
                <w:b/>
                <w:bCs/>
                <w:rtl/>
              </w:rPr>
            </w:pPr>
            <w:r w:rsidRPr="00494119">
              <w:rPr>
                <w:rFonts w:hint="cs"/>
                <w:b/>
                <w:bCs/>
                <w:rtl/>
              </w:rPr>
              <w:t>الغرض</w:t>
            </w:r>
          </w:p>
          <w:p w14:paraId="082D99CF" w14:textId="287BCDAD" w:rsidR="007B0AA0" w:rsidRDefault="006A47B1" w:rsidP="007B0AA0">
            <w:pPr>
              <w:rPr>
                <w:rtl/>
              </w:rPr>
            </w:pPr>
            <w:r w:rsidRPr="006A47B1">
              <w:rPr>
                <w:rtl/>
              </w:rPr>
              <w:t>يتضمن بيان الاتصال هذا مقترحاً مقدماً لدورة مجلس الاتحاد لعام 2026 للنظر في تخصيص الأموال اللازمة لدعم تنفيذ نواتج المؤتمر العالمي لتنمية الاتصالات لعام 2025 بشأن المبادرات الإقليمية المعتمدة في المؤتمر. ويأخذ المقترح في الاعتبار المخصصات السابقة التي منحها المجلس في دورتيه لعامي 2018 و2023 لدعم تنفيذ نواتج المؤتمر العالمي لتنمية الاتصالات لعام 2017 والمؤتمر العالمي لتنمية الاتصالات لعام 2022، على التوالي.</w:t>
            </w:r>
          </w:p>
          <w:p w14:paraId="587257F0" w14:textId="77777777" w:rsidR="007B0AA0" w:rsidRPr="007B0AA0" w:rsidRDefault="007B0AA0" w:rsidP="007B0AA0">
            <w:pPr>
              <w:rPr>
                <w:b/>
                <w:bCs/>
                <w:rtl/>
              </w:rPr>
            </w:pPr>
            <w:r w:rsidRPr="007B0AA0">
              <w:rPr>
                <w:rFonts w:hint="cs"/>
                <w:b/>
                <w:bCs/>
                <w:rtl/>
              </w:rPr>
              <w:t>الإجراء المطلوب من المجلس</w:t>
            </w:r>
          </w:p>
          <w:p w14:paraId="35A485CE" w14:textId="3CB59EE1" w:rsidR="007B0AA0" w:rsidRDefault="006A47B1" w:rsidP="007B0AA0">
            <w:pPr>
              <w:rPr>
                <w:rtl/>
              </w:rPr>
            </w:pPr>
            <w:r w:rsidRPr="006A47B1">
              <w:rPr>
                <w:rtl/>
              </w:rPr>
              <w:t xml:space="preserve">يُدعى المجلس </w:t>
            </w:r>
            <w:r w:rsidRPr="00367233">
              <w:rPr>
                <w:b/>
                <w:bCs/>
                <w:rtl/>
              </w:rPr>
              <w:t>للنظر</w:t>
            </w:r>
            <w:r w:rsidRPr="006A47B1">
              <w:rPr>
                <w:rtl/>
              </w:rPr>
              <w:t xml:space="preserve"> في تخصيص الأموال اللازمة لدعم تنفيذ نواتج المؤتمر العالمي لتنمية الاتصالات لعام 2025 بشأن المبادرات الإقليمية المعتمدة في المؤتمر.</w:t>
            </w:r>
          </w:p>
          <w:p w14:paraId="4315034D"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82C7A11" w14:textId="77777777" w:rsidR="007B0AA0" w:rsidRPr="007B0AA0" w:rsidRDefault="007B0AA0" w:rsidP="007B0AA0">
            <w:pPr>
              <w:rPr>
                <w:b/>
                <w:bCs/>
                <w:rtl/>
              </w:rPr>
            </w:pPr>
            <w:r w:rsidRPr="007B0AA0">
              <w:rPr>
                <w:rFonts w:hint="cs"/>
                <w:b/>
                <w:bCs/>
                <w:rtl/>
              </w:rPr>
              <w:t>المراجع</w:t>
            </w:r>
          </w:p>
          <w:p w14:paraId="7D539086" w14:textId="122F0DE8" w:rsidR="007B0AA0" w:rsidRPr="005546CF" w:rsidRDefault="009E4B19" w:rsidP="007B0AA0">
            <w:pPr>
              <w:rPr>
                <w:i/>
                <w:iCs/>
                <w:rtl/>
              </w:rPr>
            </w:pPr>
            <w:r w:rsidRPr="009E4B19">
              <w:rPr>
                <w:rFonts w:hint="cs"/>
                <w:i/>
                <w:iCs/>
                <w:rtl/>
              </w:rPr>
              <w:t xml:space="preserve">الوثيقة </w:t>
            </w:r>
            <w:hyperlink r:id="rId8" w:history="1">
              <w:r w:rsidR="00855B97" w:rsidRPr="00CF4727">
                <w:rPr>
                  <w:rStyle w:val="Hyperlink"/>
                  <w:rFonts w:cs="Calibri"/>
                  <w:i/>
                  <w:iCs/>
                </w:rPr>
                <w:t>C26/42</w:t>
              </w:r>
            </w:hyperlink>
          </w:p>
        </w:tc>
      </w:tr>
    </w:tbl>
    <w:p w14:paraId="6772FFB5" w14:textId="77777777" w:rsidR="00E61BE8" w:rsidRDefault="00E61BE8" w:rsidP="00E61BE8">
      <w:pPr>
        <w:rPr>
          <w:rtl/>
          <w:lang w:bidi="ar-EG"/>
        </w:rPr>
      </w:pPr>
    </w:p>
    <w:p w14:paraId="4C623465" w14:textId="67B07FBA" w:rsidR="00FC0E94" w:rsidRPr="006A47B1" w:rsidRDefault="00F50E3F" w:rsidP="006A47B1">
      <w:pPr>
        <w:rPr>
          <w:lang w:val="en-GB" w:bidi="ar-EG"/>
        </w:rPr>
      </w:pPr>
      <w:r>
        <w:rPr>
          <w:rtl/>
          <w:lang w:bidi="ar-EG"/>
        </w:rPr>
        <w:br w:type="page"/>
      </w:r>
    </w:p>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1273"/>
        <w:gridCol w:w="852"/>
        <w:gridCol w:w="1986"/>
        <w:gridCol w:w="2151"/>
        <w:gridCol w:w="1463"/>
        <w:gridCol w:w="1346"/>
      </w:tblGrid>
      <w:tr w:rsidR="006A47B1" w:rsidRPr="00783A69" w14:paraId="41C8199D" w14:textId="77777777" w:rsidTr="0075527A">
        <w:trPr>
          <w:cantSplit/>
          <w:trHeight w:val="1310"/>
          <w:jc w:val="center"/>
        </w:trPr>
        <w:tc>
          <w:tcPr>
            <w:tcW w:w="7716" w:type="dxa"/>
            <w:gridSpan w:val="5"/>
            <w:tcBorders>
              <w:bottom w:val="single" w:sz="12" w:space="0" w:color="auto"/>
            </w:tcBorders>
            <w:vAlign w:val="center"/>
          </w:tcPr>
          <w:p w14:paraId="42B5F59C" w14:textId="77777777" w:rsidR="006A47B1" w:rsidRDefault="006A47B1" w:rsidP="007F35CA">
            <w:pPr>
              <w:jc w:val="left"/>
              <w:rPr>
                <w:b/>
                <w:bCs/>
                <w:sz w:val="32"/>
                <w:szCs w:val="32"/>
                <w:lang w:bidi="ar-EG"/>
              </w:rPr>
            </w:pPr>
            <w:r w:rsidRPr="00C85CB5">
              <w:rPr>
                <w:rFonts w:hint="cs"/>
                <w:b/>
                <w:bCs/>
                <w:sz w:val="32"/>
                <w:szCs w:val="32"/>
                <w:rtl/>
                <w:lang w:bidi="ar-EG"/>
              </w:rPr>
              <w:lastRenderedPageBreak/>
              <w:t xml:space="preserve">الفريق الاستشاري لتنمية الاتصالات </w:t>
            </w:r>
            <w:r w:rsidRPr="00C85CB5">
              <w:rPr>
                <w:b/>
                <w:bCs/>
                <w:sz w:val="32"/>
                <w:szCs w:val="32"/>
                <w:lang w:bidi="ar-EG"/>
              </w:rPr>
              <w:t>(TDAG)</w:t>
            </w:r>
          </w:p>
          <w:p w14:paraId="599C494C" w14:textId="77777777" w:rsidR="006A47B1" w:rsidRPr="00457D22" w:rsidRDefault="006A47B1" w:rsidP="007F35CA">
            <w:pPr>
              <w:jc w:val="left"/>
              <w:rPr>
                <w:b/>
                <w:bCs/>
                <w:sz w:val="28"/>
                <w:szCs w:val="28"/>
                <w:rtl/>
                <w:lang w:bidi="ar-EG"/>
              </w:rPr>
            </w:pPr>
            <w:r w:rsidRPr="00457D22">
              <w:rPr>
                <w:b/>
                <w:bCs/>
                <w:sz w:val="26"/>
                <w:szCs w:val="26"/>
                <w:rtl/>
              </w:rPr>
              <w:t xml:space="preserve">الاجتماع </w:t>
            </w:r>
            <w:r>
              <w:rPr>
                <w:rFonts w:hint="cs"/>
                <w:b/>
                <w:bCs/>
                <w:sz w:val="26"/>
                <w:szCs w:val="26"/>
                <w:rtl/>
              </w:rPr>
              <w:t xml:space="preserve">الثالث </w:t>
            </w:r>
            <w:r w:rsidRPr="00457D22">
              <w:rPr>
                <w:b/>
                <w:bCs/>
                <w:sz w:val="26"/>
                <w:szCs w:val="26"/>
                <w:rtl/>
              </w:rPr>
              <w:t xml:space="preserve">والثلاثون، جنيف، سويسرا، </w:t>
            </w:r>
            <w:r>
              <w:rPr>
                <w:b/>
                <w:bCs/>
                <w:sz w:val="26"/>
                <w:szCs w:val="26"/>
              </w:rPr>
              <w:t>10-7</w:t>
            </w:r>
            <w:r>
              <w:rPr>
                <w:rFonts w:hint="cs"/>
                <w:b/>
                <w:bCs/>
                <w:sz w:val="26"/>
                <w:szCs w:val="26"/>
                <w:rtl/>
                <w:lang w:bidi="ar-EG"/>
              </w:rPr>
              <w:t xml:space="preserve"> أبريل </w:t>
            </w:r>
            <w:r>
              <w:rPr>
                <w:b/>
                <w:bCs/>
                <w:sz w:val="26"/>
                <w:szCs w:val="26"/>
              </w:rPr>
              <w:t>2026</w:t>
            </w:r>
          </w:p>
        </w:tc>
        <w:tc>
          <w:tcPr>
            <w:tcW w:w="1345" w:type="dxa"/>
            <w:tcBorders>
              <w:bottom w:val="single" w:sz="12" w:space="0" w:color="auto"/>
            </w:tcBorders>
            <w:vAlign w:val="center"/>
          </w:tcPr>
          <w:p w14:paraId="5BB4CA77" w14:textId="77777777" w:rsidR="006A47B1" w:rsidRPr="00783A69" w:rsidRDefault="006A47B1" w:rsidP="007F35CA">
            <w:pPr>
              <w:jc w:val="center"/>
              <w:rPr>
                <w:lang w:val="en-GB" w:bidi="ar-EG"/>
              </w:rPr>
            </w:pPr>
            <w:bookmarkStart w:id="0" w:name="ditulogo"/>
            <w:bookmarkEnd w:id="0"/>
            <w:r>
              <w:rPr>
                <w:noProof/>
                <w:lang w:val="fr-FR" w:eastAsia="fr-FR"/>
              </w:rPr>
              <w:drawing>
                <wp:inline distT="0" distB="0" distL="0" distR="0" wp14:anchorId="075EF154" wp14:editId="605CE4ED">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A47B1" w:rsidRPr="00783A69" w14:paraId="4E3D5811" w14:textId="77777777" w:rsidTr="0075527A">
        <w:trPr>
          <w:cantSplit/>
          <w:jc w:val="center"/>
        </w:trPr>
        <w:tc>
          <w:tcPr>
            <w:tcW w:w="6255" w:type="dxa"/>
            <w:gridSpan w:val="4"/>
            <w:tcBorders>
              <w:top w:val="single" w:sz="12" w:space="0" w:color="auto"/>
            </w:tcBorders>
          </w:tcPr>
          <w:p w14:paraId="348B6278" w14:textId="77777777" w:rsidR="006A47B1" w:rsidRPr="00783A69" w:rsidRDefault="006A47B1" w:rsidP="007F35CA">
            <w:pPr>
              <w:spacing w:before="20" w:after="20" w:line="300" w:lineRule="exact"/>
              <w:rPr>
                <w:b/>
                <w:bCs/>
                <w:rtl/>
                <w:lang w:bidi="ar-EG"/>
              </w:rPr>
            </w:pPr>
          </w:p>
        </w:tc>
        <w:tc>
          <w:tcPr>
            <w:tcW w:w="2806" w:type="dxa"/>
            <w:gridSpan w:val="2"/>
            <w:tcBorders>
              <w:top w:val="single" w:sz="12" w:space="0" w:color="auto"/>
            </w:tcBorders>
          </w:tcPr>
          <w:p w14:paraId="624D658A" w14:textId="77777777" w:rsidR="006A47B1" w:rsidRPr="00C85CB5" w:rsidRDefault="006A47B1" w:rsidP="007F35CA">
            <w:pPr>
              <w:spacing w:before="20" w:after="20" w:line="300" w:lineRule="exact"/>
              <w:rPr>
                <w:b/>
                <w:bCs/>
                <w:highlight w:val="yellow"/>
                <w:rtl/>
                <w:lang w:bidi="ar-EG"/>
              </w:rPr>
            </w:pPr>
          </w:p>
        </w:tc>
      </w:tr>
      <w:tr w:rsidR="006A47B1" w:rsidRPr="00783A69" w14:paraId="2BD2E49D" w14:textId="77777777" w:rsidTr="008B39AA">
        <w:trPr>
          <w:cantSplit/>
          <w:jc w:val="center"/>
        </w:trPr>
        <w:tc>
          <w:tcPr>
            <w:tcW w:w="6255" w:type="dxa"/>
            <w:gridSpan w:val="4"/>
          </w:tcPr>
          <w:p w14:paraId="22686476" w14:textId="77777777" w:rsidR="006A47B1" w:rsidRPr="00783A69" w:rsidRDefault="006A47B1" w:rsidP="007F35CA">
            <w:pPr>
              <w:spacing w:before="20" w:after="20" w:line="300" w:lineRule="exact"/>
              <w:rPr>
                <w:b/>
                <w:bCs/>
                <w:rtl/>
                <w:lang w:bidi="ar-EG"/>
              </w:rPr>
            </w:pPr>
          </w:p>
        </w:tc>
        <w:tc>
          <w:tcPr>
            <w:tcW w:w="2806" w:type="dxa"/>
            <w:gridSpan w:val="2"/>
          </w:tcPr>
          <w:p w14:paraId="19E2C601" w14:textId="23226C1C" w:rsidR="006A47B1" w:rsidRPr="00153471" w:rsidRDefault="006A47B1" w:rsidP="007F35CA">
            <w:pPr>
              <w:spacing w:before="20" w:after="20" w:line="300" w:lineRule="exact"/>
              <w:rPr>
                <w:b/>
                <w:bCs/>
                <w:rtl/>
                <w:lang w:bidi="ar-SY"/>
              </w:rPr>
            </w:pPr>
            <w:r w:rsidRPr="00153471">
              <w:rPr>
                <w:rFonts w:hint="cs"/>
                <w:b/>
                <w:bCs/>
                <w:rtl/>
                <w:lang w:bidi="ar-EG"/>
              </w:rPr>
              <w:t xml:space="preserve">الوثيقة </w:t>
            </w:r>
            <w:r w:rsidRPr="00153471">
              <w:rPr>
                <w:b/>
                <w:bCs/>
                <w:lang w:bidi="ar-EG"/>
              </w:rPr>
              <w:t>TDAG-</w:t>
            </w:r>
            <w:r>
              <w:rPr>
                <w:b/>
                <w:bCs/>
                <w:lang w:bidi="ar-EG"/>
              </w:rPr>
              <w:t>26</w:t>
            </w:r>
            <w:r w:rsidRPr="009E4B19">
              <w:rPr>
                <w:b/>
                <w:bCs/>
                <w:lang w:bidi="ar-EG"/>
              </w:rPr>
              <w:t>/</w:t>
            </w:r>
            <w:r>
              <w:rPr>
                <w:b/>
                <w:bCs/>
                <w:lang w:bidi="ar-EG"/>
              </w:rPr>
              <w:t>LS 3</w:t>
            </w:r>
            <w:r w:rsidRPr="00153471">
              <w:rPr>
                <w:b/>
                <w:bCs/>
                <w:lang w:bidi="ar-EG"/>
              </w:rPr>
              <w:t>-A</w:t>
            </w:r>
          </w:p>
        </w:tc>
      </w:tr>
      <w:tr w:rsidR="006A47B1" w:rsidRPr="00783A69" w14:paraId="1A1868AA" w14:textId="77777777" w:rsidTr="008B39AA">
        <w:trPr>
          <w:cantSplit/>
          <w:jc w:val="center"/>
        </w:trPr>
        <w:tc>
          <w:tcPr>
            <w:tcW w:w="6255" w:type="dxa"/>
            <w:gridSpan w:val="4"/>
          </w:tcPr>
          <w:p w14:paraId="5499231E" w14:textId="77777777" w:rsidR="006A47B1" w:rsidRPr="00783A69" w:rsidRDefault="006A47B1" w:rsidP="007F35CA">
            <w:pPr>
              <w:spacing w:before="20" w:after="20" w:line="300" w:lineRule="exact"/>
              <w:rPr>
                <w:b/>
                <w:bCs/>
              </w:rPr>
            </w:pPr>
          </w:p>
        </w:tc>
        <w:tc>
          <w:tcPr>
            <w:tcW w:w="2806" w:type="dxa"/>
            <w:gridSpan w:val="2"/>
          </w:tcPr>
          <w:p w14:paraId="11E505B3" w14:textId="044A55D7" w:rsidR="006A47B1" w:rsidRPr="00C85CB5" w:rsidRDefault="006A47B1" w:rsidP="007F35CA">
            <w:pPr>
              <w:spacing w:before="20" w:after="20" w:line="300" w:lineRule="exact"/>
              <w:rPr>
                <w:b/>
                <w:bCs/>
                <w:highlight w:val="yellow"/>
                <w:rtl/>
              </w:rPr>
            </w:pPr>
            <w:r>
              <w:rPr>
                <w:b/>
                <w:bCs/>
                <w:lang w:bidi="ar-EG"/>
              </w:rPr>
              <w:t>10</w:t>
            </w:r>
            <w:r w:rsidRPr="006B266A">
              <w:rPr>
                <w:rFonts w:hint="cs"/>
                <w:b/>
                <w:bCs/>
                <w:rtl/>
                <w:lang w:bidi="ar-EG"/>
              </w:rPr>
              <w:t xml:space="preserve"> </w:t>
            </w:r>
            <w:r>
              <w:rPr>
                <w:rFonts w:hint="cs"/>
                <w:b/>
                <w:bCs/>
                <w:rtl/>
              </w:rPr>
              <w:t>أبريل</w:t>
            </w:r>
            <w:r w:rsidRPr="006B266A">
              <w:rPr>
                <w:rFonts w:hint="cs"/>
                <w:b/>
                <w:bCs/>
                <w:rtl/>
                <w:lang w:bidi="ar-EG"/>
              </w:rPr>
              <w:t xml:space="preserve"> </w:t>
            </w:r>
            <w:r>
              <w:rPr>
                <w:b/>
                <w:bCs/>
                <w:lang w:bidi="ar-EG"/>
              </w:rPr>
              <w:t>2026</w:t>
            </w:r>
          </w:p>
        </w:tc>
      </w:tr>
      <w:tr w:rsidR="006A47B1" w:rsidRPr="00783A69" w14:paraId="7B9A778D" w14:textId="77777777" w:rsidTr="008B39AA">
        <w:trPr>
          <w:cantSplit/>
          <w:jc w:val="center"/>
        </w:trPr>
        <w:tc>
          <w:tcPr>
            <w:tcW w:w="6255" w:type="dxa"/>
            <w:gridSpan w:val="4"/>
          </w:tcPr>
          <w:p w14:paraId="357403EC" w14:textId="77777777" w:rsidR="006A47B1" w:rsidRPr="00783A69" w:rsidRDefault="006A47B1" w:rsidP="007F35CA">
            <w:pPr>
              <w:spacing w:before="20" w:after="20" w:line="300" w:lineRule="exact"/>
              <w:rPr>
                <w:b/>
                <w:bCs/>
                <w:lang w:bidi="ar-EG"/>
              </w:rPr>
            </w:pPr>
          </w:p>
        </w:tc>
        <w:tc>
          <w:tcPr>
            <w:tcW w:w="2806" w:type="dxa"/>
            <w:gridSpan w:val="2"/>
          </w:tcPr>
          <w:p w14:paraId="3EC7371F" w14:textId="77777777" w:rsidR="006A47B1" w:rsidRPr="00153471" w:rsidRDefault="006A47B1" w:rsidP="007F35CA">
            <w:pPr>
              <w:spacing w:before="20" w:after="20" w:line="300" w:lineRule="exact"/>
              <w:rPr>
                <w:b/>
                <w:bCs/>
                <w:rtl/>
                <w:lang w:bidi="ar-EG"/>
              </w:rPr>
            </w:pPr>
            <w:r w:rsidRPr="00153471">
              <w:rPr>
                <w:rFonts w:hint="cs"/>
                <w:b/>
                <w:bCs/>
                <w:rtl/>
                <w:lang w:bidi="ar-EG"/>
              </w:rPr>
              <w:t>الأصل: بالإنكليزية</w:t>
            </w:r>
          </w:p>
        </w:tc>
      </w:tr>
      <w:tr w:rsidR="006A47B1" w:rsidRPr="00783A69" w14:paraId="644F8D01" w14:textId="77777777" w:rsidTr="008B39AA">
        <w:trPr>
          <w:cantSplit/>
          <w:jc w:val="center"/>
        </w:trPr>
        <w:tc>
          <w:tcPr>
            <w:tcW w:w="9061" w:type="dxa"/>
            <w:gridSpan w:val="6"/>
          </w:tcPr>
          <w:p w14:paraId="6FE94D83" w14:textId="057B23F9" w:rsidR="006A47B1" w:rsidRPr="00783A69" w:rsidRDefault="006A47B1" w:rsidP="007F35CA">
            <w:pPr>
              <w:pStyle w:val="Source"/>
            </w:pPr>
            <w:r w:rsidRPr="006A47B1">
              <w:rPr>
                <w:sz w:val="28"/>
                <w:szCs w:val="28"/>
                <w:rtl/>
                <w:lang w:bidi="ar-EG"/>
              </w:rPr>
              <w:t>رئيسة الفريق الاستشاري لتنمية الاتصالات (</w:t>
            </w:r>
            <w:r w:rsidRPr="006A47B1">
              <w:rPr>
                <w:sz w:val="28"/>
                <w:szCs w:val="28"/>
                <w:lang w:bidi="ar-EG"/>
              </w:rPr>
              <w:t>TDAG</w:t>
            </w:r>
            <w:r w:rsidRPr="006A47B1">
              <w:rPr>
                <w:sz w:val="28"/>
                <w:szCs w:val="28"/>
                <w:rtl/>
                <w:lang w:bidi="ar-EG"/>
              </w:rPr>
              <w:t>)</w:t>
            </w:r>
          </w:p>
        </w:tc>
      </w:tr>
      <w:tr w:rsidR="006A47B1" w:rsidRPr="00783A69" w14:paraId="0F78B941" w14:textId="77777777" w:rsidTr="008B39AA">
        <w:trPr>
          <w:cantSplit/>
          <w:jc w:val="center"/>
        </w:trPr>
        <w:tc>
          <w:tcPr>
            <w:tcW w:w="9061" w:type="dxa"/>
            <w:gridSpan w:val="6"/>
          </w:tcPr>
          <w:p w14:paraId="5AE1474A" w14:textId="44D5C217" w:rsidR="006A47B1" w:rsidRPr="00783A69" w:rsidRDefault="006A47B1" w:rsidP="007F35CA">
            <w:pPr>
              <w:pStyle w:val="Title1"/>
              <w:rPr>
                <w:lang w:bidi="ar-EG"/>
              </w:rPr>
            </w:pPr>
            <w:r w:rsidRPr="006A47B1">
              <w:rPr>
                <w:rtl/>
                <w:lang w:bidi="ar-EG"/>
              </w:rPr>
              <w:t xml:space="preserve">التخصيص المقترح للأموال لدعم تنفيذ المبادرات الإقليمية </w:t>
            </w:r>
            <w:r w:rsidR="00030123">
              <w:rPr>
                <w:lang w:bidi="ar-EG"/>
              </w:rPr>
              <w:br/>
            </w:r>
            <w:r w:rsidRPr="006A47B1">
              <w:rPr>
                <w:rtl/>
                <w:lang w:bidi="ar-EG"/>
              </w:rPr>
              <w:t>للمؤتمر العالمي لتنمية الاتصالات لعام 2025 (</w:t>
            </w:r>
            <w:r w:rsidRPr="006A47B1">
              <w:rPr>
                <w:lang w:bidi="ar-EG"/>
              </w:rPr>
              <w:t>WTDC-25</w:t>
            </w:r>
            <w:r w:rsidRPr="006A47B1">
              <w:rPr>
                <w:rtl/>
                <w:lang w:bidi="ar-EG"/>
              </w:rPr>
              <w:t>)</w:t>
            </w:r>
          </w:p>
        </w:tc>
      </w:tr>
      <w:tr w:rsidR="00367233" w:rsidRPr="00783A69" w14:paraId="7B8486AB" w14:textId="77777777" w:rsidTr="008B39AA">
        <w:trPr>
          <w:cantSplit/>
          <w:jc w:val="center"/>
        </w:trPr>
        <w:tc>
          <w:tcPr>
            <w:tcW w:w="2122" w:type="dxa"/>
            <w:gridSpan w:val="2"/>
          </w:tcPr>
          <w:p w14:paraId="4881A4E5" w14:textId="77777777" w:rsidR="00367233" w:rsidRDefault="00367233" w:rsidP="00367233">
            <w:pPr>
              <w:rPr>
                <w:rtl/>
              </w:rPr>
            </w:pPr>
          </w:p>
        </w:tc>
        <w:tc>
          <w:tcPr>
            <w:tcW w:w="6939" w:type="dxa"/>
            <w:gridSpan w:val="4"/>
          </w:tcPr>
          <w:p w14:paraId="309FBF8E" w14:textId="77777777" w:rsidR="00367233" w:rsidRDefault="00367233" w:rsidP="00367233">
            <w:pPr>
              <w:rPr>
                <w:color w:val="000000"/>
                <w:rtl/>
              </w:rPr>
            </w:pPr>
          </w:p>
        </w:tc>
      </w:tr>
      <w:tr w:rsidR="006A47B1" w:rsidRPr="00783A69" w14:paraId="253DF9BA" w14:textId="77777777" w:rsidTr="008B39AA">
        <w:trPr>
          <w:cantSplit/>
          <w:jc w:val="center"/>
        </w:trPr>
        <w:tc>
          <w:tcPr>
            <w:tcW w:w="2122" w:type="dxa"/>
            <w:gridSpan w:val="2"/>
          </w:tcPr>
          <w:p w14:paraId="6EFFBF4F" w14:textId="7E0EAAD4" w:rsidR="006A47B1" w:rsidRPr="00367233" w:rsidRDefault="00367233" w:rsidP="00367233">
            <w:pPr>
              <w:rPr>
                <w:b/>
                <w:bCs/>
                <w:rtl/>
              </w:rPr>
            </w:pPr>
            <w:r w:rsidRPr="00367233">
              <w:rPr>
                <w:b/>
                <w:bCs/>
                <w:rtl/>
              </w:rPr>
              <w:t>لاتخاذ الإجراء اللازم</w:t>
            </w:r>
            <w:r w:rsidRPr="00367233">
              <w:rPr>
                <w:rFonts w:hint="cs"/>
                <w:b/>
                <w:bCs/>
                <w:rtl/>
              </w:rPr>
              <w:t>:</w:t>
            </w:r>
          </w:p>
        </w:tc>
        <w:tc>
          <w:tcPr>
            <w:tcW w:w="6939" w:type="dxa"/>
            <w:gridSpan w:val="4"/>
          </w:tcPr>
          <w:p w14:paraId="46863221" w14:textId="715A38E0" w:rsidR="006A47B1" w:rsidRPr="006A47B1" w:rsidRDefault="00367233" w:rsidP="00367233">
            <w:pPr>
              <w:rPr>
                <w:rtl/>
                <w:lang w:bidi="ar-EG"/>
              </w:rPr>
            </w:pPr>
            <w:r>
              <w:rPr>
                <w:color w:val="000000"/>
                <w:rtl/>
              </w:rPr>
              <w:t xml:space="preserve">دورة مجلس الاتحاد لعام </w:t>
            </w:r>
            <w:r w:rsidRPr="0075527A">
              <w:rPr>
                <w:color w:val="000000"/>
                <w:szCs w:val="20"/>
                <w:rtl/>
              </w:rPr>
              <w:t>2026</w:t>
            </w:r>
          </w:p>
        </w:tc>
      </w:tr>
      <w:tr w:rsidR="00367233" w:rsidRPr="00783A69" w14:paraId="60AC0EDC" w14:textId="77777777" w:rsidTr="008B39AA">
        <w:trPr>
          <w:cantSplit/>
          <w:jc w:val="center"/>
        </w:trPr>
        <w:tc>
          <w:tcPr>
            <w:tcW w:w="2122" w:type="dxa"/>
            <w:gridSpan w:val="2"/>
          </w:tcPr>
          <w:p w14:paraId="78C8CC7A" w14:textId="5A5799BC" w:rsidR="00367233" w:rsidRPr="00367233" w:rsidRDefault="00367233" w:rsidP="00367233">
            <w:pPr>
              <w:rPr>
                <w:b/>
                <w:bCs/>
                <w:rtl/>
                <w:lang w:bidi="ar-EG"/>
              </w:rPr>
            </w:pPr>
            <w:r w:rsidRPr="00367233">
              <w:rPr>
                <w:rFonts w:hint="cs"/>
                <w:b/>
                <w:bCs/>
                <w:rtl/>
                <w:lang w:bidi="ar-EG"/>
              </w:rPr>
              <w:t>للعلم:</w:t>
            </w:r>
          </w:p>
        </w:tc>
        <w:tc>
          <w:tcPr>
            <w:tcW w:w="6939" w:type="dxa"/>
            <w:gridSpan w:val="4"/>
          </w:tcPr>
          <w:p w14:paraId="4A5958AF" w14:textId="72D523EA" w:rsidR="00367233" w:rsidRPr="006A47B1" w:rsidRDefault="00367233" w:rsidP="00367233">
            <w:pPr>
              <w:rPr>
                <w:rtl/>
                <w:lang w:bidi="ar-EG"/>
              </w:rPr>
            </w:pPr>
            <w:r>
              <w:rPr>
                <w:rFonts w:hint="cs"/>
                <w:rtl/>
                <w:lang w:bidi="ar-EG"/>
              </w:rPr>
              <w:t>--</w:t>
            </w:r>
          </w:p>
        </w:tc>
      </w:tr>
      <w:tr w:rsidR="008B39AA" w:rsidRPr="00783A69" w14:paraId="637063D5" w14:textId="77777777" w:rsidTr="008B39AA">
        <w:trPr>
          <w:cantSplit/>
          <w:trHeight w:val="452"/>
          <w:jc w:val="center"/>
        </w:trPr>
        <w:tc>
          <w:tcPr>
            <w:tcW w:w="2122" w:type="dxa"/>
            <w:gridSpan w:val="2"/>
          </w:tcPr>
          <w:p w14:paraId="1A88AE00" w14:textId="5B6B1CD1" w:rsidR="008B39AA" w:rsidRPr="00367233" w:rsidRDefault="008B39AA" w:rsidP="00367233">
            <w:pPr>
              <w:rPr>
                <w:b/>
                <w:bCs/>
                <w:rtl/>
                <w:lang w:bidi="ar-EG"/>
              </w:rPr>
            </w:pPr>
            <w:r w:rsidRPr="00367233">
              <w:rPr>
                <w:rFonts w:hint="cs"/>
                <w:b/>
                <w:bCs/>
                <w:rtl/>
                <w:lang w:bidi="ar-EG"/>
              </w:rPr>
              <w:t>الموعد النهائي</w:t>
            </w:r>
          </w:p>
        </w:tc>
        <w:tc>
          <w:tcPr>
            <w:tcW w:w="6939" w:type="dxa"/>
            <w:gridSpan w:val="4"/>
          </w:tcPr>
          <w:p w14:paraId="0887F937" w14:textId="3F46511B" w:rsidR="008B39AA" w:rsidRPr="006A47B1" w:rsidRDefault="008B39AA" w:rsidP="00367233">
            <w:pPr>
              <w:rPr>
                <w:rtl/>
                <w:lang w:bidi="ar-EG"/>
              </w:rPr>
            </w:pPr>
            <w:r>
              <w:rPr>
                <w:rFonts w:hint="cs"/>
                <w:rtl/>
                <w:lang w:bidi="ar-EG"/>
              </w:rPr>
              <w:t>--</w:t>
            </w:r>
          </w:p>
        </w:tc>
      </w:tr>
      <w:tr w:rsidR="008B39AA" w:rsidRPr="00783A69" w14:paraId="16EA34A4" w14:textId="77777777" w:rsidTr="00E94A08">
        <w:trPr>
          <w:cantSplit/>
          <w:jc w:val="center"/>
        </w:trPr>
        <w:tc>
          <w:tcPr>
            <w:tcW w:w="9061" w:type="dxa"/>
            <w:gridSpan w:val="6"/>
            <w:tcBorders>
              <w:bottom w:val="single" w:sz="4" w:space="0" w:color="auto"/>
            </w:tcBorders>
          </w:tcPr>
          <w:p w14:paraId="59C2880D" w14:textId="77777777" w:rsidR="008B39AA" w:rsidRPr="00E94A08" w:rsidRDefault="008B39AA" w:rsidP="00E94A08">
            <w:pPr>
              <w:pStyle w:val="Tabletexte"/>
              <w:spacing w:line="240" w:lineRule="auto"/>
              <w:rPr>
                <w:b/>
                <w:bCs/>
                <w:rtl/>
                <w:lang w:bidi="ar-EG"/>
              </w:rPr>
            </w:pPr>
          </w:p>
        </w:tc>
      </w:tr>
      <w:tr w:rsidR="008B39AA" w:rsidRPr="00783A69" w14:paraId="7371349B" w14:textId="77777777" w:rsidTr="00E94A08">
        <w:trPr>
          <w:cantSplit/>
          <w:jc w:val="center"/>
        </w:trPr>
        <w:tc>
          <w:tcPr>
            <w:tcW w:w="1271" w:type="dxa"/>
            <w:tcBorders>
              <w:top w:val="single" w:sz="4" w:space="0" w:color="auto"/>
            </w:tcBorders>
          </w:tcPr>
          <w:p w14:paraId="5C08AE6B" w14:textId="77777777" w:rsidR="008B39AA" w:rsidRPr="008B39AA" w:rsidRDefault="008B39AA" w:rsidP="009E4B19">
            <w:pPr>
              <w:spacing w:before="60" w:after="60" w:line="260" w:lineRule="exact"/>
              <w:rPr>
                <w:b/>
                <w:bCs/>
                <w:rtl/>
                <w:lang w:bidi="ar-EG"/>
              </w:rPr>
            </w:pPr>
            <w:r w:rsidRPr="008B39AA">
              <w:rPr>
                <w:b/>
                <w:bCs/>
                <w:rtl/>
              </w:rPr>
              <w:t>للاتصال:</w:t>
            </w:r>
          </w:p>
        </w:tc>
        <w:tc>
          <w:tcPr>
            <w:tcW w:w="2835" w:type="dxa"/>
            <w:gridSpan w:val="2"/>
            <w:tcBorders>
              <w:top w:val="single" w:sz="4" w:space="0" w:color="auto"/>
            </w:tcBorders>
          </w:tcPr>
          <w:p w14:paraId="331CF0AC" w14:textId="63B96FF3" w:rsidR="008B39AA" w:rsidRPr="006A47B1" w:rsidRDefault="008B39AA" w:rsidP="009E4B19">
            <w:pPr>
              <w:spacing w:before="60" w:after="60" w:line="260" w:lineRule="exact"/>
              <w:rPr>
                <w:rtl/>
                <w:lang w:bidi="ar-EG"/>
              </w:rPr>
            </w:pPr>
            <w:r>
              <w:rPr>
                <w:rtl/>
              </w:rPr>
              <w:t>الاسم/المنظمة/الكيان:</w:t>
            </w:r>
          </w:p>
        </w:tc>
        <w:tc>
          <w:tcPr>
            <w:tcW w:w="4955" w:type="dxa"/>
            <w:gridSpan w:val="3"/>
            <w:tcBorders>
              <w:top w:val="single" w:sz="4" w:space="0" w:color="auto"/>
            </w:tcBorders>
          </w:tcPr>
          <w:p w14:paraId="5D8FDF2A" w14:textId="14FEAF1E" w:rsidR="008B39AA" w:rsidRPr="009E4B19" w:rsidRDefault="008B39AA" w:rsidP="009E4B19">
            <w:pPr>
              <w:spacing w:before="60" w:after="60" w:line="260" w:lineRule="exact"/>
              <w:rPr>
                <w:rtl/>
                <w:lang w:bidi="ar-EG"/>
              </w:rPr>
            </w:pPr>
            <w:r w:rsidRPr="009E4B19">
              <w:rPr>
                <w:rtl/>
              </w:rPr>
              <w:t>السيدة فلور ريجينا أسومو بيسو، رئيسة الفريق الاستشاري لتنمية الاتصالات</w:t>
            </w:r>
          </w:p>
        </w:tc>
      </w:tr>
      <w:tr w:rsidR="008B39AA" w:rsidRPr="00783A69" w14:paraId="793F5DDB" w14:textId="77777777" w:rsidTr="008B39AA">
        <w:trPr>
          <w:cantSplit/>
          <w:jc w:val="center"/>
        </w:trPr>
        <w:tc>
          <w:tcPr>
            <w:tcW w:w="1271" w:type="dxa"/>
          </w:tcPr>
          <w:p w14:paraId="42387ED9" w14:textId="74BCDFDF" w:rsidR="008B39AA" w:rsidRDefault="008B39AA" w:rsidP="009E4B19">
            <w:pPr>
              <w:spacing w:before="60" w:after="60" w:line="260" w:lineRule="exact"/>
              <w:rPr>
                <w:rtl/>
              </w:rPr>
            </w:pPr>
          </w:p>
        </w:tc>
        <w:tc>
          <w:tcPr>
            <w:tcW w:w="2835" w:type="dxa"/>
            <w:gridSpan w:val="2"/>
          </w:tcPr>
          <w:p w14:paraId="0C67146B" w14:textId="40A1AA2C" w:rsidR="008B39AA" w:rsidRDefault="008B39AA" w:rsidP="009E4B19">
            <w:pPr>
              <w:spacing w:before="60" w:after="60" w:line="260" w:lineRule="exact"/>
              <w:rPr>
                <w:rtl/>
              </w:rPr>
            </w:pPr>
            <w:r>
              <w:rPr>
                <w:color w:val="000000"/>
                <w:rtl/>
              </w:rPr>
              <w:t>رقم الهاتف:</w:t>
            </w:r>
          </w:p>
        </w:tc>
        <w:tc>
          <w:tcPr>
            <w:tcW w:w="4955" w:type="dxa"/>
            <w:gridSpan w:val="3"/>
          </w:tcPr>
          <w:p w14:paraId="6986F3AF" w14:textId="247A2633" w:rsidR="008B39AA" w:rsidRPr="009E4B19" w:rsidRDefault="008B39AA" w:rsidP="009E4B19">
            <w:pPr>
              <w:spacing w:before="60" w:after="60" w:line="260" w:lineRule="exact"/>
              <w:rPr>
                <w:lang w:val="en-GB"/>
              </w:rPr>
            </w:pPr>
            <w:r w:rsidRPr="009E4B19">
              <w:rPr>
                <w:lang w:val="en-GB"/>
              </w:rPr>
              <w:t>+225 0707815208</w:t>
            </w:r>
          </w:p>
        </w:tc>
      </w:tr>
      <w:tr w:rsidR="008B39AA" w:rsidRPr="00783A69" w14:paraId="04DA6091" w14:textId="77777777" w:rsidTr="00E94A08">
        <w:trPr>
          <w:cantSplit/>
          <w:jc w:val="center"/>
        </w:trPr>
        <w:tc>
          <w:tcPr>
            <w:tcW w:w="1271" w:type="dxa"/>
            <w:tcBorders>
              <w:bottom w:val="single" w:sz="4" w:space="0" w:color="auto"/>
            </w:tcBorders>
          </w:tcPr>
          <w:p w14:paraId="3D947836" w14:textId="0CE55711" w:rsidR="008B39AA" w:rsidRDefault="008B39AA" w:rsidP="009E4B19">
            <w:pPr>
              <w:spacing w:before="60" w:after="60" w:line="260" w:lineRule="exact"/>
              <w:rPr>
                <w:rtl/>
              </w:rPr>
            </w:pPr>
          </w:p>
        </w:tc>
        <w:tc>
          <w:tcPr>
            <w:tcW w:w="2835" w:type="dxa"/>
            <w:gridSpan w:val="2"/>
            <w:tcBorders>
              <w:bottom w:val="single" w:sz="4" w:space="0" w:color="auto"/>
            </w:tcBorders>
          </w:tcPr>
          <w:p w14:paraId="03D486D6" w14:textId="150A2836" w:rsidR="008B39AA" w:rsidRDefault="008B39AA" w:rsidP="009E4B19">
            <w:pPr>
              <w:spacing w:before="60" w:after="60" w:line="260" w:lineRule="exact"/>
              <w:rPr>
                <w:rtl/>
              </w:rPr>
            </w:pPr>
            <w:r>
              <w:rPr>
                <w:color w:val="000000"/>
                <w:rtl/>
              </w:rPr>
              <w:t>البريد الإلكتروني:</w:t>
            </w:r>
          </w:p>
        </w:tc>
        <w:tc>
          <w:tcPr>
            <w:tcW w:w="4955" w:type="dxa"/>
            <w:gridSpan w:val="3"/>
            <w:tcBorders>
              <w:bottom w:val="single" w:sz="4" w:space="0" w:color="auto"/>
            </w:tcBorders>
          </w:tcPr>
          <w:p w14:paraId="0B4583B5" w14:textId="22F82038" w:rsidR="008B39AA" w:rsidRPr="009E4B19" w:rsidRDefault="008B39AA" w:rsidP="009E4B19">
            <w:pPr>
              <w:spacing w:before="60" w:after="60" w:line="260" w:lineRule="exact"/>
              <w:rPr>
                <w:rtl/>
              </w:rPr>
            </w:pPr>
            <w:hyperlink r:id="rId10" w:history="1">
              <w:r w:rsidRPr="009E4B19">
                <w:rPr>
                  <w:rFonts w:cs="Times New Roman Bold"/>
                  <w:color w:val="0000FF"/>
                  <w:szCs w:val="24"/>
                  <w:u w:val="single"/>
                </w:rPr>
                <w:t>bessou.regina@artci.ci</w:t>
              </w:r>
            </w:hyperlink>
          </w:p>
        </w:tc>
      </w:tr>
      <w:tr w:rsidR="008B39AA" w:rsidRPr="00783A69" w14:paraId="643CF62A" w14:textId="77777777" w:rsidTr="00E94A08">
        <w:trPr>
          <w:cantSplit/>
          <w:jc w:val="center"/>
        </w:trPr>
        <w:tc>
          <w:tcPr>
            <w:tcW w:w="1271" w:type="dxa"/>
            <w:tcBorders>
              <w:top w:val="single" w:sz="4" w:space="0" w:color="auto"/>
            </w:tcBorders>
          </w:tcPr>
          <w:p w14:paraId="0D363F45" w14:textId="057F651F" w:rsidR="008B39AA" w:rsidRDefault="008B39AA" w:rsidP="009E4B19">
            <w:pPr>
              <w:spacing w:before="60" w:after="60" w:line="260" w:lineRule="exact"/>
              <w:rPr>
                <w:rtl/>
              </w:rPr>
            </w:pPr>
            <w:r w:rsidRPr="008B39AA">
              <w:rPr>
                <w:b/>
                <w:bCs/>
                <w:rtl/>
              </w:rPr>
              <w:t>للاتصال:</w:t>
            </w:r>
          </w:p>
        </w:tc>
        <w:tc>
          <w:tcPr>
            <w:tcW w:w="2835" w:type="dxa"/>
            <w:gridSpan w:val="2"/>
            <w:tcBorders>
              <w:top w:val="single" w:sz="4" w:space="0" w:color="auto"/>
            </w:tcBorders>
          </w:tcPr>
          <w:p w14:paraId="7525EAB1" w14:textId="0357041F" w:rsidR="008B39AA" w:rsidRDefault="008B39AA" w:rsidP="009E4B19">
            <w:pPr>
              <w:spacing w:before="60" w:after="60" w:line="260" w:lineRule="exact"/>
              <w:rPr>
                <w:rtl/>
              </w:rPr>
            </w:pPr>
            <w:r>
              <w:rPr>
                <w:rtl/>
              </w:rPr>
              <w:t>الاسم/المنظمة/الكيان:</w:t>
            </w:r>
          </w:p>
        </w:tc>
        <w:tc>
          <w:tcPr>
            <w:tcW w:w="4955" w:type="dxa"/>
            <w:gridSpan w:val="3"/>
            <w:tcBorders>
              <w:top w:val="single" w:sz="4" w:space="0" w:color="auto"/>
            </w:tcBorders>
          </w:tcPr>
          <w:p w14:paraId="4AA98415" w14:textId="3B08C004" w:rsidR="008B39AA" w:rsidRPr="009E4B19" w:rsidRDefault="008B39AA" w:rsidP="009E4B19">
            <w:pPr>
              <w:spacing w:before="60" w:after="60" w:line="260" w:lineRule="exact"/>
              <w:rPr>
                <w:rtl/>
              </w:rPr>
            </w:pPr>
            <w:r w:rsidRPr="009E4B19">
              <w:rPr>
                <w:color w:val="000000"/>
                <w:rtl/>
              </w:rPr>
              <w:t>السيدة أرتشانا غولاتي، نائبة مدير مكتب تنمية الاتصالات</w:t>
            </w:r>
          </w:p>
        </w:tc>
      </w:tr>
      <w:tr w:rsidR="008B39AA" w:rsidRPr="00783A69" w14:paraId="20019D0B" w14:textId="77777777" w:rsidTr="008B39AA">
        <w:trPr>
          <w:cantSplit/>
          <w:jc w:val="center"/>
        </w:trPr>
        <w:tc>
          <w:tcPr>
            <w:tcW w:w="1271" w:type="dxa"/>
          </w:tcPr>
          <w:p w14:paraId="5C2315B4" w14:textId="77777777" w:rsidR="008B39AA" w:rsidRDefault="008B39AA" w:rsidP="009E4B19">
            <w:pPr>
              <w:spacing w:before="60" w:after="60" w:line="260" w:lineRule="exact"/>
              <w:rPr>
                <w:rtl/>
              </w:rPr>
            </w:pPr>
          </w:p>
        </w:tc>
        <w:tc>
          <w:tcPr>
            <w:tcW w:w="2835" w:type="dxa"/>
            <w:gridSpan w:val="2"/>
          </w:tcPr>
          <w:p w14:paraId="49047248" w14:textId="3C45D308" w:rsidR="008B39AA" w:rsidRDefault="008B39AA" w:rsidP="009E4B19">
            <w:pPr>
              <w:spacing w:before="60" w:after="60" w:line="260" w:lineRule="exact"/>
              <w:rPr>
                <w:rtl/>
              </w:rPr>
            </w:pPr>
            <w:r>
              <w:rPr>
                <w:color w:val="000000"/>
                <w:rtl/>
              </w:rPr>
              <w:t>رقم الهاتف:</w:t>
            </w:r>
          </w:p>
        </w:tc>
        <w:tc>
          <w:tcPr>
            <w:tcW w:w="4955" w:type="dxa"/>
            <w:gridSpan w:val="3"/>
          </w:tcPr>
          <w:p w14:paraId="4AA11078" w14:textId="547749CC" w:rsidR="008B39AA" w:rsidRDefault="008B39AA" w:rsidP="009E4B19">
            <w:pPr>
              <w:spacing w:before="60" w:after="60" w:line="260" w:lineRule="exact"/>
              <w:rPr>
                <w:rtl/>
              </w:rPr>
            </w:pPr>
            <w:r>
              <w:t>+41 22 730 6475</w:t>
            </w:r>
          </w:p>
        </w:tc>
      </w:tr>
      <w:tr w:rsidR="008B39AA" w:rsidRPr="00783A69" w14:paraId="2A65307F" w14:textId="77777777" w:rsidTr="008B39AA">
        <w:trPr>
          <w:cantSplit/>
          <w:jc w:val="center"/>
        </w:trPr>
        <w:tc>
          <w:tcPr>
            <w:tcW w:w="1271" w:type="dxa"/>
          </w:tcPr>
          <w:p w14:paraId="5240ADDC" w14:textId="77777777" w:rsidR="008B39AA" w:rsidRDefault="008B39AA" w:rsidP="009E4B19">
            <w:pPr>
              <w:spacing w:before="60" w:after="60" w:line="260" w:lineRule="exact"/>
              <w:rPr>
                <w:rtl/>
              </w:rPr>
            </w:pPr>
          </w:p>
        </w:tc>
        <w:tc>
          <w:tcPr>
            <w:tcW w:w="2835" w:type="dxa"/>
            <w:gridSpan w:val="2"/>
          </w:tcPr>
          <w:p w14:paraId="165AC523" w14:textId="5DBDB578" w:rsidR="008B39AA" w:rsidRDefault="008B39AA" w:rsidP="009E4B19">
            <w:pPr>
              <w:spacing w:before="60" w:after="60" w:line="260" w:lineRule="exact"/>
              <w:rPr>
                <w:rtl/>
              </w:rPr>
            </w:pPr>
            <w:r>
              <w:rPr>
                <w:color w:val="000000"/>
                <w:rtl/>
              </w:rPr>
              <w:t>البريد الإلكتروني:</w:t>
            </w:r>
          </w:p>
        </w:tc>
        <w:tc>
          <w:tcPr>
            <w:tcW w:w="4955" w:type="dxa"/>
            <w:gridSpan w:val="3"/>
          </w:tcPr>
          <w:p w14:paraId="33499EFD" w14:textId="1DB3ED5E" w:rsidR="008B39AA" w:rsidRDefault="008B39AA" w:rsidP="009E4B19">
            <w:pPr>
              <w:spacing w:before="60" w:after="60" w:line="260" w:lineRule="exact"/>
              <w:rPr>
                <w:rtl/>
              </w:rPr>
            </w:pPr>
            <w:hyperlink r:id="rId11" w:history="1">
              <w:r w:rsidRPr="00CF4727">
                <w:rPr>
                  <w:rFonts w:cs="Times New Roman Bold"/>
                  <w:color w:val="0000FF"/>
                  <w:szCs w:val="24"/>
                  <w:u w:val="single"/>
                </w:rPr>
                <w:t>archana.gulati@itu.int</w:t>
              </w:r>
            </w:hyperlink>
          </w:p>
        </w:tc>
      </w:tr>
    </w:tbl>
    <w:p w14:paraId="25679E26" w14:textId="77777777" w:rsidR="006A47B1" w:rsidRDefault="006A47B1" w:rsidP="006A47B1"/>
    <w:tbl>
      <w:tblPr>
        <w:bidiVisual/>
        <w:tblW w:w="5008"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9069"/>
      </w:tblGrid>
      <w:tr w:rsidR="006A47B1" w:rsidRPr="00153471" w14:paraId="144CECDA" w14:textId="77777777" w:rsidTr="007F35CA">
        <w:trPr>
          <w:cantSplit/>
          <w:jc w:val="center"/>
        </w:trPr>
        <w:tc>
          <w:tcPr>
            <w:tcW w:w="9638" w:type="dxa"/>
            <w:tcBorders>
              <w:top w:val="single" w:sz="6" w:space="0" w:color="auto"/>
              <w:left w:val="single" w:sz="6" w:space="0" w:color="auto"/>
              <w:bottom w:val="single" w:sz="6" w:space="0" w:color="auto"/>
              <w:right w:val="single" w:sz="6" w:space="0" w:color="auto"/>
            </w:tcBorders>
          </w:tcPr>
          <w:p w14:paraId="132ADFBD" w14:textId="77777777" w:rsidR="006A47B1" w:rsidRPr="00153471" w:rsidRDefault="006A47B1" w:rsidP="007F35CA">
            <w:pPr>
              <w:rPr>
                <w:b/>
                <w:bCs/>
                <w:rtl/>
                <w:lang w:bidi="ar-SY"/>
              </w:rPr>
            </w:pPr>
            <w:r w:rsidRPr="00153471">
              <w:rPr>
                <w:rFonts w:hint="cs"/>
                <w:b/>
                <w:bCs/>
                <w:rtl/>
                <w:lang w:bidi="ar-SY"/>
              </w:rPr>
              <w:t>ملخص:</w:t>
            </w:r>
          </w:p>
          <w:p w14:paraId="0DCD33E7" w14:textId="3C9145EC" w:rsidR="006A47B1" w:rsidRPr="00153471" w:rsidRDefault="008B39AA" w:rsidP="007F35CA">
            <w:pPr>
              <w:rPr>
                <w:rtl/>
              </w:rPr>
            </w:pPr>
            <w:r w:rsidRPr="008B39AA">
              <w:rPr>
                <w:rtl/>
                <w:lang w:val="en-GB" w:bidi="ar-EG"/>
              </w:rPr>
              <w:t>يتضمن بيان الاتصال هذا مقترحاً مقدماً لدورة مجلس الاتحاد لعام 2026 للنظر في تخصيص الأموال اللازمة لدعم تنفيذ نواتج المؤتمر العالمي لتنمية الاتصالات لعام 2025 بشأن المبادرات الإقليمية المعتمدة في المؤتمر. ويأخذ المقترح في الاعتبار المخصصات السابقة التي منحها المجلس في دورتيه لعام</w:t>
            </w:r>
            <w:r w:rsidR="009E4B19">
              <w:rPr>
                <w:rFonts w:hint="cs"/>
                <w:rtl/>
                <w:lang w:val="en-GB" w:bidi="ar-EG"/>
              </w:rPr>
              <w:t>َ</w:t>
            </w:r>
            <w:r w:rsidRPr="008B39AA">
              <w:rPr>
                <w:rtl/>
                <w:lang w:val="en-GB" w:bidi="ar-EG"/>
              </w:rPr>
              <w:t>ي 2018 و2023 لدعم تنفيذ نواتج المؤتمر العالمي لتنمية الاتصالات لعام 2017 والمؤتمر العالمي لتنمية الاتصالات لعام 2022، على التوالي.</w:t>
            </w:r>
          </w:p>
        </w:tc>
      </w:tr>
    </w:tbl>
    <w:p w14:paraId="75CA8A48" w14:textId="08997685" w:rsidR="00367233" w:rsidRPr="008B39AA" w:rsidRDefault="00367233" w:rsidP="009E4B19">
      <w:pPr>
        <w:spacing w:before="240"/>
        <w:rPr>
          <w:lang w:val="ar-SA" w:eastAsia="zh-TW" w:bidi="en-GB"/>
        </w:rPr>
      </w:pPr>
      <w:r w:rsidRPr="008B39AA">
        <w:rPr>
          <w:rtl/>
        </w:rPr>
        <w:lastRenderedPageBreak/>
        <w:t>وقد اعتمد المؤتمر العالمي لتنمية الاتصالات لعام 2025 (WTDC-25)، الذي عقد في باكو، أذربيجان، إعلان باكو وخطة عمل باكو، بما في ذلك مجموعة شاملة من ثلاثين مبادرة إقليمية تهدف إلى تلبية الاحتياجات المحددة لكل منطقة لتعزيز التوصيلية الشاملة والهادفة وتسريع التحول الرقمي. وتشكل هذه النواتج ولاية واضحة وطموحة لقطاع تنمية الاتصالات.</w:t>
      </w:r>
    </w:p>
    <w:p w14:paraId="7627D4FA" w14:textId="2C3447C0" w:rsidR="00367233" w:rsidRPr="008B39AA" w:rsidRDefault="00367233" w:rsidP="008B39AA">
      <w:pPr>
        <w:rPr>
          <w:lang w:val="ar-SA" w:eastAsia="zh-TW" w:bidi="en-GB"/>
        </w:rPr>
      </w:pPr>
      <w:r w:rsidRPr="008B39AA">
        <w:rPr>
          <w:rtl/>
        </w:rPr>
        <w:t>ويشير الفريق الاستشاري إلى أن قطاع تنمية الاتصالات اعتمد باستمرار على التنفيذ القائم على المشاريع، مدعوماً بالتمويل الأولي المستهدف، كآلية فعالة وقائمة على النتائج لتفعيل ولايات المؤتمر العالمي لتنمية الاتصالات. وفي الوقت نفسه، يعترف الفريق الاستشاري بأن جدوى توقيع مشاريع جديدة تعتمد إلى حد</w:t>
      </w:r>
      <w:r w:rsidR="009E4B19">
        <w:rPr>
          <w:rFonts w:hint="cs"/>
          <w:rtl/>
        </w:rPr>
        <w:t>ٍ</w:t>
      </w:r>
      <w:r w:rsidRPr="008B39AA">
        <w:rPr>
          <w:rtl/>
        </w:rPr>
        <w:t xml:space="preserve"> كبير على توفر التمويل وشركاء التمويل الراغبين في تمويل عمل الاتحاد وأن عدداً من الجهات المانحة تتوقع أن توفر الوكالات التي تتلقى الأموال و/أو البلدان المستفيدة التي تتلقى الدعم مستوى معيناً من التمويل المشترك لضمان جدوى المشاريع الجديدة، ما يضيف تحديات إضافية أمام أعمال تعبئة الموارد. وأشار الفريق الاستشاري إلى الشواغل التي أثارها بعض المندوبين من أن متطلبات التمويل المشترك قد تخلق حواجز أمام بعض البلدان النامية، ولا سيما أقل البلدان نمواً </w:t>
      </w:r>
      <w:r w:rsidRPr="008B39AA">
        <w:t>(LDC)</w:t>
      </w:r>
      <w:r w:rsidRPr="008B39AA">
        <w:rPr>
          <w:rtl/>
        </w:rPr>
        <w:t>.</w:t>
      </w:r>
    </w:p>
    <w:p w14:paraId="71227F84" w14:textId="02648B69" w:rsidR="00367233" w:rsidRPr="0075527A" w:rsidRDefault="00367233" w:rsidP="008B39AA">
      <w:pPr>
        <w:rPr>
          <w:spacing w:val="-2"/>
          <w:lang w:val="ar-SA" w:eastAsia="zh-TW" w:bidi="en-GB"/>
        </w:rPr>
      </w:pPr>
      <w:r w:rsidRPr="0075527A">
        <w:rPr>
          <w:spacing w:val="-2"/>
          <w:rtl/>
        </w:rPr>
        <w:t>وبالإضافة إلى ذلك، يقر الفريق الاستشاري لتنمية الاتصالات بالتعديلات المدخلة على القرار 17 (المراج</w:t>
      </w:r>
      <w:r w:rsidR="008B39AA" w:rsidRPr="0075527A">
        <w:rPr>
          <w:spacing w:val="-2"/>
          <w:rtl/>
        </w:rPr>
        <w:t>َ</w:t>
      </w:r>
      <w:r w:rsidRPr="0075527A">
        <w:rPr>
          <w:spacing w:val="-2"/>
          <w:rtl/>
        </w:rPr>
        <w:t xml:space="preserve">ع في باكو، 2025) بشأن </w:t>
      </w:r>
      <w:r w:rsidRPr="0075527A">
        <w:rPr>
          <w:i/>
          <w:iCs/>
          <w:spacing w:val="-2"/>
          <w:rtl/>
        </w:rPr>
        <w:t>تعبئة الموارد والتنفيذ والتعاون من أجل المبادرات الإقليمية المعتمدة</w:t>
      </w:r>
      <w:r w:rsidRPr="0075527A">
        <w:rPr>
          <w:spacing w:val="-2"/>
          <w:rtl/>
        </w:rPr>
        <w:t xml:space="preserve"> والقرار 92 (باكو، 2025) الجديد بشأن </w:t>
      </w:r>
      <w:r w:rsidRPr="0075527A">
        <w:rPr>
          <w:i/>
          <w:iCs/>
          <w:spacing w:val="-2"/>
          <w:rtl/>
        </w:rPr>
        <w:t>تعزيز دور المكاتب الإقليمية للاتحاد في تسريع التحول الرقمي والاستفادة من الشراكات</w:t>
      </w:r>
      <w:r w:rsidRPr="0075527A">
        <w:rPr>
          <w:spacing w:val="-2"/>
          <w:rtl/>
        </w:rPr>
        <w:t>، والتي تدعو إلى إنشاء مجموعة شاملة من الآليات والمبادئ التوجيهية لمكتب تنمية الاتصالات كي يشارك في تصميم المشاريع مع الشركاء والمستفيدين ويدعم تعبئة الأموال من خلال عملية منظمة. ويعترف الفريق الاستشاري أيضاً بالتغييرات الأخيرة في اللوائح المالية في جزء المساهمات العينية التي تعتبر قيمة لتنفيذ المبادرات الإقليمية.</w:t>
      </w:r>
    </w:p>
    <w:p w14:paraId="5382DF2B" w14:textId="5D9A969C" w:rsidR="00367233" w:rsidRPr="008B39AA" w:rsidRDefault="00367233" w:rsidP="008B39AA">
      <w:pPr>
        <w:rPr>
          <w:lang w:val="ar-SA" w:eastAsia="zh-TW" w:bidi="en-GB"/>
        </w:rPr>
      </w:pPr>
      <w:r w:rsidRPr="008B39AA">
        <w:rPr>
          <w:rtl/>
        </w:rPr>
        <w:t>وفي ضوء هذه الاعتبارات، يدرك الفريق الاستشاري أهمية تخصيص أموال كافية من ميزانية الاتحاد لدعم إعداد مشاريع جديدة دعماً لتنفيذ نواتج المؤتمر العالمي لتنمية الاتصالات لعام 2025 بشأن المبادرات الإقليمية. وسيستند هذا التخصيص إلى التجارب الإيجابية المستمدة من التمويل السابق الذي خصصه مجلس الاتحاد لدعم تنفيذ المبادرات الإقليمية للمؤتمر العالمي لتنمية الاتصالات لعام 2017 والمؤتمر العالمي لتنمية الاتصالات لعام 2023، على التوالي (5</w:t>
      </w:r>
      <w:r w:rsidR="008B39AA">
        <w:rPr>
          <w:rFonts w:hint="cs"/>
          <w:rtl/>
        </w:rPr>
        <w:t> </w:t>
      </w:r>
      <w:r w:rsidRPr="008B39AA">
        <w:rPr>
          <w:rtl/>
        </w:rPr>
        <w:t>ملايين فرنك سويسري في دورة عام 2018 و3</w:t>
      </w:r>
      <w:r w:rsidR="008B39AA">
        <w:rPr>
          <w:rFonts w:hint="cs"/>
          <w:rtl/>
        </w:rPr>
        <w:t> </w:t>
      </w:r>
      <w:r w:rsidRPr="008B39AA">
        <w:rPr>
          <w:rtl/>
        </w:rPr>
        <w:t>ملايين فرنك سويسري في دورة عام 2023).</w:t>
      </w:r>
    </w:p>
    <w:p w14:paraId="5EB843F8" w14:textId="48010F40" w:rsidR="00367233" w:rsidRPr="0075527A" w:rsidRDefault="00367233" w:rsidP="00C61B32">
      <w:pPr>
        <w:rPr>
          <w:spacing w:val="-2"/>
          <w:lang w:val="ar-SA" w:eastAsia="zh-TW" w:bidi="en-GB"/>
        </w:rPr>
      </w:pPr>
      <w:r w:rsidRPr="0075527A">
        <w:rPr>
          <w:spacing w:val="-2"/>
          <w:rtl/>
        </w:rPr>
        <w:t xml:space="preserve">وستُنفَّذ القرارات التي اعتُمِدت في المؤتمر باستخدام الميزانية العادية، علاوةً على الأموال الخارجة عن الميزانية المتلقاة من خلال المشاريع والمساهمات الطوعية. وتقترح الأمانة، من خلال وثيقة المجلس </w:t>
      </w:r>
      <w:hyperlink r:id="rId12" w:history="1">
        <w:r w:rsidR="00C61B32" w:rsidRPr="00C61B32">
          <w:rPr>
            <w:rStyle w:val="Hyperlink"/>
            <w:noProof w:val="0"/>
            <w:spacing w:val="-2"/>
            <w:lang w:eastAsia="zh-CN"/>
          </w:rPr>
          <w:t>C26/42</w:t>
        </w:r>
      </w:hyperlink>
      <w:r w:rsidRPr="0075527A">
        <w:rPr>
          <w:spacing w:val="-2"/>
          <w:rtl/>
        </w:rPr>
        <w:t>، تخصيص جزء من الوفورات الناتجة عن تنفيذ ميزانية 2025 للمبادرات الإقليمية التي وافق عليها المؤتمر.</w:t>
      </w:r>
      <w:hyperlink r:id="rId13" w:history="1"/>
    </w:p>
    <w:p w14:paraId="5E1468A5" w14:textId="04F001CB" w:rsidR="00367233" w:rsidRPr="0075527A" w:rsidRDefault="00367233" w:rsidP="00C61B32">
      <w:pPr>
        <w:rPr>
          <w:spacing w:val="-4"/>
          <w:lang w:val="ar-SA" w:eastAsia="zh-TW" w:bidi="en-GB"/>
        </w:rPr>
      </w:pPr>
      <w:r w:rsidRPr="0075527A">
        <w:rPr>
          <w:spacing w:val="-4"/>
          <w:rtl/>
        </w:rPr>
        <w:t xml:space="preserve">وفي ضوء ما سبق، ومع الإحاطة علماً بالخيارات التي قدمتها الأمانة، يدعو الفريق الاستشاري مجلس الاتحاد إلى الموافقة على تخصيص الأموال الملائمة لدعم المجموعة الجديدة من المبادرات الإقليمية التي اعتمدت في المؤتمر العالمي لتنمية الاتصالات لعام 2025. ويشمل ذلك مبلغ 1,30 مليون فرنك سويسري المقترح لإنجاز المشاريع في إطار المبادرات الإقليمية في الفترة </w:t>
      </w:r>
      <w:r w:rsidR="00E94A08" w:rsidRPr="0075527A">
        <w:rPr>
          <w:spacing w:val="-4"/>
        </w:rPr>
        <w:t>2026</w:t>
      </w:r>
      <w:r w:rsidRPr="0075527A">
        <w:rPr>
          <w:spacing w:val="-4"/>
          <w:rtl/>
        </w:rPr>
        <w:t>-</w:t>
      </w:r>
      <w:r w:rsidR="00E94A08" w:rsidRPr="0075527A">
        <w:rPr>
          <w:spacing w:val="-4"/>
        </w:rPr>
        <w:t>2027</w:t>
      </w:r>
      <w:r w:rsidRPr="0075527A">
        <w:rPr>
          <w:spacing w:val="-4"/>
          <w:rtl/>
        </w:rPr>
        <w:t xml:space="preserve"> من الوفورات المحققة في تنفيذ ميزانية الاتحاد لعام 2025، على النحو المعروض في</w:t>
      </w:r>
      <w:r w:rsidR="00E94A08" w:rsidRPr="0075527A">
        <w:rPr>
          <w:rFonts w:hint="eastAsia"/>
          <w:spacing w:val="-4"/>
          <w:rtl/>
        </w:rPr>
        <w:t> </w:t>
      </w:r>
      <w:r w:rsidRPr="0075527A">
        <w:rPr>
          <w:spacing w:val="-4"/>
          <w:rtl/>
        </w:rPr>
        <w:t xml:space="preserve">وثيقة المجلس </w:t>
      </w:r>
      <w:hyperlink r:id="rId14" w:history="1">
        <w:r w:rsidR="00C61B32" w:rsidRPr="00C61B32">
          <w:rPr>
            <w:rStyle w:val="Hyperlink"/>
            <w:noProof w:val="0"/>
            <w:spacing w:val="-4"/>
            <w:lang w:eastAsia="zh-CN"/>
          </w:rPr>
          <w:t>C26/42</w:t>
        </w:r>
      </w:hyperlink>
      <w:r w:rsidRPr="0075527A">
        <w:rPr>
          <w:spacing w:val="-4"/>
          <w:rtl/>
        </w:rPr>
        <w:t xml:space="preserve">، على سبيل المثال لا الحصر، بناءً على الطلب المقدم من مكتب تنمية الاتصالات (انظر الوثائق المرجعية) لتخصيص تمويل إضافي للفترة </w:t>
      </w:r>
      <w:r w:rsidR="00E94A08" w:rsidRPr="0075527A">
        <w:rPr>
          <w:spacing w:val="-4"/>
          <w:rtl/>
        </w:rPr>
        <w:t>2028</w:t>
      </w:r>
      <w:r w:rsidRPr="0075527A">
        <w:rPr>
          <w:spacing w:val="-4"/>
          <w:rtl/>
        </w:rPr>
        <w:t>-</w:t>
      </w:r>
      <w:r w:rsidR="00E94A08" w:rsidRPr="0075527A">
        <w:rPr>
          <w:spacing w:val="-4"/>
          <w:rtl/>
        </w:rPr>
        <w:t>2029</w:t>
      </w:r>
      <w:r w:rsidRPr="0075527A">
        <w:rPr>
          <w:spacing w:val="-4"/>
          <w:rtl/>
        </w:rPr>
        <w:t xml:space="preserve">، من الخطة المالية للاتحاد للفترة </w:t>
      </w:r>
      <w:r w:rsidR="00E94A08" w:rsidRPr="0075527A">
        <w:rPr>
          <w:spacing w:val="-4"/>
          <w:rtl/>
        </w:rPr>
        <w:t>2028</w:t>
      </w:r>
      <w:r w:rsidRPr="0075527A">
        <w:rPr>
          <w:spacing w:val="-4"/>
          <w:rtl/>
        </w:rPr>
        <w:t>-</w:t>
      </w:r>
      <w:r w:rsidR="00E94A08" w:rsidRPr="0075527A">
        <w:rPr>
          <w:spacing w:val="-4"/>
          <w:rtl/>
        </w:rPr>
        <w:t>2030</w:t>
      </w:r>
      <w:r w:rsidRPr="0075527A">
        <w:rPr>
          <w:spacing w:val="-4"/>
          <w:rtl/>
        </w:rPr>
        <w:t>.</w:t>
      </w:r>
      <w:hyperlink r:id="rId15" w:history="1"/>
    </w:p>
    <w:p w14:paraId="5F80869B" w14:textId="08BAE46C" w:rsidR="00F50E3F" w:rsidRPr="0075527A" w:rsidRDefault="00367233" w:rsidP="00E94A08">
      <w:pPr>
        <w:rPr>
          <w:spacing w:val="-2"/>
          <w:lang w:val="ar-SA" w:eastAsia="zh-TW" w:bidi="en-GB"/>
        </w:rPr>
      </w:pPr>
      <w:r w:rsidRPr="0075527A">
        <w:rPr>
          <w:spacing w:val="-2"/>
          <w:rtl/>
        </w:rPr>
        <w:t>وسيساعد التخصيص المناسب في معالجة الآثار المالية المترتبة على المؤتمر وتعزيز قدرة الاتحاد على تعبئة أموال إضافية من خارج الميزانية لدعم الدول الأعضاء في الاتحاد لتلبية الاحتياجات المحددة لكل منطقة، وتعزيز التوصيلية الشاملة والهادفة، وتسريع التحول الرقمي.</w:t>
      </w:r>
    </w:p>
    <w:p w14:paraId="60B8CA3D"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6"/>
      <w:headerReference w:type="first" r:id="rId17"/>
      <w:footerReference w:type="first" r:id="rId18"/>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4F099" w14:textId="77777777" w:rsidR="003D270D" w:rsidRDefault="003D270D" w:rsidP="006C3242">
      <w:pPr>
        <w:spacing w:before="0" w:line="240" w:lineRule="auto"/>
      </w:pPr>
      <w:r>
        <w:separator/>
      </w:r>
    </w:p>
  </w:endnote>
  <w:endnote w:type="continuationSeparator" w:id="0">
    <w:p w14:paraId="365F9DBC" w14:textId="77777777" w:rsidR="003D270D" w:rsidRDefault="003D270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4303406" w14:textId="77777777" w:rsidTr="00A67F05">
      <w:trPr>
        <w:jc w:val="center"/>
      </w:trPr>
      <w:tc>
        <w:tcPr>
          <w:tcW w:w="868" w:type="pct"/>
          <w:vAlign w:val="center"/>
        </w:tcPr>
        <w:p w14:paraId="2677F494" w14:textId="7E0D9008" w:rsidR="00F50E3F" w:rsidRPr="007B0AA0" w:rsidRDefault="006A47B1"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2601023</w:t>
          </w:r>
        </w:p>
      </w:tc>
      <w:tc>
        <w:tcPr>
          <w:tcW w:w="3912" w:type="pct"/>
        </w:tcPr>
        <w:p w14:paraId="62EE8B15" w14:textId="4E915396"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6A47B1">
            <w:rPr>
              <w:rFonts w:ascii="Calibri" w:hAnsi="Calibri" w:cs="Arial"/>
              <w:bCs/>
              <w:color w:val="7F7F7F"/>
              <w:sz w:val="18"/>
            </w:rPr>
            <w:t>109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45AA31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848B5B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B176E0A" w14:textId="77777777" w:rsidTr="00A67F05">
      <w:trPr>
        <w:jc w:val="center"/>
      </w:trPr>
      <w:tc>
        <w:tcPr>
          <w:tcW w:w="1013" w:type="pct"/>
          <w:vAlign w:val="center"/>
        </w:tcPr>
        <w:p w14:paraId="0509A4BD"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5E019171" w14:textId="315332A7"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6A47B1">
            <w:rPr>
              <w:rFonts w:ascii="Calibri" w:hAnsi="Calibri" w:cs="Arial"/>
              <w:bCs/>
              <w:color w:val="7F7F7F"/>
              <w:sz w:val="18"/>
            </w:rPr>
            <w:t>109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D35916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CE53ED7"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67E0" w14:textId="77777777" w:rsidR="003D270D" w:rsidRDefault="003D270D" w:rsidP="006C3242">
      <w:pPr>
        <w:spacing w:before="0" w:line="240" w:lineRule="auto"/>
      </w:pPr>
      <w:r>
        <w:separator/>
      </w:r>
    </w:p>
  </w:footnote>
  <w:footnote w:type="continuationSeparator" w:id="0">
    <w:p w14:paraId="6AFA2F13" w14:textId="77777777" w:rsidR="003D270D" w:rsidRDefault="003D270D"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A3FE" w14:textId="77777777" w:rsidR="001A3E13" w:rsidRPr="00057769" w:rsidRDefault="001A3E13" w:rsidP="001A3E13">
    <w:pPr>
      <w:pStyle w:val="Header"/>
    </w:pPr>
    <w:r>
      <w:rPr>
        <w:noProof/>
      </w:rPr>
      <w:drawing>
        <wp:inline distT="0" distB="0" distL="0" distR="0" wp14:anchorId="5D4BC3F3" wp14:editId="3EA91B9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53369155">
    <w:abstractNumId w:val="9"/>
  </w:num>
  <w:num w:numId="2" w16cid:durableId="59909974">
    <w:abstractNumId w:val="7"/>
  </w:num>
  <w:num w:numId="3" w16cid:durableId="1605917083">
    <w:abstractNumId w:val="6"/>
  </w:num>
  <w:num w:numId="4" w16cid:durableId="132866953">
    <w:abstractNumId w:val="5"/>
  </w:num>
  <w:num w:numId="5" w16cid:durableId="1218278398">
    <w:abstractNumId w:val="4"/>
  </w:num>
  <w:num w:numId="6" w16cid:durableId="675183418">
    <w:abstractNumId w:val="8"/>
  </w:num>
  <w:num w:numId="7" w16cid:durableId="1757625595">
    <w:abstractNumId w:val="3"/>
  </w:num>
  <w:num w:numId="8" w16cid:durableId="616525893">
    <w:abstractNumId w:val="2"/>
  </w:num>
  <w:num w:numId="9" w16cid:durableId="487598879">
    <w:abstractNumId w:val="1"/>
  </w:num>
  <w:num w:numId="10" w16cid:durableId="1145701042">
    <w:abstractNumId w:val="0"/>
  </w:num>
  <w:num w:numId="11" w16cid:durableId="13591152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17"/>
    <w:rsid w:val="000116AF"/>
    <w:rsid w:val="00021A17"/>
    <w:rsid w:val="00030123"/>
    <w:rsid w:val="0006468A"/>
    <w:rsid w:val="00077A58"/>
    <w:rsid w:val="00080BE7"/>
    <w:rsid w:val="00090574"/>
    <w:rsid w:val="000C1C0E"/>
    <w:rsid w:val="000C548A"/>
    <w:rsid w:val="00191059"/>
    <w:rsid w:val="001A3E13"/>
    <w:rsid w:val="001B6E2B"/>
    <w:rsid w:val="001C0169"/>
    <w:rsid w:val="001C0C21"/>
    <w:rsid w:val="001D1D50"/>
    <w:rsid w:val="001D64C7"/>
    <w:rsid w:val="001D6745"/>
    <w:rsid w:val="001E446E"/>
    <w:rsid w:val="001F54B1"/>
    <w:rsid w:val="002154EE"/>
    <w:rsid w:val="002276D2"/>
    <w:rsid w:val="0023283D"/>
    <w:rsid w:val="00254393"/>
    <w:rsid w:val="0026373E"/>
    <w:rsid w:val="00271C43"/>
    <w:rsid w:val="002864DE"/>
    <w:rsid w:val="00290728"/>
    <w:rsid w:val="002978F4"/>
    <w:rsid w:val="002B028D"/>
    <w:rsid w:val="002C3F32"/>
    <w:rsid w:val="002E6541"/>
    <w:rsid w:val="0031365F"/>
    <w:rsid w:val="0031525B"/>
    <w:rsid w:val="003315EB"/>
    <w:rsid w:val="00334924"/>
    <w:rsid w:val="003409BC"/>
    <w:rsid w:val="00357185"/>
    <w:rsid w:val="00367233"/>
    <w:rsid w:val="00383829"/>
    <w:rsid w:val="003B362E"/>
    <w:rsid w:val="003D270D"/>
    <w:rsid w:val="003F4B29"/>
    <w:rsid w:val="00410B26"/>
    <w:rsid w:val="00415527"/>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349B2"/>
    <w:rsid w:val="005409AC"/>
    <w:rsid w:val="005434E0"/>
    <w:rsid w:val="005546CF"/>
    <w:rsid w:val="0055516A"/>
    <w:rsid w:val="0058491B"/>
    <w:rsid w:val="00592EA5"/>
    <w:rsid w:val="005A3170"/>
    <w:rsid w:val="005D6ED3"/>
    <w:rsid w:val="005E30B0"/>
    <w:rsid w:val="00657019"/>
    <w:rsid w:val="00660DEA"/>
    <w:rsid w:val="00677396"/>
    <w:rsid w:val="00683F16"/>
    <w:rsid w:val="0069200F"/>
    <w:rsid w:val="006A47B1"/>
    <w:rsid w:val="006A65CB"/>
    <w:rsid w:val="006B12E5"/>
    <w:rsid w:val="006C3242"/>
    <w:rsid w:val="006C7CC0"/>
    <w:rsid w:val="006F363C"/>
    <w:rsid w:val="006F63F7"/>
    <w:rsid w:val="007025C7"/>
    <w:rsid w:val="00706D7A"/>
    <w:rsid w:val="00722F0D"/>
    <w:rsid w:val="00735081"/>
    <w:rsid w:val="0074420E"/>
    <w:rsid w:val="0075527A"/>
    <w:rsid w:val="007648A6"/>
    <w:rsid w:val="0077110E"/>
    <w:rsid w:val="00783E26"/>
    <w:rsid w:val="007A6684"/>
    <w:rsid w:val="007B0AA0"/>
    <w:rsid w:val="007C3BC7"/>
    <w:rsid w:val="007C3BCD"/>
    <w:rsid w:val="007D4ACF"/>
    <w:rsid w:val="007F0787"/>
    <w:rsid w:val="00807B17"/>
    <w:rsid w:val="00810B7B"/>
    <w:rsid w:val="0082353E"/>
    <w:rsid w:val="0082358A"/>
    <w:rsid w:val="008235CD"/>
    <w:rsid w:val="008247DE"/>
    <w:rsid w:val="008339C0"/>
    <w:rsid w:val="00840B10"/>
    <w:rsid w:val="008513CB"/>
    <w:rsid w:val="00855B97"/>
    <w:rsid w:val="00874E9F"/>
    <w:rsid w:val="008A7F84"/>
    <w:rsid w:val="008B39AA"/>
    <w:rsid w:val="0091702E"/>
    <w:rsid w:val="00923B0C"/>
    <w:rsid w:val="00924F46"/>
    <w:rsid w:val="00935AAC"/>
    <w:rsid w:val="0093725D"/>
    <w:rsid w:val="0094021C"/>
    <w:rsid w:val="00952F86"/>
    <w:rsid w:val="0096716C"/>
    <w:rsid w:val="00982B28"/>
    <w:rsid w:val="009868AC"/>
    <w:rsid w:val="009A63D7"/>
    <w:rsid w:val="009D313F"/>
    <w:rsid w:val="009E4B19"/>
    <w:rsid w:val="00A47A5A"/>
    <w:rsid w:val="00A63AE6"/>
    <w:rsid w:val="00A6683B"/>
    <w:rsid w:val="00A67F05"/>
    <w:rsid w:val="00A97F94"/>
    <w:rsid w:val="00AA7EA2"/>
    <w:rsid w:val="00AB5A56"/>
    <w:rsid w:val="00B03099"/>
    <w:rsid w:val="00B04878"/>
    <w:rsid w:val="00B05BC8"/>
    <w:rsid w:val="00B30F5E"/>
    <w:rsid w:val="00B64B47"/>
    <w:rsid w:val="00B869BF"/>
    <w:rsid w:val="00B95654"/>
    <w:rsid w:val="00B97F32"/>
    <w:rsid w:val="00BA04B2"/>
    <w:rsid w:val="00C002DE"/>
    <w:rsid w:val="00C0602B"/>
    <w:rsid w:val="00C21FBE"/>
    <w:rsid w:val="00C224DA"/>
    <w:rsid w:val="00C53BF8"/>
    <w:rsid w:val="00C61B32"/>
    <w:rsid w:val="00C66157"/>
    <w:rsid w:val="00C674FE"/>
    <w:rsid w:val="00C67501"/>
    <w:rsid w:val="00C75633"/>
    <w:rsid w:val="00CB4CA1"/>
    <w:rsid w:val="00CE2EE1"/>
    <w:rsid w:val="00CE3349"/>
    <w:rsid w:val="00CE36E5"/>
    <w:rsid w:val="00CE4360"/>
    <w:rsid w:val="00CF27F5"/>
    <w:rsid w:val="00CF3FFD"/>
    <w:rsid w:val="00D10CCF"/>
    <w:rsid w:val="00D13941"/>
    <w:rsid w:val="00D23F5F"/>
    <w:rsid w:val="00D43F7D"/>
    <w:rsid w:val="00D63735"/>
    <w:rsid w:val="00D77D0F"/>
    <w:rsid w:val="00DA1CF0"/>
    <w:rsid w:val="00DA420F"/>
    <w:rsid w:val="00DA6A30"/>
    <w:rsid w:val="00DC1E02"/>
    <w:rsid w:val="00DC24B4"/>
    <w:rsid w:val="00DC5FB0"/>
    <w:rsid w:val="00DF16DC"/>
    <w:rsid w:val="00E45211"/>
    <w:rsid w:val="00E473C5"/>
    <w:rsid w:val="00E61BE8"/>
    <w:rsid w:val="00E83FF1"/>
    <w:rsid w:val="00E92863"/>
    <w:rsid w:val="00E94A08"/>
    <w:rsid w:val="00E979B2"/>
    <w:rsid w:val="00EB796D"/>
    <w:rsid w:val="00F058DC"/>
    <w:rsid w:val="00F24FC4"/>
    <w:rsid w:val="00F2676C"/>
    <w:rsid w:val="00F363FE"/>
    <w:rsid w:val="00F442B9"/>
    <w:rsid w:val="00F50E3F"/>
    <w:rsid w:val="00F52486"/>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78C6"/>
  <w15:chartTrackingRefBased/>
  <w15:docId w15:val="{02F79A7E-4A6D-452D-BFDA-64F97774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DA420F"/>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42/" TargetMode="External"/><Relationship Id="rId13" Type="http://schemas.openxmlformats.org/officeDocument/2006/relationships/hyperlink" Target="https://www.itu.int/md/S26-CL-C-004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6-CL-C-004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hana.gulati@itu.int" TargetMode="External"/><Relationship Id="rId5" Type="http://schemas.openxmlformats.org/officeDocument/2006/relationships/webSettings" Target="webSettings.xml"/><Relationship Id="rId15" Type="http://schemas.openxmlformats.org/officeDocument/2006/relationships/hyperlink" Target="https://www.itu.int/md/S26-CL-C-0042/" TargetMode="External"/><Relationship Id="rId10" Type="http://schemas.openxmlformats.org/officeDocument/2006/relationships/hyperlink" Target="mailto:bessou.regina@artci.c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itu.int/md/S26-CL-C-004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4684</Characters>
  <Application>Microsoft Office Word</Application>
  <DocSecurity>0</DocSecurity>
  <Lines>106</Lines>
  <Paragraphs>50</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statement on proposed allocation of funds to support the implementation of WTDC-25 Regional Initiatives</dc:title>
  <dc:subject>ITU Council 2026</dc:subject>
  <dc:creator>GBS</dc:creator>
  <cp:keywords>C26; C2026; Council 2026; PP26</cp:keywords>
  <dc:description/>
  <cp:lastModifiedBy>GBS</cp:lastModifiedBy>
  <cp:revision>3</cp:revision>
  <dcterms:created xsi:type="dcterms:W3CDTF">2026-04-28T19:25:00Z</dcterms:created>
  <dcterms:modified xsi:type="dcterms:W3CDTF">2026-04-28T19:25:00Z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