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BB6FD8" w14:paraId="47161669" w14:textId="77777777" w:rsidTr="00C4421B">
        <w:trPr>
          <w:cantSplit/>
          <w:trHeight w:val="23"/>
        </w:trPr>
        <w:tc>
          <w:tcPr>
            <w:tcW w:w="3969" w:type="dxa"/>
            <w:vMerge w:val="restart"/>
            <w:tcMar>
              <w:left w:w="0" w:type="dxa"/>
            </w:tcMar>
          </w:tcPr>
          <w:p w14:paraId="3ABBD885" w14:textId="5287206A" w:rsidR="00FE57F6" w:rsidRPr="00F32A9F" w:rsidRDefault="00CC1FAF" w:rsidP="00C4421B">
            <w:pPr>
              <w:tabs>
                <w:tab w:val="left" w:pos="851"/>
              </w:tabs>
              <w:spacing w:before="0" w:line="240" w:lineRule="atLeast"/>
              <w:rPr>
                <w:b/>
                <w:lang w:val="es-ES"/>
              </w:rPr>
            </w:pPr>
            <w:bookmarkStart w:id="0" w:name="_Hlk133421839"/>
            <w:r w:rsidRPr="00F32A9F">
              <w:rPr>
                <w:b/>
                <w:lang w:val="es-ES"/>
              </w:rPr>
              <w:t>Punto del o</w:t>
            </w:r>
            <w:r w:rsidR="00BB6FD8" w:rsidRPr="00F32A9F">
              <w:rPr>
                <w:b/>
                <w:lang w:val="es-ES"/>
              </w:rPr>
              <w:t>rden del día</w:t>
            </w:r>
            <w:r w:rsidR="00FE57F6" w:rsidRPr="00F32A9F">
              <w:rPr>
                <w:b/>
                <w:lang w:val="es-ES"/>
              </w:rPr>
              <w:t xml:space="preserve">: </w:t>
            </w:r>
            <w:r w:rsidR="00F32A9F" w:rsidRPr="00F32A9F">
              <w:rPr>
                <w:b/>
                <w:lang w:val="es-ES"/>
              </w:rPr>
              <w:t>P</w:t>
            </w:r>
            <w:r w:rsidR="00F32A9F">
              <w:rPr>
                <w:b/>
                <w:lang w:val="es-ES"/>
              </w:rPr>
              <w:t>L-2</w:t>
            </w:r>
          </w:p>
        </w:tc>
        <w:tc>
          <w:tcPr>
            <w:tcW w:w="5245" w:type="dxa"/>
          </w:tcPr>
          <w:p w14:paraId="536E3C8F" w14:textId="2CCD2F50" w:rsidR="00FE57F6" w:rsidRPr="00BB6FD8" w:rsidRDefault="00FE57F6" w:rsidP="00C4421B">
            <w:pPr>
              <w:tabs>
                <w:tab w:val="left" w:pos="851"/>
              </w:tabs>
              <w:spacing w:before="0" w:line="240" w:lineRule="atLeast"/>
              <w:jc w:val="right"/>
              <w:rPr>
                <w:b/>
              </w:rPr>
            </w:pPr>
            <w:r w:rsidRPr="00BB6FD8">
              <w:rPr>
                <w:b/>
              </w:rPr>
              <w:t>Document</w:t>
            </w:r>
            <w:r w:rsidR="00F24B71" w:rsidRPr="00BB6FD8">
              <w:rPr>
                <w:b/>
              </w:rPr>
              <w:t>o</w:t>
            </w:r>
            <w:r w:rsidRPr="00BB6FD8">
              <w:rPr>
                <w:b/>
              </w:rPr>
              <w:t xml:space="preserve"> C2</w:t>
            </w:r>
            <w:r w:rsidR="00F85E5C">
              <w:rPr>
                <w:b/>
              </w:rPr>
              <w:t>6</w:t>
            </w:r>
            <w:r w:rsidRPr="00BB6FD8">
              <w:rPr>
                <w:b/>
              </w:rPr>
              <w:t>/</w:t>
            </w:r>
            <w:r w:rsidR="00F32A9F">
              <w:rPr>
                <w:b/>
              </w:rPr>
              <w:t>108</w:t>
            </w:r>
            <w:r w:rsidRPr="00BB6FD8">
              <w:rPr>
                <w:b/>
              </w:rPr>
              <w:t>-</w:t>
            </w:r>
            <w:r w:rsidR="00F24B71" w:rsidRPr="00BB6FD8">
              <w:rPr>
                <w:b/>
              </w:rPr>
              <w:t>S</w:t>
            </w:r>
          </w:p>
        </w:tc>
      </w:tr>
      <w:tr w:rsidR="00FE57F6" w:rsidRPr="00666D09" w14:paraId="33FE65A5" w14:textId="77777777" w:rsidTr="00C4421B">
        <w:trPr>
          <w:cantSplit/>
        </w:trPr>
        <w:tc>
          <w:tcPr>
            <w:tcW w:w="3969" w:type="dxa"/>
            <w:vMerge/>
          </w:tcPr>
          <w:p w14:paraId="35669987" w14:textId="77777777" w:rsidR="00FE57F6" w:rsidRPr="00BB6FD8" w:rsidRDefault="00FE57F6" w:rsidP="00C4421B">
            <w:pPr>
              <w:tabs>
                <w:tab w:val="left" w:pos="851"/>
              </w:tabs>
              <w:spacing w:line="240" w:lineRule="atLeast"/>
              <w:rPr>
                <w:b/>
              </w:rPr>
            </w:pPr>
          </w:p>
        </w:tc>
        <w:tc>
          <w:tcPr>
            <w:tcW w:w="5245" w:type="dxa"/>
          </w:tcPr>
          <w:p w14:paraId="3C1CB2A6" w14:textId="49615414" w:rsidR="00FE57F6" w:rsidRPr="00666D09" w:rsidRDefault="00F32A9F" w:rsidP="00C4421B">
            <w:pPr>
              <w:tabs>
                <w:tab w:val="left" w:pos="851"/>
              </w:tabs>
              <w:spacing w:before="0"/>
              <w:jc w:val="right"/>
              <w:rPr>
                <w:b/>
                <w:lang w:val="en-GB"/>
              </w:rPr>
            </w:pPr>
            <w:r>
              <w:rPr>
                <w:b/>
                <w:lang w:val="es-ES"/>
              </w:rPr>
              <w:t>1 de abril de 2026</w:t>
            </w:r>
          </w:p>
        </w:tc>
      </w:tr>
      <w:tr w:rsidR="00FE57F6" w:rsidRPr="00BB6FD8" w14:paraId="20D75C61" w14:textId="77777777" w:rsidTr="00C4421B">
        <w:trPr>
          <w:cantSplit/>
          <w:trHeight w:val="23"/>
        </w:trPr>
        <w:tc>
          <w:tcPr>
            <w:tcW w:w="3969" w:type="dxa"/>
            <w:vMerge/>
          </w:tcPr>
          <w:p w14:paraId="418E2E87" w14:textId="77777777" w:rsidR="00FE57F6" w:rsidRPr="00666D09" w:rsidRDefault="00FE57F6" w:rsidP="00C4421B">
            <w:pPr>
              <w:tabs>
                <w:tab w:val="left" w:pos="851"/>
              </w:tabs>
              <w:spacing w:line="240" w:lineRule="atLeast"/>
              <w:rPr>
                <w:b/>
                <w:lang w:val="en-GB"/>
              </w:rPr>
            </w:pPr>
          </w:p>
        </w:tc>
        <w:tc>
          <w:tcPr>
            <w:tcW w:w="5245" w:type="dxa"/>
          </w:tcPr>
          <w:p w14:paraId="069BC4BE" w14:textId="77777777" w:rsidR="00FE57F6" w:rsidRPr="00BB6FD8" w:rsidRDefault="00F24B71" w:rsidP="00C4421B">
            <w:pPr>
              <w:tabs>
                <w:tab w:val="left" w:pos="851"/>
              </w:tabs>
              <w:spacing w:before="0" w:line="240" w:lineRule="atLeast"/>
              <w:jc w:val="right"/>
              <w:rPr>
                <w:b/>
                <w:bCs/>
              </w:rPr>
            </w:pPr>
            <w:r w:rsidRPr="00BB6FD8">
              <w:rPr>
                <w:rFonts w:cstheme="minorHAnsi"/>
                <w:b/>
                <w:bCs/>
              </w:rPr>
              <w:t>Original: inglés</w:t>
            </w:r>
          </w:p>
        </w:tc>
      </w:tr>
      <w:tr w:rsidR="00FE57F6" w:rsidRPr="00BB6FD8" w14:paraId="11E0E2F4" w14:textId="77777777" w:rsidTr="00C4421B">
        <w:trPr>
          <w:cantSplit/>
          <w:trHeight w:val="23"/>
        </w:trPr>
        <w:tc>
          <w:tcPr>
            <w:tcW w:w="3969" w:type="dxa"/>
          </w:tcPr>
          <w:p w14:paraId="00FFC74A" w14:textId="77777777" w:rsidR="00FE57F6" w:rsidRPr="00BB6FD8" w:rsidRDefault="00FE57F6" w:rsidP="00C4421B">
            <w:pPr>
              <w:tabs>
                <w:tab w:val="left" w:pos="851"/>
              </w:tabs>
              <w:spacing w:line="240" w:lineRule="atLeast"/>
              <w:rPr>
                <w:b/>
              </w:rPr>
            </w:pPr>
          </w:p>
        </w:tc>
        <w:tc>
          <w:tcPr>
            <w:tcW w:w="5245" w:type="dxa"/>
          </w:tcPr>
          <w:p w14:paraId="6F8D1163" w14:textId="77777777" w:rsidR="00FE57F6" w:rsidRPr="00BB6FD8" w:rsidRDefault="00FE57F6" w:rsidP="00C4421B">
            <w:pPr>
              <w:tabs>
                <w:tab w:val="left" w:pos="851"/>
              </w:tabs>
              <w:spacing w:before="0" w:line="240" w:lineRule="atLeast"/>
              <w:jc w:val="right"/>
              <w:rPr>
                <w:b/>
              </w:rPr>
            </w:pPr>
          </w:p>
        </w:tc>
      </w:tr>
      <w:tr w:rsidR="00FE57F6" w:rsidRPr="00763A13" w14:paraId="7A63779A" w14:textId="77777777" w:rsidTr="00C4421B">
        <w:trPr>
          <w:cantSplit/>
        </w:trPr>
        <w:tc>
          <w:tcPr>
            <w:tcW w:w="9214" w:type="dxa"/>
            <w:gridSpan w:val="2"/>
            <w:tcMar>
              <w:left w:w="0" w:type="dxa"/>
            </w:tcMar>
          </w:tcPr>
          <w:p w14:paraId="7B6F5D83" w14:textId="5710FCDD" w:rsidR="00FE57F6" w:rsidRPr="008C0496" w:rsidRDefault="00F32A9F" w:rsidP="00C4421B">
            <w:pPr>
              <w:pStyle w:val="Source"/>
              <w:jc w:val="left"/>
              <w:rPr>
                <w:sz w:val="32"/>
                <w:szCs w:val="32"/>
                <w:lang w:val="es-ES"/>
              </w:rPr>
            </w:pPr>
            <w:r w:rsidRPr="008C0496">
              <w:rPr>
                <w:rFonts w:cstheme="minorHAnsi"/>
                <w:sz w:val="32"/>
                <w:szCs w:val="32"/>
                <w:lang w:val="es-ES"/>
              </w:rPr>
              <w:t>Presidenta del Grupo Asesor de Desarrollo</w:t>
            </w:r>
            <w:r w:rsidRPr="008C0496">
              <w:rPr>
                <w:rFonts w:cstheme="minorHAnsi"/>
                <w:sz w:val="32"/>
                <w:szCs w:val="32"/>
                <w:lang w:val="es-ES"/>
              </w:rPr>
              <w:br/>
              <w:t>de las Telecomunicaciones (GADT)</w:t>
            </w:r>
          </w:p>
        </w:tc>
      </w:tr>
      <w:tr w:rsidR="00FE57F6" w:rsidRPr="00763A13" w14:paraId="213EC062" w14:textId="77777777" w:rsidTr="00C4421B">
        <w:trPr>
          <w:cantSplit/>
        </w:trPr>
        <w:tc>
          <w:tcPr>
            <w:tcW w:w="9214" w:type="dxa"/>
            <w:gridSpan w:val="2"/>
            <w:tcMar>
              <w:left w:w="0" w:type="dxa"/>
            </w:tcMar>
          </w:tcPr>
          <w:p w14:paraId="54F04974" w14:textId="2C06A3BF" w:rsidR="00FE57F6" w:rsidRPr="008C0496" w:rsidRDefault="006D2458" w:rsidP="00C4421B">
            <w:pPr>
              <w:pStyle w:val="Subtitle"/>
              <w:framePr w:hSpace="0" w:wrap="auto" w:hAnchor="text" w:xAlign="left" w:yAlign="inline"/>
              <w:rPr>
                <w:sz w:val="32"/>
                <w:szCs w:val="32"/>
                <w:lang w:val="es-ES"/>
              </w:rPr>
            </w:pPr>
            <w:r w:rsidRPr="008C0496">
              <w:rPr>
                <w:sz w:val="32"/>
                <w:szCs w:val="32"/>
                <w:lang w:val="es-ES"/>
              </w:rPr>
              <w:t>DECLARACIÓN DE COORDINACIÓN AL CONSEJO DE 2026</w:t>
            </w:r>
            <w:r>
              <w:rPr>
                <w:sz w:val="32"/>
                <w:szCs w:val="32"/>
                <w:lang w:val="es-ES"/>
              </w:rPr>
              <w:t xml:space="preserve"> </w:t>
            </w:r>
            <w:r w:rsidRPr="008C0496">
              <w:rPr>
                <w:sz w:val="32"/>
                <w:szCs w:val="32"/>
                <w:lang w:val="es-ES"/>
              </w:rPr>
              <w:t xml:space="preserve">SOBRE </w:t>
            </w:r>
            <w:r>
              <w:rPr>
                <w:sz w:val="32"/>
                <w:szCs w:val="32"/>
                <w:lang w:val="es-ES"/>
              </w:rPr>
              <w:br/>
            </w:r>
            <w:r w:rsidRPr="008C0496">
              <w:rPr>
                <w:sz w:val="32"/>
                <w:szCs w:val="32"/>
                <w:lang w:val="es-ES"/>
              </w:rPr>
              <w:t xml:space="preserve">EL INFORME RELATIVO AL EXAMEN DE LA PRESENCIA REGIONAL </w:t>
            </w:r>
            <w:r>
              <w:rPr>
                <w:sz w:val="32"/>
                <w:szCs w:val="32"/>
                <w:lang w:val="es-ES"/>
              </w:rPr>
              <w:br/>
            </w:r>
            <w:r w:rsidRPr="008C0496">
              <w:rPr>
                <w:sz w:val="32"/>
                <w:szCs w:val="32"/>
                <w:lang w:val="es-ES"/>
              </w:rPr>
              <w:t>DE LA UIT</w:t>
            </w:r>
          </w:p>
        </w:tc>
      </w:tr>
      <w:tr w:rsidR="00FE57F6" w:rsidRPr="00763A13" w14:paraId="21A79EFF" w14:textId="77777777" w:rsidTr="00C4421B">
        <w:trPr>
          <w:cantSplit/>
        </w:trPr>
        <w:tc>
          <w:tcPr>
            <w:tcW w:w="9214" w:type="dxa"/>
            <w:gridSpan w:val="2"/>
            <w:tcBorders>
              <w:top w:val="single" w:sz="4" w:space="0" w:color="auto"/>
              <w:bottom w:val="single" w:sz="4" w:space="0" w:color="auto"/>
            </w:tcBorders>
            <w:tcMar>
              <w:left w:w="0" w:type="dxa"/>
            </w:tcMar>
          </w:tcPr>
          <w:p w14:paraId="7F672FE3" w14:textId="77777777" w:rsidR="00FE57F6" w:rsidRPr="00CC1FAF" w:rsidRDefault="00F24B71" w:rsidP="00C4421B">
            <w:pPr>
              <w:spacing w:before="160"/>
              <w:rPr>
                <w:b/>
                <w:bCs/>
                <w:sz w:val="26"/>
                <w:szCs w:val="26"/>
                <w:lang w:val="es-ES"/>
              </w:rPr>
            </w:pPr>
            <w:r w:rsidRPr="00CC1FAF">
              <w:rPr>
                <w:b/>
                <w:bCs/>
                <w:sz w:val="26"/>
                <w:szCs w:val="26"/>
                <w:lang w:val="es-ES"/>
              </w:rPr>
              <w:t>Finalidad</w:t>
            </w:r>
          </w:p>
          <w:p w14:paraId="34A511D3" w14:textId="0FC068FD" w:rsidR="00FE57F6" w:rsidRPr="00CC1FAF" w:rsidRDefault="00F32A9F" w:rsidP="008C0496">
            <w:pPr>
              <w:jc w:val="both"/>
              <w:rPr>
                <w:lang w:val="es-ES"/>
              </w:rPr>
            </w:pPr>
            <w:r w:rsidRPr="00F32A9F">
              <w:rPr>
                <w:lang w:val="es-ES"/>
              </w:rPr>
              <w:t>En esta declaración de coordinación se informa sobre la apreciación del GADT respecto de la labor de la BDT sobre el examen de la presencia regional de la UIT. El GADT respaldó la función esencial que desempeñan las Oficinas Regionales y Zonales para cumplir el Plan Estratégico de la UIT y el Plan de Acción del UIT-D, en apoyo de los Estados Miembros, la participación inclusiva y las iniciativas regionales, y reconoció el elevado nivel de satisfacción comunicado con la capacidad de respuesta y la eficacia de la UIT. Asimismo, el GADT observó las oportunidades de mejora identificadas e invitó al Consejo a seguir examinando las conclusiones detalladas y a tomar medidas concretas al respecto.</w:t>
            </w:r>
          </w:p>
          <w:p w14:paraId="3BA996F5" w14:textId="77777777" w:rsidR="00FE57F6" w:rsidRPr="00CC1FAF" w:rsidRDefault="00F24B71" w:rsidP="00C4421B">
            <w:pPr>
              <w:spacing w:before="160"/>
              <w:rPr>
                <w:b/>
                <w:bCs/>
                <w:sz w:val="26"/>
                <w:szCs w:val="26"/>
                <w:lang w:val="es-ES"/>
              </w:rPr>
            </w:pPr>
            <w:r w:rsidRPr="00CC1FAF">
              <w:rPr>
                <w:b/>
                <w:bCs/>
                <w:sz w:val="26"/>
                <w:szCs w:val="26"/>
                <w:lang w:val="es-ES"/>
              </w:rPr>
              <w:t xml:space="preserve">Acción solicitada </w:t>
            </w:r>
            <w:r w:rsidR="00677A97" w:rsidRPr="00CC1FAF">
              <w:rPr>
                <w:b/>
                <w:bCs/>
                <w:sz w:val="26"/>
                <w:szCs w:val="26"/>
                <w:lang w:val="es-ES"/>
              </w:rPr>
              <w:t>al</w:t>
            </w:r>
            <w:r w:rsidRPr="00CC1FAF">
              <w:rPr>
                <w:b/>
                <w:bCs/>
                <w:sz w:val="26"/>
                <w:szCs w:val="26"/>
                <w:lang w:val="es-ES"/>
              </w:rPr>
              <w:t xml:space="preserve"> Consejo</w:t>
            </w:r>
          </w:p>
          <w:p w14:paraId="7410FD88" w14:textId="3853E09E" w:rsidR="00F92BED" w:rsidRPr="00F92BED" w:rsidRDefault="00F32A9F" w:rsidP="00C4421B">
            <w:pPr>
              <w:spacing w:before="160"/>
              <w:rPr>
                <w:szCs w:val="24"/>
                <w:lang w:val="es-ES"/>
              </w:rPr>
            </w:pPr>
            <w:r w:rsidRPr="00F32A9F">
              <w:rPr>
                <w:szCs w:val="24"/>
                <w:lang w:val="es-ES"/>
              </w:rPr>
              <w:t xml:space="preserve">Se solicita al Consejo que </w:t>
            </w:r>
            <w:r w:rsidRPr="00F32A9F">
              <w:rPr>
                <w:b/>
                <w:bCs/>
                <w:szCs w:val="24"/>
                <w:lang w:val="es-ES"/>
              </w:rPr>
              <w:t>tome medidas apropiadas</w:t>
            </w:r>
            <w:r w:rsidRPr="00F32A9F">
              <w:rPr>
                <w:szCs w:val="24"/>
                <w:lang w:val="es-ES"/>
              </w:rPr>
              <w:t>.</w:t>
            </w:r>
          </w:p>
          <w:p w14:paraId="75E343C9" w14:textId="77777777" w:rsidR="00FE57F6" w:rsidRPr="00F32A9F" w:rsidRDefault="00FE57F6" w:rsidP="00C4421B">
            <w:pPr>
              <w:spacing w:before="160"/>
              <w:rPr>
                <w:caps/>
                <w:sz w:val="22"/>
                <w:lang w:val="es-ES"/>
              </w:rPr>
            </w:pPr>
            <w:r w:rsidRPr="00F32A9F">
              <w:rPr>
                <w:sz w:val="22"/>
                <w:lang w:val="es-ES"/>
              </w:rPr>
              <w:t>__________________</w:t>
            </w:r>
          </w:p>
          <w:p w14:paraId="2AAC6F08" w14:textId="77777777" w:rsidR="00FE57F6" w:rsidRPr="00F32A9F" w:rsidRDefault="00F24B71" w:rsidP="00C4421B">
            <w:pPr>
              <w:spacing w:before="160"/>
              <w:rPr>
                <w:b/>
                <w:bCs/>
                <w:sz w:val="26"/>
                <w:szCs w:val="26"/>
                <w:lang w:val="es-ES"/>
              </w:rPr>
            </w:pPr>
            <w:r w:rsidRPr="00F32A9F">
              <w:rPr>
                <w:b/>
                <w:bCs/>
                <w:sz w:val="26"/>
                <w:szCs w:val="26"/>
                <w:lang w:val="es-ES"/>
              </w:rPr>
              <w:t>Referencia</w:t>
            </w:r>
            <w:r w:rsidR="00F92BED" w:rsidRPr="00F32A9F">
              <w:rPr>
                <w:b/>
                <w:bCs/>
                <w:sz w:val="26"/>
                <w:szCs w:val="26"/>
                <w:lang w:val="es-ES"/>
              </w:rPr>
              <w:t>s</w:t>
            </w:r>
            <w:r w:rsidR="00D375E0" w:rsidRPr="00F32A9F">
              <w:rPr>
                <w:sz w:val="26"/>
                <w:szCs w:val="26"/>
                <w:lang w:val="es-ES"/>
              </w:rPr>
              <w:t xml:space="preserve"> </w:t>
            </w:r>
          </w:p>
          <w:p w14:paraId="342C46DF" w14:textId="02A5D3BC" w:rsidR="00FE57F6" w:rsidRPr="00F32A9F" w:rsidRDefault="00F32A9F" w:rsidP="00C4421B">
            <w:pPr>
              <w:spacing w:after="160"/>
              <w:rPr>
                <w:i/>
                <w:iCs/>
                <w:sz w:val="22"/>
                <w:szCs w:val="22"/>
                <w:lang w:val="es-ES"/>
              </w:rPr>
            </w:pPr>
            <w:r w:rsidRPr="00F32A9F">
              <w:rPr>
                <w:i/>
                <w:iCs/>
                <w:sz w:val="22"/>
                <w:szCs w:val="22"/>
                <w:lang w:val="es-ES"/>
              </w:rPr>
              <w:t xml:space="preserve">Documentos </w:t>
            </w:r>
            <w:hyperlink r:id="rId6" w:history="1">
              <w:proofErr w:type="spellStart"/>
              <w:r w:rsidRPr="00F32A9F">
                <w:rPr>
                  <w:rStyle w:val="Hyperlink"/>
                  <w:rFonts w:eastAsia="Times New Roman" w:cs="Times New Roman"/>
                  <w:i/>
                  <w:iCs/>
                  <w:sz w:val="22"/>
                  <w:lang w:val="es-ES"/>
                </w:rPr>
                <w:t>TDAG</w:t>
              </w:r>
              <w:proofErr w:type="spellEnd"/>
              <w:r w:rsidRPr="00F32A9F">
                <w:rPr>
                  <w:rStyle w:val="Hyperlink"/>
                  <w:rFonts w:eastAsia="Times New Roman" w:cs="Times New Roman"/>
                  <w:i/>
                  <w:iCs/>
                  <w:sz w:val="22"/>
                  <w:lang w:val="es-ES"/>
                </w:rPr>
                <w:t>-26/INF/9</w:t>
              </w:r>
            </w:hyperlink>
            <w:r w:rsidRPr="00F32A9F">
              <w:rPr>
                <w:i/>
                <w:iCs/>
                <w:sz w:val="22"/>
                <w:szCs w:val="22"/>
                <w:lang w:val="es-ES"/>
              </w:rPr>
              <w:t xml:space="preserve"> y </w:t>
            </w:r>
            <w:hyperlink r:id="rId7" w:history="1">
              <w:proofErr w:type="spellStart"/>
              <w:r w:rsidRPr="00F32A9F">
                <w:rPr>
                  <w:rStyle w:val="Hyperlink"/>
                  <w:rFonts w:eastAsia="Times New Roman" w:cs="Times New Roman"/>
                  <w:i/>
                  <w:iCs/>
                  <w:sz w:val="22"/>
                  <w:lang w:val="es-ES"/>
                </w:rPr>
                <w:t>TDAG</w:t>
              </w:r>
              <w:proofErr w:type="spellEnd"/>
              <w:r w:rsidRPr="00F32A9F">
                <w:rPr>
                  <w:rStyle w:val="Hyperlink"/>
                  <w:rFonts w:eastAsia="Times New Roman" w:cs="Times New Roman"/>
                  <w:i/>
                  <w:iCs/>
                  <w:sz w:val="22"/>
                  <w:lang w:val="es-ES"/>
                </w:rPr>
                <w:t>-26/16</w:t>
              </w:r>
            </w:hyperlink>
          </w:p>
        </w:tc>
      </w:tr>
      <w:bookmarkEnd w:id="0"/>
    </w:tbl>
    <w:p w14:paraId="368B6924" w14:textId="77777777" w:rsidR="00093EEB" w:rsidRPr="00F32A9F" w:rsidRDefault="00093EEB">
      <w:pPr>
        <w:rPr>
          <w:lang w:val="es-ES"/>
        </w:rPr>
      </w:pPr>
    </w:p>
    <w:p w14:paraId="1D4D4F04" w14:textId="77777777" w:rsidR="001559F5" w:rsidRPr="00F32A9F"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F32A9F">
        <w:rPr>
          <w:lang w:val="es-ES"/>
        </w:rPr>
        <w:br w:type="page"/>
      </w:r>
    </w:p>
    <w:tbl>
      <w:tblPr>
        <w:tblpPr w:leftFromText="180" w:rightFromText="180" w:horzAnchor="margin" w:tblpY="-525"/>
        <w:tblW w:w="10035" w:type="dxa"/>
        <w:tblLayout w:type="fixed"/>
        <w:tblLook w:val="04A0" w:firstRow="1" w:lastRow="0" w:firstColumn="1" w:lastColumn="0" w:noHBand="0" w:noVBand="1"/>
      </w:tblPr>
      <w:tblGrid>
        <w:gridCol w:w="1276"/>
        <w:gridCol w:w="1276"/>
        <w:gridCol w:w="2126"/>
        <w:gridCol w:w="1561"/>
        <w:gridCol w:w="3796"/>
      </w:tblGrid>
      <w:tr w:rsidR="00F32A9F" w14:paraId="0098A1E3" w14:textId="77777777" w:rsidTr="006E2011">
        <w:trPr>
          <w:cantSplit/>
          <w:trHeight w:val="1134"/>
        </w:trPr>
        <w:tc>
          <w:tcPr>
            <w:tcW w:w="6239" w:type="dxa"/>
            <w:gridSpan w:val="4"/>
            <w:hideMark/>
          </w:tcPr>
          <w:p w14:paraId="45F63BAC" w14:textId="4DABF3DE" w:rsidR="00F32A9F" w:rsidRPr="006E2011" w:rsidRDefault="00F32A9F" w:rsidP="006E2011">
            <w:pPr>
              <w:tabs>
                <w:tab w:val="clear" w:pos="567"/>
                <w:tab w:val="clear" w:pos="1701"/>
                <w:tab w:val="left" w:pos="1871"/>
              </w:tabs>
              <w:spacing w:after="48"/>
              <w:ind w:left="34"/>
              <w:rPr>
                <w:rFonts w:eastAsia="Batang"/>
                <w:b/>
                <w:bCs/>
                <w:sz w:val="32"/>
                <w:szCs w:val="32"/>
                <w:lang w:val="es-ES"/>
              </w:rPr>
            </w:pPr>
            <w:r w:rsidRPr="006E2011">
              <w:rPr>
                <w:b/>
                <w:bCs/>
                <w:color w:val="000000"/>
                <w:sz w:val="32"/>
                <w:szCs w:val="32"/>
                <w:lang w:val="es-ES"/>
              </w:rPr>
              <w:lastRenderedPageBreak/>
              <w:t>Grupo Asesor de Desarrollo de las</w:t>
            </w:r>
            <w:r w:rsidR="00A15E2F" w:rsidRPr="006E2011">
              <w:rPr>
                <w:b/>
                <w:bCs/>
                <w:color w:val="000000"/>
                <w:sz w:val="32"/>
                <w:szCs w:val="32"/>
                <w:lang w:val="es-ES"/>
              </w:rPr>
              <w:br/>
            </w:r>
            <w:r w:rsidRPr="006E2011">
              <w:rPr>
                <w:b/>
                <w:bCs/>
                <w:color w:val="000000"/>
                <w:sz w:val="32"/>
                <w:szCs w:val="32"/>
                <w:lang w:val="es-ES"/>
              </w:rPr>
              <w:t>Telecomunicaciones (GADT)</w:t>
            </w:r>
          </w:p>
          <w:p w14:paraId="125C0895" w14:textId="77777777" w:rsidR="00F32A9F" w:rsidRDefault="00F32A9F" w:rsidP="006E2011">
            <w:pPr>
              <w:tabs>
                <w:tab w:val="clear" w:pos="567"/>
                <w:tab w:val="clear" w:pos="1134"/>
                <w:tab w:val="clear" w:pos="1701"/>
                <w:tab w:val="left" w:pos="1871"/>
              </w:tabs>
              <w:spacing w:after="48"/>
              <w:ind w:left="34"/>
              <w:rPr>
                <w:rFonts w:eastAsia="Batang"/>
                <w:b/>
                <w:bCs/>
                <w:sz w:val="28"/>
                <w:szCs w:val="28"/>
                <w:lang w:val="es-ES"/>
              </w:rPr>
            </w:pPr>
            <w:r>
              <w:rPr>
                <w:b/>
                <w:bCs/>
                <w:color w:val="000000"/>
                <w:lang w:val="es-ES"/>
              </w:rPr>
              <w:t>33.ª reunión, Ginebra (Suiza), 7-10 de abril de 2026</w:t>
            </w:r>
          </w:p>
        </w:tc>
        <w:tc>
          <w:tcPr>
            <w:tcW w:w="3796" w:type="dxa"/>
            <w:hideMark/>
          </w:tcPr>
          <w:p w14:paraId="6FC20076" w14:textId="307B3768" w:rsidR="00F32A9F" w:rsidRDefault="00F32A9F">
            <w:pPr>
              <w:tabs>
                <w:tab w:val="clear" w:pos="567"/>
                <w:tab w:val="clear" w:pos="1701"/>
                <w:tab w:val="left" w:pos="1871"/>
              </w:tabs>
              <w:spacing w:line="240" w:lineRule="atLeast"/>
              <w:jc w:val="right"/>
              <w:rPr>
                <w:rFonts w:eastAsia="Batang" w:cs="Calibri"/>
                <w:lang w:val="es-ES"/>
              </w:rPr>
            </w:pPr>
            <w:r>
              <w:rPr>
                <w:rFonts w:eastAsia="Batang"/>
                <w:noProof/>
                <w:color w:val="000000"/>
                <w:lang w:val="es-ES" w:eastAsia="fr-FR"/>
              </w:rPr>
              <w:drawing>
                <wp:inline distT="0" distB="0" distL="0" distR="0" wp14:anchorId="32216396" wp14:editId="299273DC">
                  <wp:extent cx="711200" cy="78740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928410" descr="A close up of a 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200" cy="787400"/>
                          </a:xfrm>
                          <a:prstGeom prst="rect">
                            <a:avLst/>
                          </a:prstGeom>
                          <a:noFill/>
                          <a:ln>
                            <a:noFill/>
                          </a:ln>
                        </pic:spPr>
                      </pic:pic>
                    </a:graphicData>
                  </a:graphic>
                </wp:inline>
              </w:drawing>
            </w:r>
          </w:p>
        </w:tc>
      </w:tr>
      <w:tr w:rsidR="00F32A9F" w14:paraId="6F9408B1" w14:textId="77777777" w:rsidTr="006E2011">
        <w:trPr>
          <w:cantSplit/>
        </w:trPr>
        <w:tc>
          <w:tcPr>
            <w:tcW w:w="6239" w:type="dxa"/>
            <w:gridSpan w:val="4"/>
            <w:tcBorders>
              <w:top w:val="single" w:sz="12" w:space="0" w:color="auto"/>
              <w:left w:val="nil"/>
              <w:bottom w:val="nil"/>
              <w:right w:val="nil"/>
            </w:tcBorders>
          </w:tcPr>
          <w:p w14:paraId="7A872E0B" w14:textId="77777777" w:rsidR="00F32A9F" w:rsidRDefault="00F32A9F">
            <w:pPr>
              <w:tabs>
                <w:tab w:val="clear" w:pos="567"/>
                <w:tab w:val="clear" w:pos="1701"/>
                <w:tab w:val="left" w:pos="1871"/>
              </w:tabs>
              <w:spacing w:before="0" w:after="48" w:line="240" w:lineRule="atLeast"/>
              <w:rPr>
                <w:rFonts w:eastAsia="Batang" w:cs="Calibri"/>
                <w:b/>
                <w:smallCaps/>
                <w:sz w:val="20"/>
                <w:lang w:val="es-ES"/>
              </w:rPr>
            </w:pPr>
          </w:p>
        </w:tc>
        <w:tc>
          <w:tcPr>
            <w:tcW w:w="3796" w:type="dxa"/>
            <w:tcBorders>
              <w:top w:val="single" w:sz="12" w:space="0" w:color="auto"/>
              <w:left w:val="nil"/>
              <w:bottom w:val="nil"/>
              <w:right w:val="nil"/>
            </w:tcBorders>
          </w:tcPr>
          <w:p w14:paraId="2EFE5F20" w14:textId="77777777" w:rsidR="00F32A9F" w:rsidRDefault="00F32A9F">
            <w:pPr>
              <w:tabs>
                <w:tab w:val="clear" w:pos="567"/>
                <w:tab w:val="clear" w:pos="1701"/>
                <w:tab w:val="left" w:pos="1871"/>
              </w:tabs>
              <w:spacing w:before="0" w:line="240" w:lineRule="atLeast"/>
              <w:rPr>
                <w:rFonts w:eastAsia="Batang" w:cs="Calibri"/>
                <w:sz w:val="20"/>
                <w:lang w:val="es-ES"/>
              </w:rPr>
            </w:pPr>
          </w:p>
        </w:tc>
      </w:tr>
      <w:tr w:rsidR="00F32A9F" w14:paraId="3B64E7B1" w14:textId="77777777" w:rsidTr="006E2011">
        <w:trPr>
          <w:cantSplit/>
          <w:trHeight w:val="23"/>
        </w:trPr>
        <w:tc>
          <w:tcPr>
            <w:tcW w:w="6239" w:type="dxa"/>
            <w:gridSpan w:val="4"/>
          </w:tcPr>
          <w:p w14:paraId="1D1E65BD" w14:textId="77777777" w:rsidR="00F32A9F" w:rsidRDefault="00F32A9F">
            <w:pPr>
              <w:tabs>
                <w:tab w:val="clear" w:pos="567"/>
                <w:tab w:val="clear" w:pos="1701"/>
                <w:tab w:val="left" w:pos="851"/>
                <w:tab w:val="left" w:pos="1871"/>
              </w:tabs>
              <w:spacing w:before="0" w:line="240" w:lineRule="atLeast"/>
              <w:rPr>
                <w:rFonts w:eastAsia="Batang" w:cs="Calibri"/>
                <w:b/>
                <w:szCs w:val="24"/>
                <w:lang w:val="es-ES"/>
              </w:rPr>
            </w:pPr>
          </w:p>
        </w:tc>
        <w:tc>
          <w:tcPr>
            <w:tcW w:w="3796" w:type="dxa"/>
            <w:hideMark/>
          </w:tcPr>
          <w:p w14:paraId="3231CBD1" w14:textId="77777777" w:rsidR="00F32A9F" w:rsidRDefault="00F32A9F">
            <w:pPr>
              <w:tabs>
                <w:tab w:val="clear" w:pos="567"/>
                <w:tab w:val="clear" w:pos="1701"/>
                <w:tab w:val="left" w:pos="851"/>
                <w:tab w:val="left" w:pos="1871"/>
              </w:tabs>
              <w:spacing w:before="0" w:line="240" w:lineRule="atLeast"/>
              <w:rPr>
                <w:rFonts w:eastAsia="Batang" w:cs="Calibri"/>
                <w:szCs w:val="24"/>
                <w:lang w:val="es-ES"/>
              </w:rPr>
            </w:pPr>
            <w:r>
              <w:rPr>
                <w:b/>
                <w:bCs/>
                <w:color w:val="000000"/>
                <w:lang w:val="es-ES"/>
              </w:rPr>
              <w:t>TDAG-26 – LS 4</w:t>
            </w:r>
          </w:p>
        </w:tc>
      </w:tr>
      <w:tr w:rsidR="00F32A9F" w14:paraId="7EE2191C" w14:textId="77777777" w:rsidTr="006E2011">
        <w:trPr>
          <w:cantSplit/>
          <w:trHeight w:val="23"/>
        </w:trPr>
        <w:tc>
          <w:tcPr>
            <w:tcW w:w="6239" w:type="dxa"/>
            <w:gridSpan w:val="4"/>
          </w:tcPr>
          <w:p w14:paraId="2919582E" w14:textId="77777777" w:rsidR="00F32A9F" w:rsidRDefault="00F32A9F">
            <w:pPr>
              <w:tabs>
                <w:tab w:val="clear" w:pos="567"/>
                <w:tab w:val="clear" w:pos="1701"/>
                <w:tab w:val="left" w:pos="851"/>
                <w:tab w:val="left" w:pos="1871"/>
              </w:tabs>
              <w:spacing w:before="0" w:line="240" w:lineRule="atLeast"/>
              <w:rPr>
                <w:rFonts w:eastAsia="Batang" w:cs="Calibri"/>
                <w:b/>
                <w:szCs w:val="24"/>
                <w:lang w:val="es-ES"/>
              </w:rPr>
            </w:pPr>
          </w:p>
        </w:tc>
        <w:tc>
          <w:tcPr>
            <w:tcW w:w="3796" w:type="dxa"/>
            <w:hideMark/>
          </w:tcPr>
          <w:p w14:paraId="4C589F3F" w14:textId="77777777" w:rsidR="00F32A9F" w:rsidRDefault="00F32A9F">
            <w:pPr>
              <w:tabs>
                <w:tab w:val="clear" w:pos="567"/>
                <w:tab w:val="clear" w:pos="1701"/>
                <w:tab w:val="left" w:pos="1871"/>
              </w:tabs>
              <w:spacing w:before="0" w:line="240" w:lineRule="atLeast"/>
              <w:rPr>
                <w:rFonts w:eastAsia="Batang" w:cs="Calibri"/>
                <w:szCs w:val="24"/>
                <w:lang w:val="es-ES"/>
              </w:rPr>
            </w:pPr>
            <w:r>
              <w:rPr>
                <w:b/>
                <w:bCs/>
                <w:color w:val="000000"/>
                <w:lang w:val="es-ES"/>
              </w:rPr>
              <w:t>10 de abril de 2026</w:t>
            </w:r>
          </w:p>
        </w:tc>
      </w:tr>
      <w:tr w:rsidR="00F32A9F" w14:paraId="68F42ECB" w14:textId="77777777" w:rsidTr="006E2011">
        <w:trPr>
          <w:cantSplit/>
          <w:trHeight w:val="23"/>
        </w:trPr>
        <w:tc>
          <w:tcPr>
            <w:tcW w:w="6239" w:type="dxa"/>
            <w:gridSpan w:val="4"/>
          </w:tcPr>
          <w:p w14:paraId="42EA5696" w14:textId="77777777" w:rsidR="00F32A9F" w:rsidRDefault="00F32A9F">
            <w:pPr>
              <w:tabs>
                <w:tab w:val="clear" w:pos="567"/>
                <w:tab w:val="clear" w:pos="1701"/>
                <w:tab w:val="left" w:pos="851"/>
                <w:tab w:val="left" w:pos="1871"/>
              </w:tabs>
              <w:spacing w:before="0" w:line="240" w:lineRule="atLeast"/>
              <w:rPr>
                <w:rFonts w:eastAsia="Batang" w:cs="Calibri"/>
                <w:szCs w:val="24"/>
                <w:lang w:val="es-ES"/>
              </w:rPr>
            </w:pPr>
          </w:p>
        </w:tc>
        <w:tc>
          <w:tcPr>
            <w:tcW w:w="3796" w:type="dxa"/>
            <w:hideMark/>
          </w:tcPr>
          <w:p w14:paraId="33088572" w14:textId="0CA69624" w:rsidR="00F32A9F" w:rsidRDefault="00F32A9F">
            <w:pPr>
              <w:tabs>
                <w:tab w:val="clear" w:pos="567"/>
                <w:tab w:val="clear" w:pos="1701"/>
                <w:tab w:val="left" w:pos="993"/>
                <w:tab w:val="left" w:pos="1871"/>
              </w:tabs>
              <w:spacing w:before="0"/>
              <w:rPr>
                <w:rFonts w:eastAsia="Batang" w:cs="Calibri"/>
                <w:b/>
                <w:szCs w:val="24"/>
                <w:lang w:val="es-ES"/>
              </w:rPr>
            </w:pPr>
            <w:r>
              <w:rPr>
                <w:b/>
                <w:bCs/>
                <w:color w:val="000000"/>
                <w:lang w:val="es-ES"/>
              </w:rPr>
              <w:t>S</w:t>
            </w:r>
            <w:r w:rsidR="00A15E2F">
              <w:rPr>
                <w:b/>
                <w:bCs/>
                <w:color w:val="000000"/>
                <w:lang w:val="es-ES"/>
              </w:rPr>
              <w:t>ó</w:t>
            </w:r>
            <w:r>
              <w:rPr>
                <w:b/>
                <w:bCs/>
                <w:color w:val="000000"/>
                <w:lang w:val="es-ES"/>
              </w:rPr>
              <w:t>lo en inglés</w:t>
            </w:r>
          </w:p>
        </w:tc>
      </w:tr>
      <w:tr w:rsidR="00F32A9F" w:rsidRPr="00763A13" w14:paraId="68739C62" w14:textId="77777777" w:rsidTr="006E2011">
        <w:trPr>
          <w:cantSplit/>
          <w:trHeight w:val="23"/>
        </w:trPr>
        <w:tc>
          <w:tcPr>
            <w:tcW w:w="10035" w:type="dxa"/>
            <w:gridSpan w:val="5"/>
            <w:hideMark/>
          </w:tcPr>
          <w:p w14:paraId="7AB40D6A" w14:textId="77777777" w:rsidR="00F32A9F" w:rsidRDefault="00F32A9F" w:rsidP="006E2011">
            <w:pPr>
              <w:pStyle w:val="Source"/>
              <w:spacing w:before="240" w:after="240"/>
              <w:rPr>
                <w:rFonts w:eastAsia="Batang"/>
                <w:lang w:val="es-ES"/>
              </w:rPr>
            </w:pPr>
            <w:r>
              <w:rPr>
                <w:lang w:val="es-ES"/>
              </w:rPr>
              <w:t>Presidenta del Grupo Asesor de Desarrollo de las Telecomunicaciones (GADT)</w:t>
            </w:r>
          </w:p>
        </w:tc>
      </w:tr>
      <w:tr w:rsidR="00F32A9F" w:rsidRPr="00763A13" w14:paraId="4DD2E5CA" w14:textId="77777777" w:rsidTr="006E2011">
        <w:trPr>
          <w:cantSplit/>
          <w:trHeight w:val="23"/>
        </w:trPr>
        <w:tc>
          <w:tcPr>
            <w:tcW w:w="10035" w:type="dxa"/>
            <w:gridSpan w:val="5"/>
            <w:vAlign w:val="center"/>
            <w:hideMark/>
          </w:tcPr>
          <w:p w14:paraId="364345A0" w14:textId="5E8A0365" w:rsidR="00F32A9F" w:rsidRDefault="00F32A9F" w:rsidP="00A15E2F">
            <w:pPr>
              <w:pStyle w:val="Title1NotAllcaps"/>
              <w:framePr w:hSpace="0" w:wrap="auto" w:hAnchor="text" w:yAlign="inline"/>
              <w:spacing w:after="240"/>
              <w:rPr>
                <w:rFonts w:eastAsia="Batang"/>
                <w:sz w:val="28"/>
              </w:rPr>
            </w:pPr>
            <w:r>
              <w:t>Declaración de coordinación al Consejo de 2026 sobre el informe</w:t>
            </w:r>
            <w:r w:rsidR="006E2011">
              <w:br/>
            </w:r>
            <w:r>
              <w:t>relativo al examen de la presencia regional de la UIT</w:t>
            </w:r>
          </w:p>
        </w:tc>
      </w:tr>
      <w:tr w:rsidR="00F32A9F" w:rsidRPr="00763A13" w14:paraId="0E091EA8" w14:textId="77777777" w:rsidTr="006E2011">
        <w:trPr>
          <w:cantSplit/>
          <w:trHeight w:val="23"/>
        </w:trPr>
        <w:tc>
          <w:tcPr>
            <w:tcW w:w="2552" w:type="dxa"/>
            <w:gridSpan w:val="2"/>
            <w:vAlign w:val="center"/>
            <w:hideMark/>
          </w:tcPr>
          <w:p w14:paraId="2EC647FB" w14:textId="77777777" w:rsidR="00F32A9F" w:rsidRDefault="00F32A9F">
            <w:pPr>
              <w:tabs>
                <w:tab w:val="clear" w:pos="567"/>
                <w:tab w:val="clear" w:pos="1701"/>
                <w:tab w:val="left" w:pos="1871"/>
              </w:tabs>
              <w:spacing w:before="60" w:after="60"/>
              <w:rPr>
                <w:rFonts w:eastAsia="Batang"/>
                <w:b/>
                <w:bCs/>
                <w:szCs w:val="24"/>
                <w:lang w:val="es-ES"/>
              </w:rPr>
            </w:pPr>
            <w:bookmarkStart w:id="1" w:name="_Hlk227749092"/>
            <w:r>
              <w:rPr>
                <w:b/>
                <w:bCs/>
                <w:color w:val="000000"/>
                <w:lang w:val="es-ES"/>
              </w:rPr>
              <w:t>Para acción a:</w:t>
            </w:r>
          </w:p>
        </w:tc>
        <w:tc>
          <w:tcPr>
            <w:tcW w:w="7483" w:type="dxa"/>
            <w:gridSpan w:val="3"/>
            <w:vAlign w:val="center"/>
            <w:hideMark/>
          </w:tcPr>
          <w:p w14:paraId="07C43A9C" w14:textId="77777777" w:rsidR="00F32A9F" w:rsidRDefault="00F32A9F">
            <w:pPr>
              <w:tabs>
                <w:tab w:val="clear" w:pos="567"/>
                <w:tab w:val="clear" w:pos="1701"/>
                <w:tab w:val="left" w:pos="1871"/>
              </w:tabs>
              <w:spacing w:before="60" w:after="60"/>
              <w:rPr>
                <w:rFonts w:eastAsia="Batang"/>
                <w:szCs w:val="24"/>
                <w:lang w:val="es-ES"/>
              </w:rPr>
            </w:pPr>
            <w:r>
              <w:rPr>
                <w:color w:val="000000"/>
                <w:lang w:val="es-ES"/>
              </w:rPr>
              <w:t>La reunión de 2026 del Consejo de la UIT</w:t>
            </w:r>
          </w:p>
        </w:tc>
      </w:tr>
      <w:tr w:rsidR="00F32A9F" w14:paraId="31AB5611" w14:textId="77777777" w:rsidTr="006E2011">
        <w:trPr>
          <w:cantSplit/>
          <w:trHeight w:val="23"/>
        </w:trPr>
        <w:tc>
          <w:tcPr>
            <w:tcW w:w="2552" w:type="dxa"/>
            <w:gridSpan w:val="2"/>
            <w:vAlign w:val="center"/>
            <w:hideMark/>
          </w:tcPr>
          <w:p w14:paraId="0EE9DE6A" w14:textId="77777777" w:rsidR="00F32A9F" w:rsidRDefault="00F32A9F">
            <w:pPr>
              <w:tabs>
                <w:tab w:val="clear" w:pos="567"/>
                <w:tab w:val="clear" w:pos="1701"/>
                <w:tab w:val="left" w:pos="1871"/>
              </w:tabs>
              <w:spacing w:before="60" w:after="60"/>
              <w:rPr>
                <w:rFonts w:eastAsia="Batang"/>
                <w:b/>
                <w:bCs/>
                <w:szCs w:val="24"/>
                <w:lang w:val="es-ES"/>
              </w:rPr>
            </w:pPr>
            <w:r>
              <w:rPr>
                <w:b/>
                <w:bCs/>
                <w:color w:val="000000"/>
                <w:lang w:val="es-ES"/>
              </w:rPr>
              <w:t>Para información a:</w:t>
            </w:r>
          </w:p>
        </w:tc>
        <w:tc>
          <w:tcPr>
            <w:tcW w:w="7483" w:type="dxa"/>
            <w:gridSpan w:val="3"/>
            <w:vAlign w:val="center"/>
            <w:hideMark/>
          </w:tcPr>
          <w:p w14:paraId="3D0631A5" w14:textId="77777777" w:rsidR="00F32A9F" w:rsidRDefault="00F32A9F">
            <w:pPr>
              <w:tabs>
                <w:tab w:val="clear" w:pos="567"/>
                <w:tab w:val="clear" w:pos="1701"/>
                <w:tab w:val="left" w:pos="1871"/>
              </w:tabs>
              <w:spacing w:before="60" w:after="60"/>
              <w:rPr>
                <w:rFonts w:eastAsia="Batang"/>
                <w:szCs w:val="24"/>
                <w:lang w:val="es-ES"/>
              </w:rPr>
            </w:pPr>
            <w:r>
              <w:rPr>
                <w:color w:val="000000"/>
                <w:lang w:val="es-ES"/>
              </w:rPr>
              <w:t>--</w:t>
            </w:r>
          </w:p>
        </w:tc>
      </w:tr>
      <w:tr w:rsidR="00F32A9F" w14:paraId="7F599282" w14:textId="77777777" w:rsidTr="006E2011">
        <w:trPr>
          <w:cantSplit/>
          <w:trHeight w:val="23"/>
        </w:trPr>
        <w:tc>
          <w:tcPr>
            <w:tcW w:w="2552" w:type="dxa"/>
            <w:gridSpan w:val="2"/>
            <w:vAlign w:val="center"/>
            <w:hideMark/>
          </w:tcPr>
          <w:p w14:paraId="15119CD3" w14:textId="77777777" w:rsidR="00F32A9F" w:rsidRDefault="00F32A9F">
            <w:pPr>
              <w:tabs>
                <w:tab w:val="clear" w:pos="567"/>
                <w:tab w:val="clear" w:pos="1701"/>
                <w:tab w:val="left" w:pos="1871"/>
              </w:tabs>
              <w:spacing w:before="60" w:after="60"/>
              <w:rPr>
                <w:rFonts w:eastAsia="Batang"/>
                <w:b/>
                <w:bCs/>
                <w:szCs w:val="24"/>
                <w:lang w:val="es-ES"/>
              </w:rPr>
            </w:pPr>
            <w:r>
              <w:rPr>
                <w:b/>
                <w:bCs/>
                <w:color w:val="000000"/>
                <w:lang w:val="es-ES"/>
              </w:rPr>
              <w:t>Plazo:</w:t>
            </w:r>
          </w:p>
        </w:tc>
        <w:tc>
          <w:tcPr>
            <w:tcW w:w="7483" w:type="dxa"/>
            <w:gridSpan w:val="3"/>
            <w:vAlign w:val="center"/>
            <w:hideMark/>
          </w:tcPr>
          <w:p w14:paraId="5FBA0B8A" w14:textId="77777777" w:rsidR="00F32A9F" w:rsidRDefault="00F32A9F">
            <w:pPr>
              <w:tabs>
                <w:tab w:val="clear" w:pos="567"/>
                <w:tab w:val="clear" w:pos="1701"/>
                <w:tab w:val="left" w:pos="1871"/>
              </w:tabs>
              <w:spacing w:before="60" w:after="60"/>
              <w:rPr>
                <w:rFonts w:eastAsia="Batang"/>
                <w:szCs w:val="24"/>
                <w:lang w:val="es-ES"/>
              </w:rPr>
            </w:pPr>
            <w:r>
              <w:rPr>
                <w:color w:val="000000"/>
                <w:lang w:val="es-ES"/>
              </w:rPr>
              <w:t>--</w:t>
            </w:r>
          </w:p>
        </w:tc>
      </w:tr>
      <w:bookmarkEnd w:id="1"/>
      <w:tr w:rsidR="00F32A9F" w14:paraId="2B82A5B1" w14:textId="77777777" w:rsidTr="006E2011">
        <w:trPr>
          <w:cantSplit/>
          <w:trHeight w:val="23"/>
        </w:trPr>
        <w:tc>
          <w:tcPr>
            <w:tcW w:w="2552" w:type="dxa"/>
            <w:gridSpan w:val="2"/>
            <w:tcBorders>
              <w:top w:val="nil"/>
              <w:left w:val="nil"/>
              <w:bottom w:val="single" w:sz="4" w:space="0" w:color="auto"/>
              <w:right w:val="nil"/>
            </w:tcBorders>
            <w:vAlign w:val="center"/>
          </w:tcPr>
          <w:p w14:paraId="2A567C37" w14:textId="77777777" w:rsidR="00F32A9F" w:rsidRDefault="00F32A9F">
            <w:pPr>
              <w:tabs>
                <w:tab w:val="clear" w:pos="567"/>
                <w:tab w:val="clear" w:pos="1701"/>
                <w:tab w:val="left" w:pos="1871"/>
              </w:tabs>
              <w:spacing w:before="0"/>
              <w:jc w:val="both"/>
              <w:rPr>
                <w:rFonts w:eastAsia="Batang"/>
                <w:b/>
                <w:bCs/>
                <w:szCs w:val="24"/>
                <w:lang w:val="es-ES"/>
              </w:rPr>
            </w:pPr>
          </w:p>
        </w:tc>
        <w:tc>
          <w:tcPr>
            <w:tcW w:w="7483" w:type="dxa"/>
            <w:gridSpan w:val="3"/>
            <w:tcBorders>
              <w:top w:val="nil"/>
              <w:left w:val="nil"/>
              <w:bottom w:val="single" w:sz="4" w:space="0" w:color="auto"/>
              <w:right w:val="nil"/>
            </w:tcBorders>
            <w:vAlign w:val="center"/>
          </w:tcPr>
          <w:p w14:paraId="52E80E8A" w14:textId="77777777" w:rsidR="00F32A9F" w:rsidRDefault="00F32A9F">
            <w:pPr>
              <w:tabs>
                <w:tab w:val="clear" w:pos="567"/>
                <w:tab w:val="clear" w:pos="1701"/>
                <w:tab w:val="left" w:pos="1871"/>
              </w:tabs>
              <w:spacing w:before="0"/>
              <w:jc w:val="both"/>
              <w:rPr>
                <w:rFonts w:eastAsia="Batang"/>
                <w:szCs w:val="24"/>
                <w:lang w:val="es-ES"/>
              </w:rPr>
            </w:pPr>
          </w:p>
        </w:tc>
      </w:tr>
      <w:tr w:rsidR="00F32A9F" w:rsidRPr="00763A13" w14:paraId="71DD1CFD" w14:textId="77777777" w:rsidTr="006E2011">
        <w:trPr>
          <w:cantSplit/>
          <w:trHeight w:val="23"/>
        </w:trPr>
        <w:tc>
          <w:tcPr>
            <w:tcW w:w="1276" w:type="dxa"/>
            <w:tcBorders>
              <w:top w:val="single" w:sz="4" w:space="0" w:color="auto"/>
              <w:left w:val="nil"/>
              <w:bottom w:val="nil"/>
              <w:right w:val="nil"/>
            </w:tcBorders>
            <w:hideMark/>
          </w:tcPr>
          <w:p w14:paraId="4E1B3DCF" w14:textId="77777777" w:rsidR="00F32A9F" w:rsidRDefault="00F32A9F">
            <w:pPr>
              <w:tabs>
                <w:tab w:val="clear" w:pos="567"/>
                <w:tab w:val="clear" w:pos="1701"/>
                <w:tab w:val="left" w:pos="1871"/>
              </w:tabs>
              <w:spacing w:before="40"/>
              <w:rPr>
                <w:rFonts w:eastAsia="Batang" w:cs="Times New Roman Bold"/>
                <w:b/>
                <w:bCs/>
                <w:szCs w:val="24"/>
                <w:lang w:val="es-ES"/>
              </w:rPr>
            </w:pPr>
            <w:r>
              <w:rPr>
                <w:b/>
                <w:bCs/>
                <w:color w:val="000000"/>
                <w:lang w:val="es-ES"/>
              </w:rPr>
              <w:t>Contacto:</w:t>
            </w:r>
          </w:p>
        </w:tc>
        <w:tc>
          <w:tcPr>
            <w:tcW w:w="3402" w:type="dxa"/>
            <w:gridSpan w:val="2"/>
            <w:tcBorders>
              <w:top w:val="single" w:sz="4" w:space="0" w:color="auto"/>
              <w:left w:val="nil"/>
              <w:bottom w:val="nil"/>
              <w:right w:val="nil"/>
            </w:tcBorders>
            <w:hideMark/>
          </w:tcPr>
          <w:p w14:paraId="061F051F" w14:textId="77777777" w:rsidR="00F32A9F" w:rsidRDefault="00F32A9F">
            <w:pPr>
              <w:tabs>
                <w:tab w:val="clear" w:pos="567"/>
                <w:tab w:val="clear" w:pos="1134"/>
                <w:tab w:val="clear" w:pos="1701"/>
                <w:tab w:val="clear" w:pos="2268"/>
                <w:tab w:val="left" w:pos="1871"/>
                <w:tab w:val="left" w:pos="2302"/>
              </w:tabs>
              <w:overflowPunct/>
              <w:autoSpaceDE/>
              <w:adjustRightInd/>
              <w:spacing w:before="40"/>
              <w:ind w:left="2302" w:hanging="2302"/>
              <w:rPr>
                <w:rFonts w:eastAsia="Batang"/>
                <w:szCs w:val="24"/>
                <w:lang w:val="es-ES"/>
              </w:rPr>
            </w:pPr>
            <w:r>
              <w:rPr>
                <w:color w:val="000000"/>
                <w:lang w:val="es-ES"/>
              </w:rPr>
              <w:t>Nombre/Organización/Entidad:</w:t>
            </w:r>
          </w:p>
        </w:tc>
        <w:tc>
          <w:tcPr>
            <w:tcW w:w="5357" w:type="dxa"/>
            <w:gridSpan w:val="2"/>
            <w:tcBorders>
              <w:top w:val="single" w:sz="4" w:space="0" w:color="auto"/>
              <w:left w:val="nil"/>
              <w:bottom w:val="nil"/>
              <w:right w:val="nil"/>
            </w:tcBorders>
            <w:hideMark/>
          </w:tcPr>
          <w:p w14:paraId="6F141E59" w14:textId="77777777" w:rsidR="00F32A9F" w:rsidRDefault="00F32A9F">
            <w:pPr>
              <w:tabs>
                <w:tab w:val="clear" w:pos="567"/>
                <w:tab w:val="left" w:pos="720"/>
              </w:tabs>
              <w:spacing w:before="40"/>
              <w:rPr>
                <w:rFonts w:eastAsia="Batang" w:cs="Times New Roman Bold"/>
                <w:szCs w:val="24"/>
                <w:lang w:val="es-ES"/>
              </w:rPr>
            </w:pPr>
            <w:r>
              <w:rPr>
                <w:color w:val="000000"/>
                <w:lang w:val="es-ES"/>
              </w:rPr>
              <w:t>Sra. Fleur Regina Assoumou Bessou, Presidenta del Grupo Asesor de Desarrollo de las Telecomunicaciones</w:t>
            </w:r>
          </w:p>
        </w:tc>
      </w:tr>
      <w:tr w:rsidR="00F32A9F" w14:paraId="554AB57E" w14:textId="77777777" w:rsidTr="006E2011">
        <w:trPr>
          <w:cantSplit/>
          <w:trHeight w:val="23"/>
        </w:trPr>
        <w:tc>
          <w:tcPr>
            <w:tcW w:w="1276" w:type="dxa"/>
          </w:tcPr>
          <w:p w14:paraId="4AADFC09" w14:textId="77777777" w:rsidR="00F32A9F" w:rsidRDefault="00F32A9F">
            <w:pPr>
              <w:tabs>
                <w:tab w:val="clear" w:pos="567"/>
                <w:tab w:val="clear" w:pos="1701"/>
                <w:tab w:val="left" w:pos="1871"/>
              </w:tabs>
              <w:spacing w:before="0"/>
              <w:rPr>
                <w:rFonts w:eastAsia="Batang" w:cs="Times New Roman Bold"/>
                <w:sz w:val="22"/>
                <w:szCs w:val="22"/>
                <w:lang w:val="es-ES"/>
              </w:rPr>
            </w:pPr>
          </w:p>
        </w:tc>
        <w:tc>
          <w:tcPr>
            <w:tcW w:w="3402" w:type="dxa"/>
            <w:gridSpan w:val="2"/>
            <w:hideMark/>
          </w:tcPr>
          <w:p w14:paraId="0FAAD54A" w14:textId="77777777" w:rsidR="00F32A9F" w:rsidRDefault="00F32A9F">
            <w:pPr>
              <w:tabs>
                <w:tab w:val="clear" w:pos="567"/>
                <w:tab w:val="clear" w:pos="1134"/>
                <w:tab w:val="clear" w:pos="1701"/>
                <w:tab w:val="clear" w:pos="2268"/>
                <w:tab w:val="left" w:pos="1871"/>
                <w:tab w:val="left" w:pos="2302"/>
              </w:tabs>
              <w:overflowPunct/>
              <w:autoSpaceDE/>
              <w:adjustRightInd/>
              <w:spacing w:before="40"/>
              <w:rPr>
                <w:rFonts w:eastAsia="Batang"/>
                <w:szCs w:val="24"/>
                <w:lang w:val="es-ES"/>
              </w:rPr>
            </w:pPr>
            <w:r>
              <w:rPr>
                <w:color w:val="000000"/>
                <w:lang w:val="es-ES"/>
              </w:rPr>
              <w:t>Teléfono:</w:t>
            </w:r>
          </w:p>
        </w:tc>
        <w:tc>
          <w:tcPr>
            <w:tcW w:w="5357" w:type="dxa"/>
            <w:gridSpan w:val="2"/>
            <w:hideMark/>
          </w:tcPr>
          <w:p w14:paraId="27C54091" w14:textId="77777777" w:rsidR="00F32A9F" w:rsidRDefault="00F32A9F">
            <w:pPr>
              <w:tabs>
                <w:tab w:val="clear" w:pos="567"/>
                <w:tab w:val="clear" w:pos="1701"/>
                <w:tab w:val="left" w:pos="1871"/>
              </w:tabs>
              <w:spacing w:before="40"/>
              <w:rPr>
                <w:rFonts w:eastAsia="Batang" w:cs="Times New Roman Bold"/>
                <w:szCs w:val="24"/>
                <w:lang w:val="es-ES"/>
              </w:rPr>
            </w:pPr>
            <w:r>
              <w:rPr>
                <w:color w:val="000000"/>
                <w:lang w:val="es-ES"/>
              </w:rPr>
              <w:t>+225 0707815208</w:t>
            </w:r>
          </w:p>
        </w:tc>
      </w:tr>
      <w:tr w:rsidR="00F32A9F" w14:paraId="58509FB3" w14:textId="77777777" w:rsidTr="006E2011">
        <w:trPr>
          <w:cantSplit/>
          <w:trHeight w:val="23"/>
        </w:trPr>
        <w:tc>
          <w:tcPr>
            <w:tcW w:w="1276" w:type="dxa"/>
            <w:tcBorders>
              <w:top w:val="nil"/>
              <w:left w:val="nil"/>
              <w:bottom w:val="single" w:sz="4" w:space="0" w:color="auto"/>
              <w:right w:val="nil"/>
            </w:tcBorders>
          </w:tcPr>
          <w:p w14:paraId="2E21932B" w14:textId="77777777" w:rsidR="00F32A9F" w:rsidRDefault="00F32A9F">
            <w:pPr>
              <w:tabs>
                <w:tab w:val="clear" w:pos="567"/>
                <w:tab w:val="clear" w:pos="1701"/>
                <w:tab w:val="left" w:pos="1871"/>
              </w:tabs>
              <w:spacing w:before="0"/>
              <w:rPr>
                <w:rFonts w:eastAsia="Batang" w:cs="Times New Roman Bold"/>
                <w:sz w:val="22"/>
                <w:szCs w:val="22"/>
                <w:lang w:val="es-ES"/>
              </w:rPr>
            </w:pPr>
          </w:p>
        </w:tc>
        <w:tc>
          <w:tcPr>
            <w:tcW w:w="3402" w:type="dxa"/>
            <w:gridSpan w:val="2"/>
            <w:tcBorders>
              <w:top w:val="nil"/>
              <w:left w:val="nil"/>
              <w:bottom w:val="single" w:sz="4" w:space="0" w:color="auto"/>
              <w:right w:val="nil"/>
            </w:tcBorders>
            <w:hideMark/>
          </w:tcPr>
          <w:p w14:paraId="59179DC7" w14:textId="77777777" w:rsidR="00F32A9F" w:rsidRDefault="00F32A9F">
            <w:pPr>
              <w:tabs>
                <w:tab w:val="clear" w:pos="567"/>
                <w:tab w:val="clear" w:pos="1134"/>
                <w:tab w:val="clear" w:pos="1701"/>
                <w:tab w:val="clear" w:pos="2268"/>
                <w:tab w:val="left" w:pos="1871"/>
                <w:tab w:val="left" w:pos="2302"/>
              </w:tabs>
              <w:overflowPunct/>
              <w:autoSpaceDE/>
              <w:adjustRightInd/>
              <w:spacing w:before="40"/>
              <w:rPr>
                <w:rFonts w:eastAsia="Batang"/>
                <w:szCs w:val="24"/>
                <w:lang w:val="es-ES"/>
              </w:rPr>
            </w:pPr>
            <w:r>
              <w:rPr>
                <w:color w:val="000000"/>
                <w:lang w:val="es-ES"/>
              </w:rPr>
              <w:t>Correo-e:</w:t>
            </w:r>
          </w:p>
        </w:tc>
        <w:tc>
          <w:tcPr>
            <w:tcW w:w="5357" w:type="dxa"/>
            <w:gridSpan w:val="2"/>
            <w:tcBorders>
              <w:top w:val="nil"/>
              <w:left w:val="nil"/>
              <w:bottom w:val="single" w:sz="4" w:space="0" w:color="auto"/>
              <w:right w:val="nil"/>
            </w:tcBorders>
            <w:hideMark/>
          </w:tcPr>
          <w:p w14:paraId="7A0CCE3B" w14:textId="77777777" w:rsidR="00F32A9F" w:rsidRPr="006E2011" w:rsidRDefault="00F32A9F">
            <w:pPr>
              <w:tabs>
                <w:tab w:val="clear" w:pos="567"/>
                <w:tab w:val="clear" w:pos="1701"/>
                <w:tab w:val="left" w:pos="1871"/>
              </w:tabs>
              <w:spacing w:before="40"/>
              <w:rPr>
                <w:rStyle w:val="Hyperlink"/>
              </w:rPr>
            </w:pPr>
            <w:hyperlink r:id="rId9" w:history="1">
              <w:r w:rsidRPr="006E2011">
                <w:rPr>
                  <w:rStyle w:val="Hyperlink"/>
                </w:rPr>
                <w:t xml:space="preserve">bessou.regina@artci.ci </w:t>
              </w:r>
            </w:hyperlink>
          </w:p>
        </w:tc>
      </w:tr>
      <w:tr w:rsidR="00F32A9F" w:rsidRPr="00763A13" w14:paraId="305E7B58" w14:textId="77777777" w:rsidTr="006E2011">
        <w:trPr>
          <w:cantSplit/>
          <w:trHeight w:val="23"/>
        </w:trPr>
        <w:tc>
          <w:tcPr>
            <w:tcW w:w="1276" w:type="dxa"/>
            <w:tcBorders>
              <w:top w:val="single" w:sz="4" w:space="0" w:color="auto"/>
              <w:left w:val="nil"/>
              <w:bottom w:val="nil"/>
              <w:right w:val="nil"/>
            </w:tcBorders>
            <w:hideMark/>
          </w:tcPr>
          <w:p w14:paraId="280B7005" w14:textId="77777777" w:rsidR="00F32A9F" w:rsidRDefault="00F32A9F">
            <w:pPr>
              <w:tabs>
                <w:tab w:val="clear" w:pos="567"/>
                <w:tab w:val="clear" w:pos="1701"/>
                <w:tab w:val="left" w:pos="1871"/>
              </w:tabs>
              <w:spacing w:before="0"/>
              <w:rPr>
                <w:rFonts w:eastAsia="Batang" w:cs="Times New Roman Bold"/>
                <w:sz w:val="22"/>
                <w:szCs w:val="22"/>
                <w:lang w:val="es-ES"/>
              </w:rPr>
            </w:pPr>
            <w:r>
              <w:rPr>
                <w:b/>
                <w:bCs/>
                <w:color w:val="000000"/>
                <w:lang w:val="es-ES"/>
              </w:rPr>
              <w:t>Contacto:</w:t>
            </w:r>
          </w:p>
        </w:tc>
        <w:tc>
          <w:tcPr>
            <w:tcW w:w="3402" w:type="dxa"/>
            <w:gridSpan w:val="2"/>
            <w:tcBorders>
              <w:top w:val="single" w:sz="4" w:space="0" w:color="auto"/>
              <w:left w:val="nil"/>
              <w:bottom w:val="nil"/>
              <w:right w:val="nil"/>
            </w:tcBorders>
            <w:hideMark/>
          </w:tcPr>
          <w:p w14:paraId="59D5290F" w14:textId="77777777" w:rsidR="00F32A9F" w:rsidRDefault="00F32A9F">
            <w:pPr>
              <w:tabs>
                <w:tab w:val="clear" w:pos="567"/>
                <w:tab w:val="clear" w:pos="1134"/>
                <w:tab w:val="clear" w:pos="1701"/>
                <w:tab w:val="clear" w:pos="2268"/>
                <w:tab w:val="left" w:pos="1871"/>
                <w:tab w:val="left" w:pos="2302"/>
              </w:tabs>
              <w:overflowPunct/>
              <w:autoSpaceDE/>
              <w:adjustRightInd/>
              <w:spacing w:before="40"/>
              <w:rPr>
                <w:rFonts w:eastAsia="Batang"/>
                <w:szCs w:val="24"/>
                <w:lang w:val="es-ES"/>
              </w:rPr>
            </w:pPr>
            <w:r>
              <w:rPr>
                <w:color w:val="000000"/>
                <w:lang w:val="es-ES"/>
              </w:rPr>
              <w:t>Nombre/Organización/Entidad:</w:t>
            </w:r>
          </w:p>
        </w:tc>
        <w:tc>
          <w:tcPr>
            <w:tcW w:w="5357" w:type="dxa"/>
            <w:gridSpan w:val="2"/>
            <w:tcBorders>
              <w:top w:val="single" w:sz="4" w:space="0" w:color="auto"/>
              <w:left w:val="nil"/>
              <w:bottom w:val="nil"/>
              <w:right w:val="nil"/>
            </w:tcBorders>
            <w:hideMark/>
          </w:tcPr>
          <w:p w14:paraId="61951BF5" w14:textId="77777777" w:rsidR="00F32A9F" w:rsidRDefault="00F32A9F">
            <w:pPr>
              <w:tabs>
                <w:tab w:val="clear" w:pos="567"/>
                <w:tab w:val="clear" w:pos="1701"/>
                <w:tab w:val="left" w:pos="1871"/>
              </w:tabs>
              <w:spacing w:before="40"/>
              <w:rPr>
                <w:rFonts w:eastAsia="Batang" w:cs="Times New Roman Bold"/>
                <w:szCs w:val="24"/>
                <w:u w:val="single"/>
                <w:lang w:val="es-ES"/>
              </w:rPr>
            </w:pPr>
            <w:r>
              <w:rPr>
                <w:color w:val="000000"/>
                <w:lang w:val="es-ES"/>
              </w:rPr>
              <w:t>Sra. Archana Gulati, Directora Adjunta de la Oficina de Desarrollo de las Telecomunicaciones</w:t>
            </w:r>
          </w:p>
        </w:tc>
      </w:tr>
      <w:tr w:rsidR="00F32A9F" w14:paraId="3D853677" w14:textId="77777777" w:rsidTr="006E2011">
        <w:trPr>
          <w:cantSplit/>
          <w:trHeight w:val="23"/>
        </w:trPr>
        <w:tc>
          <w:tcPr>
            <w:tcW w:w="1276" w:type="dxa"/>
          </w:tcPr>
          <w:p w14:paraId="33AEA3AE" w14:textId="77777777" w:rsidR="00F32A9F" w:rsidRDefault="00F32A9F">
            <w:pPr>
              <w:tabs>
                <w:tab w:val="clear" w:pos="567"/>
                <w:tab w:val="clear" w:pos="1701"/>
                <w:tab w:val="left" w:pos="1871"/>
              </w:tabs>
              <w:spacing w:before="0"/>
              <w:rPr>
                <w:rFonts w:eastAsia="Batang" w:cs="Times New Roman Bold"/>
                <w:sz w:val="22"/>
                <w:szCs w:val="22"/>
                <w:lang w:val="es-ES"/>
              </w:rPr>
            </w:pPr>
          </w:p>
        </w:tc>
        <w:tc>
          <w:tcPr>
            <w:tcW w:w="3402" w:type="dxa"/>
            <w:gridSpan w:val="2"/>
            <w:hideMark/>
          </w:tcPr>
          <w:p w14:paraId="4DCA1357" w14:textId="77777777" w:rsidR="00F32A9F" w:rsidRDefault="00F32A9F">
            <w:pPr>
              <w:tabs>
                <w:tab w:val="clear" w:pos="567"/>
                <w:tab w:val="clear" w:pos="1134"/>
                <w:tab w:val="clear" w:pos="1701"/>
                <w:tab w:val="clear" w:pos="2268"/>
                <w:tab w:val="left" w:pos="1871"/>
                <w:tab w:val="left" w:pos="2302"/>
              </w:tabs>
              <w:overflowPunct/>
              <w:autoSpaceDE/>
              <w:adjustRightInd/>
              <w:spacing w:before="40"/>
              <w:rPr>
                <w:rFonts w:eastAsia="Batang"/>
                <w:szCs w:val="24"/>
                <w:lang w:val="es-ES"/>
              </w:rPr>
            </w:pPr>
            <w:r>
              <w:rPr>
                <w:color w:val="000000"/>
                <w:lang w:val="es-ES"/>
              </w:rPr>
              <w:t>Teléfono:</w:t>
            </w:r>
          </w:p>
        </w:tc>
        <w:tc>
          <w:tcPr>
            <w:tcW w:w="5357" w:type="dxa"/>
            <w:gridSpan w:val="2"/>
            <w:hideMark/>
          </w:tcPr>
          <w:p w14:paraId="5C54D53C" w14:textId="77777777" w:rsidR="00F32A9F" w:rsidRDefault="00F32A9F">
            <w:pPr>
              <w:tabs>
                <w:tab w:val="clear" w:pos="567"/>
                <w:tab w:val="clear" w:pos="1701"/>
                <w:tab w:val="left" w:pos="1871"/>
              </w:tabs>
              <w:spacing w:before="40"/>
              <w:rPr>
                <w:rFonts w:eastAsia="Batang" w:cs="Times New Roman Bold"/>
                <w:szCs w:val="24"/>
                <w:u w:val="single"/>
                <w:lang w:val="es-ES"/>
              </w:rPr>
            </w:pPr>
            <w:r>
              <w:rPr>
                <w:color w:val="000000"/>
                <w:lang w:val="es-ES"/>
              </w:rPr>
              <w:t>+41 22 730 6475</w:t>
            </w:r>
          </w:p>
        </w:tc>
      </w:tr>
      <w:tr w:rsidR="00F32A9F" w14:paraId="6188BB25" w14:textId="77777777" w:rsidTr="006E2011">
        <w:trPr>
          <w:cantSplit/>
          <w:trHeight w:val="23"/>
        </w:trPr>
        <w:tc>
          <w:tcPr>
            <w:tcW w:w="1276" w:type="dxa"/>
          </w:tcPr>
          <w:p w14:paraId="3A873AA3" w14:textId="77777777" w:rsidR="00F32A9F" w:rsidRDefault="00F32A9F">
            <w:pPr>
              <w:tabs>
                <w:tab w:val="clear" w:pos="567"/>
                <w:tab w:val="clear" w:pos="1701"/>
                <w:tab w:val="left" w:pos="1871"/>
              </w:tabs>
              <w:spacing w:before="0"/>
              <w:rPr>
                <w:rFonts w:eastAsia="Batang" w:cs="Times New Roman Bold"/>
                <w:sz w:val="22"/>
                <w:szCs w:val="22"/>
                <w:lang w:val="es-ES"/>
              </w:rPr>
            </w:pPr>
          </w:p>
        </w:tc>
        <w:tc>
          <w:tcPr>
            <w:tcW w:w="3402" w:type="dxa"/>
            <w:gridSpan w:val="2"/>
            <w:hideMark/>
          </w:tcPr>
          <w:p w14:paraId="70E15D06" w14:textId="77777777" w:rsidR="00F32A9F" w:rsidRDefault="00F32A9F">
            <w:pPr>
              <w:tabs>
                <w:tab w:val="clear" w:pos="567"/>
                <w:tab w:val="clear" w:pos="1134"/>
                <w:tab w:val="clear" w:pos="1701"/>
                <w:tab w:val="clear" w:pos="2268"/>
                <w:tab w:val="left" w:pos="1871"/>
                <w:tab w:val="left" w:pos="2302"/>
              </w:tabs>
              <w:overflowPunct/>
              <w:autoSpaceDE/>
              <w:adjustRightInd/>
              <w:spacing w:before="40"/>
              <w:rPr>
                <w:rFonts w:eastAsia="Batang"/>
                <w:szCs w:val="24"/>
                <w:lang w:val="es-ES"/>
              </w:rPr>
            </w:pPr>
            <w:r>
              <w:rPr>
                <w:color w:val="000000"/>
                <w:lang w:val="es-ES"/>
              </w:rPr>
              <w:t>Correo-e:</w:t>
            </w:r>
          </w:p>
        </w:tc>
        <w:tc>
          <w:tcPr>
            <w:tcW w:w="5357" w:type="dxa"/>
            <w:gridSpan w:val="2"/>
            <w:hideMark/>
          </w:tcPr>
          <w:p w14:paraId="10BA98E8" w14:textId="1CF73D05" w:rsidR="00F32A9F" w:rsidRPr="006E2011" w:rsidRDefault="00F32A9F">
            <w:pPr>
              <w:tabs>
                <w:tab w:val="clear" w:pos="567"/>
                <w:tab w:val="clear" w:pos="1701"/>
                <w:tab w:val="left" w:pos="1871"/>
              </w:tabs>
              <w:spacing w:before="40"/>
              <w:rPr>
                <w:rStyle w:val="Hyperlink"/>
              </w:rPr>
            </w:pPr>
            <w:hyperlink r:id="rId10" w:history="1">
              <w:r w:rsidRPr="006E2011">
                <w:rPr>
                  <w:rStyle w:val="Hyperlink"/>
                </w:rPr>
                <w:t>archana.gulati@itu.int</w:t>
              </w:r>
            </w:hyperlink>
          </w:p>
        </w:tc>
      </w:tr>
      <w:tr w:rsidR="00F32A9F" w14:paraId="3975A593" w14:textId="77777777" w:rsidTr="006E2011">
        <w:trPr>
          <w:cantSplit/>
          <w:trHeight w:val="23"/>
        </w:trPr>
        <w:tc>
          <w:tcPr>
            <w:tcW w:w="10035" w:type="dxa"/>
            <w:gridSpan w:val="5"/>
          </w:tcPr>
          <w:p w14:paraId="5580637D" w14:textId="77777777" w:rsidR="00F32A9F" w:rsidRDefault="00F32A9F">
            <w:pPr>
              <w:tabs>
                <w:tab w:val="clear" w:pos="567"/>
                <w:tab w:val="clear" w:pos="1701"/>
                <w:tab w:val="left" w:pos="1871"/>
              </w:tabs>
              <w:spacing w:before="0"/>
              <w:rPr>
                <w:rFonts w:eastAsia="Batang" w:cs="Times New Roman Bold"/>
                <w:szCs w:val="24"/>
                <w:lang w:val="es-ES"/>
              </w:rPr>
            </w:pPr>
          </w:p>
        </w:tc>
      </w:tr>
      <w:tr w:rsidR="00F32A9F" w:rsidRPr="00763A13" w14:paraId="3E8CDD76" w14:textId="77777777" w:rsidTr="006E2011">
        <w:trPr>
          <w:cantSplit/>
          <w:trHeight w:val="23"/>
        </w:trPr>
        <w:tc>
          <w:tcPr>
            <w:tcW w:w="10035" w:type="dxa"/>
            <w:gridSpan w:val="5"/>
            <w:tcBorders>
              <w:top w:val="single" w:sz="4" w:space="0" w:color="auto"/>
              <w:left w:val="single" w:sz="4" w:space="0" w:color="auto"/>
              <w:bottom w:val="single" w:sz="4" w:space="0" w:color="auto"/>
              <w:right w:val="single" w:sz="4" w:space="0" w:color="auto"/>
            </w:tcBorders>
            <w:hideMark/>
          </w:tcPr>
          <w:p w14:paraId="715DD935" w14:textId="77777777" w:rsidR="00F32A9F" w:rsidRDefault="00F32A9F">
            <w:pPr>
              <w:tabs>
                <w:tab w:val="clear" w:pos="567"/>
                <w:tab w:val="clear" w:pos="1701"/>
                <w:tab w:val="left" w:pos="1871"/>
              </w:tabs>
              <w:spacing w:after="120"/>
              <w:rPr>
                <w:rFonts w:eastAsia="Batang"/>
                <w:b/>
                <w:bCs/>
                <w:szCs w:val="24"/>
                <w:lang w:val="es-ES"/>
              </w:rPr>
            </w:pPr>
            <w:r>
              <w:rPr>
                <w:b/>
                <w:bCs/>
                <w:color w:val="000000"/>
                <w:lang w:val="es-ES"/>
              </w:rPr>
              <w:t>Resumen:</w:t>
            </w:r>
          </w:p>
          <w:p w14:paraId="3862BA2B" w14:textId="53EC9DCA" w:rsidR="00F32A9F" w:rsidRDefault="00F32A9F">
            <w:pPr>
              <w:tabs>
                <w:tab w:val="clear" w:pos="567"/>
                <w:tab w:val="clear" w:pos="1701"/>
                <w:tab w:val="left" w:pos="1871"/>
              </w:tabs>
              <w:spacing w:after="120"/>
              <w:rPr>
                <w:rFonts w:eastAsia="Batang" w:cs="Calibri"/>
                <w:color w:val="000000"/>
                <w:shd w:val="clear" w:color="auto" w:fill="FFFFFF"/>
                <w:lang w:val="es-ES"/>
              </w:rPr>
            </w:pPr>
            <w:r>
              <w:rPr>
                <w:color w:val="000000"/>
                <w:lang w:val="es-ES"/>
              </w:rPr>
              <w:t>En esta declaración de coordinación se informa sobre la apreciación del GADT respecto de la labor de la BDT sobre el examen de la presencia regional de la UIT. El GADT respaldó la función esencial que desempeñan las Oficinas Regionales y Zonales para cumplir el Plan Estratégico de la UIT y el Plan de Acción del UIT-D, en apoyo de los Estados Miembros, la participación inclusiva y las iniciativas regionales, y reconoció el elevado nivel de satisfacción comunicado con la capacidad de respuesta y la eficacia de la UIT. Asimismo, el GADT observó las oportunidades de mejora identificadas e invitó al Consejo a seguir examinando las conclusiones detalladas y a tomar medidas concretas al respecto.</w:t>
            </w:r>
          </w:p>
        </w:tc>
      </w:tr>
    </w:tbl>
    <w:p w14:paraId="7AF88C85" w14:textId="6A234B4E" w:rsidR="00F32A9F" w:rsidRDefault="00F32A9F" w:rsidP="004275C4">
      <w:pPr>
        <w:pStyle w:val="Normalaftertitle"/>
        <w:jc w:val="both"/>
        <w:rPr>
          <w:rFonts w:eastAsia="Batang" w:cs="Calibri"/>
          <w:lang w:val="es-ES"/>
        </w:rPr>
      </w:pPr>
      <w:r>
        <w:rPr>
          <w:lang w:val="es-ES"/>
        </w:rPr>
        <w:t xml:space="preserve">La 33.ª reunión del </w:t>
      </w:r>
      <w:proofErr w:type="spellStart"/>
      <w:r>
        <w:rPr>
          <w:lang w:val="es-ES"/>
        </w:rPr>
        <w:t>GADT</w:t>
      </w:r>
      <w:proofErr w:type="spellEnd"/>
      <w:r>
        <w:rPr>
          <w:lang w:val="es-ES"/>
        </w:rPr>
        <w:t xml:space="preserve"> tomó nota con satisfacción del </w:t>
      </w:r>
      <w:r w:rsidR="004275C4">
        <w:rPr>
          <w:lang w:val="es-ES"/>
        </w:rPr>
        <w:t xml:space="preserve">Documento </w:t>
      </w:r>
      <w:proofErr w:type="spellStart"/>
      <w:r>
        <w:rPr>
          <w:lang w:val="es-ES"/>
        </w:rPr>
        <w:t>TDAG</w:t>
      </w:r>
      <w:proofErr w:type="spellEnd"/>
      <w:r>
        <w:rPr>
          <w:lang w:val="es-ES"/>
        </w:rPr>
        <w:t>-26/16 sobre el informe relativo al examen de la presencia regional de la UIT.</w:t>
      </w:r>
    </w:p>
    <w:p w14:paraId="2C33BEE8" w14:textId="1A73E894" w:rsidR="00F32A9F" w:rsidRDefault="00F32A9F" w:rsidP="004275C4">
      <w:pPr>
        <w:jc w:val="both"/>
        <w:rPr>
          <w:lang w:val="es-ES"/>
        </w:rPr>
      </w:pPr>
      <w:r>
        <w:rPr>
          <w:lang w:val="es-ES"/>
        </w:rPr>
        <w:t xml:space="preserve">El GADT examinó las principales conclusiones del estudio sobre la presencia regional, en particular los puntos fuertes y las esferas de mejora. El grupo corroboró que las Oficinas Regionales y Zonales son fundamentales para cumplir el Plan Estratégico de la UIT y el Plan de Acción del UIT-D, al actuar como fiables puntos de contacto con los Estados Miembros, </w:t>
      </w:r>
      <w:r>
        <w:rPr>
          <w:lang w:val="es-ES"/>
        </w:rPr>
        <w:lastRenderedPageBreak/>
        <w:t>promover la participación inclusiva y apoyar las iniciativas regionales. La presencia regional de la UIT se considera reactiva y eficaz, y ha obtenido un elevado nivel de satisfacción entre los Estados Miembros y asociados. Asimismo, el grupo valoró que en el análisis también se hubiesen destacado posibles oportunidades de mejora.</w:t>
      </w:r>
    </w:p>
    <w:p w14:paraId="582F9608" w14:textId="4F0D1613" w:rsidR="00F32A9F" w:rsidRDefault="00F32A9F" w:rsidP="004275C4">
      <w:pPr>
        <w:jc w:val="both"/>
        <w:rPr>
          <w:lang w:val="es-ES"/>
        </w:rPr>
      </w:pPr>
      <w:r>
        <w:rPr>
          <w:lang w:val="es-ES"/>
        </w:rPr>
        <w:t xml:space="preserve">El GADT espera que prosiga el examen </w:t>
      </w:r>
      <w:r w:rsidR="006E2011">
        <w:rPr>
          <w:lang w:val="es-ES"/>
        </w:rPr>
        <w:t xml:space="preserve">de </w:t>
      </w:r>
      <w:r>
        <w:rPr>
          <w:lang w:val="es-ES"/>
        </w:rPr>
        <w:t xml:space="preserve">las conclusiones detalladas, en particular las que figuran en el </w:t>
      </w:r>
      <w:r w:rsidR="004275C4">
        <w:rPr>
          <w:lang w:val="es-ES"/>
        </w:rPr>
        <w:t xml:space="preserve">Documento </w:t>
      </w:r>
      <w:hyperlink r:id="rId11" w:history="1">
        <w:proofErr w:type="spellStart"/>
        <w:r>
          <w:rPr>
            <w:rStyle w:val="Hyperlink"/>
            <w:rFonts w:eastAsia="Batang"/>
            <w:shd w:val="clear" w:color="auto" w:fill="FFFFFF"/>
            <w:lang w:val="es-ES"/>
          </w:rPr>
          <w:t>TDAG</w:t>
        </w:r>
        <w:proofErr w:type="spellEnd"/>
        <w:r>
          <w:rPr>
            <w:rStyle w:val="Hyperlink"/>
            <w:rFonts w:eastAsia="Batang"/>
            <w:shd w:val="clear" w:color="auto" w:fill="FFFFFF"/>
            <w:lang w:val="es-ES"/>
          </w:rPr>
          <w:t>-26/INF/9</w:t>
        </w:r>
      </w:hyperlink>
      <w:r>
        <w:rPr>
          <w:lang w:val="es-ES"/>
        </w:rPr>
        <w:t>, durante la reunión de 2026 del Consejo y que se le informe del correspondiente resultado a fin de tomar medidas apropiadas.</w:t>
      </w:r>
    </w:p>
    <w:p w14:paraId="25455E9F" w14:textId="77777777" w:rsidR="00F92BED" w:rsidRPr="00F32A9F" w:rsidRDefault="00F92BED" w:rsidP="0032202E">
      <w:pPr>
        <w:pStyle w:val="Reasons"/>
        <w:rPr>
          <w:lang w:val="es-ES"/>
        </w:rPr>
      </w:pPr>
    </w:p>
    <w:p w14:paraId="714BB6AD" w14:textId="77777777" w:rsidR="00F92BED" w:rsidRPr="00F92BED" w:rsidRDefault="00F92BED" w:rsidP="00F92BED">
      <w:pPr>
        <w:jc w:val="center"/>
      </w:pPr>
      <w:r>
        <w:t>______________</w:t>
      </w:r>
    </w:p>
    <w:sectPr w:rsidR="00F92BED" w:rsidRPr="00F92BED" w:rsidSect="00C538FC">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DD0E" w14:textId="77777777" w:rsidR="00A825B3" w:rsidRDefault="00A825B3">
      <w:r>
        <w:separator/>
      </w:r>
    </w:p>
  </w:endnote>
  <w:endnote w:type="continuationSeparator" w:id="0">
    <w:p w14:paraId="29FB1587" w14:textId="77777777" w:rsidR="00A825B3" w:rsidRDefault="00A8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0C71F3B1" w14:textId="77777777" w:rsidTr="00E31DCE">
      <w:trPr>
        <w:jc w:val="center"/>
      </w:trPr>
      <w:tc>
        <w:tcPr>
          <w:tcW w:w="1803" w:type="dxa"/>
          <w:vAlign w:val="center"/>
        </w:tcPr>
        <w:p w14:paraId="5BDB72C9" w14:textId="52C17F75" w:rsidR="003273A4" w:rsidRDefault="002946E2" w:rsidP="003273A4">
          <w:pPr>
            <w:pStyle w:val="Header"/>
            <w:jc w:val="left"/>
            <w:rPr>
              <w:noProof/>
            </w:rPr>
          </w:pPr>
          <w:r>
            <w:rPr>
              <w:noProof/>
            </w:rPr>
            <w:t xml:space="preserve">gDoc </w:t>
          </w:r>
          <w:r w:rsidR="00F32A9F" w:rsidRPr="00F32A9F">
            <w:rPr>
              <w:noProof/>
            </w:rPr>
            <w:t>2601022</w:t>
          </w:r>
        </w:p>
      </w:tc>
      <w:tc>
        <w:tcPr>
          <w:tcW w:w="8261" w:type="dxa"/>
        </w:tcPr>
        <w:p w14:paraId="0CCF6C14" w14:textId="77777777"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/xx-</w:t>
          </w:r>
          <w:r>
            <w:rPr>
              <w:bCs/>
            </w:rPr>
            <w:t>S</w:t>
          </w:r>
          <w:r>
            <w:rPr>
              <w:bCs/>
            </w:rPr>
            <w:tab/>
          </w:r>
          <w:r>
            <w:fldChar w:fldCharType="begin"/>
          </w:r>
          <w:r>
            <w:instrText>PAGE</w:instrText>
          </w:r>
          <w:r>
            <w:fldChar w:fldCharType="separate"/>
          </w:r>
          <w:r>
            <w:t>1</w:t>
          </w:r>
          <w:r>
            <w:rPr>
              <w:noProof/>
            </w:rPr>
            <w:fldChar w:fldCharType="end"/>
          </w:r>
        </w:p>
      </w:tc>
    </w:tr>
  </w:tbl>
  <w:p w14:paraId="0A9E782A"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5989A53" w14:textId="77777777" w:rsidTr="00E31DCE">
      <w:trPr>
        <w:jc w:val="center"/>
      </w:trPr>
      <w:tc>
        <w:tcPr>
          <w:tcW w:w="1803" w:type="dxa"/>
          <w:vAlign w:val="center"/>
        </w:tcPr>
        <w:p w14:paraId="3BB08278"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7D8A16C6" w14:textId="20FFD91C"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F32A9F">
            <w:rPr>
              <w:bCs/>
            </w:rPr>
            <w:t>108</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A652750"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BFE8B" w14:textId="77777777" w:rsidR="00A825B3" w:rsidRDefault="00A825B3">
      <w:r>
        <w:t>____________________</w:t>
      </w:r>
    </w:p>
  </w:footnote>
  <w:footnote w:type="continuationSeparator" w:id="0">
    <w:p w14:paraId="70D5BF57" w14:textId="77777777" w:rsidR="00A825B3" w:rsidRDefault="00A82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02B2" w14:textId="77777777" w:rsidR="001559F5" w:rsidRPr="00B1560D" w:rsidRDefault="00B1560D" w:rsidP="00B1560D">
    <w:pPr>
      <w:pStyle w:val="Header"/>
    </w:pPr>
    <w:r>
      <w:rPr>
        <w:noProof/>
      </w:rPr>
      <w:drawing>
        <wp:inline distT="0" distB="0" distL="0" distR="0" wp14:anchorId="5D195F99" wp14:editId="31754939">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B3"/>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77DEA"/>
    <w:rsid w:val="002801AA"/>
    <w:rsid w:val="002946E2"/>
    <w:rsid w:val="002C3F32"/>
    <w:rsid w:val="002C4676"/>
    <w:rsid w:val="002C70B0"/>
    <w:rsid w:val="002F3CC4"/>
    <w:rsid w:val="003032E2"/>
    <w:rsid w:val="0031300A"/>
    <w:rsid w:val="003273A4"/>
    <w:rsid w:val="0034796E"/>
    <w:rsid w:val="004275C4"/>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20DE9"/>
    <w:rsid w:val="006447EA"/>
    <w:rsid w:val="0064481D"/>
    <w:rsid w:val="0064731F"/>
    <w:rsid w:val="00664572"/>
    <w:rsid w:val="00666D09"/>
    <w:rsid w:val="00670579"/>
    <w:rsid w:val="006710F6"/>
    <w:rsid w:val="00677A97"/>
    <w:rsid w:val="006C1B56"/>
    <w:rsid w:val="006D2458"/>
    <w:rsid w:val="006D4761"/>
    <w:rsid w:val="006E2011"/>
    <w:rsid w:val="00726872"/>
    <w:rsid w:val="00760F1C"/>
    <w:rsid w:val="00763A13"/>
    <w:rsid w:val="007657F0"/>
    <w:rsid w:val="0077110E"/>
    <w:rsid w:val="0077252D"/>
    <w:rsid w:val="007955DA"/>
    <w:rsid w:val="007E5DD3"/>
    <w:rsid w:val="007F350B"/>
    <w:rsid w:val="00820BE4"/>
    <w:rsid w:val="008451E8"/>
    <w:rsid w:val="0084546D"/>
    <w:rsid w:val="008C0496"/>
    <w:rsid w:val="008F6ABC"/>
    <w:rsid w:val="00913B9C"/>
    <w:rsid w:val="00927F93"/>
    <w:rsid w:val="00956E77"/>
    <w:rsid w:val="009A338E"/>
    <w:rsid w:val="009A76A8"/>
    <w:rsid w:val="009F4811"/>
    <w:rsid w:val="00A01F4F"/>
    <w:rsid w:val="00A109AF"/>
    <w:rsid w:val="00A15E2F"/>
    <w:rsid w:val="00A825B3"/>
    <w:rsid w:val="00A94438"/>
    <w:rsid w:val="00AA390C"/>
    <w:rsid w:val="00AD5A4D"/>
    <w:rsid w:val="00AF0EAC"/>
    <w:rsid w:val="00B0200A"/>
    <w:rsid w:val="00B060DF"/>
    <w:rsid w:val="00B1560D"/>
    <w:rsid w:val="00B574DB"/>
    <w:rsid w:val="00B76A34"/>
    <w:rsid w:val="00B826C2"/>
    <w:rsid w:val="00B8298E"/>
    <w:rsid w:val="00BB6FD8"/>
    <w:rsid w:val="00BD0723"/>
    <w:rsid w:val="00BD2518"/>
    <w:rsid w:val="00BF1D1C"/>
    <w:rsid w:val="00C20C59"/>
    <w:rsid w:val="00C2727F"/>
    <w:rsid w:val="00C4421B"/>
    <w:rsid w:val="00C538FC"/>
    <w:rsid w:val="00C55B1F"/>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9332E"/>
    <w:rsid w:val="00EB1212"/>
    <w:rsid w:val="00ED65AB"/>
    <w:rsid w:val="00F12850"/>
    <w:rsid w:val="00F24B71"/>
    <w:rsid w:val="00F32A9F"/>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0B196D"/>
  <w15:docId w15:val="{DB8DFEA4-C74F-4B20-BB25-2E832073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customStyle="1" w:styleId="Title1NotAllcaps">
    <w:name w:val="Title 1 + Not All caps"/>
    <w:basedOn w:val="Title1"/>
    <w:rsid w:val="00A15E2F"/>
    <w:pPr>
      <w:framePr w:hSpace="180" w:wrap="around" w:hAnchor="margin" w:y="-525"/>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1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tu.int/md/D26-TDAG33-C-0016/es"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md/D26-TDAG33-260407-TD-0009/es" TargetMode="External"/><Relationship Id="rId11" Type="http://schemas.openxmlformats.org/officeDocument/2006/relationships/hyperlink" Target="https://www.itu.int/md/D26-TDAG33-260407-TD-0009/e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archana.gulati@itu.int" TargetMode="External"/><Relationship Id="rId4" Type="http://schemas.openxmlformats.org/officeDocument/2006/relationships/footnotes" Target="footnotes.xml"/><Relationship Id="rId9" Type="http://schemas.openxmlformats.org/officeDocument/2006/relationships/hyperlink" Target="mailto:bessou.regina@artci.ci"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2</TotalTime>
  <Pages>3</Pages>
  <Words>590</Words>
  <Characters>3540</Characters>
  <Application>Microsoft Office Word</Application>
  <DocSecurity>0</DocSecurity>
  <Lines>63</Lines>
  <Paragraphs>17</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Declaración de coordinación al Consejo de 2026 sobre el Informe relativo al examen de la presencia regional de la UIT</vt:lpstr>
    </vt:vector>
  </TitlesOfParts>
  <Manager>Secretaría General - Pool</Manager>
  <Company>International Telecommunication Union</Company>
  <LinksUpToDate>false</LinksUpToDate>
  <CharactersWithSpaces>4113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de coordinación al Consejo de 2026 sobre el Informe relativo al examen de la presencia regional de la UIT</dc:title>
  <dc:subject>Consejo 2026 de la UIT</dc:subject>
  <cp:keywords>C26; C2026; Council 2026; PP26</cp:keywords>
  <dc:description/>
  <cp:lastPrinted>2006-03-24T09:51:00Z</cp:lastPrinted>
  <dcterms:created xsi:type="dcterms:W3CDTF">2026-04-22T13:19:00Z</dcterms:created>
  <dcterms:modified xsi:type="dcterms:W3CDTF">2026-04-22T13:20:00Z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