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F143FE" w14:paraId="7DDF1E96" w14:textId="77777777" w:rsidTr="00796BDB">
        <w:trPr>
          <w:cantSplit/>
          <w:trHeight w:val="23"/>
        </w:trPr>
        <w:tc>
          <w:tcPr>
            <w:tcW w:w="3969" w:type="dxa"/>
            <w:vMerge w:val="restart"/>
            <w:tcMar>
              <w:left w:w="0" w:type="dxa"/>
            </w:tcMar>
          </w:tcPr>
          <w:p w14:paraId="33DAF700" w14:textId="6F925C72" w:rsidR="00D72F49" w:rsidRPr="00F143FE" w:rsidRDefault="00D72F49" w:rsidP="00796BDB">
            <w:pPr>
              <w:tabs>
                <w:tab w:val="left" w:pos="851"/>
              </w:tabs>
              <w:spacing w:before="0" w:line="240" w:lineRule="atLeast"/>
              <w:rPr>
                <w:b/>
              </w:rPr>
            </w:pPr>
            <w:r w:rsidRPr="00F143FE">
              <w:rPr>
                <w:b/>
              </w:rPr>
              <w:t xml:space="preserve">Point de l'ordre du </w:t>
            </w:r>
            <w:proofErr w:type="gramStart"/>
            <w:r w:rsidRPr="00F143FE">
              <w:rPr>
                <w:b/>
              </w:rPr>
              <w:t>jour:</w:t>
            </w:r>
            <w:proofErr w:type="gramEnd"/>
            <w:r w:rsidR="00CC0EED" w:rsidRPr="00F143FE">
              <w:rPr>
                <w:b/>
              </w:rPr>
              <w:t xml:space="preserve"> </w:t>
            </w:r>
            <w:proofErr w:type="spellStart"/>
            <w:r w:rsidR="00CC0EED" w:rsidRPr="00F143FE">
              <w:rPr>
                <w:b/>
                <w:bCs/>
                <w:color w:val="000000"/>
              </w:rPr>
              <w:t>PL</w:t>
            </w:r>
            <w:r w:rsidR="00676D74">
              <w:rPr>
                <w:b/>
                <w:bCs/>
                <w:color w:val="000000"/>
              </w:rPr>
              <w:t>-</w:t>
            </w:r>
            <w:r w:rsidR="00CC0EED" w:rsidRPr="00F143FE">
              <w:rPr>
                <w:b/>
                <w:bCs/>
                <w:color w:val="000000"/>
              </w:rPr>
              <w:t>2</w:t>
            </w:r>
            <w:proofErr w:type="spellEnd"/>
          </w:p>
        </w:tc>
        <w:tc>
          <w:tcPr>
            <w:tcW w:w="5245" w:type="dxa"/>
          </w:tcPr>
          <w:p w14:paraId="72428B18" w14:textId="57A99487" w:rsidR="00D72F49" w:rsidRPr="00F143FE" w:rsidRDefault="00D72F49" w:rsidP="00796BDB">
            <w:pPr>
              <w:tabs>
                <w:tab w:val="left" w:pos="851"/>
              </w:tabs>
              <w:spacing w:before="0" w:line="240" w:lineRule="atLeast"/>
              <w:jc w:val="right"/>
              <w:rPr>
                <w:b/>
              </w:rPr>
            </w:pPr>
            <w:r w:rsidRPr="00F143FE">
              <w:rPr>
                <w:b/>
              </w:rPr>
              <w:t>Document C2</w:t>
            </w:r>
            <w:r w:rsidR="00E4448E" w:rsidRPr="00F143FE">
              <w:rPr>
                <w:b/>
              </w:rPr>
              <w:t>6</w:t>
            </w:r>
            <w:r w:rsidRPr="00F143FE">
              <w:rPr>
                <w:b/>
              </w:rPr>
              <w:t>/</w:t>
            </w:r>
            <w:r w:rsidR="00CC0EED" w:rsidRPr="00F143FE">
              <w:rPr>
                <w:b/>
              </w:rPr>
              <w:t>108</w:t>
            </w:r>
            <w:r w:rsidRPr="00F143FE">
              <w:rPr>
                <w:b/>
              </w:rPr>
              <w:t>-F</w:t>
            </w:r>
          </w:p>
        </w:tc>
      </w:tr>
      <w:tr w:rsidR="00D72F49" w:rsidRPr="00F143FE" w14:paraId="0347D535" w14:textId="77777777" w:rsidTr="00796BDB">
        <w:trPr>
          <w:cantSplit/>
        </w:trPr>
        <w:tc>
          <w:tcPr>
            <w:tcW w:w="3969" w:type="dxa"/>
            <w:vMerge/>
          </w:tcPr>
          <w:p w14:paraId="73A55EE5" w14:textId="77777777" w:rsidR="00D72F49" w:rsidRPr="00F143FE" w:rsidRDefault="00D72F49" w:rsidP="00796BDB">
            <w:pPr>
              <w:tabs>
                <w:tab w:val="left" w:pos="851"/>
              </w:tabs>
              <w:spacing w:line="240" w:lineRule="atLeast"/>
              <w:rPr>
                <w:b/>
              </w:rPr>
            </w:pPr>
          </w:p>
        </w:tc>
        <w:tc>
          <w:tcPr>
            <w:tcW w:w="5245" w:type="dxa"/>
          </w:tcPr>
          <w:p w14:paraId="2A366184" w14:textId="207A06E7" w:rsidR="00D72F49" w:rsidRPr="00F143FE" w:rsidRDefault="00CC0EED" w:rsidP="00796BDB">
            <w:pPr>
              <w:tabs>
                <w:tab w:val="left" w:pos="851"/>
              </w:tabs>
              <w:spacing w:before="0"/>
              <w:jc w:val="right"/>
              <w:rPr>
                <w:b/>
              </w:rPr>
            </w:pPr>
            <w:r w:rsidRPr="00F143FE">
              <w:rPr>
                <w:b/>
              </w:rPr>
              <w:t>17 avril 2026</w:t>
            </w:r>
          </w:p>
        </w:tc>
      </w:tr>
      <w:tr w:rsidR="00D72F49" w:rsidRPr="00F143FE" w14:paraId="0BCC2A9E" w14:textId="77777777" w:rsidTr="00796BDB">
        <w:trPr>
          <w:cantSplit/>
          <w:trHeight w:val="23"/>
        </w:trPr>
        <w:tc>
          <w:tcPr>
            <w:tcW w:w="3969" w:type="dxa"/>
            <w:vMerge/>
          </w:tcPr>
          <w:p w14:paraId="75CAF3F8" w14:textId="77777777" w:rsidR="00D72F49" w:rsidRPr="00F143FE" w:rsidRDefault="00D72F49" w:rsidP="00796BDB">
            <w:pPr>
              <w:tabs>
                <w:tab w:val="left" w:pos="851"/>
              </w:tabs>
              <w:spacing w:line="240" w:lineRule="atLeast"/>
              <w:rPr>
                <w:b/>
              </w:rPr>
            </w:pPr>
          </w:p>
        </w:tc>
        <w:tc>
          <w:tcPr>
            <w:tcW w:w="5245" w:type="dxa"/>
          </w:tcPr>
          <w:p w14:paraId="05FE6743" w14:textId="77777777" w:rsidR="00D72F49" w:rsidRPr="00F143FE" w:rsidRDefault="00D72F49" w:rsidP="00796BDB">
            <w:pPr>
              <w:tabs>
                <w:tab w:val="left" w:pos="851"/>
              </w:tabs>
              <w:spacing w:before="0" w:line="240" w:lineRule="atLeast"/>
              <w:jc w:val="right"/>
              <w:rPr>
                <w:b/>
              </w:rPr>
            </w:pPr>
            <w:r w:rsidRPr="00F143FE">
              <w:rPr>
                <w:b/>
              </w:rPr>
              <w:t>Original: anglais</w:t>
            </w:r>
          </w:p>
        </w:tc>
      </w:tr>
      <w:tr w:rsidR="00D72F49" w:rsidRPr="00F143FE" w14:paraId="5077D48C" w14:textId="77777777" w:rsidTr="00796BDB">
        <w:trPr>
          <w:cantSplit/>
          <w:trHeight w:val="23"/>
        </w:trPr>
        <w:tc>
          <w:tcPr>
            <w:tcW w:w="3969" w:type="dxa"/>
          </w:tcPr>
          <w:p w14:paraId="328BA87F" w14:textId="77777777" w:rsidR="00D72F49" w:rsidRPr="00F143FE" w:rsidRDefault="00D72F49" w:rsidP="00796BDB">
            <w:pPr>
              <w:tabs>
                <w:tab w:val="left" w:pos="851"/>
              </w:tabs>
              <w:spacing w:line="240" w:lineRule="atLeast"/>
              <w:rPr>
                <w:b/>
              </w:rPr>
            </w:pPr>
          </w:p>
        </w:tc>
        <w:tc>
          <w:tcPr>
            <w:tcW w:w="5245" w:type="dxa"/>
          </w:tcPr>
          <w:p w14:paraId="32CBD359" w14:textId="77777777" w:rsidR="00D72F49" w:rsidRPr="00F143FE" w:rsidRDefault="00D72F49" w:rsidP="00796BDB">
            <w:pPr>
              <w:tabs>
                <w:tab w:val="left" w:pos="851"/>
              </w:tabs>
              <w:spacing w:before="0" w:line="240" w:lineRule="atLeast"/>
              <w:jc w:val="right"/>
              <w:rPr>
                <w:b/>
              </w:rPr>
            </w:pPr>
          </w:p>
        </w:tc>
      </w:tr>
      <w:tr w:rsidR="00D72F49" w:rsidRPr="00F143FE" w14:paraId="4FFB803F" w14:textId="77777777" w:rsidTr="00796BDB">
        <w:trPr>
          <w:cantSplit/>
        </w:trPr>
        <w:tc>
          <w:tcPr>
            <w:tcW w:w="9214" w:type="dxa"/>
            <w:gridSpan w:val="2"/>
            <w:tcMar>
              <w:left w:w="0" w:type="dxa"/>
            </w:tcMar>
          </w:tcPr>
          <w:p w14:paraId="2021E92F" w14:textId="53F6CEB2" w:rsidR="00D72F49" w:rsidRPr="00676D74" w:rsidRDefault="00CC0EED" w:rsidP="00676D74">
            <w:pPr>
              <w:pStyle w:val="Source"/>
              <w:framePr w:hSpace="0" w:wrap="auto" w:vAnchor="margin" w:hAnchor="text" w:xAlign="left" w:yAlign="inline"/>
            </w:pPr>
            <w:r w:rsidRPr="00676D74">
              <w:t>Présidente du Groupe consultatif pour le développement des télécommunications (</w:t>
            </w:r>
            <w:proofErr w:type="spellStart"/>
            <w:r w:rsidRPr="00676D74">
              <w:t>GCDT</w:t>
            </w:r>
            <w:proofErr w:type="spellEnd"/>
            <w:r w:rsidRPr="00676D74">
              <w:t>)</w:t>
            </w:r>
          </w:p>
        </w:tc>
      </w:tr>
      <w:tr w:rsidR="00D72F49" w:rsidRPr="00F143FE" w14:paraId="3D403BB5" w14:textId="77777777" w:rsidTr="00796BDB">
        <w:trPr>
          <w:cantSplit/>
        </w:trPr>
        <w:tc>
          <w:tcPr>
            <w:tcW w:w="9214" w:type="dxa"/>
            <w:gridSpan w:val="2"/>
            <w:tcMar>
              <w:left w:w="0" w:type="dxa"/>
            </w:tcMar>
          </w:tcPr>
          <w:p w14:paraId="7E73D85C" w14:textId="70F6A26E" w:rsidR="00D72F49" w:rsidRPr="00F143FE" w:rsidRDefault="00851340" w:rsidP="00796BDB">
            <w:pPr>
              <w:pStyle w:val="Subtitle"/>
              <w:framePr w:hSpace="0" w:wrap="auto" w:hAnchor="text" w:xAlign="left" w:yAlign="inline"/>
              <w:rPr>
                <w:sz w:val="32"/>
                <w:szCs w:val="32"/>
                <w:lang w:val="fr-FR"/>
              </w:rPr>
            </w:pPr>
            <w:r w:rsidRPr="00F143FE">
              <w:rPr>
                <w:rFonts w:cstheme="minorHAnsi"/>
                <w:sz w:val="32"/>
                <w:szCs w:val="32"/>
                <w:lang w:val="fr-FR"/>
              </w:rPr>
              <w:t>NOTE DE LIAISON À LA SESSION DE 2026 DU CONSEIL SUR LE RAPPORT SUR L'EXAMEN DE LA PRÉSENCE RÉGIONALE DE L'UIT</w:t>
            </w:r>
          </w:p>
        </w:tc>
      </w:tr>
      <w:tr w:rsidR="00D72F49" w:rsidRPr="00F143FE" w14:paraId="26F473F3" w14:textId="77777777" w:rsidTr="00796BDB">
        <w:trPr>
          <w:cantSplit/>
        </w:trPr>
        <w:tc>
          <w:tcPr>
            <w:tcW w:w="9214" w:type="dxa"/>
            <w:gridSpan w:val="2"/>
            <w:tcBorders>
              <w:top w:val="single" w:sz="4" w:space="0" w:color="auto"/>
              <w:bottom w:val="single" w:sz="4" w:space="0" w:color="auto"/>
            </w:tcBorders>
            <w:tcMar>
              <w:left w:w="0" w:type="dxa"/>
            </w:tcMar>
          </w:tcPr>
          <w:p w14:paraId="643F5303" w14:textId="77777777" w:rsidR="00D72F49" w:rsidRPr="00F143FE" w:rsidRDefault="00F37FE5" w:rsidP="00796BDB">
            <w:pPr>
              <w:spacing w:before="160"/>
              <w:rPr>
                <w:b/>
                <w:bCs/>
                <w:sz w:val="26"/>
                <w:szCs w:val="26"/>
              </w:rPr>
            </w:pPr>
            <w:r w:rsidRPr="00F143FE">
              <w:rPr>
                <w:b/>
                <w:bCs/>
                <w:sz w:val="26"/>
                <w:szCs w:val="26"/>
              </w:rPr>
              <w:t>Objet</w:t>
            </w:r>
          </w:p>
          <w:p w14:paraId="6C608622" w14:textId="1C0B230D" w:rsidR="00D72F49" w:rsidRPr="00F143FE" w:rsidRDefault="00CC0EED" w:rsidP="00851340">
            <w:pPr>
              <w:jc w:val="both"/>
            </w:pPr>
            <w:r w:rsidRPr="00F143FE">
              <w:t>Dans la présente note de liaison, le Groupe consultatif pour le développement des télécommunications (GCDT) se félicite du travail accompli par le Bureau de développement des télécommunications (BDT) concernant l'examen de la présence régionale de l'Union internationale des télécommunications (UIT). Le GCDT a reconnu le rôle essentiel des bureaux régionaux et des bureaux de zone pour exécuter le Plan stratégique de l'UIT et le Plan d'action du Secteur du développement des télécommunications de l'UIT (UIT-D), ainsi que pour soutenir les États Membres, une participation inclusive et les initiatives régionales, et a pris acte du niveau élevé de satisfaction exprimé quant à la réactivité et à l'efficacité de l'UIT. Le GCDT a également pris note des possibilités d'amélioration recensées et invite le Conseil à poursuivre l'examen des conclusions détaillées et à prendre des mesures concrètes.</w:t>
            </w:r>
          </w:p>
          <w:p w14:paraId="4E06C3B5" w14:textId="77777777" w:rsidR="00D72F49" w:rsidRPr="00F143FE" w:rsidRDefault="00D72F49" w:rsidP="00796BDB">
            <w:pPr>
              <w:spacing w:before="160"/>
              <w:rPr>
                <w:b/>
                <w:bCs/>
                <w:sz w:val="26"/>
                <w:szCs w:val="26"/>
              </w:rPr>
            </w:pPr>
            <w:r w:rsidRPr="00F143FE">
              <w:rPr>
                <w:b/>
                <w:bCs/>
                <w:sz w:val="26"/>
                <w:szCs w:val="26"/>
              </w:rPr>
              <w:t>Suite à donner par le Conseil</w:t>
            </w:r>
          </w:p>
          <w:p w14:paraId="748ECC3F" w14:textId="4CFCA11B" w:rsidR="00D72F49" w:rsidRPr="00F143FE" w:rsidRDefault="00CC0EED" w:rsidP="00796BDB">
            <w:r w:rsidRPr="00F143FE">
              <w:t xml:space="preserve">Le Conseil est prié de </w:t>
            </w:r>
            <w:r w:rsidRPr="00F143FE">
              <w:rPr>
                <w:b/>
                <w:bCs/>
              </w:rPr>
              <w:t>prendre les mesures appropriées</w:t>
            </w:r>
            <w:r w:rsidRPr="00F143FE">
              <w:t>.</w:t>
            </w:r>
          </w:p>
          <w:p w14:paraId="1EE7893A" w14:textId="77777777" w:rsidR="00D72F49" w:rsidRPr="00F143FE" w:rsidRDefault="00D72F49" w:rsidP="00796BDB">
            <w:pPr>
              <w:spacing w:before="160"/>
              <w:rPr>
                <w:caps/>
                <w:sz w:val="22"/>
              </w:rPr>
            </w:pPr>
            <w:r w:rsidRPr="00F143FE">
              <w:rPr>
                <w:sz w:val="22"/>
              </w:rPr>
              <w:t>__________________</w:t>
            </w:r>
          </w:p>
          <w:p w14:paraId="33883E01" w14:textId="77777777" w:rsidR="00D72F49" w:rsidRPr="00F143FE" w:rsidRDefault="00D72F49" w:rsidP="00796BDB">
            <w:pPr>
              <w:spacing w:before="160"/>
              <w:rPr>
                <w:b/>
                <w:bCs/>
                <w:sz w:val="26"/>
                <w:szCs w:val="26"/>
              </w:rPr>
            </w:pPr>
            <w:r w:rsidRPr="00F143FE">
              <w:rPr>
                <w:b/>
                <w:bCs/>
                <w:sz w:val="26"/>
                <w:szCs w:val="26"/>
              </w:rPr>
              <w:t>Références</w:t>
            </w:r>
          </w:p>
          <w:p w14:paraId="0CBF6E3B" w14:textId="302C292B" w:rsidR="00D72F49" w:rsidRPr="00851340" w:rsidRDefault="00CC0EED" w:rsidP="00CE5172">
            <w:pPr>
              <w:pStyle w:val="Referencetext"/>
              <w:framePr w:hSpace="0" w:wrap="auto" w:vAnchor="margin" w:hAnchor="text" w:xAlign="left" w:yAlign="inline"/>
            </w:pPr>
            <w:hyperlink r:id="rId7" w:history="1">
              <w:r w:rsidRPr="00851340">
                <w:rPr>
                  <w:rStyle w:val="Hyperlink"/>
                  <w:rFonts w:eastAsia="Times New Roman" w:cs="Times New Roman"/>
                </w:rPr>
                <w:t xml:space="preserve">Documents </w:t>
              </w:r>
              <w:r w:rsidRPr="00851340">
                <w:rPr>
                  <w:rStyle w:val="Hyperlink"/>
                  <w:shd w:val="clear" w:color="auto" w:fill="FFFFFF"/>
                </w:rPr>
                <w:t>TDAG-26/INF/9</w:t>
              </w:r>
            </w:hyperlink>
            <w:r w:rsidR="009E3E7B" w:rsidRPr="00851340">
              <w:rPr>
                <w:color w:val="000000"/>
              </w:rPr>
              <w:t xml:space="preserve"> et</w:t>
            </w:r>
            <w:r w:rsidRPr="00851340">
              <w:rPr>
                <w:color w:val="000000"/>
              </w:rPr>
              <w:t xml:space="preserve"> </w:t>
            </w:r>
            <w:hyperlink r:id="rId8" w:history="1">
              <w:r w:rsidRPr="00851340">
                <w:rPr>
                  <w:rStyle w:val="Hyperlink"/>
                  <w:shd w:val="clear" w:color="auto" w:fill="FFFFFF"/>
                </w:rPr>
                <w:t>TDAG-26/</w:t>
              </w:r>
              <w:r w:rsidR="009E3E7B" w:rsidRPr="00851340">
                <w:rPr>
                  <w:rStyle w:val="Hyperlink"/>
                  <w:rFonts w:eastAsia="Times New Roman" w:cs="Times New Roman"/>
                </w:rPr>
                <w:t>16</w:t>
              </w:r>
            </w:hyperlink>
          </w:p>
        </w:tc>
      </w:tr>
    </w:tbl>
    <w:p w14:paraId="243B39BC" w14:textId="77777777" w:rsidR="00A51849" w:rsidRPr="00F143FE" w:rsidRDefault="00A51849">
      <w:pPr>
        <w:tabs>
          <w:tab w:val="clear" w:pos="567"/>
          <w:tab w:val="clear" w:pos="1134"/>
          <w:tab w:val="clear" w:pos="1701"/>
          <w:tab w:val="clear" w:pos="2268"/>
          <w:tab w:val="clear" w:pos="2835"/>
        </w:tabs>
        <w:overflowPunct/>
        <w:autoSpaceDE/>
        <w:autoSpaceDN/>
        <w:adjustRightInd/>
        <w:spacing w:before="0"/>
        <w:textAlignment w:val="auto"/>
      </w:pPr>
      <w:r w:rsidRPr="00F143FE">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1418"/>
        <w:gridCol w:w="1559"/>
        <w:gridCol w:w="2126"/>
        <w:gridCol w:w="3509"/>
      </w:tblGrid>
      <w:tr w:rsidR="00CC0EED" w:rsidRPr="00F143FE" w14:paraId="055E2DB8" w14:textId="77777777" w:rsidTr="0067150F">
        <w:trPr>
          <w:cantSplit/>
          <w:trHeight w:val="1134"/>
        </w:trPr>
        <w:tc>
          <w:tcPr>
            <w:tcW w:w="6379" w:type="dxa"/>
            <w:gridSpan w:val="4"/>
          </w:tcPr>
          <w:p w14:paraId="7957E997" w14:textId="77777777" w:rsidR="00CC0EED" w:rsidRPr="00F143FE" w:rsidRDefault="00CC0EED" w:rsidP="0067150F">
            <w:pPr>
              <w:spacing w:before="240" w:after="240"/>
              <w:ind w:left="34"/>
              <w:rPr>
                <w:b/>
                <w:bCs/>
                <w:sz w:val="32"/>
                <w:szCs w:val="32"/>
              </w:rPr>
            </w:pPr>
            <w:r w:rsidRPr="00F143FE">
              <w:rPr>
                <w:b/>
                <w:bCs/>
                <w:sz w:val="32"/>
                <w:szCs w:val="32"/>
              </w:rPr>
              <w:lastRenderedPageBreak/>
              <w:t xml:space="preserve">Groupe consultatif pour le développement </w:t>
            </w:r>
            <w:r w:rsidRPr="00F143FE">
              <w:rPr>
                <w:b/>
                <w:bCs/>
                <w:sz w:val="32"/>
                <w:szCs w:val="32"/>
              </w:rPr>
              <w:br/>
              <w:t>des télécommunications (GCDT)</w:t>
            </w:r>
          </w:p>
          <w:p w14:paraId="3CA94E27" w14:textId="77777777" w:rsidR="00CC0EED" w:rsidRPr="00F143FE" w:rsidRDefault="00CC0EED" w:rsidP="0067150F">
            <w:pPr>
              <w:spacing w:after="120"/>
              <w:ind w:left="34"/>
              <w:rPr>
                <w:rFonts w:ascii="Verdana" w:hAnsi="Verdana"/>
                <w:sz w:val="28"/>
                <w:szCs w:val="28"/>
              </w:rPr>
            </w:pPr>
            <w:r w:rsidRPr="00F143FE">
              <w:rPr>
                <w:b/>
                <w:bCs/>
                <w:sz w:val="26"/>
                <w:szCs w:val="26"/>
              </w:rPr>
              <w:t>33ème réunion, Genève, Suisse, 7-10 avril 2026</w:t>
            </w:r>
          </w:p>
        </w:tc>
        <w:tc>
          <w:tcPr>
            <w:tcW w:w="3509" w:type="dxa"/>
          </w:tcPr>
          <w:p w14:paraId="4627F13B" w14:textId="77777777" w:rsidR="00CC0EED" w:rsidRPr="00F143FE" w:rsidRDefault="00CC0EED" w:rsidP="0067150F">
            <w:pPr>
              <w:spacing w:before="240" w:after="120"/>
              <w:ind w:right="142"/>
              <w:jc w:val="right"/>
            </w:pPr>
            <w:r w:rsidRPr="00F143FE">
              <w:rPr>
                <w:noProof/>
                <w:lang w:eastAsia="en-GB"/>
              </w:rPr>
              <w:drawing>
                <wp:inline distT="0" distB="0" distL="0" distR="0" wp14:anchorId="766CB593" wp14:editId="437EC981">
                  <wp:extent cx="712470" cy="785496"/>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296" cy="787509"/>
                          </a:xfrm>
                          <a:prstGeom prst="rect">
                            <a:avLst/>
                          </a:prstGeom>
                        </pic:spPr>
                      </pic:pic>
                    </a:graphicData>
                  </a:graphic>
                </wp:inline>
              </w:drawing>
            </w:r>
          </w:p>
        </w:tc>
      </w:tr>
      <w:tr w:rsidR="00CC0EED" w:rsidRPr="00F143FE" w14:paraId="547BE628" w14:textId="77777777" w:rsidTr="0067150F">
        <w:trPr>
          <w:cantSplit/>
        </w:trPr>
        <w:tc>
          <w:tcPr>
            <w:tcW w:w="6379" w:type="dxa"/>
            <w:gridSpan w:val="4"/>
            <w:tcBorders>
              <w:top w:val="single" w:sz="12" w:space="0" w:color="auto"/>
            </w:tcBorders>
          </w:tcPr>
          <w:p w14:paraId="090C91B0" w14:textId="77777777" w:rsidR="00CC0EED" w:rsidRPr="00F143FE" w:rsidRDefault="00CC0EED" w:rsidP="0067150F">
            <w:pPr>
              <w:spacing w:before="0"/>
              <w:rPr>
                <w:rFonts w:cs="Arial"/>
                <w:b/>
                <w:bCs/>
                <w:sz w:val="20"/>
              </w:rPr>
            </w:pPr>
          </w:p>
        </w:tc>
        <w:tc>
          <w:tcPr>
            <w:tcW w:w="3509" w:type="dxa"/>
            <w:tcBorders>
              <w:top w:val="single" w:sz="12" w:space="0" w:color="auto"/>
            </w:tcBorders>
          </w:tcPr>
          <w:p w14:paraId="423DB600" w14:textId="77777777" w:rsidR="00CC0EED" w:rsidRPr="00F143FE" w:rsidRDefault="00CC0EED" w:rsidP="0067150F">
            <w:pPr>
              <w:spacing w:before="0"/>
              <w:rPr>
                <w:b/>
                <w:bCs/>
                <w:sz w:val="20"/>
              </w:rPr>
            </w:pPr>
          </w:p>
        </w:tc>
      </w:tr>
      <w:tr w:rsidR="00CC0EED" w:rsidRPr="00F143FE" w14:paraId="26141AF3" w14:textId="77777777" w:rsidTr="0067150F">
        <w:trPr>
          <w:cantSplit/>
        </w:trPr>
        <w:tc>
          <w:tcPr>
            <w:tcW w:w="6379" w:type="dxa"/>
            <w:gridSpan w:val="4"/>
          </w:tcPr>
          <w:p w14:paraId="3039634D" w14:textId="77777777" w:rsidR="00CC0EED" w:rsidRPr="00F143FE" w:rsidRDefault="00CC0EED" w:rsidP="0067150F">
            <w:pPr>
              <w:pStyle w:val="Committee"/>
              <w:spacing w:before="0"/>
              <w:rPr>
                <w:b w:val="0"/>
                <w:szCs w:val="24"/>
                <w:lang w:val="fr-FR"/>
              </w:rPr>
            </w:pPr>
          </w:p>
        </w:tc>
        <w:tc>
          <w:tcPr>
            <w:tcW w:w="3509" w:type="dxa"/>
          </w:tcPr>
          <w:p w14:paraId="24A3417D" w14:textId="3DEC2A98" w:rsidR="00CC0EED" w:rsidRPr="00F143FE" w:rsidRDefault="00CC0EED" w:rsidP="0067150F">
            <w:pPr>
              <w:spacing w:before="0"/>
              <w:jc w:val="both"/>
              <w:rPr>
                <w:bCs/>
                <w:szCs w:val="24"/>
              </w:rPr>
            </w:pPr>
            <w:r w:rsidRPr="00F143FE">
              <w:rPr>
                <w:b/>
                <w:bCs/>
                <w:color w:val="000000"/>
              </w:rPr>
              <w:t>TDAG-26 – LS 4</w:t>
            </w:r>
          </w:p>
        </w:tc>
      </w:tr>
      <w:tr w:rsidR="00CC0EED" w:rsidRPr="00F143FE" w14:paraId="44DEC7F1" w14:textId="77777777" w:rsidTr="0067150F">
        <w:trPr>
          <w:cantSplit/>
        </w:trPr>
        <w:tc>
          <w:tcPr>
            <w:tcW w:w="6379" w:type="dxa"/>
            <w:gridSpan w:val="4"/>
          </w:tcPr>
          <w:p w14:paraId="6C5A9B24" w14:textId="77777777" w:rsidR="00CC0EED" w:rsidRPr="00F143FE" w:rsidRDefault="00CC0EED" w:rsidP="0067150F">
            <w:pPr>
              <w:spacing w:before="0"/>
              <w:rPr>
                <w:b/>
                <w:bCs/>
                <w:smallCaps/>
                <w:szCs w:val="24"/>
              </w:rPr>
            </w:pPr>
          </w:p>
        </w:tc>
        <w:tc>
          <w:tcPr>
            <w:tcW w:w="3509" w:type="dxa"/>
          </w:tcPr>
          <w:p w14:paraId="6AFE9D20" w14:textId="10E8E946" w:rsidR="00CC0EED" w:rsidRPr="00F143FE" w:rsidRDefault="00CC0EED" w:rsidP="0067150F">
            <w:pPr>
              <w:spacing w:before="0"/>
              <w:rPr>
                <w:b/>
                <w:szCs w:val="24"/>
              </w:rPr>
            </w:pPr>
            <w:bookmarkStart w:id="0" w:name="CreationDate"/>
            <w:bookmarkEnd w:id="0"/>
            <w:r w:rsidRPr="00F143FE">
              <w:rPr>
                <w:b/>
                <w:bCs/>
                <w:color w:val="000000"/>
              </w:rPr>
              <w:t>10 avril 2026</w:t>
            </w:r>
          </w:p>
        </w:tc>
      </w:tr>
      <w:tr w:rsidR="00CC0EED" w:rsidRPr="00F143FE" w14:paraId="56898AC1" w14:textId="77777777" w:rsidTr="0067150F">
        <w:trPr>
          <w:cantSplit/>
        </w:trPr>
        <w:tc>
          <w:tcPr>
            <w:tcW w:w="6379" w:type="dxa"/>
            <w:gridSpan w:val="4"/>
          </w:tcPr>
          <w:p w14:paraId="31A93102" w14:textId="77777777" w:rsidR="00CC0EED" w:rsidRPr="00F143FE" w:rsidRDefault="00CC0EED" w:rsidP="0067150F">
            <w:pPr>
              <w:spacing w:before="0"/>
              <w:rPr>
                <w:b/>
                <w:bCs/>
                <w:smallCaps/>
                <w:szCs w:val="24"/>
              </w:rPr>
            </w:pPr>
          </w:p>
        </w:tc>
        <w:tc>
          <w:tcPr>
            <w:tcW w:w="3509" w:type="dxa"/>
          </w:tcPr>
          <w:p w14:paraId="42C9E601" w14:textId="77777777" w:rsidR="00CC0EED" w:rsidRPr="00F143FE" w:rsidRDefault="00CC0EED" w:rsidP="0067150F">
            <w:pPr>
              <w:spacing w:before="0"/>
              <w:rPr>
                <w:szCs w:val="24"/>
              </w:rPr>
            </w:pPr>
            <w:r w:rsidRPr="00F143FE">
              <w:rPr>
                <w:b/>
              </w:rPr>
              <w:t>Original:</w:t>
            </w:r>
            <w:bookmarkStart w:id="1" w:name="Original"/>
            <w:bookmarkEnd w:id="1"/>
            <w:r w:rsidRPr="00F143FE">
              <w:rPr>
                <w:b/>
              </w:rPr>
              <w:t xml:space="preserve"> anglais</w:t>
            </w:r>
          </w:p>
        </w:tc>
      </w:tr>
      <w:tr w:rsidR="00CC0EED" w:rsidRPr="00F143FE" w14:paraId="21F690BC" w14:textId="77777777" w:rsidTr="0067150F">
        <w:trPr>
          <w:cantSplit/>
          <w:trHeight w:val="852"/>
        </w:trPr>
        <w:tc>
          <w:tcPr>
            <w:tcW w:w="9888" w:type="dxa"/>
            <w:gridSpan w:val="5"/>
          </w:tcPr>
          <w:p w14:paraId="759CF882" w14:textId="3CFA9C61" w:rsidR="00CC0EED" w:rsidRPr="00F143FE" w:rsidRDefault="00CC0EED" w:rsidP="00676D74">
            <w:pPr>
              <w:pStyle w:val="Source"/>
              <w:framePr w:hSpace="0" w:wrap="auto" w:vAnchor="margin" w:hAnchor="text" w:xAlign="left" w:yAlign="inline"/>
            </w:pPr>
            <w:bookmarkStart w:id="2" w:name="Source"/>
            <w:bookmarkEnd w:id="2"/>
            <w:r w:rsidRPr="00F143FE">
              <w:t>Présidente du Groupe consultatif pour le développement</w:t>
            </w:r>
            <w:r w:rsidR="00160D0C" w:rsidRPr="00F143FE">
              <w:br/>
            </w:r>
            <w:r w:rsidRPr="00F143FE">
              <w:t>des télécommunications (GCDT)</w:t>
            </w:r>
          </w:p>
        </w:tc>
      </w:tr>
      <w:tr w:rsidR="00CC0EED" w:rsidRPr="00F143FE" w14:paraId="2E74800D" w14:textId="77777777" w:rsidTr="00CC0EED">
        <w:trPr>
          <w:cantSplit/>
        </w:trPr>
        <w:tc>
          <w:tcPr>
            <w:tcW w:w="9888" w:type="dxa"/>
            <w:gridSpan w:val="5"/>
          </w:tcPr>
          <w:p w14:paraId="0B1B395E" w14:textId="03169E42" w:rsidR="00CC0EED" w:rsidRPr="00F143FE" w:rsidRDefault="00CC0EED" w:rsidP="00160D0C">
            <w:pPr>
              <w:pStyle w:val="Title1"/>
              <w:spacing w:after="240"/>
              <w:rPr>
                <w:sz w:val="28"/>
                <w:szCs w:val="28"/>
              </w:rPr>
            </w:pPr>
            <w:bookmarkStart w:id="3" w:name="Title"/>
            <w:bookmarkEnd w:id="3"/>
            <w:r w:rsidRPr="00F143FE">
              <w:rPr>
                <w:sz w:val="28"/>
                <w:szCs w:val="28"/>
              </w:rPr>
              <w:t>N</w:t>
            </w:r>
            <w:r w:rsidR="00773EF9" w:rsidRPr="00F143FE">
              <w:rPr>
                <w:caps w:val="0"/>
                <w:sz w:val="28"/>
                <w:szCs w:val="28"/>
              </w:rPr>
              <w:t>ote de liaison à la session de 2026 du Conseil sur le rapport</w:t>
            </w:r>
            <w:r w:rsidRPr="00F143FE">
              <w:rPr>
                <w:sz w:val="28"/>
                <w:szCs w:val="28"/>
              </w:rPr>
              <w:br/>
            </w:r>
            <w:r w:rsidR="00773EF9" w:rsidRPr="00F143FE">
              <w:rPr>
                <w:caps w:val="0"/>
                <w:sz w:val="28"/>
                <w:szCs w:val="28"/>
              </w:rPr>
              <w:t>sur l'examen de la présence régionale de l</w:t>
            </w:r>
            <w:r w:rsidRPr="00F143FE">
              <w:rPr>
                <w:sz w:val="28"/>
                <w:szCs w:val="28"/>
              </w:rPr>
              <w:t>'UIT</w:t>
            </w:r>
          </w:p>
        </w:tc>
      </w:tr>
      <w:tr w:rsidR="00CC0EED" w:rsidRPr="00F143FE" w14:paraId="1961F46D" w14:textId="77777777" w:rsidTr="00CC0EED">
        <w:trPr>
          <w:cantSplit/>
        </w:trPr>
        <w:tc>
          <w:tcPr>
            <w:tcW w:w="2694" w:type="dxa"/>
            <w:gridSpan w:val="2"/>
            <w:vAlign w:val="center"/>
          </w:tcPr>
          <w:p w14:paraId="60000D2B" w14:textId="317F49F0" w:rsidR="00CC0EED" w:rsidRPr="00F143FE" w:rsidRDefault="00CC0EED" w:rsidP="00CC0EED">
            <w:r w:rsidRPr="00F143FE">
              <w:rPr>
                <w:b/>
                <w:bCs/>
                <w:color w:val="000000"/>
              </w:rPr>
              <w:t>Pour suite à donner par:</w:t>
            </w:r>
          </w:p>
        </w:tc>
        <w:tc>
          <w:tcPr>
            <w:tcW w:w="7194" w:type="dxa"/>
            <w:gridSpan w:val="3"/>
            <w:vAlign w:val="center"/>
          </w:tcPr>
          <w:p w14:paraId="46612F57" w14:textId="53B386F4" w:rsidR="00CC0EED" w:rsidRPr="00F143FE" w:rsidRDefault="00CC0EED" w:rsidP="00CC0EED">
            <w:r w:rsidRPr="00F143FE">
              <w:rPr>
                <w:color w:val="000000"/>
              </w:rPr>
              <w:t>Le Conseil de l'UIT, à sa session de 2026</w:t>
            </w:r>
          </w:p>
        </w:tc>
      </w:tr>
      <w:tr w:rsidR="00CC0EED" w:rsidRPr="00F143FE" w14:paraId="05838C11" w14:textId="77777777" w:rsidTr="00CC0EED">
        <w:trPr>
          <w:cantSplit/>
        </w:trPr>
        <w:tc>
          <w:tcPr>
            <w:tcW w:w="2694" w:type="dxa"/>
            <w:gridSpan w:val="2"/>
            <w:vAlign w:val="center"/>
          </w:tcPr>
          <w:p w14:paraId="3794BBB4" w14:textId="7B444397" w:rsidR="00CC0EED" w:rsidRPr="00F143FE" w:rsidRDefault="00CC0EED" w:rsidP="00CC0EED">
            <w:r w:rsidRPr="00F143FE">
              <w:rPr>
                <w:b/>
                <w:bCs/>
                <w:color w:val="000000"/>
              </w:rPr>
              <w:t>Pour information à:</w:t>
            </w:r>
          </w:p>
        </w:tc>
        <w:tc>
          <w:tcPr>
            <w:tcW w:w="7194" w:type="dxa"/>
            <w:gridSpan w:val="3"/>
          </w:tcPr>
          <w:p w14:paraId="3C899771" w14:textId="03D2D13C" w:rsidR="00CC0EED" w:rsidRPr="00F143FE" w:rsidRDefault="00CC0EED" w:rsidP="00CC0EED">
            <w:r w:rsidRPr="00F143FE">
              <w:t>–</w:t>
            </w:r>
          </w:p>
        </w:tc>
      </w:tr>
      <w:tr w:rsidR="00CC0EED" w:rsidRPr="00F143FE" w14:paraId="75E9EE92" w14:textId="77777777" w:rsidTr="00CC0EED">
        <w:trPr>
          <w:cantSplit/>
        </w:trPr>
        <w:tc>
          <w:tcPr>
            <w:tcW w:w="2694" w:type="dxa"/>
            <w:gridSpan w:val="2"/>
            <w:vAlign w:val="center"/>
          </w:tcPr>
          <w:p w14:paraId="2CF052F0" w14:textId="04E1FC08" w:rsidR="00CC0EED" w:rsidRPr="00F143FE" w:rsidRDefault="00CC0EED" w:rsidP="00CC0EED">
            <w:r w:rsidRPr="00F143FE">
              <w:rPr>
                <w:b/>
                <w:bCs/>
                <w:color w:val="000000"/>
              </w:rPr>
              <w:t>Délai:</w:t>
            </w:r>
          </w:p>
        </w:tc>
        <w:tc>
          <w:tcPr>
            <w:tcW w:w="7194" w:type="dxa"/>
            <w:gridSpan w:val="3"/>
          </w:tcPr>
          <w:p w14:paraId="19D405A9" w14:textId="49B19C79" w:rsidR="00CC0EED" w:rsidRPr="00F143FE" w:rsidRDefault="00CC0EED" w:rsidP="00CC0EED">
            <w:r w:rsidRPr="00F143FE">
              <w:t>–</w:t>
            </w:r>
          </w:p>
        </w:tc>
      </w:tr>
      <w:tr w:rsidR="00CC0EED" w:rsidRPr="00F143FE" w14:paraId="1C877844" w14:textId="77777777" w:rsidTr="00160D0C">
        <w:trPr>
          <w:cantSplit/>
        </w:trPr>
        <w:tc>
          <w:tcPr>
            <w:tcW w:w="9888" w:type="dxa"/>
            <w:gridSpan w:val="5"/>
            <w:tcBorders>
              <w:bottom w:val="single" w:sz="4" w:space="0" w:color="auto"/>
            </w:tcBorders>
          </w:tcPr>
          <w:p w14:paraId="7E8702E8" w14:textId="77777777" w:rsidR="00CC0EED" w:rsidRPr="00F143FE" w:rsidRDefault="00CC0EED" w:rsidP="00CC0EED"/>
        </w:tc>
      </w:tr>
      <w:tr w:rsidR="00160D0C" w:rsidRPr="00F143FE" w14:paraId="250DC735" w14:textId="77777777" w:rsidTr="00160D0C">
        <w:trPr>
          <w:cantSplit/>
        </w:trPr>
        <w:tc>
          <w:tcPr>
            <w:tcW w:w="1276" w:type="dxa"/>
            <w:tcBorders>
              <w:top w:val="single" w:sz="4" w:space="0" w:color="auto"/>
            </w:tcBorders>
          </w:tcPr>
          <w:p w14:paraId="51F01B92" w14:textId="4902722E" w:rsidR="00160D0C" w:rsidRPr="00F143FE" w:rsidRDefault="00160D0C" w:rsidP="00160D0C">
            <w:pPr>
              <w:spacing w:before="40"/>
            </w:pPr>
            <w:r w:rsidRPr="00F143FE">
              <w:rPr>
                <w:b/>
                <w:bCs/>
                <w:color w:val="000000"/>
              </w:rPr>
              <w:t>Contact:</w:t>
            </w:r>
          </w:p>
        </w:tc>
        <w:tc>
          <w:tcPr>
            <w:tcW w:w="2977" w:type="dxa"/>
            <w:gridSpan w:val="2"/>
            <w:tcBorders>
              <w:top w:val="single" w:sz="4" w:space="0" w:color="auto"/>
            </w:tcBorders>
          </w:tcPr>
          <w:p w14:paraId="035E9E43" w14:textId="7DE31A16" w:rsidR="00160D0C" w:rsidRPr="00F143FE" w:rsidRDefault="00160D0C" w:rsidP="00160D0C">
            <w:pPr>
              <w:spacing w:before="40"/>
            </w:pPr>
            <w:r w:rsidRPr="00F143FE">
              <w:rPr>
                <w:color w:val="000000"/>
              </w:rPr>
              <w:t>Nom/Organisation/Entité:</w:t>
            </w:r>
          </w:p>
        </w:tc>
        <w:tc>
          <w:tcPr>
            <w:tcW w:w="5635" w:type="dxa"/>
            <w:gridSpan w:val="2"/>
            <w:tcBorders>
              <w:top w:val="single" w:sz="4" w:space="0" w:color="auto"/>
            </w:tcBorders>
          </w:tcPr>
          <w:p w14:paraId="5ADE8128" w14:textId="0C6CB3DC" w:rsidR="00160D0C" w:rsidRPr="00F143FE" w:rsidRDefault="00160D0C" w:rsidP="00160D0C">
            <w:pPr>
              <w:spacing w:before="40"/>
            </w:pPr>
            <w:r w:rsidRPr="00F143FE">
              <w:rPr>
                <w:color w:val="000000"/>
              </w:rPr>
              <w:t>Mme Fleur Regina Assoumou Bessou, Présidente du Groupe consultatif pour le développement des télécommunications</w:t>
            </w:r>
          </w:p>
        </w:tc>
      </w:tr>
      <w:tr w:rsidR="00160D0C" w:rsidRPr="00F143FE" w14:paraId="47638EB7" w14:textId="77777777" w:rsidTr="00160D0C">
        <w:trPr>
          <w:cantSplit/>
        </w:trPr>
        <w:tc>
          <w:tcPr>
            <w:tcW w:w="1276" w:type="dxa"/>
          </w:tcPr>
          <w:p w14:paraId="1ED73FB3" w14:textId="77777777" w:rsidR="00160D0C" w:rsidRPr="00F143FE" w:rsidRDefault="00160D0C" w:rsidP="00160D0C">
            <w:pPr>
              <w:spacing w:before="40"/>
            </w:pPr>
          </w:p>
        </w:tc>
        <w:tc>
          <w:tcPr>
            <w:tcW w:w="2977" w:type="dxa"/>
            <w:gridSpan w:val="2"/>
          </w:tcPr>
          <w:p w14:paraId="42B38A52" w14:textId="413CA7C2" w:rsidR="00160D0C" w:rsidRPr="00F143FE" w:rsidRDefault="00160D0C" w:rsidP="00160D0C">
            <w:pPr>
              <w:spacing w:before="40"/>
            </w:pPr>
            <w:r w:rsidRPr="00F143FE">
              <w:rPr>
                <w:color w:val="000000"/>
              </w:rPr>
              <w:t>Numéro de téléphone:</w:t>
            </w:r>
          </w:p>
        </w:tc>
        <w:tc>
          <w:tcPr>
            <w:tcW w:w="5635" w:type="dxa"/>
            <w:gridSpan w:val="2"/>
          </w:tcPr>
          <w:p w14:paraId="3ED68971" w14:textId="4EFC9717" w:rsidR="00160D0C" w:rsidRPr="00F143FE" w:rsidRDefault="00160D0C" w:rsidP="00160D0C">
            <w:pPr>
              <w:spacing w:before="40"/>
            </w:pPr>
            <w:r w:rsidRPr="00F143FE">
              <w:rPr>
                <w:rFonts w:eastAsia="Batang" w:cs="Times New Roman Bold"/>
                <w:color w:val="000000"/>
                <w:szCs w:val="24"/>
              </w:rPr>
              <w:t>+225 0707815208</w:t>
            </w:r>
          </w:p>
        </w:tc>
      </w:tr>
      <w:tr w:rsidR="00160D0C" w:rsidRPr="00F143FE" w14:paraId="492C9349" w14:textId="77777777" w:rsidTr="00160D0C">
        <w:trPr>
          <w:cantSplit/>
        </w:trPr>
        <w:tc>
          <w:tcPr>
            <w:tcW w:w="1276" w:type="dxa"/>
            <w:tcBorders>
              <w:bottom w:val="single" w:sz="4" w:space="0" w:color="auto"/>
            </w:tcBorders>
          </w:tcPr>
          <w:p w14:paraId="4EAD7F2C" w14:textId="77777777" w:rsidR="00160D0C" w:rsidRPr="00F143FE" w:rsidRDefault="00160D0C" w:rsidP="00160D0C">
            <w:pPr>
              <w:spacing w:before="40"/>
            </w:pPr>
          </w:p>
        </w:tc>
        <w:tc>
          <w:tcPr>
            <w:tcW w:w="2977" w:type="dxa"/>
            <w:gridSpan w:val="2"/>
            <w:tcBorders>
              <w:bottom w:val="single" w:sz="4" w:space="0" w:color="auto"/>
            </w:tcBorders>
          </w:tcPr>
          <w:p w14:paraId="70F49D10" w14:textId="4B3D307C" w:rsidR="00160D0C" w:rsidRPr="00F143FE" w:rsidRDefault="00160D0C" w:rsidP="00160D0C">
            <w:pPr>
              <w:spacing w:before="40"/>
            </w:pPr>
            <w:r w:rsidRPr="00F143FE">
              <w:rPr>
                <w:color w:val="000000"/>
              </w:rPr>
              <w:t>Courriel:</w:t>
            </w:r>
          </w:p>
        </w:tc>
        <w:tc>
          <w:tcPr>
            <w:tcW w:w="5635" w:type="dxa"/>
            <w:gridSpan w:val="2"/>
            <w:tcBorders>
              <w:bottom w:val="single" w:sz="4" w:space="0" w:color="auto"/>
            </w:tcBorders>
          </w:tcPr>
          <w:p w14:paraId="70E2D5AF" w14:textId="0E2ED133" w:rsidR="00160D0C" w:rsidRPr="00F143FE" w:rsidRDefault="00160D0C" w:rsidP="00160D0C">
            <w:pPr>
              <w:spacing w:before="40"/>
              <w:rPr>
                <w:rStyle w:val="Hyperlink"/>
              </w:rPr>
            </w:pPr>
            <w:hyperlink r:id="rId10" w:history="1">
              <w:r w:rsidRPr="00F143FE">
                <w:rPr>
                  <w:rStyle w:val="Hyperlink"/>
                </w:rPr>
                <w:t>bessou.regina@artci.ci</w:t>
              </w:r>
            </w:hyperlink>
          </w:p>
        </w:tc>
      </w:tr>
      <w:tr w:rsidR="00160D0C" w:rsidRPr="00F143FE" w14:paraId="2773CF1A" w14:textId="77777777" w:rsidTr="00160D0C">
        <w:trPr>
          <w:cantSplit/>
        </w:trPr>
        <w:tc>
          <w:tcPr>
            <w:tcW w:w="1276" w:type="dxa"/>
            <w:tcBorders>
              <w:top w:val="single" w:sz="4" w:space="0" w:color="auto"/>
            </w:tcBorders>
          </w:tcPr>
          <w:p w14:paraId="2FA089FB" w14:textId="31318793" w:rsidR="00160D0C" w:rsidRPr="00F143FE" w:rsidRDefault="00160D0C" w:rsidP="00160D0C">
            <w:pPr>
              <w:spacing w:before="40"/>
            </w:pPr>
            <w:r w:rsidRPr="00F143FE">
              <w:rPr>
                <w:b/>
                <w:bCs/>
                <w:color w:val="000000"/>
              </w:rPr>
              <w:t>Contact:</w:t>
            </w:r>
          </w:p>
        </w:tc>
        <w:tc>
          <w:tcPr>
            <w:tcW w:w="2977" w:type="dxa"/>
            <w:gridSpan w:val="2"/>
            <w:tcBorders>
              <w:top w:val="single" w:sz="4" w:space="0" w:color="auto"/>
            </w:tcBorders>
          </w:tcPr>
          <w:p w14:paraId="3CDA258B" w14:textId="542AE8B8" w:rsidR="00160D0C" w:rsidRPr="00F143FE" w:rsidRDefault="00160D0C" w:rsidP="00160D0C">
            <w:pPr>
              <w:spacing w:before="40"/>
            </w:pPr>
            <w:r w:rsidRPr="00F143FE">
              <w:rPr>
                <w:color w:val="000000"/>
              </w:rPr>
              <w:t>Nom/Organisation/Entité:</w:t>
            </w:r>
          </w:p>
        </w:tc>
        <w:tc>
          <w:tcPr>
            <w:tcW w:w="5635" w:type="dxa"/>
            <w:gridSpan w:val="2"/>
            <w:tcBorders>
              <w:top w:val="single" w:sz="4" w:space="0" w:color="auto"/>
            </w:tcBorders>
          </w:tcPr>
          <w:p w14:paraId="021980EE" w14:textId="0D2EBE47" w:rsidR="00160D0C" w:rsidRPr="00F143FE" w:rsidRDefault="00160D0C" w:rsidP="00160D0C">
            <w:pPr>
              <w:spacing w:before="40"/>
            </w:pPr>
            <w:r w:rsidRPr="00F143FE">
              <w:rPr>
                <w:color w:val="000000"/>
              </w:rPr>
              <w:t>Mme Archana Gulati, Adjointe au Directeur du Bureau de développement des télécommunications</w:t>
            </w:r>
          </w:p>
        </w:tc>
      </w:tr>
      <w:tr w:rsidR="00160D0C" w:rsidRPr="00F143FE" w14:paraId="44108170" w14:textId="77777777" w:rsidTr="00160D0C">
        <w:trPr>
          <w:cantSplit/>
        </w:trPr>
        <w:tc>
          <w:tcPr>
            <w:tcW w:w="1276" w:type="dxa"/>
          </w:tcPr>
          <w:p w14:paraId="07114C66" w14:textId="77777777" w:rsidR="00160D0C" w:rsidRPr="00F143FE" w:rsidRDefault="00160D0C" w:rsidP="00160D0C">
            <w:pPr>
              <w:spacing w:before="40"/>
            </w:pPr>
          </w:p>
        </w:tc>
        <w:tc>
          <w:tcPr>
            <w:tcW w:w="2977" w:type="dxa"/>
            <w:gridSpan w:val="2"/>
          </w:tcPr>
          <w:p w14:paraId="3DACA438" w14:textId="55465EB1" w:rsidR="00160D0C" w:rsidRPr="00F143FE" w:rsidRDefault="00160D0C" w:rsidP="00160D0C">
            <w:pPr>
              <w:spacing w:before="40"/>
            </w:pPr>
            <w:r w:rsidRPr="00F143FE">
              <w:rPr>
                <w:color w:val="000000"/>
              </w:rPr>
              <w:t>Numéro de téléphone:</w:t>
            </w:r>
          </w:p>
        </w:tc>
        <w:tc>
          <w:tcPr>
            <w:tcW w:w="5635" w:type="dxa"/>
            <w:gridSpan w:val="2"/>
          </w:tcPr>
          <w:p w14:paraId="56422EF6" w14:textId="07AB8F49" w:rsidR="00160D0C" w:rsidRPr="00F143FE" w:rsidRDefault="00160D0C" w:rsidP="00160D0C">
            <w:pPr>
              <w:spacing w:before="40"/>
            </w:pPr>
            <w:r w:rsidRPr="00F143FE">
              <w:rPr>
                <w:color w:val="000000"/>
              </w:rPr>
              <w:t>+41 22 730 6475</w:t>
            </w:r>
          </w:p>
        </w:tc>
      </w:tr>
      <w:tr w:rsidR="00160D0C" w:rsidRPr="00F143FE" w14:paraId="78FC5C61" w14:textId="77777777" w:rsidTr="00160D0C">
        <w:trPr>
          <w:cantSplit/>
        </w:trPr>
        <w:tc>
          <w:tcPr>
            <w:tcW w:w="1276" w:type="dxa"/>
          </w:tcPr>
          <w:p w14:paraId="71A7727B" w14:textId="77777777" w:rsidR="00160D0C" w:rsidRPr="00F143FE" w:rsidRDefault="00160D0C" w:rsidP="00160D0C">
            <w:pPr>
              <w:spacing w:before="40"/>
            </w:pPr>
          </w:p>
        </w:tc>
        <w:tc>
          <w:tcPr>
            <w:tcW w:w="2977" w:type="dxa"/>
            <w:gridSpan w:val="2"/>
          </w:tcPr>
          <w:p w14:paraId="3FDFC4A8" w14:textId="5BA494F9" w:rsidR="00160D0C" w:rsidRPr="00F143FE" w:rsidRDefault="00160D0C" w:rsidP="00160D0C">
            <w:pPr>
              <w:spacing w:before="40"/>
            </w:pPr>
            <w:r w:rsidRPr="00F143FE">
              <w:rPr>
                <w:color w:val="000000"/>
              </w:rPr>
              <w:t>Courriel:</w:t>
            </w:r>
          </w:p>
        </w:tc>
        <w:tc>
          <w:tcPr>
            <w:tcW w:w="5635" w:type="dxa"/>
            <w:gridSpan w:val="2"/>
          </w:tcPr>
          <w:p w14:paraId="39291AF8" w14:textId="53F3E9CD" w:rsidR="00160D0C" w:rsidRPr="00F143FE" w:rsidRDefault="00160D0C" w:rsidP="00160D0C">
            <w:pPr>
              <w:spacing w:before="40"/>
              <w:rPr>
                <w:rStyle w:val="Hyperlink"/>
              </w:rPr>
            </w:pPr>
            <w:hyperlink r:id="rId11" w:history="1">
              <w:r w:rsidRPr="00F143FE">
                <w:rPr>
                  <w:rStyle w:val="Hyperlink"/>
                </w:rPr>
                <w:t>archana.gulati@itu.int</w:t>
              </w:r>
            </w:hyperlink>
          </w:p>
        </w:tc>
      </w:tr>
      <w:tr w:rsidR="00160D0C" w:rsidRPr="00F143FE" w14:paraId="72974BFE" w14:textId="77777777" w:rsidTr="00CC0EED">
        <w:trPr>
          <w:cantSplit/>
        </w:trPr>
        <w:tc>
          <w:tcPr>
            <w:tcW w:w="9888" w:type="dxa"/>
            <w:gridSpan w:val="5"/>
            <w:tcBorders>
              <w:bottom w:val="single" w:sz="4" w:space="0" w:color="auto"/>
            </w:tcBorders>
          </w:tcPr>
          <w:p w14:paraId="7BA48BE2" w14:textId="77777777" w:rsidR="00160D0C" w:rsidRPr="00F143FE" w:rsidRDefault="00160D0C" w:rsidP="00160D0C"/>
        </w:tc>
      </w:tr>
      <w:tr w:rsidR="00160D0C" w:rsidRPr="00F143FE" w14:paraId="3A5F55D6" w14:textId="77777777" w:rsidTr="0067150F">
        <w:trPr>
          <w:cantSplit/>
        </w:trPr>
        <w:tc>
          <w:tcPr>
            <w:tcW w:w="9888" w:type="dxa"/>
            <w:gridSpan w:val="5"/>
            <w:tcBorders>
              <w:top w:val="single" w:sz="4" w:space="0" w:color="auto"/>
              <w:left w:val="single" w:sz="4" w:space="0" w:color="auto"/>
              <w:bottom w:val="single" w:sz="4" w:space="0" w:color="auto"/>
              <w:right w:val="single" w:sz="4" w:space="0" w:color="auto"/>
            </w:tcBorders>
          </w:tcPr>
          <w:p w14:paraId="5DEAA894" w14:textId="77777777" w:rsidR="00160D0C" w:rsidRPr="00F143FE" w:rsidRDefault="00160D0C" w:rsidP="00160D0C">
            <w:pPr>
              <w:spacing w:after="120"/>
              <w:rPr>
                <w:b/>
                <w:bCs/>
                <w:szCs w:val="24"/>
              </w:rPr>
            </w:pPr>
            <w:r w:rsidRPr="00F143FE">
              <w:rPr>
                <w:b/>
                <w:bCs/>
                <w:szCs w:val="24"/>
              </w:rPr>
              <w:t>Résumé:</w:t>
            </w:r>
          </w:p>
          <w:p w14:paraId="24AA7536" w14:textId="7B8A2859" w:rsidR="00160D0C" w:rsidRPr="00F143FE" w:rsidRDefault="00160D0C" w:rsidP="00D2367F">
            <w:pPr>
              <w:spacing w:after="120"/>
              <w:rPr>
                <w:szCs w:val="24"/>
              </w:rPr>
            </w:pPr>
            <w:r w:rsidRPr="00F143FE">
              <w:t>Dans la présente note de liaison, le Groupe consultatif pour le développement des télécommunications (GCDT) se félicite du travail accompli par le Bureau de développement des télécommunications (BDT) concernant l'examen de la présence régionale de l'Union internationale des télécommunications (UIT). Le GCDT a reconnu le rôle essentiel des bureaux régionaux et des bureaux de zone pour exécuter le Plan stratégique de l'UIT et le Plan d'action du Secteur du développement des télécommunications de l'UIT (UIT-D), ainsi que pour soutenir les États</w:t>
            </w:r>
            <w:r w:rsidR="00D2367F" w:rsidRPr="00F143FE">
              <w:t> </w:t>
            </w:r>
            <w:r w:rsidRPr="00F143FE">
              <w:t xml:space="preserve">Membres, une participation inclusive et les initiatives régionales, et a pris acte du niveau élevé de satisfaction exprimé quant à la réactivité et à l'efficacité de l'UIT. Le GCDT a également </w:t>
            </w:r>
            <w:r w:rsidRPr="00F143FE">
              <w:lastRenderedPageBreak/>
              <w:t>pris note des possibilités d'amélioration recensées et invite le Conseil à poursuivre l'examen des conclusions détaillées et à prendre des mesures concrètes.</w:t>
            </w:r>
          </w:p>
        </w:tc>
      </w:tr>
    </w:tbl>
    <w:p w14:paraId="55418001" w14:textId="757BCD5E" w:rsidR="00160D0C" w:rsidRPr="00160D0C" w:rsidRDefault="00160D0C" w:rsidP="00851340">
      <w:pPr>
        <w:keepNext/>
        <w:keepLines/>
        <w:jc w:val="both"/>
      </w:pPr>
      <w:r w:rsidRPr="00160D0C">
        <w:lastRenderedPageBreak/>
        <w:t xml:space="preserve">Les participants à la 33ème réunion du GCDT ont pris note avec satisfaction du </w:t>
      </w:r>
      <w:hyperlink r:id="rId12" w:history="1">
        <w:r w:rsidRPr="00160D0C">
          <w:rPr>
            <w:rStyle w:val="Hyperlink"/>
            <w:rFonts w:eastAsia="Times New Roman" w:cs="Times New Roman"/>
            <w:szCs w:val="20"/>
          </w:rPr>
          <w:t>Document</w:t>
        </w:r>
        <w:r w:rsidR="00D2367F" w:rsidRPr="00F143FE">
          <w:rPr>
            <w:rStyle w:val="Hyperlink"/>
            <w:rFonts w:eastAsia="Times New Roman" w:cs="Times New Roman"/>
            <w:szCs w:val="20"/>
          </w:rPr>
          <w:t> </w:t>
        </w:r>
        <w:r w:rsidRPr="00160D0C">
          <w:rPr>
            <w:rStyle w:val="Hyperlink"/>
            <w:rFonts w:eastAsia="Times New Roman" w:cs="Times New Roman"/>
            <w:szCs w:val="20"/>
          </w:rPr>
          <w:t>TDAG-26/16</w:t>
        </w:r>
      </w:hyperlink>
      <w:r w:rsidRPr="00160D0C">
        <w:t xml:space="preserve"> sur le rapport sur l'examen de la présence régionale de l'UIT.</w:t>
      </w:r>
      <w:hyperlink r:id="rId13" w:history="1"/>
    </w:p>
    <w:p w14:paraId="4CD89315" w14:textId="298282EA" w:rsidR="00160D0C" w:rsidRPr="00160D0C" w:rsidRDefault="00160D0C" w:rsidP="00851340">
      <w:pPr>
        <w:keepNext/>
        <w:keepLines/>
        <w:jc w:val="both"/>
      </w:pPr>
      <w:r w:rsidRPr="00160D0C">
        <w:t>Le GCDT a examiné les principales conclusions de l'étude sur la présence régionale, y compris les points forts et les domaines dans lesquels des améliorations peuvent être apportées. Le Groupe a reconnu que les bureaux régionaux et les bureaux de zone jouent un rôle essentiel à l'exécution du Plan stratégique de l'UIT et du Plan d'action de l'UIT-D, en ce qu'ils servent de points de contact fiables avec les États Membres, qu'ils favorisent une participation inclusive et qu'ils appuient les initiatives régionales. La présence régionale de l'UIT est considérée comme réactive et efficace, les États Membres et les partenaires ayant exprimé un degré élevé de satisfaction à cet égard. Le GCDT s'est également félicité du fait que l'analyse a mis en évidence des possibilités d'amélioration.</w:t>
      </w:r>
    </w:p>
    <w:p w14:paraId="0F229513" w14:textId="6D378695" w:rsidR="006A11AE" w:rsidRPr="00F143FE" w:rsidRDefault="00160D0C" w:rsidP="00851340">
      <w:pPr>
        <w:jc w:val="both"/>
      </w:pPr>
      <w:r w:rsidRPr="00F143FE">
        <w:t xml:space="preserve">Le GCDT attend avec intérêt la poursuite de l'examen des conclusions détaillées, y compris des conclusions figurant dans le </w:t>
      </w:r>
      <w:hyperlink r:id="rId14" w:history="1">
        <w:r w:rsidRPr="00F143FE">
          <w:rPr>
            <w:rStyle w:val="Hyperlink"/>
            <w:rFonts w:eastAsia="Times New Roman" w:cs="Times New Roman"/>
            <w:szCs w:val="20"/>
          </w:rPr>
          <w:t>Document TDAG-26/INF/9</w:t>
        </w:r>
      </w:hyperlink>
      <w:r w:rsidRPr="00F143FE">
        <w:t>, pendant la session de 2026 du Conseil, et souhaite être informé des résultats des discussions afin de prendre les mesures appropriées.</w:t>
      </w:r>
    </w:p>
    <w:p w14:paraId="56A531E5" w14:textId="77777777" w:rsidR="00897553" w:rsidRPr="00F143FE" w:rsidRDefault="006A11AE" w:rsidP="002D2336">
      <w:pPr>
        <w:jc w:val="center"/>
      </w:pPr>
      <w:r w:rsidRPr="00F143FE">
        <w:t>______________</w:t>
      </w:r>
    </w:p>
    <w:sectPr w:rsidR="00897553" w:rsidRPr="00F143FE"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BB42" w14:textId="77777777" w:rsidR="00CC0EED" w:rsidRDefault="00CC0EED">
      <w:r>
        <w:separator/>
      </w:r>
    </w:p>
  </w:endnote>
  <w:endnote w:type="continuationSeparator" w:id="0">
    <w:p w14:paraId="605AEB3C" w14:textId="77777777" w:rsidR="00CC0EED" w:rsidRDefault="00CC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0235" w14:textId="633F5558" w:rsidR="00732045" w:rsidRPr="00F143FE" w:rsidRDefault="00271321">
    <w:pPr>
      <w:pStyle w:val="Footer"/>
      <w:rPr>
        <w:lang w:val="en-US"/>
      </w:rPr>
    </w:pPr>
    <w:r>
      <w:fldChar w:fldCharType="begin"/>
    </w:r>
    <w:r w:rsidRPr="00F143FE">
      <w:rPr>
        <w:lang w:val="en-US"/>
      </w:rPr>
      <w:instrText xml:space="preserve"> FILENAME \p \* MERGEFORMAT </w:instrText>
    </w:r>
    <w:r>
      <w:fldChar w:fldCharType="separate"/>
    </w:r>
    <w:r w:rsidR="009E3E7B">
      <w:rPr>
        <w:lang w:val="en-US"/>
      </w:rPr>
      <w:t>P:\FRA\gDoc\SG\C26\2601022F.docx</w:t>
    </w:r>
    <w:r>
      <w:fldChar w:fldCharType="end"/>
    </w:r>
    <w:r w:rsidR="00732045" w:rsidRPr="00F143FE">
      <w:rPr>
        <w:lang w:val="en-US"/>
      </w:rPr>
      <w:tab/>
    </w:r>
    <w:r w:rsidR="002F1B76">
      <w:fldChar w:fldCharType="begin"/>
    </w:r>
    <w:r w:rsidR="00732045">
      <w:instrText xml:space="preserve"> savedate \@ dd.MM.yy </w:instrText>
    </w:r>
    <w:r w:rsidR="002F1B76">
      <w:fldChar w:fldCharType="separate"/>
    </w:r>
    <w:r w:rsidR="008705CC">
      <w:t>22.04.26</w:t>
    </w:r>
    <w:r w:rsidR="002F1B76">
      <w:fldChar w:fldCharType="end"/>
    </w:r>
    <w:r w:rsidR="00732045" w:rsidRPr="00F143FE">
      <w:rPr>
        <w:lang w:val="en-US"/>
      </w:rPr>
      <w:tab/>
    </w:r>
    <w:r w:rsidR="002F1B76">
      <w:fldChar w:fldCharType="begin"/>
    </w:r>
    <w:r w:rsidR="00732045">
      <w:instrText xml:space="preserve"> printdate \@ dd.MM.yy </w:instrText>
    </w:r>
    <w:r w:rsidR="002F1B76">
      <w:fldChar w:fldCharType="separate"/>
    </w:r>
    <w:r w:rsidR="009E3E7B">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328C147" w14:textId="77777777" w:rsidTr="00E31DCE">
      <w:trPr>
        <w:jc w:val="center"/>
      </w:trPr>
      <w:tc>
        <w:tcPr>
          <w:tcW w:w="1803" w:type="dxa"/>
          <w:vAlign w:val="center"/>
        </w:tcPr>
        <w:p w14:paraId="50CB18F0" w14:textId="077D09EC" w:rsidR="00A51849" w:rsidRDefault="00CC0EED" w:rsidP="00A51849">
          <w:pPr>
            <w:pStyle w:val="Header"/>
            <w:jc w:val="left"/>
            <w:rPr>
              <w:noProof/>
            </w:rPr>
          </w:pPr>
          <w:r>
            <w:rPr>
              <w:noProof/>
            </w:rPr>
            <w:t>2601022</w:t>
          </w:r>
        </w:p>
      </w:tc>
      <w:tc>
        <w:tcPr>
          <w:tcW w:w="8261" w:type="dxa"/>
        </w:tcPr>
        <w:p w14:paraId="1A888A27" w14:textId="3F99A52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C0EED">
            <w:rPr>
              <w:bCs/>
            </w:rPr>
            <w:t>108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D8B82B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195E75B" w14:textId="77777777" w:rsidTr="00E31DCE">
      <w:trPr>
        <w:jc w:val="center"/>
      </w:trPr>
      <w:tc>
        <w:tcPr>
          <w:tcW w:w="1803" w:type="dxa"/>
          <w:vAlign w:val="center"/>
        </w:tcPr>
        <w:p w14:paraId="6BCC388C"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4A24DF8" w14:textId="02F63F9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C0EED">
            <w:rPr>
              <w:bCs/>
            </w:rPr>
            <w:t>108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ED953B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23EF" w14:textId="77777777" w:rsidR="00CC0EED" w:rsidRDefault="00CC0EED">
      <w:r>
        <w:t>____________________</w:t>
      </w:r>
    </w:p>
  </w:footnote>
  <w:footnote w:type="continuationSeparator" w:id="0">
    <w:p w14:paraId="08EE2F58" w14:textId="77777777" w:rsidR="00CC0EED" w:rsidRDefault="00CC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B16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294C51F"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B3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D"/>
    <w:rsid w:val="00076A2C"/>
    <w:rsid w:val="000D0D0A"/>
    <w:rsid w:val="00103163"/>
    <w:rsid w:val="00106B19"/>
    <w:rsid w:val="001133EF"/>
    <w:rsid w:val="00115D93"/>
    <w:rsid w:val="001247A8"/>
    <w:rsid w:val="001342E0"/>
    <w:rsid w:val="001370B2"/>
    <w:rsid w:val="001378C0"/>
    <w:rsid w:val="00160D0C"/>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76D74"/>
    <w:rsid w:val="006A11AE"/>
    <w:rsid w:val="006B224B"/>
    <w:rsid w:val="006F0A53"/>
    <w:rsid w:val="0071402E"/>
    <w:rsid w:val="007210CD"/>
    <w:rsid w:val="00732045"/>
    <w:rsid w:val="0073275D"/>
    <w:rsid w:val="007369DB"/>
    <w:rsid w:val="0077110E"/>
    <w:rsid w:val="00773EF9"/>
    <w:rsid w:val="007956C2"/>
    <w:rsid w:val="00796BDB"/>
    <w:rsid w:val="007A187E"/>
    <w:rsid w:val="007C72C2"/>
    <w:rsid w:val="007D4436"/>
    <w:rsid w:val="007D4594"/>
    <w:rsid w:val="007F257A"/>
    <w:rsid w:val="007F3665"/>
    <w:rsid w:val="00800037"/>
    <w:rsid w:val="0082299A"/>
    <w:rsid w:val="0083391C"/>
    <w:rsid w:val="0084546D"/>
    <w:rsid w:val="00851340"/>
    <w:rsid w:val="00861D73"/>
    <w:rsid w:val="008705CC"/>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E3E7B"/>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0EED"/>
    <w:rsid w:val="00CC6EAA"/>
    <w:rsid w:val="00CE5172"/>
    <w:rsid w:val="00CF0534"/>
    <w:rsid w:val="00CF183B"/>
    <w:rsid w:val="00D2367F"/>
    <w:rsid w:val="00D375CD"/>
    <w:rsid w:val="00D37B53"/>
    <w:rsid w:val="00D4067B"/>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32E"/>
    <w:rsid w:val="00E93668"/>
    <w:rsid w:val="00E95647"/>
    <w:rsid w:val="00EB6350"/>
    <w:rsid w:val="00ED799B"/>
    <w:rsid w:val="00EE4FD6"/>
    <w:rsid w:val="00F143FE"/>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26DEB"/>
  <w15:docId w15:val="{7705F169-269A-4D12-8785-FEF8909B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676D74"/>
    <w:pPr>
      <w:framePr w:hSpace="181" w:wrap="around" w:vAnchor="page" w:hAnchor="page" w:x="1589" w:y="2314"/>
      <w:spacing w:before="84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Committee">
    <w:name w:val="Committee"/>
    <w:basedOn w:val="Normal"/>
    <w:qFormat/>
    <w:rsid w:val="00CC0EED"/>
    <w:pPr>
      <w:tabs>
        <w:tab w:val="clear" w:pos="567"/>
        <w:tab w:val="clear" w:pos="1134"/>
        <w:tab w:val="clear" w:pos="1701"/>
        <w:tab w:val="clear" w:pos="2268"/>
        <w:tab w:val="clear" w:pos="2835"/>
        <w:tab w:val="left" w:pos="794"/>
        <w:tab w:val="left" w:pos="1191"/>
        <w:tab w:val="left" w:pos="1588"/>
        <w:tab w:val="left" w:pos="1985"/>
      </w:tabs>
    </w:pPr>
    <w:rPr>
      <w:rFonts w:asciiTheme="minorHAnsi" w:hAnsiTheme="minorHAnsi" w:cs="Times New Roman Bold"/>
      <w:b/>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26-TDAG33-C-0016/" TargetMode="External"/><Relationship Id="rId13" Type="http://schemas.openxmlformats.org/officeDocument/2006/relationships/hyperlink" Target="https://www.itu.int/md/D26-TDAG33-C-00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md/D26-TDAG33-260407-TD-0009/" TargetMode="External"/><Relationship Id="rId12" Type="http://schemas.openxmlformats.org/officeDocument/2006/relationships/hyperlink" Target="https://www.itu.int/md/D26-TDAG33-C-001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ana.gulati@itu.i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essou.regina@artci.ci"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itu.int/md/D26-TDAG33-260407-TD-000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3</Pages>
  <Words>648</Words>
  <Characters>4156</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4710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liaison à la session de 2026 du Conseil sur le rapport sur l'examen de la présence régionale de l'UIT</dc:title>
  <dc:subject>Conseil 2026 de l'UIT</dc:subject>
  <cp:keywords>C26; C2026; Council 2026; PP26</cp:keywords>
  <dc:description/>
  <cp:lastPrinted>2000-07-18T08:55:00Z</cp:lastPrinted>
  <dcterms:created xsi:type="dcterms:W3CDTF">2026-04-22T16:45:00Z</dcterms:created>
  <dcterms:modified xsi:type="dcterms:W3CDTF">2026-04-22T16:46:00Z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