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1447EEA7" w14:textId="77777777" w:rsidTr="77C5E4F8">
        <w:trPr>
          <w:cantSplit/>
          <w:trHeight w:val="23"/>
        </w:trPr>
        <w:tc>
          <w:tcPr>
            <w:tcW w:w="3969" w:type="dxa"/>
            <w:vMerge w:val="restart"/>
            <w:tcMar>
              <w:left w:w="0" w:type="dxa"/>
            </w:tcMar>
          </w:tcPr>
          <w:p w14:paraId="50712556" w14:textId="56D06A6D"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DF6668">
              <w:rPr>
                <w:b/>
              </w:rPr>
              <w:t>ADM 1</w:t>
            </w:r>
          </w:p>
        </w:tc>
        <w:tc>
          <w:tcPr>
            <w:tcW w:w="5245" w:type="dxa"/>
          </w:tcPr>
          <w:p w14:paraId="1FB23FD7" w14:textId="614247DB"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3E3806">
              <w:rPr>
                <w:b/>
              </w:rPr>
              <w:t>107</w:t>
            </w:r>
            <w:r w:rsidRPr="00C0458D">
              <w:rPr>
                <w:b/>
              </w:rPr>
              <w:t>-E</w:t>
            </w:r>
          </w:p>
        </w:tc>
      </w:tr>
      <w:tr w:rsidR="00AD3606" w:rsidRPr="00C0458D" w14:paraId="195DC34C" w14:textId="77777777" w:rsidTr="77C5E4F8">
        <w:trPr>
          <w:cantSplit/>
        </w:trPr>
        <w:tc>
          <w:tcPr>
            <w:tcW w:w="3969" w:type="dxa"/>
            <w:vMerge/>
          </w:tcPr>
          <w:p w14:paraId="269B4473"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2D9DCA11" w14:textId="3EA52FF0" w:rsidR="00AD3606" w:rsidRPr="00C0458D" w:rsidRDefault="009E4F22" w:rsidP="00954C49">
            <w:pPr>
              <w:tabs>
                <w:tab w:val="left" w:pos="851"/>
              </w:tabs>
              <w:spacing w:before="0"/>
              <w:jc w:val="right"/>
              <w:rPr>
                <w:b/>
              </w:rPr>
            </w:pPr>
            <w:r>
              <w:rPr>
                <w:b/>
              </w:rPr>
              <w:t>21</w:t>
            </w:r>
            <w:r w:rsidR="00306DAB">
              <w:rPr>
                <w:b/>
              </w:rPr>
              <w:t xml:space="preserve"> April</w:t>
            </w:r>
            <w:r w:rsidR="00A044AE">
              <w:rPr>
                <w:b/>
              </w:rPr>
              <w:t xml:space="preserve"> 2026</w:t>
            </w:r>
          </w:p>
        </w:tc>
      </w:tr>
      <w:tr w:rsidR="00AD3606" w:rsidRPr="00C0458D" w14:paraId="54C986E7" w14:textId="77777777" w:rsidTr="77C5E4F8">
        <w:trPr>
          <w:cantSplit/>
          <w:trHeight w:val="23"/>
        </w:trPr>
        <w:tc>
          <w:tcPr>
            <w:tcW w:w="3969" w:type="dxa"/>
            <w:vMerge/>
          </w:tcPr>
          <w:p w14:paraId="3D19FB46"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28C97CE8"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287786E8" w14:textId="77777777" w:rsidTr="77C5E4F8">
        <w:trPr>
          <w:cantSplit/>
          <w:trHeight w:val="23"/>
        </w:trPr>
        <w:tc>
          <w:tcPr>
            <w:tcW w:w="3969" w:type="dxa"/>
          </w:tcPr>
          <w:p w14:paraId="524935B7" w14:textId="77777777" w:rsidR="00472BAD" w:rsidRPr="00C0458D" w:rsidRDefault="00472BAD" w:rsidP="00954C49">
            <w:pPr>
              <w:tabs>
                <w:tab w:val="left" w:pos="851"/>
              </w:tabs>
              <w:spacing w:line="240" w:lineRule="atLeast"/>
              <w:rPr>
                <w:b/>
              </w:rPr>
            </w:pPr>
          </w:p>
        </w:tc>
        <w:tc>
          <w:tcPr>
            <w:tcW w:w="5245" w:type="dxa"/>
          </w:tcPr>
          <w:p w14:paraId="5D9E999A" w14:textId="77777777" w:rsidR="00472BAD" w:rsidRPr="00C0458D" w:rsidRDefault="00472BAD" w:rsidP="00954C49">
            <w:pPr>
              <w:tabs>
                <w:tab w:val="left" w:pos="851"/>
              </w:tabs>
              <w:spacing w:before="0" w:line="240" w:lineRule="atLeast"/>
              <w:jc w:val="right"/>
              <w:rPr>
                <w:b/>
              </w:rPr>
            </w:pPr>
          </w:p>
        </w:tc>
      </w:tr>
      <w:tr w:rsidR="00AD3606" w:rsidRPr="00C0458D" w14:paraId="095061AE" w14:textId="77777777" w:rsidTr="77C5E4F8">
        <w:trPr>
          <w:cantSplit/>
        </w:trPr>
        <w:tc>
          <w:tcPr>
            <w:tcW w:w="9214" w:type="dxa"/>
            <w:gridSpan w:val="2"/>
            <w:tcMar>
              <w:left w:w="0" w:type="dxa"/>
            </w:tcMar>
          </w:tcPr>
          <w:p w14:paraId="0C7F4395" w14:textId="1AC28A2D" w:rsidR="00AD3606" w:rsidRPr="00C0458D" w:rsidRDefault="003E3806" w:rsidP="00954C49">
            <w:pPr>
              <w:pStyle w:val="Source"/>
              <w:framePr w:hSpace="0" w:wrap="auto" w:vAnchor="margin" w:hAnchor="text" w:yAlign="inline"/>
            </w:pPr>
            <w:bookmarkStart w:id="8" w:name="dsource"/>
            <w:bookmarkEnd w:id="7"/>
            <w:r>
              <w:t xml:space="preserve">Chair, </w:t>
            </w:r>
            <w:r w:rsidR="00306DAB">
              <w:t>Radiocommunication Advisory Group (</w:t>
            </w:r>
            <w:r w:rsidR="00D6667E">
              <w:t>RAG</w:t>
            </w:r>
            <w:r w:rsidR="00306DAB">
              <w:t>)</w:t>
            </w:r>
          </w:p>
        </w:tc>
      </w:tr>
      <w:tr w:rsidR="00AD3606" w:rsidRPr="00C0458D" w14:paraId="41B33917" w14:textId="77777777" w:rsidTr="77C5E4F8">
        <w:trPr>
          <w:cantSplit/>
        </w:trPr>
        <w:tc>
          <w:tcPr>
            <w:tcW w:w="9214" w:type="dxa"/>
            <w:gridSpan w:val="2"/>
            <w:tcMar>
              <w:left w:w="0" w:type="dxa"/>
            </w:tcMar>
          </w:tcPr>
          <w:p w14:paraId="6BC00CAD" w14:textId="262350EB" w:rsidR="00AD3606" w:rsidRPr="00176F47" w:rsidRDefault="006A7C42" w:rsidP="00954C49">
            <w:pPr>
              <w:pStyle w:val="Subtitle"/>
              <w:framePr w:hSpace="0" w:wrap="auto" w:hAnchor="text" w:xAlign="left" w:yAlign="inline"/>
            </w:pPr>
            <w:bookmarkStart w:id="9" w:name="dtitle1" w:colFirst="0" w:colLast="0"/>
            <w:bookmarkEnd w:id="8"/>
            <w:r>
              <w:t xml:space="preserve">NOTE ON </w:t>
            </w:r>
            <w:r w:rsidR="003E3806">
              <w:t>R</w:t>
            </w:r>
            <w:r w:rsidR="003E3806" w:rsidRPr="003E3806">
              <w:t>ESOURCE ALLOCATION FOR THE CONSTITUTIONAL ACTIVITIES OF THE RADIOCOMMUNICATION BUREAU, INCLUDING THE PROCESSING OF SPACE NOTICES</w:t>
            </w:r>
          </w:p>
        </w:tc>
      </w:tr>
      <w:tr w:rsidR="00AD3606" w:rsidRPr="00C0458D" w14:paraId="59AE1A13" w14:textId="77777777" w:rsidTr="77C5E4F8">
        <w:trPr>
          <w:cantSplit/>
        </w:trPr>
        <w:tc>
          <w:tcPr>
            <w:tcW w:w="9214" w:type="dxa"/>
            <w:gridSpan w:val="2"/>
            <w:tcBorders>
              <w:top w:val="single" w:sz="4" w:space="0" w:color="auto"/>
              <w:bottom w:val="single" w:sz="4" w:space="0" w:color="auto"/>
            </w:tcBorders>
            <w:tcMar>
              <w:left w:w="0" w:type="dxa"/>
            </w:tcMar>
          </w:tcPr>
          <w:p w14:paraId="13A20518" w14:textId="77777777" w:rsidR="00AD3606" w:rsidRPr="00C0458D" w:rsidRDefault="00F16BAB" w:rsidP="00954C49">
            <w:pPr>
              <w:spacing w:before="160"/>
              <w:rPr>
                <w:b/>
                <w:bCs/>
                <w:sz w:val="26"/>
                <w:szCs w:val="26"/>
              </w:rPr>
            </w:pPr>
            <w:r w:rsidRPr="00C0458D">
              <w:rPr>
                <w:b/>
                <w:bCs/>
                <w:sz w:val="26"/>
                <w:szCs w:val="26"/>
              </w:rPr>
              <w:t>Purpose</w:t>
            </w:r>
          </w:p>
          <w:p w14:paraId="1FB0CFD7" w14:textId="00741AE9" w:rsidR="00D264E3" w:rsidRDefault="00D264E3" w:rsidP="003E3806">
            <w:pPr>
              <w:spacing w:before="160"/>
              <w:jc w:val="both"/>
            </w:pPr>
            <w:r w:rsidRPr="00D264E3">
              <w:t>This document presents a note from the Chair</w:t>
            </w:r>
            <w:r w:rsidR="003E3806">
              <w:t xml:space="preserve"> of RAG</w:t>
            </w:r>
            <w:r w:rsidRPr="00D264E3">
              <w:t xml:space="preserve"> to the Council on resource allocation for the constitutional activities of the Radiocommunication Bureau, including the processing of space notices. </w:t>
            </w:r>
          </w:p>
          <w:p w14:paraId="1F84E973" w14:textId="245D05B6"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475EA745" w14:textId="77777777" w:rsidR="006C77B2" w:rsidRDefault="006C77B2" w:rsidP="006C77B2">
            <w:r>
              <w:t xml:space="preserve">The Council is invited to </w:t>
            </w:r>
            <w:r w:rsidRPr="376028E7">
              <w:rPr>
                <w:b/>
                <w:bCs/>
              </w:rPr>
              <w:t>take the necessary actions</w:t>
            </w:r>
            <w:r>
              <w:t>.</w:t>
            </w:r>
          </w:p>
          <w:p w14:paraId="6330625B" w14:textId="77777777" w:rsidR="00C0458D" w:rsidRDefault="00C0458D" w:rsidP="00954C49">
            <w:r>
              <w:t>_______________</w:t>
            </w:r>
          </w:p>
          <w:p w14:paraId="523A22CF" w14:textId="77777777" w:rsidR="00AD3606" w:rsidRPr="00C0458D" w:rsidRDefault="00AD3606" w:rsidP="00954C49">
            <w:pPr>
              <w:spacing w:before="160"/>
              <w:rPr>
                <w:b/>
                <w:bCs/>
                <w:sz w:val="26"/>
                <w:szCs w:val="26"/>
              </w:rPr>
            </w:pPr>
            <w:r w:rsidRPr="00C0458D">
              <w:rPr>
                <w:b/>
                <w:bCs/>
                <w:sz w:val="26"/>
                <w:szCs w:val="26"/>
              </w:rPr>
              <w:t>References</w:t>
            </w:r>
          </w:p>
          <w:p w14:paraId="1B5652AB" w14:textId="01390FF9" w:rsidR="00AD3606" w:rsidRPr="003E3806" w:rsidRDefault="00BF1240" w:rsidP="00954C49">
            <w:pPr>
              <w:spacing w:after="160"/>
              <w:rPr>
                <w:b/>
                <w:bCs/>
                <w:i/>
                <w:iCs/>
                <w:sz w:val="22"/>
                <w:szCs w:val="22"/>
              </w:rPr>
            </w:pPr>
            <w:r w:rsidRPr="003E3806">
              <w:rPr>
                <w:i/>
                <w:iCs/>
                <w:sz w:val="22"/>
                <w:szCs w:val="22"/>
              </w:rPr>
              <w:t xml:space="preserve">Documents: </w:t>
            </w:r>
            <w:hyperlink r:id="rId11">
              <w:r w:rsidRPr="003E3806">
                <w:rPr>
                  <w:rStyle w:val="Hyperlink"/>
                  <w:i/>
                  <w:iCs/>
                  <w:sz w:val="22"/>
                  <w:szCs w:val="22"/>
                </w:rPr>
                <w:t>RAG/58</w:t>
              </w:r>
            </w:hyperlink>
            <w:r w:rsidRPr="003E3806">
              <w:rPr>
                <w:i/>
                <w:iCs/>
                <w:sz w:val="22"/>
                <w:szCs w:val="22"/>
              </w:rPr>
              <w:t xml:space="preserve">, RAG Summary of Conclusions BR circular </w:t>
            </w:r>
            <w:hyperlink r:id="rId12" w:history="1">
              <w:r w:rsidRPr="003E3806">
                <w:rPr>
                  <w:rStyle w:val="Hyperlink"/>
                  <w:i/>
                  <w:iCs/>
                  <w:sz w:val="22"/>
                  <w:szCs w:val="22"/>
                </w:rPr>
                <w:t>CA/281</w:t>
              </w:r>
            </w:hyperlink>
            <w:r w:rsidR="00DE45FE" w:rsidRPr="003E3806">
              <w:rPr>
                <w:i/>
                <w:iCs/>
                <w:sz w:val="22"/>
                <w:szCs w:val="22"/>
              </w:rPr>
              <w:t>.</w:t>
            </w:r>
          </w:p>
        </w:tc>
      </w:tr>
    </w:tbl>
    <w:p w14:paraId="072B2E56"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E9D4E2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p w14:paraId="00B4BC4F" w14:textId="77777777" w:rsidR="00306DAB" w:rsidRPr="009F7011" w:rsidRDefault="00306DAB" w:rsidP="003E3806">
      <w:pPr>
        <w:jc w:val="both"/>
        <w:rPr>
          <w:b/>
          <w:bCs/>
        </w:rPr>
      </w:pPr>
      <w:bookmarkStart w:id="11" w:name="dbreak3"/>
      <w:bookmarkEnd w:id="5"/>
      <w:bookmarkEnd w:id="10"/>
      <w:r w:rsidRPr="009F7011">
        <w:rPr>
          <w:b/>
          <w:bCs/>
        </w:rPr>
        <w:lastRenderedPageBreak/>
        <w:t xml:space="preserve">1. </w:t>
      </w:r>
      <w:r w:rsidRPr="009F7011">
        <w:rPr>
          <w:b/>
          <w:bCs/>
        </w:rPr>
        <w:tab/>
        <w:t>Background</w:t>
      </w:r>
    </w:p>
    <w:p w14:paraId="30A8CD56" w14:textId="4835277A" w:rsidR="00306DAB" w:rsidRDefault="00306DAB" w:rsidP="003E3806">
      <w:pPr>
        <w:jc w:val="both"/>
      </w:pPr>
      <w:r>
        <w:t xml:space="preserve">During its 33rd meeting (31 March to 2 April 2026), the </w:t>
      </w:r>
      <w:r w:rsidR="003E3806">
        <w:t>Radiocommunication Advisory Group (</w:t>
      </w:r>
      <w:r>
        <w:t>RAG</w:t>
      </w:r>
      <w:r w:rsidR="003E3806">
        <w:t>)</w:t>
      </w:r>
      <w:r>
        <w:t xml:space="preserve"> recognized the difficulties that the Radiocommunication Bureau had been facing in </w:t>
      </w:r>
      <w:r w:rsidRPr="004C55B2">
        <w:t>processing satellite network filings,</w:t>
      </w:r>
      <w:r w:rsidR="009E4F22">
        <w:t xml:space="preserve"> </w:t>
      </w:r>
      <w:r w:rsidRPr="004C55B2">
        <w:t>and the</w:t>
      </w:r>
      <w:r w:rsidR="009E4F22">
        <w:t xml:space="preserve"> </w:t>
      </w:r>
      <w:r w:rsidRPr="004C55B2">
        <w:t>constrain</w:t>
      </w:r>
      <w:r>
        <w:t>t</w:t>
      </w:r>
      <w:r w:rsidRPr="004C55B2">
        <w:t xml:space="preserve">s </w:t>
      </w:r>
      <w:r>
        <w:t xml:space="preserve">encountered </w:t>
      </w:r>
      <w:r w:rsidRPr="004C55B2">
        <w:t xml:space="preserve">in the level of support that the </w:t>
      </w:r>
      <w:r>
        <w:t>S</w:t>
      </w:r>
      <w:r w:rsidRPr="004C55B2">
        <w:t xml:space="preserve">tudy </w:t>
      </w:r>
      <w:r>
        <w:t>G</w:t>
      </w:r>
      <w:r w:rsidRPr="004C55B2">
        <w:t>roup</w:t>
      </w:r>
      <w:r>
        <w:t>s</w:t>
      </w:r>
      <w:r w:rsidRPr="004C55B2">
        <w:t xml:space="preserve"> </w:t>
      </w:r>
      <w:r>
        <w:t>D</w:t>
      </w:r>
      <w:r w:rsidRPr="004C55B2">
        <w:t xml:space="preserve">epartment </w:t>
      </w:r>
      <w:r>
        <w:t>had been able to</w:t>
      </w:r>
      <w:r w:rsidRPr="004C55B2">
        <w:t xml:space="preserve"> provide for</w:t>
      </w:r>
      <w:r w:rsidR="009E4F22">
        <w:t xml:space="preserve"> </w:t>
      </w:r>
      <w:r w:rsidRPr="004C55B2">
        <w:t>additional</w:t>
      </w:r>
      <w:r w:rsidR="009E4F22">
        <w:t xml:space="preserve"> </w:t>
      </w:r>
      <w:r w:rsidRPr="004C55B2">
        <w:t xml:space="preserve">meetings and correspondence groups, as well as the training and capacity building that the BR </w:t>
      </w:r>
      <w:r>
        <w:t>could</w:t>
      </w:r>
      <w:r w:rsidRPr="004C55B2">
        <w:t xml:space="preserve"> offer to Administrations.</w:t>
      </w:r>
      <w:r>
        <w:t xml:space="preserve"> </w:t>
      </w:r>
    </w:p>
    <w:p w14:paraId="56DA1D48" w14:textId="77777777" w:rsidR="00306DAB" w:rsidRDefault="00306DAB" w:rsidP="003E3806">
      <w:pPr>
        <w:jc w:val="both"/>
      </w:pPr>
      <w:r>
        <w:t>The Radiocommunication Bureau experienced delays in the processing of space notices resulting in backlogs three times beyond the 4-month mandatory deadline set out in No. 9.38 of the Radio Regulations, the international treaty governing the use of radio-frequency spectrum and satellite orbits. It</w:t>
      </w:r>
      <w:r w:rsidDel="0016387F">
        <w:t xml:space="preserve"> </w:t>
      </w:r>
      <w:r>
        <w:t>should be noted that the Radio Regulations Board (RRB) had previously also expressed concerns on the matter.</w:t>
      </w:r>
    </w:p>
    <w:p w14:paraId="506FD6BD" w14:textId="77777777" w:rsidR="00306DAB" w:rsidRPr="009F7011" w:rsidRDefault="00306DAB" w:rsidP="003E3806">
      <w:pPr>
        <w:spacing w:before="360"/>
        <w:jc w:val="both"/>
        <w:rPr>
          <w:b/>
          <w:bCs/>
        </w:rPr>
      </w:pPr>
      <w:r w:rsidRPr="376028E7">
        <w:rPr>
          <w:b/>
          <w:bCs/>
        </w:rPr>
        <w:t xml:space="preserve">2. </w:t>
      </w:r>
      <w:r>
        <w:tab/>
      </w:r>
      <w:r w:rsidRPr="376028E7">
        <w:rPr>
          <w:b/>
          <w:bCs/>
        </w:rPr>
        <w:t>Action required</w:t>
      </w:r>
    </w:p>
    <w:p w14:paraId="6D8DED0B" w14:textId="77777777" w:rsidR="00306DAB" w:rsidRDefault="00306DAB" w:rsidP="003E3806">
      <w:pPr>
        <w:jc w:val="both"/>
      </w:pPr>
      <w:r>
        <w:t xml:space="preserve">The RAG brings this matter to the attention of the Council, emphasizing the need for the BR to have adequate resources to fulfil its constitutional mandate, despite the current ITU budgetary restrictions. </w:t>
      </w:r>
    </w:p>
    <w:p w14:paraId="78CBBDC6" w14:textId="77777777" w:rsidR="00306DAB" w:rsidRDefault="00306DAB" w:rsidP="003E3806">
      <w:pPr>
        <w:jc w:val="both"/>
      </w:pPr>
      <w:r>
        <w:t>The Council is invited</w:t>
      </w:r>
      <w:r w:rsidDel="00943A4F">
        <w:t xml:space="preserve"> </w:t>
      </w:r>
      <w:r>
        <w:t xml:space="preserve">to take the necessary actions </w:t>
      </w:r>
      <w:proofErr w:type="gramStart"/>
      <w:r>
        <w:t>in order to</w:t>
      </w:r>
      <w:proofErr w:type="gramEnd"/>
      <w:r>
        <w:t xml:space="preserve"> resolve the issue and ensure that the Radiocommunication Bureau has the required resources to perform its duties to comply with the regulatory deadlines as prescribed in the Radio Regulations. </w:t>
      </w:r>
    </w:p>
    <w:bookmarkEnd w:id="11"/>
    <w:p w14:paraId="4F023A82" w14:textId="2B28AC88" w:rsidR="00A044AE" w:rsidRPr="00257D84" w:rsidRDefault="003E3806" w:rsidP="003E3806">
      <w:pPr>
        <w:pStyle w:val="Signature"/>
        <w:jc w:val="center"/>
      </w:pPr>
      <w:r>
        <w:t>_____________</w:t>
      </w:r>
    </w:p>
    <w:sectPr w:rsidR="00A044AE" w:rsidRPr="00257D84"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17E4" w14:textId="77777777" w:rsidR="001829F4" w:rsidRDefault="001829F4">
      <w:r>
        <w:separator/>
      </w:r>
    </w:p>
  </w:endnote>
  <w:endnote w:type="continuationSeparator" w:id="0">
    <w:p w14:paraId="71727972" w14:textId="77777777" w:rsidR="001829F4" w:rsidRDefault="0018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42C933F" w14:textId="77777777" w:rsidTr="0042469C">
      <w:trPr>
        <w:jc w:val="center"/>
      </w:trPr>
      <w:tc>
        <w:tcPr>
          <w:tcW w:w="1803" w:type="dxa"/>
          <w:vAlign w:val="center"/>
        </w:tcPr>
        <w:p w14:paraId="15CB0F63" w14:textId="77777777" w:rsidR="00EE49E8" w:rsidRDefault="00C6520B" w:rsidP="00EE49E8">
          <w:pPr>
            <w:pStyle w:val="Header"/>
            <w:jc w:val="left"/>
            <w:rPr>
              <w:noProof/>
            </w:rPr>
          </w:pPr>
          <w:r>
            <w:rPr>
              <w:noProof/>
            </w:rPr>
            <w:t>gDoc #</w:t>
          </w:r>
        </w:p>
      </w:tc>
      <w:tc>
        <w:tcPr>
          <w:tcW w:w="8261" w:type="dxa"/>
        </w:tcPr>
        <w:p w14:paraId="2A1A0B34" w14:textId="6EA4ED1A"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E3806">
            <w:rPr>
              <w:bCs/>
            </w:rPr>
            <w:t>107</w:t>
          </w:r>
          <w:r w:rsidRPr="00623AE3">
            <w:rPr>
              <w:bCs/>
            </w:rPr>
            <w:t>-E</w:t>
          </w:r>
          <w:r>
            <w:rPr>
              <w:bCs/>
            </w:rPr>
            <w:tab/>
          </w:r>
          <w:r>
            <w:fldChar w:fldCharType="begin"/>
          </w:r>
          <w:r>
            <w:instrText>PAGE</w:instrText>
          </w:r>
          <w:r>
            <w:fldChar w:fldCharType="separate"/>
          </w:r>
          <w:r>
            <w:t>1</w:t>
          </w:r>
          <w:r>
            <w:rPr>
              <w:noProof/>
            </w:rPr>
            <w:fldChar w:fldCharType="end"/>
          </w:r>
        </w:p>
      </w:tc>
    </w:tr>
  </w:tbl>
  <w:p w14:paraId="7D19AB0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0DC88D09" w14:textId="77777777" w:rsidTr="006B77F1">
      <w:trPr>
        <w:jc w:val="center"/>
      </w:trPr>
      <w:tc>
        <w:tcPr>
          <w:tcW w:w="1803" w:type="dxa"/>
          <w:vAlign w:val="center"/>
        </w:tcPr>
        <w:p w14:paraId="3D6BC79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6AD523BA" w14:textId="1C6273B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3E3806">
            <w:rPr>
              <w:bCs/>
            </w:rPr>
            <w:t>107</w:t>
          </w:r>
          <w:r w:rsidRPr="00623AE3">
            <w:rPr>
              <w:bCs/>
            </w:rPr>
            <w:t>-E</w:t>
          </w:r>
          <w:r>
            <w:rPr>
              <w:bCs/>
            </w:rPr>
            <w:tab/>
          </w:r>
          <w:r>
            <w:fldChar w:fldCharType="begin"/>
          </w:r>
          <w:r>
            <w:instrText>PAGE</w:instrText>
          </w:r>
          <w:r>
            <w:fldChar w:fldCharType="separate"/>
          </w:r>
          <w:r>
            <w:t>1</w:t>
          </w:r>
          <w:r>
            <w:rPr>
              <w:noProof/>
            </w:rPr>
            <w:fldChar w:fldCharType="end"/>
          </w:r>
        </w:p>
      </w:tc>
    </w:tr>
  </w:tbl>
  <w:p w14:paraId="61D74C7D"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8958" w14:textId="77777777" w:rsidR="001829F4" w:rsidRDefault="001829F4">
      <w:r>
        <w:t>____________________</w:t>
      </w:r>
    </w:p>
  </w:footnote>
  <w:footnote w:type="continuationSeparator" w:id="0">
    <w:p w14:paraId="1A95AACE" w14:textId="77777777" w:rsidR="001829F4" w:rsidRDefault="00182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99B7" w14:textId="77777777" w:rsidR="00AD3606" w:rsidRPr="00512087" w:rsidRDefault="00512087" w:rsidP="0049369C">
    <w:pPr>
      <w:pStyle w:val="Header"/>
    </w:pPr>
    <w:r>
      <w:rPr>
        <w:noProof/>
      </w:rPr>
      <w:drawing>
        <wp:inline distT="0" distB="0" distL="0" distR="0" wp14:anchorId="07200295" wp14:editId="720FCFD7">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EE28A7"/>
    <w:multiLevelType w:val="hybridMultilevel"/>
    <w:tmpl w:val="02F850A8"/>
    <w:lvl w:ilvl="0" w:tplc="0EC87A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0"/>
  </w:num>
  <w:num w:numId="2" w16cid:durableId="765007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AE"/>
    <w:rsid w:val="00005FAD"/>
    <w:rsid w:val="000210D4"/>
    <w:rsid w:val="0004708D"/>
    <w:rsid w:val="0006007D"/>
    <w:rsid w:val="00063016"/>
    <w:rsid w:val="00066795"/>
    <w:rsid w:val="000767B0"/>
    <w:rsid w:val="00076AF6"/>
    <w:rsid w:val="00085CF2"/>
    <w:rsid w:val="000B1705"/>
    <w:rsid w:val="000D75B2"/>
    <w:rsid w:val="000E372C"/>
    <w:rsid w:val="000F5DDB"/>
    <w:rsid w:val="000F6F9F"/>
    <w:rsid w:val="001121F5"/>
    <w:rsid w:val="001400DC"/>
    <w:rsid w:val="00140CE1"/>
    <w:rsid w:val="0015189A"/>
    <w:rsid w:val="0017539C"/>
    <w:rsid w:val="00175AC2"/>
    <w:rsid w:val="0017609F"/>
    <w:rsid w:val="00176F47"/>
    <w:rsid w:val="001829F4"/>
    <w:rsid w:val="00184987"/>
    <w:rsid w:val="001A3154"/>
    <w:rsid w:val="001A7D1D"/>
    <w:rsid w:val="001B51DD"/>
    <w:rsid w:val="001C2EFA"/>
    <w:rsid w:val="001C628E"/>
    <w:rsid w:val="001E0F7B"/>
    <w:rsid w:val="001E2147"/>
    <w:rsid w:val="001F5569"/>
    <w:rsid w:val="0020487B"/>
    <w:rsid w:val="002119FD"/>
    <w:rsid w:val="002130E0"/>
    <w:rsid w:val="00221F46"/>
    <w:rsid w:val="0024171B"/>
    <w:rsid w:val="00252561"/>
    <w:rsid w:val="00264425"/>
    <w:rsid w:val="00265875"/>
    <w:rsid w:val="0027303B"/>
    <w:rsid w:val="00277DEA"/>
    <w:rsid w:val="0028109B"/>
    <w:rsid w:val="002916B4"/>
    <w:rsid w:val="002A0615"/>
    <w:rsid w:val="002A133E"/>
    <w:rsid w:val="002A2188"/>
    <w:rsid w:val="002B1F58"/>
    <w:rsid w:val="002C00E1"/>
    <w:rsid w:val="002C1C7A"/>
    <w:rsid w:val="002C3F32"/>
    <w:rsid w:val="002C54E2"/>
    <w:rsid w:val="002D7524"/>
    <w:rsid w:val="002E16AC"/>
    <w:rsid w:val="002F7CE5"/>
    <w:rsid w:val="0030160F"/>
    <w:rsid w:val="00306DAB"/>
    <w:rsid w:val="00320223"/>
    <w:rsid w:val="00322D0D"/>
    <w:rsid w:val="0033022F"/>
    <w:rsid w:val="003348E4"/>
    <w:rsid w:val="00361465"/>
    <w:rsid w:val="003724A9"/>
    <w:rsid w:val="003877F5"/>
    <w:rsid w:val="003936D3"/>
    <w:rsid w:val="003942D4"/>
    <w:rsid w:val="003958A8"/>
    <w:rsid w:val="003B29C2"/>
    <w:rsid w:val="003B4FAF"/>
    <w:rsid w:val="003C2533"/>
    <w:rsid w:val="003C4037"/>
    <w:rsid w:val="003D5A7F"/>
    <w:rsid w:val="003E3806"/>
    <w:rsid w:val="003F0228"/>
    <w:rsid w:val="0040435A"/>
    <w:rsid w:val="004112B5"/>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1F3B"/>
    <w:rsid w:val="004D599D"/>
    <w:rsid w:val="004E2EA5"/>
    <w:rsid w:val="004E3AEB"/>
    <w:rsid w:val="0050223C"/>
    <w:rsid w:val="00506317"/>
    <w:rsid w:val="00512087"/>
    <w:rsid w:val="005243FF"/>
    <w:rsid w:val="00564FBC"/>
    <w:rsid w:val="005800BC"/>
    <w:rsid w:val="00582442"/>
    <w:rsid w:val="005E5EBF"/>
    <w:rsid w:val="005F3269"/>
    <w:rsid w:val="005F64E3"/>
    <w:rsid w:val="0061071E"/>
    <w:rsid w:val="00623AE3"/>
    <w:rsid w:val="0064737F"/>
    <w:rsid w:val="006535F1"/>
    <w:rsid w:val="0065557D"/>
    <w:rsid w:val="00660D50"/>
    <w:rsid w:val="00662984"/>
    <w:rsid w:val="00664650"/>
    <w:rsid w:val="006716BB"/>
    <w:rsid w:val="006A2F4B"/>
    <w:rsid w:val="006A7C42"/>
    <w:rsid w:val="006B1859"/>
    <w:rsid w:val="006B46DC"/>
    <w:rsid w:val="006B6680"/>
    <w:rsid w:val="006B6DCC"/>
    <w:rsid w:val="006B77F1"/>
    <w:rsid w:val="006C77B2"/>
    <w:rsid w:val="00702DEF"/>
    <w:rsid w:val="00706861"/>
    <w:rsid w:val="00713101"/>
    <w:rsid w:val="00722551"/>
    <w:rsid w:val="00747133"/>
    <w:rsid w:val="0075051B"/>
    <w:rsid w:val="007523CD"/>
    <w:rsid w:val="00752FD8"/>
    <w:rsid w:val="00765C89"/>
    <w:rsid w:val="0077110E"/>
    <w:rsid w:val="00793188"/>
    <w:rsid w:val="00794D34"/>
    <w:rsid w:val="007A3FCD"/>
    <w:rsid w:val="007B19CF"/>
    <w:rsid w:val="007D01AF"/>
    <w:rsid w:val="007F5C0A"/>
    <w:rsid w:val="00810BEC"/>
    <w:rsid w:val="00813E5E"/>
    <w:rsid w:val="0081692E"/>
    <w:rsid w:val="0083581B"/>
    <w:rsid w:val="0084546D"/>
    <w:rsid w:val="00850A3C"/>
    <w:rsid w:val="00863874"/>
    <w:rsid w:val="00864AFF"/>
    <w:rsid w:val="00865925"/>
    <w:rsid w:val="008A3520"/>
    <w:rsid w:val="008B4A6A"/>
    <w:rsid w:val="008C7E27"/>
    <w:rsid w:val="008D3F78"/>
    <w:rsid w:val="008F7448"/>
    <w:rsid w:val="0090147A"/>
    <w:rsid w:val="009173EF"/>
    <w:rsid w:val="00932906"/>
    <w:rsid w:val="00954C49"/>
    <w:rsid w:val="00961B0B"/>
    <w:rsid w:val="00962D33"/>
    <w:rsid w:val="00977C44"/>
    <w:rsid w:val="009842A1"/>
    <w:rsid w:val="009A76A8"/>
    <w:rsid w:val="009B38C3"/>
    <w:rsid w:val="009E17BD"/>
    <w:rsid w:val="009E485A"/>
    <w:rsid w:val="009E4F22"/>
    <w:rsid w:val="009F414B"/>
    <w:rsid w:val="00A044AE"/>
    <w:rsid w:val="00A04CEC"/>
    <w:rsid w:val="00A109AF"/>
    <w:rsid w:val="00A27F92"/>
    <w:rsid w:val="00A32257"/>
    <w:rsid w:val="00A36D20"/>
    <w:rsid w:val="00A514A4"/>
    <w:rsid w:val="00A55622"/>
    <w:rsid w:val="00A60B23"/>
    <w:rsid w:val="00A76BC3"/>
    <w:rsid w:val="00A83502"/>
    <w:rsid w:val="00A94BAB"/>
    <w:rsid w:val="00AD15B3"/>
    <w:rsid w:val="00AD2031"/>
    <w:rsid w:val="00AD3606"/>
    <w:rsid w:val="00AD4A3D"/>
    <w:rsid w:val="00AF6E49"/>
    <w:rsid w:val="00B01A2B"/>
    <w:rsid w:val="00B04A67"/>
    <w:rsid w:val="00B0583C"/>
    <w:rsid w:val="00B40A81"/>
    <w:rsid w:val="00B44910"/>
    <w:rsid w:val="00B72267"/>
    <w:rsid w:val="00B76EB6"/>
    <w:rsid w:val="00B7737B"/>
    <w:rsid w:val="00B824C8"/>
    <w:rsid w:val="00B84B9D"/>
    <w:rsid w:val="00B9131F"/>
    <w:rsid w:val="00BB0646"/>
    <w:rsid w:val="00BC251A"/>
    <w:rsid w:val="00BC4A20"/>
    <w:rsid w:val="00BD032B"/>
    <w:rsid w:val="00BE01C6"/>
    <w:rsid w:val="00BE2640"/>
    <w:rsid w:val="00BF1240"/>
    <w:rsid w:val="00BF1FDE"/>
    <w:rsid w:val="00C01189"/>
    <w:rsid w:val="00C0458D"/>
    <w:rsid w:val="00C30A27"/>
    <w:rsid w:val="00C374DE"/>
    <w:rsid w:val="00C47AD4"/>
    <w:rsid w:val="00C52D81"/>
    <w:rsid w:val="00C55198"/>
    <w:rsid w:val="00C5605F"/>
    <w:rsid w:val="00C6520B"/>
    <w:rsid w:val="00CA6393"/>
    <w:rsid w:val="00CA7995"/>
    <w:rsid w:val="00CB18FF"/>
    <w:rsid w:val="00CD0C08"/>
    <w:rsid w:val="00CE03FB"/>
    <w:rsid w:val="00CE433C"/>
    <w:rsid w:val="00CF0161"/>
    <w:rsid w:val="00CF33F3"/>
    <w:rsid w:val="00CF4A2B"/>
    <w:rsid w:val="00CF57BE"/>
    <w:rsid w:val="00D024CA"/>
    <w:rsid w:val="00D06183"/>
    <w:rsid w:val="00D22C42"/>
    <w:rsid w:val="00D264E3"/>
    <w:rsid w:val="00D65041"/>
    <w:rsid w:val="00D6667E"/>
    <w:rsid w:val="00DB1936"/>
    <w:rsid w:val="00DB384B"/>
    <w:rsid w:val="00DE45FE"/>
    <w:rsid w:val="00DE532B"/>
    <w:rsid w:val="00DF0189"/>
    <w:rsid w:val="00DF14FA"/>
    <w:rsid w:val="00DF6668"/>
    <w:rsid w:val="00E06FD5"/>
    <w:rsid w:val="00E10E80"/>
    <w:rsid w:val="00E124F0"/>
    <w:rsid w:val="00E227F3"/>
    <w:rsid w:val="00E243CD"/>
    <w:rsid w:val="00E36341"/>
    <w:rsid w:val="00E545C6"/>
    <w:rsid w:val="00E60F04"/>
    <w:rsid w:val="00E65B24"/>
    <w:rsid w:val="00E854E4"/>
    <w:rsid w:val="00E86DBF"/>
    <w:rsid w:val="00E969AF"/>
    <w:rsid w:val="00EB0D6F"/>
    <w:rsid w:val="00EB2232"/>
    <w:rsid w:val="00EC5337"/>
    <w:rsid w:val="00EE49E8"/>
    <w:rsid w:val="00F00A43"/>
    <w:rsid w:val="00F16BAB"/>
    <w:rsid w:val="00F2150A"/>
    <w:rsid w:val="00F231D8"/>
    <w:rsid w:val="00F44C00"/>
    <w:rsid w:val="00F45D2C"/>
    <w:rsid w:val="00F46C5F"/>
    <w:rsid w:val="00F632C0"/>
    <w:rsid w:val="00F641E1"/>
    <w:rsid w:val="00F94A63"/>
    <w:rsid w:val="00FA1C28"/>
    <w:rsid w:val="00FB1279"/>
    <w:rsid w:val="00FB6B76"/>
    <w:rsid w:val="00FB7596"/>
    <w:rsid w:val="00FD452F"/>
    <w:rsid w:val="00FD5D53"/>
    <w:rsid w:val="00FE4077"/>
    <w:rsid w:val="00FE500D"/>
    <w:rsid w:val="00FE77D2"/>
    <w:rsid w:val="00FF39B1"/>
    <w:rsid w:val="77C5E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A95CC"/>
  <w15:docId w15:val="{075031FC-A499-4F10-AFA5-3FA76E15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Signature">
    <w:name w:val="Signature"/>
    <w:basedOn w:val="Normal"/>
    <w:link w:val="SignatureChar"/>
    <w:unhideWhenUsed/>
    <w:rsid w:val="00A044AE"/>
    <w:pPr>
      <w:tabs>
        <w:tab w:val="clear" w:pos="567"/>
        <w:tab w:val="clear" w:pos="1134"/>
        <w:tab w:val="clear" w:pos="1701"/>
        <w:tab w:val="clear" w:pos="2268"/>
        <w:tab w:val="clear" w:pos="2835"/>
        <w:tab w:val="center" w:pos="6804"/>
      </w:tabs>
      <w:spacing w:before="600"/>
    </w:pPr>
    <w:rPr>
      <w:rFonts w:eastAsia="Calibri"/>
    </w:rPr>
  </w:style>
  <w:style w:type="character" w:customStyle="1" w:styleId="SignatureChar">
    <w:name w:val="Signature Char"/>
    <w:basedOn w:val="DefaultParagraphFont"/>
    <w:link w:val="Signature"/>
    <w:rsid w:val="00A044AE"/>
    <w:rPr>
      <w:rFonts w:ascii="Calibri" w:eastAsia="Calibri" w:hAnsi="Calibri"/>
      <w:sz w:val="24"/>
      <w:lang w:val="en-GB" w:eastAsia="en-US"/>
    </w:rPr>
  </w:style>
  <w:style w:type="paragraph" w:styleId="ListParagraph">
    <w:name w:val="List Paragraph"/>
    <w:basedOn w:val="Normal"/>
    <w:uiPriority w:val="34"/>
    <w:qFormat/>
    <w:rsid w:val="00A044AE"/>
    <w:pPr>
      <w:ind w:left="720"/>
      <w:contextualSpacing/>
    </w:pPr>
  </w:style>
  <w:style w:type="paragraph" w:customStyle="1" w:styleId="BodyAA">
    <w:name w:val="Body A A"/>
    <w:rsid w:val="00A044AE"/>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rPr>
  </w:style>
  <w:style w:type="character" w:customStyle="1" w:styleId="Hyperlink3">
    <w:name w:val="Hyperlink.3"/>
    <w:basedOn w:val="DefaultParagraphFont"/>
    <w:rsid w:val="00A044AE"/>
    <w:rPr>
      <w:color w:val="0000FF"/>
      <w:u w:val="single" w:color="0000FF"/>
    </w:rPr>
  </w:style>
  <w:style w:type="paragraph" w:styleId="Revision">
    <w:name w:val="Revision"/>
    <w:hidden/>
    <w:uiPriority w:val="99"/>
    <w:semiHidden/>
    <w:rsid w:val="00E36341"/>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00-CA-CIR-0281/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RAG-C-0058/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D923-4CAC-4CAF-ACF8-EBB1C2C1096F}">
  <ds:schemaRefs>
    <ds:schemaRef ds:uri="http://schemas.microsoft.com/office/2006/documentManagement/types"/>
    <ds:schemaRef ds:uri="ad0d4407-0c86-4168-aef5-7e5ed32f9eb2"/>
    <ds:schemaRef ds:uri="b793da9a-8d8a-4824-945d-2346bcf27de4"/>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BA8EBB4-34BF-4D86-B7F3-858C2A819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F9A46-D545-4199-8334-0AC3EA2CD57E}">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5</TotalTime>
  <Pages>2</Pages>
  <Words>299</Words>
  <Characters>1867</Characters>
  <Application>Microsoft Office Word</Application>
  <DocSecurity>0</DocSecurity>
  <Lines>46</Lines>
  <Paragraphs>24</Paragraphs>
  <ScaleCrop>false</ScaleCrop>
  <HeadingPairs>
    <vt:vector size="2" baseType="variant">
      <vt:variant>
        <vt:lpstr>Title</vt:lpstr>
      </vt:variant>
      <vt:variant>
        <vt:i4>1</vt:i4>
      </vt:variant>
    </vt:vector>
  </HeadingPairs>
  <TitlesOfParts>
    <vt:vector size="1" baseType="lpstr">
      <vt:lpstr>Four-year Report of the Council Working Group on international Internet-related public policy issues</vt:lpstr>
    </vt:vector>
  </TitlesOfParts>
  <Manager>General Secretariat</Manager>
  <Company>International Telecommunication Union (ITU)</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on resource allocation for the constitutional activities of the Radiocommunication Bureau, including the processing of space notices</dc:title>
  <dc:subject>ITU Council 2026</dc:subject>
  <dc:creator/>
  <cp:keywords>C26; C2026; Council 2026; PP26</cp:keywords>
  <dc:description/>
  <cp:lastModifiedBy>GBS</cp:lastModifiedBy>
  <cp:revision>7</cp:revision>
  <cp:lastPrinted>2000-07-18T13:30:00Z</cp:lastPrinted>
  <dcterms:created xsi:type="dcterms:W3CDTF">2026-04-20T16:31:00Z</dcterms:created>
  <dcterms:modified xsi:type="dcterms:W3CDTF">2026-04-21T09:55:00Z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0x010100FD4F6660A0379C4F9667852F9D86F5EE</vt:lpwstr>
  </property>
  <property fmtid="{D5CDD505-2E9C-101B-9397-08002B2CF9AE}" pid="10" name="docLang">
    <vt:lpwstr>en</vt:lpwstr>
  </property>
  <property fmtid="{D5CDD505-2E9C-101B-9397-08002B2CF9AE}" pid="11" name="MediaServiceImageTags">
    <vt:lpwstr/>
  </property>
</Properties>
</file>