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39421071" w14:textId="77777777" w:rsidTr="00F363FE">
        <w:tc>
          <w:tcPr>
            <w:tcW w:w="6512" w:type="dxa"/>
          </w:tcPr>
          <w:p w14:paraId="7CD5DD5C" w14:textId="37DF951C" w:rsidR="007B0AA0" w:rsidRPr="007E0255" w:rsidRDefault="007B0AA0" w:rsidP="00F363FE">
            <w:pPr>
              <w:spacing w:before="60" w:after="60" w:line="260" w:lineRule="exact"/>
              <w:rPr>
                <w:b/>
                <w:bCs/>
                <w:lang w:val="en-GB"/>
              </w:rPr>
            </w:pPr>
            <w:r w:rsidRPr="007B0AA0">
              <w:rPr>
                <w:rFonts w:hint="cs"/>
                <w:b/>
                <w:bCs/>
                <w:rtl/>
                <w:lang w:bidi="ar-EG"/>
              </w:rPr>
              <w:t>بند جدول الأعمال:</w:t>
            </w:r>
            <w:r w:rsidR="007E0255">
              <w:rPr>
                <w:rFonts w:hint="cs"/>
                <w:b/>
                <w:bCs/>
                <w:rtl/>
              </w:rPr>
              <w:t xml:space="preserve"> </w:t>
            </w:r>
            <w:r w:rsidR="007E0255" w:rsidRPr="006F1888">
              <w:rPr>
                <w:b/>
                <w:bCs/>
                <w:color w:val="000000"/>
                <w:rtl/>
              </w:rPr>
              <w:t>ADM 1</w:t>
            </w:r>
          </w:p>
        </w:tc>
        <w:tc>
          <w:tcPr>
            <w:tcW w:w="3117" w:type="dxa"/>
          </w:tcPr>
          <w:p w14:paraId="339A15C6" w14:textId="0D213AAD"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7E0255">
              <w:rPr>
                <w:b/>
                <w:bCs/>
                <w:lang w:bidi="ar-EG"/>
              </w:rPr>
              <w:t>107</w:t>
            </w:r>
            <w:r w:rsidRPr="007B0AA0">
              <w:rPr>
                <w:b/>
                <w:bCs/>
                <w:lang w:bidi="ar-EG"/>
              </w:rPr>
              <w:t>-A</w:t>
            </w:r>
          </w:p>
        </w:tc>
      </w:tr>
      <w:tr w:rsidR="007B0AA0" w14:paraId="7C4B8905" w14:textId="77777777" w:rsidTr="00F363FE">
        <w:tc>
          <w:tcPr>
            <w:tcW w:w="6512" w:type="dxa"/>
          </w:tcPr>
          <w:p w14:paraId="367D8BC7" w14:textId="77777777" w:rsidR="007B0AA0" w:rsidRPr="007B0AA0" w:rsidRDefault="007B0AA0" w:rsidP="00F363FE">
            <w:pPr>
              <w:spacing w:before="60" w:after="60" w:line="260" w:lineRule="exact"/>
              <w:rPr>
                <w:b/>
                <w:bCs/>
                <w:rtl/>
                <w:lang w:bidi="ar-EG"/>
              </w:rPr>
            </w:pPr>
          </w:p>
        </w:tc>
        <w:tc>
          <w:tcPr>
            <w:tcW w:w="3117" w:type="dxa"/>
          </w:tcPr>
          <w:p w14:paraId="09682B23" w14:textId="17D1433E" w:rsidR="007B0AA0" w:rsidRPr="007E0255" w:rsidRDefault="007E0255" w:rsidP="00F363FE">
            <w:pPr>
              <w:spacing w:before="60" w:after="60" w:line="260" w:lineRule="exact"/>
              <w:rPr>
                <w:b/>
                <w:bCs/>
                <w:lang w:val="en-GB"/>
              </w:rPr>
            </w:pPr>
            <w:r>
              <w:rPr>
                <w:b/>
                <w:bCs/>
                <w:lang w:bidi="ar-EG"/>
              </w:rPr>
              <w:t>21</w:t>
            </w:r>
            <w:r>
              <w:rPr>
                <w:rFonts w:hint="cs"/>
                <w:b/>
                <w:bCs/>
                <w:rtl/>
              </w:rPr>
              <w:t xml:space="preserve"> أبريل </w:t>
            </w:r>
            <w:r>
              <w:rPr>
                <w:b/>
                <w:bCs/>
                <w:lang w:val="en-GB"/>
              </w:rPr>
              <w:t>2026</w:t>
            </w:r>
          </w:p>
        </w:tc>
      </w:tr>
      <w:tr w:rsidR="007B0AA0" w14:paraId="5CFD1366" w14:textId="77777777" w:rsidTr="00F363FE">
        <w:tc>
          <w:tcPr>
            <w:tcW w:w="6512" w:type="dxa"/>
          </w:tcPr>
          <w:p w14:paraId="78D48491" w14:textId="77777777" w:rsidR="007B0AA0" w:rsidRPr="007B0AA0" w:rsidRDefault="007B0AA0" w:rsidP="00F363FE">
            <w:pPr>
              <w:spacing w:before="60" w:after="60" w:line="260" w:lineRule="exact"/>
              <w:rPr>
                <w:b/>
                <w:bCs/>
                <w:rtl/>
                <w:lang w:bidi="ar-EG"/>
              </w:rPr>
            </w:pPr>
          </w:p>
        </w:tc>
        <w:tc>
          <w:tcPr>
            <w:tcW w:w="3117" w:type="dxa"/>
          </w:tcPr>
          <w:p w14:paraId="0BEEA358"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1B85CD7" w14:textId="77777777" w:rsidTr="00F363FE">
        <w:tc>
          <w:tcPr>
            <w:tcW w:w="6512" w:type="dxa"/>
          </w:tcPr>
          <w:p w14:paraId="73DE253D" w14:textId="77777777" w:rsidR="007B0AA0" w:rsidRDefault="007B0AA0" w:rsidP="00F363FE">
            <w:pPr>
              <w:spacing w:before="60" w:after="60" w:line="260" w:lineRule="exact"/>
              <w:rPr>
                <w:lang w:bidi="ar-EG"/>
              </w:rPr>
            </w:pPr>
          </w:p>
        </w:tc>
        <w:tc>
          <w:tcPr>
            <w:tcW w:w="3117" w:type="dxa"/>
          </w:tcPr>
          <w:p w14:paraId="2C4798A9" w14:textId="77777777" w:rsidR="007B0AA0" w:rsidRDefault="007B0AA0" w:rsidP="00F363FE">
            <w:pPr>
              <w:spacing w:before="60" w:after="60" w:line="260" w:lineRule="exact"/>
              <w:rPr>
                <w:rtl/>
                <w:lang w:bidi="ar-EG"/>
              </w:rPr>
            </w:pPr>
          </w:p>
        </w:tc>
      </w:tr>
      <w:tr w:rsidR="007B0AA0" w14:paraId="174F013B" w14:textId="77777777" w:rsidTr="00EE7446">
        <w:tc>
          <w:tcPr>
            <w:tcW w:w="9629" w:type="dxa"/>
            <w:gridSpan w:val="2"/>
          </w:tcPr>
          <w:p w14:paraId="28CE8EF4" w14:textId="0FB9366A" w:rsidR="007B0AA0" w:rsidRPr="007E0255" w:rsidRDefault="007E0255" w:rsidP="007B0AA0">
            <w:pPr>
              <w:pStyle w:val="Source"/>
              <w:jc w:val="left"/>
              <w:rPr>
                <w:lang w:val="en-GB"/>
              </w:rPr>
            </w:pPr>
            <w:r w:rsidRPr="007E0255">
              <w:rPr>
                <w:rtl/>
                <w:lang w:bidi="ar-EG"/>
              </w:rPr>
              <w:t>رئيس الفريق الاستشاري للاتصالات الراديوية</w:t>
            </w:r>
            <w:r>
              <w:rPr>
                <w:rFonts w:hint="cs"/>
                <w:rtl/>
              </w:rPr>
              <w:t xml:space="preserve"> </w:t>
            </w:r>
            <w:r>
              <w:rPr>
                <w:lang w:val="en-GB"/>
              </w:rPr>
              <w:t>(RAG)</w:t>
            </w:r>
          </w:p>
        </w:tc>
      </w:tr>
      <w:tr w:rsidR="007B0AA0" w14:paraId="07BBDF5C" w14:textId="77777777" w:rsidTr="007B0AA0">
        <w:tc>
          <w:tcPr>
            <w:tcW w:w="9629" w:type="dxa"/>
            <w:gridSpan w:val="2"/>
            <w:tcBorders>
              <w:bottom w:val="single" w:sz="4" w:space="0" w:color="auto"/>
            </w:tcBorders>
          </w:tcPr>
          <w:p w14:paraId="4CEEFF10" w14:textId="1CBC5B18" w:rsidR="007B0AA0" w:rsidRPr="005546CF" w:rsidRDefault="007E0255" w:rsidP="007B0AA0">
            <w:pPr>
              <w:pStyle w:val="Subtitle0"/>
              <w:rPr>
                <w:sz w:val="32"/>
                <w:szCs w:val="32"/>
              </w:rPr>
            </w:pPr>
            <w:r w:rsidRPr="007E0255">
              <w:rPr>
                <w:sz w:val="32"/>
                <w:szCs w:val="32"/>
                <w:rtl/>
              </w:rPr>
              <w:t>مذكرة بشأن تخصيص الموارد للأنشطة الدستورية لمكتب الاتصالات الراديوية، بما في ذلك معالجة بطاقات التبليغ عن الأنظمة الفضائية</w:t>
            </w:r>
          </w:p>
        </w:tc>
      </w:tr>
      <w:tr w:rsidR="007B0AA0" w14:paraId="09DC6749" w14:textId="77777777" w:rsidTr="007B0AA0">
        <w:tc>
          <w:tcPr>
            <w:tcW w:w="9629"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082D99CF" w14:textId="7F782D16" w:rsidR="007B0AA0" w:rsidRDefault="007E0255" w:rsidP="007B0AA0">
            <w:pPr>
              <w:rPr>
                <w:rtl/>
              </w:rPr>
            </w:pPr>
            <w:r w:rsidRPr="007E0255">
              <w:rPr>
                <w:rtl/>
              </w:rPr>
              <w:t>تقدم هذه الوثيقة مذكرة من رئيس الفريق الاستشاري للاتصالات الراديوية (</w:t>
            </w:r>
            <w:r w:rsidRPr="007E0255">
              <w:t>RAG</w:t>
            </w:r>
            <w:r w:rsidRPr="007E0255">
              <w:rPr>
                <w:rtl/>
              </w:rPr>
              <w:t>) إلى المجلس بشأن تخصيص الموارد للأنشطة الدستورية لمكتب الاتصالات الراديوية، بما في ذلك معالجة بطاقات التبليغ عن الأنظمة الفضائية.</w:t>
            </w:r>
          </w:p>
          <w:p w14:paraId="587257F0" w14:textId="77777777" w:rsidR="007B0AA0" w:rsidRPr="007B0AA0" w:rsidRDefault="007B0AA0" w:rsidP="007B0AA0">
            <w:pPr>
              <w:rPr>
                <w:b/>
                <w:bCs/>
                <w:rtl/>
              </w:rPr>
            </w:pPr>
            <w:r w:rsidRPr="007B0AA0">
              <w:rPr>
                <w:rFonts w:hint="cs"/>
                <w:b/>
                <w:bCs/>
                <w:rtl/>
              </w:rPr>
              <w:t>الإجراء المطلوب من المجلس</w:t>
            </w:r>
          </w:p>
          <w:p w14:paraId="35A485CE" w14:textId="1C37DCCE" w:rsidR="007B0AA0" w:rsidRDefault="007E0255" w:rsidP="007B0AA0">
            <w:pPr>
              <w:rPr>
                <w:rtl/>
              </w:rPr>
            </w:pPr>
            <w:r w:rsidRPr="007E0255">
              <w:rPr>
                <w:rtl/>
              </w:rPr>
              <w:t xml:space="preserve">يُدعى المجلس إلى </w:t>
            </w:r>
            <w:r w:rsidRPr="007E0255">
              <w:rPr>
                <w:b/>
                <w:bCs/>
                <w:rtl/>
              </w:rPr>
              <w:t>اتخاذ الإجراءات اللازمة</w:t>
            </w:r>
            <w:r w:rsidRPr="007E0255">
              <w:rPr>
                <w:rtl/>
              </w:rPr>
              <w:t>.</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2B334438" w:rsidR="007B0AA0" w:rsidRPr="005546CF" w:rsidRDefault="007E0255" w:rsidP="007B0AA0">
            <w:pPr>
              <w:rPr>
                <w:i/>
                <w:iCs/>
                <w:rtl/>
              </w:rPr>
            </w:pPr>
            <w:r w:rsidRPr="007E0255">
              <w:rPr>
                <w:i/>
                <w:iCs/>
                <w:rtl/>
              </w:rPr>
              <w:t xml:space="preserve">الوثيقة </w:t>
            </w:r>
            <w:hyperlink r:id="rId8" w:history="1">
              <w:r w:rsidRPr="007E0255">
                <w:rPr>
                  <w:rStyle w:val="Hyperlink"/>
                  <w:i/>
                  <w:iCs/>
                  <w:noProof w:val="0"/>
                  <w:lang w:val="en-US" w:eastAsia="zh-CN"/>
                </w:rPr>
                <w:t>RAG/58</w:t>
              </w:r>
            </w:hyperlink>
            <w:r w:rsidRPr="007E0255">
              <w:rPr>
                <w:i/>
                <w:iCs/>
                <w:rtl/>
              </w:rPr>
              <w:t xml:space="preserve">؛ الرسالة المعممة </w:t>
            </w:r>
            <w:hyperlink r:id="rId9" w:history="1">
              <w:r w:rsidRPr="007E0255">
                <w:rPr>
                  <w:rStyle w:val="Hyperlink"/>
                  <w:i/>
                  <w:iCs/>
                  <w:noProof w:val="0"/>
                  <w:lang w:val="en-US" w:eastAsia="zh-CN"/>
                </w:rPr>
                <w:t>CA/281</w:t>
              </w:r>
            </w:hyperlink>
            <w:r w:rsidRPr="007E0255">
              <w:rPr>
                <w:i/>
                <w:iCs/>
                <w:rtl/>
              </w:rPr>
              <w:t xml:space="preserve"> الصادرة عن مكتب الاتصالات الراديوية التي تتضمن ملخص استنتاجات الفريق الاستشاري للاتصالات الراديوية</w:t>
            </w:r>
          </w:p>
        </w:tc>
      </w:tr>
    </w:tbl>
    <w:p w14:paraId="6772FFB5" w14:textId="77777777" w:rsidR="00E61BE8" w:rsidRDefault="00E61BE8" w:rsidP="00E61BE8">
      <w:pPr>
        <w:rPr>
          <w:rtl/>
          <w:lang w:bidi="ar-EG"/>
        </w:rPr>
      </w:pPr>
    </w:p>
    <w:p w14:paraId="41C8B8B1" w14:textId="77777777" w:rsidR="00F50E3F" w:rsidRDefault="00F50E3F" w:rsidP="0043260A">
      <w:pPr>
        <w:rPr>
          <w:rtl/>
          <w:lang w:bidi="ar-EG"/>
        </w:rPr>
      </w:pPr>
      <w:r>
        <w:rPr>
          <w:rtl/>
          <w:lang w:bidi="ar-EG"/>
        </w:rPr>
        <w:br w:type="page"/>
      </w:r>
    </w:p>
    <w:p w14:paraId="038DAF3E" w14:textId="7D9761E5" w:rsidR="007E0255" w:rsidRPr="007E0255" w:rsidRDefault="007E0255" w:rsidP="007E0255">
      <w:pPr>
        <w:pStyle w:val="Heading1"/>
        <w:rPr>
          <w:lang w:val="ar-SA" w:eastAsia="zh-TW" w:bidi="en-GB"/>
        </w:rPr>
      </w:pPr>
      <w:bookmarkStart w:id="0" w:name="dbreak3"/>
      <w:r>
        <w:lastRenderedPageBreak/>
        <w:t>1</w:t>
      </w:r>
      <w:r w:rsidRPr="007E0255">
        <w:rPr>
          <w:rtl/>
        </w:rPr>
        <w:tab/>
        <w:t>معلومات أساسية</w:t>
      </w:r>
    </w:p>
    <w:p w14:paraId="6D8897AA" w14:textId="5C9820F3" w:rsidR="007E0255" w:rsidRPr="007E0255" w:rsidRDefault="007E0255" w:rsidP="007E0255">
      <w:pPr>
        <w:rPr>
          <w:lang w:val="ar-SA" w:eastAsia="zh-TW" w:bidi="en-GB"/>
        </w:rPr>
      </w:pPr>
      <w:r w:rsidRPr="007E0255">
        <w:rPr>
          <w:rtl/>
        </w:rPr>
        <w:t xml:space="preserve">أقر الفريق الاستشاري للاتصالات الراديوية </w:t>
      </w:r>
      <w:r w:rsidRPr="007E0255">
        <w:t>(RAG)</w:t>
      </w:r>
      <w:r w:rsidRPr="007E0255">
        <w:rPr>
          <w:rtl/>
        </w:rPr>
        <w:t>، خلال اجتماعه الثالث والثلاثين (من 31 مارس إلى 2 أبريل 2026)، بالصعوبات التي واجهها مكتب الاتصالات الراديوية في معالجة بطاقات التبليغ عن الشبكات الساتلية، والقيود التي ووجهت على مستوى الدعم الذي تمكنت دائرة لجان الدراسات من تقديمه إلى الاجتماعات الإضافية وأفرقة العمل بالمراسلة، فضلاً عن أنشطة التدريب وبناء القدرات التي يمكن أن يقدمها مكتب الاتصالات الراديوية للإدارات.</w:t>
      </w:r>
    </w:p>
    <w:p w14:paraId="2C2F532A" w14:textId="77777777" w:rsidR="007E0255" w:rsidRPr="007E0255" w:rsidRDefault="007E0255" w:rsidP="007E0255">
      <w:pPr>
        <w:rPr>
          <w:lang w:val="ar-SA" w:eastAsia="zh-TW" w:bidi="en-GB"/>
        </w:rPr>
      </w:pPr>
      <w:r w:rsidRPr="007E0255">
        <w:rPr>
          <w:rtl/>
        </w:rPr>
        <w:t xml:space="preserve">وشهد مكتب الاتصالات الراديوية تأخيرات في معالجة بطاقات التبليغ عن الأنظمة الفضائية، ما أدى إلى تراكمها ثلاث مرات بعد الموعد النهائي الإلزامي المحدد بأربعة أشهر في الرقم 38.9 من لوائح الراديو، وهي المعاهدة الدولية التي تنظم استخدام طيف الترددات الراديوية ومدارات السواتل. وجدير بالذكر أن لجنة لوائح الراديو </w:t>
      </w:r>
      <w:r w:rsidRPr="007E0255">
        <w:t>(RRB)</w:t>
      </w:r>
      <w:r w:rsidRPr="007E0255">
        <w:rPr>
          <w:rtl/>
        </w:rPr>
        <w:t xml:space="preserve"> كانت قد أعربت سابقاً عن شواغل إزاء هذه المسألة.</w:t>
      </w:r>
    </w:p>
    <w:p w14:paraId="2E963638" w14:textId="415AEC1C" w:rsidR="007E0255" w:rsidRPr="007E0255" w:rsidRDefault="007E0255" w:rsidP="007E0255">
      <w:pPr>
        <w:pStyle w:val="Heading1"/>
        <w:rPr>
          <w:lang w:val="ar-SA" w:eastAsia="zh-TW" w:bidi="en-GB"/>
        </w:rPr>
      </w:pPr>
      <w:r>
        <w:t>2</w:t>
      </w:r>
      <w:r w:rsidRPr="007E0255">
        <w:rPr>
          <w:rtl/>
        </w:rPr>
        <w:tab/>
        <w:t>الإجراء المطلوب</w:t>
      </w:r>
    </w:p>
    <w:p w14:paraId="53AAD284" w14:textId="5334E4DD" w:rsidR="007E0255" w:rsidRPr="007E0255" w:rsidRDefault="007E0255" w:rsidP="007E0255">
      <w:pPr>
        <w:rPr>
          <w:lang w:val="ar-SA" w:eastAsia="zh-TW" w:bidi="en-GB"/>
        </w:rPr>
      </w:pPr>
      <w:r w:rsidRPr="007E0255">
        <w:rPr>
          <w:rtl/>
        </w:rPr>
        <w:t xml:space="preserve">يسترعى الفريق الاستشاري للاتصالات الراديوية </w:t>
      </w:r>
      <w:r w:rsidRPr="007E0255">
        <w:t>(RAG)</w:t>
      </w:r>
      <w:r w:rsidRPr="007E0255">
        <w:rPr>
          <w:rtl/>
        </w:rPr>
        <w:t xml:space="preserve"> انتباه المجلس إلى هذه المسألة، مؤكداً على ضرورة أن يمتلك مكتب الاتصالات الراديوية موارد كافية للوفاء بولايته الدستورية، على الرغم من القيود الحالية على ميزانية الاتحاد.</w:t>
      </w:r>
    </w:p>
    <w:p w14:paraId="5B5AF96E" w14:textId="2F3CE347" w:rsidR="007E0255" w:rsidRPr="007E0255" w:rsidRDefault="007E0255" w:rsidP="007E0255">
      <w:pPr>
        <w:rPr>
          <w:lang w:val="ar-SA" w:eastAsia="zh-TW" w:bidi="en-GB"/>
        </w:rPr>
      </w:pPr>
      <w:r w:rsidRPr="007E0255">
        <w:rPr>
          <w:rtl/>
        </w:rPr>
        <w:t>ويُدعى المجلس إلى اتخاذ الإجراءات اللازمة لحل هذه المشكلة وضمان حصول مكتب الاتصالات الراديوية على الموارد المطلوبة لأداء واجباته من أجل الامتثال للمواعيد النهائية التنظيمية المنصوص عليها في لوائح الراديو.</w:t>
      </w:r>
    </w:p>
    <w:bookmarkEnd w:id="0"/>
    <w:p w14:paraId="60B8CA3D" w14:textId="02768171" w:rsidR="00F50E3F" w:rsidRDefault="00D63735" w:rsidP="007E025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0"/>
      <w:headerReference w:type="first" r:id="rId11"/>
      <w:footerReference w:type="first" r:id="rId12"/>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D9A9D" w14:textId="77777777" w:rsidR="00F23DDA" w:rsidRDefault="00F23DDA" w:rsidP="006C3242">
      <w:pPr>
        <w:spacing w:before="0" w:line="240" w:lineRule="auto"/>
      </w:pPr>
      <w:r>
        <w:separator/>
      </w:r>
    </w:p>
  </w:endnote>
  <w:endnote w:type="continuationSeparator" w:id="0">
    <w:p w14:paraId="11DB8E87" w14:textId="77777777" w:rsidR="00F23DDA" w:rsidRDefault="00F23DDA"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431E1115" w:rsidR="00F50E3F" w:rsidRPr="007B0AA0" w:rsidRDefault="007E0255"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2601021</w:t>
          </w:r>
        </w:p>
      </w:tc>
      <w:tc>
        <w:tcPr>
          <w:tcW w:w="3912" w:type="pct"/>
        </w:tcPr>
        <w:p w14:paraId="62EE8B15" w14:textId="3FD1C38C"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7E0255">
            <w:rPr>
              <w:rFonts w:ascii="Calibri" w:hAnsi="Calibri" w:cs="Arial"/>
              <w:bCs/>
              <w:color w:val="7F7F7F"/>
              <w:sz w:val="18"/>
            </w:rPr>
            <w:t>107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5E019171" w14:textId="23F36979"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7E0255">
            <w:rPr>
              <w:rFonts w:ascii="Calibri" w:hAnsi="Calibri" w:cs="Arial"/>
              <w:bCs/>
              <w:color w:val="7F7F7F"/>
              <w:sz w:val="18"/>
            </w:rPr>
            <w:t>107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3E97" w14:textId="77777777" w:rsidR="00F23DDA" w:rsidRDefault="00F23DDA" w:rsidP="006C3242">
      <w:pPr>
        <w:spacing w:before="0" w:line="240" w:lineRule="auto"/>
      </w:pPr>
      <w:r>
        <w:separator/>
      </w:r>
    </w:p>
  </w:footnote>
  <w:footnote w:type="continuationSeparator" w:id="0">
    <w:p w14:paraId="2D10C9EC" w14:textId="77777777" w:rsidR="00F23DDA" w:rsidRDefault="00F23DDA"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06070913">
    <w:abstractNumId w:val="9"/>
  </w:num>
  <w:num w:numId="2" w16cid:durableId="1425296256">
    <w:abstractNumId w:val="7"/>
  </w:num>
  <w:num w:numId="3" w16cid:durableId="1736858190">
    <w:abstractNumId w:val="6"/>
  </w:num>
  <w:num w:numId="4" w16cid:durableId="587156095">
    <w:abstractNumId w:val="5"/>
  </w:num>
  <w:num w:numId="5" w16cid:durableId="1702627584">
    <w:abstractNumId w:val="4"/>
  </w:num>
  <w:num w:numId="6" w16cid:durableId="1873179239">
    <w:abstractNumId w:val="8"/>
  </w:num>
  <w:num w:numId="7" w16cid:durableId="127556783">
    <w:abstractNumId w:val="3"/>
  </w:num>
  <w:num w:numId="8" w16cid:durableId="1331250544">
    <w:abstractNumId w:val="2"/>
  </w:num>
  <w:num w:numId="9" w16cid:durableId="781874763">
    <w:abstractNumId w:val="1"/>
  </w:num>
  <w:num w:numId="10" w16cid:durableId="703482568">
    <w:abstractNumId w:val="0"/>
  </w:num>
  <w:num w:numId="11" w16cid:durableId="218976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116AF"/>
    <w:rsid w:val="00021A17"/>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2946"/>
    <w:rsid w:val="00494119"/>
    <w:rsid w:val="004A4701"/>
    <w:rsid w:val="004B7334"/>
    <w:rsid w:val="004E11DC"/>
    <w:rsid w:val="005130DE"/>
    <w:rsid w:val="00513157"/>
    <w:rsid w:val="00525DDD"/>
    <w:rsid w:val="005349B2"/>
    <w:rsid w:val="005409AC"/>
    <w:rsid w:val="005434E0"/>
    <w:rsid w:val="005546CF"/>
    <w:rsid w:val="0055516A"/>
    <w:rsid w:val="0058491B"/>
    <w:rsid w:val="00592EA5"/>
    <w:rsid w:val="005A3170"/>
    <w:rsid w:val="006534A3"/>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3C4A"/>
    <w:rsid w:val="007648A6"/>
    <w:rsid w:val="0077110E"/>
    <w:rsid w:val="00783E26"/>
    <w:rsid w:val="007A6684"/>
    <w:rsid w:val="007B0AA0"/>
    <w:rsid w:val="007C3BC7"/>
    <w:rsid w:val="007C3BCD"/>
    <w:rsid w:val="007D4ACF"/>
    <w:rsid w:val="007E0255"/>
    <w:rsid w:val="007F0787"/>
    <w:rsid w:val="00807B1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23FC5"/>
    <w:rsid w:val="00B30F5E"/>
    <w:rsid w:val="00B64B47"/>
    <w:rsid w:val="00B95654"/>
    <w:rsid w:val="00B97F32"/>
    <w:rsid w:val="00BA04B2"/>
    <w:rsid w:val="00C002DE"/>
    <w:rsid w:val="00C0599D"/>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3DDA"/>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RAG-C-0058/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R00-CA-CIR-0281/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2</Pages>
  <Words>255</Words>
  <Characters>1887</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on resource allocation for the constitutional activities of the Radiocommunication Bureau, including the processing of space notices</dc:title>
  <dc:subject>ITU Council 2026</dc:subject>
  <cp:keywords>C26; C2026; Council 2026; PP26</cp:keywords>
  <dc:description/>
  <dcterms:created xsi:type="dcterms:W3CDTF">2026-04-29T14:15:00Z</dcterms:created>
  <dcterms:modified xsi:type="dcterms:W3CDTF">2026-04-29T14:15:00Z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