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3432D" w:rsidRPr="00320626" w14:paraId="364F48BE" w14:textId="77777777" w:rsidTr="00C4421B">
        <w:trPr>
          <w:cantSplit/>
          <w:trHeight w:val="23"/>
        </w:trPr>
        <w:tc>
          <w:tcPr>
            <w:tcW w:w="3969" w:type="dxa"/>
            <w:vMerge w:val="restart"/>
            <w:tcMar>
              <w:left w:w="0" w:type="dxa"/>
            </w:tcMar>
          </w:tcPr>
          <w:p w14:paraId="35F7F933" w14:textId="718D5F4B" w:rsidR="00D3432D" w:rsidRPr="00320626" w:rsidRDefault="00D3432D" w:rsidP="00D3432D">
            <w:pPr>
              <w:tabs>
                <w:tab w:val="left" w:pos="851"/>
              </w:tabs>
              <w:spacing w:before="0" w:line="240" w:lineRule="atLeast"/>
              <w:rPr>
                <w:b/>
                <w:lang w:val="es-ES_tradnl"/>
              </w:rPr>
            </w:pPr>
            <w:bookmarkStart w:id="0" w:name="_Hlk133421839"/>
            <w:r w:rsidRPr="00320626">
              <w:rPr>
                <w:b/>
                <w:lang w:val="es-ES_tradnl"/>
              </w:rPr>
              <w:t>Punto del orden del día: PL 3</w:t>
            </w:r>
          </w:p>
        </w:tc>
        <w:tc>
          <w:tcPr>
            <w:tcW w:w="5245" w:type="dxa"/>
          </w:tcPr>
          <w:p w14:paraId="051FF6E4" w14:textId="704D4A69" w:rsidR="00D3432D" w:rsidRPr="00320626" w:rsidRDefault="00D3432D" w:rsidP="00D3432D">
            <w:pPr>
              <w:tabs>
                <w:tab w:val="left" w:pos="851"/>
              </w:tabs>
              <w:spacing w:before="0" w:line="240" w:lineRule="atLeast"/>
              <w:jc w:val="right"/>
              <w:rPr>
                <w:b/>
                <w:lang w:val="es-ES_tradnl"/>
              </w:rPr>
            </w:pPr>
            <w:r w:rsidRPr="00320626">
              <w:rPr>
                <w:b/>
                <w:lang w:val="es-ES_tradnl"/>
              </w:rPr>
              <w:t xml:space="preserve">Documento </w:t>
            </w:r>
            <w:proofErr w:type="spellStart"/>
            <w:r w:rsidRPr="00320626">
              <w:rPr>
                <w:b/>
                <w:lang w:val="es-ES_tradnl"/>
              </w:rPr>
              <w:t>C26</w:t>
            </w:r>
            <w:proofErr w:type="spellEnd"/>
            <w:r w:rsidRPr="00320626">
              <w:rPr>
                <w:b/>
                <w:lang w:val="es-ES_tradnl"/>
              </w:rPr>
              <w:t>/106-S</w:t>
            </w:r>
          </w:p>
        </w:tc>
      </w:tr>
      <w:tr w:rsidR="00D3432D" w:rsidRPr="00320626" w14:paraId="4C9C5AC8" w14:textId="77777777" w:rsidTr="00C4421B">
        <w:trPr>
          <w:cantSplit/>
        </w:trPr>
        <w:tc>
          <w:tcPr>
            <w:tcW w:w="3969" w:type="dxa"/>
            <w:vMerge/>
          </w:tcPr>
          <w:p w14:paraId="1AA6788B" w14:textId="77777777" w:rsidR="00D3432D" w:rsidRPr="00320626" w:rsidRDefault="00D3432D" w:rsidP="00D3432D">
            <w:pPr>
              <w:tabs>
                <w:tab w:val="left" w:pos="851"/>
              </w:tabs>
              <w:spacing w:line="240" w:lineRule="atLeast"/>
              <w:rPr>
                <w:b/>
                <w:lang w:val="es-ES_tradnl"/>
              </w:rPr>
            </w:pPr>
          </w:p>
        </w:tc>
        <w:tc>
          <w:tcPr>
            <w:tcW w:w="5245" w:type="dxa"/>
          </w:tcPr>
          <w:p w14:paraId="7F6B25F6" w14:textId="28200C66" w:rsidR="00D3432D" w:rsidRPr="00320626" w:rsidRDefault="00D3432D" w:rsidP="00D3432D">
            <w:pPr>
              <w:tabs>
                <w:tab w:val="left" w:pos="851"/>
              </w:tabs>
              <w:spacing w:before="0"/>
              <w:jc w:val="right"/>
              <w:rPr>
                <w:b/>
                <w:lang w:val="es-ES_tradnl"/>
              </w:rPr>
            </w:pPr>
            <w:r w:rsidRPr="00320626">
              <w:rPr>
                <w:b/>
                <w:lang w:val="es-ES_tradnl"/>
              </w:rPr>
              <w:t>15 de abril de 2026</w:t>
            </w:r>
          </w:p>
        </w:tc>
      </w:tr>
      <w:tr w:rsidR="00D3432D" w:rsidRPr="00320626" w14:paraId="0316B94A" w14:textId="77777777" w:rsidTr="00C4421B">
        <w:trPr>
          <w:cantSplit/>
          <w:trHeight w:val="23"/>
        </w:trPr>
        <w:tc>
          <w:tcPr>
            <w:tcW w:w="3969" w:type="dxa"/>
            <w:vMerge/>
          </w:tcPr>
          <w:p w14:paraId="255393C8" w14:textId="77777777" w:rsidR="00D3432D" w:rsidRPr="00320626" w:rsidRDefault="00D3432D" w:rsidP="00D3432D">
            <w:pPr>
              <w:tabs>
                <w:tab w:val="left" w:pos="851"/>
              </w:tabs>
              <w:spacing w:line="240" w:lineRule="atLeast"/>
              <w:rPr>
                <w:b/>
                <w:lang w:val="es-ES_tradnl"/>
              </w:rPr>
            </w:pPr>
          </w:p>
        </w:tc>
        <w:tc>
          <w:tcPr>
            <w:tcW w:w="5245" w:type="dxa"/>
          </w:tcPr>
          <w:p w14:paraId="1259336E" w14:textId="3B0F3BB0" w:rsidR="00D3432D" w:rsidRPr="00320626" w:rsidRDefault="00D3432D" w:rsidP="00D3432D">
            <w:pPr>
              <w:tabs>
                <w:tab w:val="left" w:pos="851"/>
              </w:tabs>
              <w:spacing w:before="0" w:line="240" w:lineRule="atLeast"/>
              <w:jc w:val="right"/>
              <w:rPr>
                <w:b/>
                <w:bCs/>
                <w:lang w:val="es-ES_tradnl"/>
              </w:rPr>
            </w:pPr>
            <w:r w:rsidRPr="00320626">
              <w:rPr>
                <w:b/>
                <w:lang w:val="es-ES_tradnl"/>
              </w:rPr>
              <w:t>Original: inglés</w:t>
            </w:r>
          </w:p>
        </w:tc>
      </w:tr>
      <w:tr w:rsidR="00FE57F6" w:rsidRPr="00320626" w14:paraId="3FCA4A7F" w14:textId="77777777" w:rsidTr="00C4421B">
        <w:trPr>
          <w:cantSplit/>
          <w:trHeight w:val="23"/>
        </w:trPr>
        <w:tc>
          <w:tcPr>
            <w:tcW w:w="3969" w:type="dxa"/>
          </w:tcPr>
          <w:p w14:paraId="19CEF373" w14:textId="77777777" w:rsidR="00FE57F6" w:rsidRPr="00320626" w:rsidRDefault="00FE57F6" w:rsidP="00C4421B">
            <w:pPr>
              <w:tabs>
                <w:tab w:val="left" w:pos="851"/>
              </w:tabs>
              <w:spacing w:line="240" w:lineRule="atLeast"/>
              <w:rPr>
                <w:b/>
                <w:lang w:val="es-ES_tradnl"/>
              </w:rPr>
            </w:pPr>
          </w:p>
        </w:tc>
        <w:tc>
          <w:tcPr>
            <w:tcW w:w="5245" w:type="dxa"/>
          </w:tcPr>
          <w:p w14:paraId="335E32A9" w14:textId="77777777" w:rsidR="00FE57F6" w:rsidRPr="00320626" w:rsidRDefault="00FE57F6" w:rsidP="00C4421B">
            <w:pPr>
              <w:tabs>
                <w:tab w:val="left" w:pos="851"/>
              </w:tabs>
              <w:spacing w:before="0" w:line="240" w:lineRule="atLeast"/>
              <w:jc w:val="right"/>
              <w:rPr>
                <w:b/>
                <w:lang w:val="es-ES_tradnl"/>
              </w:rPr>
            </w:pPr>
          </w:p>
        </w:tc>
      </w:tr>
      <w:tr w:rsidR="00FE57F6" w:rsidRPr="00320626" w14:paraId="551C0592" w14:textId="77777777" w:rsidTr="00C4421B">
        <w:trPr>
          <w:cantSplit/>
        </w:trPr>
        <w:tc>
          <w:tcPr>
            <w:tcW w:w="9214" w:type="dxa"/>
            <w:gridSpan w:val="2"/>
            <w:tcMar>
              <w:left w:w="0" w:type="dxa"/>
            </w:tcMar>
          </w:tcPr>
          <w:p w14:paraId="4E98C074" w14:textId="08965536" w:rsidR="00FE57F6" w:rsidRPr="00320626" w:rsidRDefault="00D3432D" w:rsidP="00C4421B">
            <w:pPr>
              <w:pStyle w:val="Source"/>
              <w:jc w:val="left"/>
              <w:rPr>
                <w:sz w:val="34"/>
                <w:szCs w:val="34"/>
                <w:lang w:val="es-ES_tradnl"/>
              </w:rPr>
            </w:pPr>
            <w:r w:rsidRPr="00320626">
              <w:rPr>
                <w:rFonts w:cstheme="minorHAnsi"/>
                <w:sz w:val="34"/>
                <w:szCs w:val="34"/>
                <w:lang w:val="es-ES_tradnl"/>
              </w:rPr>
              <w:t>Contribución de Marruecos (Reino de), Sudafricana (República) y Senegal (República del)</w:t>
            </w:r>
          </w:p>
        </w:tc>
      </w:tr>
      <w:tr w:rsidR="00FE57F6" w:rsidRPr="00320626" w14:paraId="5C4FA5F4" w14:textId="77777777" w:rsidTr="00C4421B">
        <w:trPr>
          <w:cantSplit/>
        </w:trPr>
        <w:tc>
          <w:tcPr>
            <w:tcW w:w="9214" w:type="dxa"/>
            <w:gridSpan w:val="2"/>
            <w:tcMar>
              <w:left w:w="0" w:type="dxa"/>
            </w:tcMar>
          </w:tcPr>
          <w:p w14:paraId="2F0E8D4E" w14:textId="3A636660" w:rsidR="00FE57F6" w:rsidRPr="00320626" w:rsidRDefault="00320626" w:rsidP="00C4421B">
            <w:pPr>
              <w:pStyle w:val="Subtitle"/>
              <w:framePr w:hSpace="0" w:wrap="auto" w:hAnchor="text" w:xAlign="left" w:yAlign="inline"/>
              <w:rPr>
                <w:lang w:val="es-ES_tradnl"/>
              </w:rPr>
            </w:pPr>
            <w:r w:rsidRPr="00320626">
              <w:rPr>
                <w:rFonts w:eastAsiaTheme="majorEastAsia"/>
                <w:sz w:val="32"/>
                <w:szCs w:val="32"/>
                <w:lang w:val="es-ES_tradnl"/>
              </w:rPr>
              <w:t xml:space="preserve">FECHAS Y DURACIÓN PROPUESTAS PARA LAS REUNIONES DE 2027, 2028 Y 2029 DEL CONSEJO Y LAS SERIES DE REUNIONES DE LOS </w:t>
            </w:r>
            <w:proofErr w:type="spellStart"/>
            <w:r w:rsidRPr="00320626">
              <w:rPr>
                <w:rFonts w:eastAsiaTheme="majorEastAsia"/>
                <w:sz w:val="32"/>
                <w:szCs w:val="32"/>
                <w:lang w:val="es-ES_tradnl"/>
              </w:rPr>
              <w:t>GTC</w:t>
            </w:r>
            <w:proofErr w:type="spellEnd"/>
            <w:r w:rsidRPr="00320626">
              <w:rPr>
                <w:rFonts w:eastAsiaTheme="majorEastAsia"/>
                <w:sz w:val="32"/>
                <w:szCs w:val="32"/>
                <w:lang w:val="es-ES_tradnl"/>
              </w:rPr>
              <w:t xml:space="preserve"> CORRESPONDIENTES AL PERIODO 2027-2029</w:t>
            </w:r>
          </w:p>
        </w:tc>
      </w:tr>
      <w:tr w:rsidR="00FE57F6" w:rsidRPr="00320626" w14:paraId="33E4F279" w14:textId="77777777" w:rsidTr="00C4421B">
        <w:trPr>
          <w:cantSplit/>
        </w:trPr>
        <w:tc>
          <w:tcPr>
            <w:tcW w:w="9214" w:type="dxa"/>
            <w:gridSpan w:val="2"/>
            <w:tcBorders>
              <w:top w:val="single" w:sz="4" w:space="0" w:color="auto"/>
              <w:bottom w:val="single" w:sz="4" w:space="0" w:color="auto"/>
            </w:tcBorders>
            <w:tcMar>
              <w:left w:w="0" w:type="dxa"/>
            </w:tcMar>
          </w:tcPr>
          <w:p w14:paraId="20B1F08D" w14:textId="77777777" w:rsidR="00D3432D" w:rsidRPr="00320626" w:rsidRDefault="00D3432D" w:rsidP="00320626">
            <w:pPr>
              <w:jc w:val="both"/>
              <w:rPr>
                <w:lang w:val="es-ES_tradnl" w:eastAsia="zh-CN"/>
              </w:rPr>
            </w:pPr>
            <w:r w:rsidRPr="00320626">
              <w:rPr>
                <w:lang w:val="es-ES_tradnl" w:eastAsia="zh-CN"/>
              </w:rPr>
              <w:t>El proyecto de construcción del nuevo edificio de la Sede de la UIT podría tener repercusiones operativas y financieras en la planificación y celebración de las reuniones del Consejo, los Grupos de Trabajo del Consejo (</w:t>
            </w:r>
            <w:proofErr w:type="spellStart"/>
            <w:r w:rsidRPr="00320626">
              <w:rPr>
                <w:lang w:val="es-ES_tradnl" w:eastAsia="zh-CN"/>
              </w:rPr>
              <w:t>GTC</w:t>
            </w:r>
            <w:proofErr w:type="spellEnd"/>
            <w:r w:rsidRPr="00320626">
              <w:rPr>
                <w:lang w:val="es-ES_tradnl" w:eastAsia="zh-CN"/>
              </w:rPr>
              <w:t>) y Grupos de Expertos (GE), dada la previsible falta de disponibilidad de instalaciones para reuniones en la Sede de Ginebra. En este contexto, convendría destacar las limitaciones jurídicas, operativas y financieras, así como los riesgos institucionales conexos.</w:t>
            </w:r>
          </w:p>
          <w:p w14:paraId="65661601" w14:textId="77777777" w:rsidR="00D3432D" w:rsidRPr="00320626" w:rsidRDefault="00D3432D" w:rsidP="00320626">
            <w:pPr>
              <w:jc w:val="both"/>
              <w:rPr>
                <w:lang w:val="es-ES_tradnl" w:eastAsia="zh-CN"/>
              </w:rPr>
            </w:pPr>
            <w:r w:rsidRPr="00320626">
              <w:rPr>
                <w:lang w:val="es-ES_tradnl" w:eastAsia="zh-CN"/>
              </w:rPr>
              <w:t>A ese respecto, se invita al Consejo a considerar la posibilidad de adoptar una decisión temprana, basada en un enfoque combinado y pragmático, y respaldada por una previsión financiera más amplia, con miras a garantizar la continuidad de las actividades de conformidad con los requisitos estatutarios y las restricciones presupuestarias.</w:t>
            </w:r>
          </w:p>
          <w:p w14:paraId="18671AD4" w14:textId="77777777" w:rsidR="00D3432D" w:rsidRPr="00320626" w:rsidRDefault="00D3432D" w:rsidP="00D3432D">
            <w:pPr>
              <w:spacing w:after="120"/>
              <w:rPr>
                <w:rFonts w:asciiTheme="minorHAnsi" w:hAnsiTheme="minorHAnsi" w:cstheme="minorHAnsi"/>
                <w:b/>
                <w:bCs/>
                <w:sz w:val="26"/>
                <w:szCs w:val="26"/>
                <w:lang w:val="es-ES_tradnl"/>
              </w:rPr>
            </w:pPr>
            <w:r w:rsidRPr="00320626">
              <w:rPr>
                <w:rFonts w:asciiTheme="minorHAnsi" w:hAnsiTheme="minorHAnsi" w:cstheme="minorHAnsi"/>
                <w:b/>
                <w:bCs/>
                <w:sz w:val="26"/>
                <w:szCs w:val="26"/>
                <w:lang w:val="es-ES_tradnl"/>
              </w:rPr>
              <w:t>Acción solicitada al Consejo</w:t>
            </w:r>
          </w:p>
          <w:p w14:paraId="467CF129" w14:textId="77777777" w:rsidR="00D3432D" w:rsidRPr="00320626" w:rsidRDefault="00D3432D" w:rsidP="00D3432D">
            <w:pPr>
              <w:spacing w:after="120"/>
              <w:rPr>
                <w:rFonts w:asciiTheme="minorHAnsi" w:hAnsiTheme="minorHAnsi" w:cstheme="minorHAnsi"/>
                <w:szCs w:val="24"/>
                <w:lang w:val="es-ES_tradnl" w:eastAsia="zh-CN"/>
              </w:rPr>
            </w:pPr>
            <w:r w:rsidRPr="00320626">
              <w:rPr>
                <w:rFonts w:asciiTheme="minorHAnsi" w:hAnsiTheme="minorHAnsi" w:cstheme="minorHAnsi"/>
                <w:szCs w:val="24"/>
                <w:lang w:val="es-ES_tradnl" w:eastAsia="zh-CN"/>
              </w:rPr>
              <w:t>Se invita al Consejo a</w:t>
            </w:r>
            <w:r w:rsidRPr="00320626">
              <w:rPr>
                <w:rFonts w:asciiTheme="minorHAnsi" w:hAnsiTheme="minorHAnsi" w:cstheme="minorHAnsi"/>
                <w:b/>
                <w:bCs/>
                <w:szCs w:val="24"/>
                <w:lang w:val="es-ES_tradnl" w:eastAsia="zh-CN"/>
              </w:rPr>
              <w:t xml:space="preserve"> examinar </w:t>
            </w:r>
            <w:r w:rsidRPr="00320626">
              <w:rPr>
                <w:rFonts w:asciiTheme="minorHAnsi" w:hAnsiTheme="minorHAnsi" w:cstheme="minorHAnsi"/>
                <w:szCs w:val="24"/>
                <w:lang w:val="es-ES_tradnl" w:eastAsia="zh-CN"/>
              </w:rPr>
              <w:t xml:space="preserve">el presente documento y a </w:t>
            </w:r>
            <w:r w:rsidRPr="00320626">
              <w:rPr>
                <w:rFonts w:asciiTheme="minorHAnsi" w:hAnsiTheme="minorHAnsi" w:cstheme="minorHAnsi"/>
                <w:b/>
                <w:bCs/>
                <w:szCs w:val="24"/>
                <w:lang w:val="es-ES_tradnl" w:eastAsia="zh-CN"/>
              </w:rPr>
              <w:t>adoptar las medidas oportunas</w:t>
            </w:r>
            <w:r w:rsidRPr="00320626">
              <w:rPr>
                <w:rFonts w:asciiTheme="minorHAnsi" w:hAnsiTheme="minorHAnsi" w:cstheme="minorHAnsi"/>
                <w:szCs w:val="24"/>
                <w:lang w:val="es-ES_tradnl" w:eastAsia="zh-CN"/>
              </w:rPr>
              <w:t>.</w:t>
            </w:r>
          </w:p>
          <w:p w14:paraId="40DD9865" w14:textId="77777777" w:rsidR="00FE57F6" w:rsidRPr="00320626" w:rsidRDefault="00FE57F6" w:rsidP="00C4421B">
            <w:pPr>
              <w:spacing w:before="160"/>
              <w:rPr>
                <w:caps/>
                <w:sz w:val="22"/>
                <w:lang w:val="es-ES_tradnl"/>
              </w:rPr>
            </w:pPr>
            <w:r w:rsidRPr="00320626">
              <w:rPr>
                <w:sz w:val="22"/>
                <w:lang w:val="es-ES_tradnl"/>
              </w:rPr>
              <w:t>__________________</w:t>
            </w:r>
          </w:p>
          <w:p w14:paraId="102C3AD4" w14:textId="77777777" w:rsidR="00FE57F6" w:rsidRPr="00320626" w:rsidRDefault="00F24B71" w:rsidP="00C4421B">
            <w:pPr>
              <w:spacing w:before="160"/>
              <w:rPr>
                <w:b/>
                <w:bCs/>
                <w:sz w:val="26"/>
                <w:szCs w:val="26"/>
                <w:lang w:val="es-ES_tradnl"/>
              </w:rPr>
            </w:pPr>
            <w:r w:rsidRPr="00320626">
              <w:rPr>
                <w:b/>
                <w:bCs/>
                <w:sz w:val="26"/>
                <w:szCs w:val="26"/>
                <w:lang w:val="es-ES_tradnl"/>
              </w:rPr>
              <w:t>Referencia</w:t>
            </w:r>
            <w:r w:rsidR="00F92BED" w:rsidRPr="00320626">
              <w:rPr>
                <w:b/>
                <w:bCs/>
                <w:sz w:val="26"/>
                <w:szCs w:val="26"/>
                <w:lang w:val="es-ES_tradnl"/>
              </w:rPr>
              <w:t>s</w:t>
            </w:r>
            <w:r w:rsidR="00D375E0" w:rsidRPr="00320626">
              <w:rPr>
                <w:sz w:val="26"/>
                <w:szCs w:val="26"/>
                <w:lang w:val="es-ES_tradnl"/>
              </w:rPr>
              <w:t xml:space="preserve"> </w:t>
            </w:r>
          </w:p>
          <w:p w14:paraId="0BD98C38" w14:textId="572AFE0F" w:rsidR="00FE57F6" w:rsidRPr="00320626" w:rsidRDefault="00D3432D" w:rsidP="00C4421B">
            <w:pPr>
              <w:spacing w:after="160"/>
              <w:rPr>
                <w:i/>
                <w:iCs/>
                <w:sz w:val="22"/>
                <w:szCs w:val="22"/>
                <w:lang w:val="es-ES_tradnl"/>
              </w:rPr>
            </w:pPr>
            <w:hyperlink r:id="rId7" w:history="1">
              <w:r w:rsidRPr="00320626">
                <w:rPr>
                  <w:rStyle w:val="Hyperlink"/>
                  <w:i/>
                  <w:iCs/>
                  <w:sz w:val="22"/>
                  <w:lang w:val="es-ES_tradnl"/>
                </w:rPr>
                <w:t>Resolución 1434 (</w:t>
              </w:r>
              <w:proofErr w:type="spellStart"/>
              <w:r w:rsidRPr="00320626">
                <w:rPr>
                  <w:rStyle w:val="Hyperlink"/>
                  <w:i/>
                  <w:iCs/>
                  <w:sz w:val="22"/>
                  <w:lang w:val="es-ES_tradnl"/>
                </w:rPr>
                <w:t>C25</w:t>
              </w:r>
              <w:proofErr w:type="spellEnd"/>
              <w:r w:rsidRPr="00320626">
                <w:rPr>
                  <w:rStyle w:val="Hyperlink"/>
                  <w:i/>
                  <w:iCs/>
                  <w:sz w:val="22"/>
                  <w:lang w:val="es-ES_tradnl"/>
                </w:rPr>
                <w:t>) del Consejo</w:t>
              </w:r>
            </w:hyperlink>
            <w:r w:rsidRPr="00320626">
              <w:rPr>
                <w:rFonts w:asciiTheme="minorHAnsi" w:hAnsiTheme="minorHAnsi" w:cstheme="minorHAnsi"/>
                <w:i/>
                <w:iCs/>
                <w:sz w:val="22"/>
                <w:szCs w:val="22"/>
                <w:lang w:val="es-ES_tradnl"/>
              </w:rPr>
              <w:t>,</w:t>
            </w:r>
            <w:hyperlink r:id="rId8" w:history="1">
              <w:r w:rsidRPr="00320626">
                <w:rPr>
                  <w:rStyle w:val="Hyperlink"/>
                  <w:i/>
                  <w:iCs/>
                  <w:sz w:val="22"/>
                  <w:lang w:val="es-ES_tradnl"/>
                </w:rPr>
                <w:t xml:space="preserve"> Resolución 1333 (</w:t>
              </w:r>
              <w:proofErr w:type="spellStart"/>
              <w:r w:rsidRPr="00320626">
                <w:rPr>
                  <w:rStyle w:val="Hyperlink"/>
                  <w:i/>
                  <w:iCs/>
                  <w:sz w:val="22"/>
                  <w:lang w:val="es-ES_tradnl"/>
                </w:rPr>
                <w:t>C11</w:t>
              </w:r>
              <w:proofErr w:type="spellEnd"/>
              <w:r w:rsidRPr="00320626">
                <w:rPr>
                  <w:rStyle w:val="Hyperlink"/>
                  <w:i/>
                  <w:iCs/>
                  <w:sz w:val="22"/>
                  <w:lang w:val="es-ES_tradnl"/>
                </w:rPr>
                <w:t xml:space="preserve">, modificada por última vez </w:t>
              </w:r>
              <w:proofErr w:type="spellStart"/>
              <w:r w:rsidRPr="00320626">
                <w:rPr>
                  <w:rStyle w:val="Hyperlink"/>
                  <w:i/>
                  <w:iCs/>
                  <w:sz w:val="22"/>
                  <w:lang w:val="es-ES_tradnl"/>
                </w:rPr>
                <w:t>C25</w:t>
              </w:r>
              <w:proofErr w:type="spellEnd"/>
              <w:r w:rsidRPr="00320626">
                <w:rPr>
                  <w:rStyle w:val="Hyperlink"/>
                  <w:i/>
                  <w:iCs/>
                  <w:sz w:val="22"/>
                  <w:lang w:val="es-ES_tradnl"/>
                </w:rPr>
                <w:t>) del Consejo</w:t>
              </w:r>
            </w:hyperlink>
            <w:r w:rsidRPr="00320626">
              <w:rPr>
                <w:rFonts w:asciiTheme="minorHAnsi" w:hAnsiTheme="minorHAnsi" w:cstheme="minorHAnsi"/>
                <w:i/>
                <w:iCs/>
                <w:sz w:val="22"/>
                <w:szCs w:val="22"/>
                <w:lang w:val="es-ES_tradnl" w:eastAsia="zh-CN"/>
              </w:rPr>
              <w:t xml:space="preserve">, </w:t>
            </w:r>
            <w:hyperlink r:id="rId9" w:history="1">
              <w:r w:rsidRPr="00320626">
                <w:rPr>
                  <w:rStyle w:val="Hyperlink"/>
                  <w:i/>
                  <w:iCs/>
                  <w:sz w:val="22"/>
                  <w:lang w:val="es-ES_tradnl"/>
                </w:rPr>
                <w:t>Acuerdo 640 (</w:t>
              </w:r>
              <w:proofErr w:type="spellStart"/>
              <w:r w:rsidRPr="00320626">
                <w:rPr>
                  <w:rStyle w:val="Hyperlink"/>
                  <w:i/>
                  <w:iCs/>
                  <w:sz w:val="22"/>
                  <w:lang w:val="es-ES_tradnl"/>
                </w:rPr>
                <w:t>C24</w:t>
              </w:r>
              <w:proofErr w:type="spellEnd"/>
              <w:r w:rsidRPr="00320626">
                <w:rPr>
                  <w:rStyle w:val="Hyperlink"/>
                  <w:i/>
                  <w:iCs/>
                  <w:sz w:val="22"/>
                  <w:lang w:val="es-ES_tradnl"/>
                </w:rPr>
                <w:t>)</w:t>
              </w:r>
            </w:hyperlink>
            <w:r w:rsidRPr="00320626">
              <w:rPr>
                <w:rStyle w:val="Hyperlink"/>
                <w:i/>
                <w:iCs/>
                <w:sz w:val="22"/>
                <w:lang w:val="es-ES_tradnl"/>
              </w:rPr>
              <w:t xml:space="preserve"> del Consejo</w:t>
            </w:r>
            <w:r w:rsidRPr="00320626">
              <w:rPr>
                <w:rFonts w:asciiTheme="minorHAnsi" w:hAnsiTheme="minorHAnsi" w:cstheme="minorHAnsi"/>
                <w:i/>
                <w:iCs/>
                <w:sz w:val="22"/>
                <w:szCs w:val="22"/>
                <w:lang w:val="es-ES_tradnl" w:eastAsia="zh-CN"/>
              </w:rPr>
              <w:t xml:space="preserve">, </w:t>
            </w:r>
            <w:hyperlink r:id="rId10" w:history="1">
              <w:r w:rsidRPr="00320626">
                <w:rPr>
                  <w:rStyle w:val="Hyperlink"/>
                  <w:i/>
                  <w:iCs/>
                  <w:sz w:val="22"/>
                  <w:lang w:val="es-ES_tradnl"/>
                </w:rPr>
                <w:t>Acuerdo 643 (</w:t>
              </w:r>
              <w:proofErr w:type="spellStart"/>
              <w:r w:rsidRPr="00320626">
                <w:rPr>
                  <w:rStyle w:val="Hyperlink"/>
                  <w:i/>
                  <w:iCs/>
                  <w:sz w:val="22"/>
                  <w:lang w:val="es-ES_tradnl"/>
                </w:rPr>
                <w:t>C25</w:t>
              </w:r>
              <w:proofErr w:type="spellEnd"/>
              <w:r w:rsidRPr="00320626">
                <w:rPr>
                  <w:rStyle w:val="Hyperlink"/>
                  <w:i/>
                  <w:iCs/>
                  <w:sz w:val="22"/>
                  <w:lang w:val="es-ES_tradnl"/>
                </w:rPr>
                <w:t>)</w:t>
              </w:r>
            </w:hyperlink>
            <w:r w:rsidRPr="00320626">
              <w:rPr>
                <w:rStyle w:val="Hyperlink"/>
                <w:i/>
                <w:iCs/>
                <w:sz w:val="22"/>
                <w:lang w:val="es-ES_tradnl"/>
              </w:rPr>
              <w:t xml:space="preserve"> del Consejo</w:t>
            </w:r>
            <w:r w:rsidRPr="00320626">
              <w:rPr>
                <w:rFonts w:asciiTheme="minorHAnsi" w:hAnsiTheme="minorHAnsi" w:cstheme="minorHAnsi"/>
                <w:i/>
                <w:iCs/>
                <w:sz w:val="22"/>
                <w:szCs w:val="22"/>
                <w:lang w:val="es-ES_tradnl"/>
              </w:rPr>
              <w:t>.</w:t>
            </w:r>
          </w:p>
        </w:tc>
      </w:tr>
      <w:bookmarkEnd w:id="0"/>
    </w:tbl>
    <w:p w14:paraId="7136D349" w14:textId="77777777" w:rsidR="00093EEB" w:rsidRPr="00320626" w:rsidRDefault="00093EEB">
      <w:pPr>
        <w:rPr>
          <w:lang w:val="es-ES_tradnl"/>
        </w:rPr>
      </w:pPr>
    </w:p>
    <w:p w14:paraId="5F5494B9" w14:textId="77777777" w:rsidR="001559F5" w:rsidRPr="00320626" w:rsidRDefault="001559F5">
      <w:pPr>
        <w:tabs>
          <w:tab w:val="clear" w:pos="567"/>
          <w:tab w:val="clear" w:pos="1134"/>
          <w:tab w:val="clear" w:pos="1701"/>
          <w:tab w:val="clear" w:pos="2268"/>
          <w:tab w:val="clear" w:pos="2835"/>
        </w:tabs>
        <w:overflowPunct/>
        <w:autoSpaceDE/>
        <w:autoSpaceDN/>
        <w:adjustRightInd/>
        <w:spacing w:before="0"/>
        <w:textAlignment w:val="auto"/>
        <w:rPr>
          <w:lang w:val="es-ES_tradnl"/>
        </w:rPr>
      </w:pPr>
      <w:r w:rsidRPr="00320626">
        <w:rPr>
          <w:lang w:val="es-ES_tradnl"/>
        </w:rPr>
        <w:br w:type="page"/>
      </w:r>
    </w:p>
    <w:p w14:paraId="146E05A5" w14:textId="617F728D" w:rsidR="00D3432D" w:rsidRPr="00320626" w:rsidRDefault="00D3432D" w:rsidP="00AE3EF2">
      <w:pPr>
        <w:pStyle w:val="Heading1"/>
        <w:rPr>
          <w:lang w:val="es-ES_tradnl"/>
        </w:rPr>
      </w:pPr>
      <w:r w:rsidRPr="00320626">
        <w:rPr>
          <w:lang w:val="es-ES_tradnl"/>
        </w:rPr>
        <w:lastRenderedPageBreak/>
        <w:t>1</w:t>
      </w:r>
      <w:r w:rsidR="00AE3EF2" w:rsidRPr="00320626">
        <w:rPr>
          <w:lang w:val="es-ES_tradnl"/>
        </w:rPr>
        <w:tab/>
      </w:r>
      <w:r w:rsidRPr="00320626">
        <w:rPr>
          <w:lang w:val="es-ES_tradnl"/>
        </w:rPr>
        <w:t xml:space="preserve">Antecedentes </w:t>
      </w:r>
    </w:p>
    <w:p w14:paraId="5BDB5186" w14:textId="77777777" w:rsidR="00D3432D" w:rsidRPr="00320626" w:rsidRDefault="00D3432D" w:rsidP="00320626">
      <w:pPr>
        <w:jc w:val="both"/>
        <w:rPr>
          <w:rFonts w:asciiTheme="minorHAnsi" w:hAnsiTheme="minorHAnsi" w:cstheme="minorHAnsi"/>
          <w:lang w:val="es-ES_tradnl"/>
        </w:rPr>
      </w:pPr>
      <w:r w:rsidRPr="00320626">
        <w:rPr>
          <w:rFonts w:asciiTheme="minorHAnsi" w:hAnsiTheme="minorHAnsi" w:cstheme="minorHAnsi"/>
          <w:lang w:val="es-ES_tradnl"/>
        </w:rPr>
        <w:t>A tenor de los Artículos 7 y 10 de la Constitución, e</w:t>
      </w:r>
      <w:r w:rsidRPr="00320626">
        <w:rPr>
          <w:lang w:val="es-ES_tradnl"/>
        </w:rPr>
        <w:t>n el intervalo entre Conferencias de Plenipotenciarios, el Consejo actúa, en cuanto órgano de gobierno de la Unión, como mandatario de la Conferencia de Plenipotenciarios, dentro de los límites de las facultades que ésta le delega</w:t>
      </w:r>
      <w:r w:rsidRPr="00320626">
        <w:rPr>
          <w:rFonts w:asciiTheme="minorHAnsi" w:hAnsiTheme="minorHAnsi" w:cstheme="minorHAnsi"/>
          <w:lang w:val="es-ES_tradnl"/>
        </w:rPr>
        <w:t>.</w:t>
      </w:r>
    </w:p>
    <w:p w14:paraId="07D35F92" w14:textId="77777777" w:rsidR="00D3432D" w:rsidRPr="00320626" w:rsidRDefault="00D3432D" w:rsidP="00320626">
      <w:pPr>
        <w:jc w:val="both"/>
        <w:rPr>
          <w:rFonts w:asciiTheme="minorHAnsi" w:hAnsiTheme="minorHAnsi" w:cstheme="minorHAnsi"/>
          <w:lang w:val="es-ES_tradnl"/>
        </w:rPr>
      </w:pPr>
      <w:r w:rsidRPr="00320626">
        <w:rPr>
          <w:rFonts w:asciiTheme="minorHAnsi" w:hAnsiTheme="minorHAnsi" w:cstheme="minorHAnsi"/>
          <w:szCs w:val="24"/>
          <w:lang w:val="es-ES_tradnl" w:eastAsia="zh-CN"/>
        </w:rPr>
        <w:t>Conforme a lo estipulado en el Artículo 4 (número 51) del Convenio, e</w:t>
      </w:r>
      <w:r w:rsidRPr="00320626">
        <w:rPr>
          <w:lang w:val="es-ES_tradnl"/>
        </w:rPr>
        <w:t>l Consejo celebra anualmente una reunión ordinaria en la Sede de la Unión</w:t>
      </w:r>
      <w:r w:rsidRPr="00320626">
        <w:rPr>
          <w:rFonts w:asciiTheme="minorHAnsi" w:hAnsiTheme="minorHAnsi" w:cstheme="minorHAnsi"/>
          <w:lang w:val="es-ES_tradnl"/>
        </w:rPr>
        <w:t>.</w:t>
      </w:r>
    </w:p>
    <w:p w14:paraId="53060801" w14:textId="77777777" w:rsidR="00D3432D" w:rsidRPr="00320626" w:rsidRDefault="00D3432D" w:rsidP="00320626">
      <w:pPr>
        <w:jc w:val="both"/>
        <w:rPr>
          <w:rFonts w:asciiTheme="minorHAnsi" w:hAnsiTheme="minorHAnsi" w:cstheme="minorHAnsi"/>
          <w:lang w:val="es-ES_tradnl"/>
        </w:rPr>
      </w:pPr>
      <w:r w:rsidRPr="00320626">
        <w:rPr>
          <w:rFonts w:asciiTheme="minorHAnsi" w:hAnsiTheme="minorHAnsi" w:cstheme="minorHAnsi"/>
          <w:szCs w:val="24"/>
          <w:lang w:val="es-ES_tradnl" w:eastAsia="zh-CN"/>
        </w:rPr>
        <w:t>Con arreglo a la Resolución 77 (Rev. Dubái, 2018) de la Conferencia de Plenipotenciarios y al Acuerdo 612 (</w:t>
      </w:r>
      <w:proofErr w:type="spellStart"/>
      <w:r w:rsidRPr="00320626">
        <w:rPr>
          <w:rFonts w:asciiTheme="minorHAnsi" w:hAnsiTheme="minorHAnsi" w:cstheme="minorHAnsi"/>
          <w:szCs w:val="24"/>
          <w:lang w:val="es-ES_tradnl" w:eastAsia="zh-CN"/>
        </w:rPr>
        <w:t>C19</w:t>
      </w:r>
      <w:proofErr w:type="spellEnd"/>
      <w:r w:rsidRPr="00320626">
        <w:rPr>
          <w:rFonts w:asciiTheme="minorHAnsi" w:hAnsiTheme="minorHAnsi" w:cstheme="minorHAnsi"/>
          <w:szCs w:val="24"/>
          <w:lang w:val="es-ES_tradnl" w:eastAsia="zh-CN"/>
        </w:rPr>
        <w:t>), se invita al Consejo a planificar sus sesiones ordinarias desde una perspectiva plurianual y a realizar los ajustes anuales correspondientes.</w:t>
      </w:r>
    </w:p>
    <w:p w14:paraId="296DEF66" w14:textId="77777777" w:rsidR="00D3432D" w:rsidRPr="00320626" w:rsidRDefault="00D3432D" w:rsidP="00320626">
      <w:pPr>
        <w:jc w:val="both"/>
        <w:rPr>
          <w:rFonts w:asciiTheme="minorHAnsi" w:hAnsiTheme="minorHAnsi" w:cstheme="minorHAnsi"/>
          <w:szCs w:val="24"/>
          <w:lang w:val="es-ES_tradnl" w:eastAsia="zh-CN"/>
        </w:rPr>
      </w:pPr>
      <w:r w:rsidRPr="00320626">
        <w:rPr>
          <w:rFonts w:asciiTheme="minorHAnsi" w:hAnsiTheme="minorHAnsi" w:cstheme="minorHAnsi"/>
          <w:szCs w:val="24"/>
          <w:lang w:val="es-ES_tradnl" w:eastAsia="zh-CN"/>
        </w:rPr>
        <w:t>En virtud de la Resolución 1333 (</w:t>
      </w:r>
      <w:proofErr w:type="spellStart"/>
      <w:r w:rsidRPr="00320626">
        <w:rPr>
          <w:rFonts w:asciiTheme="minorHAnsi" w:hAnsiTheme="minorHAnsi" w:cstheme="minorHAnsi"/>
          <w:szCs w:val="24"/>
          <w:lang w:val="es-ES_tradnl" w:eastAsia="zh-CN"/>
        </w:rPr>
        <w:t>C11</w:t>
      </w:r>
      <w:proofErr w:type="spellEnd"/>
      <w:r w:rsidRPr="00320626">
        <w:rPr>
          <w:rFonts w:asciiTheme="minorHAnsi" w:hAnsiTheme="minorHAnsi" w:cstheme="minorHAnsi"/>
          <w:szCs w:val="24"/>
          <w:lang w:val="es-ES_tradnl" w:eastAsia="zh-CN"/>
        </w:rPr>
        <w:t xml:space="preserve">, modificada por última vez </w:t>
      </w:r>
      <w:proofErr w:type="spellStart"/>
      <w:r w:rsidRPr="00320626">
        <w:rPr>
          <w:rFonts w:asciiTheme="minorHAnsi" w:hAnsiTheme="minorHAnsi" w:cstheme="minorHAnsi"/>
          <w:szCs w:val="24"/>
          <w:lang w:val="es-ES_tradnl" w:eastAsia="zh-CN"/>
        </w:rPr>
        <w:t>C25</w:t>
      </w:r>
      <w:proofErr w:type="spellEnd"/>
      <w:r w:rsidRPr="00320626">
        <w:rPr>
          <w:rFonts w:asciiTheme="minorHAnsi" w:hAnsiTheme="minorHAnsi" w:cstheme="minorHAnsi"/>
          <w:szCs w:val="24"/>
          <w:lang w:val="es-ES_tradnl" w:eastAsia="zh-CN"/>
        </w:rPr>
        <w:t xml:space="preserve">), véanse en particular los </w:t>
      </w:r>
      <w:r w:rsidRPr="00320626">
        <w:rPr>
          <w:rFonts w:asciiTheme="minorHAnsi" w:hAnsiTheme="minorHAnsi" w:cstheme="minorHAnsi"/>
          <w:i/>
          <w:iCs/>
          <w:szCs w:val="24"/>
          <w:lang w:val="es-ES_tradnl" w:eastAsia="zh-CN"/>
        </w:rPr>
        <w:t>resuelve</w:t>
      </w:r>
      <w:r w:rsidRPr="00320626">
        <w:rPr>
          <w:rFonts w:asciiTheme="minorHAnsi" w:hAnsiTheme="minorHAnsi" w:cstheme="minorHAnsi"/>
          <w:szCs w:val="24"/>
          <w:lang w:val="es-ES_tradnl" w:eastAsia="zh-CN"/>
        </w:rPr>
        <w:t xml:space="preserve"> 1, 2 y 5, los Grupos de Trabajo del Consejo (</w:t>
      </w:r>
      <w:proofErr w:type="spellStart"/>
      <w:r w:rsidRPr="00320626">
        <w:rPr>
          <w:rFonts w:asciiTheme="minorHAnsi" w:hAnsiTheme="minorHAnsi" w:cstheme="minorHAnsi"/>
          <w:szCs w:val="24"/>
          <w:lang w:val="es-ES_tradnl" w:eastAsia="zh-CN"/>
        </w:rPr>
        <w:t>GTC</w:t>
      </w:r>
      <w:proofErr w:type="spellEnd"/>
      <w:r w:rsidRPr="00320626">
        <w:rPr>
          <w:rFonts w:asciiTheme="minorHAnsi" w:hAnsiTheme="minorHAnsi" w:cstheme="minorHAnsi"/>
          <w:szCs w:val="24"/>
          <w:lang w:val="es-ES_tradnl" w:eastAsia="zh-CN"/>
        </w:rPr>
        <w:t xml:space="preserve">) desempeñan un papel esencial en la facilitación del proceso de toma de decisiones, puesto que examinan cuestiones relacionadas con los Planes Estratégico y Financiero, así como con las decisiones de </w:t>
      </w:r>
      <w:r w:rsidRPr="00320626">
        <w:rPr>
          <w:rFonts w:asciiTheme="minorHAnsi" w:hAnsiTheme="minorHAnsi" w:cstheme="minorHAnsi"/>
          <w:lang w:val="es-ES_tradnl"/>
        </w:rPr>
        <w:t>las Conferencias de Plenipotenciarios</w:t>
      </w:r>
      <w:r w:rsidRPr="00320626">
        <w:rPr>
          <w:rFonts w:asciiTheme="minorHAnsi" w:hAnsiTheme="minorHAnsi" w:cstheme="minorHAnsi"/>
          <w:szCs w:val="24"/>
          <w:lang w:val="es-ES_tradnl" w:eastAsia="zh-CN"/>
        </w:rPr>
        <w:t xml:space="preserve">, y asesoran al Consejo. Sus reuniones deben planificarse </w:t>
      </w:r>
      <w:r w:rsidRPr="00320626">
        <w:rPr>
          <w:lang w:val="es-ES_tradnl"/>
        </w:rPr>
        <w:t xml:space="preserve">de manera eficiente y económica, dentro de los límites del presupuesto atribuido, </w:t>
      </w:r>
      <w:r w:rsidRPr="00320626">
        <w:rPr>
          <w:rFonts w:asciiTheme="minorHAnsi" w:hAnsiTheme="minorHAnsi" w:cstheme="minorHAnsi"/>
          <w:szCs w:val="24"/>
          <w:lang w:val="es-ES_tradnl" w:eastAsia="zh-CN"/>
        </w:rPr>
        <w:t>a razón de una o dos reuniones al año. Dichas reuniones podrán, cuando proceda,</w:t>
      </w:r>
      <w:r w:rsidRPr="00320626">
        <w:rPr>
          <w:lang w:val="es-ES_tradnl"/>
        </w:rPr>
        <w:t xml:space="preserve"> organizarse durante el periodo en que se celebre la reunión anual del Consejo.</w:t>
      </w:r>
    </w:p>
    <w:p w14:paraId="7985D825" w14:textId="5EC51D12" w:rsidR="00D3432D" w:rsidRPr="00320626" w:rsidRDefault="00D3432D" w:rsidP="00475DBF">
      <w:pPr>
        <w:pStyle w:val="Heading1"/>
        <w:rPr>
          <w:lang w:val="es-ES_tradnl"/>
        </w:rPr>
      </w:pPr>
      <w:r w:rsidRPr="00320626">
        <w:rPr>
          <w:lang w:val="es-ES_tradnl"/>
        </w:rPr>
        <w:t>2</w:t>
      </w:r>
      <w:r w:rsidR="00AE3EF2" w:rsidRPr="00320626">
        <w:rPr>
          <w:lang w:val="es-ES_tradnl"/>
        </w:rPr>
        <w:tab/>
      </w:r>
      <w:r w:rsidRPr="00320626">
        <w:rPr>
          <w:lang w:val="es-ES_tradnl"/>
        </w:rPr>
        <w:t xml:space="preserve">Limitaciones relacionadas con la continuidad de los trabajos del Consejo y los </w:t>
      </w:r>
      <w:proofErr w:type="spellStart"/>
      <w:r w:rsidRPr="00320626">
        <w:rPr>
          <w:lang w:val="es-ES_tradnl"/>
        </w:rPr>
        <w:t>GTC</w:t>
      </w:r>
      <w:proofErr w:type="spellEnd"/>
      <w:r w:rsidRPr="00320626">
        <w:rPr>
          <w:lang w:val="es-ES_tradnl"/>
        </w:rPr>
        <w:t xml:space="preserve"> durante el per</w:t>
      </w:r>
      <w:r w:rsidR="00D454C2" w:rsidRPr="00320626">
        <w:rPr>
          <w:lang w:val="es-ES_tradnl"/>
        </w:rPr>
        <w:t>i</w:t>
      </w:r>
      <w:r w:rsidRPr="00320626">
        <w:rPr>
          <w:lang w:val="es-ES_tradnl"/>
        </w:rPr>
        <w:t>odo comprendido entre 2027 y 2029</w:t>
      </w:r>
    </w:p>
    <w:p w14:paraId="1EC1F735" w14:textId="77777777" w:rsidR="00D3432D" w:rsidRPr="00320626" w:rsidRDefault="00D3432D" w:rsidP="00320626">
      <w:pPr>
        <w:jc w:val="both"/>
        <w:rPr>
          <w:lang w:val="es-ES_tradnl" w:eastAsia="zh-CN"/>
        </w:rPr>
      </w:pPr>
      <w:r w:rsidRPr="00320626">
        <w:rPr>
          <w:b/>
          <w:bCs/>
          <w:lang w:val="es-ES_tradnl" w:eastAsia="zh-CN"/>
        </w:rPr>
        <w:t>Observando</w:t>
      </w:r>
      <w:r w:rsidRPr="00320626">
        <w:rPr>
          <w:lang w:val="es-ES_tradnl" w:eastAsia="zh-CN"/>
        </w:rPr>
        <w:t xml:space="preserve"> que, de conformidad con el Acuerdo 640 (</w:t>
      </w:r>
      <w:proofErr w:type="spellStart"/>
      <w:r w:rsidRPr="00320626">
        <w:rPr>
          <w:lang w:val="es-ES_tradnl" w:eastAsia="zh-CN"/>
        </w:rPr>
        <w:t>C24</w:t>
      </w:r>
      <w:proofErr w:type="spellEnd"/>
      <w:r w:rsidRPr="00320626">
        <w:rPr>
          <w:lang w:val="es-ES_tradnl" w:eastAsia="zh-CN"/>
        </w:rPr>
        <w:t xml:space="preserve">), el Consejo aprobó un calendario para el proyecto del nuevo edificio de </w:t>
      </w:r>
      <w:proofErr w:type="spellStart"/>
      <w:r w:rsidRPr="00320626">
        <w:rPr>
          <w:lang w:val="es-ES_tradnl" w:eastAsia="zh-CN"/>
        </w:rPr>
        <w:t>Varembé</w:t>
      </w:r>
      <w:proofErr w:type="spellEnd"/>
      <w:r w:rsidRPr="00320626">
        <w:rPr>
          <w:lang w:val="es-ES_tradnl" w:eastAsia="zh-CN"/>
        </w:rPr>
        <w:t>, cuya ejecución se ha previsto emprender en 2028, y que, en principio, las salas de reunión de la Sede de la UIT seguirán estando disponibles hasta finales de 2027, pero podrían dejar de estarlo a partir de junio de 2028 y, probablemente, durante todo 2029 debido a las obras de demolición y reconstrucción.</w:t>
      </w:r>
    </w:p>
    <w:p w14:paraId="12357829" w14:textId="77777777" w:rsidR="00D3432D" w:rsidRPr="00320626" w:rsidRDefault="00D3432D" w:rsidP="00320626">
      <w:pPr>
        <w:jc w:val="both"/>
        <w:rPr>
          <w:rFonts w:asciiTheme="minorHAnsi" w:hAnsiTheme="minorHAnsi" w:cstheme="minorHAnsi"/>
          <w:szCs w:val="24"/>
          <w:lang w:val="es-ES_tradnl" w:eastAsia="zh-CN"/>
        </w:rPr>
      </w:pPr>
      <w:r w:rsidRPr="00320626">
        <w:rPr>
          <w:rFonts w:asciiTheme="minorHAnsi" w:hAnsiTheme="minorHAnsi" w:cstheme="minorHAnsi"/>
          <w:b/>
          <w:bCs/>
          <w:szCs w:val="24"/>
          <w:lang w:val="es-ES_tradnl" w:eastAsia="zh-CN"/>
        </w:rPr>
        <w:t xml:space="preserve">Observando además </w:t>
      </w:r>
      <w:r w:rsidRPr="00320626">
        <w:rPr>
          <w:rFonts w:asciiTheme="minorHAnsi" w:hAnsiTheme="minorHAnsi" w:cstheme="minorHAnsi"/>
          <w:szCs w:val="24"/>
          <w:lang w:val="es-ES_tradnl" w:eastAsia="zh-CN"/>
        </w:rPr>
        <w:t>que, en virtud del Acuerdo 643 (</w:t>
      </w:r>
      <w:proofErr w:type="spellStart"/>
      <w:r w:rsidRPr="00320626">
        <w:rPr>
          <w:rFonts w:asciiTheme="minorHAnsi" w:hAnsiTheme="minorHAnsi" w:cstheme="minorHAnsi"/>
          <w:szCs w:val="24"/>
          <w:lang w:val="es-ES_tradnl" w:eastAsia="zh-CN"/>
        </w:rPr>
        <w:t>C25</w:t>
      </w:r>
      <w:proofErr w:type="spellEnd"/>
      <w:r w:rsidRPr="00320626">
        <w:rPr>
          <w:rFonts w:asciiTheme="minorHAnsi" w:hAnsiTheme="minorHAnsi" w:cstheme="minorHAnsi"/>
          <w:szCs w:val="24"/>
          <w:lang w:val="es-ES_tradnl" w:eastAsia="zh-CN"/>
        </w:rPr>
        <w:t xml:space="preserve">), el Consejo estableció las fechas y la duración de sus reuniones de 2027 y 2028, así como las de las series de reuniones de los </w:t>
      </w:r>
      <w:proofErr w:type="spellStart"/>
      <w:r w:rsidRPr="00320626">
        <w:rPr>
          <w:rFonts w:asciiTheme="minorHAnsi" w:hAnsiTheme="minorHAnsi" w:cstheme="minorHAnsi"/>
          <w:szCs w:val="24"/>
          <w:lang w:val="es-ES_tradnl" w:eastAsia="zh-CN"/>
        </w:rPr>
        <w:t>GTC</w:t>
      </w:r>
      <w:proofErr w:type="spellEnd"/>
      <w:r w:rsidRPr="00320626">
        <w:rPr>
          <w:rFonts w:asciiTheme="minorHAnsi" w:hAnsiTheme="minorHAnsi" w:cstheme="minorHAnsi"/>
          <w:szCs w:val="24"/>
          <w:lang w:val="es-ES_tradnl" w:eastAsia="zh-CN"/>
        </w:rPr>
        <w:t xml:space="preserve"> y los Grupos de Expertos (GE), en aras de una planificación coordinada de las actividades.</w:t>
      </w:r>
    </w:p>
    <w:p w14:paraId="284F7072" w14:textId="2F19C5FB" w:rsidR="00D3432D" w:rsidRPr="00320626" w:rsidRDefault="00D3432D" w:rsidP="00320626">
      <w:pPr>
        <w:jc w:val="both"/>
        <w:rPr>
          <w:rFonts w:asciiTheme="minorHAnsi" w:hAnsiTheme="minorHAnsi" w:cstheme="minorHAnsi"/>
          <w:szCs w:val="24"/>
          <w:lang w:val="es-ES_tradnl" w:eastAsia="zh-CN"/>
        </w:rPr>
      </w:pPr>
      <w:r w:rsidRPr="00320626">
        <w:rPr>
          <w:rFonts w:asciiTheme="minorHAnsi" w:hAnsiTheme="minorHAnsi" w:cstheme="minorHAnsi"/>
          <w:b/>
          <w:bCs/>
          <w:szCs w:val="24"/>
          <w:lang w:val="es-ES_tradnl" w:eastAsia="zh-CN"/>
        </w:rPr>
        <w:t xml:space="preserve">Observando asimismo </w:t>
      </w:r>
      <w:r w:rsidRPr="00320626">
        <w:rPr>
          <w:rFonts w:asciiTheme="minorHAnsi" w:hAnsiTheme="minorHAnsi" w:cstheme="minorHAnsi"/>
          <w:szCs w:val="24"/>
          <w:lang w:val="es-ES_tradnl" w:eastAsia="zh-CN"/>
        </w:rPr>
        <w:t>que la Secretaría ha sopesado diversas opciones destinadas a garantizar la continuidad de las actividades durante el per</w:t>
      </w:r>
      <w:r w:rsidR="00475DBF" w:rsidRPr="00320626">
        <w:rPr>
          <w:rFonts w:asciiTheme="minorHAnsi" w:hAnsiTheme="minorHAnsi" w:cstheme="minorHAnsi"/>
          <w:szCs w:val="24"/>
          <w:lang w:val="es-ES_tradnl" w:eastAsia="zh-CN"/>
        </w:rPr>
        <w:t>i</w:t>
      </w:r>
      <w:r w:rsidRPr="00320626">
        <w:rPr>
          <w:rFonts w:asciiTheme="minorHAnsi" w:hAnsiTheme="minorHAnsi" w:cstheme="minorHAnsi"/>
          <w:szCs w:val="24"/>
          <w:lang w:val="es-ES_tradnl" w:eastAsia="zh-CN"/>
        </w:rPr>
        <w:t xml:space="preserve">odo comprendido entre junio de 2028 y diciembre de 2029, y que, según el informe que presentó al </w:t>
      </w:r>
      <w:proofErr w:type="spellStart"/>
      <w:r w:rsidRPr="00320626">
        <w:rPr>
          <w:rFonts w:asciiTheme="minorHAnsi" w:hAnsiTheme="minorHAnsi" w:cstheme="minorHAnsi"/>
          <w:szCs w:val="24"/>
          <w:lang w:val="es-ES_tradnl" w:eastAsia="zh-CN"/>
        </w:rPr>
        <w:t>GTC-RHF</w:t>
      </w:r>
      <w:proofErr w:type="spellEnd"/>
      <w:r w:rsidRPr="00320626">
        <w:rPr>
          <w:rFonts w:asciiTheme="minorHAnsi" w:hAnsiTheme="minorHAnsi" w:cstheme="minorHAnsi"/>
          <w:szCs w:val="24"/>
          <w:lang w:val="es-ES_tradnl" w:eastAsia="zh-CN"/>
        </w:rPr>
        <w:t xml:space="preserve"> en su 21.ª reunión (véase el Documento</w:t>
      </w:r>
      <w:hyperlink r:id="rId11" w:history="1">
        <w:r w:rsidRPr="00320626">
          <w:rPr>
            <w:rStyle w:val="Hyperlink"/>
            <w:rFonts w:asciiTheme="minorHAnsi" w:hAnsiTheme="minorHAnsi" w:cstheme="minorHAnsi"/>
            <w:szCs w:val="24"/>
            <w:lang w:val="es-ES_tradnl" w:eastAsia="zh-CN"/>
          </w:rPr>
          <w:t xml:space="preserve"> </w:t>
        </w:r>
        <w:proofErr w:type="spellStart"/>
        <w:r w:rsidRPr="00320626">
          <w:rPr>
            <w:rStyle w:val="Hyperlink"/>
            <w:rFonts w:asciiTheme="minorHAnsi" w:hAnsiTheme="minorHAnsi" w:cstheme="minorHAnsi"/>
            <w:szCs w:val="24"/>
            <w:lang w:val="es-ES_tradnl" w:eastAsia="zh-CN"/>
          </w:rPr>
          <w:t>CWG</w:t>
        </w:r>
        <w:proofErr w:type="spellEnd"/>
        <w:r w:rsidRPr="00320626">
          <w:rPr>
            <w:rStyle w:val="Hyperlink"/>
            <w:rFonts w:asciiTheme="minorHAnsi" w:hAnsiTheme="minorHAnsi" w:cstheme="minorHAnsi"/>
            <w:szCs w:val="24"/>
            <w:lang w:val="es-ES_tradnl" w:eastAsia="zh-CN"/>
          </w:rPr>
          <w:t>-</w:t>
        </w:r>
        <w:proofErr w:type="spellStart"/>
        <w:r w:rsidRPr="00320626">
          <w:rPr>
            <w:rStyle w:val="Hyperlink"/>
            <w:rFonts w:asciiTheme="minorHAnsi" w:hAnsiTheme="minorHAnsi" w:cstheme="minorHAnsi"/>
            <w:szCs w:val="24"/>
            <w:lang w:val="es-ES_tradnl" w:eastAsia="zh-CN"/>
          </w:rPr>
          <w:t>FHR</w:t>
        </w:r>
        <w:proofErr w:type="spellEnd"/>
        <w:r w:rsidRPr="00320626">
          <w:rPr>
            <w:rStyle w:val="Hyperlink"/>
            <w:rFonts w:asciiTheme="minorHAnsi" w:hAnsiTheme="minorHAnsi" w:cstheme="minorHAnsi"/>
            <w:szCs w:val="24"/>
            <w:lang w:val="es-ES_tradnl" w:eastAsia="zh-CN"/>
          </w:rPr>
          <w:t>-22/13</w:t>
        </w:r>
      </w:hyperlink>
      <w:r w:rsidRPr="00320626">
        <w:rPr>
          <w:rFonts w:asciiTheme="minorHAnsi" w:hAnsiTheme="minorHAnsi" w:cstheme="minorHAnsi"/>
          <w:szCs w:val="24"/>
          <w:lang w:val="es-ES_tradnl" w:eastAsia="zh-CN"/>
        </w:rPr>
        <w:t>), se ha previsto celebrar las reuniones de 2028 y 2029 del Consejo en junio, en la Sede de Ginebra, en el entendimiento de que se respetará el calendario de las obras.</w:t>
      </w:r>
    </w:p>
    <w:p w14:paraId="0A999E0F" w14:textId="72EE0B90" w:rsidR="00D3432D" w:rsidRPr="00320626" w:rsidRDefault="00D3432D" w:rsidP="00320626">
      <w:pPr>
        <w:jc w:val="both"/>
        <w:rPr>
          <w:rFonts w:asciiTheme="minorHAnsi" w:hAnsiTheme="minorHAnsi" w:cstheme="minorHAnsi"/>
          <w:szCs w:val="24"/>
          <w:lang w:val="es-ES_tradnl" w:eastAsia="zh-CN"/>
        </w:rPr>
      </w:pPr>
      <w:r w:rsidRPr="00320626">
        <w:rPr>
          <w:rFonts w:asciiTheme="minorHAnsi" w:hAnsiTheme="minorHAnsi" w:cstheme="minorHAnsi"/>
          <w:b/>
          <w:bCs/>
          <w:szCs w:val="24"/>
          <w:lang w:val="es-ES_tradnl" w:eastAsia="zh-CN"/>
        </w:rPr>
        <w:t xml:space="preserve">Observando además </w:t>
      </w:r>
      <w:r w:rsidRPr="00320626">
        <w:rPr>
          <w:rFonts w:asciiTheme="minorHAnsi" w:hAnsiTheme="minorHAnsi" w:cstheme="minorHAnsi"/>
          <w:szCs w:val="24"/>
          <w:lang w:val="es-ES_tradnl" w:eastAsia="zh-CN"/>
        </w:rPr>
        <w:t>que en el Documento</w:t>
      </w:r>
      <w:hyperlink r:id="rId12" w:history="1">
        <w:r w:rsidRPr="00320626">
          <w:rPr>
            <w:rStyle w:val="Hyperlink"/>
            <w:rFonts w:asciiTheme="minorHAnsi" w:hAnsiTheme="minorHAnsi" w:cstheme="minorHAnsi"/>
            <w:szCs w:val="24"/>
            <w:lang w:val="es-ES_tradnl" w:eastAsia="zh-CN"/>
          </w:rPr>
          <w:t xml:space="preserve"> </w:t>
        </w:r>
        <w:proofErr w:type="spellStart"/>
        <w:r w:rsidRPr="00320626">
          <w:rPr>
            <w:rStyle w:val="Hyperlink"/>
            <w:rFonts w:asciiTheme="minorHAnsi" w:hAnsiTheme="minorHAnsi" w:cstheme="minorHAnsi"/>
            <w:szCs w:val="24"/>
            <w:lang w:val="es-ES_tradnl" w:eastAsia="zh-CN"/>
          </w:rPr>
          <w:t>C26</w:t>
        </w:r>
        <w:proofErr w:type="spellEnd"/>
        <w:r w:rsidRPr="00320626">
          <w:rPr>
            <w:rStyle w:val="Hyperlink"/>
            <w:rFonts w:asciiTheme="minorHAnsi" w:hAnsiTheme="minorHAnsi" w:cstheme="minorHAnsi"/>
            <w:szCs w:val="24"/>
            <w:lang w:val="es-ES_tradnl" w:eastAsia="zh-CN"/>
          </w:rPr>
          <w:t>/65</w:t>
        </w:r>
      </w:hyperlink>
      <w:r w:rsidRPr="00320626">
        <w:rPr>
          <w:rFonts w:asciiTheme="minorHAnsi" w:hAnsiTheme="minorHAnsi" w:cstheme="minorHAnsi"/>
          <w:szCs w:val="24"/>
          <w:lang w:val="es-ES_tradnl" w:eastAsia="zh-CN"/>
        </w:rPr>
        <w:t>, presentado a la Comisión Permanente de Administración y Gestión (ADM), la Secretaría General revisa el per</w:t>
      </w:r>
      <w:r w:rsidR="00475DBF" w:rsidRPr="00320626">
        <w:rPr>
          <w:rFonts w:asciiTheme="minorHAnsi" w:hAnsiTheme="minorHAnsi" w:cstheme="minorHAnsi"/>
          <w:szCs w:val="24"/>
          <w:lang w:val="es-ES_tradnl" w:eastAsia="zh-CN"/>
        </w:rPr>
        <w:t>i</w:t>
      </w:r>
      <w:r w:rsidRPr="00320626">
        <w:rPr>
          <w:rFonts w:asciiTheme="minorHAnsi" w:hAnsiTheme="minorHAnsi" w:cstheme="minorHAnsi"/>
          <w:szCs w:val="24"/>
          <w:lang w:val="es-ES_tradnl" w:eastAsia="zh-CN"/>
        </w:rPr>
        <w:t xml:space="preserve">odo durante el cual no se podrá acceder a las instalaciones de la UIT e indica que las obras de demolición se llevarán a cabo del 1 de octubre de 2028 al 31 de agosto de 2029. En ese contexto, propone </w:t>
      </w:r>
      <w:r w:rsidRPr="00320626">
        <w:rPr>
          <w:lang w:val="es-ES_tradnl"/>
        </w:rPr>
        <w:t>que la reunión del Consejo de 2028 se celebre del 13 al 23 de junio en la Sala Popov</w:t>
      </w:r>
      <w:r w:rsidRPr="00320626">
        <w:rPr>
          <w:rFonts w:asciiTheme="minorHAnsi" w:hAnsiTheme="minorHAnsi" w:cstheme="minorHAnsi"/>
          <w:szCs w:val="24"/>
          <w:lang w:val="es-ES_tradnl" w:eastAsia="zh-CN"/>
        </w:rPr>
        <w:t xml:space="preserve"> y la reunión de 2029 se aplace hasta septiembre. Sin embargo, en dicho documento no se facilita suficiente información sobre las repercusiones que podrían tener las obras de construcción en la celebración y el desarrollo de reuniones en los edificios de Montbrillant y de la Torre, lo que </w:t>
      </w:r>
      <w:r w:rsidRPr="00320626">
        <w:rPr>
          <w:rFonts w:asciiTheme="minorHAnsi" w:hAnsiTheme="minorHAnsi" w:cstheme="minorHAnsi"/>
          <w:szCs w:val="24"/>
          <w:lang w:val="es-ES_tradnl" w:eastAsia="zh-CN"/>
        </w:rPr>
        <w:lastRenderedPageBreak/>
        <w:t>suscita inquietudes en cuanto a la viabilidad práctica y las condiciones de la organización de las reuniones durante ese per</w:t>
      </w:r>
      <w:r w:rsidR="00BE687B" w:rsidRPr="00320626">
        <w:rPr>
          <w:rFonts w:asciiTheme="minorHAnsi" w:hAnsiTheme="minorHAnsi" w:cstheme="minorHAnsi"/>
          <w:szCs w:val="24"/>
          <w:lang w:val="es-ES_tradnl" w:eastAsia="zh-CN"/>
        </w:rPr>
        <w:t>i</w:t>
      </w:r>
      <w:r w:rsidRPr="00320626">
        <w:rPr>
          <w:rFonts w:asciiTheme="minorHAnsi" w:hAnsiTheme="minorHAnsi" w:cstheme="minorHAnsi"/>
          <w:szCs w:val="24"/>
          <w:lang w:val="es-ES_tradnl" w:eastAsia="zh-CN"/>
        </w:rPr>
        <w:t>odo.</w:t>
      </w:r>
    </w:p>
    <w:p w14:paraId="4251545B" w14:textId="77777777" w:rsidR="00D3432D" w:rsidRPr="00320626" w:rsidRDefault="00D3432D" w:rsidP="00320626">
      <w:pPr>
        <w:jc w:val="both"/>
        <w:rPr>
          <w:rFonts w:asciiTheme="minorHAnsi" w:hAnsiTheme="minorHAnsi" w:cstheme="minorHAnsi"/>
          <w:szCs w:val="24"/>
          <w:lang w:val="es-ES_tradnl" w:eastAsia="zh-CN"/>
        </w:rPr>
      </w:pPr>
      <w:r w:rsidRPr="00320626">
        <w:rPr>
          <w:rFonts w:asciiTheme="minorHAnsi" w:hAnsiTheme="minorHAnsi" w:cstheme="minorHAnsi"/>
          <w:b/>
          <w:bCs/>
          <w:szCs w:val="24"/>
          <w:lang w:val="es-ES_tradnl" w:eastAsia="zh-CN"/>
        </w:rPr>
        <w:t xml:space="preserve">Reconoce, </w:t>
      </w:r>
      <w:r w:rsidRPr="00320626">
        <w:rPr>
          <w:rFonts w:asciiTheme="minorHAnsi" w:hAnsiTheme="minorHAnsi" w:cstheme="minorHAnsi"/>
          <w:szCs w:val="24"/>
          <w:lang w:val="es-ES_tradnl" w:eastAsia="zh-CN"/>
        </w:rPr>
        <w:t>no obstante, que estos supuestos siguen siendo inciertos y que cualquier retraso en el calendario de las obras podría condicionar las disposiciones previstas, véanse:</w:t>
      </w:r>
    </w:p>
    <w:p w14:paraId="451DF5A9" w14:textId="75D24718" w:rsidR="00D3432D" w:rsidRPr="00320626" w:rsidRDefault="004C5113" w:rsidP="00320626">
      <w:pPr>
        <w:pStyle w:val="enumlev1"/>
        <w:jc w:val="both"/>
        <w:rPr>
          <w:lang w:val="es-ES_tradnl"/>
        </w:rPr>
      </w:pPr>
      <w:r w:rsidRPr="00320626">
        <w:rPr>
          <w:lang w:val="es-ES_tradnl"/>
        </w:rPr>
        <w:t>–</w:t>
      </w:r>
      <w:r w:rsidRPr="00320626">
        <w:rPr>
          <w:lang w:val="es-ES_tradnl"/>
        </w:rPr>
        <w:tab/>
      </w:r>
      <w:r w:rsidR="00D3432D" w:rsidRPr="00320626">
        <w:rPr>
          <w:lang w:val="es-ES_tradnl"/>
        </w:rPr>
        <w:t>la insuficiencia del presupuesto destinado al alquiler de salas de reunión fuera de la Sede de la UIT;</w:t>
      </w:r>
    </w:p>
    <w:p w14:paraId="29661CA1" w14:textId="38C4CA02" w:rsidR="00D3432D" w:rsidRPr="00320626" w:rsidRDefault="004C5113" w:rsidP="00320626">
      <w:pPr>
        <w:pStyle w:val="enumlev1"/>
        <w:jc w:val="both"/>
        <w:rPr>
          <w:lang w:val="es-ES_tradnl"/>
        </w:rPr>
      </w:pPr>
      <w:r w:rsidRPr="00320626">
        <w:rPr>
          <w:lang w:val="es-ES_tradnl"/>
        </w:rPr>
        <w:t>–</w:t>
      </w:r>
      <w:r w:rsidRPr="00320626">
        <w:rPr>
          <w:lang w:val="es-ES_tradnl"/>
        </w:rPr>
        <w:tab/>
      </w:r>
      <w:r w:rsidR="00D3432D" w:rsidRPr="00320626">
        <w:rPr>
          <w:lang w:val="es-ES_tradnl"/>
        </w:rPr>
        <w:t xml:space="preserve">la disponibilidad limitada de instalaciones en Ginebra, dadas en particular las obras de renovación del </w:t>
      </w:r>
      <w:proofErr w:type="spellStart"/>
      <w:r w:rsidR="00D3432D" w:rsidRPr="00320626">
        <w:rPr>
          <w:lang w:val="es-ES_tradnl"/>
        </w:rPr>
        <w:t>CICG</w:t>
      </w:r>
      <w:proofErr w:type="spellEnd"/>
      <w:r w:rsidR="00D3432D" w:rsidRPr="00320626">
        <w:rPr>
          <w:lang w:val="es-ES_tradnl"/>
        </w:rPr>
        <w:t xml:space="preserve"> previstas entre enero y octubre de 2028, motivo por el cual los locales solo se pondrán a disposición de la UIT en caso de que otros usuarios cancelen sus reservas; </w:t>
      </w:r>
    </w:p>
    <w:p w14:paraId="4D6503DC" w14:textId="51E75BC9" w:rsidR="00D3432D" w:rsidRPr="00320626" w:rsidRDefault="004C5113" w:rsidP="00320626">
      <w:pPr>
        <w:pStyle w:val="enumlev1"/>
        <w:jc w:val="both"/>
        <w:rPr>
          <w:lang w:val="es-ES_tradnl"/>
        </w:rPr>
      </w:pPr>
      <w:r w:rsidRPr="00320626">
        <w:rPr>
          <w:lang w:val="es-ES_tradnl"/>
        </w:rPr>
        <w:t>–</w:t>
      </w:r>
      <w:r w:rsidRPr="00320626">
        <w:rPr>
          <w:lang w:val="es-ES_tradnl"/>
        </w:rPr>
        <w:tab/>
      </w:r>
      <w:r w:rsidR="00D3432D" w:rsidRPr="00320626">
        <w:rPr>
          <w:lang w:val="es-ES_tradnl"/>
        </w:rPr>
        <w:t>la incierta disponibilidad de instalaciones en otras organizaciones internacionales y los costes comerciales relativamente elevados de otros locales alternativos.</w:t>
      </w:r>
    </w:p>
    <w:p w14:paraId="3751F1AE" w14:textId="77777777" w:rsidR="00D3432D" w:rsidRPr="00320626" w:rsidRDefault="00D3432D" w:rsidP="00320626">
      <w:pPr>
        <w:jc w:val="both"/>
        <w:rPr>
          <w:lang w:val="es-ES_tradnl" w:eastAsia="zh-CN"/>
        </w:rPr>
      </w:pPr>
      <w:r w:rsidRPr="00320626">
        <w:rPr>
          <w:b/>
          <w:bCs/>
          <w:lang w:val="es-ES_tradnl" w:eastAsia="zh-CN"/>
        </w:rPr>
        <w:t xml:space="preserve">Reconoce </w:t>
      </w:r>
      <w:r w:rsidRPr="00320626">
        <w:rPr>
          <w:lang w:val="es-ES_tradnl" w:eastAsia="zh-CN"/>
        </w:rPr>
        <w:t>con agradecimiento los constantes e incansables esfuerzos de la Secretaría General por concebir y promover soluciones complejas para garantizar la continuidad de las actividades de los órganos de la Unión y sus reuniones conexas.</w:t>
      </w:r>
    </w:p>
    <w:p w14:paraId="5DB1631F" w14:textId="77777777" w:rsidR="00D3432D" w:rsidRPr="00320626" w:rsidRDefault="00D3432D" w:rsidP="00320626">
      <w:pPr>
        <w:pStyle w:val="Headingb"/>
        <w:rPr>
          <w:rFonts w:eastAsiaTheme="majorEastAsia"/>
          <w:lang w:val="es-ES_tradnl"/>
        </w:rPr>
      </w:pPr>
      <w:r w:rsidRPr="00320626">
        <w:rPr>
          <w:rFonts w:eastAsiaTheme="majorEastAsia"/>
          <w:lang w:val="es-ES_tradnl"/>
        </w:rPr>
        <w:t>Propuesta:</w:t>
      </w:r>
    </w:p>
    <w:p w14:paraId="79347DF7" w14:textId="77777777" w:rsidR="00D3432D" w:rsidRPr="00320626" w:rsidRDefault="00D3432D" w:rsidP="00320626">
      <w:pPr>
        <w:jc w:val="both"/>
        <w:rPr>
          <w:lang w:val="es-ES_tradnl" w:eastAsia="zh-CN"/>
        </w:rPr>
      </w:pPr>
      <w:r w:rsidRPr="00320626">
        <w:rPr>
          <w:lang w:val="es-ES_tradnl" w:eastAsia="zh-CN"/>
        </w:rPr>
        <w:t xml:space="preserve">A la luz de las limitaciones detectadas, y con miras a garantizar la continuidad de las reuniones del Consejo y los </w:t>
      </w:r>
      <w:proofErr w:type="spellStart"/>
      <w:r w:rsidRPr="00320626">
        <w:rPr>
          <w:lang w:val="es-ES_tradnl" w:eastAsia="zh-CN"/>
        </w:rPr>
        <w:t>GTC</w:t>
      </w:r>
      <w:proofErr w:type="spellEnd"/>
      <w:r w:rsidRPr="00320626">
        <w:rPr>
          <w:lang w:val="es-ES_tradnl" w:eastAsia="zh-CN"/>
        </w:rPr>
        <w:t xml:space="preserve"> conforme a lo previsto en el Convenio, se someten las siguientes propuestas a la consideración del Consejo:</w:t>
      </w:r>
    </w:p>
    <w:p w14:paraId="6DD16789" w14:textId="589856AB" w:rsidR="00D3432D" w:rsidRPr="00320626" w:rsidRDefault="00475DBF" w:rsidP="00320626">
      <w:pPr>
        <w:pStyle w:val="Heading1"/>
        <w:rPr>
          <w:b w:val="0"/>
          <w:lang w:val="es-ES_tradnl" w:eastAsia="zh-CN"/>
        </w:rPr>
      </w:pPr>
      <w:r w:rsidRPr="00320626">
        <w:rPr>
          <w:lang w:val="es-ES_tradnl" w:eastAsia="zh-CN"/>
        </w:rPr>
        <w:t>1</w:t>
      </w:r>
      <w:r w:rsidR="00AE3EF2" w:rsidRPr="00320626">
        <w:rPr>
          <w:lang w:val="es-ES_tradnl" w:eastAsia="zh-CN"/>
        </w:rPr>
        <w:tab/>
      </w:r>
      <w:r w:rsidR="00D3432D" w:rsidRPr="00320626">
        <w:rPr>
          <w:lang w:val="es-ES_tradnl" w:eastAsia="zh-CN"/>
        </w:rPr>
        <w:t>Marco orientativo inicial y movilización de recursos</w:t>
      </w:r>
    </w:p>
    <w:p w14:paraId="157DE7E3" w14:textId="77777777" w:rsidR="00D3432D" w:rsidRPr="00320626" w:rsidRDefault="00D3432D" w:rsidP="00320626">
      <w:pPr>
        <w:jc w:val="both"/>
        <w:rPr>
          <w:lang w:val="es-ES_tradnl" w:eastAsia="zh-CN"/>
        </w:rPr>
      </w:pPr>
      <w:r w:rsidRPr="00320626">
        <w:rPr>
          <w:lang w:val="es-ES_tradnl" w:eastAsia="zh-CN"/>
        </w:rPr>
        <w:t>El Consejo tal vez desee reafirmar la importancia de celebrar sus reuniones ordinarias en Ginebra, de conformidad con en el Artículo 4 (número 51) del Convenio, y garantizar que cualquier disposición prevista se ajuste a este principio.</w:t>
      </w:r>
    </w:p>
    <w:p w14:paraId="1A359F59" w14:textId="77777777" w:rsidR="00D3432D" w:rsidRPr="00320626" w:rsidRDefault="00D3432D" w:rsidP="00320626">
      <w:pPr>
        <w:jc w:val="both"/>
        <w:rPr>
          <w:rFonts w:asciiTheme="minorHAnsi" w:hAnsiTheme="minorHAnsi" w:cstheme="minorHAnsi"/>
          <w:szCs w:val="24"/>
          <w:lang w:val="es-ES_tradnl" w:eastAsia="zh-CN"/>
        </w:rPr>
      </w:pPr>
      <w:r w:rsidRPr="00320626">
        <w:rPr>
          <w:rFonts w:asciiTheme="minorHAnsi" w:hAnsiTheme="minorHAnsi" w:cstheme="minorHAnsi"/>
          <w:szCs w:val="24"/>
          <w:lang w:val="es-ES_tradnl" w:eastAsia="zh-CN"/>
        </w:rPr>
        <w:t>A ese respecto, el Consejo tal vez desee examinar, en su reunión de 2026:</w:t>
      </w:r>
    </w:p>
    <w:p w14:paraId="162ECF6F" w14:textId="44A32F42" w:rsidR="00D3432D" w:rsidRPr="00320626" w:rsidRDefault="004C5113" w:rsidP="00320626">
      <w:pPr>
        <w:pStyle w:val="enumlev1"/>
        <w:jc w:val="both"/>
        <w:rPr>
          <w:lang w:val="es-ES_tradnl"/>
        </w:rPr>
      </w:pPr>
      <w:r w:rsidRPr="00320626">
        <w:rPr>
          <w:lang w:val="es-ES_tradnl"/>
        </w:rPr>
        <w:t>–</w:t>
      </w:r>
      <w:r w:rsidRPr="00320626">
        <w:rPr>
          <w:lang w:val="es-ES_tradnl"/>
        </w:rPr>
        <w:tab/>
      </w:r>
      <w:r w:rsidR="00D3432D" w:rsidRPr="00320626">
        <w:rPr>
          <w:lang w:val="es-ES_tradnl"/>
        </w:rPr>
        <w:t xml:space="preserve">la posible definición de modalidades para la organización de sus reuniones y las de los </w:t>
      </w:r>
      <w:proofErr w:type="spellStart"/>
      <w:r w:rsidR="00D3432D" w:rsidRPr="00320626">
        <w:rPr>
          <w:lang w:val="es-ES_tradnl"/>
        </w:rPr>
        <w:t>GTC</w:t>
      </w:r>
      <w:proofErr w:type="spellEnd"/>
      <w:r w:rsidR="00D3432D" w:rsidRPr="00320626">
        <w:rPr>
          <w:lang w:val="es-ES_tradnl"/>
        </w:rPr>
        <w:t xml:space="preserve"> para el per</w:t>
      </w:r>
      <w:r w:rsidR="00475DBF" w:rsidRPr="00320626">
        <w:rPr>
          <w:lang w:val="es-ES_tradnl"/>
        </w:rPr>
        <w:t>i</w:t>
      </w:r>
      <w:r w:rsidR="00D3432D" w:rsidRPr="00320626">
        <w:rPr>
          <w:lang w:val="es-ES_tradnl"/>
        </w:rPr>
        <w:t xml:space="preserve">odo 2028-2029, incluidas, cuando proceda, </w:t>
      </w:r>
      <w:proofErr w:type="gramStart"/>
      <w:r w:rsidR="00D3432D" w:rsidRPr="00320626">
        <w:rPr>
          <w:lang w:val="es-ES_tradnl"/>
        </w:rPr>
        <w:t>opciones alternativas</w:t>
      </w:r>
      <w:proofErr w:type="gramEnd"/>
      <w:r w:rsidR="00D3432D" w:rsidRPr="00320626">
        <w:rPr>
          <w:lang w:val="es-ES_tradnl"/>
        </w:rPr>
        <w:t xml:space="preserve"> ante la eventualidad de que se produzcan retrasos en el calendario de construcción; y</w:t>
      </w:r>
    </w:p>
    <w:p w14:paraId="1CD88E59" w14:textId="118079C9" w:rsidR="00D3432D" w:rsidRPr="00320626" w:rsidRDefault="004C5113" w:rsidP="00320626">
      <w:pPr>
        <w:pStyle w:val="enumlev1"/>
        <w:jc w:val="both"/>
        <w:rPr>
          <w:lang w:val="es-ES_tradnl"/>
        </w:rPr>
      </w:pPr>
      <w:r w:rsidRPr="00320626">
        <w:rPr>
          <w:lang w:val="es-ES_tradnl"/>
        </w:rPr>
        <w:t>–</w:t>
      </w:r>
      <w:r w:rsidRPr="00320626">
        <w:rPr>
          <w:lang w:val="es-ES_tradnl"/>
        </w:rPr>
        <w:tab/>
      </w:r>
      <w:r w:rsidR="00D3432D" w:rsidRPr="00320626">
        <w:rPr>
          <w:lang w:val="es-ES_tradnl"/>
        </w:rPr>
        <w:t>la posible asignación de recursos procedentes de ayudas del país anfitrión, así como de cualesquiera contribuciones, donaciones o patrocinios disponibles, o del presupuesto de la UIT al fondo de continuidad de las actividades, con miras a cubrir los costes adicionales relacionados con la organización de reuniones fuera de la Sede de la UIT.</w:t>
      </w:r>
    </w:p>
    <w:p w14:paraId="3AD9A893" w14:textId="62884404" w:rsidR="00D3432D" w:rsidRPr="00320626" w:rsidRDefault="00475DBF" w:rsidP="00AE3EF2">
      <w:pPr>
        <w:pStyle w:val="Heading1"/>
        <w:rPr>
          <w:rFonts w:asciiTheme="minorHAnsi" w:hAnsiTheme="minorHAnsi" w:cstheme="minorHAnsi"/>
          <w:b w:val="0"/>
          <w:bCs/>
          <w:szCs w:val="24"/>
          <w:lang w:val="es-ES_tradnl" w:eastAsia="zh-CN"/>
        </w:rPr>
      </w:pPr>
      <w:r w:rsidRPr="00320626">
        <w:rPr>
          <w:rFonts w:asciiTheme="minorHAnsi" w:hAnsiTheme="minorHAnsi" w:cstheme="minorHAnsi"/>
          <w:bCs/>
          <w:szCs w:val="24"/>
          <w:lang w:val="es-ES_tradnl" w:eastAsia="zh-CN"/>
        </w:rPr>
        <w:t>2</w:t>
      </w:r>
      <w:r w:rsidR="00AE3EF2" w:rsidRPr="00320626">
        <w:rPr>
          <w:rFonts w:asciiTheme="minorHAnsi" w:hAnsiTheme="minorHAnsi" w:cstheme="minorHAnsi"/>
          <w:bCs/>
          <w:szCs w:val="24"/>
          <w:lang w:val="es-ES_tradnl" w:eastAsia="zh-CN"/>
        </w:rPr>
        <w:tab/>
      </w:r>
      <w:r w:rsidR="00D3432D" w:rsidRPr="00320626">
        <w:rPr>
          <w:rFonts w:asciiTheme="minorHAnsi" w:hAnsiTheme="minorHAnsi" w:cstheme="minorHAnsi"/>
          <w:bCs/>
          <w:szCs w:val="24"/>
          <w:lang w:val="es-ES_tradnl" w:eastAsia="zh-CN"/>
        </w:rPr>
        <w:t>Examen de un enfoque combinado y gradual</w:t>
      </w:r>
    </w:p>
    <w:p w14:paraId="4B24EABD" w14:textId="77777777" w:rsidR="00D3432D" w:rsidRPr="00320626" w:rsidRDefault="00D3432D" w:rsidP="004C5113">
      <w:pPr>
        <w:rPr>
          <w:lang w:val="es-ES_tradnl" w:eastAsia="zh-CN"/>
        </w:rPr>
      </w:pPr>
      <w:r w:rsidRPr="00320626">
        <w:rPr>
          <w:lang w:val="es-ES_tradnl" w:eastAsia="zh-CN"/>
        </w:rPr>
        <w:t xml:space="preserve">Con objeto de garantizar la continuidad de las reuniones del Consejo de la UIT y de las series de reuniones de los </w:t>
      </w:r>
      <w:proofErr w:type="spellStart"/>
      <w:r w:rsidRPr="00320626">
        <w:rPr>
          <w:lang w:val="es-ES_tradnl" w:eastAsia="zh-CN"/>
        </w:rPr>
        <w:t>GTC</w:t>
      </w:r>
      <w:proofErr w:type="spellEnd"/>
      <w:r w:rsidRPr="00320626">
        <w:rPr>
          <w:lang w:val="es-ES_tradnl" w:eastAsia="zh-CN"/>
        </w:rPr>
        <w:t xml:space="preserve">, el Consejo tal vez desee </w:t>
      </w:r>
      <w:bookmarkStart w:id="1" w:name="_Hlk227587870"/>
      <w:r w:rsidRPr="00320626">
        <w:rPr>
          <w:lang w:val="es-ES_tradnl" w:eastAsia="zh-CN"/>
        </w:rPr>
        <w:t xml:space="preserve">considerar la posibilidad de </w:t>
      </w:r>
      <w:bookmarkEnd w:id="1"/>
      <w:r w:rsidRPr="00320626">
        <w:rPr>
          <w:lang w:val="es-ES_tradnl" w:eastAsia="zh-CN"/>
        </w:rPr>
        <w:t>adoptar un enfoque gradual y pragmático, basado, por orden de prioridad, en:</w:t>
      </w:r>
    </w:p>
    <w:p w14:paraId="624E3E9B" w14:textId="3F0800A4" w:rsidR="00D3432D" w:rsidRPr="00320626" w:rsidRDefault="004C5113" w:rsidP="004C5113">
      <w:pPr>
        <w:pStyle w:val="enumlev1"/>
        <w:rPr>
          <w:rFonts w:cstheme="minorHAnsi"/>
          <w:szCs w:val="24"/>
          <w:lang w:val="es-ES_tradnl" w:eastAsia="zh-CN"/>
        </w:rPr>
      </w:pPr>
      <w:r w:rsidRPr="00320626">
        <w:rPr>
          <w:i/>
          <w:iCs/>
          <w:color w:val="000000"/>
          <w:lang w:val="es-ES_tradnl"/>
        </w:rPr>
        <w:t>–</w:t>
      </w:r>
      <w:r w:rsidRPr="00320626">
        <w:rPr>
          <w:color w:val="000000"/>
          <w:lang w:val="es-ES_tradnl"/>
        </w:rPr>
        <w:tab/>
      </w:r>
      <w:r w:rsidR="00D3432D" w:rsidRPr="00320626">
        <w:rPr>
          <w:rFonts w:cstheme="minorHAnsi"/>
          <w:szCs w:val="24"/>
          <w:lang w:val="es-ES_tradnl" w:eastAsia="zh-CN"/>
        </w:rPr>
        <w:t xml:space="preserve">seguir celebrando las reuniones del Consejo y las series de reuniones de los </w:t>
      </w:r>
      <w:proofErr w:type="spellStart"/>
      <w:r w:rsidR="00D3432D" w:rsidRPr="00320626">
        <w:rPr>
          <w:rFonts w:cstheme="minorHAnsi"/>
          <w:szCs w:val="24"/>
          <w:lang w:val="es-ES_tradnl" w:eastAsia="zh-CN"/>
        </w:rPr>
        <w:t>GTC</w:t>
      </w:r>
      <w:proofErr w:type="spellEnd"/>
      <w:r w:rsidR="00D3432D" w:rsidRPr="00320626">
        <w:rPr>
          <w:rFonts w:cstheme="minorHAnsi"/>
          <w:szCs w:val="24"/>
          <w:lang w:val="es-ES_tradnl" w:eastAsia="zh-CN"/>
        </w:rPr>
        <w:t xml:space="preserve"> en la Sede, siempre que sea posible;</w:t>
      </w:r>
    </w:p>
    <w:p w14:paraId="6EC4BA5D" w14:textId="044A9D3A" w:rsidR="00D3432D" w:rsidRPr="00320626" w:rsidRDefault="004C5113" w:rsidP="004C5113">
      <w:pPr>
        <w:pStyle w:val="enumlev1"/>
        <w:rPr>
          <w:rFonts w:cstheme="minorHAnsi"/>
          <w:b/>
          <w:bCs/>
          <w:szCs w:val="24"/>
          <w:lang w:val="es-ES_tradnl" w:eastAsia="zh-CN"/>
        </w:rPr>
      </w:pPr>
      <w:r w:rsidRPr="00320626">
        <w:rPr>
          <w:i/>
          <w:iCs/>
          <w:color w:val="000000"/>
          <w:lang w:val="es-ES_tradnl"/>
        </w:rPr>
        <w:t>–</w:t>
      </w:r>
      <w:r w:rsidRPr="00320626">
        <w:rPr>
          <w:color w:val="000000"/>
          <w:lang w:val="es-ES_tradnl"/>
        </w:rPr>
        <w:tab/>
      </w:r>
      <w:r w:rsidR="00D3432D" w:rsidRPr="00320626">
        <w:rPr>
          <w:rFonts w:cstheme="minorHAnsi"/>
          <w:szCs w:val="24"/>
          <w:lang w:val="es-ES_tradnl" w:eastAsia="zh-CN"/>
        </w:rPr>
        <w:t>utilizar instalaciones situadas en Ginebra para acoger dichas reuniones;</w:t>
      </w:r>
    </w:p>
    <w:p w14:paraId="0C2E7DDF" w14:textId="5CF0C23D" w:rsidR="00D3432D" w:rsidRPr="00320626" w:rsidRDefault="004C5113" w:rsidP="004C5113">
      <w:pPr>
        <w:pStyle w:val="enumlev1"/>
        <w:rPr>
          <w:rFonts w:cstheme="minorHAnsi"/>
          <w:b/>
          <w:bCs/>
          <w:szCs w:val="24"/>
          <w:lang w:val="es-ES_tradnl" w:eastAsia="zh-CN"/>
        </w:rPr>
      </w:pPr>
      <w:r w:rsidRPr="00320626">
        <w:rPr>
          <w:i/>
          <w:iCs/>
          <w:color w:val="000000"/>
          <w:lang w:val="es-ES_tradnl"/>
        </w:rPr>
        <w:lastRenderedPageBreak/>
        <w:t>–</w:t>
      </w:r>
      <w:r w:rsidRPr="00320626">
        <w:rPr>
          <w:color w:val="000000"/>
          <w:lang w:val="es-ES_tradnl"/>
        </w:rPr>
        <w:tab/>
      </w:r>
      <w:r w:rsidR="00D3432D" w:rsidRPr="00320626">
        <w:rPr>
          <w:rFonts w:cstheme="minorHAnsi"/>
          <w:szCs w:val="24"/>
          <w:lang w:val="es-ES_tradnl" w:eastAsia="zh-CN"/>
        </w:rPr>
        <w:t>seguir considerando la posibilidad de crear centros de reuniones con el apoyo de los Estados Miembros interesados, de conformidad con la Resolución 5 (</w:t>
      </w:r>
      <w:proofErr w:type="spellStart"/>
      <w:r w:rsidR="00D3432D" w:rsidRPr="00320626">
        <w:rPr>
          <w:rFonts w:cstheme="minorHAnsi"/>
          <w:szCs w:val="24"/>
          <w:lang w:val="es-ES_tradnl" w:eastAsia="zh-CN"/>
        </w:rPr>
        <w:t>Kyoto</w:t>
      </w:r>
      <w:proofErr w:type="spellEnd"/>
      <w:r w:rsidR="00D3432D" w:rsidRPr="00320626">
        <w:rPr>
          <w:rFonts w:cstheme="minorHAnsi"/>
          <w:szCs w:val="24"/>
          <w:lang w:val="es-ES_tradnl" w:eastAsia="zh-CN"/>
        </w:rPr>
        <w:t xml:space="preserve">, 1994) de la Conferencia de Plenipotenciarios, velando al mismo tiempo </w:t>
      </w:r>
      <w:r w:rsidR="00475DBF" w:rsidRPr="00320626">
        <w:rPr>
          <w:rFonts w:cstheme="minorHAnsi"/>
          <w:szCs w:val="24"/>
          <w:lang w:val="es-ES_tradnl" w:eastAsia="zh-CN"/>
        </w:rPr>
        <w:t>porque</w:t>
      </w:r>
      <w:r w:rsidR="00D3432D" w:rsidRPr="00320626">
        <w:rPr>
          <w:rFonts w:cstheme="minorHAnsi"/>
          <w:szCs w:val="24"/>
          <w:lang w:val="es-ES_tradnl" w:eastAsia="zh-CN"/>
        </w:rPr>
        <w:t xml:space="preserve"> ello no suponga una carga adicional para los Estados Miembros en cuestión.</w:t>
      </w:r>
    </w:p>
    <w:p w14:paraId="6E9F7FB1" w14:textId="23941F05" w:rsidR="00D3432D" w:rsidRPr="00320626" w:rsidRDefault="00475DBF" w:rsidP="00320626">
      <w:pPr>
        <w:pStyle w:val="Heading1"/>
        <w:rPr>
          <w:b w:val="0"/>
          <w:lang w:val="es-ES_tradnl" w:eastAsia="zh-CN"/>
        </w:rPr>
      </w:pPr>
      <w:r w:rsidRPr="00320626">
        <w:rPr>
          <w:lang w:val="es-ES_tradnl" w:eastAsia="zh-CN"/>
        </w:rPr>
        <w:t>3</w:t>
      </w:r>
      <w:r w:rsidR="00AE3EF2" w:rsidRPr="00320626">
        <w:rPr>
          <w:lang w:val="es-ES_tradnl" w:eastAsia="zh-CN"/>
        </w:rPr>
        <w:tab/>
      </w:r>
      <w:r w:rsidR="00D3432D" w:rsidRPr="00320626">
        <w:rPr>
          <w:lang w:val="es-ES_tradnl" w:eastAsia="zh-CN"/>
        </w:rPr>
        <w:t>Fortalecimiento de la base financiera y operativa para la continuidad de las actividades</w:t>
      </w:r>
    </w:p>
    <w:p w14:paraId="77F2A587" w14:textId="77777777" w:rsidR="00D3432D" w:rsidRPr="00320626" w:rsidRDefault="00D3432D" w:rsidP="00320626">
      <w:pPr>
        <w:jc w:val="both"/>
        <w:rPr>
          <w:lang w:val="es-ES_tradnl" w:eastAsia="zh-CN"/>
        </w:rPr>
      </w:pPr>
      <w:r w:rsidRPr="00320626">
        <w:rPr>
          <w:lang w:val="es-ES_tradnl" w:eastAsia="zh-CN"/>
        </w:rPr>
        <w:t>Habida cuenta de las consideraciones que anteceden, el Consejo tal vez desee considerar la posibilidad de invitar a la Secretaría a:</w:t>
      </w:r>
    </w:p>
    <w:p w14:paraId="32C5328A" w14:textId="79EDE511" w:rsidR="00D3432D" w:rsidRPr="00320626" w:rsidRDefault="004C5113" w:rsidP="004C5113">
      <w:pPr>
        <w:pStyle w:val="enumlev1"/>
        <w:rPr>
          <w:lang w:val="es-ES_tradnl" w:eastAsia="zh-CN"/>
        </w:rPr>
      </w:pPr>
      <w:r w:rsidRPr="00320626">
        <w:rPr>
          <w:i/>
          <w:iCs/>
          <w:color w:val="000000"/>
          <w:lang w:val="es-ES_tradnl"/>
        </w:rPr>
        <w:t>–</w:t>
      </w:r>
      <w:r w:rsidRPr="00320626">
        <w:rPr>
          <w:color w:val="000000"/>
          <w:lang w:val="es-ES_tradnl"/>
        </w:rPr>
        <w:tab/>
      </w:r>
      <w:r w:rsidR="00D3432D" w:rsidRPr="00320626">
        <w:rPr>
          <w:lang w:val="es-ES_tradnl" w:eastAsia="zh-CN"/>
        </w:rPr>
        <w:t>presentar, en el plazo oportuno, un análisis financiero detallado y comparativo de las distintas opciones, que incluya estimaciones de costes consolidadas, una comparación con los costes actualmente registrados en la Sede y una evaluación de las opciones relacionadas con los centros de reuniones;</w:t>
      </w:r>
    </w:p>
    <w:p w14:paraId="5230B3C5" w14:textId="45A0ACC3" w:rsidR="00D3432D" w:rsidRPr="00320626" w:rsidRDefault="004C5113" w:rsidP="004C5113">
      <w:pPr>
        <w:pStyle w:val="enumlev1"/>
        <w:rPr>
          <w:rFonts w:cstheme="minorHAnsi"/>
          <w:szCs w:val="24"/>
          <w:lang w:val="es-ES_tradnl" w:eastAsia="zh-CN"/>
        </w:rPr>
      </w:pPr>
      <w:r w:rsidRPr="00320626">
        <w:rPr>
          <w:i/>
          <w:iCs/>
          <w:color w:val="000000"/>
          <w:lang w:val="es-ES_tradnl"/>
        </w:rPr>
        <w:t>–</w:t>
      </w:r>
      <w:r w:rsidRPr="00320626">
        <w:rPr>
          <w:color w:val="000000"/>
          <w:lang w:val="es-ES_tradnl"/>
        </w:rPr>
        <w:tab/>
      </w:r>
      <w:r w:rsidR="00D3432D" w:rsidRPr="00320626">
        <w:rPr>
          <w:rFonts w:cstheme="minorHAnsi"/>
          <w:szCs w:val="24"/>
          <w:lang w:val="es-ES_tradnl" w:eastAsia="zh-CN"/>
        </w:rPr>
        <w:t>continuar con la búsqueda de instalaciones para reuniones en Suiza y, cuando sea posible, anticipar su reserva, así como proseguir las conversaciones en torno a la creación de centros de reuniones, con el objetivo de informar al Consejo al respecto en su reunión extraordinaria de 2026; y</w:t>
      </w:r>
    </w:p>
    <w:p w14:paraId="316D6C07" w14:textId="1E3C5C26" w:rsidR="00D3432D" w:rsidRPr="00320626" w:rsidRDefault="004C5113" w:rsidP="004C5113">
      <w:pPr>
        <w:pStyle w:val="enumlev1"/>
        <w:rPr>
          <w:rFonts w:cstheme="minorHAnsi"/>
          <w:szCs w:val="24"/>
          <w:lang w:val="es-ES_tradnl" w:eastAsia="zh-CN"/>
        </w:rPr>
      </w:pPr>
      <w:r w:rsidRPr="00320626">
        <w:rPr>
          <w:i/>
          <w:iCs/>
          <w:color w:val="000000"/>
          <w:lang w:val="es-ES_tradnl"/>
        </w:rPr>
        <w:t>–</w:t>
      </w:r>
      <w:r w:rsidRPr="00320626">
        <w:rPr>
          <w:color w:val="000000"/>
          <w:lang w:val="es-ES_tradnl"/>
        </w:rPr>
        <w:tab/>
      </w:r>
      <w:r w:rsidR="00D3432D" w:rsidRPr="00320626">
        <w:rPr>
          <w:rFonts w:cstheme="minorHAnsi"/>
          <w:szCs w:val="24"/>
          <w:lang w:val="es-ES_tradnl" w:eastAsia="zh-CN"/>
        </w:rPr>
        <w:t>analizar posibles mecanismos de financiación complementarios, con objeto de afrontar la eventual insuficiencia del presupuesto destinado al alquiler de instalaciones para reuniones fuera de la Sede de la UIT.</w:t>
      </w:r>
    </w:p>
    <w:p w14:paraId="26C37F65" w14:textId="77777777" w:rsidR="00D3432D" w:rsidRPr="00320626" w:rsidRDefault="00D3432D" w:rsidP="00D3432D">
      <w:pPr>
        <w:pStyle w:val="Reasons"/>
        <w:rPr>
          <w:lang w:val="es-ES_tradnl" w:eastAsia="zh-CN"/>
        </w:rPr>
      </w:pPr>
    </w:p>
    <w:p w14:paraId="69C52F05" w14:textId="77777777" w:rsidR="00D3432D" w:rsidRPr="00320626" w:rsidRDefault="00D3432D" w:rsidP="005912A7">
      <w:pPr>
        <w:jc w:val="center"/>
        <w:rPr>
          <w:lang w:val="es-ES_tradnl"/>
        </w:rPr>
      </w:pPr>
      <w:r w:rsidRPr="00320626">
        <w:rPr>
          <w:lang w:val="es-ES_tradnl"/>
        </w:rPr>
        <w:t>______________</w:t>
      </w:r>
    </w:p>
    <w:sectPr w:rsidR="00D3432D" w:rsidRPr="00320626" w:rsidSect="00C538FC">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A213C" w14:textId="77777777" w:rsidR="00D3432D" w:rsidRDefault="00D3432D">
      <w:r>
        <w:separator/>
      </w:r>
    </w:p>
  </w:endnote>
  <w:endnote w:type="continuationSeparator" w:id="0">
    <w:p w14:paraId="611DC97F" w14:textId="77777777" w:rsidR="00D3432D" w:rsidRDefault="00D3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5E5CD0FD" w14:textId="77777777" w:rsidTr="00E31DCE">
      <w:trPr>
        <w:jc w:val="center"/>
      </w:trPr>
      <w:tc>
        <w:tcPr>
          <w:tcW w:w="1803" w:type="dxa"/>
          <w:vAlign w:val="center"/>
        </w:tcPr>
        <w:p w14:paraId="69A3AC12" w14:textId="2D08770F" w:rsidR="003273A4" w:rsidRDefault="002946E2" w:rsidP="003273A4">
          <w:pPr>
            <w:pStyle w:val="Header"/>
            <w:jc w:val="left"/>
            <w:rPr>
              <w:noProof/>
            </w:rPr>
          </w:pPr>
          <w:r>
            <w:rPr>
              <w:noProof/>
            </w:rPr>
            <w:t xml:space="preserve">gDoc </w:t>
          </w:r>
          <w:r w:rsidR="00D3432D">
            <w:rPr>
              <w:noProof/>
            </w:rPr>
            <w:t>2600982</w:t>
          </w:r>
        </w:p>
      </w:tc>
      <w:tc>
        <w:tcPr>
          <w:tcW w:w="8261" w:type="dxa"/>
        </w:tcPr>
        <w:p w14:paraId="470D254D" w14:textId="6A0FA985"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D3432D">
            <w:rPr>
              <w:bCs/>
            </w:rPr>
            <w:t>106</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9CA67D5"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011A5F8B" w14:textId="77777777" w:rsidTr="00E31DCE">
      <w:trPr>
        <w:jc w:val="center"/>
      </w:trPr>
      <w:tc>
        <w:tcPr>
          <w:tcW w:w="1803" w:type="dxa"/>
          <w:vAlign w:val="center"/>
        </w:tcPr>
        <w:p w14:paraId="6E966556"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1ABA88AF" w14:textId="364D5C80"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D3432D">
            <w:rPr>
              <w:bCs/>
            </w:rPr>
            <w:t>106</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BD01349"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1660B" w14:textId="77777777" w:rsidR="00D3432D" w:rsidRDefault="00D3432D">
      <w:r>
        <w:t>____________________</w:t>
      </w:r>
    </w:p>
  </w:footnote>
  <w:footnote w:type="continuationSeparator" w:id="0">
    <w:p w14:paraId="651F0CC8" w14:textId="77777777" w:rsidR="00D3432D" w:rsidRDefault="00D34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E953" w14:textId="77777777" w:rsidR="001559F5" w:rsidRPr="00B1560D" w:rsidRDefault="00B1560D" w:rsidP="00B1560D">
    <w:pPr>
      <w:pStyle w:val="Header"/>
    </w:pPr>
    <w:r>
      <w:rPr>
        <w:noProof/>
      </w:rPr>
      <w:drawing>
        <wp:inline distT="0" distB="0" distL="0" distR="0" wp14:anchorId="51ECF0F0" wp14:editId="7373E94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5153"/>
    <w:multiLevelType w:val="multilevel"/>
    <w:tmpl w:val="56C6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62166"/>
    <w:multiLevelType w:val="hybridMultilevel"/>
    <w:tmpl w:val="0A829D88"/>
    <w:lvl w:ilvl="0" w:tplc="FC80515A">
      <w:numFmt w:val="bullet"/>
      <w:lvlText w:val="-"/>
      <w:lvlJc w:val="left"/>
      <w:pPr>
        <w:ind w:left="720" w:hanging="360"/>
      </w:pPr>
      <w:rPr>
        <w:rFonts w:ascii="Calibri" w:eastAsiaTheme="minorEastAsia" w:hAnsi="Calibri" w:cs="Calibri"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 w15:restartNumberingAfterBreak="0">
    <w:nsid w:val="368C5FC0"/>
    <w:multiLevelType w:val="hybridMultilevel"/>
    <w:tmpl w:val="26B07DAA"/>
    <w:lvl w:ilvl="0" w:tplc="FC80515A">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E2E1E00"/>
    <w:multiLevelType w:val="hybridMultilevel"/>
    <w:tmpl w:val="30582078"/>
    <w:lvl w:ilvl="0" w:tplc="FC80515A">
      <w:numFmt w:val="bullet"/>
      <w:lvlText w:val="-"/>
      <w:lvlJc w:val="left"/>
      <w:pPr>
        <w:ind w:left="720" w:hanging="360"/>
      </w:pPr>
      <w:rPr>
        <w:rFonts w:ascii="Calibri" w:eastAsiaTheme="minorEastAsia" w:hAnsi="Calibri" w:cs="Calibri"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16cid:durableId="27799414">
    <w:abstractNumId w:val="1"/>
  </w:num>
  <w:num w:numId="2" w16cid:durableId="733814945">
    <w:abstractNumId w:val="3"/>
  </w:num>
  <w:num w:numId="3" w16cid:durableId="232356472">
    <w:abstractNumId w:val="2"/>
  </w:num>
  <w:num w:numId="4" w16cid:durableId="495608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2D"/>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1F40D3"/>
    <w:rsid w:val="00277DEA"/>
    <w:rsid w:val="002801AA"/>
    <w:rsid w:val="002946E2"/>
    <w:rsid w:val="002C3F32"/>
    <w:rsid w:val="002C4676"/>
    <w:rsid w:val="002C70B0"/>
    <w:rsid w:val="002D6A33"/>
    <w:rsid w:val="002F3CC4"/>
    <w:rsid w:val="003032E2"/>
    <w:rsid w:val="0031300A"/>
    <w:rsid w:val="00320626"/>
    <w:rsid w:val="003273A4"/>
    <w:rsid w:val="0034796E"/>
    <w:rsid w:val="00430D46"/>
    <w:rsid w:val="004571B0"/>
    <w:rsid w:val="00465C35"/>
    <w:rsid w:val="00473962"/>
    <w:rsid w:val="00475DBF"/>
    <w:rsid w:val="004B5D49"/>
    <w:rsid w:val="004C4C94"/>
    <w:rsid w:val="004C5113"/>
    <w:rsid w:val="004D3A3C"/>
    <w:rsid w:val="00513630"/>
    <w:rsid w:val="00560125"/>
    <w:rsid w:val="00585553"/>
    <w:rsid w:val="005912A7"/>
    <w:rsid w:val="005B34D9"/>
    <w:rsid w:val="005C2DEB"/>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94438"/>
    <w:rsid w:val="00AA390C"/>
    <w:rsid w:val="00AD5A4D"/>
    <w:rsid w:val="00AE3EF2"/>
    <w:rsid w:val="00AF0EAC"/>
    <w:rsid w:val="00B0200A"/>
    <w:rsid w:val="00B060DF"/>
    <w:rsid w:val="00B1560D"/>
    <w:rsid w:val="00B574DB"/>
    <w:rsid w:val="00B826C2"/>
    <w:rsid w:val="00B8298E"/>
    <w:rsid w:val="00BB6FD8"/>
    <w:rsid w:val="00BD0723"/>
    <w:rsid w:val="00BD2518"/>
    <w:rsid w:val="00BE687B"/>
    <w:rsid w:val="00BF1D1C"/>
    <w:rsid w:val="00C20C59"/>
    <w:rsid w:val="00C2727F"/>
    <w:rsid w:val="00C4421B"/>
    <w:rsid w:val="00C538FC"/>
    <w:rsid w:val="00C55B1F"/>
    <w:rsid w:val="00CC1FAF"/>
    <w:rsid w:val="00CF1A67"/>
    <w:rsid w:val="00D2750E"/>
    <w:rsid w:val="00D3432D"/>
    <w:rsid w:val="00D375E0"/>
    <w:rsid w:val="00D454C2"/>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6F225"/>
  <w15:docId w15:val="{E1E06B11-CDB6-47D8-B022-14AFB004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ListParagraph">
    <w:name w:val="List Paragraph"/>
    <w:basedOn w:val="Normal"/>
    <w:uiPriority w:val="34"/>
    <w:qFormat/>
    <w:rsid w:val="00D3432D"/>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20/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tu.int/md/S25-CL-C-0118/es" TargetMode="External"/><Relationship Id="rId12" Type="http://schemas.openxmlformats.org/officeDocument/2006/relationships/hyperlink" Target="https://www.itu.int/md/S26-CL-C-0065/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6-CWGFHR22-C-0013/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tu.int/md/S25-CL-C-0122/es" TargetMode="External"/><Relationship Id="rId4" Type="http://schemas.openxmlformats.org/officeDocument/2006/relationships/webSettings" Target="webSettings.xml"/><Relationship Id="rId9" Type="http://schemas.openxmlformats.org/officeDocument/2006/relationships/hyperlink" Target="https://www.itu.int/md/S24-CL-C-0132/e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3</TotalTime>
  <Pages>4</Pages>
  <Words>1436</Words>
  <Characters>7966</Characters>
  <Application>Microsoft Office Word</Application>
  <DocSecurity>0</DocSecurity>
  <Lines>139</Lines>
  <Paragraphs>56</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9346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2026 de la UIT</dc:subject>
  <cp:keywords>C26; C2026; Council 2026; PP26</cp:keywords>
  <dc:description/>
  <cp:lastPrinted>2006-03-24T09:51:00Z</cp:lastPrinted>
  <dcterms:created xsi:type="dcterms:W3CDTF">2026-04-24T16:18:00Z</dcterms:created>
  <dcterms:modified xsi:type="dcterms:W3CDTF">2026-04-24T16:21:00Z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