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5D12E0" w14:paraId="69E4E7C9" w14:textId="77777777" w:rsidTr="00796BDB">
        <w:trPr>
          <w:cantSplit/>
          <w:trHeight w:val="23"/>
        </w:trPr>
        <w:tc>
          <w:tcPr>
            <w:tcW w:w="3969" w:type="dxa"/>
            <w:vMerge w:val="restart"/>
            <w:tcMar>
              <w:left w:w="0" w:type="dxa"/>
            </w:tcMar>
          </w:tcPr>
          <w:p w14:paraId="04C12CAF" w14:textId="24314018" w:rsidR="00D72F49" w:rsidRPr="005D12E0" w:rsidRDefault="00D72F49" w:rsidP="00796BDB">
            <w:pPr>
              <w:tabs>
                <w:tab w:val="left" w:pos="851"/>
              </w:tabs>
              <w:spacing w:before="0" w:line="240" w:lineRule="atLeast"/>
              <w:rPr>
                <w:b/>
              </w:rPr>
            </w:pPr>
            <w:r w:rsidRPr="005D12E0">
              <w:rPr>
                <w:b/>
              </w:rPr>
              <w:t>Point de l'ordre du jour:</w:t>
            </w:r>
            <w:r w:rsidR="006C41C4" w:rsidRPr="005D12E0">
              <w:rPr>
                <w:b/>
              </w:rPr>
              <w:t xml:space="preserve"> </w:t>
            </w:r>
            <w:r w:rsidR="00003EC8" w:rsidRPr="005D12E0">
              <w:rPr>
                <w:b/>
              </w:rPr>
              <w:t>PL 3</w:t>
            </w:r>
          </w:p>
        </w:tc>
        <w:tc>
          <w:tcPr>
            <w:tcW w:w="5245" w:type="dxa"/>
          </w:tcPr>
          <w:p w14:paraId="01DBD772" w14:textId="7D2B3B66" w:rsidR="00D72F49" w:rsidRPr="005D12E0" w:rsidRDefault="00D72F49" w:rsidP="00796BDB">
            <w:pPr>
              <w:tabs>
                <w:tab w:val="left" w:pos="851"/>
              </w:tabs>
              <w:spacing w:before="0" w:line="240" w:lineRule="atLeast"/>
              <w:jc w:val="right"/>
              <w:rPr>
                <w:b/>
              </w:rPr>
            </w:pPr>
            <w:r w:rsidRPr="005D12E0">
              <w:rPr>
                <w:b/>
              </w:rPr>
              <w:t>Document C2</w:t>
            </w:r>
            <w:r w:rsidR="00E4448E" w:rsidRPr="005D12E0">
              <w:rPr>
                <w:b/>
              </w:rPr>
              <w:t>6</w:t>
            </w:r>
            <w:r w:rsidRPr="005D12E0">
              <w:rPr>
                <w:b/>
              </w:rPr>
              <w:t>/</w:t>
            </w:r>
            <w:r w:rsidR="00003EC8" w:rsidRPr="005D12E0">
              <w:rPr>
                <w:b/>
              </w:rPr>
              <w:t>106</w:t>
            </w:r>
            <w:r w:rsidRPr="005D12E0">
              <w:rPr>
                <w:b/>
              </w:rPr>
              <w:t>-F</w:t>
            </w:r>
          </w:p>
        </w:tc>
      </w:tr>
      <w:tr w:rsidR="00D72F49" w:rsidRPr="005D12E0" w14:paraId="6D8E91E4" w14:textId="77777777" w:rsidTr="00796BDB">
        <w:trPr>
          <w:cantSplit/>
        </w:trPr>
        <w:tc>
          <w:tcPr>
            <w:tcW w:w="3969" w:type="dxa"/>
            <w:vMerge/>
          </w:tcPr>
          <w:p w14:paraId="0D9CECC8" w14:textId="77777777" w:rsidR="00D72F49" w:rsidRPr="005D12E0" w:rsidRDefault="00D72F49" w:rsidP="00796BDB">
            <w:pPr>
              <w:tabs>
                <w:tab w:val="left" w:pos="851"/>
              </w:tabs>
              <w:spacing w:line="240" w:lineRule="atLeast"/>
              <w:rPr>
                <w:b/>
              </w:rPr>
            </w:pPr>
          </w:p>
        </w:tc>
        <w:tc>
          <w:tcPr>
            <w:tcW w:w="5245" w:type="dxa"/>
          </w:tcPr>
          <w:p w14:paraId="58346835" w14:textId="5C9CBA57" w:rsidR="00D72F49" w:rsidRPr="005D12E0" w:rsidRDefault="006C41C4" w:rsidP="00796BDB">
            <w:pPr>
              <w:tabs>
                <w:tab w:val="left" w:pos="851"/>
              </w:tabs>
              <w:spacing w:before="0"/>
              <w:jc w:val="right"/>
              <w:rPr>
                <w:b/>
              </w:rPr>
            </w:pPr>
            <w:r w:rsidRPr="005D12E0">
              <w:rPr>
                <w:b/>
              </w:rPr>
              <w:t>1</w:t>
            </w:r>
            <w:r w:rsidR="00003EC8" w:rsidRPr="005D12E0">
              <w:rPr>
                <w:b/>
              </w:rPr>
              <w:t>5</w:t>
            </w:r>
            <w:r w:rsidRPr="005D12E0">
              <w:rPr>
                <w:b/>
              </w:rPr>
              <w:t xml:space="preserve"> avril 2026</w:t>
            </w:r>
          </w:p>
        </w:tc>
      </w:tr>
      <w:tr w:rsidR="00D72F49" w:rsidRPr="005D12E0" w14:paraId="04E99792" w14:textId="77777777" w:rsidTr="00796BDB">
        <w:trPr>
          <w:cantSplit/>
          <w:trHeight w:val="23"/>
        </w:trPr>
        <w:tc>
          <w:tcPr>
            <w:tcW w:w="3969" w:type="dxa"/>
            <w:vMerge/>
          </w:tcPr>
          <w:p w14:paraId="117FD377" w14:textId="77777777" w:rsidR="00D72F49" w:rsidRPr="005D12E0" w:rsidRDefault="00D72F49" w:rsidP="00796BDB">
            <w:pPr>
              <w:tabs>
                <w:tab w:val="left" w:pos="851"/>
              </w:tabs>
              <w:spacing w:line="240" w:lineRule="atLeast"/>
              <w:rPr>
                <w:b/>
              </w:rPr>
            </w:pPr>
          </w:p>
        </w:tc>
        <w:tc>
          <w:tcPr>
            <w:tcW w:w="5245" w:type="dxa"/>
          </w:tcPr>
          <w:p w14:paraId="6FE0249D" w14:textId="1E117D57" w:rsidR="00D72F49" w:rsidRPr="005D12E0" w:rsidRDefault="00D72F49" w:rsidP="00796BDB">
            <w:pPr>
              <w:tabs>
                <w:tab w:val="left" w:pos="851"/>
              </w:tabs>
              <w:spacing w:before="0" w:line="240" w:lineRule="atLeast"/>
              <w:jc w:val="right"/>
              <w:rPr>
                <w:b/>
              </w:rPr>
            </w:pPr>
            <w:r w:rsidRPr="005D12E0">
              <w:rPr>
                <w:b/>
              </w:rPr>
              <w:t xml:space="preserve">Original: </w:t>
            </w:r>
            <w:r w:rsidR="00003EC8" w:rsidRPr="005D12E0">
              <w:rPr>
                <w:b/>
              </w:rPr>
              <w:t>anglais</w:t>
            </w:r>
          </w:p>
        </w:tc>
      </w:tr>
      <w:tr w:rsidR="00D72F49" w:rsidRPr="005D12E0" w14:paraId="7A3D65A2" w14:textId="77777777" w:rsidTr="00796BDB">
        <w:trPr>
          <w:cantSplit/>
          <w:trHeight w:val="23"/>
        </w:trPr>
        <w:tc>
          <w:tcPr>
            <w:tcW w:w="3969" w:type="dxa"/>
          </w:tcPr>
          <w:p w14:paraId="10686B52" w14:textId="77777777" w:rsidR="00D72F49" w:rsidRPr="005D12E0" w:rsidRDefault="00D72F49" w:rsidP="00796BDB">
            <w:pPr>
              <w:tabs>
                <w:tab w:val="left" w:pos="851"/>
              </w:tabs>
              <w:spacing w:line="240" w:lineRule="atLeast"/>
              <w:rPr>
                <w:b/>
              </w:rPr>
            </w:pPr>
          </w:p>
        </w:tc>
        <w:tc>
          <w:tcPr>
            <w:tcW w:w="5245" w:type="dxa"/>
          </w:tcPr>
          <w:p w14:paraId="10E9F3DF" w14:textId="77777777" w:rsidR="00D72F49" w:rsidRPr="005D12E0" w:rsidRDefault="00D72F49" w:rsidP="00796BDB">
            <w:pPr>
              <w:tabs>
                <w:tab w:val="left" w:pos="851"/>
              </w:tabs>
              <w:spacing w:before="0" w:line="240" w:lineRule="atLeast"/>
              <w:jc w:val="right"/>
              <w:rPr>
                <w:b/>
              </w:rPr>
            </w:pPr>
          </w:p>
        </w:tc>
      </w:tr>
      <w:tr w:rsidR="00D72F49" w:rsidRPr="005D12E0" w14:paraId="29C658CD" w14:textId="77777777" w:rsidTr="00796BDB">
        <w:trPr>
          <w:cantSplit/>
        </w:trPr>
        <w:tc>
          <w:tcPr>
            <w:tcW w:w="9214" w:type="dxa"/>
            <w:gridSpan w:val="2"/>
            <w:tcMar>
              <w:left w:w="0" w:type="dxa"/>
            </w:tcMar>
          </w:tcPr>
          <w:p w14:paraId="2070FDD3" w14:textId="61AFF24C" w:rsidR="00D72F49" w:rsidRPr="00683F6A" w:rsidRDefault="00003EC8" w:rsidP="00796BDB">
            <w:pPr>
              <w:pStyle w:val="Source"/>
              <w:jc w:val="left"/>
              <w:rPr>
                <w:sz w:val="32"/>
                <w:szCs w:val="32"/>
              </w:rPr>
            </w:pPr>
            <w:r w:rsidRPr="00683F6A">
              <w:rPr>
                <w:bCs/>
                <w:color w:val="000000"/>
                <w:sz w:val="32"/>
                <w:szCs w:val="32"/>
              </w:rPr>
              <w:t>Contribution du Maroc (Royaume du), de la République sudafricaine et du Sénégal (République du)</w:t>
            </w:r>
          </w:p>
        </w:tc>
      </w:tr>
      <w:tr w:rsidR="00D72F49" w:rsidRPr="005D12E0" w14:paraId="53AB237C" w14:textId="77777777" w:rsidTr="00796BDB">
        <w:trPr>
          <w:cantSplit/>
        </w:trPr>
        <w:tc>
          <w:tcPr>
            <w:tcW w:w="9214" w:type="dxa"/>
            <w:gridSpan w:val="2"/>
            <w:tcMar>
              <w:left w:w="0" w:type="dxa"/>
            </w:tcMar>
          </w:tcPr>
          <w:p w14:paraId="39497F73" w14:textId="4CAFFC69" w:rsidR="00D72F49" w:rsidRPr="005D12E0" w:rsidRDefault="00683F6A" w:rsidP="00796BDB">
            <w:pPr>
              <w:pStyle w:val="Subtitle"/>
              <w:framePr w:hSpace="0" w:wrap="auto" w:hAnchor="text" w:xAlign="left" w:yAlign="inline"/>
              <w:rPr>
                <w:sz w:val="32"/>
                <w:szCs w:val="32"/>
                <w:lang w:val="fr-FR"/>
              </w:rPr>
            </w:pPr>
            <w:r w:rsidRPr="00683F6A">
              <w:rPr>
                <w:color w:val="000000"/>
                <w:sz w:val="32"/>
                <w:szCs w:val="32"/>
                <w:lang w:val="fr-FR"/>
              </w:rPr>
              <w:t>DATES ET DURÉE PROPOSÉES POUR LES SESSIONS DE 2027, 2028 ET</w:t>
            </w:r>
            <w:r w:rsidRPr="005D12E0">
              <w:rPr>
                <w:color w:val="000000"/>
                <w:sz w:val="32"/>
                <w:szCs w:val="32"/>
                <w:lang w:val="fr-FR"/>
              </w:rPr>
              <w:t> </w:t>
            </w:r>
            <w:r w:rsidRPr="00683F6A">
              <w:rPr>
                <w:color w:val="000000"/>
                <w:sz w:val="32"/>
                <w:szCs w:val="32"/>
                <w:lang w:val="fr-FR"/>
              </w:rPr>
              <w:t xml:space="preserve">2029 DU CONSEIL ET POUR LA SÉRIE DE RÉUNIONS DES </w:t>
            </w:r>
            <w:proofErr w:type="spellStart"/>
            <w:r w:rsidRPr="00683F6A">
              <w:rPr>
                <w:color w:val="000000"/>
                <w:sz w:val="32"/>
                <w:szCs w:val="32"/>
                <w:lang w:val="fr-FR"/>
              </w:rPr>
              <w:t>GTC</w:t>
            </w:r>
            <w:proofErr w:type="spellEnd"/>
            <w:r w:rsidRPr="00683F6A">
              <w:rPr>
                <w:color w:val="000000"/>
                <w:sz w:val="32"/>
                <w:szCs w:val="32"/>
                <w:lang w:val="fr-FR"/>
              </w:rPr>
              <w:t xml:space="preserve"> POUR</w:t>
            </w:r>
            <w:r w:rsidRPr="005D12E0">
              <w:rPr>
                <w:color w:val="000000"/>
                <w:sz w:val="32"/>
                <w:szCs w:val="32"/>
                <w:lang w:val="fr-FR"/>
              </w:rPr>
              <w:t> </w:t>
            </w:r>
            <w:r w:rsidRPr="00683F6A">
              <w:rPr>
                <w:color w:val="000000"/>
                <w:sz w:val="32"/>
                <w:szCs w:val="32"/>
                <w:lang w:val="fr-FR"/>
              </w:rPr>
              <w:t>LA</w:t>
            </w:r>
            <w:r w:rsidRPr="005D12E0">
              <w:rPr>
                <w:color w:val="000000"/>
                <w:sz w:val="32"/>
                <w:szCs w:val="32"/>
                <w:lang w:val="fr-FR"/>
              </w:rPr>
              <w:t xml:space="preserve"> </w:t>
            </w:r>
            <w:r w:rsidRPr="00683F6A">
              <w:rPr>
                <w:color w:val="000000"/>
                <w:sz w:val="32"/>
                <w:szCs w:val="32"/>
                <w:lang w:val="fr-FR"/>
              </w:rPr>
              <w:t>PÉRIODE</w:t>
            </w:r>
            <w:r w:rsidRPr="005D12E0">
              <w:rPr>
                <w:color w:val="000000"/>
                <w:sz w:val="32"/>
                <w:szCs w:val="32"/>
                <w:lang w:val="fr-FR"/>
              </w:rPr>
              <w:t xml:space="preserve"> </w:t>
            </w:r>
            <w:r w:rsidRPr="00683F6A">
              <w:rPr>
                <w:color w:val="000000"/>
                <w:sz w:val="32"/>
                <w:szCs w:val="32"/>
                <w:lang w:val="fr-FR"/>
              </w:rPr>
              <w:t>2027-2029</w:t>
            </w:r>
          </w:p>
        </w:tc>
      </w:tr>
      <w:tr w:rsidR="00D72F49" w:rsidRPr="005D12E0" w14:paraId="7D8CBCF1" w14:textId="77777777" w:rsidTr="00796BDB">
        <w:trPr>
          <w:cantSplit/>
        </w:trPr>
        <w:tc>
          <w:tcPr>
            <w:tcW w:w="9214" w:type="dxa"/>
            <w:gridSpan w:val="2"/>
            <w:tcBorders>
              <w:top w:val="single" w:sz="4" w:space="0" w:color="auto"/>
              <w:bottom w:val="single" w:sz="4" w:space="0" w:color="auto"/>
            </w:tcBorders>
            <w:tcMar>
              <w:left w:w="0" w:type="dxa"/>
            </w:tcMar>
          </w:tcPr>
          <w:p w14:paraId="677D3B8A" w14:textId="77777777" w:rsidR="00D72F49" w:rsidRPr="005D12E0" w:rsidRDefault="00F37FE5" w:rsidP="00796BDB">
            <w:pPr>
              <w:spacing w:before="160"/>
              <w:rPr>
                <w:b/>
                <w:bCs/>
                <w:sz w:val="26"/>
                <w:szCs w:val="26"/>
              </w:rPr>
            </w:pPr>
            <w:r w:rsidRPr="005D12E0">
              <w:rPr>
                <w:b/>
                <w:bCs/>
                <w:sz w:val="26"/>
                <w:szCs w:val="26"/>
              </w:rPr>
              <w:t>Objet</w:t>
            </w:r>
          </w:p>
          <w:p w14:paraId="1C8F97B3" w14:textId="1DAD6674" w:rsidR="00ED6119" w:rsidRPr="005D12E0" w:rsidRDefault="00ED6119" w:rsidP="00683F6A">
            <w:pPr>
              <w:jc w:val="both"/>
            </w:pPr>
            <w:r w:rsidRPr="005D12E0">
              <w:t>Le projet de construction du nouveau siège de l</w:t>
            </w:r>
            <w:r w:rsidR="0020187F" w:rsidRPr="005D12E0">
              <w:t>'</w:t>
            </w:r>
            <w:r w:rsidRPr="005D12E0">
              <w:t>UIT aura probablement des incidences opérationnelles et financières sur la planification et la tenue des réunions du Conseil, des Groupes de travail du Conseil (GTC) et des Groupes d</w:t>
            </w:r>
            <w:r w:rsidR="0020187F" w:rsidRPr="005D12E0">
              <w:t>'</w:t>
            </w:r>
            <w:r w:rsidRPr="005D12E0">
              <w:t>experts (GE), en raison de l</w:t>
            </w:r>
            <w:r w:rsidR="0020187F" w:rsidRPr="005D12E0">
              <w:t>'</w:t>
            </w:r>
            <w:r w:rsidRPr="005D12E0">
              <w:t>indisponibilité des salles de réunions du siège de Genève. Dans ce contexte, il conviendrait de tenir compte des contraintes juridiques, opérationnelles et financières ainsi que des risques associés qui pèsent sur l</w:t>
            </w:r>
            <w:r w:rsidR="0020187F" w:rsidRPr="005D12E0">
              <w:t>'</w:t>
            </w:r>
            <w:r w:rsidRPr="005D12E0">
              <w:t>Union.</w:t>
            </w:r>
          </w:p>
          <w:p w14:paraId="4A6201C3" w14:textId="030BC78C" w:rsidR="00D72F49" w:rsidRPr="005D12E0" w:rsidRDefault="00ED6119" w:rsidP="00683F6A">
            <w:pPr>
              <w:jc w:val="both"/>
            </w:pPr>
            <w:r w:rsidRPr="005D12E0">
              <w:t>À cet égard, le Conseil est invité à étudier l</w:t>
            </w:r>
            <w:r w:rsidR="0020187F" w:rsidRPr="005D12E0">
              <w:t>'</w:t>
            </w:r>
            <w:r w:rsidRPr="005D12E0">
              <w:t>adoption rapide d</w:t>
            </w:r>
            <w:r w:rsidR="0020187F" w:rsidRPr="005D12E0">
              <w:t>'</w:t>
            </w:r>
            <w:r w:rsidRPr="005D12E0">
              <w:t>une décision, fondée sur une méthode combinée et pragmatique et appuyée par une visibilité financière accrue, visant à assurer la continuité des activités de l</w:t>
            </w:r>
            <w:r w:rsidR="0020187F" w:rsidRPr="005D12E0">
              <w:t>'</w:t>
            </w:r>
            <w:r w:rsidRPr="005D12E0">
              <w:t>Union conformément aux impératifs statutaires en vigueur et compte tenu des contraintes budgétaires.</w:t>
            </w:r>
          </w:p>
          <w:p w14:paraId="2CEA6D82" w14:textId="77777777" w:rsidR="00D72F49" w:rsidRPr="005D12E0" w:rsidRDefault="00D72F49" w:rsidP="00796BDB">
            <w:pPr>
              <w:spacing w:before="160"/>
              <w:rPr>
                <w:b/>
                <w:bCs/>
                <w:sz w:val="26"/>
                <w:szCs w:val="26"/>
              </w:rPr>
            </w:pPr>
            <w:r w:rsidRPr="005D12E0">
              <w:rPr>
                <w:b/>
                <w:bCs/>
                <w:sz w:val="26"/>
                <w:szCs w:val="26"/>
              </w:rPr>
              <w:t>Suite à donner par le Conseil</w:t>
            </w:r>
          </w:p>
          <w:p w14:paraId="3877DBA2" w14:textId="46CF5C7B" w:rsidR="00D72F49" w:rsidRPr="005D12E0" w:rsidRDefault="0020187F" w:rsidP="00683F6A">
            <w:pPr>
              <w:pStyle w:val="enumlev1"/>
              <w:tabs>
                <w:tab w:val="clear" w:pos="567"/>
              </w:tabs>
              <w:ind w:left="0" w:firstLine="0"/>
              <w:jc w:val="both"/>
            </w:pPr>
            <w:r w:rsidRPr="005D12E0">
              <w:t xml:space="preserve">Le Conseil est invité à </w:t>
            </w:r>
            <w:r w:rsidRPr="005D12E0">
              <w:rPr>
                <w:b/>
                <w:bCs/>
              </w:rPr>
              <w:t>examiner</w:t>
            </w:r>
            <w:r w:rsidRPr="005D12E0">
              <w:t xml:space="preserve"> la présente contribution et à </w:t>
            </w:r>
            <w:r w:rsidRPr="005D12E0">
              <w:rPr>
                <w:b/>
                <w:bCs/>
              </w:rPr>
              <w:t>prendre les mesures appropriées</w:t>
            </w:r>
            <w:r w:rsidRPr="005D12E0">
              <w:t>.</w:t>
            </w:r>
          </w:p>
          <w:p w14:paraId="45818BD5" w14:textId="77777777" w:rsidR="00D72F49" w:rsidRPr="005D12E0" w:rsidRDefault="00D72F49" w:rsidP="00796BDB">
            <w:pPr>
              <w:spacing w:before="160"/>
              <w:rPr>
                <w:caps/>
                <w:sz w:val="22"/>
              </w:rPr>
            </w:pPr>
            <w:r w:rsidRPr="005D12E0">
              <w:rPr>
                <w:sz w:val="22"/>
              </w:rPr>
              <w:t>__________________</w:t>
            </w:r>
          </w:p>
          <w:p w14:paraId="15DE51DC" w14:textId="77777777" w:rsidR="00D72F49" w:rsidRPr="005D12E0" w:rsidRDefault="00D72F49" w:rsidP="00796BDB">
            <w:pPr>
              <w:spacing w:before="160"/>
              <w:rPr>
                <w:b/>
                <w:bCs/>
                <w:sz w:val="26"/>
                <w:szCs w:val="26"/>
              </w:rPr>
            </w:pPr>
            <w:r w:rsidRPr="005D12E0">
              <w:rPr>
                <w:b/>
                <w:bCs/>
                <w:sz w:val="26"/>
                <w:szCs w:val="26"/>
              </w:rPr>
              <w:t>Références</w:t>
            </w:r>
          </w:p>
          <w:p w14:paraId="0CF7127B" w14:textId="7C7CCD5E" w:rsidR="00D72F49" w:rsidRPr="00683F6A" w:rsidRDefault="0020187F" w:rsidP="00683F6A">
            <w:pPr>
              <w:pStyle w:val="Referencetext"/>
              <w:framePr w:hSpace="0" w:wrap="auto" w:vAnchor="margin" w:hAnchor="text" w:xAlign="left" w:yAlign="inline"/>
            </w:pPr>
            <w:hyperlink r:id="rId7" w:history="1">
              <w:r w:rsidRPr="00683F6A">
                <w:rPr>
                  <w:rStyle w:val="Hyperlink"/>
                  <w:rFonts w:eastAsia="Times New Roman" w:cs="Times New Roman"/>
                </w:rPr>
                <w:t>Résolution 1434</w:t>
              </w:r>
            </w:hyperlink>
            <w:r w:rsidRPr="00683F6A">
              <w:t xml:space="preserve"> (</w:t>
            </w:r>
            <w:proofErr w:type="spellStart"/>
            <w:r w:rsidRPr="00683F6A">
              <w:t>C25</w:t>
            </w:r>
            <w:proofErr w:type="spellEnd"/>
            <w:r w:rsidRPr="00683F6A">
              <w:t xml:space="preserve">), </w:t>
            </w:r>
            <w:hyperlink r:id="rId8" w:history="1">
              <w:r w:rsidRPr="00683F6A">
                <w:rPr>
                  <w:rStyle w:val="Hyperlink"/>
                  <w:rFonts w:eastAsia="Times New Roman" w:cs="Times New Roman"/>
                </w:rPr>
                <w:t>Résolution 1333</w:t>
              </w:r>
            </w:hyperlink>
            <w:r w:rsidRPr="00683F6A">
              <w:t xml:space="preserve"> (</w:t>
            </w:r>
            <w:proofErr w:type="spellStart"/>
            <w:r w:rsidRPr="00683F6A">
              <w:t>C11</w:t>
            </w:r>
            <w:proofErr w:type="spellEnd"/>
            <w:r w:rsidRPr="00683F6A">
              <w:t xml:space="preserve">, dernière mod. </w:t>
            </w:r>
            <w:proofErr w:type="spellStart"/>
            <w:r w:rsidRPr="00683F6A">
              <w:t>C25</w:t>
            </w:r>
            <w:proofErr w:type="spellEnd"/>
            <w:r w:rsidRPr="00683F6A">
              <w:t xml:space="preserve">), </w:t>
            </w:r>
            <w:hyperlink r:id="rId9" w:history="1">
              <w:r w:rsidRPr="00683F6A">
                <w:rPr>
                  <w:rStyle w:val="Hyperlink"/>
                  <w:rFonts w:eastAsia="Times New Roman" w:cs="Times New Roman"/>
                </w:rPr>
                <w:t>Décision 640</w:t>
              </w:r>
            </w:hyperlink>
            <w:r w:rsidRPr="00683F6A">
              <w:t xml:space="preserve"> (</w:t>
            </w:r>
            <w:proofErr w:type="spellStart"/>
            <w:r w:rsidRPr="00683F6A">
              <w:t>C24</w:t>
            </w:r>
            <w:proofErr w:type="spellEnd"/>
            <w:r w:rsidRPr="00683F6A">
              <w:t xml:space="preserve">), </w:t>
            </w:r>
            <w:r w:rsidR="00683F6A" w:rsidRPr="00683F6A">
              <w:t xml:space="preserve">et </w:t>
            </w:r>
            <w:r w:rsidR="00683F6A">
              <w:br/>
            </w:r>
            <w:hyperlink r:id="rId10" w:history="1">
              <w:r w:rsidRPr="00683F6A">
                <w:rPr>
                  <w:rStyle w:val="Hyperlink"/>
                  <w:rFonts w:eastAsia="Times New Roman" w:cs="Times New Roman"/>
                </w:rPr>
                <w:t>Décision 643</w:t>
              </w:r>
            </w:hyperlink>
            <w:r w:rsidRPr="00683F6A">
              <w:t xml:space="preserve"> (</w:t>
            </w:r>
            <w:proofErr w:type="spellStart"/>
            <w:r w:rsidRPr="00683F6A">
              <w:t>C25</w:t>
            </w:r>
            <w:proofErr w:type="spellEnd"/>
            <w:r w:rsidRPr="00683F6A">
              <w:t>) du Conseil</w:t>
            </w:r>
          </w:p>
        </w:tc>
      </w:tr>
    </w:tbl>
    <w:p w14:paraId="0195A5BA" w14:textId="77777777" w:rsidR="00A51849" w:rsidRPr="005D12E0" w:rsidRDefault="00A51849">
      <w:pPr>
        <w:tabs>
          <w:tab w:val="clear" w:pos="567"/>
          <w:tab w:val="clear" w:pos="1134"/>
          <w:tab w:val="clear" w:pos="1701"/>
          <w:tab w:val="clear" w:pos="2268"/>
          <w:tab w:val="clear" w:pos="2835"/>
        </w:tabs>
        <w:overflowPunct/>
        <w:autoSpaceDE/>
        <w:autoSpaceDN/>
        <w:adjustRightInd/>
        <w:spacing w:before="0"/>
        <w:textAlignment w:val="auto"/>
      </w:pPr>
      <w:r w:rsidRPr="005D12E0">
        <w:br w:type="page"/>
      </w:r>
    </w:p>
    <w:p w14:paraId="399335EF" w14:textId="7F3BBC7C" w:rsidR="00F462A4" w:rsidRPr="005D12E0" w:rsidRDefault="00F462A4" w:rsidP="00F462A4">
      <w:pPr>
        <w:pStyle w:val="Heading1"/>
      </w:pPr>
      <w:r w:rsidRPr="005D12E0">
        <w:lastRenderedPageBreak/>
        <w:t>1</w:t>
      </w:r>
      <w:r w:rsidRPr="005D12E0">
        <w:tab/>
      </w:r>
      <w:r w:rsidR="0020187F" w:rsidRPr="005D12E0">
        <w:t>Considé</w:t>
      </w:r>
      <w:r w:rsidR="002803C7" w:rsidRPr="005D12E0">
        <w:t>r</w:t>
      </w:r>
      <w:r w:rsidR="0020187F" w:rsidRPr="005D12E0">
        <w:t>ations générales</w:t>
      </w:r>
    </w:p>
    <w:p w14:paraId="3A6C5533" w14:textId="666AA47C" w:rsidR="0020187F" w:rsidRPr="005D12E0" w:rsidRDefault="0020187F" w:rsidP="00683F6A">
      <w:pPr>
        <w:jc w:val="both"/>
      </w:pPr>
      <w:r w:rsidRPr="005D12E0">
        <w:t>Conformément aux articles 7 et 10 de la Constitution de l'UIT, le Conseil, en sa qualité d'organe directeur de l'Union, agit au nom de la Conférence de plénipotentiaires dans l'intervalle qui sépare les Conférences de plénipotentiaires, dans les limites des pouvoirs qui lui sont conférés.</w:t>
      </w:r>
    </w:p>
    <w:p w14:paraId="690D4A02" w14:textId="4D797659" w:rsidR="0020187F" w:rsidRPr="005D12E0" w:rsidRDefault="0020187F" w:rsidP="00683F6A">
      <w:pPr>
        <w:jc w:val="both"/>
      </w:pPr>
      <w:r w:rsidRPr="005D12E0">
        <w:t>Conformément à l'article 4 de la Convention (numéro 51), une session ordinaire du Conseil se tient chaque année au siège de l'Union.</w:t>
      </w:r>
    </w:p>
    <w:p w14:paraId="3DDD2FAE" w14:textId="77777777" w:rsidR="0020187F" w:rsidRPr="005D12E0" w:rsidRDefault="0020187F" w:rsidP="00683F6A">
      <w:pPr>
        <w:jc w:val="both"/>
      </w:pPr>
      <w:r w:rsidRPr="005D12E0">
        <w:t>En vertu de la Résolution 77 (Rév. Dubaï, 2018) de la Conférence de plénipotentiaires et de la Décision 612 (C19) du Conseil, le Conseil est invité à planifier ses sessions ordinaires sur plusieurs années, tout en procédant à des ajustements annuels.</w:t>
      </w:r>
    </w:p>
    <w:p w14:paraId="2044A746" w14:textId="4E3C982C" w:rsidR="00F462A4" w:rsidRPr="005D12E0" w:rsidRDefault="0020187F" w:rsidP="00683F6A">
      <w:pPr>
        <w:jc w:val="both"/>
      </w:pPr>
      <w:r w:rsidRPr="005D12E0">
        <w:t xml:space="preserve">Conformément à la Résolution 1333 (C11, dernière mod. C25), en particulier aux points 1, 2 et 5 du </w:t>
      </w:r>
      <w:r w:rsidRPr="005D12E0">
        <w:rPr>
          <w:i/>
          <w:iCs/>
        </w:rPr>
        <w:t>décide</w:t>
      </w:r>
      <w:r w:rsidRPr="005D12E0">
        <w:t>, les GTC jouent un rôle essentiel à l'appui du processus de prise de décisions, en examinant les questions relatives au Plan stratégique, au Plan financier et aux décisions des Conférences de plénipotentiaires et en donnant des avis au Conseil. Leurs réunions doivent être planifiées de manière efficace et rentable, dans les limites du budget alloué, au rythme d'une à deux réunions par an, qui peuvent, selon qu'il convient, être intégrées dans le temps alloué aux sessions annuelles du Conseil</w:t>
      </w:r>
      <w:r w:rsidR="00F462A4" w:rsidRPr="005D12E0">
        <w:t>.</w:t>
      </w:r>
    </w:p>
    <w:p w14:paraId="04D1D9BD" w14:textId="4299C0D3" w:rsidR="00F462A4" w:rsidRPr="005D12E0" w:rsidRDefault="00F462A4" w:rsidP="00F462A4">
      <w:pPr>
        <w:pStyle w:val="Heading1"/>
      </w:pPr>
      <w:r w:rsidRPr="005D12E0">
        <w:t>2</w:t>
      </w:r>
      <w:r w:rsidRPr="005D12E0">
        <w:tab/>
      </w:r>
      <w:r w:rsidR="0020187F" w:rsidRPr="005D12E0">
        <w:t>Contraintes liées à la continuité des travaux du Conseil et des GTC pendant la période 2027-2029</w:t>
      </w:r>
    </w:p>
    <w:p w14:paraId="5C89208C" w14:textId="5C3E87F2" w:rsidR="0020187F" w:rsidRPr="005D12E0" w:rsidRDefault="0020187F" w:rsidP="00683F6A">
      <w:pPr>
        <w:jc w:val="both"/>
      </w:pPr>
      <w:r w:rsidRPr="005D12E0">
        <w:rPr>
          <w:b/>
          <w:bCs/>
        </w:rPr>
        <w:t>Il est à noter que</w:t>
      </w:r>
      <w:r w:rsidRPr="005D12E0">
        <w:t>, conformément à la Décision 640 (C24), le Conseil a adopté le calendrier pour le projet de nouveau bâtiment Varembé, dont la mise en œuvre devrait commencer en</w:t>
      </w:r>
      <w:r w:rsidR="00511780" w:rsidRPr="005D12E0">
        <w:t> </w:t>
      </w:r>
      <w:r w:rsidRPr="005D12E0">
        <w:t>2028, et que les installations prévues à l'heure actuelle pour tenir des réunions au siège de l'UIT devraient rester disponibles jusqu'à la fin de 2027, mais pourraient ne plus l'être à partir de juin 2028 et éventuellement tout au long de l'année 2029 en raison de travaux de démolition et de reconstruction.</w:t>
      </w:r>
    </w:p>
    <w:p w14:paraId="13B27394" w14:textId="44898EAB" w:rsidR="0020187F" w:rsidRPr="005D12E0" w:rsidRDefault="0020187F" w:rsidP="00683F6A">
      <w:pPr>
        <w:jc w:val="both"/>
      </w:pPr>
      <w:r w:rsidRPr="005D12E0">
        <w:rPr>
          <w:b/>
          <w:bCs/>
        </w:rPr>
        <w:t>Il convient en outre de noter que</w:t>
      </w:r>
      <w:r w:rsidRPr="005D12E0">
        <w:t>, par sa Décision 643 (C25), le Conseil a fixé les dates et la durée de ses sessions pour 2027 et 2028, ainsi que de la série de réunions des Groupes de travail du Conseil (GTC) et des Groupes d'experts (GE), en vue d'assurer une planification coordonnée des activités.</w:t>
      </w:r>
    </w:p>
    <w:p w14:paraId="4008AAA4" w14:textId="62E9D17B" w:rsidR="0020187F" w:rsidRPr="005D12E0" w:rsidRDefault="0020187F" w:rsidP="00683F6A">
      <w:pPr>
        <w:jc w:val="both"/>
      </w:pPr>
      <w:r w:rsidRPr="005D12E0">
        <w:rPr>
          <w:b/>
          <w:bCs/>
        </w:rPr>
        <w:t>Il convient également de relever</w:t>
      </w:r>
      <w:r w:rsidRPr="005D12E0">
        <w:t xml:space="preserve"> que le Secrétariat a examiné diverses options visant à assurer la continuité des activités pendant la période allant de juin 2028 à décembre 2029, et que, conformément au rapport qu'il a soumis au GTC-FHR à sa 21ème réunion (</w:t>
      </w:r>
      <w:r w:rsidRPr="005D12E0">
        <w:rPr>
          <w:rStyle w:val="Hyperlink"/>
          <w:rFonts w:eastAsia="Times New Roman" w:cs="Times New Roman"/>
          <w:szCs w:val="20"/>
        </w:rPr>
        <w:t>Document</w:t>
      </w:r>
      <w:r w:rsidR="00626F06" w:rsidRPr="005D12E0">
        <w:rPr>
          <w:rStyle w:val="Hyperlink"/>
          <w:rFonts w:eastAsia="Times New Roman" w:cs="Times New Roman"/>
          <w:szCs w:val="20"/>
        </w:rPr>
        <w:t> </w:t>
      </w:r>
      <w:hyperlink r:id="rId11" w:history="1">
        <w:r w:rsidRPr="005D12E0">
          <w:rPr>
            <w:rStyle w:val="Hyperlink"/>
            <w:rFonts w:eastAsia="Times New Roman" w:cs="Times New Roman"/>
            <w:szCs w:val="20"/>
          </w:rPr>
          <w:t>CWG-FHR-22/13</w:t>
        </w:r>
      </w:hyperlink>
      <w:r w:rsidRPr="005D12E0">
        <w:t>), il est envisagé que les sessions de 2028 et 2029 du Conseil se tiennent en juin au siège de l'UIT à Genève, si le calendrier de construction est respecté.</w:t>
      </w:r>
    </w:p>
    <w:p w14:paraId="2787200F" w14:textId="7E7E736E" w:rsidR="0020187F" w:rsidRPr="005D12E0" w:rsidRDefault="0020187F" w:rsidP="00683F6A">
      <w:pPr>
        <w:jc w:val="both"/>
      </w:pPr>
      <w:r w:rsidRPr="005D12E0">
        <w:rPr>
          <w:b/>
          <w:bCs/>
        </w:rPr>
        <w:t>Il est en outre à noter</w:t>
      </w:r>
      <w:r w:rsidRPr="005D12E0">
        <w:t xml:space="preserve"> que le Secrétariat général revient sur la période d'indisponibilité des locaux de l'UIT et indique que les travaux de démolition auront lieu du 1er octobre 2028 au</w:t>
      </w:r>
      <w:r w:rsidR="00511780" w:rsidRPr="005D12E0">
        <w:t> </w:t>
      </w:r>
      <w:r w:rsidRPr="005D12E0">
        <w:t xml:space="preserve">31 août 2029, ainsi qu'il ressort du </w:t>
      </w:r>
      <w:hyperlink r:id="rId12" w:history="1">
        <w:r w:rsidRPr="005D12E0">
          <w:rPr>
            <w:rStyle w:val="Hyperlink"/>
            <w:rFonts w:eastAsia="Times New Roman" w:cs="Times New Roman"/>
            <w:szCs w:val="20"/>
          </w:rPr>
          <w:t>Document C26/65</w:t>
        </w:r>
      </w:hyperlink>
      <w:r w:rsidRPr="005D12E0">
        <w:t xml:space="preserve"> soumis à la Commission permanente de l'administration et de la gestion (ADM). À ce sujet, il est proposé de maintenir la session de 2028 du Conseil dans la salle Popov du 13 au 23 juin et de reporter la session de 2029 à septembre. Toutefois, le document en question ne contient pas suffisamment de précisions quant à l'ampleur des perturbations que la phase de</w:t>
      </w:r>
      <w:r w:rsidR="00683F6A">
        <w:t xml:space="preserve"> </w:t>
      </w:r>
      <w:r w:rsidRPr="005D12E0">
        <w:t>construction pourrait causer à la tenue et au déroulement des réunions dans le bâtiment</w:t>
      </w:r>
      <w:r w:rsidR="00511780" w:rsidRPr="005D12E0">
        <w:t> </w:t>
      </w:r>
      <w:r w:rsidRPr="005D12E0">
        <w:t xml:space="preserve">Montbrillant et celui de la Tour, ce qui </w:t>
      </w:r>
      <w:r w:rsidRPr="005D12E0">
        <w:lastRenderedPageBreak/>
        <w:t>soulève des inquiétudes quant à la faisabilité pratique et aux conditions d'organisation des réunions pendant cette période.</w:t>
      </w:r>
    </w:p>
    <w:p w14:paraId="566CFB4C" w14:textId="77777777" w:rsidR="0020187F" w:rsidRPr="005D12E0" w:rsidRDefault="0020187F" w:rsidP="00683F6A">
      <w:pPr>
        <w:jc w:val="both"/>
      </w:pPr>
      <w:r w:rsidRPr="005D12E0">
        <w:rPr>
          <w:b/>
          <w:bCs/>
        </w:rPr>
        <w:t>Il convient</w:t>
      </w:r>
      <w:r w:rsidRPr="005D12E0">
        <w:t xml:space="preserve"> toutefois </w:t>
      </w:r>
      <w:r w:rsidRPr="005D12E0">
        <w:rPr>
          <w:b/>
          <w:bCs/>
        </w:rPr>
        <w:t>de reconnaître</w:t>
      </w:r>
      <w:r w:rsidRPr="005D12E0">
        <w:t xml:space="preserve"> que cette hypothèse reste incertaine et que des retards dans le calendrier de construction pourraient limiter les dispositions envisagées, notamment en raison de:</w:t>
      </w:r>
    </w:p>
    <w:p w14:paraId="2DF18720" w14:textId="40ECF918" w:rsidR="0020187F" w:rsidRPr="005D12E0" w:rsidRDefault="0020187F" w:rsidP="00683F6A">
      <w:pPr>
        <w:pStyle w:val="enumlev1"/>
        <w:jc w:val="both"/>
      </w:pPr>
      <w:r w:rsidRPr="005D12E0">
        <w:t>•</w:t>
      </w:r>
      <w:r w:rsidRPr="005D12E0">
        <w:tab/>
        <w:t>l'insuffisance du budget affecté à la location de salles de réunion à l'extérieur du siège de l'UIT;</w:t>
      </w:r>
    </w:p>
    <w:p w14:paraId="25D99B69" w14:textId="44FFE5C9" w:rsidR="0020187F" w:rsidRPr="005D12E0" w:rsidRDefault="0020187F" w:rsidP="00683F6A">
      <w:pPr>
        <w:pStyle w:val="enumlev1"/>
        <w:jc w:val="both"/>
      </w:pPr>
      <w:r w:rsidRPr="005D12E0">
        <w:t>•</w:t>
      </w:r>
      <w:r w:rsidRPr="005D12E0">
        <w:tab/>
        <w:t>la disponibilité limitée des installations à Genève, notamment en raison des travaux de rénovation du Centre International de conférences de Genève (CICG) qui seront effectués entre janvier et octobre 2028, les locaux n'étant mis à la disposition de l'UIT qu'en cas d'annulation par d'autres utilisateurs;</w:t>
      </w:r>
    </w:p>
    <w:p w14:paraId="282BDB3F" w14:textId="27741768" w:rsidR="0020187F" w:rsidRPr="005D12E0" w:rsidRDefault="0020187F" w:rsidP="00683F6A">
      <w:pPr>
        <w:pStyle w:val="enumlev1"/>
        <w:jc w:val="both"/>
      </w:pPr>
      <w:r w:rsidRPr="005D12E0">
        <w:t>•</w:t>
      </w:r>
      <w:r w:rsidRPr="005D12E0">
        <w:tab/>
        <w:t>la disponibilité incertaine des installations dans d'autres organisations internationales et le prix relativement élevé des autres sites.</w:t>
      </w:r>
    </w:p>
    <w:p w14:paraId="3586BA08" w14:textId="0788FC23" w:rsidR="0020187F" w:rsidRPr="005D12E0" w:rsidRDefault="0020187F" w:rsidP="00683F6A">
      <w:pPr>
        <w:jc w:val="both"/>
      </w:pPr>
      <w:r w:rsidRPr="005D12E0">
        <w:t xml:space="preserve">Il </w:t>
      </w:r>
      <w:r w:rsidRPr="005D12E0">
        <w:rPr>
          <w:b/>
          <w:bCs/>
        </w:rPr>
        <w:t>convient de saluer</w:t>
      </w:r>
      <w:r w:rsidRPr="005D12E0">
        <w:t xml:space="preserve"> les efforts soutenus inlassablement déployés par le Secrétariat général pour élaborer et promouvoir des solutions complexes afin d'assurer la continuité des activités des organes de l'Union et des réunions qui leur sont associées.</w:t>
      </w:r>
    </w:p>
    <w:p w14:paraId="0C9B9CF3" w14:textId="35E2AD60" w:rsidR="0020187F" w:rsidRPr="004859F9" w:rsidRDefault="0020187F" w:rsidP="004859F9">
      <w:pPr>
        <w:pStyle w:val="Headingb"/>
      </w:pPr>
      <w:proofErr w:type="gramStart"/>
      <w:r w:rsidRPr="005D12E0">
        <w:t>Proposition</w:t>
      </w:r>
      <w:r w:rsidR="005D12E0" w:rsidRPr="005D12E0">
        <w:t>:</w:t>
      </w:r>
      <w:proofErr w:type="gramEnd"/>
    </w:p>
    <w:p w14:paraId="48E0DA2A" w14:textId="2CFC1A02" w:rsidR="0020187F" w:rsidRPr="005D12E0" w:rsidRDefault="0020187F" w:rsidP="00683F6A">
      <w:pPr>
        <w:jc w:val="both"/>
      </w:pPr>
      <w:r w:rsidRPr="005D12E0">
        <w:t xml:space="preserve">Compte tenu des contraintes décelées et afin d'assurer la continuité des réunions du Conseil et des Groupes de travail du Conseil (GTC) conformément aux dispositions de la Convention, les propositions suivantes sont soumises au Conseil pour </w:t>
      </w:r>
      <w:proofErr w:type="gramStart"/>
      <w:r w:rsidRPr="005D12E0">
        <w:t>examen:</w:t>
      </w:r>
      <w:proofErr w:type="gramEnd"/>
    </w:p>
    <w:p w14:paraId="751E4676" w14:textId="4F34FDE0" w:rsidR="0020187F" w:rsidRPr="005D12E0" w:rsidRDefault="0020187F" w:rsidP="00E97CF6">
      <w:pPr>
        <w:pStyle w:val="Headingb"/>
      </w:pPr>
      <w:r w:rsidRPr="005D12E0">
        <w:t>1</w:t>
      </w:r>
      <w:r w:rsidR="00E46166" w:rsidRPr="005D12E0">
        <w:t>)</w:t>
      </w:r>
      <w:r w:rsidR="00E46166" w:rsidRPr="005D12E0">
        <w:tab/>
      </w:r>
      <w:r w:rsidRPr="005D12E0">
        <w:t>Création d'un cadre d'orientation précoce et mobilisation des ressources</w:t>
      </w:r>
    </w:p>
    <w:p w14:paraId="25820877" w14:textId="70E72EB2" w:rsidR="0020187F" w:rsidRPr="005D12E0" w:rsidRDefault="0020187F" w:rsidP="00683F6A">
      <w:pPr>
        <w:jc w:val="both"/>
      </w:pPr>
      <w:r w:rsidRPr="005D12E0">
        <w:t>Le Conseil voudra peut-être réaffirmer l'importance de tenir ses sessions ordinaires à</w:t>
      </w:r>
      <w:r w:rsidR="005D12E0" w:rsidRPr="005D12E0">
        <w:t> </w:t>
      </w:r>
      <w:r w:rsidRPr="005D12E0">
        <w:t>Genève, conformément à l'article 4 de la Convention (numéro 51), et veiller à ce que les dispositions envisagées restent conformes à ce principe.</w:t>
      </w:r>
    </w:p>
    <w:p w14:paraId="088B90C7" w14:textId="77777777" w:rsidR="0020187F" w:rsidRPr="005D12E0" w:rsidRDefault="0020187F" w:rsidP="00683F6A">
      <w:pPr>
        <w:jc w:val="both"/>
      </w:pPr>
      <w:r w:rsidRPr="005D12E0">
        <w:t>À cet égard, le Conseil souhaitera peut-être examiner, à sa session de 2026:</w:t>
      </w:r>
    </w:p>
    <w:p w14:paraId="6D3DEA12" w14:textId="00C6AE55" w:rsidR="0020187F" w:rsidRPr="005D12E0" w:rsidRDefault="00511780" w:rsidP="00683F6A">
      <w:pPr>
        <w:pStyle w:val="enumlev1"/>
        <w:jc w:val="both"/>
      </w:pPr>
      <w:r w:rsidRPr="005D12E0">
        <w:t>–</w:t>
      </w:r>
      <w:r w:rsidR="0020187F" w:rsidRPr="005D12E0">
        <w:tab/>
        <w:t>la définition éventuelle des modalités d'organisation des sessions et des réunions des</w:t>
      </w:r>
      <w:r w:rsidR="005D12E0" w:rsidRPr="005D12E0">
        <w:t> </w:t>
      </w:r>
      <w:r w:rsidR="0020187F" w:rsidRPr="005D12E0">
        <w:t>GTC pour la période 2028-2029, y compris, le cas échéant, des procédures en cas de perturbation du calendrier de construction du siège;</w:t>
      </w:r>
    </w:p>
    <w:p w14:paraId="7B49B530" w14:textId="572CB6E5" w:rsidR="0020187F" w:rsidRPr="005D12E0" w:rsidRDefault="00511780" w:rsidP="00683F6A">
      <w:pPr>
        <w:pStyle w:val="enumlev1"/>
        <w:jc w:val="both"/>
      </w:pPr>
      <w:r w:rsidRPr="005D12E0">
        <w:t>–</w:t>
      </w:r>
      <w:r w:rsidR="0020187F" w:rsidRPr="005D12E0">
        <w:tab/>
        <w:t>l'affectation éventuelle de ressources résultant de l'appui des pays hôtes, ainsi que toute contribution ou tout don ou parrainage disponibles, ou du budget de l'UIT au fonds pour la continuité des activités, en vue de couvrir les coûts supplémentaires liés à l'organisation de réunions en dehors du siège de l'UIT.</w:t>
      </w:r>
    </w:p>
    <w:p w14:paraId="55B8EDFE" w14:textId="1578287E" w:rsidR="0020187F" w:rsidRPr="005D12E0" w:rsidRDefault="0020187F" w:rsidP="00683F6A">
      <w:pPr>
        <w:pStyle w:val="Headingb"/>
        <w:jc w:val="both"/>
      </w:pPr>
      <w:r w:rsidRPr="005D12E0">
        <w:t>2</w:t>
      </w:r>
      <w:r w:rsidR="00E46166" w:rsidRPr="005D12E0">
        <w:t>)</w:t>
      </w:r>
      <w:r w:rsidR="00E46166" w:rsidRPr="005D12E0">
        <w:tab/>
      </w:r>
      <w:r w:rsidRPr="005D12E0">
        <w:t>Examen d'une méthode combinée et par étapes</w:t>
      </w:r>
    </w:p>
    <w:p w14:paraId="328F1758" w14:textId="37EA7EB5" w:rsidR="0020187F" w:rsidRPr="005D12E0" w:rsidRDefault="0020187F" w:rsidP="00683F6A">
      <w:pPr>
        <w:jc w:val="both"/>
      </w:pPr>
      <w:r w:rsidRPr="005D12E0">
        <w:t>Afin d'assurer la continuité des sessions du Conseil de l'UIT et des séries de réunions des</w:t>
      </w:r>
      <w:r w:rsidR="005D12E0" w:rsidRPr="005D12E0">
        <w:t> </w:t>
      </w:r>
      <w:r w:rsidRPr="005D12E0">
        <w:t>GTC, le Conseil voudra peut-être envisager d'adopter une méthode pragmatique par étapes visant, par ordre de priorité, à:</w:t>
      </w:r>
    </w:p>
    <w:p w14:paraId="367F5E4A" w14:textId="363B5450" w:rsidR="0020187F" w:rsidRPr="005D12E0" w:rsidRDefault="00511780" w:rsidP="00683F6A">
      <w:pPr>
        <w:pStyle w:val="enumlev1"/>
        <w:jc w:val="both"/>
      </w:pPr>
      <w:r w:rsidRPr="005D12E0">
        <w:t>–</w:t>
      </w:r>
      <w:r w:rsidR="0020187F" w:rsidRPr="005D12E0">
        <w:tab/>
        <w:t>maintenir la tenue des sessions du Conseil et des groupes de réunions des GTC au siège, dans la mesure du possible;</w:t>
      </w:r>
    </w:p>
    <w:p w14:paraId="4F51161F" w14:textId="2D1149F1" w:rsidR="0020187F" w:rsidRPr="005D12E0" w:rsidRDefault="00511780" w:rsidP="00683F6A">
      <w:pPr>
        <w:pStyle w:val="enumlev1"/>
        <w:jc w:val="both"/>
      </w:pPr>
      <w:r w:rsidRPr="005D12E0">
        <w:t>–</w:t>
      </w:r>
      <w:r w:rsidR="0020187F" w:rsidRPr="005D12E0">
        <w:tab/>
        <w:t>organiser ces réunions dans des installations situées à Genève;</w:t>
      </w:r>
    </w:p>
    <w:p w14:paraId="2A127F34" w14:textId="5A2CBAD9" w:rsidR="00F462A4" w:rsidRPr="005D12E0" w:rsidRDefault="00511780" w:rsidP="00683F6A">
      <w:pPr>
        <w:pStyle w:val="enumlev1"/>
        <w:jc w:val="both"/>
      </w:pPr>
      <w:r w:rsidRPr="005D12E0">
        <w:t>–</w:t>
      </w:r>
      <w:r w:rsidR="0020187F" w:rsidRPr="005D12E0">
        <w:tab/>
        <w:t xml:space="preserve">continuer d'étudier la possibilité de créer des centres de réunions avec l'appui des États Membres intéressés, conformément à la Résolution 5 (Kyoto, 1994) de la Conférence de </w:t>
      </w:r>
      <w:r w:rsidR="0020187F" w:rsidRPr="005D12E0">
        <w:lastRenderedPageBreak/>
        <w:t>plénipotentiaires, tout en veillant à ce que cela n'impose pas de contraintes supplémentaires aux États Membres concernés</w:t>
      </w:r>
      <w:r w:rsidR="00F462A4" w:rsidRPr="005D12E0">
        <w:t>.</w:t>
      </w:r>
    </w:p>
    <w:p w14:paraId="22A6B141" w14:textId="70402FF6" w:rsidR="00F462A4" w:rsidRPr="005D12E0" w:rsidRDefault="00F462A4" w:rsidP="005D12E0">
      <w:pPr>
        <w:pStyle w:val="Headingb"/>
        <w:ind w:left="567" w:hanging="567"/>
      </w:pPr>
      <w:r w:rsidRPr="005D12E0">
        <w:t>3</w:t>
      </w:r>
      <w:r w:rsidR="00E46166" w:rsidRPr="005D12E0">
        <w:t>)</w:t>
      </w:r>
      <w:r w:rsidR="00E46166" w:rsidRPr="005D12E0">
        <w:tab/>
      </w:r>
      <w:r w:rsidR="0020187F" w:rsidRPr="005D12E0">
        <w:t>Renforcement des bases financières et opérationnelles en vue d'assurer la continuité des activités</w:t>
      </w:r>
    </w:p>
    <w:p w14:paraId="6FEAD4E7" w14:textId="6EFBECC3" w:rsidR="00F462A4" w:rsidRPr="005D12E0" w:rsidRDefault="0020187F" w:rsidP="00683F6A">
      <w:pPr>
        <w:jc w:val="both"/>
      </w:pPr>
      <w:r w:rsidRPr="005D12E0">
        <w:t>Compte tenu de ce qui précède, le Conseil souhaitera peut-être envisager d'inviter le Secrétariat à</w:t>
      </w:r>
      <w:r w:rsidR="00F462A4" w:rsidRPr="005D12E0">
        <w:t>:</w:t>
      </w:r>
    </w:p>
    <w:p w14:paraId="1EF692A6" w14:textId="387DE3CE" w:rsidR="00F462A4" w:rsidRPr="005D12E0" w:rsidRDefault="00F462A4" w:rsidP="00683F6A">
      <w:pPr>
        <w:pStyle w:val="enumlev1"/>
        <w:jc w:val="both"/>
      </w:pPr>
      <w:r w:rsidRPr="005D12E0">
        <w:t>–</w:t>
      </w:r>
      <w:r w:rsidRPr="005D12E0">
        <w:tab/>
      </w:r>
      <w:r w:rsidR="0020187F" w:rsidRPr="005D12E0">
        <w:t>fournir, dans les meilleurs délais, une analyse financière détaillée et comparative des différentes options, y compris des estimations de coûts consolidées, une comparaison avec les coûts actuels liés au siège et une évaluation des options concernant les centres de réunion</w:t>
      </w:r>
      <w:r w:rsidRPr="005D12E0">
        <w:t>;</w:t>
      </w:r>
    </w:p>
    <w:p w14:paraId="7464BBC0" w14:textId="703197C7" w:rsidR="00F462A4" w:rsidRPr="005D12E0" w:rsidRDefault="00F462A4" w:rsidP="00683F6A">
      <w:pPr>
        <w:pStyle w:val="enumlev1"/>
        <w:jc w:val="both"/>
      </w:pPr>
      <w:r w:rsidRPr="005D12E0">
        <w:t>–</w:t>
      </w:r>
      <w:r w:rsidRPr="005D12E0">
        <w:tab/>
      </w:r>
      <w:r w:rsidR="0020187F" w:rsidRPr="005D12E0">
        <w:t>poursuivre la recherche et, si possible, la réservation anticipée de salles de réunion en Suisse et poursuivre les discussions sur la création de centres de réunion, en vue d'en informer le Conseil à sa session extraordinaire de 2026</w:t>
      </w:r>
      <w:r w:rsidRPr="005D12E0">
        <w:t>;</w:t>
      </w:r>
    </w:p>
    <w:p w14:paraId="57839F99" w14:textId="75B7DD86" w:rsidR="00F462A4" w:rsidRDefault="00F462A4" w:rsidP="00683F6A">
      <w:pPr>
        <w:pStyle w:val="enumlev1"/>
        <w:jc w:val="both"/>
      </w:pPr>
      <w:r w:rsidRPr="005D12E0">
        <w:t>–</w:t>
      </w:r>
      <w:r w:rsidRPr="005D12E0">
        <w:tab/>
      </w:r>
      <w:r w:rsidR="0020187F" w:rsidRPr="005D12E0">
        <w:t>étudier les mécanismes de financement complémentaires qui permettraient de remédier à l'insuffisance du budget consacré à la location de salles de réunion à l'extérieur du siège de l'UIT</w:t>
      </w:r>
      <w:r w:rsidRPr="005D12E0">
        <w:t>.</w:t>
      </w:r>
    </w:p>
    <w:p w14:paraId="4F4C2137" w14:textId="77777777" w:rsidR="00683F6A" w:rsidRPr="005D12E0" w:rsidRDefault="00683F6A" w:rsidP="00683F6A">
      <w:pPr>
        <w:pStyle w:val="enumlev1"/>
        <w:jc w:val="both"/>
      </w:pPr>
    </w:p>
    <w:p w14:paraId="33F6A9E0" w14:textId="77777777" w:rsidR="00897553" w:rsidRPr="005D12E0" w:rsidRDefault="006A11AE" w:rsidP="002D2336">
      <w:pPr>
        <w:jc w:val="center"/>
      </w:pPr>
      <w:r w:rsidRPr="005D12E0">
        <w:t>______________</w:t>
      </w:r>
    </w:p>
    <w:sectPr w:rsidR="00897553" w:rsidRPr="005D12E0" w:rsidSect="00D72F49">
      <w:headerReference w:type="even" r:id="rId13"/>
      <w:footerReference w:type="even" r:id="rId14"/>
      <w:footerReference w:type="default" r:id="rId15"/>
      <w:headerReference w:type="first" r:id="rId16"/>
      <w:footerReference w:type="first" r:id="rId1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B826" w14:textId="77777777" w:rsidR="00E45BF6" w:rsidRDefault="00E45BF6">
      <w:r>
        <w:separator/>
      </w:r>
    </w:p>
  </w:endnote>
  <w:endnote w:type="continuationSeparator" w:id="0">
    <w:p w14:paraId="3C2F18DC" w14:textId="77777777" w:rsidR="00E45BF6" w:rsidRDefault="00E4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41F8" w14:textId="3F228C66" w:rsidR="00732045" w:rsidRDefault="00E45BF6">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801705">
      <w:t>24.04.26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C768101" w14:textId="77777777" w:rsidTr="00E31DCE">
      <w:trPr>
        <w:jc w:val="center"/>
      </w:trPr>
      <w:tc>
        <w:tcPr>
          <w:tcW w:w="1803" w:type="dxa"/>
          <w:vAlign w:val="center"/>
        </w:tcPr>
        <w:p w14:paraId="0673FB76" w14:textId="50BB65D4" w:rsidR="00A51849" w:rsidRDefault="0090653D" w:rsidP="00A51849">
          <w:pPr>
            <w:pStyle w:val="Header"/>
            <w:jc w:val="left"/>
            <w:rPr>
              <w:noProof/>
            </w:rPr>
          </w:pPr>
          <w:r>
            <w:rPr>
              <w:noProof/>
            </w:rPr>
            <w:t>26009</w:t>
          </w:r>
          <w:r w:rsidR="005D12E0">
            <w:rPr>
              <w:noProof/>
            </w:rPr>
            <w:t>8</w:t>
          </w:r>
          <w:r>
            <w:rPr>
              <w:noProof/>
            </w:rPr>
            <w:t>2</w:t>
          </w:r>
        </w:p>
      </w:tc>
      <w:tc>
        <w:tcPr>
          <w:tcW w:w="8261" w:type="dxa"/>
        </w:tcPr>
        <w:p w14:paraId="2A8286B4" w14:textId="63A92A1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003EC8">
            <w:rPr>
              <w:bCs/>
            </w:rPr>
            <w:t>10</w:t>
          </w:r>
          <w:r w:rsidR="0020187F">
            <w:rPr>
              <w:bCs/>
            </w:rPr>
            <w:t>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93FE67F"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9414F63" w14:textId="77777777" w:rsidTr="00E31DCE">
      <w:trPr>
        <w:jc w:val="center"/>
      </w:trPr>
      <w:tc>
        <w:tcPr>
          <w:tcW w:w="1803" w:type="dxa"/>
          <w:vAlign w:val="center"/>
        </w:tcPr>
        <w:p w14:paraId="492C741C"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496F2DEA" w14:textId="1E6D2A0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003EC8">
            <w:rPr>
              <w:bCs/>
            </w:rPr>
            <w:t>10</w:t>
          </w:r>
          <w:r w:rsidR="00511780">
            <w:rPr>
              <w:bCs/>
            </w:rPr>
            <w:t>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98F5996"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2442" w14:textId="77777777" w:rsidR="00E45BF6" w:rsidRDefault="00E45BF6">
      <w:r>
        <w:t>____________________</w:t>
      </w:r>
    </w:p>
  </w:footnote>
  <w:footnote w:type="continuationSeparator" w:id="0">
    <w:p w14:paraId="2CDE7C50" w14:textId="77777777" w:rsidR="00E45BF6" w:rsidRDefault="00E4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32F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87657F1"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C904"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1124618570">
    <w:abstractNumId w:val="9"/>
  </w:num>
  <w:num w:numId="2" w16cid:durableId="780421959">
    <w:abstractNumId w:val="7"/>
  </w:num>
  <w:num w:numId="3" w16cid:durableId="904491868">
    <w:abstractNumId w:val="6"/>
  </w:num>
  <w:num w:numId="4" w16cid:durableId="877743025">
    <w:abstractNumId w:val="5"/>
  </w:num>
  <w:num w:numId="5" w16cid:durableId="1613704750">
    <w:abstractNumId w:val="4"/>
  </w:num>
  <w:num w:numId="6" w16cid:durableId="565796908">
    <w:abstractNumId w:val="8"/>
  </w:num>
  <w:num w:numId="7" w16cid:durableId="1009255407">
    <w:abstractNumId w:val="3"/>
  </w:num>
  <w:num w:numId="8" w16cid:durableId="1261522879">
    <w:abstractNumId w:val="2"/>
  </w:num>
  <w:num w:numId="9" w16cid:durableId="167332142">
    <w:abstractNumId w:val="1"/>
  </w:num>
  <w:num w:numId="10" w16cid:durableId="1376465977">
    <w:abstractNumId w:val="0"/>
  </w:num>
  <w:num w:numId="11" w16cid:durableId="634916298">
    <w:abstractNumId w:val="8"/>
  </w:num>
  <w:num w:numId="12" w16cid:durableId="443381911">
    <w:abstractNumId w:val="3"/>
  </w:num>
  <w:num w:numId="13" w16cid:durableId="2118138446">
    <w:abstractNumId w:val="2"/>
  </w:num>
  <w:num w:numId="14" w16cid:durableId="1314605758">
    <w:abstractNumId w:val="1"/>
  </w:num>
  <w:num w:numId="15" w16cid:durableId="117395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F6"/>
    <w:rsid w:val="00003EC8"/>
    <w:rsid w:val="00076A2C"/>
    <w:rsid w:val="000D0D0A"/>
    <w:rsid w:val="00103163"/>
    <w:rsid w:val="00106B19"/>
    <w:rsid w:val="001133EF"/>
    <w:rsid w:val="0011538D"/>
    <w:rsid w:val="00115D93"/>
    <w:rsid w:val="001247A8"/>
    <w:rsid w:val="001342E0"/>
    <w:rsid w:val="001370B2"/>
    <w:rsid w:val="001378C0"/>
    <w:rsid w:val="001658F9"/>
    <w:rsid w:val="0018694A"/>
    <w:rsid w:val="0019129B"/>
    <w:rsid w:val="001A3287"/>
    <w:rsid w:val="001A6508"/>
    <w:rsid w:val="001D4C31"/>
    <w:rsid w:val="001E4D21"/>
    <w:rsid w:val="0020187F"/>
    <w:rsid w:val="00207CD1"/>
    <w:rsid w:val="00226657"/>
    <w:rsid w:val="002477A2"/>
    <w:rsid w:val="00263A51"/>
    <w:rsid w:val="00267E02"/>
    <w:rsid w:val="00271321"/>
    <w:rsid w:val="00277DEA"/>
    <w:rsid w:val="002803C7"/>
    <w:rsid w:val="002A5D44"/>
    <w:rsid w:val="002C3F32"/>
    <w:rsid w:val="002C4E3D"/>
    <w:rsid w:val="002D2336"/>
    <w:rsid w:val="002E0BC4"/>
    <w:rsid w:val="002F1B76"/>
    <w:rsid w:val="0033568E"/>
    <w:rsid w:val="00355FF5"/>
    <w:rsid w:val="00361350"/>
    <w:rsid w:val="003B6CB7"/>
    <w:rsid w:val="003C3FAE"/>
    <w:rsid w:val="004038CB"/>
    <w:rsid w:val="0040546F"/>
    <w:rsid w:val="004177BD"/>
    <w:rsid w:val="0042404A"/>
    <w:rsid w:val="0044618F"/>
    <w:rsid w:val="00465C35"/>
    <w:rsid w:val="0046769A"/>
    <w:rsid w:val="00475FB3"/>
    <w:rsid w:val="004859F9"/>
    <w:rsid w:val="004C37A9"/>
    <w:rsid w:val="004D1D50"/>
    <w:rsid w:val="004F259E"/>
    <w:rsid w:val="004F633A"/>
    <w:rsid w:val="00504C7F"/>
    <w:rsid w:val="00511780"/>
    <w:rsid w:val="00511F1D"/>
    <w:rsid w:val="005143E6"/>
    <w:rsid w:val="00520F36"/>
    <w:rsid w:val="00524E8D"/>
    <w:rsid w:val="00534E13"/>
    <w:rsid w:val="00540615"/>
    <w:rsid w:val="00540A6D"/>
    <w:rsid w:val="00553536"/>
    <w:rsid w:val="00566679"/>
    <w:rsid w:val="00571EEA"/>
    <w:rsid w:val="00575417"/>
    <w:rsid w:val="005768E1"/>
    <w:rsid w:val="005B1938"/>
    <w:rsid w:val="005C3890"/>
    <w:rsid w:val="005D12E0"/>
    <w:rsid w:val="005F7BFE"/>
    <w:rsid w:val="00600017"/>
    <w:rsid w:val="00602682"/>
    <w:rsid w:val="006235CA"/>
    <w:rsid w:val="0062366E"/>
    <w:rsid w:val="00626F06"/>
    <w:rsid w:val="006643AB"/>
    <w:rsid w:val="00683F6A"/>
    <w:rsid w:val="006A11AE"/>
    <w:rsid w:val="006B224B"/>
    <w:rsid w:val="006C41C4"/>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01705"/>
    <w:rsid w:val="0082299A"/>
    <w:rsid w:val="0083391C"/>
    <w:rsid w:val="0084546D"/>
    <w:rsid w:val="00854B7D"/>
    <w:rsid w:val="00861D73"/>
    <w:rsid w:val="00882919"/>
    <w:rsid w:val="00897553"/>
    <w:rsid w:val="008A4E87"/>
    <w:rsid w:val="008D76E6"/>
    <w:rsid w:val="0090653D"/>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068F8"/>
    <w:rsid w:val="00B27B00"/>
    <w:rsid w:val="00B309F9"/>
    <w:rsid w:val="00B32B60"/>
    <w:rsid w:val="00B51005"/>
    <w:rsid w:val="00B61619"/>
    <w:rsid w:val="00BB38C1"/>
    <w:rsid w:val="00BB4545"/>
    <w:rsid w:val="00BD5873"/>
    <w:rsid w:val="00BF4B60"/>
    <w:rsid w:val="00C049D7"/>
    <w:rsid w:val="00C04BE3"/>
    <w:rsid w:val="00C0599D"/>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5BF6"/>
    <w:rsid w:val="00E46166"/>
    <w:rsid w:val="00E47427"/>
    <w:rsid w:val="00E93668"/>
    <w:rsid w:val="00E95647"/>
    <w:rsid w:val="00E97CF6"/>
    <w:rsid w:val="00EB6350"/>
    <w:rsid w:val="00ED6119"/>
    <w:rsid w:val="00ED799B"/>
    <w:rsid w:val="00F15B57"/>
    <w:rsid w:val="00F35EF4"/>
    <w:rsid w:val="00F37FE5"/>
    <w:rsid w:val="00F427DB"/>
    <w:rsid w:val="00F462A4"/>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8BB5D"/>
  <w15:docId w15:val="{85B8544F-899C-4486-8664-9256A6BC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0/f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md/S25-CL-C-0118/fr" TargetMode="External"/><Relationship Id="rId12" Type="http://schemas.openxmlformats.org/officeDocument/2006/relationships/hyperlink" Target="https://www.itu.int/md/S26-CL-C-0065/fr"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6-CWGFHR22-C-0013/f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md/S25-CL-C-0122/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24-CL-C-0132/fr"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5</TotalTime>
  <Pages>4</Pages>
  <Words>1377</Words>
  <Characters>7734</Characters>
  <Application>Microsoft Office Word</Application>
  <DocSecurity>0</DocSecurity>
  <Lines>322</Lines>
  <Paragraphs>182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8929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Dates et durée proposées pour les sessions de 2027, 2028 et 2029 du Conseil et pour la série de réunions des GTC pour la période 2027-2029</dc:title>
  <dc:subject>Conseil 2026 de l'UIT</dc:subject>
  <cp:keywords>C26; C2026; Council 2026; PP26</cp:keywords>
  <dc:description/>
  <cp:lastPrinted>2000-07-18T08:55:00Z</cp:lastPrinted>
  <dcterms:created xsi:type="dcterms:W3CDTF">2026-04-29T16:40:00Z</dcterms:created>
  <dcterms:modified xsi:type="dcterms:W3CDTF">2026-04-29T16:45:00Z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