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AD3606" w:rsidRPr="00C0458D" w14:paraId="33984A52" w14:textId="77777777" w:rsidTr="00954C49">
        <w:trPr>
          <w:cantSplit/>
          <w:trHeight w:val="23"/>
        </w:trPr>
        <w:tc>
          <w:tcPr>
            <w:tcW w:w="3969" w:type="dxa"/>
            <w:vMerge w:val="restart"/>
            <w:tcMar>
              <w:left w:w="0" w:type="dxa"/>
            </w:tcMar>
          </w:tcPr>
          <w:p w14:paraId="7B3EDC5A" w14:textId="5ACD42A2" w:rsidR="00AD3606" w:rsidRPr="00C0458D" w:rsidRDefault="00AD3606" w:rsidP="00954C49">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r w:rsidRPr="00C0458D">
              <w:rPr>
                <w:b/>
              </w:rPr>
              <w:t xml:space="preserve">Agenda item: </w:t>
            </w:r>
            <w:r w:rsidR="006551EC">
              <w:rPr>
                <w:b/>
              </w:rPr>
              <w:t xml:space="preserve">PL </w:t>
            </w:r>
            <w:r w:rsidR="009B2E90">
              <w:rPr>
                <w:b/>
              </w:rPr>
              <w:t>3</w:t>
            </w:r>
          </w:p>
        </w:tc>
        <w:tc>
          <w:tcPr>
            <w:tcW w:w="5245" w:type="dxa"/>
          </w:tcPr>
          <w:p w14:paraId="35986CF2" w14:textId="0F82240F" w:rsidR="00AD3606" w:rsidRPr="00C0458D" w:rsidRDefault="00AD3606" w:rsidP="00954C49">
            <w:pPr>
              <w:tabs>
                <w:tab w:val="left" w:pos="851"/>
              </w:tabs>
              <w:spacing w:before="0" w:line="240" w:lineRule="atLeast"/>
              <w:jc w:val="right"/>
              <w:rPr>
                <w:b/>
              </w:rPr>
            </w:pPr>
            <w:r w:rsidRPr="00C0458D">
              <w:rPr>
                <w:b/>
              </w:rPr>
              <w:t>Document C2</w:t>
            </w:r>
            <w:r w:rsidR="00DE532B">
              <w:rPr>
                <w:b/>
              </w:rPr>
              <w:t>6</w:t>
            </w:r>
            <w:r w:rsidRPr="00C0458D">
              <w:rPr>
                <w:b/>
              </w:rPr>
              <w:t>/</w:t>
            </w:r>
            <w:r w:rsidR="006551EC">
              <w:rPr>
                <w:b/>
              </w:rPr>
              <w:t>106</w:t>
            </w:r>
            <w:r w:rsidRPr="00C0458D">
              <w:rPr>
                <w:b/>
              </w:rPr>
              <w:t>-E</w:t>
            </w:r>
          </w:p>
        </w:tc>
      </w:tr>
      <w:tr w:rsidR="00AD3606" w:rsidRPr="00C0458D" w14:paraId="3CF03AAD" w14:textId="77777777" w:rsidTr="00954C49">
        <w:trPr>
          <w:cantSplit/>
        </w:trPr>
        <w:tc>
          <w:tcPr>
            <w:tcW w:w="3969" w:type="dxa"/>
            <w:vMerge/>
          </w:tcPr>
          <w:p w14:paraId="7467ED6C" w14:textId="77777777" w:rsidR="00AD3606" w:rsidRPr="00C0458D" w:rsidRDefault="00AD3606" w:rsidP="00954C49">
            <w:pPr>
              <w:tabs>
                <w:tab w:val="left" w:pos="851"/>
              </w:tabs>
              <w:spacing w:line="240" w:lineRule="atLeast"/>
              <w:rPr>
                <w:b/>
              </w:rPr>
            </w:pPr>
            <w:bookmarkStart w:id="6" w:name="ddate" w:colFirst="1" w:colLast="1"/>
            <w:bookmarkEnd w:id="0"/>
            <w:bookmarkEnd w:id="1"/>
          </w:p>
        </w:tc>
        <w:tc>
          <w:tcPr>
            <w:tcW w:w="5245" w:type="dxa"/>
          </w:tcPr>
          <w:p w14:paraId="520C4CEE" w14:textId="0EAE19CF" w:rsidR="00AD3606" w:rsidRPr="00C0458D" w:rsidRDefault="002B4A0D" w:rsidP="00954C49">
            <w:pPr>
              <w:tabs>
                <w:tab w:val="left" w:pos="851"/>
              </w:tabs>
              <w:spacing w:before="0"/>
              <w:jc w:val="right"/>
              <w:rPr>
                <w:b/>
              </w:rPr>
            </w:pPr>
            <w:r>
              <w:rPr>
                <w:b/>
              </w:rPr>
              <w:t xml:space="preserve">15 </w:t>
            </w:r>
            <w:r w:rsidR="00473F13">
              <w:rPr>
                <w:b/>
              </w:rPr>
              <w:t>April 2026</w:t>
            </w:r>
          </w:p>
        </w:tc>
      </w:tr>
      <w:tr w:rsidR="00AD3606" w:rsidRPr="00C0458D" w14:paraId="647F4C7A" w14:textId="77777777" w:rsidTr="00954C49">
        <w:trPr>
          <w:cantSplit/>
          <w:trHeight w:val="23"/>
        </w:trPr>
        <w:tc>
          <w:tcPr>
            <w:tcW w:w="3969" w:type="dxa"/>
            <w:vMerge/>
          </w:tcPr>
          <w:p w14:paraId="6707CE1F" w14:textId="77777777" w:rsidR="00AD3606" w:rsidRPr="00C0458D" w:rsidRDefault="00AD3606" w:rsidP="00954C49">
            <w:pPr>
              <w:tabs>
                <w:tab w:val="left" w:pos="851"/>
              </w:tabs>
              <w:spacing w:line="240" w:lineRule="atLeast"/>
              <w:rPr>
                <w:b/>
              </w:rPr>
            </w:pPr>
            <w:bookmarkStart w:id="7" w:name="dorlang" w:colFirst="1" w:colLast="1"/>
            <w:bookmarkEnd w:id="6"/>
          </w:p>
        </w:tc>
        <w:tc>
          <w:tcPr>
            <w:tcW w:w="5245" w:type="dxa"/>
          </w:tcPr>
          <w:p w14:paraId="317B5BD8" w14:textId="77777777" w:rsidR="00AD3606" w:rsidRPr="00C0458D" w:rsidRDefault="00AD3606" w:rsidP="00954C49">
            <w:pPr>
              <w:tabs>
                <w:tab w:val="left" w:pos="851"/>
              </w:tabs>
              <w:spacing w:before="0" w:line="240" w:lineRule="atLeast"/>
              <w:jc w:val="right"/>
              <w:rPr>
                <w:b/>
              </w:rPr>
            </w:pPr>
            <w:r w:rsidRPr="00C0458D">
              <w:rPr>
                <w:b/>
              </w:rPr>
              <w:t>Original: English</w:t>
            </w:r>
          </w:p>
        </w:tc>
      </w:tr>
      <w:tr w:rsidR="00472BAD" w:rsidRPr="00C0458D" w14:paraId="1A0DF624" w14:textId="77777777" w:rsidTr="00954C49">
        <w:trPr>
          <w:cantSplit/>
          <w:trHeight w:val="23"/>
        </w:trPr>
        <w:tc>
          <w:tcPr>
            <w:tcW w:w="3969" w:type="dxa"/>
          </w:tcPr>
          <w:p w14:paraId="02A5CA74" w14:textId="77777777" w:rsidR="00472BAD" w:rsidRPr="00C0458D" w:rsidRDefault="00472BAD" w:rsidP="00954C49">
            <w:pPr>
              <w:tabs>
                <w:tab w:val="left" w:pos="851"/>
              </w:tabs>
              <w:spacing w:line="240" w:lineRule="atLeast"/>
              <w:rPr>
                <w:b/>
              </w:rPr>
            </w:pPr>
          </w:p>
        </w:tc>
        <w:tc>
          <w:tcPr>
            <w:tcW w:w="5245" w:type="dxa"/>
          </w:tcPr>
          <w:p w14:paraId="2D54675C" w14:textId="77777777" w:rsidR="00472BAD" w:rsidRPr="00C0458D" w:rsidRDefault="00472BAD" w:rsidP="00954C49">
            <w:pPr>
              <w:tabs>
                <w:tab w:val="left" w:pos="851"/>
              </w:tabs>
              <w:spacing w:before="0" w:line="240" w:lineRule="atLeast"/>
              <w:jc w:val="right"/>
              <w:rPr>
                <w:b/>
              </w:rPr>
            </w:pPr>
          </w:p>
        </w:tc>
      </w:tr>
      <w:tr w:rsidR="00AD3606" w:rsidRPr="006551EC" w14:paraId="6D437DFB" w14:textId="77777777" w:rsidTr="00954C49">
        <w:trPr>
          <w:cantSplit/>
        </w:trPr>
        <w:tc>
          <w:tcPr>
            <w:tcW w:w="9214" w:type="dxa"/>
            <w:gridSpan w:val="2"/>
            <w:tcMar>
              <w:left w:w="0" w:type="dxa"/>
            </w:tcMar>
          </w:tcPr>
          <w:p w14:paraId="24A872A9" w14:textId="1E006C51" w:rsidR="00AD3606" w:rsidRPr="00A316C8" w:rsidRDefault="006551EC" w:rsidP="00007D1D">
            <w:pPr>
              <w:pStyle w:val="Source"/>
              <w:framePr w:hSpace="0" w:wrap="auto" w:vAnchor="margin" w:hAnchor="text" w:xAlign="left" w:yAlign="inline"/>
            </w:pPr>
            <w:bookmarkStart w:id="8" w:name="dsource" w:colFirst="0" w:colLast="0"/>
            <w:bookmarkEnd w:id="7"/>
            <w:r w:rsidRPr="00007D1D">
              <w:rPr>
                <w:spacing w:val="4"/>
              </w:rPr>
              <w:t>Contribution by Morocco (Kingdom of), South Africa</w:t>
            </w:r>
            <w:r w:rsidRPr="00007D1D">
              <w:rPr>
                <w:color w:val="000000"/>
                <w:spacing w:val="4"/>
                <w:sz w:val="20"/>
                <w:shd w:val="clear" w:color="auto" w:fill="FFFFFF"/>
              </w:rPr>
              <w:t xml:space="preserve"> </w:t>
            </w:r>
            <w:r w:rsidRPr="00007D1D">
              <w:rPr>
                <w:spacing w:val="4"/>
              </w:rPr>
              <w:t>(Republic of)</w:t>
            </w:r>
            <w:r w:rsidR="00411BF2" w:rsidRPr="00007D1D">
              <w:rPr>
                <w:spacing w:val="4"/>
              </w:rPr>
              <w:t>,</w:t>
            </w:r>
            <w:r w:rsidRPr="006551EC">
              <w:t xml:space="preserve"> </w:t>
            </w:r>
            <w:r w:rsidRPr="00A316C8">
              <w:t>and Senegal</w:t>
            </w:r>
            <w:r w:rsidRPr="006551EC">
              <w:t xml:space="preserve"> (Republic of)</w:t>
            </w:r>
          </w:p>
        </w:tc>
      </w:tr>
      <w:tr w:rsidR="00411BF2" w:rsidRPr="00007D1D" w14:paraId="5DA031E7" w14:textId="77777777" w:rsidTr="00954C49">
        <w:trPr>
          <w:cantSplit/>
        </w:trPr>
        <w:tc>
          <w:tcPr>
            <w:tcW w:w="9214" w:type="dxa"/>
            <w:gridSpan w:val="2"/>
            <w:tcMar>
              <w:left w:w="0" w:type="dxa"/>
            </w:tcMar>
          </w:tcPr>
          <w:p w14:paraId="5144F60D" w14:textId="11481A79" w:rsidR="00AD3606" w:rsidRPr="00007D1D" w:rsidRDefault="006551EC" w:rsidP="00A316C8">
            <w:pPr>
              <w:spacing w:after="120"/>
              <w:jc w:val="both"/>
              <w:rPr>
                <w:rFonts w:eastAsiaTheme="majorEastAsia"/>
                <w:spacing w:val="5"/>
                <w:sz w:val="32"/>
                <w:szCs w:val="32"/>
              </w:rPr>
            </w:pPr>
            <w:bookmarkStart w:id="9" w:name="dtitle1" w:colFirst="0" w:colLast="0"/>
            <w:bookmarkEnd w:id="8"/>
            <w:r w:rsidRPr="00007D1D">
              <w:rPr>
                <w:rFonts w:eastAsiaTheme="majorEastAsia"/>
                <w:sz w:val="32"/>
                <w:szCs w:val="32"/>
              </w:rPr>
              <w:t>PROPOSED DATES AND DURATION FOR THE 2027, 2028 AND 2029 COUNCIL SESSIONS AND THE SERIES OF MEETINGS OF THE CWGS FOR THE PERIOD 2027-2029</w:t>
            </w:r>
          </w:p>
        </w:tc>
      </w:tr>
      <w:tr w:rsidR="00AD3606" w:rsidRPr="006551EC" w14:paraId="0291B0EA" w14:textId="77777777" w:rsidTr="00954C49">
        <w:trPr>
          <w:cantSplit/>
        </w:trPr>
        <w:tc>
          <w:tcPr>
            <w:tcW w:w="9214" w:type="dxa"/>
            <w:gridSpan w:val="2"/>
            <w:tcBorders>
              <w:top w:val="single" w:sz="4" w:space="0" w:color="auto"/>
              <w:bottom w:val="single" w:sz="4" w:space="0" w:color="auto"/>
            </w:tcBorders>
            <w:tcMar>
              <w:left w:w="0" w:type="dxa"/>
            </w:tcMar>
          </w:tcPr>
          <w:p w14:paraId="65A75B4F" w14:textId="77777777" w:rsidR="00AD3606" w:rsidRPr="00007D1D" w:rsidRDefault="00F16BAB" w:rsidP="00007D1D">
            <w:pPr>
              <w:spacing w:after="120"/>
              <w:rPr>
                <w:rFonts w:asciiTheme="minorHAnsi" w:hAnsiTheme="minorHAnsi" w:cstheme="minorHAnsi"/>
                <w:b/>
                <w:bCs/>
                <w:sz w:val="26"/>
                <w:szCs w:val="26"/>
              </w:rPr>
            </w:pPr>
            <w:r w:rsidRPr="00007D1D">
              <w:rPr>
                <w:rFonts w:asciiTheme="minorHAnsi" w:hAnsiTheme="minorHAnsi" w:cstheme="minorHAnsi"/>
                <w:b/>
                <w:bCs/>
                <w:sz w:val="26"/>
                <w:szCs w:val="26"/>
              </w:rPr>
              <w:t>Purpose</w:t>
            </w:r>
          </w:p>
          <w:p w14:paraId="3582F530" w14:textId="77777777" w:rsidR="00011588" w:rsidRPr="00011588" w:rsidRDefault="00011588" w:rsidP="00011588">
            <w:pPr>
              <w:spacing w:after="120"/>
              <w:jc w:val="both"/>
              <w:rPr>
                <w:rFonts w:asciiTheme="minorHAnsi" w:hAnsiTheme="minorHAnsi" w:cstheme="minorHAnsi"/>
                <w:lang w:eastAsia="zh-CN"/>
              </w:rPr>
            </w:pPr>
            <w:r w:rsidRPr="00011588">
              <w:rPr>
                <w:rFonts w:asciiTheme="minorHAnsi" w:hAnsiTheme="minorHAnsi" w:cstheme="minorHAnsi"/>
                <w:lang w:eastAsia="zh-CN"/>
              </w:rPr>
              <w:t>The construction project of the new ITU headquarters building is likely to have operational and financial implications for the planning and conduct of meetings of the Council, as well as its Council Working Groups (CWGs) and Expert Groups (EGs), owing to the anticipated unavailability of meeting facilities at headquarters in Geneva. In this context, it would be appropriate to highlight the legal, operational and financial constraints, as well as the associated institutional risks.</w:t>
            </w:r>
          </w:p>
          <w:p w14:paraId="7503792D" w14:textId="7C0508FA" w:rsidR="00473F13" w:rsidRPr="00007D1D" w:rsidRDefault="00011588" w:rsidP="00011588">
            <w:pPr>
              <w:spacing w:after="120"/>
              <w:jc w:val="both"/>
              <w:rPr>
                <w:rFonts w:asciiTheme="minorHAnsi" w:hAnsiTheme="minorHAnsi" w:cstheme="minorHAnsi"/>
                <w:szCs w:val="24"/>
                <w:lang w:eastAsia="zh-CN"/>
              </w:rPr>
            </w:pPr>
            <w:r w:rsidRPr="00011588">
              <w:rPr>
                <w:rFonts w:asciiTheme="minorHAnsi" w:hAnsiTheme="minorHAnsi" w:cstheme="minorHAnsi"/>
                <w:lang w:eastAsia="zh-CN"/>
              </w:rPr>
              <w:t>In this regard, the Council is invited to consider the adoption of an early decision, based on a combined and pragmatic approach, supported by enhanced financial visibility, with a view to ensuring the continuity of activities in compliance with statutory requirements and budgetary constraints.</w:t>
            </w:r>
          </w:p>
          <w:p w14:paraId="63754448" w14:textId="77777777" w:rsidR="00AD3606" w:rsidRPr="00007D1D" w:rsidRDefault="00AD3606" w:rsidP="00007D1D">
            <w:pPr>
              <w:spacing w:after="120"/>
              <w:rPr>
                <w:rFonts w:asciiTheme="minorHAnsi" w:hAnsiTheme="minorHAnsi" w:cstheme="minorHAnsi"/>
                <w:b/>
                <w:bCs/>
                <w:sz w:val="26"/>
                <w:szCs w:val="26"/>
              </w:rPr>
            </w:pPr>
            <w:r w:rsidRPr="00007D1D">
              <w:rPr>
                <w:rFonts w:asciiTheme="minorHAnsi" w:hAnsiTheme="minorHAnsi" w:cstheme="minorHAnsi"/>
                <w:b/>
                <w:bCs/>
                <w:sz w:val="26"/>
                <w:szCs w:val="26"/>
              </w:rPr>
              <w:t>Action required</w:t>
            </w:r>
            <w:r w:rsidR="00F16BAB" w:rsidRPr="00007D1D">
              <w:rPr>
                <w:rFonts w:asciiTheme="minorHAnsi" w:hAnsiTheme="minorHAnsi" w:cstheme="minorHAnsi"/>
                <w:b/>
                <w:bCs/>
                <w:sz w:val="26"/>
                <w:szCs w:val="26"/>
              </w:rPr>
              <w:t xml:space="preserve"> by the Council</w:t>
            </w:r>
          </w:p>
          <w:p w14:paraId="67630361" w14:textId="77777777" w:rsidR="00473F13" w:rsidRPr="00007D1D" w:rsidRDefault="00473F13" w:rsidP="006551EC">
            <w:pPr>
              <w:spacing w:after="120"/>
              <w:jc w:val="both"/>
              <w:rPr>
                <w:rFonts w:asciiTheme="minorHAnsi" w:hAnsiTheme="minorHAnsi" w:cstheme="minorHAnsi"/>
                <w:szCs w:val="24"/>
                <w:lang w:eastAsia="zh-CN"/>
              </w:rPr>
            </w:pPr>
            <w:r w:rsidRPr="00007D1D">
              <w:rPr>
                <w:rFonts w:asciiTheme="minorHAnsi" w:hAnsiTheme="minorHAnsi" w:cstheme="minorHAnsi"/>
                <w:szCs w:val="24"/>
                <w:lang w:eastAsia="zh-CN"/>
              </w:rPr>
              <w:t xml:space="preserve">The council is invited </w:t>
            </w:r>
            <w:r w:rsidRPr="00007D1D">
              <w:rPr>
                <w:rFonts w:asciiTheme="minorHAnsi" w:hAnsiTheme="minorHAnsi" w:cstheme="minorHAnsi"/>
                <w:b/>
                <w:bCs/>
                <w:szCs w:val="24"/>
                <w:lang w:eastAsia="zh-CN"/>
              </w:rPr>
              <w:t>to consider</w:t>
            </w:r>
            <w:r w:rsidRPr="00007D1D">
              <w:rPr>
                <w:rFonts w:asciiTheme="minorHAnsi" w:hAnsiTheme="minorHAnsi" w:cstheme="minorHAnsi"/>
                <w:szCs w:val="24"/>
                <w:lang w:eastAsia="zh-CN"/>
              </w:rPr>
              <w:t xml:space="preserve"> this document and </w:t>
            </w:r>
            <w:r w:rsidRPr="00007D1D">
              <w:rPr>
                <w:rFonts w:asciiTheme="minorHAnsi" w:hAnsiTheme="minorHAnsi" w:cstheme="minorHAnsi"/>
                <w:b/>
                <w:bCs/>
                <w:szCs w:val="24"/>
                <w:lang w:eastAsia="zh-CN"/>
              </w:rPr>
              <w:t>take appropriate action</w:t>
            </w:r>
            <w:r w:rsidRPr="00007D1D">
              <w:rPr>
                <w:rFonts w:asciiTheme="minorHAnsi" w:hAnsiTheme="minorHAnsi" w:cstheme="minorHAnsi"/>
                <w:szCs w:val="24"/>
                <w:lang w:eastAsia="zh-CN"/>
              </w:rPr>
              <w:t>.</w:t>
            </w:r>
          </w:p>
          <w:p w14:paraId="08F2A353" w14:textId="77777777" w:rsidR="00C0458D" w:rsidRPr="00007D1D" w:rsidRDefault="00C0458D" w:rsidP="00007D1D">
            <w:pPr>
              <w:spacing w:after="120"/>
              <w:rPr>
                <w:rFonts w:asciiTheme="minorHAnsi" w:hAnsiTheme="minorHAnsi" w:cstheme="minorHAnsi"/>
              </w:rPr>
            </w:pPr>
            <w:r w:rsidRPr="00007D1D">
              <w:rPr>
                <w:rFonts w:asciiTheme="minorHAnsi" w:hAnsiTheme="minorHAnsi" w:cstheme="minorHAnsi"/>
              </w:rPr>
              <w:t>_______________</w:t>
            </w:r>
          </w:p>
          <w:p w14:paraId="5F705648" w14:textId="77777777" w:rsidR="00AD3606" w:rsidRPr="00007D1D" w:rsidRDefault="00AD3606" w:rsidP="00007D1D">
            <w:pPr>
              <w:spacing w:after="120"/>
              <w:rPr>
                <w:rFonts w:asciiTheme="minorHAnsi" w:hAnsiTheme="minorHAnsi" w:cstheme="minorHAnsi"/>
                <w:b/>
                <w:bCs/>
                <w:sz w:val="26"/>
                <w:szCs w:val="26"/>
              </w:rPr>
            </w:pPr>
            <w:r w:rsidRPr="00007D1D">
              <w:rPr>
                <w:rFonts w:asciiTheme="minorHAnsi" w:hAnsiTheme="minorHAnsi" w:cstheme="minorHAnsi"/>
                <w:b/>
                <w:bCs/>
                <w:sz w:val="26"/>
                <w:szCs w:val="26"/>
              </w:rPr>
              <w:t>References</w:t>
            </w:r>
          </w:p>
          <w:p w14:paraId="73AB02A7" w14:textId="581BF2EC" w:rsidR="00AD3606" w:rsidRPr="00007D1D" w:rsidRDefault="00C36E6B" w:rsidP="00007D1D">
            <w:pPr>
              <w:spacing w:after="120"/>
              <w:rPr>
                <w:rFonts w:asciiTheme="minorHAnsi" w:hAnsiTheme="minorHAnsi" w:cstheme="minorHAnsi"/>
                <w:i/>
                <w:iCs/>
                <w:sz w:val="22"/>
                <w:szCs w:val="22"/>
              </w:rPr>
            </w:pPr>
            <w:hyperlink r:id="rId8" w:history="1">
              <w:r w:rsidRPr="00007D1D">
                <w:rPr>
                  <w:rStyle w:val="Hyperlink"/>
                  <w:i/>
                  <w:iCs/>
                  <w:sz w:val="22"/>
                  <w:szCs w:val="18"/>
                </w:rPr>
                <w:t>Council Resolution 143</w:t>
              </w:r>
              <w:r w:rsidR="00411BF2">
                <w:rPr>
                  <w:rStyle w:val="Hyperlink"/>
                  <w:i/>
                  <w:iCs/>
                  <w:sz w:val="22"/>
                  <w:szCs w:val="18"/>
                </w:rPr>
                <w:t>4 (C25)</w:t>
              </w:r>
            </w:hyperlink>
            <w:r w:rsidR="009B2E90">
              <w:rPr>
                <w:rFonts w:asciiTheme="minorHAnsi" w:hAnsiTheme="minorHAnsi" w:cstheme="minorHAnsi"/>
                <w:i/>
                <w:iCs/>
                <w:sz w:val="22"/>
                <w:szCs w:val="18"/>
              </w:rPr>
              <w:t>,</w:t>
            </w:r>
            <w:r w:rsidRPr="00007D1D">
              <w:rPr>
                <w:i/>
                <w:iCs/>
                <w:sz w:val="22"/>
                <w:szCs w:val="18"/>
              </w:rPr>
              <w:t xml:space="preserve"> </w:t>
            </w:r>
            <w:hyperlink r:id="rId9" w:history="1">
              <w:r w:rsidRPr="00007D1D">
                <w:rPr>
                  <w:rStyle w:val="Hyperlink"/>
                  <w:i/>
                  <w:iCs/>
                  <w:sz w:val="22"/>
                  <w:szCs w:val="18"/>
                </w:rPr>
                <w:t>Council Resolution 1333 (</w:t>
              </w:r>
              <w:r w:rsidR="009B2E90">
                <w:rPr>
                  <w:rStyle w:val="Hyperlink"/>
                  <w:i/>
                  <w:iCs/>
                  <w:sz w:val="22"/>
                  <w:szCs w:val="18"/>
                </w:rPr>
                <w:t>C</w:t>
              </w:r>
              <w:r w:rsidRPr="00007D1D">
                <w:rPr>
                  <w:rStyle w:val="Hyperlink"/>
                  <w:i/>
                  <w:iCs/>
                  <w:sz w:val="22"/>
                  <w:szCs w:val="18"/>
                </w:rPr>
                <w:t xml:space="preserve">11, last amended </w:t>
              </w:r>
              <w:r w:rsidR="009B2E90">
                <w:rPr>
                  <w:rStyle w:val="Hyperlink"/>
                  <w:i/>
                  <w:iCs/>
                  <w:sz w:val="22"/>
                  <w:szCs w:val="18"/>
                </w:rPr>
                <w:t>C</w:t>
              </w:r>
              <w:r w:rsidRPr="00007D1D">
                <w:rPr>
                  <w:rStyle w:val="Hyperlink"/>
                  <w:i/>
                  <w:iCs/>
                  <w:sz w:val="22"/>
                  <w:szCs w:val="18"/>
                </w:rPr>
                <w:t>25)</w:t>
              </w:r>
            </w:hyperlink>
            <w:r w:rsidR="00411BF2">
              <w:rPr>
                <w:rFonts w:asciiTheme="minorHAnsi" w:hAnsiTheme="minorHAnsi" w:cstheme="minorHAnsi"/>
                <w:i/>
                <w:iCs/>
                <w:sz w:val="22"/>
                <w:szCs w:val="18"/>
                <w:lang w:eastAsia="zh-CN"/>
              </w:rPr>
              <w:t xml:space="preserve">, </w:t>
            </w:r>
            <w:hyperlink r:id="rId10" w:history="1">
              <w:r w:rsidR="00411BF2" w:rsidRPr="00017595">
                <w:rPr>
                  <w:rStyle w:val="Hyperlink"/>
                  <w:i/>
                  <w:iCs/>
                  <w:sz w:val="22"/>
                  <w:szCs w:val="18"/>
                </w:rPr>
                <w:t>Council Decision 640 (C24)</w:t>
              </w:r>
            </w:hyperlink>
            <w:r w:rsidR="009B2E90">
              <w:rPr>
                <w:rFonts w:asciiTheme="minorHAnsi" w:hAnsiTheme="minorHAnsi" w:cstheme="minorHAnsi"/>
                <w:i/>
                <w:iCs/>
                <w:sz w:val="22"/>
                <w:szCs w:val="18"/>
                <w:lang w:eastAsia="zh-CN"/>
              </w:rPr>
              <w:t>,</w:t>
            </w:r>
            <w:r w:rsidR="00411BF2" w:rsidRPr="00017595">
              <w:rPr>
                <w:i/>
                <w:iCs/>
                <w:sz w:val="22"/>
                <w:szCs w:val="18"/>
              </w:rPr>
              <w:t xml:space="preserve"> </w:t>
            </w:r>
            <w:hyperlink r:id="rId11" w:history="1">
              <w:r w:rsidR="00411BF2" w:rsidRPr="00017595">
                <w:rPr>
                  <w:rStyle w:val="Hyperlink"/>
                  <w:i/>
                  <w:iCs/>
                  <w:sz w:val="22"/>
                  <w:szCs w:val="18"/>
                </w:rPr>
                <w:t>Council Decision 643 (C25)</w:t>
              </w:r>
            </w:hyperlink>
            <w:r w:rsidR="009B2E90">
              <w:rPr>
                <w:rFonts w:asciiTheme="minorHAnsi" w:hAnsiTheme="minorHAnsi" w:cstheme="minorHAnsi"/>
                <w:i/>
                <w:iCs/>
                <w:sz w:val="22"/>
                <w:szCs w:val="22"/>
              </w:rPr>
              <w:t>.</w:t>
            </w:r>
          </w:p>
        </w:tc>
      </w:tr>
    </w:tbl>
    <w:p w14:paraId="2A3CB862" w14:textId="77777777" w:rsidR="00E227F3" w:rsidRPr="00007D1D" w:rsidRDefault="00E227F3" w:rsidP="00007D1D">
      <w:pPr>
        <w:tabs>
          <w:tab w:val="clear" w:pos="567"/>
          <w:tab w:val="clear" w:pos="1134"/>
          <w:tab w:val="clear" w:pos="1701"/>
          <w:tab w:val="clear" w:pos="2268"/>
          <w:tab w:val="clear" w:pos="2835"/>
        </w:tabs>
        <w:overflowPunct/>
        <w:autoSpaceDE/>
        <w:autoSpaceDN/>
        <w:adjustRightInd/>
        <w:spacing w:after="120"/>
        <w:textAlignment w:val="auto"/>
        <w:rPr>
          <w:rFonts w:asciiTheme="minorHAnsi" w:hAnsiTheme="minorHAnsi" w:cstheme="minorHAnsi"/>
        </w:rPr>
      </w:pPr>
      <w:bookmarkStart w:id="10" w:name="_Hlk133421428"/>
      <w:bookmarkEnd w:id="2"/>
      <w:bookmarkEnd w:id="9"/>
    </w:p>
    <w:bookmarkEnd w:id="3"/>
    <w:bookmarkEnd w:id="4"/>
    <w:p w14:paraId="767A43FE" w14:textId="77777777" w:rsidR="0090147A" w:rsidRPr="00007D1D" w:rsidRDefault="0090147A" w:rsidP="00007D1D">
      <w:pPr>
        <w:tabs>
          <w:tab w:val="clear" w:pos="567"/>
          <w:tab w:val="clear" w:pos="1134"/>
          <w:tab w:val="clear" w:pos="1701"/>
          <w:tab w:val="clear" w:pos="2268"/>
          <w:tab w:val="clear" w:pos="2835"/>
        </w:tabs>
        <w:overflowPunct/>
        <w:autoSpaceDE/>
        <w:autoSpaceDN/>
        <w:adjustRightInd/>
        <w:spacing w:after="120"/>
        <w:textAlignment w:val="auto"/>
        <w:rPr>
          <w:rFonts w:asciiTheme="minorHAnsi" w:hAnsiTheme="minorHAnsi" w:cstheme="minorHAnsi"/>
          <w:b/>
        </w:rPr>
      </w:pPr>
      <w:r w:rsidRPr="00007D1D">
        <w:rPr>
          <w:rFonts w:asciiTheme="minorHAnsi" w:hAnsiTheme="minorHAnsi" w:cstheme="minorHAnsi"/>
        </w:rPr>
        <w:br w:type="page"/>
      </w:r>
    </w:p>
    <w:bookmarkEnd w:id="5"/>
    <w:bookmarkEnd w:id="10"/>
    <w:p w14:paraId="3871B838" w14:textId="77777777" w:rsidR="00473F13" w:rsidRPr="00007D1D" w:rsidRDefault="00473F13" w:rsidP="00007D1D">
      <w:pPr>
        <w:pStyle w:val="Heading1"/>
        <w:snapToGrid w:val="0"/>
        <w:spacing w:before="120" w:after="120"/>
        <w:jc w:val="both"/>
        <w:rPr>
          <w:rFonts w:asciiTheme="minorHAnsi" w:hAnsiTheme="minorHAnsi" w:cstheme="minorHAnsi"/>
          <w:sz w:val="24"/>
          <w:szCs w:val="24"/>
        </w:rPr>
      </w:pPr>
      <w:r w:rsidRPr="00007D1D">
        <w:rPr>
          <w:rFonts w:asciiTheme="minorHAnsi" w:hAnsiTheme="minorHAnsi" w:cstheme="minorHAnsi"/>
          <w:sz w:val="24"/>
          <w:szCs w:val="24"/>
        </w:rPr>
        <w:lastRenderedPageBreak/>
        <w:t xml:space="preserve">1. Background </w:t>
      </w:r>
    </w:p>
    <w:p w14:paraId="7DB51608" w14:textId="77777777" w:rsidR="00473F13" w:rsidRPr="00007D1D" w:rsidRDefault="00473F13" w:rsidP="006551EC">
      <w:pPr>
        <w:spacing w:after="120"/>
        <w:jc w:val="both"/>
        <w:rPr>
          <w:rFonts w:asciiTheme="minorHAnsi" w:hAnsiTheme="minorHAnsi" w:cstheme="minorHAnsi"/>
        </w:rPr>
      </w:pPr>
      <w:r w:rsidRPr="00007D1D">
        <w:rPr>
          <w:rFonts w:asciiTheme="minorHAnsi" w:hAnsiTheme="minorHAnsi" w:cstheme="minorHAnsi"/>
        </w:rPr>
        <w:t>Pursuant to Articles 7 and 10 of the Constitution, the Council, in its capacity as the governing body of the Union, acts on behalf of the Plenipotentiary Conference in the interval between Plenipotentiary Conferences, within the limits of the powers delegated to it.</w:t>
      </w:r>
    </w:p>
    <w:p w14:paraId="271B1B02" w14:textId="77777777" w:rsidR="00473F13" w:rsidRPr="00007D1D" w:rsidRDefault="00473F13" w:rsidP="006551EC">
      <w:pPr>
        <w:spacing w:after="120"/>
        <w:jc w:val="both"/>
        <w:rPr>
          <w:rFonts w:asciiTheme="minorHAnsi" w:hAnsiTheme="minorHAnsi" w:cstheme="minorHAnsi"/>
        </w:rPr>
      </w:pPr>
      <w:r w:rsidRPr="00007D1D">
        <w:rPr>
          <w:rFonts w:asciiTheme="minorHAnsi" w:hAnsiTheme="minorHAnsi" w:cstheme="minorHAnsi"/>
          <w:szCs w:val="24"/>
          <w:lang w:eastAsia="zh-CN"/>
        </w:rPr>
        <w:t>In accordance with Article 4 of the Convention (No. 51), which provides that an ordinary session of the Council shall be held each year at the headquarters of the Union</w:t>
      </w:r>
      <w:r w:rsidRPr="00007D1D">
        <w:rPr>
          <w:rFonts w:asciiTheme="minorHAnsi" w:hAnsiTheme="minorHAnsi" w:cstheme="minorHAnsi"/>
        </w:rPr>
        <w:t>.</w:t>
      </w:r>
    </w:p>
    <w:p w14:paraId="55E7D6FE" w14:textId="68365727" w:rsidR="00473F13" w:rsidRPr="00007D1D" w:rsidRDefault="00473F13" w:rsidP="006551EC">
      <w:pPr>
        <w:spacing w:after="120"/>
        <w:jc w:val="both"/>
        <w:rPr>
          <w:rFonts w:asciiTheme="minorHAnsi" w:hAnsiTheme="minorHAnsi" w:cstheme="minorHAnsi"/>
          <w:szCs w:val="24"/>
          <w:lang w:eastAsia="zh-CN"/>
        </w:rPr>
      </w:pPr>
      <w:r w:rsidRPr="00007D1D">
        <w:rPr>
          <w:rFonts w:asciiTheme="minorHAnsi" w:hAnsiTheme="minorHAnsi" w:cstheme="minorHAnsi"/>
          <w:szCs w:val="24"/>
          <w:lang w:eastAsia="zh-CN"/>
        </w:rPr>
        <w:t xml:space="preserve">In accordance with Resolution 77 (Rev. Dubai, 2018) of the Plenipotentiary Conference and Decision 612 (C19), the Council is invited to plan its ordinary sessions on a multi-year basis, while making annual adjustments. </w:t>
      </w:r>
    </w:p>
    <w:p w14:paraId="3A2FC21D" w14:textId="77777777" w:rsidR="00473F13" w:rsidRPr="00007D1D" w:rsidRDefault="00473F13" w:rsidP="006551EC">
      <w:pPr>
        <w:spacing w:after="120"/>
        <w:jc w:val="both"/>
        <w:rPr>
          <w:rFonts w:asciiTheme="minorHAnsi" w:hAnsiTheme="minorHAnsi" w:cstheme="minorHAnsi"/>
          <w:szCs w:val="24"/>
          <w:lang w:eastAsia="zh-CN"/>
        </w:rPr>
      </w:pPr>
      <w:r w:rsidRPr="00007D1D">
        <w:rPr>
          <w:rFonts w:asciiTheme="minorHAnsi" w:hAnsiTheme="minorHAnsi" w:cstheme="minorHAnsi"/>
          <w:szCs w:val="24"/>
          <w:lang w:eastAsia="zh-CN"/>
        </w:rPr>
        <w:t xml:space="preserve">Pursuant to Resolution 1333 (C11, last amended C25), </w:t>
      </w:r>
      <w:proofErr w:type="gramStart"/>
      <w:r w:rsidRPr="00007D1D">
        <w:rPr>
          <w:rFonts w:asciiTheme="minorHAnsi" w:hAnsiTheme="minorHAnsi" w:cstheme="minorHAnsi"/>
          <w:szCs w:val="24"/>
          <w:lang w:eastAsia="zh-CN"/>
        </w:rPr>
        <w:t>in particular decides</w:t>
      </w:r>
      <w:proofErr w:type="gramEnd"/>
      <w:r w:rsidRPr="00007D1D">
        <w:rPr>
          <w:rFonts w:asciiTheme="minorHAnsi" w:hAnsiTheme="minorHAnsi" w:cstheme="minorHAnsi"/>
          <w:szCs w:val="24"/>
          <w:lang w:eastAsia="zh-CN"/>
        </w:rPr>
        <w:t xml:space="preserve"> 1, 2 and 5, the CWGs play an essential role in supporting the decision-making process by examining matters relating to the Strategic Plan, the Financial Plan and the decisions of </w:t>
      </w:r>
      <w:r w:rsidRPr="00007D1D">
        <w:rPr>
          <w:rFonts w:asciiTheme="minorHAnsi" w:hAnsiTheme="minorHAnsi" w:cstheme="minorHAnsi"/>
        </w:rPr>
        <w:t>Plenipotentiary Conferences</w:t>
      </w:r>
      <w:r w:rsidRPr="00007D1D">
        <w:rPr>
          <w:rFonts w:asciiTheme="minorHAnsi" w:hAnsiTheme="minorHAnsi" w:cstheme="minorHAnsi"/>
          <w:szCs w:val="24"/>
          <w:lang w:eastAsia="zh-CN"/>
        </w:rPr>
        <w:t>, and by providing advice to the Council. Their meetings must be planned in an efficient and cost-effective manner, within the limits of the allocated budget, at a rate of one to two meetings per year, which may, where appropriate, be integrated into the time allocated to the annual sessions of the Council.</w:t>
      </w:r>
    </w:p>
    <w:p w14:paraId="5536A554" w14:textId="77777777" w:rsidR="00473F13" w:rsidRPr="00007D1D" w:rsidRDefault="00473F13" w:rsidP="00007D1D">
      <w:pPr>
        <w:pStyle w:val="Heading1"/>
        <w:tabs>
          <w:tab w:val="clear" w:pos="567"/>
        </w:tabs>
        <w:snapToGrid w:val="0"/>
        <w:spacing w:after="120"/>
        <w:ind w:left="284" w:hanging="284"/>
        <w:jc w:val="both"/>
        <w:rPr>
          <w:rFonts w:asciiTheme="minorHAnsi" w:hAnsiTheme="minorHAnsi" w:cstheme="minorHAnsi"/>
          <w:sz w:val="24"/>
          <w:szCs w:val="24"/>
        </w:rPr>
      </w:pPr>
      <w:r w:rsidRPr="00007D1D">
        <w:rPr>
          <w:rFonts w:asciiTheme="minorHAnsi" w:hAnsiTheme="minorHAnsi" w:cstheme="minorHAnsi"/>
          <w:sz w:val="24"/>
          <w:szCs w:val="24"/>
        </w:rPr>
        <w:t>2- Constraints related to the continuity of the work of the Council and the CWGs during 2027–2029</w:t>
      </w:r>
    </w:p>
    <w:p w14:paraId="2C717CB4" w14:textId="77777777" w:rsidR="00473F13" w:rsidRPr="00007D1D" w:rsidRDefault="00473F13" w:rsidP="006551EC">
      <w:pPr>
        <w:snapToGrid w:val="0"/>
        <w:spacing w:after="120"/>
        <w:jc w:val="both"/>
        <w:rPr>
          <w:rFonts w:asciiTheme="minorHAnsi" w:hAnsiTheme="minorHAnsi" w:cstheme="minorHAnsi"/>
          <w:szCs w:val="24"/>
          <w:lang w:eastAsia="zh-CN"/>
        </w:rPr>
      </w:pPr>
      <w:r w:rsidRPr="00007D1D">
        <w:rPr>
          <w:rFonts w:asciiTheme="minorHAnsi" w:hAnsiTheme="minorHAnsi" w:cstheme="minorHAnsi"/>
          <w:b/>
          <w:bCs/>
          <w:szCs w:val="24"/>
          <w:lang w:eastAsia="zh-CN"/>
        </w:rPr>
        <w:t>Notes</w:t>
      </w:r>
      <w:r w:rsidRPr="00007D1D">
        <w:rPr>
          <w:rFonts w:asciiTheme="minorHAnsi" w:hAnsiTheme="minorHAnsi" w:cstheme="minorHAnsi"/>
          <w:szCs w:val="24"/>
          <w:lang w:eastAsia="zh-CN"/>
        </w:rPr>
        <w:t xml:space="preserve"> that, pursuant to Decision 640 (C24), the Council adopted the timeline for the new Varembé building project, the implementation of which is scheduled to commence in 2028, and that the current meeting facilities at ITU headquarters are expected to remain available until the end of 2027, but may become unavailable from June 2028 and potentially throughout 2029 due to demolition and reconstruction works;</w:t>
      </w:r>
    </w:p>
    <w:p w14:paraId="18C9E287" w14:textId="77777777" w:rsidR="00473F13" w:rsidRPr="00007D1D" w:rsidRDefault="00473F13" w:rsidP="006551EC">
      <w:pPr>
        <w:snapToGrid w:val="0"/>
        <w:spacing w:after="120"/>
        <w:jc w:val="both"/>
        <w:rPr>
          <w:rFonts w:asciiTheme="minorHAnsi" w:hAnsiTheme="minorHAnsi" w:cstheme="minorHAnsi"/>
          <w:szCs w:val="24"/>
          <w:lang w:eastAsia="zh-CN"/>
        </w:rPr>
      </w:pPr>
      <w:r w:rsidRPr="00007D1D">
        <w:rPr>
          <w:rFonts w:asciiTheme="minorHAnsi" w:hAnsiTheme="minorHAnsi" w:cstheme="minorHAnsi"/>
          <w:b/>
          <w:bCs/>
          <w:szCs w:val="24"/>
          <w:lang w:eastAsia="zh-CN"/>
        </w:rPr>
        <w:t>Further notes</w:t>
      </w:r>
      <w:r w:rsidRPr="00007D1D">
        <w:rPr>
          <w:rFonts w:asciiTheme="minorHAnsi" w:hAnsiTheme="minorHAnsi" w:cstheme="minorHAnsi"/>
          <w:szCs w:val="24"/>
          <w:lang w:eastAsia="zh-CN"/>
        </w:rPr>
        <w:t xml:space="preserve"> that, by Decision 643 (C25), the Council established the dates and duration of its sessions for 2027 and 2028, as well as those of the series of meetings of the Council Working Groups (CWGs) and Expert Groups (EGs), with a view to ensuring coordinated planning of activities.</w:t>
      </w:r>
    </w:p>
    <w:p w14:paraId="1404266B" w14:textId="0282A989" w:rsidR="00473F13" w:rsidRPr="00007D1D" w:rsidRDefault="00473F13" w:rsidP="006551EC">
      <w:pPr>
        <w:snapToGrid w:val="0"/>
        <w:spacing w:after="120"/>
        <w:jc w:val="both"/>
        <w:rPr>
          <w:rFonts w:asciiTheme="minorHAnsi" w:hAnsiTheme="minorHAnsi" w:cstheme="minorHAnsi"/>
          <w:szCs w:val="24"/>
          <w:lang w:eastAsia="zh-CN"/>
        </w:rPr>
      </w:pPr>
      <w:r w:rsidRPr="00007D1D">
        <w:rPr>
          <w:rFonts w:asciiTheme="minorHAnsi" w:hAnsiTheme="minorHAnsi" w:cstheme="minorHAnsi"/>
          <w:b/>
          <w:bCs/>
          <w:szCs w:val="24"/>
          <w:lang w:eastAsia="zh-CN"/>
        </w:rPr>
        <w:t>Notes also</w:t>
      </w:r>
      <w:r w:rsidRPr="00007D1D">
        <w:rPr>
          <w:rFonts w:asciiTheme="minorHAnsi" w:hAnsiTheme="minorHAnsi" w:cstheme="minorHAnsi"/>
          <w:szCs w:val="24"/>
          <w:lang w:eastAsia="zh-CN"/>
        </w:rPr>
        <w:t xml:space="preserve"> that the Secretariat has examined a range of options aimed at ensuring the continuity of activities during the period from June 2028 to December 2029, and that, according to its report (Document </w:t>
      </w:r>
      <w:hyperlink r:id="rId12" w:history="1">
        <w:r w:rsidR="009B2E90" w:rsidRPr="00007D1D">
          <w:rPr>
            <w:rStyle w:val="Hyperlink"/>
            <w:rFonts w:asciiTheme="minorHAnsi" w:hAnsiTheme="minorHAnsi" w:cstheme="minorHAnsi"/>
            <w:szCs w:val="24"/>
            <w:lang w:eastAsia="zh-CN"/>
          </w:rPr>
          <w:t>CWG</w:t>
        </w:r>
        <w:r w:rsidRPr="00007D1D">
          <w:rPr>
            <w:rStyle w:val="Hyperlink"/>
            <w:rFonts w:asciiTheme="minorHAnsi" w:hAnsiTheme="minorHAnsi" w:cstheme="minorHAnsi"/>
            <w:szCs w:val="24"/>
            <w:lang w:eastAsia="zh-CN"/>
          </w:rPr>
          <w:t>-FHR-22/13</w:t>
        </w:r>
      </w:hyperlink>
      <w:r w:rsidRPr="00007D1D">
        <w:rPr>
          <w:rFonts w:asciiTheme="minorHAnsi" w:hAnsiTheme="minorHAnsi" w:cstheme="minorHAnsi"/>
          <w:szCs w:val="24"/>
          <w:lang w:eastAsia="zh-CN"/>
        </w:rPr>
        <w:t>) submitted to the CWG-FHR at its 21st meeting, the Council sessions for 2028 and 2029 are envisaged to be held in June at headquarters in Geneva, on the understanding that the construction schedule is adhered to</w:t>
      </w:r>
      <w:r w:rsidR="009B2E90" w:rsidRPr="00007D1D">
        <w:rPr>
          <w:rFonts w:asciiTheme="minorHAnsi" w:hAnsiTheme="minorHAnsi" w:cstheme="minorHAnsi"/>
          <w:szCs w:val="24"/>
          <w:lang w:eastAsia="zh-CN"/>
        </w:rPr>
        <w:t>.</w:t>
      </w:r>
    </w:p>
    <w:p w14:paraId="7E429462" w14:textId="5272CC4A" w:rsidR="00473F13" w:rsidRPr="00007D1D" w:rsidRDefault="00473F13" w:rsidP="006551EC">
      <w:pPr>
        <w:snapToGrid w:val="0"/>
        <w:spacing w:after="120"/>
        <w:jc w:val="both"/>
        <w:rPr>
          <w:rFonts w:asciiTheme="minorHAnsi" w:hAnsiTheme="minorHAnsi" w:cstheme="minorHAnsi"/>
          <w:szCs w:val="24"/>
          <w:lang w:eastAsia="zh-CN"/>
        </w:rPr>
      </w:pPr>
      <w:r w:rsidRPr="00007D1D">
        <w:rPr>
          <w:rFonts w:asciiTheme="minorHAnsi" w:hAnsiTheme="minorHAnsi" w:cstheme="minorHAnsi"/>
          <w:b/>
          <w:bCs/>
          <w:szCs w:val="24"/>
          <w:lang w:eastAsia="zh-CN"/>
        </w:rPr>
        <w:t>Further notes</w:t>
      </w:r>
      <w:r w:rsidRPr="00007D1D">
        <w:rPr>
          <w:rFonts w:asciiTheme="minorHAnsi" w:hAnsiTheme="minorHAnsi" w:cstheme="minorHAnsi"/>
          <w:szCs w:val="24"/>
          <w:lang w:eastAsia="zh-CN"/>
        </w:rPr>
        <w:t xml:space="preserve"> that in document </w:t>
      </w:r>
      <w:hyperlink r:id="rId13" w:history="1">
        <w:r w:rsidRPr="00007D1D">
          <w:rPr>
            <w:rStyle w:val="Hyperlink"/>
            <w:rFonts w:asciiTheme="minorHAnsi" w:hAnsiTheme="minorHAnsi" w:cstheme="minorHAnsi"/>
            <w:szCs w:val="24"/>
            <w:lang w:eastAsia="zh-CN"/>
          </w:rPr>
          <w:t>C26/65</w:t>
        </w:r>
      </w:hyperlink>
      <w:r w:rsidRPr="00007D1D">
        <w:rPr>
          <w:rFonts w:asciiTheme="minorHAnsi" w:hAnsiTheme="minorHAnsi" w:cstheme="minorHAnsi"/>
          <w:szCs w:val="24"/>
          <w:lang w:eastAsia="zh-CN"/>
        </w:rPr>
        <w:t xml:space="preserve"> submitted to the ADM, the General Secretariat revisits the period of unavailability of ITU premises, indicating that demolition works will take place from 1 October 2028 to 31 August 2029. In this context, it proposes to maintain the 2028 session of the Council in the Popov Room from 13 to 23 June and to postpone the 2029 session to September. However, the document does not provide sufficient clarification regarding the extent of disruption that the construction phase may cause to the holding and conduct of meetings in the </w:t>
      </w:r>
      <w:proofErr w:type="spellStart"/>
      <w:r w:rsidRPr="00007D1D">
        <w:rPr>
          <w:rFonts w:asciiTheme="minorHAnsi" w:hAnsiTheme="minorHAnsi" w:cstheme="minorHAnsi"/>
          <w:szCs w:val="24"/>
          <w:lang w:eastAsia="zh-CN"/>
        </w:rPr>
        <w:t>Montbrillant</w:t>
      </w:r>
      <w:proofErr w:type="spellEnd"/>
      <w:r w:rsidRPr="00007D1D">
        <w:rPr>
          <w:rFonts w:asciiTheme="minorHAnsi" w:hAnsiTheme="minorHAnsi" w:cstheme="minorHAnsi"/>
          <w:szCs w:val="24"/>
          <w:lang w:eastAsia="zh-CN"/>
        </w:rPr>
        <w:t xml:space="preserve"> and Tower buildings, which raises concerns about the practical feasibility and conditions of organizing meetings during that period.</w:t>
      </w:r>
    </w:p>
    <w:p w14:paraId="5B4378AC" w14:textId="77777777" w:rsidR="00473F13" w:rsidRPr="00007D1D" w:rsidRDefault="00473F13" w:rsidP="006551EC">
      <w:pPr>
        <w:snapToGrid w:val="0"/>
        <w:spacing w:after="120"/>
        <w:jc w:val="both"/>
        <w:rPr>
          <w:rFonts w:asciiTheme="minorHAnsi" w:hAnsiTheme="minorHAnsi" w:cstheme="minorHAnsi"/>
          <w:szCs w:val="24"/>
          <w:lang w:eastAsia="zh-CN"/>
        </w:rPr>
      </w:pPr>
    </w:p>
    <w:p w14:paraId="46794F1A" w14:textId="77777777" w:rsidR="00473F13" w:rsidRPr="00007D1D" w:rsidRDefault="00473F13" w:rsidP="006551EC">
      <w:pPr>
        <w:snapToGrid w:val="0"/>
        <w:spacing w:after="120"/>
        <w:jc w:val="both"/>
        <w:rPr>
          <w:rFonts w:asciiTheme="minorHAnsi" w:hAnsiTheme="minorHAnsi" w:cstheme="minorHAnsi"/>
          <w:szCs w:val="24"/>
          <w:lang w:eastAsia="zh-CN"/>
        </w:rPr>
      </w:pPr>
      <w:r w:rsidRPr="00007D1D">
        <w:rPr>
          <w:rFonts w:asciiTheme="minorHAnsi" w:hAnsiTheme="minorHAnsi" w:cstheme="minorHAnsi"/>
          <w:b/>
          <w:bCs/>
          <w:szCs w:val="24"/>
          <w:lang w:eastAsia="zh-CN"/>
        </w:rPr>
        <w:lastRenderedPageBreak/>
        <w:t xml:space="preserve">Recognizes, </w:t>
      </w:r>
      <w:r w:rsidRPr="00007D1D">
        <w:rPr>
          <w:rFonts w:asciiTheme="minorHAnsi" w:hAnsiTheme="minorHAnsi" w:cstheme="minorHAnsi"/>
          <w:szCs w:val="24"/>
          <w:lang w:eastAsia="zh-CN"/>
        </w:rPr>
        <w:t>however, that this assumption remains uncertain and that delays in the construction schedule could constrain the envisaged arrangements, including:</w:t>
      </w:r>
    </w:p>
    <w:p w14:paraId="36DC7283" w14:textId="68CB1F24" w:rsidR="00473F13" w:rsidRPr="00007D1D" w:rsidRDefault="009B2E90" w:rsidP="00007D1D">
      <w:pPr>
        <w:numPr>
          <w:ilvl w:val="0"/>
          <w:numId w:val="5"/>
        </w:numPr>
        <w:tabs>
          <w:tab w:val="clear" w:pos="567"/>
          <w:tab w:val="clear" w:pos="720"/>
          <w:tab w:val="clear" w:pos="1134"/>
          <w:tab w:val="clear" w:pos="1701"/>
          <w:tab w:val="clear" w:pos="2268"/>
          <w:tab w:val="clear" w:pos="2835"/>
        </w:tabs>
        <w:overflowPunct/>
        <w:autoSpaceDE/>
        <w:autoSpaceDN/>
        <w:adjustRightInd/>
        <w:snapToGrid w:val="0"/>
        <w:spacing w:after="120"/>
        <w:ind w:left="567" w:hanging="567"/>
        <w:jc w:val="both"/>
        <w:textAlignment w:val="auto"/>
        <w:rPr>
          <w:rFonts w:asciiTheme="minorHAnsi" w:hAnsiTheme="minorHAnsi" w:cstheme="minorHAnsi"/>
          <w:lang w:eastAsia="zh-CN"/>
        </w:rPr>
      </w:pPr>
      <w:r>
        <w:rPr>
          <w:rFonts w:asciiTheme="minorHAnsi" w:hAnsiTheme="minorHAnsi" w:cstheme="minorHAnsi"/>
          <w:lang w:eastAsia="zh-CN"/>
        </w:rPr>
        <w:t>t</w:t>
      </w:r>
      <w:r w:rsidRPr="00007D1D">
        <w:rPr>
          <w:rFonts w:asciiTheme="minorHAnsi" w:hAnsiTheme="minorHAnsi" w:cstheme="minorHAnsi"/>
          <w:lang w:eastAsia="zh-CN"/>
        </w:rPr>
        <w:t xml:space="preserve">he </w:t>
      </w:r>
      <w:r w:rsidR="00473F13" w:rsidRPr="00007D1D">
        <w:rPr>
          <w:rFonts w:asciiTheme="minorHAnsi" w:hAnsiTheme="minorHAnsi" w:cstheme="minorHAnsi"/>
          <w:lang w:eastAsia="zh-CN"/>
        </w:rPr>
        <w:t xml:space="preserve">insufficiency of the dedicated budget for the rental of meeting facilities outside ITU </w:t>
      </w:r>
      <w:proofErr w:type="gramStart"/>
      <w:r w:rsidR="00473F13" w:rsidRPr="00007D1D">
        <w:rPr>
          <w:rFonts w:asciiTheme="minorHAnsi" w:hAnsiTheme="minorHAnsi" w:cstheme="minorHAnsi"/>
          <w:lang w:eastAsia="zh-CN"/>
        </w:rPr>
        <w:t>Headquarters;</w:t>
      </w:r>
      <w:proofErr w:type="gramEnd"/>
    </w:p>
    <w:p w14:paraId="4221CBCE" w14:textId="77777777" w:rsidR="00473F13" w:rsidRPr="00007D1D" w:rsidRDefault="00473F13" w:rsidP="00007D1D">
      <w:pPr>
        <w:numPr>
          <w:ilvl w:val="0"/>
          <w:numId w:val="5"/>
        </w:numPr>
        <w:tabs>
          <w:tab w:val="clear" w:pos="567"/>
          <w:tab w:val="clear" w:pos="720"/>
          <w:tab w:val="clear" w:pos="1134"/>
          <w:tab w:val="clear" w:pos="1701"/>
          <w:tab w:val="clear" w:pos="2268"/>
          <w:tab w:val="clear" w:pos="2835"/>
        </w:tabs>
        <w:overflowPunct/>
        <w:autoSpaceDE/>
        <w:autoSpaceDN/>
        <w:adjustRightInd/>
        <w:snapToGrid w:val="0"/>
        <w:spacing w:after="120"/>
        <w:ind w:left="567" w:hanging="567"/>
        <w:jc w:val="both"/>
        <w:textAlignment w:val="auto"/>
        <w:rPr>
          <w:rFonts w:asciiTheme="minorHAnsi" w:hAnsiTheme="minorHAnsi" w:cstheme="minorHAnsi"/>
          <w:szCs w:val="24"/>
          <w:lang w:eastAsia="zh-CN"/>
        </w:rPr>
      </w:pPr>
      <w:r w:rsidRPr="00007D1D">
        <w:rPr>
          <w:rFonts w:asciiTheme="minorHAnsi" w:hAnsiTheme="minorHAnsi" w:cstheme="minorHAnsi"/>
          <w:szCs w:val="24"/>
          <w:lang w:eastAsia="zh-CN"/>
        </w:rPr>
        <w:t xml:space="preserve">limited availability of facilities in Geneva, particularly due to the CICG renovation from January to October 2028, with premises made available to ITU only in case of cancellations by other </w:t>
      </w:r>
      <w:proofErr w:type="gramStart"/>
      <w:r w:rsidRPr="00007D1D">
        <w:rPr>
          <w:rFonts w:asciiTheme="minorHAnsi" w:hAnsiTheme="minorHAnsi" w:cstheme="minorHAnsi"/>
          <w:szCs w:val="24"/>
          <w:lang w:eastAsia="zh-CN"/>
        </w:rPr>
        <w:t>users;</w:t>
      </w:r>
      <w:proofErr w:type="gramEnd"/>
      <w:r w:rsidRPr="00007D1D">
        <w:rPr>
          <w:rFonts w:asciiTheme="minorHAnsi" w:hAnsiTheme="minorHAnsi" w:cstheme="minorHAnsi"/>
          <w:szCs w:val="24"/>
          <w:lang w:eastAsia="zh-CN"/>
        </w:rPr>
        <w:t xml:space="preserve"> </w:t>
      </w:r>
    </w:p>
    <w:p w14:paraId="25946ADD" w14:textId="77777777" w:rsidR="00473F13" w:rsidRPr="00007D1D" w:rsidRDefault="00473F13" w:rsidP="00007D1D">
      <w:pPr>
        <w:numPr>
          <w:ilvl w:val="0"/>
          <w:numId w:val="5"/>
        </w:numPr>
        <w:tabs>
          <w:tab w:val="clear" w:pos="567"/>
          <w:tab w:val="clear" w:pos="720"/>
          <w:tab w:val="clear" w:pos="1134"/>
          <w:tab w:val="clear" w:pos="1701"/>
          <w:tab w:val="clear" w:pos="2268"/>
          <w:tab w:val="clear" w:pos="2835"/>
        </w:tabs>
        <w:overflowPunct/>
        <w:autoSpaceDE/>
        <w:autoSpaceDN/>
        <w:adjustRightInd/>
        <w:snapToGrid w:val="0"/>
        <w:spacing w:after="120"/>
        <w:ind w:left="567" w:hanging="567"/>
        <w:jc w:val="both"/>
        <w:textAlignment w:val="auto"/>
        <w:rPr>
          <w:rFonts w:asciiTheme="minorHAnsi" w:hAnsiTheme="minorHAnsi" w:cstheme="minorHAnsi"/>
          <w:szCs w:val="24"/>
          <w:lang w:eastAsia="zh-CN"/>
        </w:rPr>
      </w:pPr>
      <w:r w:rsidRPr="00007D1D">
        <w:rPr>
          <w:rFonts w:asciiTheme="minorHAnsi" w:hAnsiTheme="minorHAnsi" w:cstheme="minorHAnsi"/>
          <w:szCs w:val="24"/>
          <w:lang w:eastAsia="zh-CN"/>
        </w:rPr>
        <w:t>uncertain availability of facilities in other international organizations and the relatively high commercial costs of alternative venues.</w:t>
      </w:r>
    </w:p>
    <w:p w14:paraId="49D46FA2" w14:textId="77777777" w:rsidR="00473F13" w:rsidRPr="00007D1D" w:rsidRDefault="00473F13" w:rsidP="006551EC">
      <w:pPr>
        <w:snapToGrid w:val="0"/>
        <w:spacing w:after="120"/>
        <w:jc w:val="both"/>
        <w:rPr>
          <w:rFonts w:asciiTheme="minorHAnsi" w:hAnsiTheme="minorHAnsi" w:cstheme="minorHAnsi"/>
          <w:szCs w:val="24"/>
          <w:lang w:eastAsia="zh-CN"/>
        </w:rPr>
      </w:pPr>
      <w:r w:rsidRPr="00007D1D">
        <w:rPr>
          <w:rFonts w:asciiTheme="minorHAnsi" w:hAnsiTheme="minorHAnsi" w:cstheme="minorHAnsi"/>
          <w:b/>
          <w:bCs/>
          <w:szCs w:val="24"/>
          <w:lang w:eastAsia="zh-CN"/>
        </w:rPr>
        <w:t xml:space="preserve">Recognizes </w:t>
      </w:r>
      <w:r w:rsidRPr="00007D1D">
        <w:rPr>
          <w:rFonts w:asciiTheme="minorHAnsi" w:hAnsiTheme="minorHAnsi" w:cstheme="minorHAnsi"/>
          <w:szCs w:val="24"/>
          <w:lang w:eastAsia="zh-CN"/>
        </w:rPr>
        <w:t>with appreciation the tireless and sustained efforts of the General Secretariat in developing and advancing complex solutions to ensure the continuity of the activities of the Union’s organs and their associated meetings.</w:t>
      </w:r>
    </w:p>
    <w:p w14:paraId="75CB8166" w14:textId="53768E81" w:rsidR="00473F13" w:rsidRPr="00007D1D" w:rsidRDefault="00473F13" w:rsidP="00007D1D">
      <w:pPr>
        <w:snapToGrid w:val="0"/>
        <w:spacing w:before="360" w:after="120"/>
        <w:jc w:val="both"/>
        <w:rPr>
          <w:rFonts w:asciiTheme="minorHAnsi" w:eastAsiaTheme="majorEastAsia" w:hAnsiTheme="minorHAnsi" w:cstheme="minorHAnsi"/>
          <w:b/>
          <w:bCs/>
          <w:szCs w:val="24"/>
        </w:rPr>
      </w:pPr>
      <w:r w:rsidRPr="00007D1D">
        <w:rPr>
          <w:rFonts w:asciiTheme="minorHAnsi" w:eastAsiaTheme="majorEastAsia" w:hAnsiTheme="minorHAnsi" w:cstheme="minorHAnsi"/>
          <w:b/>
          <w:bCs/>
          <w:szCs w:val="24"/>
        </w:rPr>
        <w:t>Proposal:</w:t>
      </w:r>
    </w:p>
    <w:p w14:paraId="1B30274F" w14:textId="77777777" w:rsidR="00473F13" w:rsidRPr="00007D1D" w:rsidRDefault="00473F13" w:rsidP="006551EC">
      <w:pPr>
        <w:snapToGrid w:val="0"/>
        <w:spacing w:after="120"/>
        <w:jc w:val="both"/>
        <w:rPr>
          <w:rFonts w:asciiTheme="minorHAnsi" w:hAnsiTheme="minorHAnsi" w:cstheme="minorHAnsi"/>
          <w:szCs w:val="24"/>
          <w:lang w:eastAsia="zh-CN"/>
        </w:rPr>
      </w:pPr>
      <w:proofErr w:type="gramStart"/>
      <w:r w:rsidRPr="00007D1D">
        <w:rPr>
          <w:rFonts w:asciiTheme="minorHAnsi" w:hAnsiTheme="minorHAnsi" w:cstheme="minorHAnsi"/>
          <w:szCs w:val="24"/>
          <w:lang w:eastAsia="zh-CN"/>
        </w:rPr>
        <w:t>In light of</w:t>
      </w:r>
      <w:proofErr w:type="gramEnd"/>
      <w:r w:rsidRPr="00007D1D">
        <w:rPr>
          <w:rFonts w:asciiTheme="minorHAnsi" w:hAnsiTheme="minorHAnsi" w:cstheme="minorHAnsi"/>
          <w:szCs w:val="24"/>
          <w:lang w:eastAsia="zh-CN"/>
        </w:rPr>
        <w:t xml:space="preserve"> the constraints identified, and with a view to ensuring the continuity of the meetings of the Council and its Council Working Groups (CWGs) in a manner consistent with the provisions of the Convention, the following elements are proposed for the Council’s consideration:</w:t>
      </w:r>
    </w:p>
    <w:p w14:paraId="2160C1EA" w14:textId="77777777" w:rsidR="00473F13" w:rsidRPr="00007D1D" w:rsidRDefault="00473F13" w:rsidP="006551EC">
      <w:pPr>
        <w:snapToGrid w:val="0"/>
        <w:spacing w:after="120"/>
        <w:jc w:val="both"/>
        <w:rPr>
          <w:rFonts w:asciiTheme="minorHAnsi" w:hAnsiTheme="minorHAnsi" w:cstheme="minorHAnsi"/>
          <w:b/>
          <w:bCs/>
          <w:szCs w:val="24"/>
          <w:lang w:eastAsia="zh-CN"/>
        </w:rPr>
      </w:pPr>
      <w:r w:rsidRPr="00007D1D">
        <w:rPr>
          <w:rFonts w:asciiTheme="minorHAnsi" w:hAnsiTheme="minorHAnsi" w:cstheme="minorHAnsi"/>
          <w:b/>
          <w:bCs/>
          <w:szCs w:val="24"/>
          <w:lang w:eastAsia="zh-CN"/>
        </w:rPr>
        <w:t>1. Towards an early guiding framework and resource mobilization</w:t>
      </w:r>
    </w:p>
    <w:p w14:paraId="17FBFB09" w14:textId="77777777" w:rsidR="00473F13" w:rsidRPr="00007D1D" w:rsidRDefault="00473F13" w:rsidP="006551EC">
      <w:pPr>
        <w:snapToGrid w:val="0"/>
        <w:spacing w:after="120"/>
        <w:jc w:val="both"/>
        <w:rPr>
          <w:rFonts w:asciiTheme="minorHAnsi" w:hAnsiTheme="minorHAnsi" w:cstheme="minorHAnsi"/>
          <w:szCs w:val="24"/>
          <w:lang w:eastAsia="zh-CN"/>
        </w:rPr>
      </w:pPr>
      <w:r w:rsidRPr="00007D1D">
        <w:rPr>
          <w:rFonts w:asciiTheme="minorHAnsi" w:hAnsiTheme="minorHAnsi" w:cstheme="minorHAnsi"/>
          <w:szCs w:val="24"/>
          <w:lang w:eastAsia="zh-CN"/>
        </w:rPr>
        <w:t>The Council may wish to reaffirm the importance of holding its ordinary sessions in Geneva, in accordance with Article 4 of the Convention (No. 51), and to ensure that any arrangements envisaged remain consistent with this principle.</w:t>
      </w:r>
    </w:p>
    <w:p w14:paraId="38DA579F" w14:textId="77777777" w:rsidR="00473F13" w:rsidRPr="00007D1D" w:rsidRDefault="00473F13" w:rsidP="006551EC">
      <w:pPr>
        <w:snapToGrid w:val="0"/>
        <w:spacing w:after="120"/>
        <w:jc w:val="both"/>
        <w:rPr>
          <w:rFonts w:asciiTheme="minorHAnsi" w:hAnsiTheme="minorHAnsi" w:cstheme="minorHAnsi"/>
          <w:szCs w:val="24"/>
          <w:lang w:eastAsia="zh-CN"/>
        </w:rPr>
      </w:pPr>
      <w:r w:rsidRPr="00007D1D">
        <w:rPr>
          <w:rFonts w:asciiTheme="minorHAnsi" w:hAnsiTheme="minorHAnsi" w:cstheme="minorHAnsi"/>
          <w:szCs w:val="24"/>
          <w:lang w:eastAsia="zh-CN"/>
        </w:rPr>
        <w:t>In this regard, the Council may wish to consider, at its 2026 session:</w:t>
      </w:r>
    </w:p>
    <w:p w14:paraId="2B602FF3" w14:textId="77777777" w:rsidR="00473F13" w:rsidRPr="00007D1D" w:rsidRDefault="00473F13" w:rsidP="00007D1D">
      <w:pPr>
        <w:pStyle w:val="ListParagraph"/>
        <w:numPr>
          <w:ilvl w:val="0"/>
          <w:numId w:val="2"/>
        </w:numPr>
        <w:snapToGrid w:val="0"/>
        <w:spacing w:before="120" w:after="120" w:line="240" w:lineRule="auto"/>
        <w:ind w:left="567" w:hanging="567"/>
        <w:jc w:val="both"/>
        <w:rPr>
          <w:rFonts w:eastAsia="Times New Roman" w:cstheme="minorHAnsi"/>
          <w:b/>
          <w:bCs/>
          <w:sz w:val="24"/>
          <w:szCs w:val="24"/>
          <w:lang w:val="en-GB" w:eastAsia="zh-CN"/>
        </w:rPr>
      </w:pPr>
      <w:r w:rsidRPr="00007D1D">
        <w:rPr>
          <w:rFonts w:eastAsia="Times New Roman" w:cstheme="minorHAnsi"/>
          <w:sz w:val="24"/>
          <w:szCs w:val="24"/>
          <w:lang w:val="en-GB" w:eastAsia="zh-CN"/>
        </w:rPr>
        <w:t>the possible definition of modalities for organizing its sessions and CWG meetings for the period 2028–2029, including, where appropriate, alternative scenarios in the event of disruptions to the headquarters construction schedule.</w:t>
      </w:r>
    </w:p>
    <w:p w14:paraId="241C582B" w14:textId="77777777" w:rsidR="00473F13" w:rsidRPr="00007D1D" w:rsidRDefault="00473F13" w:rsidP="00007D1D">
      <w:pPr>
        <w:pStyle w:val="ListParagraph"/>
        <w:numPr>
          <w:ilvl w:val="0"/>
          <w:numId w:val="2"/>
        </w:numPr>
        <w:snapToGrid w:val="0"/>
        <w:spacing w:before="120" w:after="120" w:line="240" w:lineRule="auto"/>
        <w:ind w:left="567" w:hanging="567"/>
        <w:jc w:val="both"/>
        <w:rPr>
          <w:rFonts w:eastAsia="Times New Roman" w:cstheme="minorHAnsi"/>
          <w:b/>
          <w:bCs/>
          <w:sz w:val="24"/>
          <w:szCs w:val="24"/>
          <w:lang w:val="en-GB" w:eastAsia="zh-CN"/>
        </w:rPr>
      </w:pPr>
      <w:r w:rsidRPr="00007D1D">
        <w:rPr>
          <w:rFonts w:eastAsia="Times New Roman" w:cstheme="minorHAnsi"/>
          <w:sz w:val="24"/>
          <w:szCs w:val="24"/>
          <w:lang w:eastAsia="zh-CN"/>
        </w:rPr>
        <w:t>the possible allocation of resources resulting from the host country’s support, as well as any available contributions, donations or sponsorship, or / and ITU budget to the continuity fund, with a view to covering additional costs related to the organization of meetings outside of ITU Headquarters.</w:t>
      </w:r>
    </w:p>
    <w:p w14:paraId="6E6F29C2" w14:textId="77777777" w:rsidR="00473F13" w:rsidRPr="00007D1D" w:rsidRDefault="00473F13" w:rsidP="006551EC">
      <w:pPr>
        <w:snapToGrid w:val="0"/>
        <w:spacing w:after="120"/>
        <w:jc w:val="both"/>
        <w:rPr>
          <w:rFonts w:asciiTheme="minorHAnsi" w:hAnsiTheme="minorHAnsi" w:cstheme="minorHAnsi"/>
          <w:b/>
          <w:bCs/>
          <w:szCs w:val="24"/>
          <w:lang w:eastAsia="zh-CN"/>
        </w:rPr>
      </w:pPr>
      <w:r w:rsidRPr="00007D1D">
        <w:rPr>
          <w:rFonts w:asciiTheme="minorHAnsi" w:hAnsiTheme="minorHAnsi" w:cstheme="minorHAnsi"/>
          <w:b/>
          <w:bCs/>
          <w:szCs w:val="24"/>
          <w:lang w:eastAsia="zh-CN"/>
        </w:rPr>
        <w:t>2. Consideration of a combined and phased approach</w:t>
      </w:r>
    </w:p>
    <w:p w14:paraId="39A1E3E6" w14:textId="0645D052" w:rsidR="00473F13" w:rsidRPr="00007D1D" w:rsidRDefault="00473F13" w:rsidP="006551EC">
      <w:pPr>
        <w:snapToGrid w:val="0"/>
        <w:spacing w:after="120"/>
        <w:jc w:val="both"/>
        <w:rPr>
          <w:rFonts w:asciiTheme="minorHAnsi" w:hAnsiTheme="minorHAnsi" w:cstheme="minorHAnsi"/>
          <w:szCs w:val="24"/>
          <w:lang w:eastAsia="zh-CN"/>
        </w:rPr>
      </w:pPr>
      <w:proofErr w:type="gramStart"/>
      <w:r w:rsidRPr="00007D1D">
        <w:rPr>
          <w:rFonts w:asciiTheme="minorHAnsi" w:hAnsiTheme="minorHAnsi" w:cstheme="minorHAnsi"/>
          <w:szCs w:val="24"/>
          <w:lang w:eastAsia="zh-CN"/>
        </w:rPr>
        <w:t>In order to</w:t>
      </w:r>
      <w:proofErr w:type="gramEnd"/>
      <w:r w:rsidRPr="00007D1D">
        <w:rPr>
          <w:rFonts w:asciiTheme="minorHAnsi" w:hAnsiTheme="minorHAnsi" w:cstheme="minorHAnsi"/>
          <w:szCs w:val="24"/>
          <w:lang w:eastAsia="zh-CN"/>
        </w:rPr>
        <w:t xml:space="preserve"> support the continuity of ITU Coun</w:t>
      </w:r>
      <w:r w:rsidR="00EB71B9">
        <w:rPr>
          <w:rFonts w:asciiTheme="minorHAnsi" w:hAnsiTheme="minorHAnsi" w:cstheme="minorHAnsi"/>
          <w:szCs w:val="24"/>
          <w:lang w:eastAsia="zh-CN"/>
        </w:rPr>
        <w:t>c</w:t>
      </w:r>
      <w:r w:rsidRPr="00007D1D">
        <w:rPr>
          <w:rFonts w:asciiTheme="minorHAnsi" w:hAnsiTheme="minorHAnsi" w:cstheme="minorHAnsi"/>
          <w:szCs w:val="24"/>
          <w:lang w:eastAsia="zh-CN"/>
        </w:rPr>
        <w:t>il sessions and CWG clusters, the Council may wish to consider a phased and pragmatic approach, based, in order of priority, on:</w:t>
      </w:r>
    </w:p>
    <w:p w14:paraId="12B0C21A" w14:textId="77777777" w:rsidR="00473F13" w:rsidRPr="00007D1D" w:rsidRDefault="00473F13" w:rsidP="00007D1D">
      <w:pPr>
        <w:pStyle w:val="ListParagraph"/>
        <w:numPr>
          <w:ilvl w:val="0"/>
          <w:numId w:val="3"/>
        </w:numPr>
        <w:snapToGrid w:val="0"/>
        <w:spacing w:before="120" w:after="120" w:line="240" w:lineRule="auto"/>
        <w:ind w:left="567" w:hanging="567"/>
        <w:jc w:val="both"/>
        <w:rPr>
          <w:rFonts w:eastAsia="Times New Roman" w:cstheme="minorHAnsi"/>
          <w:sz w:val="24"/>
          <w:szCs w:val="24"/>
          <w:lang w:val="en-GB" w:eastAsia="zh-CN"/>
        </w:rPr>
      </w:pPr>
      <w:r w:rsidRPr="00007D1D">
        <w:rPr>
          <w:rFonts w:eastAsia="Times New Roman" w:cstheme="minorHAnsi"/>
          <w:sz w:val="24"/>
          <w:szCs w:val="24"/>
          <w:lang w:val="en-GB" w:eastAsia="zh-CN"/>
        </w:rPr>
        <w:t>maintaining session of Council and CWG clusters at headquarters, where feasible.</w:t>
      </w:r>
    </w:p>
    <w:p w14:paraId="2213273B" w14:textId="77777777" w:rsidR="00473F13" w:rsidRPr="00007D1D" w:rsidRDefault="00473F13" w:rsidP="00007D1D">
      <w:pPr>
        <w:pStyle w:val="ListParagraph"/>
        <w:numPr>
          <w:ilvl w:val="0"/>
          <w:numId w:val="3"/>
        </w:numPr>
        <w:snapToGrid w:val="0"/>
        <w:spacing w:before="120" w:after="120" w:line="240" w:lineRule="auto"/>
        <w:ind w:left="567" w:hanging="567"/>
        <w:jc w:val="both"/>
        <w:rPr>
          <w:rFonts w:eastAsia="Times New Roman" w:cstheme="minorHAnsi"/>
          <w:b/>
          <w:bCs/>
          <w:sz w:val="24"/>
          <w:szCs w:val="24"/>
          <w:lang w:val="en-GB" w:eastAsia="zh-CN"/>
        </w:rPr>
      </w:pPr>
      <w:r w:rsidRPr="00007D1D">
        <w:rPr>
          <w:rFonts w:eastAsia="Times New Roman" w:cstheme="minorHAnsi"/>
          <w:sz w:val="24"/>
          <w:szCs w:val="24"/>
          <w:lang w:val="en-GB" w:eastAsia="zh-CN"/>
        </w:rPr>
        <w:t>making use of facilities located in Geneva to host these meetings.</w:t>
      </w:r>
    </w:p>
    <w:p w14:paraId="53D4B65C" w14:textId="77777777" w:rsidR="00473F13" w:rsidRPr="00007D1D" w:rsidRDefault="00473F13" w:rsidP="00007D1D">
      <w:pPr>
        <w:pStyle w:val="ListParagraph"/>
        <w:numPr>
          <w:ilvl w:val="0"/>
          <w:numId w:val="3"/>
        </w:numPr>
        <w:snapToGrid w:val="0"/>
        <w:spacing w:before="120" w:after="120" w:line="240" w:lineRule="auto"/>
        <w:ind w:left="567" w:hanging="567"/>
        <w:jc w:val="both"/>
        <w:rPr>
          <w:rFonts w:eastAsia="Times New Roman" w:cstheme="minorHAnsi"/>
          <w:b/>
          <w:bCs/>
          <w:sz w:val="24"/>
          <w:szCs w:val="24"/>
          <w:lang w:val="en-GB" w:eastAsia="zh-CN"/>
        </w:rPr>
      </w:pPr>
      <w:r w:rsidRPr="00007D1D">
        <w:rPr>
          <w:rFonts w:eastAsia="Times New Roman" w:cstheme="minorHAnsi"/>
          <w:sz w:val="24"/>
          <w:szCs w:val="24"/>
          <w:lang w:eastAsia="zh-CN"/>
        </w:rPr>
        <w:t>Continue to explore the establishment of meeting hubs with the support of interested Member States, in accordance with Resolution 5 (Kyoto, 1994) of the Plenipotentiary Conference, while ensuring that this does not result in additional burdens on the Member States concerned.</w:t>
      </w:r>
    </w:p>
    <w:p w14:paraId="2264BC8B" w14:textId="77777777" w:rsidR="00473F13" w:rsidRPr="00007D1D" w:rsidRDefault="00473F13" w:rsidP="00007D1D">
      <w:pPr>
        <w:keepNext/>
        <w:keepLines/>
        <w:snapToGrid w:val="0"/>
        <w:spacing w:after="120"/>
        <w:jc w:val="both"/>
        <w:rPr>
          <w:rFonts w:asciiTheme="minorHAnsi" w:hAnsiTheme="minorHAnsi" w:cstheme="minorHAnsi"/>
          <w:b/>
          <w:bCs/>
          <w:szCs w:val="24"/>
          <w:lang w:eastAsia="zh-CN"/>
        </w:rPr>
      </w:pPr>
      <w:r w:rsidRPr="00007D1D">
        <w:rPr>
          <w:rFonts w:asciiTheme="minorHAnsi" w:hAnsiTheme="minorHAnsi" w:cstheme="minorHAnsi"/>
          <w:b/>
          <w:bCs/>
          <w:szCs w:val="24"/>
          <w:lang w:eastAsia="zh-CN"/>
        </w:rPr>
        <w:t>3. Strengthening the financial and operational basis for business continuity</w:t>
      </w:r>
    </w:p>
    <w:p w14:paraId="0DA1E12A" w14:textId="77777777" w:rsidR="00473F13" w:rsidRPr="00007D1D" w:rsidRDefault="00473F13" w:rsidP="00007D1D">
      <w:pPr>
        <w:keepNext/>
        <w:keepLines/>
        <w:snapToGrid w:val="0"/>
        <w:spacing w:after="120"/>
        <w:jc w:val="both"/>
        <w:rPr>
          <w:rFonts w:asciiTheme="minorHAnsi" w:hAnsiTheme="minorHAnsi" w:cstheme="minorHAnsi"/>
          <w:szCs w:val="24"/>
          <w:lang w:eastAsia="zh-CN"/>
        </w:rPr>
      </w:pPr>
      <w:proofErr w:type="gramStart"/>
      <w:r w:rsidRPr="00007D1D">
        <w:rPr>
          <w:rFonts w:asciiTheme="minorHAnsi" w:hAnsiTheme="minorHAnsi" w:cstheme="minorHAnsi"/>
          <w:szCs w:val="24"/>
          <w:lang w:eastAsia="zh-CN"/>
        </w:rPr>
        <w:t>Taking into account</w:t>
      </w:r>
      <w:proofErr w:type="gramEnd"/>
      <w:r w:rsidRPr="00007D1D">
        <w:rPr>
          <w:rFonts w:asciiTheme="minorHAnsi" w:hAnsiTheme="minorHAnsi" w:cstheme="minorHAnsi"/>
          <w:szCs w:val="24"/>
          <w:lang w:eastAsia="zh-CN"/>
        </w:rPr>
        <w:t xml:space="preserve"> the above, the Council may wish to consider inviting the Secretariat to:</w:t>
      </w:r>
    </w:p>
    <w:p w14:paraId="1647B25F" w14:textId="77777777" w:rsidR="00473F13" w:rsidRPr="00007D1D" w:rsidRDefault="00473F13" w:rsidP="00007D1D">
      <w:pPr>
        <w:pStyle w:val="ListParagraph"/>
        <w:numPr>
          <w:ilvl w:val="0"/>
          <w:numId w:val="4"/>
        </w:numPr>
        <w:snapToGrid w:val="0"/>
        <w:spacing w:before="120" w:after="120" w:line="240" w:lineRule="auto"/>
        <w:ind w:left="567" w:hanging="567"/>
        <w:jc w:val="both"/>
        <w:rPr>
          <w:rFonts w:eastAsia="Times New Roman" w:cstheme="minorHAnsi"/>
          <w:sz w:val="24"/>
          <w:szCs w:val="24"/>
          <w:lang w:val="en-GB" w:eastAsia="zh-CN"/>
        </w:rPr>
      </w:pPr>
      <w:r w:rsidRPr="00007D1D">
        <w:rPr>
          <w:rFonts w:eastAsia="Times New Roman" w:cstheme="minorHAnsi"/>
          <w:sz w:val="24"/>
          <w:szCs w:val="24"/>
          <w:lang w:val="en-GB" w:eastAsia="zh-CN"/>
        </w:rPr>
        <w:t>provide, in a timely manner, a detailed and comparative financial analysis of the various options, including consolidated cost estimates, a comparison with current costs at headquarters, and an assessment of options involving meeting hubs.</w:t>
      </w:r>
    </w:p>
    <w:p w14:paraId="57929D22" w14:textId="77777777" w:rsidR="00473F13" w:rsidRPr="00007D1D" w:rsidRDefault="00473F13" w:rsidP="00007D1D">
      <w:pPr>
        <w:pStyle w:val="ListParagraph"/>
        <w:numPr>
          <w:ilvl w:val="0"/>
          <w:numId w:val="4"/>
        </w:numPr>
        <w:snapToGrid w:val="0"/>
        <w:spacing w:before="120" w:after="120" w:line="240" w:lineRule="auto"/>
        <w:ind w:left="567" w:hanging="567"/>
        <w:jc w:val="both"/>
        <w:rPr>
          <w:rFonts w:eastAsia="Times New Roman" w:cstheme="minorHAnsi"/>
          <w:sz w:val="24"/>
          <w:szCs w:val="24"/>
          <w:lang w:val="en-GB" w:eastAsia="zh-CN"/>
        </w:rPr>
      </w:pPr>
      <w:r w:rsidRPr="00007D1D">
        <w:rPr>
          <w:rFonts w:eastAsia="Times New Roman" w:cstheme="minorHAnsi"/>
          <w:sz w:val="24"/>
          <w:szCs w:val="24"/>
          <w:lang w:val="en-GB" w:eastAsia="zh-CN"/>
        </w:rPr>
        <w:t>continue the identification and, where possible, advance securing of meeting facilities in Switzerland, and pursue discussions on the establishment of meeting hubs, with a view to informing the Council at its 2026 extraordinary session.</w:t>
      </w:r>
    </w:p>
    <w:p w14:paraId="578464DD" w14:textId="06C7428C" w:rsidR="007A3FCD" w:rsidRPr="006551EC" w:rsidRDefault="00473F13" w:rsidP="00007D1D">
      <w:pPr>
        <w:pStyle w:val="ListParagraph"/>
        <w:numPr>
          <w:ilvl w:val="0"/>
          <w:numId w:val="4"/>
        </w:numPr>
        <w:snapToGrid w:val="0"/>
        <w:spacing w:before="120" w:after="120" w:line="240" w:lineRule="auto"/>
        <w:ind w:left="567" w:hanging="567"/>
        <w:jc w:val="both"/>
        <w:rPr>
          <w:lang w:val="en-GB"/>
        </w:rPr>
      </w:pPr>
      <w:r w:rsidRPr="00007D1D">
        <w:rPr>
          <w:rFonts w:cstheme="minorHAnsi"/>
          <w:szCs w:val="24"/>
          <w:lang w:eastAsia="zh-CN"/>
        </w:rPr>
        <w:t xml:space="preserve">explore possible complementary funding mechanisms to address </w:t>
      </w:r>
      <w:r w:rsidR="001A797E">
        <w:rPr>
          <w:rFonts w:cstheme="minorHAnsi"/>
          <w:lang w:val="en-GB" w:eastAsia="zh-CN"/>
        </w:rPr>
        <w:t>t</w:t>
      </w:r>
      <w:r w:rsidRPr="00007D1D">
        <w:rPr>
          <w:rFonts w:cstheme="minorHAnsi"/>
          <w:lang w:eastAsia="zh-CN"/>
        </w:rPr>
        <w:t>he insufficiency of the dedicated budget for the rental of meeting facilities outside ITU Headquarters</w:t>
      </w:r>
      <w:r w:rsidRPr="00007D1D">
        <w:rPr>
          <w:rFonts w:cstheme="minorHAnsi"/>
          <w:b/>
          <w:bCs/>
          <w:lang w:eastAsia="zh-CN"/>
        </w:rPr>
        <w:t>.</w:t>
      </w:r>
    </w:p>
    <w:p w14:paraId="0D1E478F" w14:textId="77777777" w:rsidR="007A3FCD" w:rsidRPr="00C0458D" w:rsidRDefault="007A3FCD" w:rsidP="00007D1D">
      <w:pPr>
        <w:spacing w:before="600"/>
        <w:jc w:val="center"/>
      </w:pPr>
      <w:r>
        <w:t>______________</w:t>
      </w:r>
    </w:p>
    <w:sectPr w:rsidR="007A3FCD" w:rsidRPr="00C0458D" w:rsidSect="00AD3606">
      <w:footerReference w:type="default" r:id="rId14"/>
      <w:headerReference w:type="first" r:id="rId15"/>
      <w:footerReference w:type="first" r:id="rId16"/>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FB921" w14:textId="77777777" w:rsidR="00410631" w:rsidRDefault="00410631">
      <w:r>
        <w:separator/>
      </w:r>
    </w:p>
  </w:endnote>
  <w:endnote w:type="continuationSeparator" w:id="0">
    <w:p w14:paraId="5892144E" w14:textId="77777777" w:rsidR="00410631" w:rsidRDefault="00410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75102083" w14:textId="77777777" w:rsidTr="0042469C">
      <w:trPr>
        <w:jc w:val="center"/>
      </w:trPr>
      <w:tc>
        <w:tcPr>
          <w:tcW w:w="1803" w:type="dxa"/>
          <w:vAlign w:val="center"/>
        </w:tcPr>
        <w:p w14:paraId="3C16AE96" w14:textId="77777777" w:rsidR="00EE49E8" w:rsidRDefault="00C6520B" w:rsidP="00EE49E8">
          <w:pPr>
            <w:pStyle w:val="Header"/>
            <w:jc w:val="left"/>
            <w:rPr>
              <w:noProof/>
            </w:rPr>
          </w:pPr>
          <w:r>
            <w:rPr>
              <w:noProof/>
            </w:rPr>
            <w:t>gDoc #</w:t>
          </w:r>
        </w:p>
      </w:tc>
      <w:tc>
        <w:tcPr>
          <w:tcW w:w="8261" w:type="dxa"/>
        </w:tcPr>
        <w:p w14:paraId="4D34939F" w14:textId="5A1CB01F"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DE532B">
            <w:rPr>
              <w:bCs/>
            </w:rPr>
            <w:t>6</w:t>
          </w:r>
          <w:r w:rsidRPr="00623AE3">
            <w:rPr>
              <w:bCs/>
            </w:rPr>
            <w:t>/</w:t>
          </w:r>
          <w:r w:rsidR="009B2E90">
            <w:rPr>
              <w:bCs/>
            </w:rPr>
            <w:t>106</w:t>
          </w:r>
          <w:r w:rsidRPr="00623AE3">
            <w:rPr>
              <w:bCs/>
            </w:rPr>
            <w:t>-E</w:t>
          </w:r>
          <w:r>
            <w:rPr>
              <w:bCs/>
            </w:rPr>
            <w:tab/>
          </w:r>
          <w:r>
            <w:fldChar w:fldCharType="begin"/>
          </w:r>
          <w:r>
            <w:instrText>PAGE</w:instrText>
          </w:r>
          <w:r>
            <w:fldChar w:fldCharType="separate"/>
          </w:r>
          <w:r>
            <w:t>1</w:t>
          </w:r>
          <w:r>
            <w:rPr>
              <w:noProof/>
            </w:rPr>
            <w:fldChar w:fldCharType="end"/>
          </w:r>
        </w:p>
      </w:tc>
    </w:tr>
  </w:tbl>
  <w:p w14:paraId="06BC350F"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EE49E8" w:rsidRPr="00784011" w14:paraId="3706779C" w14:textId="77777777" w:rsidTr="006B77F1">
      <w:trPr>
        <w:jc w:val="center"/>
      </w:trPr>
      <w:tc>
        <w:tcPr>
          <w:tcW w:w="1803" w:type="dxa"/>
          <w:vAlign w:val="center"/>
        </w:tcPr>
        <w:p w14:paraId="21DBFDFB" w14:textId="77777777" w:rsidR="00EE49E8" w:rsidRPr="006B77F1" w:rsidRDefault="00DE532B" w:rsidP="00EE49E8">
          <w:pPr>
            <w:pStyle w:val="Header"/>
            <w:jc w:val="left"/>
            <w:rPr>
              <w:noProof/>
            </w:rPr>
          </w:pPr>
          <w:hyperlink r:id="rId1" w:history="1">
            <w:r>
              <w:rPr>
                <w:rStyle w:val="Hyperlink"/>
                <w:u w:val="none"/>
              </w:rPr>
              <w:t>council.itu.int/2026</w:t>
            </w:r>
          </w:hyperlink>
        </w:p>
      </w:tc>
      <w:tc>
        <w:tcPr>
          <w:tcW w:w="8261" w:type="dxa"/>
        </w:tcPr>
        <w:p w14:paraId="0FAB3B16" w14:textId="199D7E64"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DE532B">
            <w:rPr>
              <w:bCs/>
            </w:rPr>
            <w:t>6</w:t>
          </w:r>
          <w:r w:rsidRPr="00623AE3">
            <w:rPr>
              <w:bCs/>
            </w:rPr>
            <w:t>/</w:t>
          </w:r>
          <w:r w:rsidR="006551EC">
            <w:rPr>
              <w:bCs/>
            </w:rPr>
            <w:t>106</w:t>
          </w:r>
          <w:r w:rsidRPr="00623AE3">
            <w:rPr>
              <w:bCs/>
            </w:rPr>
            <w:t>-E</w:t>
          </w:r>
          <w:r>
            <w:rPr>
              <w:bCs/>
            </w:rPr>
            <w:tab/>
          </w:r>
          <w:r>
            <w:fldChar w:fldCharType="begin"/>
          </w:r>
          <w:r>
            <w:instrText>PAGE</w:instrText>
          </w:r>
          <w:r>
            <w:fldChar w:fldCharType="separate"/>
          </w:r>
          <w:r>
            <w:t>1</w:t>
          </w:r>
          <w:r>
            <w:rPr>
              <w:noProof/>
            </w:rPr>
            <w:fldChar w:fldCharType="end"/>
          </w:r>
        </w:p>
      </w:tc>
    </w:tr>
  </w:tbl>
  <w:p w14:paraId="0E27737E"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7A359" w14:textId="77777777" w:rsidR="00410631" w:rsidRDefault="00410631">
      <w:r>
        <w:t>____________________</w:t>
      </w:r>
    </w:p>
  </w:footnote>
  <w:footnote w:type="continuationSeparator" w:id="0">
    <w:p w14:paraId="085907A1" w14:textId="77777777" w:rsidR="00410631" w:rsidRDefault="00410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CA2B7" w14:textId="77777777" w:rsidR="00AD3606" w:rsidRPr="00512087" w:rsidRDefault="00512087" w:rsidP="0049369C">
    <w:pPr>
      <w:pStyle w:val="Header"/>
    </w:pPr>
    <w:r>
      <w:rPr>
        <w:noProof/>
      </w:rPr>
      <w:drawing>
        <wp:inline distT="0" distB="0" distL="0" distR="0" wp14:anchorId="16AD69B0" wp14:editId="15BC3CB0">
          <wp:extent cx="5760085" cy="840740"/>
          <wp:effectExtent l="0" t="0" r="0" b="0"/>
          <wp:docPr id="998791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791133" name="Picture 998791133"/>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D65153"/>
    <w:multiLevelType w:val="multilevel"/>
    <w:tmpl w:val="56C64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E62166"/>
    <w:multiLevelType w:val="hybridMultilevel"/>
    <w:tmpl w:val="0A829D88"/>
    <w:lvl w:ilvl="0" w:tplc="FC80515A">
      <w:numFmt w:val="bullet"/>
      <w:lvlText w:val="-"/>
      <w:lvlJc w:val="left"/>
      <w:pPr>
        <w:ind w:left="720" w:hanging="360"/>
      </w:pPr>
      <w:rPr>
        <w:rFonts w:ascii="Calibri" w:eastAsiaTheme="minorEastAsia" w:hAnsi="Calibri" w:cs="Calibri"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3" w15:restartNumberingAfterBreak="0">
    <w:nsid w:val="368C5FC0"/>
    <w:multiLevelType w:val="hybridMultilevel"/>
    <w:tmpl w:val="26B07DAA"/>
    <w:lvl w:ilvl="0" w:tplc="FC80515A">
      <w:numFmt w:val="bullet"/>
      <w:lvlText w:val="-"/>
      <w:lvlJc w:val="left"/>
      <w:pPr>
        <w:ind w:left="720" w:hanging="360"/>
      </w:pPr>
      <w:rPr>
        <w:rFonts w:ascii="Calibri" w:eastAsiaTheme="minorEastAsia"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E2E1E00"/>
    <w:multiLevelType w:val="hybridMultilevel"/>
    <w:tmpl w:val="30582078"/>
    <w:lvl w:ilvl="0" w:tplc="FC80515A">
      <w:numFmt w:val="bullet"/>
      <w:lvlText w:val="-"/>
      <w:lvlJc w:val="left"/>
      <w:pPr>
        <w:ind w:left="720" w:hanging="360"/>
      </w:pPr>
      <w:rPr>
        <w:rFonts w:ascii="Calibri" w:eastAsiaTheme="minorEastAsia" w:hAnsi="Calibri" w:cs="Calibri"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num w:numId="1" w16cid:durableId="1374816267">
    <w:abstractNumId w:val="0"/>
  </w:num>
  <w:num w:numId="2" w16cid:durableId="27799414">
    <w:abstractNumId w:val="2"/>
  </w:num>
  <w:num w:numId="3" w16cid:durableId="733814945">
    <w:abstractNumId w:val="4"/>
  </w:num>
  <w:num w:numId="4" w16cid:durableId="232356472">
    <w:abstractNumId w:val="3"/>
  </w:num>
  <w:num w:numId="5" w16cid:durableId="4956083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212"/>
    <w:rsid w:val="00007D1D"/>
    <w:rsid w:val="00011588"/>
    <w:rsid w:val="000210D4"/>
    <w:rsid w:val="0006007D"/>
    <w:rsid w:val="00063016"/>
    <w:rsid w:val="00066795"/>
    <w:rsid w:val="00076AF6"/>
    <w:rsid w:val="00085CF2"/>
    <w:rsid w:val="000B1705"/>
    <w:rsid w:val="000D75B2"/>
    <w:rsid w:val="000E372C"/>
    <w:rsid w:val="000F5DDB"/>
    <w:rsid w:val="001121F5"/>
    <w:rsid w:val="001400DC"/>
    <w:rsid w:val="00140CE1"/>
    <w:rsid w:val="0015189A"/>
    <w:rsid w:val="0017539C"/>
    <w:rsid w:val="00175AC2"/>
    <w:rsid w:val="0017609F"/>
    <w:rsid w:val="00176F47"/>
    <w:rsid w:val="001A3154"/>
    <w:rsid w:val="001A797E"/>
    <w:rsid w:val="001A7D1D"/>
    <w:rsid w:val="001B51DD"/>
    <w:rsid w:val="001C628E"/>
    <w:rsid w:val="001E0F7B"/>
    <w:rsid w:val="001F5569"/>
    <w:rsid w:val="0020487B"/>
    <w:rsid w:val="002119FD"/>
    <w:rsid w:val="002130E0"/>
    <w:rsid w:val="00221F46"/>
    <w:rsid w:val="00264425"/>
    <w:rsid w:val="00265875"/>
    <w:rsid w:val="0027303B"/>
    <w:rsid w:val="00277DEA"/>
    <w:rsid w:val="0028109B"/>
    <w:rsid w:val="002916B4"/>
    <w:rsid w:val="002A0615"/>
    <w:rsid w:val="002A133E"/>
    <w:rsid w:val="002A2188"/>
    <w:rsid w:val="002B1F58"/>
    <w:rsid w:val="002B4A0D"/>
    <w:rsid w:val="002C1C7A"/>
    <w:rsid w:val="002C3F32"/>
    <w:rsid w:val="002C54E2"/>
    <w:rsid w:val="0030160F"/>
    <w:rsid w:val="00320223"/>
    <w:rsid w:val="00322D0D"/>
    <w:rsid w:val="00334BEF"/>
    <w:rsid w:val="00361465"/>
    <w:rsid w:val="003845D3"/>
    <w:rsid w:val="003877F5"/>
    <w:rsid w:val="003936D3"/>
    <w:rsid w:val="003942D4"/>
    <w:rsid w:val="003958A8"/>
    <w:rsid w:val="003B29C2"/>
    <w:rsid w:val="003B4FAF"/>
    <w:rsid w:val="003C2533"/>
    <w:rsid w:val="003D5A7F"/>
    <w:rsid w:val="003F0228"/>
    <w:rsid w:val="0040435A"/>
    <w:rsid w:val="00410631"/>
    <w:rsid w:val="00411BF2"/>
    <w:rsid w:val="00416A24"/>
    <w:rsid w:val="00431D9E"/>
    <w:rsid w:val="00433CE8"/>
    <w:rsid w:val="00434A5C"/>
    <w:rsid w:val="00453079"/>
    <w:rsid w:val="004544D9"/>
    <w:rsid w:val="00465C35"/>
    <w:rsid w:val="00472BAD"/>
    <w:rsid w:val="00473F13"/>
    <w:rsid w:val="00484009"/>
    <w:rsid w:val="00490E72"/>
    <w:rsid w:val="00491157"/>
    <w:rsid w:val="00491BA9"/>
    <w:rsid w:val="004921C8"/>
    <w:rsid w:val="0049369C"/>
    <w:rsid w:val="00495615"/>
    <w:rsid w:val="00495B0B"/>
    <w:rsid w:val="004A1B8B"/>
    <w:rsid w:val="004D1851"/>
    <w:rsid w:val="004D599D"/>
    <w:rsid w:val="004E2EA5"/>
    <w:rsid w:val="004E3AEB"/>
    <w:rsid w:val="0050223C"/>
    <w:rsid w:val="00512087"/>
    <w:rsid w:val="005243FF"/>
    <w:rsid w:val="00546F88"/>
    <w:rsid w:val="00564FBC"/>
    <w:rsid w:val="005800BC"/>
    <w:rsid w:val="00582442"/>
    <w:rsid w:val="005B1212"/>
    <w:rsid w:val="005F3269"/>
    <w:rsid w:val="0061071E"/>
    <w:rsid w:val="00623AE3"/>
    <w:rsid w:val="0064737F"/>
    <w:rsid w:val="006535F1"/>
    <w:rsid w:val="006551EC"/>
    <w:rsid w:val="0065557D"/>
    <w:rsid w:val="00660D50"/>
    <w:rsid w:val="00662984"/>
    <w:rsid w:val="006716BB"/>
    <w:rsid w:val="0067674D"/>
    <w:rsid w:val="006A2F4B"/>
    <w:rsid w:val="006B1859"/>
    <w:rsid w:val="006B6680"/>
    <w:rsid w:val="006B6DCC"/>
    <w:rsid w:val="006B77F1"/>
    <w:rsid w:val="00702DEF"/>
    <w:rsid w:val="00706861"/>
    <w:rsid w:val="00722551"/>
    <w:rsid w:val="0075051B"/>
    <w:rsid w:val="00765C89"/>
    <w:rsid w:val="0077110E"/>
    <w:rsid w:val="00793188"/>
    <w:rsid w:val="00794D34"/>
    <w:rsid w:val="007A3FCD"/>
    <w:rsid w:val="007B19CF"/>
    <w:rsid w:val="007D01AF"/>
    <w:rsid w:val="007E37B6"/>
    <w:rsid w:val="00813E5E"/>
    <w:rsid w:val="00834311"/>
    <w:rsid w:val="0083581B"/>
    <w:rsid w:val="0084546D"/>
    <w:rsid w:val="00863874"/>
    <w:rsid w:val="00864AFF"/>
    <w:rsid w:val="00865925"/>
    <w:rsid w:val="008B4A6A"/>
    <w:rsid w:val="008C7E27"/>
    <w:rsid w:val="008F7448"/>
    <w:rsid w:val="0090147A"/>
    <w:rsid w:val="009020CE"/>
    <w:rsid w:val="009173EF"/>
    <w:rsid w:val="00932906"/>
    <w:rsid w:val="009439B5"/>
    <w:rsid w:val="00954C49"/>
    <w:rsid w:val="00961B0B"/>
    <w:rsid w:val="00962D33"/>
    <w:rsid w:val="009842A1"/>
    <w:rsid w:val="009A76A8"/>
    <w:rsid w:val="009B2E90"/>
    <w:rsid w:val="009B38C3"/>
    <w:rsid w:val="009E17BD"/>
    <w:rsid w:val="009E485A"/>
    <w:rsid w:val="00A04CEC"/>
    <w:rsid w:val="00A109AF"/>
    <w:rsid w:val="00A27F92"/>
    <w:rsid w:val="00A316C8"/>
    <w:rsid w:val="00A32257"/>
    <w:rsid w:val="00A36D20"/>
    <w:rsid w:val="00A514A4"/>
    <w:rsid w:val="00A55622"/>
    <w:rsid w:val="00A83502"/>
    <w:rsid w:val="00A94BAB"/>
    <w:rsid w:val="00AD15B3"/>
    <w:rsid w:val="00AD3606"/>
    <w:rsid w:val="00AD4A3D"/>
    <w:rsid w:val="00AF6E49"/>
    <w:rsid w:val="00B04A67"/>
    <w:rsid w:val="00B0583C"/>
    <w:rsid w:val="00B30819"/>
    <w:rsid w:val="00B40A81"/>
    <w:rsid w:val="00B44910"/>
    <w:rsid w:val="00B72267"/>
    <w:rsid w:val="00B76EB6"/>
    <w:rsid w:val="00B7737B"/>
    <w:rsid w:val="00B824C8"/>
    <w:rsid w:val="00B84B9D"/>
    <w:rsid w:val="00B9131F"/>
    <w:rsid w:val="00BB0646"/>
    <w:rsid w:val="00BC251A"/>
    <w:rsid w:val="00BC4A20"/>
    <w:rsid w:val="00BD032B"/>
    <w:rsid w:val="00BE01C6"/>
    <w:rsid w:val="00BE2640"/>
    <w:rsid w:val="00BF1FDE"/>
    <w:rsid w:val="00C01189"/>
    <w:rsid w:val="00C0169F"/>
    <w:rsid w:val="00C0458D"/>
    <w:rsid w:val="00C36E6B"/>
    <w:rsid w:val="00C374DE"/>
    <w:rsid w:val="00C47AD4"/>
    <w:rsid w:val="00C52D81"/>
    <w:rsid w:val="00C55198"/>
    <w:rsid w:val="00C5605F"/>
    <w:rsid w:val="00C6520B"/>
    <w:rsid w:val="00CA6393"/>
    <w:rsid w:val="00CA7995"/>
    <w:rsid w:val="00CB18FF"/>
    <w:rsid w:val="00CD0C08"/>
    <w:rsid w:val="00CE03FB"/>
    <w:rsid w:val="00CE433C"/>
    <w:rsid w:val="00CF0161"/>
    <w:rsid w:val="00CF33F3"/>
    <w:rsid w:val="00CF4A2B"/>
    <w:rsid w:val="00D024CA"/>
    <w:rsid w:val="00D046DB"/>
    <w:rsid w:val="00D06183"/>
    <w:rsid w:val="00D22C42"/>
    <w:rsid w:val="00D65041"/>
    <w:rsid w:val="00DB1936"/>
    <w:rsid w:val="00DB384B"/>
    <w:rsid w:val="00DE4980"/>
    <w:rsid w:val="00DE532B"/>
    <w:rsid w:val="00DF0189"/>
    <w:rsid w:val="00E06FD5"/>
    <w:rsid w:val="00E10E80"/>
    <w:rsid w:val="00E124F0"/>
    <w:rsid w:val="00E227F3"/>
    <w:rsid w:val="00E545C6"/>
    <w:rsid w:val="00E60F04"/>
    <w:rsid w:val="00E65B24"/>
    <w:rsid w:val="00E854E4"/>
    <w:rsid w:val="00E86DBF"/>
    <w:rsid w:val="00E969AF"/>
    <w:rsid w:val="00EB0D6F"/>
    <w:rsid w:val="00EB2232"/>
    <w:rsid w:val="00EB71B9"/>
    <w:rsid w:val="00EC5337"/>
    <w:rsid w:val="00EE49E8"/>
    <w:rsid w:val="00F16BAB"/>
    <w:rsid w:val="00F2150A"/>
    <w:rsid w:val="00F231D8"/>
    <w:rsid w:val="00F27212"/>
    <w:rsid w:val="00F44C00"/>
    <w:rsid w:val="00F45D2C"/>
    <w:rsid w:val="00F46C5F"/>
    <w:rsid w:val="00F632C0"/>
    <w:rsid w:val="00F641E1"/>
    <w:rsid w:val="00F94A63"/>
    <w:rsid w:val="00FA1C28"/>
    <w:rsid w:val="00FB1279"/>
    <w:rsid w:val="00FB6B76"/>
    <w:rsid w:val="00FB7596"/>
    <w:rsid w:val="00FD7D10"/>
    <w:rsid w:val="00FE4077"/>
    <w:rsid w:val="00FE500D"/>
    <w:rsid w:val="00FE77D2"/>
    <w:rsid w:val="00FF39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06ADDF"/>
  <w15:docId w15:val="{71D14934-2434-46B7-90F1-46CABA0F5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B9131F"/>
    <w:pPr>
      <w:keepNext/>
      <w:keepLines/>
      <w:spacing w:before="360"/>
      <w:ind w:left="567" w:hanging="567"/>
      <w:outlineLvl w:val="0"/>
    </w:pPr>
    <w:rPr>
      <w:b/>
      <w:sz w:val="28"/>
    </w:rPr>
  </w:style>
  <w:style w:type="paragraph" w:styleId="Heading2">
    <w:name w:val="heading 2"/>
    <w:basedOn w:val="Heading1"/>
    <w:next w:val="Normal"/>
    <w:qFormat/>
    <w:rsid w:val="00B9131F"/>
    <w:pPr>
      <w:spacing w:before="240"/>
      <w:outlineLvl w:val="1"/>
    </w:pPr>
    <w:rPr>
      <w:sz w:val="24"/>
    </w:rPr>
  </w:style>
  <w:style w:type="paragraph" w:styleId="Heading3">
    <w:name w:val="heading 3"/>
    <w:basedOn w:val="Heading1"/>
    <w:next w:val="Normal"/>
    <w:qFormat/>
    <w:rsid w:val="00B9131F"/>
    <w:pPr>
      <w:spacing w:before="200"/>
      <w:outlineLvl w:val="2"/>
    </w:pPr>
    <w:rPr>
      <w:sz w:val="24"/>
    </w:rPr>
  </w:style>
  <w:style w:type="paragraph" w:styleId="Heading4">
    <w:name w:val="heading 4"/>
    <w:basedOn w:val="Heading3"/>
    <w:next w:val="Normal"/>
    <w:qFormat/>
    <w:rsid w:val="00B9131F"/>
    <w:pPr>
      <w:ind w:left="1134" w:hanging="1134"/>
      <w:outlineLvl w:val="3"/>
    </w:pPr>
  </w:style>
  <w:style w:type="paragraph" w:styleId="Heading5">
    <w:name w:val="heading 5"/>
    <w:basedOn w:val="Heading4"/>
    <w:next w:val="Normal"/>
    <w:qFormat/>
    <w:rsid w:val="00B9131F"/>
    <w:pPr>
      <w:outlineLvl w:val="4"/>
    </w:pPr>
  </w:style>
  <w:style w:type="paragraph" w:styleId="Heading6">
    <w:name w:val="heading 6"/>
    <w:basedOn w:val="Heading4"/>
    <w:next w:val="Normal"/>
    <w:qFormat/>
    <w:rsid w:val="00B9131F"/>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B9131F"/>
    <w:pPr>
      <w:ind w:left="1701" w:hanging="1701"/>
      <w:outlineLvl w:val="7"/>
    </w:pPr>
  </w:style>
  <w:style w:type="paragraph" w:styleId="Heading9">
    <w:name w:val="heading 9"/>
    <w:basedOn w:val="Heading4"/>
    <w:next w:val="Normal"/>
    <w:qFormat/>
    <w:rsid w:val="00B9131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B9131F"/>
    <w:rPr>
      <w:rFonts w:asciiTheme="minorHAnsi" w:hAnsiTheme="minorHAnsi"/>
      <w:sz w:val="24"/>
    </w:rPr>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D024CA"/>
    <w:pPr>
      <w:keepLines/>
      <w:tabs>
        <w:tab w:val="left" w:pos="284"/>
      </w:tabs>
      <w:ind w:left="284" w:hanging="284"/>
    </w:pPr>
    <w:rPr>
      <w:sz w:val="22"/>
    </w:rPr>
  </w:style>
  <w:style w:type="paragraph" w:styleId="NormalIndent">
    <w:name w:val="Normal Indent"/>
    <w:basedOn w:val="Normal"/>
    <w:rsid w:val="00813E5E"/>
    <w:pPr>
      <w:ind w:left="567"/>
    </w:pPr>
  </w:style>
  <w:style w:type="paragraph" w:customStyle="1" w:styleId="enumlev1">
    <w:name w:val="enumlev1"/>
    <w:basedOn w:val="Normal"/>
    <w:qFormat/>
    <w:rsid w:val="001A3154"/>
    <w:pPr>
      <w:spacing w:before="80"/>
      <w:ind w:left="567" w:hanging="567"/>
    </w:pPr>
  </w:style>
  <w:style w:type="paragraph" w:customStyle="1" w:styleId="enumlev2">
    <w:name w:val="enumlev2"/>
    <w:basedOn w:val="enumlev1"/>
    <w:qFormat/>
    <w:rsid w:val="001A3154"/>
    <w:pPr>
      <w:ind w:left="1134"/>
    </w:pPr>
  </w:style>
  <w:style w:type="paragraph" w:customStyle="1" w:styleId="enumlev3">
    <w:name w:val="enumlev3"/>
    <w:basedOn w:val="enumlev2"/>
    <w:qFormat/>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834311"/>
    <w:pPr>
      <w:framePr w:hSpace="181" w:wrap="around" w:vAnchor="page" w:hAnchor="page" w:x="1589" w:y="2314"/>
      <w:spacing w:before="720" w:after="120"/>
      <w:jc w:val="both"/>
    </w:pPr>
    <w:rPr>
      <w:b/>
      <w:sz w:val="34"/>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9131F"/>
    <w:rPr>
      <w:color w:val="4F81BD" w:themeColor="accent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B9131F"/>
    <w:pPr>
      <w:spacing w:before="160"/>
      <w:ind w:left="0" w:firstLine="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qFormat/>
    <w:rsid w:val="00221F46"/>
    <w:pPr>
      <w:keepNext/>
      <w:keepLines/>
      <w:spacing w:before="720"/>
      <w:jc w:val="center"/>
    </w:pPr>
    <w:rPr>
      <w:caps/>
      <w:sz w:val="28"/>
    </w:rPr>
  </w:style>
  <w:style w:type="paragraph" w:customStyle="1" w:styleId="Annextitle">
    <w:name w:val="Annex_title"/>
    <w:basedOn w:val="Normal"/>
    <w:next w:val="Normal"/>
    <w:qFormat/>
    <w:rsid w:val="00221F46"/>
    <w:pPr>
      <w:keepNext/>
      <w:keepLines/>
      <w:spacing w:after="240"/>
      <w:jc w:val="center"/>
    </w:pPr>
    <w:rPr>
      <w:b/>
      <w:sz w:val="28"/>
    </w:rPr>
  </w:style>
  <w:style w:type="paragraph" w:customStyle="1" w:styleId="Annexref">
    <w:name w:val="Annex_ref"/>
    <w:basedOn w:val="Normal"/>
    <w:next w:val="Annextitle"/>
    <w:qFormat/>
    <w:rsid w:val="00221F46"/>
    <w:pPr>
      <w:keepNext/>
      <w:keepLines/>
      <w:jc w:val="center"/>
    </w:pPr>
  </w:style>
  <w:style w:type="paragraph" w:customStyle="1" w:styleId="Call">
    <w:name w:val="Call"/>
    <w:basedOn w:val="Normal"/>
    <w:next w:val="Normal"/>
    <w:qFormat/>
    <w:rsid w:val="00F641E1"/>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176F47"/>
    <w:pPr>
      <w:framePr w:wrap="around" w:vAnchor="margin" w:hAnchor="text" w:x="1821" w:y="2317"/>
      <w:spacing w:before="120"/>
    </w:pPr>
    <w:rPr>
      <w:sz w:val="32"/>
      <w:szCs w:val="32"/>
    </w:rPr>
  </w:style>
  <w:style w:type="paragraph" w:customStyle="1" w:styleId="Figure">
    <w:name w:val="Figure"/>
    <w:basedOn w:val="Normal"/>
    <w:next w:val="Figuretitle"/>
    <w:qFormat/>
    <w:rsid w:val="001A3154"/>
    <w:pPr>
      <w:spacing w:after="240"/>
      <w:jc w:val="center"/>
    </w:pPr>
  </w:style>
  <w:style w:type="paragraph" w:customStyle="1" w:styleId="Figuretitle">
    <w:name w:val="Figure_title"/>
    <w:basedOn w:val="Tabletitle"/>
    <w:next w:val="Normalaftertitle"/>
    <w:qFormat/>
    <w:rsid w:val="001A3154"/>
    <w:pPr>
      <w:spacing w:before="120" w:after="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qFormat/>
    <w:rsid w:val="00B9131F"/>
    <w:pPr>
      <w:spacing w:before="20" w:after="240"/>
    </w:pPr>
    <w:rPr>
      <w:sz w:val="20"/>
    </w:rPr>
  </w:style>
  <w:style w:type="paragraph" w:customStyle="1" w:styleId="FigureNo">
    <w:name w:val="Figure_No"/>
    <w:basedOn w:val="Normal"/>
    <w:next w:val="Figuretitle"/>
    <w:qFormat/>
    <w:rsid w:val="001A3154"/>
    <w:pPr>
      <w:keepNext/>
      <w:keepLines/>
      <w:spacing w:before="480"/>
      <w:jc w:val="center"/>
    </w:pPr>
    <w:rPr>
      <w:caps/>
    </w:rPr>
  </w:style>
  <w:style w:type="paragraph" w:customStyle="1" w:styleId="Figurewithouttitle">
    <w:name w:val="Figure_without_title"/>
    <w:basedOn w:val="Figure"/>
    <w:next w:val="Normalaftertitle"/>
    <w:rsid w:val="001A3154"/>
  </w:style>
  <w:style w:type="paragraph" w:customStyle="1" w:styleId="Headingi">
    <w:name w:val="Heading_i"/>
    <w:basedOn w:val="Heading3"/>
    <w:next w:val="Normal"/>
    <w:rsid w:val="00B9131F"/>
    <w:pPr>
      <w:spacing w:before="160"/>
      <w:ind w:left="0" w:firstLine="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qFormat/>
    <w:rsid w:val="00F641E1"/>
    <w:pPr>
      <w:keepNext/>
      <w:keepLines/>
      <w:tabs>
        <w:tab w:val="clear" w:pos="567"/>
        <w:tab w:val="clear" w:pos="1134"/>
        <w:tab w:val="clear" w:pos="1701"/>
        <w:tab w:val="clear" w:pos="2268"/>
        <w:tab w:val="clear" w:pos="2835"/>
      </w:tabs>
      <w:spacing w:before="360"/>
      <w:jc w:val="center"/>
    </w:pPr>
    <w:rPr>
      <w:b/>
    </w:rPr>
  </w:style>
  <w:style w:type="paragraph" w:customStyle="1" w:styleId="ArtNo">
    <w:name w:val="Art_No"/>
    <w:basedOn w:val="Normal"/>
    <w:next w:val="Arttitle"/>
    <w:qFormat/>
    <w:rsid w:val="00F641E1"/>
    <w:pPr>
      <w:keepNext/>
      <w:keepLines/>
      <w:tabs>
        <w:tab w:val="clear" w:pos="567"/>
        <w:tab w:val="clear" w:pos="1134"/>
        <w:tab w:val="clear" w:pos="1701"/>
        <w:tab w:val="clear" w:pos="2268"/>
        <w:tab w:val="clear" w:pos="2835"/>
      </w:tabs>
      <w:spacing w:before="480"/>
      <w:jc w:val="center"/>
    </w:pPr>
    <w:rPr>
      <w:caps/>
      <w:sz w:val="28"/>
    </w:rPr>
  </w:style>
  <w:style w:type="paragraph" w:customStyle="1" w:styleId="Arttitle">
    <w:name w:val="Art_title"/>
    <w:basedOn w:val="Normal"/>
    <w:next w:val="Normal"/>
    <w:qFormat/>
    <w:rsid w:val="00F641E1"/>
    <w:pPr>
      <w:keepNext/>
      <w:keepLines/>
      <w:tabs>
        <w:tab w:val="clear" w:pos="567"/>
        <w:tab w:val="clear" w:pos="1134"/>
        <w:tab w:val="clear" w:pos="1701"/>
        <w:tab w:val="clear" w:pos="2268"/>
        <w:tab w:val="clear" w:pos="2835"/>
      </w:tabs>
      <w:spacing w:after="240"/>
      <w:jc w:val="center"/>
    </w:pPr>
    <w:rPr>
      <w:b/>
      <w:sz w:val="28"/>
    </w:rPr>
  </w:style>
  <w:style w:type="paragraph" w:customStyle="1" w:styleId="ChapNo">
    <w:name w:val="Chap_No"/>
    <w:basedOn w:val="ArtNo"/>
    <w:next w:val="Chaptitle"/>
    <w:qFormat/>
    <w:rsid w:val="00813E5E"/>
  </w:style>
  <w:style w:type="paragraph" w:customStyle="1" w:styleId="Chaptitle">
    <w:name w:val="Chap_title"/>
    <w:basedOn w:val="Arttitle"/>
    <w:next w:val="Normal"/>
    <w:qFormat/>
    <w:rsid w:val="001A3154"/>
  </w:style>
  <w:style w:type="character" w:styleId="UnresolvedMention">
    <w:name w:val="Unresolved Mention"/>
    <w:basedOn w:val="DefaultParagraphFont"/>
    <w:uiPriority w:val="99"/>
    <w:semiHidden/>
    <w:unhideWhenUsed/>
    <w:rsid w:val="00BF1FDE"/>
    <w:rPr>
      <w:color w:val="605E5C"/>
      <w:shd w:val="clear" w:color="auto" w:fill="E1DFDD"/>
    </w:rPr>
  </w:style>
  <w:style w:type="character" w:styleId="PlaceholderText">
    <w:name w:val="Placeholder Text"/>
    <w:basedOn w:val="DefaultParagraphFont"/>
    <w:uiPriority w:val="99"/>
    <w:semiHidden/>
    <w:rsid w:val="00CA7995"/>
    <w:rPr>
      <w:color w:val="666666"/>
    </w:rPr>
  </w:style>
  <w:style w:type="paragraph" w:customStyle="1" w:styleId="Reasons">
    <w:name w:val="Reasons"/>
    <w:basedOn w:val="Normal"/>
    <w:qFormat/>
    <w:rsid w:val="007A3FCD"/>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paragraph" w:styleId="Title">
    <w:name w:val="Title"/>
    <w:basedOn w:val="Normal"/>
    <w:next w:val="Normal"/>
    <w:link w:val="TitleChar"/>
    <w:uiPriority w:val="10"/>
    <w:qFormat/>
    <w:rsid w:val="00473F13"/>
    <w:pPr>
      <w:pBdr>
        <w:bottom w:val="single" w:sz="8" w:space="4" w:color="4F81BD" w:themeColor="accent1"/>
      </w:pBdr>
      <w:tabs>
        <w:tab w:val="clear" w:pos="567"/>
        <w:tab w:val="clear" w:pos="1134"/>
        <w:tab w:val="clear" w:pos="1701"/>
        <w:tab w:val="clear" w:pos="2268"/>
        <w:tab w:val="clear" w:pos="2835"/>
      </w:tabs>
      <w:overflowPunct/>
      <w:autoSpaceDE/>
      <w:autoSpaceDN/>
      <w:adjustRightInd/>
      <w:spacing w:before="0" w:after="300"/>
      <w:contextualSpacing/>
      <w:textAlignment w:val="auto"/>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TitleChar">
    <w:name w:val="Title Char"/>
    <w:basedOn w:val="DefaultParagraphFont"/>
    <w:link w:val="Title"/>
    <w:uiPriority w:val="10"/>
    <w:rsid w:val="00473F13"/>
    <w:rPr>
      <w:rFonts w:asciiTheme="majorHAnsi" w:eastAsiaTheme="majorEastAsia" w:hAnsiTheme="majorHAnsi" w:cstheme="majorBidi"/>
      <w:color w:val="17365D" w:themeColor="text2" w:themeShade="BF"/>
      <w:spacing w:val="5"/>
      <w:kern w:val="28"/>
      <w:sz w:val="52"/>
      <w:szCs w:val="52"/>
      <w:lang w:eastAsia="en-US"/>
    </w:rPr>
  </w:style>
  <w:style w:type="paragraph" w:styleId="ListParagraph">
    <w:name w:val="List Paragraph"/>
    <w:basedOn w:val="Normal"/>
    <w:uiPriority w:val="34"/>
    <w:qFormat/>
    <w:rsid w:val="00473F13"/>
    <w:pPr>
      <w:tabs>
        <w:tab w:val="clear" w:pos="567"/>
        <w:tab w:val="clear" w:pos="1134"/>
        <w:tab w:val="clear" w:pos="1701"/>
        <w:tab w:val="clear" w:pos="2268"/>
        <w:tab w:val="clear" w:pos="2835"/>
      </w:tabs>
      <w:overflowPunct/>
      <w:autoSpaceDE/>
      <w:autoSpaceDN/>
      <w:adjustRightInd/>
      <w:spacing w:before="0" w:after="200" w:line="276" w:lineRule="auto"/>
      <w:ind w:left="720"/>
      <w:contextualSpacing/>
      <w:textAlignment w:val="auto"/>
    </w:pPr>
    <w:rPr>
      <w:rFonts w:asciiTheme="minorHAnsi" w:eastAsiaTheme="minorEastAsia" w:hAnsiTheme="minorHAnsi" w:cstheme="minorBidi"/>
      <w:sz w:val="22"/>
      <w:szCs w:val="22"/>
      <w:lang w:val="en-US"/>
    </w:rPr>
  </w:style>
  <w:style w:type="paragraph" w:styleId="Revision">
    <w:name w:val="Revision"/>
    <w:hidden/>
    <w:uiPriority w:val="99"/>
    <w:semiHidden/>
    <w:rsid w:val="006551EC"/>
    <w:rPr>
      <w:rFonts w:ascii="Calibri"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5-CL-C-0118/en" TargetMode="External"/><Relationship Id="rId13" Type="http://schemas.openxmlformats.org/officeDocument/2006/relationships/hyperlink" Target="https://www.itu.int/md/S26-CL-C-0065/e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md/S26-CWGFHR22-C-0013/e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25-CL-C-0122/e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itu.int/md/S24-CL-C-0132/en" TargetMode="External"/><Relationship Id="rId4" Type="http://schemas.openxmlformats.org/officeDocument/2006/relationships/settings" Target="settings.xml"/><Relationship Id="rId9" Type="http://schemas.openxmlformats.org/officeDocument/2006/relationships/hyperlink" Target="https://www.itu.int/md/S25-CL-C-0120/en"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1170</Words>
  <Characters>7256</Characters>
  <Application>Microsoft Office Word</Application>
  <DocSecurity>0</DocSecurity>
  <Lines>181</Lines>
  <Paragraphs>94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Proposed dates and duration for the 2027, 2028 and 2029 Council sessions and the series of meetings of the CWGs for the period 2027-2029</vt:lpstr>
      <vt:lpstr/>
    </vt:vector>
  </TitlesOfParts>
  <Manager>General Secretariat</Manager>
  <Company>International Telecommunication Union (ITU)</Company>
  <LinksUpToDate>false</LinksUpToDate>
  <CharactersWithSpaces>8332</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dates and duration for the 2027, 2028 and 2029 Council sessions and the series of meetings of the CWGs for the period 2027-2029</dc:title>
  <dc:subject>ITU Council 2026</dc:subject>
  <dc:creator>GBS</dc:creator>
  <cp:keywords>C26; C2026; Council 2026; PP26</cp:keywords>
  <dc:description/>
  <cp:lastModifiedBy>GBS</cp:lastModifiedBy>
  <cp:revision>2</cp:revision>
  <cp:lastPrinted>2000-07-18T13:30:00Z</cp:lastPrinted>
  <dcterms:created xsi:type="dcterms:W3CDTF">2026-04-22T17:19:00Z</dcterms:created>
  <dcterms:modified xsi:type="dcterms:W3CDTF">2026-04-22T17:19:00Z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caebc3b039d2086fae139bdca98a6c61c028c4ec16ce6ef236d196610d84ef77</vt:lpwstr>
  </property>
</Properties>
</file>