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FD2F3BD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F80100" w14:textId="25C4E1EB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691957" w:rsidRPr="00C60C4F">
              <w:rPr>
                <w:rFonts w:cstheme="minorHAnsi"/>
                <w:b/>
                <w:bCs/>
              </w:rPr>
              <w:t>PL 3</w:t>
            </w:r>
          </w:p>
        </w:tc>
        <w:tc>
          <w:tcPr>
            <w:tcW w:w="5245" w:type="dxa"/>
          </w:tcPr>
          <w:p w14:paraId="684B679D" w14:textId="50EB53DF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691957">
              <w:rPr>
                <w:rFonts w:hint="eastAsia"/>
                <w:b/>
                <w:lang w:val="fr-CH" w:eastAsia="zh-CN"/>
              </w:rPr>
              <w:t>106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8C8E2D8" w14:textId="77777777" w:rsidTr="00555C29">
        <w:trPr>
          <w:cantSplit/>
        </w:trPr>
        <w:tc>
          <w:tcPr>
            <w:tcW w:w="3969" w:type="dxa"/>
            <w:vMerge/>
          </w:tcPr>
          <w:p w14:paraId="4ADD5D3F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4F0D95" w14:textId="619C3479" w:rsidR="00E24D59" w:rsidRPr="00E85629" w:rsidRDefault="00691957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15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4F8E434B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2DB370E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7FE3D9B" w14:textId="4DC3303E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691957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407DCDF8" w14:textId="77777777" w:rsidTr="00555C29">
        <w:trPr>
          <w:cantSplit/>
          <w:trHeight w:val="23"/>
        </w:trPr>
        <w:tc>
          <w:tcPr>
            <w:tcW w:w="3969" w:type="dxa"/>
          </w:tcPr>
          <w:p w14:paraId="1FB861E0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F8F88BE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5F8DA74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5538121" w14:textId="5F4140BD" w:rsidR="00E24D59" w:rsidRPr="00C24DAC" w:rsidRDefault="00691957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691957">
              <w:rPr>
                <w:rFonts w:hint="eastAsia"/>
              </w:rPr>
              <w:t>摩洛哥（王国）、南非（共和国）和塞内加尔（共和国）的文稿</w:t>
            </w:r>
          </w:p>
        </w:tc>
      </w:tr>
      <w:tr w:rsidR="00E24D59" w:rsidRPr="00813E5E" w14:paraId="0017EFA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8564167" w14:textId="55A6DBB9" w:rsidR="00E24D59" w:rsidRPr="005327DF" w:rsidRDefault="00691957" w:rsidP="00C24DAC">
            <w:pPr>
              <w:pStyle w:val="Subtitle"/>
              <w:framePr w:hSpace="0" w:wrap="auto" w:vAnchor="margin" w:hAnchor="text" w:xAlign="left" w:yAlign="inline"/>
              <w:rPr>
                <w:spacing w:val="4"/>
              </w:rPr>
            </w:pPr>
            <w:bookmarkStart w:id="6" w:name="dtitle1" w:colFirst="0" w:colLast="0"/>
            <w:bookmarkEnd w:id="5"/>
            <w:r w:rsidRPr="005327DF">
              <w:rPr>
                <w:rFonts w:hint="eastAsia"/>
                <w:spacing w:val="4"/>
              </w:rPr>
              <w:t>理事会</w:t>
            </w:r>
            <w:r w:rsidRPr="005327DF">
              <w:rPr>
                <w:spacing w:val="4"/>
                <w:lang w:val="en-GB"/>
              </w:rPr>
              <w:t>2027</w:t>
            </w:r>
            <w:r w:rsidRPr="005327DF">
              <w:rPr>
                <w:rFonts w:hint="eastAsia"/>
                <w:spacing w:val="4"/>
                <w:lang w:val="en-GB"/>
              </w:rPr>
              <w:t>、</w:t>
            </w:r>
            <w:r w:rsidRPr="005327DF">
              <w:rPr>
                <w:spacing w:val="4"/>
                <w:lang w:val="en-GB"/>
              </w:rPr>
              <w:t>2028</w:t>
            </w:r>
            <w:r w:rsidRPr="005327DF">
              <w:rPr>
                <w:rFonts w:hint="eastAsia"/>
                <w:spacing w:val="4"/>
                <w:lang w:val="en-GB"/>
              </w:rPr>
              <w:t>和</w:t>
            </w:r>
            <w:r w:rsidRPr="005327DF">
              <w:rPr>
                <w:spacing w:val="4"/>
                <w:lang w:val="en-GB"/>
              </w:rPr>
              <w:t>2029</w:t>
            </w:r>
            <w:r w:rsidRPr="005327DF">
              <w:rPr>
                <w:rFonts w:hint="eastAsia"/>
                <w:spacing w:val="4"/>
              </w:rPr>
              <w:t>年会议以及</w:t>
            </w:r>
            <w:r w:rsidRPr="005327DF">
              <w:rPr>
                <w:spacing w:val="4"/>
                <w:lang w:val="en-GB"/>
              </w:rPr>
              <w:t>2027-2029</w:t>
            </w:r>
            <w:r w:rsidRPr="005327DF">
              <w:rPr>
                <w:rFonts w:hint="eastAsia"/>
                <w:spacing w:val="4"/>
              </w:rPr>
              <w:t>年期间集中召开的理事会工作组会议的拟议日期和会期</w:t>
            </w:r>
          </w:p>
        </w:tc>
      </w:tr>
      <w:tr w:rsidR="00E24D59" w:rsidRPr="00813E5E" w14:paraId="247E34CF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150937C" w14:textId="691B7F9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7B36C506" w14:textId="77777777" w:rsidR="003F086E" w:rsidRPr="00477D57" w:rsidRDefault="003F086E" w:rsidP="00555C29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7F3181DE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29502A3F" w14:textId="6D2B1698" w:rsidR="003F086E" w:rsidRPr="00477D57" w:rsidRDefault="00691957" w:rsidP="00691957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021E94">
              <w:rPr>
                <w:rFonts w:asciiTheme="majorEastAsia" w:eastAsiaTheme="majorEastAsia" w:hAnsiTheme="majorEastAsia" w:hint="eastAsia"/>
                <w:lang w:eastAsia="zh-CN"/>
              </w:rPr>
              <w:t>请理事会</w:t>
            </w:r>
            <w:r w:rsidRPr="00AB51AD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审议</w:t>
            </w:r>
            <w:r w:rsidRPr="00021E94">
              <w:rPr>
                <w:rFonts w:asciiTheme="majorEastAsia" w:eastAsiaTheme="majorEastAsia" w:hAnsiTheme="majorEastAsia" w:hint="eastAsia"/>
                <w:lang w:eastAsia="zh-CN"/>
              </w:rPr>
              <w:t>本文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件</w:t>
            </w:r>
            <w:r w:rsidRPr="00021E94">
              <w:rPr>
                <w:rFonts w:asciiTheme="majorEastAsia" w:eastAsiaTheme="majorEastAsia" w:hAnsiTheme="majorEastAsia" w:hint="eastAsia"/>
                <w:lang w:eastAsia="zh-CN"/>
              </w:rPr>
              <w:t>并</w:t>
            </w:r>
            <w:r w:rsidRPr="00AB51AD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采取适当行动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04F180B8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3FE3CABE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20E5A1D5" w14:textId="2B6FABDE" w:rsidR="00E24D59" w:rsidRPr="00691957" w:rsidRDefault="00691957" w:rsidP="00691957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u w:val="single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>HYPERLINK "https://www.itu.int/md/S25-CL-C-0118/en"</w:instrText>
            </w:r>
            <w:r>
              <w:fldChar w:fldCharType="separate"/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理事会第</w:t>
            </w:r>
            <w:r w:rsidRPr="00691957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1434</w:t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号决议（</w:t>
            </w:r>
            <w:proofErr w:type="spellStart"/>
            <w:r w:rsidRPr="00691957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</w:t>
            </w:r>
            <w:proofErr w:type="spellEnd"/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）</w:t>
            </w:r>
            <w:r>
              <w:fldChar w:fldCharType="end"/>
            </w:r>
            <w:r w:rsidRPr="00691957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、</w:t>
            </w:r>
            <w:r w:rsidRPr="00691957">
              <w:rPr>
                <w:u w:val="single"/>
              </w:rPr>
              <w:fldChar w:fldCharType="begin"/>
            </w:r>
            <w:r w:rsidRPr="00691957">
              <w:rPr>
                <w:u w:val="single"/>
                <w:lang w:eastAsia="zh-CN"/>
              </w:rPr>
              <w:instrText>HYPERLINK "https://www.itu.int/md/S25-CL-C-0120/en"</w:instrText>
            </w:r>
            <w:r w:rsidRPr="00691957">
              <w:rPr>
                <w:u w:val="single"/>
              </w:rPr>
            </w:r>
            <w:r w:rsidRPr="00691957">
              <w:rPr>
                <w:u w:val="single"/>
              </w:rPr>
              <w:fldChar w:fldCharType="separate"/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理事会第</w:t>
            </w:r>
            <w:r w:rsidRPr="00691957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1333</w:t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号决议（</w:t>
            </w:r>
            <w:proofErr w:type="spellStart"/>
            <w:r w:rsidRPr="00691957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C11</w:t>
            </w:r>
            <w:proofErr w:type="spellEnd"/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，最后修正</w:t>
            </w:r>
            <w:proofErr w:type="spellStart"/>
            <w:r w:rsidRPr="00691957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</w:t>
            </w:r>
            <w:proofErr w:type="spellEnd"/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）</w:t>
            </w:r>
            <w:r w:rsidRPr="00691957">
              <w:rPr>
                <w:u w:val="single"/>
              </w:rPr>
              <w:fldChar w:fldCharType="end"/>
            </w:r>
            <w:r w:rsidRPr="00691957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、</w:t>
            </w:r>
            <w:r w:rsidR="00137A39">
              <w:rPr>
                <w:rFonts w:ascii="STKaiti" w:eastAsia="STKaiti" w:hAnsi="STKaiti" w:cs="Calibri"/>
                <w:sz w:val="22"/>
                <w:szCs w:val="22"/>
                <w:lang w:eastAsia="zh-CN"/>
              </w:rPr>
              <w:br/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"https://www.itu.int/md/S24-CL-C-0132/en"</w:instrText>
            </w:r>
            <w:r>
              <w:fldChar w:fldCharType="separate"/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理事会第</w:t>
            </w:r>
            <w:r w:rsidRPr="00691957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640</w:t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号决定（</w:t>
            </w:r>
            <w:proofErr w:type="spellStart"/>
            <w:r w:rsidRPr="00691957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C24</w:t>
            </w:r>
            <w:proofErr w:type="spellEnd"/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）</w:t>
            </w:r>
            <w:r>
              <w:fldChar w:fldCharType="end"/>
            </w:r>
            <w:r w:rsidRPr="00691957">
              <w:rPr>
                <w:rFonts w:ascii="STKaiti" w:eastAsia="STKaiti" w:hAnsi="STKaiti" w:cs="Calibri" w:hint="eastAsia"/>
                <w:lang w:eastAsia="zh-CN"/>
              </w:rPr>
              <w:t>、</w:t>
            </w:r>
            <w:r w:rsidRPr="00691957">
              <w:rPr>
                <w:u w:val="single"/>
              </w:rPr>
              <w:fldChar w:fldCharType="begin"/>
            </w:r>
            <w:r w:rsidRPr="00691957">
              <w:rPr>
                <w:u w:val="single"/>
                <w:lang w:eastAsia="zh-CN"/>
              </w:rPr>
              <w:instrText>HYPERLINK "https://www.itu.int/md/S25-CL-C-0122/en"</w:instrText>
            </w:r>
            <w:r w:rsidRPr="00691957">
              <w:rPr>
                <w:u w:val="single"/>
              </w:rPr>
            </w:r>
            <w:r w:rsidRPr="00691957">
              <w:rPr>
                <w:u w:val="single"/>
              </w:rPr>
              <w:fldChar w:fldCharType="separate"/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理事会第</w:t>
            </w:r>
            <w:r w:rsidRPr="00691957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643</w:t>
            </w:r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号决定（</w:t>
            </w:r>
            <w:proofErr w:type="spellStart"/>
            <w:r w:rsidRPr="00691957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</w:t>
            </w:r>
            <w:proofErr w:type="spellEnd"/>
            <w:r w:rsidRPr="0069195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）</w:t>
            </w:r>
            <w:r w:rsidRPr="00691957">
              <w:rPr>
                <w:u w:val="single"/>
              </w:rPr>
              <w:fldChar w:fldCharType="end"/>
            </w:r>
            <w:r w:rsidRPr="00691957">
              <w:rPr>
                <w:rFonts w:cs="Calibri" w:hint="eastAsia"/>
                <w:lang w:eastAsia="zh-CN"/>
              </w:rPr>
              <w:t>。</w:t>
            </w:r>
          </w:p>
        </w:tc>
      </w:tr>
      <w:bookmarkEnd w:id="2"/>
      <w:bookmarkEnd w:id="6"/>
    </w:tbl>
    <w:p w14:paraId="18BCA72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865D86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A458863" w14:textId="38304AE7" w:rsidR="00691957" w:rsidRPr="00691957" w:rsidRDefault="00691957" w:rsidP="00691957">
      <w:pPr>
        <w:pStyle w:val="Heading1"/>
        <w:rPr>
          <w:lang w:eastAsia="zh-CN"/>
        </w:rPr>
      </w:pPr>
      <w:r w:rsidRPr="00691957">
        <w:rPr>
          <w:lang w:eastAsia="zh-CN"/>
        </w:rPr>
        <w:lastRenderedPageBreak/>
        <w:t>1</w:t>
      </w:r>
      <w:r w:rsidRPr="00691957">
        <w:rPr>
          <w:lang w:eastAsia="zh-CN"/>
        </w:rPr>
        <w:tab/>
      </w:r>
      <w:r w:rsidRPr="00691957">
        <w:rPr>
          <w:rFonts w:hint="eastAsia"/>
          <w:lang w:eastAsia="zh-CN"/>
        </w:rPr>
        <w:t>背景</w:t>
      </w:r>
    </w:p>
    <w:p w14:paraId="188E1496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《</w:t>
      </w:r>
      <w:r w:rsidRPr="002E0C8E">
        <w:rPr>
          <w:rFonts w:hint="eastAsia"/>
          <w:lang w:eastAsia="zh-CN"/>
        </w:rPr>
        <w:t>组织法</w:t>
      </w:r>
      <w:r>
        <w:rPr>
          <w:rFonts w:hint="eastAsia"/>
          <w:lang w:eastAsia="zh-CN"/>
        </w:rPr>
        <w:t>》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7</w:t>
      </w:r>
      <w:r w:rsidRPr="00021E94">
        <w:rPr>
          <w:rFonts w:hint="eastAsia"/>
          <w:lang w:eastAsia="zh-CN"/>
        </w:rPr>
        <w:t>条和第</w:t>
      </w:r>
      <w:r w:rsidRPr="00C60C4F">
        <w:rPr>
          <w:lang w:eastAsia="zh-CN"/>
        </w:rPr>
        <w:t>10</w:t>
      </w:r>
      <w:r w:rsidRPr="00021E94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的规定，</w:t>
      </w:r>
      <w:r w:rsidRPr="00021E94">
        <w:rPr>
          <w:rFonts w:hint="eastAsia"/>
          <w:lang w:eastAsia="zh-CN"/>
        </w:rPr>
        <w:t>在两届全权代表大会之间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理事会作为国际电联的管理机构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在全权代表大会所授予的权限内</w:t>
      </w:r>
      <w:r w:rsidRPr="002E0C8E">
        <w:rPr>
          <w:rFonts w:hint="eastAsia"/>
          <w:lang w:eastAsia="zh-CN"/>
        </w:rPr>
        <w:t>代行其职权</w:t>
      </w:r>
      <w:r>
        <w:rPr>
          <w:rFonts w:hint="eastAsia"/>
          <w:lang w:eastAsia="zh-CN"/>
        </w:rPr>
        <w:t>。</w:t>
      </w:r>
    </w:p>
    <w:p w14:paraId="1DB87112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《</w:t>
      </w:r>
      <w:r w:rsidRPr="008F0FAB">
        <w:rPr>
          <w:rFonts w:hint="eastAsia"/>
          <w:lang w:eastAsia="zh-CN"/>
        </w:rPr>
        <w:t>公约</w:t>
      </w:r>
      <w:r>
        <w:rPr>
          <w:rFonts w:hint="eastAsia"/>
          <w:lang w:eastAsia="zh-CN"/>
        </w:rPr>
        <w:t>》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4</w:t>
      </w:r>
      <w:r w:rsidRPr="00021E94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（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51</w:t>
      </w:r>
      <w:r w:rsidRPr="00021E94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）</w:t>
      </w:r>
      <w:r w:rsidRPr="00021E94">
        <w:rPr>
          <w:rFonts w:hint="eastAsia"/>
          <w:lang w:eastAsia="zh-CN"/>
        </w:rPr>
        <w:t>的规定</w:t>
      </w:r>
      <w:r>
        <w:rPr>
          <w:rFonts w:hint="eastAsia"/>
          <w:lang w:eastAsia="zh-CN"/>
        </w:rPr>
        <w:t>，</w:t>
      </w:r>
      <w:r w:rsidRPr="008F0FAB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应</w:t>
      </w:r>
      <w:r w:rsidRPr="008F0FAB">
        <w:rPr>
          <w:rFonts w:hint="eastAsia"/>
          <w:lang w:eastAsia="zh-CN"/>
        </w:rPr>
        <w:t>每年在国际电联</w:t>
      </w:r>
      <w:r>
        <w:rPr>
          <w:rFonts w:hint="eastAsia"/>
          <w:lang w:eastAsia="zh-CN"/>
        </w:rPr>
        <w:t>总部</w:t>
      </w:r>
      <w:r w:rsidRPr="008F0FAB">
        <w:rPr>
          <w:rFonts w:hint="eastAsia"/>
          <w:lang w:eastAsia="zh-CN"/>
        </w:rPr>
        <w:t>举行一次例会</w:t>
      </w:r>
      <w:r>
        <w:rPr>
          <w:rFonts w:hint="eastAsia"/>
          <w:lang w:eastAsia="zh-CN"/>
        </w:rPr>
        <w:t>。</w:t>
      </w:r>
    </w:p>
    <w:p w14:paraId="47D68A51" w14:textId="77777777" w:rsidR="00691957" w:rsidRPr="00C60C4F" w:rsidRDefault="00691957" w:rsidP="0069195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 w:rsidRPr="00021E94">
        <w:rPr>
          <w:rFonts w:hint="eastAsia"/>
          <w:lang w:eastAsia="zh-CN"/>
        </w:rPr>
        <w:t>全权代表大会第</w:t>
      </w:r>
      <w:r w:rsidRPr="00C60C4F">
        <w:rPr>
          <w:lang w:eastAsia="zh-CN"/>
        </w:rPr>
        <w:t>77</w:t>
      </w:r>
      <w:r w:rsidRPr="00021E9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2018</w:t>
      </w:r>
      <w:r w:rsidRPr="00021E94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迪拜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）以及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612</w:t>
      </w:r>
      <w:r w:rsidRPr="00021E94">
        <w:rPr>
          <w:rFonts w:hint="eastAsia"/>
          <w:lang w:eastAsia="zh-CN"/>
        </w:rPr>
        <w:t>号决定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C19</w:t>
      </w:r>
      <w:r>
        <w:rPr>
          <w:rFonts w:hint="eastAsia"/>
          <w:lang w:eastAsia="zh-CN"/>
        </w:rPr>
        <w:t>），</w:t>
      </w:r>
      <w:r w:rsidRPr="00021E94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应做出</w:t>
      </w:r>
      <w:r w:rsidRPr="00664E2F">
        <w:rPr>
          <w:rFonts w:hint="eastAsia"/>
          <w:lang w:eastAsia="zh-CN"/>
        </w:rPr>
        <w:t>多年</w:t>
      </w:r>
      <w:r>
        <w:rPr>
          <w:rFonts w:hint="eastAsia"/>
          <w:lang w:eastAsia="zh-CN"/>
        </w:rPr>
        <w:t>期</w:t>
      </w:r>
      <w:r w:rsidRPr="00664E2F">
        <w:rPr>
          <w:rFonts w:hint="eastAsia"/>
          <w:lang w:eastAsia="zh-CN"/>
        </w:rPr>
        <w:t>例会</w:t>
      </w:r>
      <w:r>
        <w:rPr>
          <w:rFonts w:hint="eastAsia"/>
          <w:lang w:eastAsia="zh-CN"/>
        </w:rPr>
        <w:t>安排，</w:t>
      </w:r>
      <w:r w:rsidRPr="00664E2F">
        <w:rPr>
          <w:rFonts w:hint="eastAsia"/>
          <w:lang w:eastAsia="zh-CN"/>
        </w:rPr>
        <w:t>同时每年进行相应调整</w:t>
      </w:r>
      <w:r>
        <w:rPr>
          <w:rFonts w:hint="eastAsia"/>
          <w:lang w:eastAsia="zh-CN"/>
        </w:rPr>
        <w:t>。</w:t>
      </w:r>
      <w:r w:rsidRPr="00021E94">
        <w:rPr>
          <w:rFonts w:hint="eastAsia"/>
          <w:lang w:eastAsia="zh-CN"/>
        </w:rPr>
        <w:t>此外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《</w:t>
      </w:r>
      <w:r w:rsidRPr="00664E2F">
        <w:rPr>
          <w:rFonts w:hint="eastAsia"/>
          <w:lang w:eastAsia="zh-CN"/>
        </w:rPr>
        <w:t>公约</w:t>
      </w:r>
      <w:r>
        <w:rPr>
          <w:rFonts w:hint="eastAsia"/>
          <w:lang w:eastAsia="zh-CN"/>
        </w:rPr>
        <w:t>》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4</w:t>
      </w:r>
      <w:r w:rsidRPr="00021E94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（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51</w:t>
      </w:r>
      <w:r w:rsidRPr="00021E94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），</w:t>
      </w:r>
      <w:r w:rsidRPr="00021E94">
        <w:rPr>
          <w:rFonts w:hint="eastAsia"/>
          <w:lang w:eastAsia="zh-CN"/>
        </w:rPr>
        <w:t>理事会每年在国际电联总部举行一次例会</w:t>
      </w:r>
      <w:r w:rsidRPr="00CD416E">
        <w:rPr>
          <w:rFonts w:hint="eastAsia"/>
          <w:lang w:eastAsia="zh-CN"/>
        </w:rPr>
        <w:t>。</w:t>
      </w:r>
    </w:p>
    <w:p w14:paraId="0C8529E8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t>根据</w:t>
      </w:r>
      <w:r w:rsidRPr="00664E2F">
        <w:rPr>
          <w:rFonts w:hint="eastAsia"/>
          <w:lang w:eastAsia="zh-CN"/>
        </w:rPr>
        <w:t>第</w:t>
      </w:r>
      <w:r w:rsidRPr="00C60C4F">
        <w:rPr>
          <w:lang w:eastAsia="zh-CN"/>
        </w:rPr>
        <w:t>1333</w:t>
      </w:r>
      <w:r w:rsidRPr="00664E2F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C11</w:t>
      </w:r>
      <w:r>
        <w:rPr>
          <w:rFonts w:hint="eastAsia"/>
          <w:lang w:eastAsia="zh-CN"/>
        </w:rPr>
        <w:t>，</w:t>
      </w:r>
      <w:r w:rsidRPr="00664E2F">
        <w:rPr>
          <w:rFonts w:hint="eastAsia"/>
          <w:lang w:eastAsia="zh-CN"/>
        </w:rPr>
        <w:t>最后修正</w:t>
      </w:r>
      <w:r w:rsidRPr="00C60C4F">
        <w:rPr>
          <w:lang w:eastAsia="zh-CN"/>
        </w:rPr>
        <w:t>C25</w:t>
      </w:r>
      <w:r>
        <w:rPr>
          <w:rFonts w:hint="eastAsia"/>
          <w:lang w:eastAsia="zh-CN"/>
        </w:rPr>
        <w:t>），</w:t>
      </w:r>
      <w:r w:rsidRPr="00021E94">
        <w:rPr>
          <w:rFonts w:hint="eastAsia"/>
          <w:lang w:eastAsia="zh-CN"/>
        </w:rPr>
        <w:t>特别是</w:t>
      </w:r>
      <w:r w:rsidRPr="00EE3E59">
        <w:rPr>
          <w:rFonts w:hint="eastAsia"/>
          <w:lang w:eastAsia="zh-CN"/>
        </w:rPr>
        <w:t>做出决议</w:t>
      </w:r>
      <w:r w:rsidRPr="00C60C4F">
        <w:rPr>
          <w:lang w:eastAsia="zh-CN"/>
        </w:rPr>
        <w:t>1</w:t>
      </w:r>
      <w:r>
        <w:rPr>
          <w:rFonts w:hint="eastAsia"/>
          <w:lang w:eastAsia="zh-CN"/>
        </w:rPr>
        <w:t>、</w:t>
      </w:r>
      <w:r w:rsidRPr="00C60C4F">
        <w:rPr>
          <w:lang w:eastAsia="zh-CN"/>
        </w:rPr>
        <w:t>2</w:t>
      </w:r>
      <w:r>
        <w:rPr>
          <w:rFonts w:hint="eastAsia"/>
          <w:lang w:eastAsia="zh-CN"/>
        </w:rPr>
        <w:t>和</w:t>
      </w:r>
      <w:r w:rsidRPr="00C60C4F">
        <w:rPr>
          <w:lang w:eastAsia="zh-CN"/>
        </w:rPr>
        <w:t>5</w:t>
      </w:r>
      <w:r>
        <w:rPr>
          <w:rFonts w:hint="eastAsia"/>
          <w:lang w:eastAsia="zh-CN"/>
        </w:rPr>
        <w:t>，各</w:t>
      </w:r>
      <w:r w:rsidRPr="00664E2F">
        <w:rPr>
          <w:rFonts w:hint="eastAsia"/>
          <w:lang w:eastAsia="zh-CN"/>
        </w:rPr>
        <w:t>理事会工作组</w:t>
      </w:r>
      <w:r>
        <w:rPr>
          <w:rFonts w:hint="eastAsia"/>
          <w:lang w:eastAsia="zh-CN"/>
        </w:rPr>
        <w:t>（</w:t>
      </w:r>
      <w:r w:rsidRPr="00EE3E59">
        <w:rPr>
          <w:lang w:eastAsia="zh-CN"/>
        </w:rPr>
        <w:t>CWG</w:t>
      </w:r>
      <w:r>
        <w:rPr>
          <w:rFonts w:hint="eastAsia"/>
          <w:lang w:eastAsia="zh-CN"/>
        </w:rPr>
        <w:t>）审查</w:t>
      </w:r>
      <w:r w:rsidRPr="00021E94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《</w:t>
      </w:r>
      <w:r w:rsidRPr="00021E94">
        <w:rPr>
          <w:rFonts w:hint="eastAsia"/>
          <w:lang w:eastAsia="zh-CN"/>
        </w:rPr>
        <w:t>战略规划</w:t>
      </w:r>
      <w:r>
        <w:rPr>
          <w:rFonts w:hint="eastAsia"/>
          <w:lang w:eastAsia="zh-CN"/>
        </w:rPr>
        <w:t>》、《</w:t>
      </w:r>
      <w:r w:rsidRPr="00021E94">
        <w:rPr>
          <w:rFonts w:hint="eastAsia"/>
          <w:lang w:eastAsia="zh-CN"/>
        </w:rPr>
        <w:t>财务规划</w:t>
      </w:r>
      <w:r>
        <w:rPr>
          <w:rFonts w:hint="eastAsia"/>
          <w:lang w:eastAsia="zh-CN"/>
        </w:rPr>
        <w:t>》</w:t>
      </w:r>
      <w:r w:rsidRPr="00021E94">
        <w:rPr>
          <w:rFonts w:hint="eastAsia"/>
          <w:lang w:eastAsia="zh-CN"/>
        </w:rPr>
        <w:t>和全权代表大会</w:t>
      </w:r>
      <w:r>
        <w:rPr>
          <w:rFonts w:hint="eastAsia"/>
          <w:lang w:eastAsia="zh-CN"/>
        </w:rPr>
        <w:t>各项</w:t>
      </w:r>
      <w:r w:rsidRPr="00021E94">
        <w:rPr>
          <w:rFonts w:hint="eastAsia"/>
          <w:lang w:eastAsia="zh-CN"/>
        </w:rPr>
        <w:t>决定</w:t>
      </w:r>
      <w:r>
        <w:rPr>
          <w:rFonts w:hint="eastAsia"/>
          <w:lang w:eastAsia="zh-CN"/>
        </w:rPr>
        <w:t>相关</w:t>
      </w:r>
      <w:r w:rsidRPr="00021E94">
        <w:rPr>
          <w:rFonts w:hint="eastAsia"/>
          <w:lang w:eastAsia="zh-CN"/>
        </w:rPr>
        <w:t>的事项</w:t>
      </w:r>
      <w:r>
        <w:rPr>
          <w:rFonts w:hint="eastAsia"/>
          <w:lang w:eastAsia="zh-CN"/>
        </w:rPr>
        <w:t>，并</w:t>
      </w:r>
      <w:r w:rsidRPr="00021E94">
        <w:rPr>
          <w:rFonts w:hint="eastAsia"/>
          <w:lang w:eastAsia="zh-CN"/>
        </w:rPr>
        <w:t>向理事会</w:t>
      </w:r>
      <w:r>
        <w:rPr>
          <w:rFonts w:hint="eastAsia"/>
          <w:lang w:eastAsia="zh-CN"/>
        </w:rPr>
        <w:t>提供建议，因此</w:t>
      </w:r>
      <w:r w:rsidRPr="00021E94">
        <w:rPr>
          <w:rFonts w:hint="eastAsia"/>
          <w:lang w:eastAsia="zh-CN"/>
        </w:rPr>
        <w:t>在支持决策</w:t>
      </w:r>
      <w:r>
        <w:rPr>
          <w:rFonts w:hint="eastAsia"/>
          <w:lang w:eastAsia="zh-CN"/>
        </w:rPr>
        <w:t>过程</w:t>
      </w:r>
      <w:r w:rsidRPr="00021E94">
        <w:rPr>
          <w:rFonts w:hint="eastAsia"/>
          <w:lang w:eastAsia="zh-CN"/>
        </w:rPr>
        <w:t>方面发挥着至关重要的作用</w:t>
      </w:r>
      <w:r>
        <w:rPr>
          <w:rFonts w:hint="eastAsia"/>
          <w:lang w:eastAsia="zh-CN"/>
        </w:rPr>
        <w:t>。</w:t>
      </w:r>
      <w:r w:rsidRPr="00EE3E59">
        <w:rPr>
          <w:lang w:eastAsia="zh-CN"/>
        </w:rPr>
        <w:t>CWG</w:t>
      </w:r>
      <w:r w:rsidRPr="00021E94">
        <w:rPr>
          <w:rFonts w:hint="eastAsia"/>
          <w:lang w:eastAsia="zh-CN"/>
        </w:rPr>
        <w:t>会议必须在预算</w:t>
      </w:r>
      <w:r>
        <w:rPr>
          <w:rFonts w:hint="eastAsia"/>
          <w:lang w:eastAsia="zh-CN"/>
        </w:rPr>
        <w:t>范围内，</w:t>
      </w:r>
      <w:r w:rsidRPr="00021E94">
        <w:rPr>
          <w:rFonts w:hint="eastAsia"/>
          <w:lang w:eastAsia="zh-CN"/>
        </w:rPr>
        <w:t>以高效</w:t>
      </w:r>
      <w:r>
        <w:rPr>
          <w:rFonts w:hint="eastAsia"/>
          <w:lang w:eastAsia="zh-CN"/>
        </w:rPr>
        <w:t>且符合成本效益</w:t>
      </w:r>
      <w:r w:rsidRPr="00021E94">
        <w:rPr>
          <w:rFonts w:hint="eastAsia"/>
          <w:lang w:eastAsia="zh-CN"/>
        </w:rPr>
        <w:t>的方式</w:t>
      </w:r>
      <w:r>
        <w:rPr>
          <w:rFonts w:hint="eastAsia"/>
          <w:lang w:eastAsia="zh-CN"/>
        </w:rPr>
        <w:t>进行安排，</w:t>
      </w:r>
      <w:r w:rsidRPr="00021E94">
        <w:rPr>
          <w:rFonts w:hint="eastAsia"/>
          <w:lang w:eastAsia="zh-CN"/>
        </w:rPr>
        <w:t>每年</w:t>
      </w:r>
      <w:r>
        <w:rPr>
          <w:rFonts w:hint="eastAsia"/>
          <w:lang w:eastAsia="zh-CN"/>
        </w:rPr>
        <w:t>召开</w:t>
      </w:r>
      <w:r w:rsidRPr="00021E94">
        <w:rPr>
          <w:rFonts w:hint="eastAsia"/>
          <w:lang w:eastAsia="zh-CN"/>
        </w:rPr>
        <w:t>一至两次</w:t>
      </w:r>
      <w:r>
        <w:rPr>
          <w:rFonts w:hint="eastAsia"/>
          <w:lang w:eastAsia="zh-CN"/>
        </w:rPr>
        <w:t>会议，并可</w:t>
      </w:r>
      <w:r w:rsidRPr="00021E94">
        <w:rPr>
          <w:rFonts w:hint="eastAsia"/>
          <w:lang w:eastAsia="zh-CN"/>
        </w:rPr>
        <w:t>酌情纳入理事会年会的</w:t>
      </w:r>
      <w:r w:rsidRPr="00327F52">
        <w:rPr>
          <w:rFonts w:hint="eastAsia"/>
          <w:lang w:eastAsia="zh-CN"/>
        </w:rPr>
        <w:t>分配时间内</w:t>
      </w:r>
      <w:r w:rsidRPr="00CD416E">
        <w:rPr>
          <w:rFonts w:hint="eastAsia"/>
          <w:lang w:eastAsia="zh-CN"/>
        </w:rPr>
        <w:t>。</w:t>
      </w:r>
    </w:p>
    <w:p w14:paraId="6BA57302" w14:textId="5E33C366" w:rsidR="00691957" w:rsidRPr="00691957" w:rsidRDefault="00691957" w:rsidP="005327DF">
      <w:pPr>
        <w:pStyle w:val="Heading1"/>
        <w:rPr>
          <w:lang w:eastAsia="zh-CN"/>
        </w:rPr>
      </w:pPr>
      <w:r w:rsidRPr="00691957">
        <w:rPr>
          <w:lang w:eastAsia="zh-CN"/>
        </w:rPr>
        <w:t>2</w:t>
      </w:r>
      <w:r>
        <w:rPr>
          <w:lang w:eastAsia="zh-CN"/>
        </w:rPr>
        <w:tab/>
      </w:r>
      <w:r w:rsidRPr="005327DF">
        <w:rPr>
          <w:spacing w:val="6"/>
          <w:lang w:eastAsia="zh-CN"/>
        </w:rPr>
        <w:t>2027–2029</w:t>
      </w:r>
      <w:r w:rsidRPr="005327DF">
        <w:rPr>
          <w:rFonts w:hint="eastAsia"/>
          <w:spacing w:val="6"/>
          <w:lang w:eastAsia="zh-CN"/>
        </w:rPr>
        <w:t>年期间理事会和理事会工作组工作连续性方面的限制因素</w:t>
      </w:r>
    </w:p>
    <w:p w14:paraId="453A09BD" w14:textId="77777777" w:rsidR="00691957" w:rsidRPr="00C60C4F" w:rsidRDefault="00691957" w:rsidP="00691957">
      <w:pPr>
        <w:ind w:firstLineChars="200" w:firstLine="482"/>
        <w:rPr>
          <w:lang w:eastAsia="zh-CN"/>
        </w:rPr>
      </w:pPr>
      <w:r w:rsidRPr="00A544DC">
        <w:rPr>
          <w:rFonts w:hint="eastAsia"/>
          <w:b/>
          <w:bCs/>
          <w:lang w:eastAsia="zh-CN"/>
        </w:rPr>
        <w:t>注意到</w:t>
      </w:r>
      <w:r>
        <w:rPr>
          <w:rFonts w:hint="eastAsia"/>
          <w:b/>
          <w:bCs/>
          <w:lang w:eastAsia="zh-CN"/>
        </w:rPr>
        <w:t>，</w:t>
      </w:r>
      <w:r w:rsidRPr="00021E94">
        <w:rPr>
          <w:rFonts w:hint="eastAsia"/>
          <w:lang w:eastAsia="zh-CN"/>
        </w:rPr>
        <w:t>根据</w:t>
      </w:r>
      <w:r w:rsidRPr="00A544DC">
        <w:rPr>
          <w:rFonts w:hint="eastAsia"/>
          <w:lang w:eastAsia="zh-CN"/>
        </w:rPr>
        <w:t>第</w:t>
      </w:r>
      <w:r w:rsidRPr="00C60C4F">
        <w:rPr>
          <w:lang w:eastAsia="zh-CN"/>
        </w:rPr>
        <w:t>640</w:t>
      </w:r>
      <w:r w:rsidRPr="00A544DC">
        <w:rPr>
          <w:rFonts w:hint="eastAsia"/>
          <w:lang w:eastAsia="zh-CN"/>
        </w:rPr>
        <w:t>号决定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C24</w:t>
      </w:r>
      <w:r>
        <w:rPr>
          <w:rFonts w:hint="eastAsia"/>
          <w:lang w:eastAsia="zh-CN"/>
        </w:rPr>
        <w:t>），</w:t>
      </w:r>
      <w:r w:rsidRPr="00021E94">
        <w:rPr>
          <w:rFonts w:hint="eastAsia"/>
          <w:lang w:eastAsia="zh-CN"/>
        </w:rPr>
        <w:t>理事会通过了新</w:t>
      </w:r>
      <w:r w:rsidRPr="00C60C4F">
        <w:rPr>
          <w:lang w:eastAsia="zh-CN"/>
        </w:rPr>
        <w:t>Varembé</w:t>
      </w:r>
      <w:r w:rsidRPr="00021E94">
        <w:rPr>
          <w:rFonts w:hint="eastAsia"/>
          <w:lang w:eastAsia="zh-CN"/>
        </w:rPr>
        <w:t>办公楼项目的时间表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该项目计划于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开始实施，</w:t>
      </w:r>
      <w:r w:rsidRPr="00021E94">
        <w:rPr>
          <w:rFonts w:hint="eastAsia"/>
          <w:lang w:eastAsia="zh-CN"/>
        </w:rPr>
        <w:t>预计国际电联总部</w:t>
      </w:r>
      <w:r>
        <w:rPr>
          <w:rFonts w:hint="eastAsia"/>
          <w:lang w:eastAsia="zh-CN"/>
        </w:rPr>
        <w:t>的现有</w:t>
      </w:r>
      <w:r w:rsidRPr="00021E94">
        <w:rPr>
          <w:rFonts w:hint="eastAsia"/>
          <w:lang w:eastAsia="zh-CN"/>
        </w:rPr>
        <w:t>会议设施</w:t>
      </w:r>
      <w:r>
        <w:rPr>
          <w:rFonts w:hint="eastAsia"/>
          <w:lang w:eastAsia="zh-CN"/>
        </w:rPr>
        <w:t>将一直可用至</w:t>
      </w:r>
      <w:r w:rsidRPr="00C60C4F">
        <w:rPr>
          <w:lang w:eastAsia="zh-CN"/>
        </w:rPr>
        <w:t>2027</w:t>
      </w:r>
      <w:r w:rsidRPr="00021E94">
        <w:rPr>
          <w:rFonts w:hint="eastAsia"/>
          <w:lang w:eastAsia="zh-CN"/>
        </w:rPr>
        <w:t>年底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但</w:t>
      </w:r>
      <w:r>
        <w:rPr>
          <w:rFonts w:hint="eastAsia"/>
          <w:lang w:eastAsia="zh-CN"/>
        </w:rPr>
        <w:t>因</w:t>
      </w:r>
      <w:r w:rsidRPr="00AC1277">
        <w:rPr>
          <w:rFonts w:hint="eastAsia"/>
          <w:lang w:eastAsia="zh-CN"/>
        </w:rPr>
        <w:t>拆建工程</w:t>
      </w:r>
      <w:r w:rsidRPr="00916BD6">
        <w:rPr>
          <w:rFonts w:hint="eastAsia"/>
          <w:lang w:eastAsia="zh-CN"/>
        </w:rPr>
        <w:t>影响</w:t>
      </w:r>
      <w:r>
        <w:rPr>
          <w:rFonts w:hint="eastAsia"/>
          <w:lang w:eastAsia="zh-CN"/>
        </w:rPr>
        <w:t>，</w:t>
      </w:r>
      <w:r w:rsidRPr="00AC1277">
        <w:rPr>
          <w:rFonts w:hint="eastAsia"/>
          <w:lang w:eastAsia="zh-CN"/>
        </w:rPr>
        <w:t>可能自</w:t>
      </w:r>
      <w:r w:rsidRPr="00C60C4F">
        <w:rPr>
          <w:lang w:eastAsia="zh-CN"/>
        </w:rPr>
        <w:t>2028</w:t>
      </w:r>
      <w:r w:rsidRPr="00AC1277">
        <w:rPr>
          <w:rFonts w:hint="eastAsia"/>
          <w:lang w:eastAsia="zh-CN"/>
        </w:rPr>
        <w:t>年</w:t>
      </w:r>
      <w:r w:rsidRPr="00AC1277">
        <w:rPr>
          <w:rFonts w:hint="eastAsia"/>
          <w:lang w:eastAsia="zh-CN"/>
        </w:rPr>
        <w:t>6</w:t>
      </w:r>
      <w:r w:rsidRPr="00AC1277">
        <w:rPr>
          <w:rFonts w:hint="eastAsia"/>
          <w:lang w:eastAsia="zh-CN"/>
        </w:rPr>
        <w:t>月起无法使用</w:t>
      </w:r>
      <w:r>
        <w:rPr>
          <w:rFonts w:hint="eastAsia"/>
          <w:lang w:eastAsia="zh-CN"/>
        </w:rPr>
        <w:t>，</w:t>
      </w:r>
      <w:r w:rsidRPr="00AC1277">
        <w:rPr>
          <w:rFonts w:hint="eastAsia"/>
          <w:lang w:eastAsia="zh-CN"/>
        </w:rPr>
        <w:t>且这</w:t>
      </w:r>
      <w:r>
        <w:rPr>
          <w:rFonts w:hint="eastAsia"/>
          <w:lang w:eastAsia="zh-CN"/>
        </w:rPr>
        <w:t>一状况</w:t>
      </w:r>
      <w:r w:rsidRPr="00AC1277">
        <w:rPr>
          <w:rFonts w:hint="eastAsia"/>
          <w:lang w:eastAsia="zh-CN"/>
        </w:rPr>
        <w:t>可能持续</w:t>
      </w:r>
      <w:r>
        <w:rPr>
          <w:rFonts w:hint="eastAsia"/>
          <w:lang w:eastAsia="zh-CN"/>
        </w:rPr>
        <w:t>至</w:t>
      </w:r>
      <w:r w:rsidRPr="00C60C4F">
        <w:rPr>
          <w:lang w:eastAsia="zh-CN"/>
        </w:rPr>
        <w:t>2029</w:t>
      </w:r>
      <w:r w:rsidRPr="00AC1277">
        <w:rPr>
          <w:rFonts w:hint="eastAsia"/>
          <w:lang w:eastAsia="zh-CN"/>
        </w:rPr>
        <w:t>年全年</w:t>
      </w:r>
      <w:r>
        <w:rPr>
          <w:rFonts w:hint="eastAsia"/>
          <w:lang w:eastAsia="zh-CN"/>
        </w:rPr>
        <w:t>。</w:t>
      </w:r>
    </w:p>
    <w:p w14:paraId="5E9474CB" w14:textId="77777777" w:rsidR="00691957" w:rsidRPr="00C60C4F" w:rsidRDefault="00691957" w:rsidP="00691957">
      <w:pPr>
        <w:ind w:firstLineChars="200" w:firstLine="482"/>
        <w:rPr>
          <w:lang w:eastAsia="zh-CN"/>
        </w:rPr>
      </w:pPr>
      <w:r w:rsidRPr="00AC1277">
        <w:rPr>
          <w:rFonts w:hint="eastAsia"/>
          <w:b/>
          <w:bCs/>
          <w:lang w:eastAsia="zh-CN"/>
        </w:rPr>
        <w:t>进一步注意到</w:t>
      </w:r>
      <w:r>
        <w:rPr>
          <w:rFonts w:hint="eastAsia"/>
          <w:b/>
          <w:bCs/>
          <w:lang w:eastAsia="zh-CN"/>
        </w:rPr>
        <w:t>，</w:t>
      </w:r>
      <w:r w:rsidRPr="00021E94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在</w:t>
      </w:r>
      <w:r w:rsidRPr="00AC1277">
        <w:rPr>
          <w:rFonts w:hint="eastAsia"/>
          <w:lang w:eastAsia="zh-CN"/>
        </w:rPr>
        <w:t>第</w:t>
      </w:r>
      <w:r w:rsidRPr="00C60C4F">
        <w:rPr>
          <w:lang w:eastAsia="zh-CN"/>
        </w:rPr>
        <w:t>643</w:t>
      </w:r>
      <w:r w:rsidRPr="00AC1277">
        <w:rPr>
          <w:rFonts w:hint="eastAsia"/>
          <w:lang w:eastAsia="zh-CN"/>
        </w:rPr>
        <w:t>号决定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C25</w:t>
      </w:r>
      <w:r>
        <w:rPr>
          <w:rFonts w:hint="eastAsia"/>
          <w:lang w:eastAsia="zh-CN"/>
        </w:rPr>
        <w:t>）中</w:t>
      </w:r>
      <w:r w:rsidRPr="00021E94">
        <w:rPr>
          <w:rFonts w:hint="eastAsia"/>
          <w:lang w:eastAsia="zh-CN"/>
        </w:rPr>
        <w:t>确定了</w:t>
      </w:r>
      <w:r w:rsidRPr="00AC1277">
        <w:rPr>
          <w:rFonts w:hint="eastAsia"/>
          <w:lang w:eastAsia="zh-CN"/>
        </w:rPr>
        <w:t>理事会</w:t>
      </w:r>
      <w:r w:rsidRPr="00C60C4F">
        <w:rPr>
          <w:lang w:eastAsia="zh-CN"/>
        </w:rPr>
        <w:t>2027</w:t>
      </w:r>
      <w:r w:rsidRPr="00021E94">
        <w:rPr>
          <w:rFonts w:hint="eastAsia"/>
          <w:lang w:eastAsia="zh-CN"/>
        </w:rPr>
        <w:t>年和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年会议</w:t>
      </w:r>
      <w:r>
        <w:rPr>
          <w:rFonts w:hint="eastAsia"/>
          <w:lang w:eastAsia="zh-CN"/>
        </w:rPr>
        <w:t>以及集中召开的理事会工作组和专家组会议的日期和会期，</w:t>
      </w:r>
      <w:r w:rsidRPr="00021E94">
        <w:rPr>
          <w:rFonts w:hint="eastAsia"/>
          <w:lang w:eastAsia="zh-CN"/>
        </w:rPr>
        <w:t>以确保</w:t>
      </w:r>
      <w:r>
        <w:rPr>
          <w:rFonts w:hint="eastAsia"/>
          <w:lang w:eastAsia="zh-CN"/>
        </w:rPr>
        <w:t>各项</w:t>
      </w:r>
      <w:r w:rsidRPr="00021E94">
        <w:rPr>
          <w:rFonts w:hint="eastAsia"/>
          <w:lang w:eastAsia="zh-CN"/>
        </w:rPr>
        <w:t>活动的协调规划</w:t>
      </w:r>
      <w:r>
        <w:rPr>
          <w:rFonts w:hint="eastAsia"/>
          <w:lang w:eastAsia="zh-CN"/>
        </w:rPr>
        <w:t>。</w:t>
      </w:r>
    </w:p>
    <w:p w14:paraId="0051877C" w14:textId="77777777" w:rsidR="00691957" w:rsidRPr="00C60C4F" w:rsidRDefault="00691957" w:rsidP="00691957">
      <w:pPr>
        <w:ind w:firstLineChars="200" w:firstLine="482"/>
        <w:rPr>
          <w:lang w:eastAsia="zh-CN"/>
        </w:rPr>
      </w:pPr>
      <w:r w:rsidRPr="006323AA">
        <w:rPr>
          <w:rFonts w:hint="eastAsia"/>
          <w:b/>
          <w:bCs/>
          <w:lang w:eastAsia="zh-CN"/>
        </w:rPr>
        <w:t>还注意到</w:t>
      </w:r>
      <w:r>
        <w:rPr>
          <w:rFonts w:hint="eastAsia"/>
          <w:b/>
          <w:bCs/>
          <w:lang w:eastAsia="zh-CN"/>
        </w:rPr>
        <w:t>，</w:t>
      </w:r>
      <w:r w:rsidRPr="00021E94">
        <w:rPr>
          <w:rFonts w:hint="eastAsia"/>
          <w:lang w:eastAsia="zh-CN"/>
        </w:rPr>
        <w:t>秘书处</w:t>
      </w:r>
      <w:r>
        <w:rPr>
          <w:rFonts w:hint="eastAsia"/>
          <w:lang w:eastAsia="zh-CN"/>
        </w:rPr>
        <w:t>研究</w:t>
      </w:r>
      <w:r w:rsidRPr="00021E94">
        <w:rPr>
          <w:rFonts w:hint="eastAsia"/>
          <w:lang w:eastAsia="zh-CN"/>
        </w:rPr>
        <w:t>了一系列旨在确保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</w:t>
      </w:r>
      <w:r w:rsidRPr="00021E94">
        <w:rPr>
          <w:rFonts w:hint="eastAsia"/>
          <w:lang w:eastAsia="zh-CN"/>
        </w:rPr>
        <w:t>6</w:t>
      </w:r>
      <w:r w:rsidRPr="00021E94">
        <w:rPr>
          <w:rFonts w:hint="eastAsia"/>
          <w:lang w:eastAsia="zh-CN"/>
        </w:rPr>
        <w:t>月至</w:t>
      </w:r>
      <w:r w:rsidRPr="00C60C4F">
        <w:rPr>
          <w:lang w:eastAsia="zh-CN"/>
        </w:rPr>
        <w:t>2029</w:t>
      </w:r>
      <w:r w:rsidRPr="00021E94">
        <w:rPr>
          <w:rFonts w:hint="eastAsia"/>
          <w:lang w:eastAsia="zh-CN"/>
        </w:rPr>
        <w:t>年</w:t>
      </w:r>
      <w:r w:rsidRPr="00021E94">
        <w:rPr>
          <w:rFonts w:hint="eastAsia"/>
          <w:lang w:eastAsia="zh-CN"/>
        </w:rPr>
        <w:t>12</w:t>
      </w:r>
      <w:r w:rsidRPr="00021E94">
        <w:rPr>
          <w:rFonts w:hint="eastAsia"/>
          <w:lang w:eastAsia="zh-CN"/>
        </w:rPr>
        <w:t>月期间活动连续性的方案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根据秘书处向</w:t>
      </w:r>
      <w:r w:rsidRPr="009D6A74">
        <w:rPr>
          <w:rFonts w:hint="eastAsia"/>
          <w:lang w:eastAsia="zh-CN"/>
        </w:rPr>
        <w:t>理事会财务和人力资源工作组</w:t>
      </w:r>
      <w:r>
        <w:rPr>
          <w:rFonts w:hint="eastAsia"/>
          <w:lang w:eastAsia="zh-CN"/>
        </w:rPr>
        <w:t>（</w:t>
      </w:r>
      <w:r w:rsidRPr="009D6A74">
        <w:rPr>
          <w:lang w:eastAsia="zh-CN"/>
        </w:rPr>
        <w:t>CWG-FHR</w:t>
      </w:r>
      <w:r>
        <w:rPr>
          <w:rFonts w:hint="eastAsia"/>
          <w:lang w:eastAsia="zh-CN"/>
        </w:rPr>
        <w:t>）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21</w:t>
      </w:r>
      <w:r w:rsidRPr="00021E94">
        <w:rPr>
          <w:rFonts w:hint="eastAsia"/>
          <w:lang w:eastAsia="zh-CN"/>
        </w:rPr>
        <w:t>次会议提交的报告</w:t>
      </w:r>
      <w:r>
        <w:rPr>
          <w:rFonts w:hint="eastAsia"/>
          <w:lang w:eastAsia="zh-CN"/>
        </w:rPr>
        <w:t>（</w:t>
      </w:r>
      <w:r>
        <w:fldChar w:fldCharType="begin"/>
      </w:r>
      <w:r>
        <w:rPr>
          <w:lang w:eastAsia="zh-CN"/>
        </w:rPr>
        <w:instrText>HYPERLINK "https://www.itu.int/md/S26-CWGFHR22-C-0013/en"</w:instrText>
      </w:r>
      <w:r>
        <w:fldChar w:fldCharType="separate"/>
      </w:r>
      <w:r w:rsidRPr="00691957">
        <w:rPr>
          <w:rStyle w:val="Hyperlink"/>
          <w:rFonts w:eastAsia="SimSun"/>
          <w:lang w:eastAsia="zh-CN"/>
        </w:rPr>
        <w:t>CWG-FHR-22/13</w:t>
      </w:r>
      <w:r>
        <w:fldChar w:fldCharType="end"/>
      </w:r>
      <w:r w:rsidRPr="00021E94">
        <w:rPr>
          <w:rFonts w:hint="eastAsia"/>
          <w:lang w:eastAsia="zh-CN"/>
        </w:rPr>
        <w:t>号文件</w:t>
      </w:r>
      <w:r>
        <w:rPr>
          <w:rFonts w:hint="eastAsia"/>
          <w:lang w:eastAsia="zh-CN"/>
        </w:rPr>
        <w:t>），</w:t>
      </w:r>
      <w:r w:rsidRPr="00021E94">
        <w:rPr>
          <w:rFonts w:hint="eastAsia"/>
          <w:lang w:eastAsia="zh-CN"/>
        </w:rPr>
        <w:t>理事会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年和</w:t>
      </w:r>
      <w:r w:rsidRPr="00C60C4F">
        <w:rPr>
          <w:lang w:eastAsia="zh-CN"/>
        </w:rPr>
        <w:t>2029</w:t>
      </w:r>
      <w:r w:rsidRPr="00021E94">
        <w:rPr>
          <w:rFonts w:hint="eastAsia"/>
          <w:lang w:eastAsia="zh-CN"/>
        </w:rPr>
        <w:t>年会议预计将于</w:t>
      </w:r>
      <w:r w:rsidRPr="00021E94">
        <w:rPr>
          <w:rFonts w:hint="eastAsia"/>
          <w:lang w:eastAsia="zh-CN"/>
        </w:rPr>
        <w:t>6</w:t>
      </w:r>
      <w:r w:rsidRPr="00021E94">
        <w:rPr>
          <w:rFonts w:hint="eastAsia"/>
          <w:lang w:eastAsia="zh-CN"/>
        </w:rPr>
        <w:t>月在日内瓦总部</w:t>
      </w:r>
      <w:r>
        <w:rPr>
          <w:rFonts w:hint="eastAsia"/>
          <w:lang w:eastAsia="zh-CN"/>
        </w:rPr>
        <w:t>举行，</w:t>
      </w:r>
      <w:r w:rsidRPr="006323AA">
        <w:rPr>
          <w:rFonts w:hint="eastAsia"/>
          <w:lang w:eastAsia="zh-CN"/>
        </w:rPr>
        <w:t>前提是</w:t>
      </w:r>
      <w:r>
        <w:rPr>
          <w:rFonts w:hint="eastAsia"/>
          <w:lang w:eastAsia="zh-CN"/>
        </w:rPr>
        <w:t>施工</w:t>
      </w:r>
      <w:r w:rsidRPr="006323AA">
        <w:rPr>
          <w:rFonts w:hint="eastAsia"/>
          <w:lang w:eastAsia="zh-CN"/>
        </w:rPr>
        <w:t>进度能够按计划推进</w:t>
      </w:r>
      <w:r>
        <w:rPr>
          <w:rFonts w:hint="eastAsia"/>
          <w:lang w:eastAsia="zh-CN"/>
        </w:rPr>
        <w:t>。</w:t>
      </w:r>
    </w:p>
    <w:p w14:paraId="52C75D90" w14:textId="77777777" w:rsidR="00691957" w:rsidRPr="00C60C4F" w:rsidRDefault="00691957" w:rsidP="00691957">
      <w:pPr>
        <w:ind w:firstLineChars="200" w:firstLine="482"/>
        <w:rPr>
          <w:lang w:eastAsia="zh-CN"/>
        </w:rPr>
      </w:pPr>
      <w:r w:rsidRPr="006323AA">
        <w:rPr>
          <w:rFonts w:hint="eastAsia"/>
          <w:b/>
          <w:bCs/>
          <w:lang w:eastAsia="zh-CN"/>
        </w:rPr>
        <w:t>进一步注意到</w:t>
      </w:r>
      <w:r>
        <w:rPr>
          <w:rFonts w:hint="eastAsia"/>
          <w:b/>
          <w:bCs/>
          <w:lang w:eastAsia="zh-CN"/>
        </w:rPr>
        <w:t>，</w:t>
      </w:r>
      <w:r w:rsidRPr="00021E94">
        <w:rPr>
          <w:rFonts w:hint="eastAsia"/>
          <w:lang w:eastAsia="zh-CN"/>
        </w:rPr>
        <w:t>在提交</w:t>
      </w:r>
      <w:r>
        <w:rPr>
          <w:rFonts w:hint="eastAsia"/>
          <w:lang w:eastAsia="zh-CN"/>
        </w:rPr>
        <w:t>给</w:t>
      </w:r>
      <w:r w:rsidRPr="009D6A74">
        <w:rPr>
          <w:rFonts w:hint="eastAsia"/>
          <w:lang w:eastAsia="zh-CN"/>
        </w:rPr>
        <w:t>行政和管理常设委员会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ADM</w:t>
      </w:r>
      <w:r>
        <w:rPr>
          <w:rFonts w:hint="eastAsia"/>
          <w:lang w:eastAsia="zh-CN"/>
        </w:rPr>
        <w:t>）</w:t>
      </w:r>
      <w:r w:rsidRPr="00021E94">
        <w:rPr>
          <w:rFonts w:hint="eastAsia"/>
          <w:lang w:eastAsia="zh-CN"/>
        </w:rPr>
        <w:t>的</w:t>
      </w:r>
      <w:r>
        <w:fldChar w:fldCharType="begin"/>
      </w:r>
      <w:r>
        <w:rPr>
          <w:lang w:eastAsia="zh-CN"/>
        </w:rPr>
        <w:instrText>HYPERLINK "https://www.itu.int/md/S26-CL-C-0065/en"</w:instrText>
      </w:r>
      <w:r>
        <w:fldChar w:fldCharType="separate"/>
      </w:r>
      <w:proofErr w:type="spellStart"/>
      <w:r w:rsidRPr="00C60C4F">
        <w:rPr>
          <w:rStyle w:val="Hyperlink"/>
          <w:rFonts w:eastAsia="SimSun"/>
          <w:noProof w:val="0"/>
          <w:lang w:eastAsia="zh-CN"/>
        </w:rPr>
        <w:t>C26</w:t>
      </w:r>
      <w:proofErr w:type="spellEnd"/>
      <w:r w:rsidRPr="00C60C4F">
        <w:rPr>
          <w:rStyle w:val="Hyperlink"/>
          <w:rFonts w:eastAsia="SimSun"/>
          <w:noProof w:val="0"/>
          <w:lang w:eastAsia="zh-CN"/>
        </w:rPr>
        <w:t>/65</w:t>
      </w:r>
      <w:r>
        <w:fldChar w:fldCharType="end"/>
      </w:r>
      <w:r w:rsidRPr="00021E94">
        <w:rPr>
          <w:rFonts w:hint="eastAsia"/>
          <w:lang w:eastAsia="zh-CN"/>
        </w:rPr>
        <w:t>号文件中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总秘书处</w:t>
      </w:r>
      <w:r>
        <w:rPr>
          <w:rFonts w:hint="eastAsia"/>
          <w:lang w:eastAsia="zh-CN"/>
        </w:rPr>
        <w:t>再次说明了</w:t>
      </w:r>
      <w:r w:rsidRPr="00021E94">
        <w:rPr>
          <w:rFonts w:hint="eastAsia"/>
          <w:lang w:eastAsia="zh-CN"/>
        </w:rPr>
        <w:t>国际电联办公场所</w:t>
      </w:r>
      <w:r>
        <w:rPr>
          <w:rFonts w:hint="eastAsia"/>
          <w:lang w:eastAsia="zh-CN"/>
        </w:rPr>
        <w:t>无法使用的时段，</w:t>
      </w:r>
      <w:r w:rsidRPr="00021E94">
        <w:rPr>
          <w:rFonts w:hint="eastAsia"/>
          <w:lang w:eastAsia="zh-CN"/>
        </w:rPr>
        <w:t>指出拆除工程将于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</w:t>
      </w:r>
      <w:r w:rsidRPr="00021E94">
        <w:rPr>
          <w:rFonts w:hint="eastAsia"/>
          <w:lang w:eastAsia="zh-CN"/>
        </w:rPr>
        <w:t>10</w:t>
      </w:r>
      <w:r w:rsidRPr="00021E94">
        <w:rPr>
          <w:rFonts w:hint="eastAsia"/>
          <w:lang w:eastAsia="zh-CN"/>
        </w:rPr>
        <w:t>月</w:t>
      </w:r>
      <w:r w:rsidRPr="00C60C4F">
        <w:rPr>
          <w:lang w:eastAsia="zh-CN"/>
        </w:rPr>
        <w:t>1</w:t>
      </w:r>
      <w:r w:rsidRPr="00021E94">
        <w:rPr>
          <w:rFonts w:hint="eastAsia"/>
          <w:lang w:eastAsia="zh-CN"/>
        </w:rPr>
        <w:t>日至</w:t>
      </w:r>
      <w:r w:rsidRPr="00C60C4F">
        <w:rPr>
          <w:lang w:eastAsia="zh-CN"/>
        </w:rPr>
        <w:t>2029</w:t>
      </w:r>
      <w:r w:rsidRPr="00021E94">
        <w:rPr>
          <w:rFonts w:hint="eastAsia"/>
          <w:lang w:eastAsia="zh-CN"/>
        </w:rPr>
        <w:t>年</w:t>
      </w:r>
      <w:r w:rsidRPr="00021E94">
        <w:rPr>
          <w:rFonts w:hint="eastAsia"/>
          <w:lang w:eastAsia="zh-CN"/>
        </w:rPr>
        <w:t>8</w:t>
      </w:r>
      <w:r w:rsidRPr="00021E94">
        <w:rPr>
          <w:rFonts w:hint="eastAsia"/>
          <w:lang w:eastAsia="zh-CN"/>
        </w:rPr>
        <w:t>月</w:t>
      </w:r>
      <w:r w:rsidRPr="00C60C4F">
        <w:rPr>
          <w:lang w:eastAsia="zh-CN"/>
        </w:rPr>
        <w:t>31</w:t>
      </w:r>
      <w:r w:rsidRPr="00021E94">
        <w:rPr>
          <w:rFonts w:hint="eastAsia"/>
          <w:lang w:eastAsia="zh-CN"/>
        </w:rPr>
        <w:t>日进行</w:t>
      </w:r>
      <w:r>
        <w:rPr>
          <w:rFonts w:hint="eastAsia"/>
          <w:lang w:eastAsia="zh-CN"/>
        </w:rPr>
        <w:t>。</w:t>
      </w:r>
      <w:r w:rsidRPr="00021E94">
        <w:rPr>
          <w:rFonts w:hint="eastAsia"/>
          <w:lang w:eastAsia="zh-CN"/>
        </w:rPr>
        <w:t>在此背景下</w:t>
      </w:r>
      <w:r>
        <w:rPr>
          <w:rFonts w:hint="eastAsia"/>
          <w:lang w:eastAsia="zh-CN"/>
        </w:rPr>
        <w:t>，总秘书处</w:t>
      </w:r>
      <w:r w:rsidRPr="00021E94">
        <w:rPr>
          <w:rFonts w:hint="eastAsia"/>
          <w:lang w:eastAsia="zh-CN"/>
        </w:rPr>
        <w:t>提议理事会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年会议继续</w:t>
      </w:r>
      <w:r>
        <w:rPr>
          <w:rFonts w:hint="eastAsia"/>
          <w:lang w:eastAsia="zh-CN"/>
        </w:rPr>
        <w:t>于</w:t>
      </w:r>
      <w:r w:rsidRPr="00021E94">
        <w:rPr>
          <w:rFonts w:hint="eastAsia"/>
          <w:lang w:eastAsia="zh-CN"/>
        </w:rPr>
        <w:t>6</w:t>
      </w:r>
      <w:r w:rsidRPr="00021E94">
        <w:rPr>
          <w:rFonts w:hint="eastAsia"/>
          <w:lang w:eastAsia="zh-CN"/>
        </w:rPr>
        <w:t>月</w:t>
      </w:r>
      <w:r w:rsidRPr="00C60C4F">
        <w:rPr>
          <w:lang w:eastAsia="zh-CN"/>
        </w:rPr>
        <w:t>13</w:t>
      </w:r>
      <w:r w:rsidRPr="00021E94">
        <w:rPr>
          <w:rFonts w:hint="eastAsia"/>
          <w:lang w:eastAsia="zh-CN"/>
        </w:rPr>
        <w:t>日至</w:t>
      </w:r>
      <w:r w:rsidRPr="00C60C4F">
        <w:rPr>
          <w:lang w:eastAsia="zh-CN"/>
        </w:rPr>
        <w:t>23</w:t>
      </w:r>
      <w:r w:rsidRPr="00021E94">
        <w:rPr>
          <w:rFonts w:hint="eastAsia"/>
          <w:lang w:eastAsia="zh-CN"/>
        </w:rPr>
        <w:t>日在波波夫厅举行</w:t>
      </w:r>
      <w:r>
        <w:rPr>
          <w:rFonts w:hint="eastAsia"/>
          <w:lang w:eastAsia="zh-CN"/>
        </w:rPr>
        <w:t>，而</w:t>
      </w:r>
      <w:r w:rsidRPr="00021E94">
        <w:rPr>
          <w:rFonts w:hint="eastAsia"/>
          <w:lang w:eastAsia="zh-CN"/>
        </w:rPr>
        <w:t>将</w:t>
      </w:r>
      <w:r w:rsidRPr="00C60C4F">
        <w:rPr>
          <w:lang w:eastAsia="zh-CN"/>
        </w:rPr>
        <w:t>2029</w:t>
      </w:r>
      <w:r w:rsidRPr="00021E94">
        <w:rPr>
          <w:rFonts w:hint="eastAsia"/>
          <w:lang w:eastAsia="zh-CN"/>
        </w:rPr>
        <w:t>年会议推迟</w:t>
      </w:r>
      <w:r>
        <w:rPr>
          <w:rFonts w:hint="eastAsia"/>
          <w:lang w:eastAsia="zh-CN"/>
        </w:rPr>
        <w:t>到</w:t>
      </w:r>
      <w:r w:rsidRPr="00021E94">
        <w:rPr>
          <w:rFonts w:hint="eastAsia"/>
          <w:lang w:eastAsia="zh-CN"/>
        </w:rPr>
        <w:t>9</w:t>
      </w:r>
      <w:r w:rsidRPr="00021E94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举行。</w:t>
      </w:r>
      <w:r w:rsidRPr="00021E94">
        <w:rPr>
          <w:rFonts w:hint="eastAsia"/>
          <w:lang w:eastAsia="zh-CN"/>
        </w:rPr>
        <w:t>然而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该文件</w:t>
      </w:r>
      <w:r>
        <w:rPr>
          <w:rFonts w:hint="eastAsia"/>
          <w:lang w:eastAsia="zh-CN"/>
        </w:rPr>
        <w:t>未就</w:t>
      </w:r>
      <w:r w:rsidRPr="00021E94">
        <w:rPr>
          <w:rFonts w:hint="eastAsia"/>
          <w:lang w:eastAsia="zh-CN"/>
        </w:rPr>
        <w:t>施工阶段可能对在</w:t>
      </w:r>
      <w:r w:rsidRPr="00C60C4F">
        <w:rPr>
          <w:lang w:eastAsia="zh-CN"/>
        </w:rPr>
        <w:t>Montbrillant</w:t>
      </w:r>
      <w:r w:rsidRPr="00021E94">
        <w:rPr>
          <w:rFonts w:hint="eastAsia"/>
          <w:lang w:eastAsia="zh-CN"/>
        </w:rPr>
        <w:t>大楼和塔楼</w:t>
      </w:r>
      <w:r>
        <w:rPr>
          <w:rFonts w:hint="eastAsia"/>
          <w:lang w:eastAsia="zh-CN"/>
        </w:rPr>
        <w:t>召开和进行</w:t>
      </w:r>
      <w:r w:rsidRPr="00021E94">
        <w:rPr>
          <w:rFonts w:hint="eastAsia"/>
          <w:lang w:eastAsia="zh-CN"/>
        </w:rPr>
        <w:t>会议造成</w:t>
      </w:r>
      <w:r>
        <w:rPr>
          <w:rFonts w:hint="eastAsia"/>
          <w:lang w:eastAsia="zh-CN"/>
        </w:rPr>
        <w:t>的</w:t>
      </w:r>
      <w:r w:rsidRPr="00021E94">
        <w:rPr>
          <w:rFonts w:hint="eastAsia"/>
          <w:lang w:eastAsia="zh-CN"/>
        </w:rPr>
        <w:t>干扰</w:t>
      </w:r>
      <w:r>
        <w:rPr>
          <w:rFonts w:hint="eastAsia"/>
          <w:lang w:eastAsia="zh-CN"/>
        </w:rPr>
        <w:t>程度做出充分说明，</w:t>
      </w:r>
      <w:r w:rsidRPr="00021E94">
        <w:rPr>
          <w:rFonts w:hint="eastAsia"/>
          <w:lang w:eastAsia="zh-CN"/>
        </w:rPr>
        <w:t>这</w:t>
      </w:r>
      <w:r>
        <w:rPr>
          <w:rFonts w:hint="eastAsia"/>
          <w:lang w:eastAsia="zh-CN"/>
        </w:rPr>
        <w:t>令人</w:t>
      </w:r>
      <w:r w:rsidRPr="00021E94">
        <w:rPr>
          <w:rFonts w:hint="eastAsia"/>
          <w:lang w:eastAsia="zh-CN"/>
        </w:rPr>
        <w:t>对在此期间组织会议的实际可行性和条件</w:t>
      </w:r>
      <w:r>
        <w:rPr>
          <w:rFonts w:hint="eastAsia"/>
          <w:lang w:eastAsia="zh-CN"/>
        </w:rPr>
        <w:t>产生担忧</w:t>
      </w:r>
      <w:r w:rsidRPr="00CD416E">
        <w:rPr>
          <w:rFonts w:hint="eastAsia"/>
          <w:lang w:eastAsia="zh-CN"/>
        </w:rPr>
        <w:t>。</w:t>
      </w:r>
    </w:p>
    <w:p w14:paraId="24D48AD2" w14:textId="77777777" w:rsidR="00691957" w:rsidRPr="00C60C4F" w:rsidRDefault="00691957" w:rsidP="0069195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但</w:t>
      </w:r>
      <w:r w:rsidRPr="005E6409">
        <w:rPr>
          <w:rFonts w:hint="eastAsia"/>
          <w:b/>
          <w:bCs/>
          <w:lang w:eastAsia="zh-CN"/>
        </w:rPr>
        <w:t>认识到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这一假设仍</w:t>
      </w:r>
      <w:r>
        <w:rPr>
          <w:rFonts w:hint="eastAsia"/>
          <w:lang w:eastAsia="zh-CN"/>
        </w:rPr>
        <w:t>存在</w:t>
      </w:r>
      <w:r w:rsidRPr="00021E94">
        <w:rPr>
          <w:rFonts w:hint="eastAsia"/>
          <w:lang w:eastAsia="zh-CN"/>
        </w:rPr>
        <w:t>不确定</w:t>
      </w:r>
      <w:r>
        <w:rPr>
          <w:rFonts w:hint="eastAsia"/>
          <w:lang w:eastAsia="zh-CN"/>
        </w:rPr>
        <w:t>性，且施工</w:t>
      </w:r>
      <w:r w:rsidRPr="00021E94">
        <w:rPr>
          <w:rFonts w:hint="eastAsia"/>
          <w:lang w:eastAsia="zh-CN"/>
        </w:rPr>
        <w:t>进度</w:t>
      </w:r>
      <w:r>
        <w:rPr>
          <w:rFonts w:hint="eastAsia"/>
          <w:lang w:eastAsia="zh-CN"/>
        </w:rPr>
        <w:t>的</w:t>
      </w:r>
      <w:r w:rsidRPr="00021E94">
        <w:rPr>
          <w:rFonts w:hint="eastAsia"/>
          <w:lang w:eastAsia="zh-CN"/>
        </w:rPr>
        <w:t>延误可能会</w:t>
      </w:r>
      <w:r>
        <w:rPr>
          <w:rFonts w:hint="eastAsia"/>
          <w:lang w:eastAsia="zh-CN"/>
        </w:rPr>
        <w:t>对设想</w:t>
      </w:r>
      <w:r w:rsidRPr="00021E94">
        <w:rPr>
          <w:rFonts w:hint="eastAsia"/>
          <w:lang w:eastAsia="zh-CN"/>
        </w:rPr>
        <w:t>的安排</w:t>
      </w:r>
      <w:r>
        <w:rPr>
          <w:rFonts w:hint="eastAsia"/>
          <w:lang w:eastAsia="zh-CN"/>
        </w:rPr>
        <w:t>造成</w:t>
      </w:r>
      <w:r w:rsidRPr="00021E94">
        <w:rPr>
          <w:rFonts w:hint="eastAsia"/>
          <w:lang w:eastAsia="zh-CN"/>
        </w:rPr>
        <w:t>限制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包括</w:t>
      </w:r>
      <w:r>
        <w:rPr>
          <w:rFonts w:hint="eastAsia"/>
          <w:lang w:eastAsia="zh-CN"/>
        </w:rPr>
        <w:t>：</w:t>
      </w:r>
    </w:p>
    <w:p w14:paraId="08DE6F90" w14:textId="62928B77" w:rsidR="00691957" w:rsidRPr="00C60C4F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用于</w:t>
      </w:r>
      <w:r w:rsidRPr="00021E94">
        <w:rPr>
          <w:rFonts w:hint="eastAsia"/>
          <w:lang w:eastAsia="zh-CN"/>
        </w:rPr>
        <w:t>租用国际电联总部以外会议设施的</w:t>
      </w:r>
      <w:r w:rsidRPr="005E6409">
        <w:rPr>
          <w:rFonts w:hint="eastAsia"/>
          <w:lang w:eastAsia="zh-CN"/>
        </w:rPr>
        <w:t>专项预算</w:t>
      </w:r>
      <w:r w:rsidRPr="00021E94">
        <w:rPr>
          <w:rFonts w:hint="eastAsia"/>
          <w:lang w:eastAsia="zh-CN"/>
        </w:rPr>
        <w:t>不足</w:t>
      </w:r>
      <w:r>
        <w:rPr>
          <w:rFonts w:hint="eastAsia"/>
          <w:lang w:eastAsia="zh-CN"/>
        </w:rPr>
        <w:t>；</w:t>
      </w:r>
    </w:p>
    <w:p w14:paraId="586A8F8C" w14:textId="0D8BF967" w:rsidR="00691957" w:rsidRPr="00C60C4F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Pr="00021E94">
        <w:rPr>
          <w:rFonts w:hint="eastAsia"/>
          <w:lang w:eastAsia="zh-CN"/>
        </w:rPr>
        <w:t>日内瓦的可用设施有限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特别是日内瓦国际会议中心</w:t>
      </w:r>
      <w:r>
        <w:rPr>
          <w:rFonts w:hint="eastAsia"/>
          <w:lang w:eastAsia="zh-CN"/>
        </w:rPr>
        <w:t>（</w:t>
      </w:r>
      <w:r w:rsidRPr="00C60C4F">
        <w:rPr>
          <w:lang w:eastAsia="zh-CN"/>
        </w:rPr>
        <w:t>CICG</w:t>
      </w:r>
      <w:r>
        <w:rPr>
          <w:rFonts w:hint="eastAsia"/>
          <w:lang w:eastAsia="zh-CN"/>
        </w:rPr>
        <w:t>）将于</w:t>
      </w:r>
      <w:r w:rsidRPr="00C60C4F">
        <w:rPr>
          <w:lang w:eastAsia="zh-CN"/>
        </w:rPr>
        <w:t>2028</w:t>
      </w:r>
      <w:r w:rsidRPr="00021E94">
        <w:rPr>
          <w:rFonts w:hint="eastAsia"/>
          <w:lang w:eastAsia="zh-CN"/>
        </w:rPr>
        <w:t>年</w:t>
      </w:r>
      <w:r w:rsidRPr="00021E94">
        <w:rPr>
          <w:rFonts w:hint="eastAsia"/>
          <w:lang w:eastAsia="zh-CN"/>
        </w:rPr>
        <w:t>1</w:t>
      </w:r>
      <w:r w:rsidRPr="00021E94">
        <w:rPr>
          <w:rFonts w:hint="eastAsia"/>
          <w:lang w:eastAsia="zh-CN"/>
        </w:rPr>
        <w:t>月至</w:t>
      </w:r>
      <w:r w:rsidRPr="00021E94">
        <w:rPr>
          <w:rFonts w:hint="eastAsia"/>
          <w:lang w:eastAsia="zh-CN"/>
        </w:rPr>
        <w:t>10</w:t>
      </w:r>
      <w:r w:rsidRPr="00021E94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进行</w:t>
      </w:r>
      <w:r w:rsidRPr="00021E94">
        <w:rPr>
          <w:rFonts w:hint="eastAsia"/>
          <w:lang w:eastAsia="zh-CN"/>
        </w:rPr>
        <w:t>翻修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只有在其他用户取消</w:t>
      </w:r>
      <w:r>
        <w:rPr>
          <w:rFonts w:hint="eastAsia"/>
          <w:lang w:eastAsia="zh-CN"/>
        </w:rPr>
        <w:t>预订的情况下</w:t>
      </w:r>
      <w:r w:rsidRPr="00021E94">
        <w:rPr>
          <w:rFonts w:hint="eastAsia"/>
          <w:lang w:eastAsia="zh-CN"/>
        </w:rPr>
        <w:t>才</w:t>
      </w:r>
      <w:r>
        <w:rPr>
          <w:rFonts w:hint="eastAsia"/>
          <w:lang w:eastAsia="zh-CN"/>
        </w:rPr>
        <w:t>能</w:t>
      </w:r>
      <w:r w:rsidRPr="00021E94">
        <w:rPr>
          <w:rFonts w:hint="eastAsia"/>
          <w:lang w:eastAsia="zh-CN"/>
        </w:rPr>
        <w:t>向国际电联提供</w:t>
      </w:r>
      <w:r>
        <w:rPr>
          <w:rFonts w:hint="eastAsia"/>
          <w:lang w:eastAsia="zh-CN"/>
        </w:rPr>
        <w:t>场地；</w:t>
      </w:r>
    </w:p>
    <w:p w14:paraId="0B11DC75" w14:textId="57B57D12" w:rsidR="00691957" w:rsidRPr="00C60C4F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Pr="00021E94">
        <w:rPr>
          <w:rFonts w:hint="eastAsia"/>
          <w:lang w:eastAsia="zh-CN"/>
        </w:rPr>
        <w:t>其</w:t>
      </w:r>
      <w:r>
        <w:rPr>
          <w:rFonts w:hint="eastAsia"/>
          <w:lang w:eastAsia="zh-CN"/>
        </w:rPr>
        <w:t>他</w:t>
      </w:r>
      <w:r w:rsidRPr="00021E94">
        <w:rPr>
          <w:rFonts w:hint="eastAsia"/>
          <w:lang w:eastAsia="zh-CN"/>
        </w:rPr>
        <w:t>国际组织</w:t>
      </w:r>
      <w:r>
        <w:rPr>
          <w:rFonts w:hint="eastAsia"/>
          <w:lang w:eastAsia="zh-CN"/>
        </w:rPr>
        <w:t>内</w:t>
      </w:r>
      <w:r w:rsidRPr="00021E94">
        <w:rPr>
          <w:rFonts w:hint="eastAsia"/>
          <w:lang w:eastAsia="zh-CN"/>
        </w:rPr>
        <w:t>设施的可用性</w:t>
      </w:r>
      <w:r>
        <w:rPr>
          <w:rFonts w:hint="eastAsia"/>
          <w:lang w:eastAsia="zh-CN"/>
        </w:rPr>
        <w:t>尚不</w:t>
      </w:r>
      <w:r w:rsidRPr="00021E94">
        <w:rPr>
          <w:rFonts w:hint="eastAsia"/>
          <w:lang w:eastAsia="zh-CN"/>
        </w:rPr>
        <w:t>确定</w:t>
      </w:r>
      <w:r>
        <w:rPr>
          <w:rFonts w:hint="eastAsia"/>
          <w:lang w:eastAsia="zh-CN"/>
        </w:rPr>
        <w:t>，且备选场所</w:t>
      </w:r>
      <w:r w:rsidRPr="00021E94">
        <w:rPr>
          <w:rFonts w:hint="eastAsia"/>
          <w:lang w:eastAsia="zh-CN"/>
        </w:rPr>
        <w:t>的商业</w:t>
      </w:r>
      <w:r>
        <w:rPr>
          <w:rFonts w:hint="eastAsia"/>
          <w:lang w:eastAsia="zh-CN"/>
        </w:rPr>
        <w:t>成本</w:t>
      </w:r>
      <w:r w:rsidRPr="00021E94">
        <w:rPr>
          <w:rFonts w:hint="eastAsia"/>
          <w:lang w:eastAsia="zh-CN"/>
        </w:rPr>
        <w:t>相对较高</w:t>
      </w:r>
      <w:r>
        <w:rPr>
          <w:rFonts w:hint="eastAsia"/>
          <w:lang w:eastAsia="zh-CN"/>
        </w:rPr>
        <w:t>。</w:t>
      </w:r>
    </w:p>
    <w:p w14:paraId="47432BE0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lastRenderedPageBreak/>
        <w:t>赞赏地</w:t>
      </w:r>
      <w:r w:rsidRPr="00423247">
        <w:rPr>
          <w:rFonts w:hint="eastAsia"/>
          <w:b/>
          <w:bCs/>
          <w:lang w:eastAsia="zh-CN"/>
        </w:rPr>
        <w:t>认</w:t>
      </w:r>
      <w:r>
        <w:rPr>
          <w:rFonts w:hint="eastAsia"/>
          <w:b/>
          <w:bCs/>
          <w:lang w:eastAsia="zh-CN"/>
        </w:rPr>
        <w:t>可</w:t>
      </w:r>
      <w:r w:rsidRPr="00021E94">
        <w:rPr>
          <w:rFonts w:hint="eastAsia"/>
          <w:lang w:eastAsia="zh-CN"/>
        </w:rPr>
        <w:t>总秘书处</w:t>
      </w:r>
      <w:r>
        <w:rPr>
          <w:rFonts w:hint="eastAsia"/>
          <w:lang w:eastAsia="zh-CN"/>
        </w:rPr>
        <w:t>为</w:t>
      </w:r>
      <w:r w:rsidRPr="00021E94">
        <w:rPr>
          <w:rFonts w:hint="eastAsia"/>
          <w:lang w:eastAsia="zh-CN"/>
        </w:rPr>
        <w:t>制定和推进复杂</w:t>
      </w:r>
      <w:r>
        <w:rPr>
          <w:rFonts w:hint="eastAsia"/>
          <w:lang w:eastAsia="zh-CN"/>
        </w:rPr>
        <w:t>的</w:t>
      </w:r>
      <w:r w:rsidRPr="00021E94">
        <w:rPr>
          <w:rFonts w:hint="eastAsia"/>
          <w:lang w:eastAsia="zh-CN"/>
        </w:rPr>
        <w:t>解决方案以确保国际电联各机构及其相关会议活动的连续性</w:t>
      </w:r>
      <w:r>
        <w:rPr>
          <w:rFonts w:hint="eastAsia"/>
          <w:lang w:eastAsia="zh-CN"/>
        </w:rPr>
        <w:t>所做</w:t>
      </w:r>
      <w:r w:rsidRPr="008A1519">
        <w:rPr>
          <w:rFonts w:hint="eastAsia"/>
          <w:lang w:eastAsia="zh-CN"/>
        </w:rPr>
        <w:t>的不懈和持续努</w:t>
      </w:r>
      <w:r w:rsidRPr="00021E94">
        <w:rPr>
          <w:rFonts w:hint="eastAsia"/>
          <w:lang w:eastAsia="zh-CN"/>
        </w:rPr>
        <w:t>力</w:t>
      </w:r>
      <w:r>
        <w:rPr>
          <w:rFonts w:hint="eastAsia"/>
          <w:lang w:eastAsia="zh-CN"/>
        </w:rPr>
        <w:t>。</w:t>
      </w:r>
    </w:p>
    <w:p w14:paraId="76F71321" w14:textId="77777777" w:rsidR="00691957" w:rsidRPr="00C60C4F" w:rsidRDefault="00691957" w:rsidP="00691957">
      <w:pPr>
        <w:pStyle w:val="Headingb"/>
        <w:rPr>
          <w:lang w:eastAsia="zh-CN"/>
        </w:rPr>
      </w:pPr>
      <w:r w:rsidRPr="00021E94">
        <w:rPr>
          <w:rFonts w:hint="eastAsia"/>
          <w:lang w:eastAsia="zh-CN"/>
        </w:rPr>
        <w:t>提案</w:t>
      </w:r>
      <w:r>
        <w:rPr>
          <w:rFonts w:hint="eastAsia"/>
          <w:lang w:eastAsia="zh-CN"/>
        </w:rPr>
        <w:t>：</w:t>
      </w:r>
    </w:p>
    <w:p w14:paraId="7FA5C242" w14:textId="77777777" w:rsidR="00691957" w:rsidRPr="00C60C4F" w:rsidRDefault="00691957" w:rsidP="0069195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鉴于已</w:t>
      </w:r>
      <w:r w:rsidRPr="00021E94">
        <w:rPr>
          <w:rFonts w:hint="eastAsia"/>
          <w:lang w:eastAsia="zh-CN"/>
        </w:rPr>
        <w:t>确定的限制</w:t>
      </w:r>
      <w:r>
        <w:rPr>
          <w:rFonts w:hint="eastAsia"/>
          <w:lang w:eastAsia="zh-CN"/>
        </w:rPr>
        <w:t>因素，并且</w:t>
      </w:r>
      <w:r w:rsidRPr="00021E94">
        <w:rPr>
          <w:rFonts w:hint="eastAsia"/>
          <w:lang w:eastAsia="zh-CN"/>
        </w:rPr>
        <w:t>为确保理事会</w:t>
      </w:r>
      <w:r>
        <w:rPr>
          <w:rFonts w:hint="eastAsia"/>
          <w:lang w:eastAsia="zh-CN"/>
        </w:rPr>
        <w:t>会议和理事会</w:t>
      </w:r>
      <w:r w:rsidRPr="00021E94">
        <w:rPr>
          <w:rFonts w:hint="eastAsia"/>
          <w:lang w:eastAsia="zh-CN"/>
        </w:rPr>
        <w:t>工作组会议</w:t>
      </w:r>
      <w:r>
        <w:rPr>
          <w:rFonts w:hint="eastAsia"/>
          <w:lang w:eastAsia="zh-CN"/>
        </w:rPr>
        <w:t>能够保持连续性并符合《</w:t>
      </w:r>
      <w:r w:rsidRPr="00423247">
        <w:rPr>
          <w:rFonts w:hint="eastAsia"/>
          <w:lang w:eastAsia="zh-CN"/>
        </w:rPr>
        <w:t>公约</w:t>
      </w:r>
      <w:r>
        <w:rPr>
          <w:rFonts w:hint="eastAsia"/>
          <w:lang w:eastAsia="zh-CN"/>
        </w:rPr>
        <w:t>》的规定，现提出以下</w:t>
      </w:r>
      <w:r w:rsidRPr="00021E94">
        <w:rPr>
          <w:rFonts w:hint="eastAsia"/>
          <w:lang w:eastAsia="zh-CN"/>
        </w:rPr>
        <w:t>建议供理事会审议</w:t>
      </w:r>
      <w:r>
        <w:rPr>
          <w:rFonts w:hint="eastAsia"/>
          <w:lang w:eastAsia="zh-CN"/>
        </w:rPr>
        <w:t>：</w:t>
      </w:r>
    </w:p>
    <w:p w14:paraId="151A6620" w14:textId="06D1AD86" w:rsidR="00691957" w:rsidRPr="00C60C4F" w:rsidRDefault="00691957" w:rsidP="00691957">
      <w:pPr>
        <w:pStyle w:val="Heading1"/>
        <w:rPr>
          <w:rFonts w:asciiTheme="minorHAnsi" w:eastAsia="Times New Roman" w:hAnsiTheme="minorHAnsi" w:cstheme="minorHAnsi"/>
          <w:lang w:eastAsia="zh-CN"/>
        </w:rPr>
      </w:pPr>
      <w:r w:rsidRPr="00C60C4F">
        <w:rPr>
          <w:rFonts w:asciiTheme="minorHAnsi" w:eastAsia="Times New Roman" w:hAnsiTheme="minorHAnsi" w:cstheme="minorHAnsi"/>
          <w:lang w:eastAsia="zh-CN"/>
        </w:rPr>
        <w:t>1</w:t>
      </w:r>
      <w:r>
        <w:rPr>
          <w:rFonts w:asciiTheme="minorHAnsi" w:eastAsiaTheme="minorEastAsia" w:hAnsiTheme="minorHAnsi" w:cstheme="minorHAnsi"/>
          <w:lang w:eastAsia="zh-CN"/>
        </w:rPr>
        <w:tab/>
      </w:r>
      <w:r>
        <w:rPr>
          <w:rFonts w:hint="eastAsia"/>
          <w:lang w:eastAsia="zh-CN"/>
        </w:rPr>
        <w:t>制定早期</w:t>
      </w:r>
      <w:r w:rsidRPr="00021E94">
        <w:rPr>
          <w:rFonts w:hint="eastAsia"/>
          <w:lang w:eastAsia="zh-CN"/>
        </w:rPr>
        <w:t>指导框架</w:t>
      </w:r>
      <w:r>
        <w:rPr>
          <w:rFonts w:hint="eastAsia"/>
          <w:lang w:eastAsia="zh-CN"/>
        </w:rPr>
        <w:t>并筹集</w:t>
      </w:r>
      <w:r w:rsidRPr="00021E94">
        <w:rPr>
          <w:rFonts w:hint="eastAsia"/>
          <w:lang w:eastAsia="zh-CN"/>
        </w:rPr>
        <w:t>资源</w:t>
      </w:r>
    </w:p>
    <w:p w14:paraId="30CC8EC0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t>理事会</w:t>
      </w:r>
      <w:r w:rsidRPr="00AA3F55">
        <w:rPr>
          <w:rFonts w:hint="eastAsia"/>
          <w:lang w:eastAsia="zh-CN"/>
        </w:rPr>
        <w:t>或许应当重申</w:t>
      </w:r>
      <w:r>
        <w:rPr>
          <w:rFonts w:hint="eastAsia"/>
          <w:lang w:eastAsia="zh-CN"/>
        </w:rPr>
        <w:t>按照《</w:t>
      </w:r>
      <w:r w:rsidRPr="00DD0644">
        <w:rPr>
          <w:rFonts w:hint="eastAsia"/>
          <w:lang w:eastAsia="zh-CN"/>
        </w:rPr>
        <w:t>公约</w:t>
      </w:r>
      <w:r>
        <w:rPr>
          <w:rFonts w:hint="eastAsia"/>
          <w:lang w:eastAsia="zh-CN"/>
        </w:rPr>
        <w:t>》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4</w:t>
      </w:r>
      <w:r w:rsidRPr="00021E94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（</w:t>
      </w:r>
      <w:r w:rsidRPr="00021E94">
        <w:rPr>
          <w:rFonts w:hint="eastAsia"/>
          <w:lang w:eastAsia="zh-CN"/>
        </w:rPr>
        <w:t>第</w:t>
      </w:r>
      <w:r w:rsidRPr="00C60C4F">
        <w:rPr>
          <w:lang w:eastAsia="zh-CN"/>
        </w:rPr>
        <w:t>51</w:t>
      </w:r>
      <w:r w:rsidRPr="00021E94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）的规定</w:t>
      </w:r>
      <w:r w:rsidRPr="00021E94">
        <w:rPr>
          <w:rFonts w:hint="eastAsia"/>
          <w:lang w:eastAsia="zh-CN"/>
        </w:rPr>
        <w:t>在日内瓦举行理事会例会的重要性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并确保</w:t>
      </w:r>
      <w:r>
        <w:rPr>
          <w:rFonts w:hint="eastAsia"/>
          <w:lang w:eastAsia="zh-CN"/>
        </w:rPr>
        <w:t>所</w:t>
      </w:r>
      <w:r w:rsidRPr="00021E94">
        <w:rPr>
          <w:rFonts w:hint="eastAsia"/>
          <w:lang w:eastAsia="zh-CN"/>
        </w:rPr>
        <w:t>设想的任何安排均符合这一原则</w:t>
      </w:r>
      <w:r>
        <w:rPr>
          <w:rFonts w:hint="eastAsia"/>
          <w:lang w:eastAsia="zh-CN"/>
        </w:rPr>
        <w:t>。</w:t>
      </w:r>
    </w:p>
    <w:p w14:paraId="328D2D46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此</w:t>
      </w:r>
      <w:r w:rsidRPr="00021E94">
        <w:rPr>
          <w:rFonts w:hint="eastAsia"/>
          <w:lang w:eastAsia="zh-CN"/>
        </w:rPr>
        <w:t>方面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不妨</w:t>
      </w:r>
      <w:r w:rsidRPr="00021E94">
        <w:rPr>
          <w:rFonts w:hint="eastAsia"/>
          <w:lang w:eastAsia="zh-CN"/>
        </w:rPr>
        <w:t>在</w:t>
      </w:r>
      <w:r w:rsidRPr="00C60C4F">
        <w:rPr>
          <w:lang w:eastAsia="zh-CN"/>
        </w:rPr>
        <w:t>2026</w:t>
      </w:r>
      <w:r w:rsidRPr="00021E94">
        <w:rPr>
          <w:rFonts w:hint="eastAsia"/>
          <w:lang w:eastAsia="zh-CN"/>
        </w:rPr>
        <w:t>年会议上考虑</w:t>
      </w:r>
      <w:r>
        <w:rPr>
          <w:rFonts w:hint="eastAsia"/>
          <w:lang w:eastAsia="zh-CN"/>
        </w:rPr>
        <w:t>：</w:t>
      </w:r>
    </w:p>
    <w:p w14:paraId="6D0EA1E1" w14:textId="099668D2" w:rsidR="00691957" w:rsidRPr="00C60C4F" w:rsidRDefault="00691957" w:rsidP="00691957">
      <w:pPr>
        <w:pStyle w:val="enumlev1"/>
        <w:rPr>
          <w:b/>
          <w:bCs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就</w:t>
      </w:r>
      <w:r w:rsidRPr="00C60C4F">
        <w:rPr>
          <w:lang w:eastAsia="zh-CN"/>
        </w:rPr>
        <w:t>2028–2029</w:t>
      </w:r>
      <w:r w:rsidRPr="00021E94">
        <w:rPr>
          <w:rFonts w:hint="eastAsia"/>
          <w:lang w:eastAsia="zh-CN"/>
        </w:rPr>
        <w:t>年期间</w:t>
      </w:r>
      <w:r>
        <w:rPr>
          <w:rFonts w:hint="eastAsia"/>
          <w:lang w:eastAsia="zh-CN"/>
        </w:rPr>
        <w:t>组织理事会会议和</w:t>
      </w:r>
      <w:r w:rsidRPr="00057C21">
        <w:rPr>
          <w:lang w:eastAsia="zh-CN"/>
        </w:rPr>
        <w:t>CWG</w:t>
      </w:r>
      <w:r>
        <w:rPr>
          <w:rFonts w:hint="eastAsia"/>
          <w:lang w:eastAsia="zh-CN"/>
        </w:rPr>
        <w:t>会议的模式提出可能的方案，</w:t>
      </w:r>
      <w:r w:rsidRPr="00021E94">
        <w:rPr>
          <w:rFonts w:hint="eastAsia"/>
          <w:lang w:eastAsia="zh-CN"/>
        </w:rPr>
        <w:t>酌情包括</w:t>
      </w:r>
      <w:r>
        <w:rPr>
          <w:rFonts w:hint="eastAsia"/>
          <w:lang w:eastAsia="zh-CN"/>
        </w:rPr>
        <w:t>在</w:t>
      </w:r>
      <w:r w:rsidRPr="00021E94">
        <w:rPr>
          <w:rFonts w:hint="eastAsia"/>
          <w:lang w:eastAsia="zh-CN"/>
        </w:rPr>
        <w:t>总部</w:t>
      </w:r>
      <w:r>
        <w:rPr>
          <w:rFonts w:hint="eastAsia"/>
          <w:lang w:eastAsia="zh-CN"/>
        </w:rPr>
        <w:t>建设</w:t>
      </w:r>
      <w:r w:rsidRPr="00021E94">
        <w:rPr>
          <w:rFonts w:hint="eastAsia"/>
          <w:lang w:eastAsia="zh-CN"/>
        </w:rPr>
        <w:t>进度</w:t>
      </w:r>
      <w:r>
        <w:rPr>
          <w:rFonts w:hint="eastAsia"/>
          <w:lang w:eastAsia="zh-CN"/>
        </w:rPr>
        <w:t>出现延误</w:t>
      </w:r>
      <w:r w:rsidRPr="00021E94">
        <w:rPr>
          <w:rFonts w:hint="eastAsia"/>
          <w:lang w:eastAsia="zh-CN"/>
        </w:rPr>
        <w:t>时的备选方案</w:t>
      </w:r>
      <w:r>
        <w:rPr>
          <w:rFonts w:hint="eastAsia"/>
          <w:lang w:eastAsia="zh-CN"/>
        </w:rPr>
        <w:t>。</w:t>
      </w:r>
    </w:p>
    <w:p w14:paraId="65653191" w14:textId="3F723A1A" w:rsidR="00691957" w:rsidRPr="00C60C4F" w:rsidRDefault="00691957" w:rsidP="00691957">
      <w:pPr>
        <w:pStyle w:val="enumlev1"/>
        <w:rPr>
          <w:b/>
          <w:bCs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021E94">
        <w:rPr>
          <w:rFonts w:hint="eastAsia"/>
          <w:lang w:val="en-US" w:eastAsia="zh-CN"/>
        </w:rPr>
        <w:t>将东道国</w:t>
      </w:r>
      <w:r>
        <w:rPr>
          <w:rFonts w:hint="eastAsia"/>
          <w:lang w:val="en-US" w:eastAsia="zh-CN"/>
        </w:rPr>
        <w:t>提供的</w:t>
      </w:r>
      <w:r w:rsidRPr="00021E94">
        <w:rPr>
          <w:rFonts w:hint="eastAsia"/>
          <w:lang w:val="en-US" w:eastAsia="zh-CN"/>
        </w:rPr>
        <w:t>支持</w:t>
      </w:r>
      <w:r>
        <w:rPr>
          <w:rFonts w:hint="eastAsia"/>
          <w:lang w:val="en-US" w:eastAsia="zh-CN"/>
        </w:rPr>
        <w:t>所带来的资源</w:t>
      </w:r>
      <w:r w:rsidRPr="00021E94">
        <w:rPr>
          <w:rFonts w:hint="eastAsia"/>
          <w:lang w:val="en-US" w:eastAsia="zh-CN"/>
        </w:rPr>
        <w:t>以及任何可用的捐款</w:t>
      </w:r>
      <w:r>
        <w:rPr>
          <w:rFonts w:hint="eastAsia"/>
          <w:lang w:val="en-US" w:eastAsia="zh-CN"/>
        </w:rPr>
        <w:t>、</w:t>
      </w:r>
      <w:r w:rsidRPr="00021E94">
        <w:rPr>
          <w:rFonts w:hint="eastAsia"/>
          <w:lang w:val="en-US" w:eastAsia="zh-CN"/>
        </w:rPr>
        <w:t>捐赠或赞助或</w:t>
      </w:r>
      <w:r w:rsidRPr="00C60C4F">
        <w:rPr>
          <w:lang w:val="en-US" w:eastAsia="zh-CN"/>
        </w:rPr>
        <w:t>/</w:t>
      </w:r>
      <w:r w:rsidRPr="00021E94">
        <w:rPr>
          <w:rFonts w:hint="eastAsia"/>
          <w:lang w:val="en-US" w:eastAsia="zh-CN"/>
        </w:rPr>
        <w:t>和国际电联预算拨</w:t>
      </w:r>
      <w:r>
        <w:rPr>
          <w:rFonts w:hint="eastAsia"/>
          <w:lang w:val="en-US" w:eastAsia="zh-CN"/>
        </w:rPr>
        <w:t>入</w:t>
      </w:r>
      <w:r w:rsidRPr="00021E94">
        <w:rPr>
          <w:rFonts w:hint="eastAsia"/>
          <w:lang w:val="en-US" w:eastAsia="zh-CN"/>
        </w:rPr>
        <w:t>连续性基金</w:t>
      </w:r>
      <w:r>
        <w:rPr>
          <w:rFonts w:hint="eastAsia"/>
          <w:lang w:val="en-US" w:eastAsia="zh-CN"/>
        </w:rPr>
        <w:t>的可能性，以</w:t>
      </w:r>
      <w:r w:rsidRPr="00021E94">
        <w:rPr>
          <w:rFonts w:hint="eastAsia"/>
          <w:lang w:val="en-US" w:eastAsia="zh-CN"/>
        </w:rPr>
        <w:t>支付在国际电联总部以外</w:t>
      </w:r>
      <w:r>
        <w:rPr>
          <w:rFonts w:hint="eastAsia"/>
          <w:lang w:val="en-US" w:eastAsia="zh-CN"/>
        </w:rPr>
        <w:t>举行</w:t>
      </w:r>
      <w:r w:rsidRPr="00021E94">
        <w:rPr>
          <w:rFonts w:hint="eastAsia"/>
          <w:lang w:val="en-US" w:eastAsia="zh-CN"/>
        </w:rPr>
        <w:t>会议</w:t>
      </w:r>
      <w:r>
        <w:rPr>
          <w:rFonts w:hint="eastAsia"/>
          <w:lang w:val="en-US" w:eastAsia="zh-CN"/>
        </w:rPr>
        <w:t>所产生</w:t>
      </w:r>
      <w:r w:rsidRPr="00021E94">
        <w:rPr>
          <w:rFonts w:hint="eastAsia"/>
          <w:lang w:val="en-US" w:eastAsia="zh-CN"/>
        </w:rPr>
        <w:t>的额外费用</w:t>
      </w:r>
      <w:r>
        <w:rPr>
          <w:rFonts w:hint="eastAsia"/>
          <w:lang w:val="en-US" w:eastAsia="zh-CN"/>
        </w:rPr>
        <w:t>。</w:t>
      </w:r>
    </w:p>
    <w:p w14:paraId="762B7930" w14:textId="4C024871" w:rsidR="00691957" w:rsidRPr="00C60C4F" w:rsidRDefault="00691957" w:rsidP="00691957">
      <w:pPr>
        <w:pStyle w:val="Heading1"/>
        <w:rPr>
          <w:rFonts w:asciiTheme="minorHAnsi" w:eastAsia="Times New Roman" w:hAnsiTheme="minorHAnsi" w:cstheme="minorHAnsi"/>
          <w:lang w:eastAsia="zh-CN"/>
        </w:rPr>
      </w:pPr>
      <w:r w:rsidRPr="00C60C4F">
        <w:rPr>
          <w:rFonts w:asciiTheme="minorHAnsi" w:eastAsia="Times New Roman" w:hAnsiTheme="minorHAnsi" w:cstheme="minorHAnsi"/>
          <w:lang w:eastAsia="zh-CN"/>
        </w:rPr>
        <w:t>2</w:t>
      </w:r>
      <w:r>
        <w:rPr>
          <w:rFonts w:asciiTheme="minorHAnsi" w:eastAsiaTheme="minorEastAsia" w:hAnsiTheme="minorHAnsi" w:cstheme="minorHAnsi"/>
          <w:lang w:eastAsia="zh-CN"/>
        </w:rPr>
        <w:tab/>
      </w:r>
      <w:r w:rsidRPr="002E6F4B">
        <w:rPr>
          <w:rFonts w:hint="eastAsia"/>
          <w:lang w:eastAsia="zh-CN"/>
        </w:rPr>
        <w:t>考虑采取综合与分阶段相结合的方法</w:t>
      </w:r>
    </w:p>
    <w:p w14:paraId="7CD52DC1" w14:textId="77777777" w:rsidR="00691957" w:rsidRPr="00C60C4F" w:rsidRDefault="00691957" w:rsidP="00691957">
      <w:pPr>
        <w:ind w:firstLineChars="200" w:firstLine="480"/>
        <w:rPr>
          <w:lang w:eastAsia="zh-CN"/>
        </w:rPr>
      </w:pPr>
      <w:r w:rsidRPr="00021E94">
        <w:rPr>
          <w:rFonts w:hint="eastAsia"/>
          <w:lang w:eastAsia="zh-CN"/>
        </w:rPr>
        <w:t>为</w:t>
      </w:r>
      <w:r>
        <w:rPr>
          <w:rFonts w:hint="eastAsia"/>
          <w:lang w:eastAsia="zh-CN"/>
        </w:rPr>
        <w:t>确保</w:t>
      </w:r>
      <w:r w:rsidRPr="00021E94">
        <w:rPr>
          <w:rFonts w:hint="eastAsia"/>
          <w:lang w:eastAsia="zh-CN"/>
        </w:rPr>
        <w:t>国际电联理事会会议和</w:t>
      </w:r>
      <w:r w:rsidRPr="002E6F4B">
        <w:rPr>
          <w:rFonts w:hint="eastAsia"/>
          <w:lang w:eastAsia="zh-CN"/>
        </w:rPr>
        <w:t>集中召开的理事会工作组会议</w:t>
      </w:r>
      <w:r w:rsidRPr="00021E94">
        <w:rPr>
          <w:rFonts w:hint="eastAsia"/>
          <w:lang w:eastAsia="zh-CN"/>
        </w:rPr>
        <w:t>的连续性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不妨</w:t>
      </w:r>
      <w:r w:rsidRPr="00021E94">
        <w:rPr>
          <w:rFonts w:hint="eastAsia"/>
          <w:lang w:eastAsia="zh-CN"/>
        </w:rPr>
        <w:t>考虑采取</w:t>
      </w:r>
      <w:r>
        <w:rPr>
          <w:rFonts w:hint="eastAsia"/>
          <w:lang w:eastAsia="zh-CN"/>
        </w:rPr>
        <w:t>一种</w:t>
      </w:r>
      <w:r w:rsidRPr="00021E94">
        <w:rPr>
          <w:rFonts w:hint="eastAsia"/>
          <w:lang w:eastAsia="zh-CN"/>
        </w:rPr>
        <w:t>分阶段</w:t>
      </w:r>
      <w:r>
        <w:rPr>
          <w:rFonts w:hint="eastAsia"/>
          <w:lang w:eastAsia="zh-CN"/>
        </w:rPr>
        <w:t>且</w:t>
      </w:r>
      <w:r w:rsidRPr="00021E94">
        <w:rPr>
          <w:rFonts w:hint="eastAsia"/>
          <w:lang w:eastAsia="zh-CN"/>
        </w:rPr>
        <w:t>务实的</w:t>
      </w:r>
      <w:r>
        <w:rPr>
          <w:rFonts w:hint="eastAsia"/>
          <w:lang w:eastAsia="zh-CN"/>
        </w:rPr>
        <w:t>方法，</w:t>
      </w:r>
      <w:r w:rsidRPr="008C6967">
        <w:rPr>
          <w:rFonts w:hint="eastAsia"/>
          <w:lang w:eastAsia="zh-CN"/>
        </w:rPr>
        <w:t>可按以下优先顺序依次进行：</w:t>
      </w:r>
    </w:p>
    <w:p w14:paraId="1949471E" w14:textId="6C03D094" w:rsidR="00691957" w:rsidRPr="00C60C4F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021E94">
        <w:rPr>
          <w:rFonts w:hint="eastAsia"/>
          <w:lang w:eastAsia="zh-CN"/>
        </w:rPr>
        <w:t>在可行的情况下</w:t>
      </w:r>
      <w:r>
        <w:rPr>
          <w:rFonts w:hint="eastAsia"/>
          <w:lang w:eastAsia="zh-CN"/>
        </w:rPr>
        <w:t>，继续</w:t>
      </w:r>
      <w:r w:rsidRPr="00021E94">
        <w:rPr>
          <w:rFonts w:hint="eastAsia"/>
          <w:lang w:eastAsia="zh-CN"/>
        </w:rPr>
        <w:t>在总部</w:t>
      </w:r>
      <w:r>
        <w:rPr>
          <w:rFonts w:hint="eastAsia"/>
          <w:lang w:eastAsia="zh-CN"/>
        </w:rPr>
        <w:t>举行</w:t>
      </w:r>
      <w:r w:rsidRPr="00021E94">
        <w:rPr>
          <w:rFonts w:hint="eastAsia"/>
          <w:lang w:eastAsia="zh-CN"/>
        </w:rPr>
        <w:t>理事会会议和</w:t>
      </w:r>
      <w:r w:rsidRPr="00C43519">
        <w:rPr>
          <w:rFonts w:hint="eastAsia"/>
          <w:lang w:eastAsia="zh-CN"/>
        </w:rPr>
        <w:t>理事会工作组集中召开的会议</w:t>
      </w:r>
      <w:r>
        <w:rPr>
          <w:rFonts w:hint="eastAsia"/>
          <w:lang w:eastAsia="zh-CN"/>
        </w:rPr>
        <w:t>。</w:t>
      </w:r>
    </w:p>
    <w:p w14:paraId="2B3A0312" w14:textId="6965A8B0" w:rsidR="00691957" w:rsidRPr="00C60C4F" w:rsidRDefault="00691957" w:rsidP="00691957">
      <w:pPr>
        <w:pStyle w:val="enumlev1"/>
        <w:rPr>
          <w:b/>
          <w:bCs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021E94">
        <w:rPr>
          <w:rFonts w:hint="eastAsia"/>
          <w:lang w:eastAsia="zh-CN"/>
        </w:rPr>
        <w:t>利用</w:t>
      </w:r>
      <w:r>
        <w:rPr>
          <w:rFonts w:hint="eastAsia"/>
          <w:lang w:eastAsia="zh-CN"/>
        </w:rPr>
        <w:t>位于</w:t>
      </w:r>
      <w:r w:rsidRPr="00021E94">
        <w:rPr>
          <w:rFonts w:hint="eastAsia"/>
          <w:lang w:eastAsia="zh-CN"/>
        </w:rPr>
        <w:t>日内瓦的设施</w:t>
      </w:r>
      <w:r>
        <w:rPr>
          <w:rFonts w:hint="eastAsia"/>
          <w:lang w:eastAsia="zh-CN"/>
        </w:rPr>
        <w:t>来举行</w:t>
      </w:r>
      <w:r w:rsidRPr="00021E94">
        <w:rPr>
          <w:rFonts w:hint="eastAsia"/>
          <w:lang w:eastAsia="zh-CN"/>
        </w:rPr>
        <w:t>这些会议</w:t>
      </w:r>
      <w:r>
        <w:rPr>
          <w:rFonts w:hint="eastAsia"/>
          <w:lang w:eastAsia="zh-CN"/>
        </w:rPr>
        <w:t>。</w:t>
      </w:r>
    </w:p>
    <w:p w14:paraId="6B9493B7" w14:textId="7C054991" w:rsidR="00691957" w:rsidRPr="00C60C4F" w:rsidRDefault="00691957" w:rsidP="00691957">
      <w:pPr>
        <w:pStyle w:val="enumlev1"/>
        <w:rPr>
          <w:b/>
          <w:bCs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按照</w:t>
      </w:r>
      <w:r w:rsidRPr="00021E94">
        <w:rPr>
          <w:rFonts w:hint="eastAsia"/>
          <w:lang w:val="en-US" w:eastAsia="zh-CN"/>
        </w:rPr>
        <w:t>全权代表大会第</w:t>
      </w:r>
      <w:r w:rsidRPr="00C60C4F">
        <w:rPr>
          <w:lang w:val="en-US" w:eastAsia="zh-CN"/>
        </w:rPr>
        <w:t>5</w:t>
      </w:r>
      <w:r w:rsidRPr="00021E94">
        <w:rPr>
          <w:rFonts w:hint="eastAsia"/>
          <w:lang w:val="en-US" w:eastAsia="zh-CN"/>
        </w:rPr>
        <w:t>号决议</w:t>
      </w:r>
      <w:r>
        <w:rPr>
          <w:rFonts w:hint="eastAsia"/>
          <w:lang w:val="en-US" w:eastAsia="zh-CN"/>
        </w:rPr>
        <w:t>（</w:t>
      </w:r>
      <w:r w:rsidRPr="00C60C4F">
        <w:rPr>
          <w:lang w:val="en-US" w:eastAsia="zh-CN"/>
        </w:rPr>
        <w:t>1994</w:t>
      </w:r>
      <w:r w:rsidRPr="00021E94"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>，</w:t>
      </w:r>
      <w:r w:rsidRPr="00021E94">
        <w:rPr>
          <w:rFonts w:hint="eastAsia"/>
          <w:lang w:val="en-US" w:eastAsia="zh-CN"/>
        </w:rPr>
        <w:t>京都</w:t>
      </w:r>
      <w:r>
        <w:rPr>
          <w:rFonts w:hint="eastAsia"/>
          <w:lang w:val="en-US" w:eastAsia="zh-CN"/>
        </w:rPr>
        <w:t>）的规定，在有意向</w:t>
      </w:r>
      <w:r w:rsidRPr="00021E94">
        <w:rPr>
          <w:rFonts w:hint="eastAsia"/>
          <w:lang w:val="en-US" w:eastAsia="zh-CN"/>
        </w:rPr>
        <w:t>的成员国的支持下</w:t>
      </w:r>
      <w:r>
        <w:rPr>
          <w:rFonts w:hint="eastAsia"/>
          <w:lang w:val="en-US" w:eastAsia="zh-CN"/>
        </w:rPr>
        <w:t>，</w:t>
      </w:r>
      <w:r w:rsidRPr="00021E94">
        <w:rPr>
          <w:rFonts w:hint="eastAsia"/>
          <w:lang w:val="en-US" w:eastAsia="zh-CN"/>
        </w:rPr>
        <w:t>继续</w:t>
      </w:r>
      <w:r>
        <w:rPr>
          <w:rFonts w:hint="eastAsia"/>
          <w:lang w:val="en-US" w:eastAsia="zh-CN"/>
        </w:rPr>
        <w:t>探讨设立</w:t>
      </w:r>
      <w:r w:rsidRPr="00021E94">
        <w:rPr>
          <w:rFonts w:hint="eastAsia"/>
          <w:lang w:val="en-US" w:eastAsia="zh-CN"/>
        </w:rPr>
        <w:t>会议中心</w:t>
      </w:r>
      <w:r>
        <w:rPr>
          <w:rFonts w:hint="eastAsia"/>
          <w:lang w:val="en-US" w:eastAsia="zh-CN"/>
        </w:rPr>
        <w:t>的可能性，</w:t>
      </w:r>
      <w:r w:rsidRPr="00021E94">
        <w:rPr>
          <w:rFonts w:hint="eastAsia"/>
          <w:lang w:val="en-US" w:eastAsia="zh-CN"/>
        </w:rPr>
        <w:t>同时确保</w:t>
      </w:r>
      <w:r>
        <w:rPr>
          <w:rFonts w:hint="eastAsia"/>
          <w:lang w:val="en-US" w:eastAsia="zh-CN"/>
        </w:rPr>
        <w:t>此举</w:t>
      </w:r>
      <w:r w:rsidRPr="00021E94">
        <w:rPr>
          <w:rFonts w:hint="eastAsia"/>
          <w:lang w:val="en-US" w:eastAsia="zh-CN"/>
        </w:rPr>
        <w:t>不</w:t>
      </w:r>
      <w:r>
        <w:rPr>
          <w:rFonts w:hint="eastAsia"/>
          <w:lang w:val="en-US" w:eastAsia="zh-CN"/>
        </w:rPr>
        <w:t>会</w:t>
      </w:r>
      <w:r w:rsidRPr="00021E94">
        <w:rPr>
          <w:rFonts w:hint="eastAsia"/>
          <w:lang w:val="en-US" w:eastAsia="zh-CN"/>
        </w:rPr>
        <w:t>给相关成员国带来额外负担</w:t>
      </w:r>
      <w:r w:rsidRPr="001E2C88">
        <w:rPr>
          <w:rFonts w:hint="eastAsia"/>
          <w:lang w:val="en-US" w:eastAsia="zh-CN"/>
        </w:rPr>
        <w:t>。</w:t>
      </w:r>
    </w:p>
    <w:p w14:paraId="3DF3CCF1" w14:textId="4B187489" w:rsidR="00691957" w:rsidRPr="00C60C4F" w:rsidRDefault="00691957" w:rsidP="00691957">
      <w:pPr>
        <w:pStyle w:val="Heading1"/>
        <w:rPr>
          <w:rFonts w:asciiTheme="minorHAnsi" w:eastAsia="Times New Roman" w:hAnsiTheme="minorHAnsi" w:cstheme="minorHAnsi"/>
          <w:lang w:eastAsia="zh-CN"/>
        </w:rPr>
      </w:pPr>
      <w:r w:rsidRPr="00C60C4F">
        <w:rPr>
          <w:rFonts w:asciiTheme="minorHAnsi" w:eastAsia="Times New Roman" w:hAnsiTheme="minorHAnsi" w:cstheme="minorHAnsi"/>
          <w:lang w:eastAsia="zh-CN"/>
        </w:rPr>
        <w:t>3</w:t>
      </w:r>
      <w:r>
        <w:rPr>
          <w:rFonts w:asciiTheme="minorHAnsi" w:eastAsiaTheme="minorEastAsia" w:hAnsiTheme="minorHAnsi" w:cstheme="minorHAnsi"/>
          <w:lang w:eastAsia="zh-CN"/>
        </w:rPr>
        <w:tab/>
      </w:r>
      <w:r w:rsidRPr="00021E94">
        <w:rPr>
          <w:rFonts w:hint="eastAsia"/>
          <w:lang w:eastAsia="zh-CN"/>
        </w:rPr>
        <w:t>加强</w:t>
      </w:r>
      <w:r>
        <w:rPr>
          <w:rFonts w:hint="eastAsia"/>
          <w:lang w:eastAsia="zh-CN"/>
        </w:rPr>
        <w:t>确保</w:t>
      </w:r>
      <w:r w:rsidRPr="00021E94">
        <w:rPr>
          <w:rFonts w:hint="eastAsia"/>
          <w:lang w:eastAsia="zh-CN"/>
        </w:rPr>
        <w:t>业务连续性</w:t>
      </w:r>
      <w:r>
        <w:rPr>
          <w:rFonts w:hint="eastAsia"/>
          <w:lang w:eastAsia="zh-CN"/>
        </w:rPr>
        <w:t>的</w:t>
      </w:r>
      <w:r w:rsidRPr="00021E94">
        <w:rPr>
          <w:rFonts w:hint="eastAsia"/>
          <w:lang w:eastAsia="zh-CN"/>
        </w:rPr>
        <w:t>财务和</w:t>
      </w:r>
      <w:r>
        <w:rPr>
          <w:rFonts w:hint="eastAsia"/>
          <w:lang w:eastAsia="zh-CN"/>
        </w:rPr>
        <w:t>运作</w:t>
      </w:r>
      <w:r w:rsidRPr="00021E94">
        <w:rPr>
          <w:rFonts w:hint="eastAsia"/>
          <w:lang w:eastAsia="zh-CN"/>
        </w:rPr>
        <w:t>基础</w:t>
      </w:r>
    </w:p>
    <w:p w14:paraId="4D09FDF6" w14:textId="77777777" w:rsidR="00691957" w:rsidRPr="00C60C4F" w:rsidRDefault="00691957" w:rsidP="0069195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鉴于</w:t>
      </w:r>
      <w:r w:rsidRPr="00021E94">
        <w:rPr>
          <w:rFonts w:hint="eastAsia"/>
          <w:lang w:eastAsia="zh-CN"/>
        </w:rPr>
        <w:t>上述情况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不妨</w:t>
      </w:r>
      <w:r w:rsidRPr="00021E94">
        <w:rPr>
          <w:rFonts w:hint="eastAsia"/>
          <w:lang w:eastAsia="zh-CN"/>
        </w:rPr>
        <w:t>考虑请秘书处</w:t>
      </w:r>
      <w:r>
        <w:rPr>
          <w:rFonts w:hint="eastAsia"/>
          <w:lang w:eastAsia="zh-CN"/>
        </w:rPr>
        <w:t>：</w:t>
      </w:r>
    </w:p>
    <w:p w14:paraId="136099FD" w14:textId="71E43383" w:rsidR="00691957" w:rsidRPr="00C60C4F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021E94">
        <w:rPr>
          <w:rFonts w:hint="eastAsia"/>
          <w:lang w:eastAsia="zh-CN"/>
        </w:rPr>
        <w:t>及时提供</w:t>
      </w:r>
      <w:r>
        <w:rPr>
          <w:rFonts w:hint="eastAsia"/>
          <w:lang w:eastAsia="zh-CN"/>
        </w:rPr>
        <w:t>关于</w:t>
      </w:r>
      <w:r w:rsidRPr="00021E94">
        <w:rPr>
          <w:rFonts w:hint="eastAsia"/>
          <w:lang w:eastAsia="zh-CN"/>
        </w:rPr>
        <w:t>各</w:t>
      </w:r>
      <w:r>
        <w:rPr>
          <w:rFonts w:hint="eastAsia"/>
          <w:lang w:eastAsia="zh-CN"/>
        </w:rPr>
        <w:t>项</w:t>
      </w:r>
      <w:r w:rsidRPr="00021E94">
        <w:rPr>
          <w:rFonts w:hint="eastAsia"/>
          <w:lang w:eastAsia="zh-CN"/>
        </w:rPr>
        <w:t>方案的详细</w:t>
      </w:r>
      <w:r w:rsidRPr="0027794F">
        <w:rPr>
          <w:rFonts w:hint="eastAsia"/>
          <w:lang w:eastAsia="zh-CN"/>
        </w:rPr>
        <w:t>比较</w:t>
      </w:r>
      <w:r>
        <w:rPr>
          <w:rFonts w:hint="eastAsia"/>
          <w:lang w:eastAsia="zh-CN"/>
        </w:rPr>
        <w:t>性</w:t>
      </w:r>
      <w:r w:rsidRPr="0027794F">
        <w:rPr>
          <w:rFonts w:hint="eastAsia"/>
          <w:lang w:eastAsia="zh-CN"/>
        </w:rPr>
        <w:t>财务分析</w:t>
      </w:r>
      <w:r>
        <w:rPr>
          <w:rFonts w:hint="eastAsia"/>
          <w:lang w:eastAsia="zh-CN"/>
        </w:rPr>
        <w:t>，</w:t>
      </w:r>
      <w:r w:rsidRPr="00021E94">
        <w:rPr>
          <w:rFonts w:hint="eastAsia"/>
          <w:lang w:eastAsia="zh-CN"/>
        </w:rPr>
        <w:t>包括综合成本估算</w:t>
      </w:r>
      <w:r>
        <w:rPr>
          <w:rFonts w:hint="eastAsia"/>
          <w:lang w:eastAsia="zh-CN"/>
        </w:rPr>
        <w:t>、</w:t>
      </w:r>
      <w:r w:rsidRPr="00021E94">
        <w:rPr>
          <w:rFonts w:hint="eastAsia"/>
          <w:lang w:eastAsia="zh-CN"/>
        </w:rPr>
        <w:t>与当前</w:t>
      </w:r>
      <w:r>
        <w:rPr>
          <w:rFonts w:hint="eastAsia"/>
          <w:lang w:eastAsia="zh-CN"/>
        </w:rPr>
        <w:t>在</w:t>
      </w:r>
      <w:r w:rsidRPr="00021E94">
        <w:rPr>
          <w:rFonts w:hint="eastAsia"/>
          <w:lang w:eastAsia="zh-CN"/>
        </w:rPr>
        <w:t>总部</w:t>
      </w:r>
      <w:r>
        <w:rPr>
          <w:rFonts w:hint="eastAsia"/>
          <w:lang w:eastAsia="zh-CN"/>
        </w:rPr>
        <w:t>的</w:t>
      </w:r>
      <w:r w:rsidRPr="00021E94">
        <w:rPr>
          <w:rFonts w:hint="eastAsia"/>
          <w:lang w:eastAsia="zh-CN"/>
        </w:rPr>
        <w:t>费用的</w:t>
      </w:r>
      <w:r>
        <w:rPr>
          <w:rFonts w:hint="eastAsia"/>
          <w:lang w:eastAsia="zh-CN"/>
        </w:rPr>
        <w:t>对比</w:t>
      </w:r>
      <w:r w:rsidRPr="00021E94">
        <w:rPr>
          <w:rFonts w:hint="eastAsia"/>
          <w:lang w:eastAsia="zh-CN"/>
        </w:rPr>
        <w:t>以及对涉及会议中心的方案的评估</w:t>
      </w:r>
      <w:r>
        <w:rPr>
          <w:rFonts w:hint="eastAsia"/>
          <w:lang w:eastAsia="zh-CN"/>
        </w:rPr>
        <w:t>。</w:t>
      </w:r>
    </w:p>
    <w:p w14:paraId="7C004DA8" w14:textId="5A9921E6" w:rsidR="00691957" w:rsidRPr="00C60C4F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C43519">
        <w:rPr>
          <w:rFonts w:hint="eastAsia"/>
          <w:lang w:eastAsia="zh-CN"/>
        </w:rPr>
        <w:t>继续</w:t>
      </w:r>
      <w:r>
        <w:rPr>
          <w:rFonts w:hint="eastAsia"/>
          <w:lang w:eastAsia="zh-CN"/>
        </w:rPr>
        <w:t>在</w:t>
      </w:r>
      <w:r w:rsidRPr="00C43519">
        <w:rPr>
          <w:rFonts w:hint="eastAsia"/>
          <w:lang w:eastAsia="zh-CN"/>
        </w:rPr>
        <w:t>瑞士物色会议场所</w:t>
      </w:r>
      <w:r>
        <w:rPr>
          <w:rFonts w:hint="eastAsia"/>
          <w:lang w:eastAsia="zh-CN"/>
        </w:rPr>
        <w:t>，</w:t>
      </w:r>
      <w:r w:rsidRPr="00C43519">
        <w:rPr>
          <w:rFonts w:hint="eastAsia"/>
          <w:lang w:eastAsia="zh-CN"/>
        </w:rPr>
        <w:t>并在可能的情况下提前落实安排</w:t>
      </w:r>
      <w:r>
        <w:rPr>
          <w:rFonts w:hint="eastAsia"/>
          <w:lang w:eastAsia="zh-CN"/>
        </w:rPr>
        <w:t>，</w:t>
      </w:r>
      <w:r w:rsidRPr="00C43519">
        <w:rPr>
          <w:rFonts w:hint="eastAsia"/>
          <w:lang w:eastAsia="zh-CN"/>
        </w:rPr>
        <w:t>同时</w:t>
      </w:r>
      <w:r>
        <w:rPr>
          <w:rFonts w:hint="eastAsia"/>
          <w:lang w:eastAsia="zh-CN"/>
        </w:rPr>
        <w:t>就设立</w:t>
      </w:r>
      <w:r w:rsidRPr="00C43519">
        <w:rPr>
          <w:rFonts w:hint="eastAsia"/>
          <w:lang w:eastAsia="zh-CN"/>
        </w:rPr>
        <w:t>会议中心</w:t>
      </w:r>
      <w:r>
        <w:rPr>
          <w:rFonts w:hint="eastAsia"/>
          <w:lang w:eastAsia="zh-CN"/>
        </w:rPr>
        <w:t>事宜继续开展讨论，</w:t>
      </w:r>
      <w:r w:rsidRPr="00C43519">
        <w:rPr>
          <w:rFonts w:hint="eastAsia"/>
          <w:lang w:eastAsia="zh-CN"/>
        </w:rPr>
        <w:t>以便向理事会</w:t>
      </w:r>
      <w:r w:rsidRPr="00C60C4F">
        <w:rPr>
          <w:lang w:eastAsia="zh-CN"/>
        </w:rPr>
        <w:t>2026</w:t>
      </w:r>
      <w:r w:rsidRPr="00C43519">
        <w:rPr>
          <w:rFonts w:hint="eastAsia"/>
          <w:lang w:eastAsia="zh-CN"/>
        </w:rPr>
        <w:t>年非常会议汇报情况</w:t>
      </w:r>
      <w:r>
        <w:rPr>
          <w:rFonts w:hint="eastAsia"/>
          <w:lang w:eastAsia="zh-CN"/>
        </w:rPr>
        <w:t>。</w:t>
      </w:r>
    </w:p>
    <w:p w14:paraId="32B02290" w14:textId="3FB65164" w:rsidR="00691957" w:rsidRPr="00021E94" w:rsidRDefault="00691957" w:rsidP="0069195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021E94">
        <w:rPr>
          <w:rFonts w:hint="eastAsia"/>
          <w:lang w:val="en-US" w:eastAsia="zh-CN"/>
        </w:rPr>
        <w:t>探索可能的补充筹资机制</w:t>
      </w:r>
      <w:r>
        <w:rPr>
          <w:rFonts w:hint="eastAsia"/>
          <w:lang w:val="en-US" w:eastAsia="zh-CN"/>
        </w:rPr>
        <w:t>，</w:t>
      </w:r>
      <w:r w:rsidRPr="00021E94">
        <w:rPr>
          <w:rFonts w:hint="eastAsia"/>
          <w:lang w:val="en-US" w:eastAsia="zh-CN"/>
        </w:rPr>
        <w:t>以解决国际电联总部以外会议设施</w:t>
      </w:r>
      <w:r>
        <w:rPr>
          <w:rFonts w:hint="eastAsia"/>
          <w:lang w:val="en-US" w:eastAsia="zh-CN"/>
        </w:rPr>
        <w:t>租用</w:t>
      </w:r>
      <w:r w:rsidRPr="00021E94">
        <w:rPr>
          <w:rFonts w:hint="eastAsia"/>
          <w:lang w:val="en-US" w:eastAsia="zh-CN"/>
        </w:rPr>
        <w:t>专</w:t>
      </w:r>
      <w:r>
        <w:rPr>
          <w:rFonts w:hint="eastAsia"/>
          <w:lang w:val="en-US" w:eastAsia="zh-CN"/>
        </w:rPr>
        <w:t>项</w:t>
      </w:r>
      <w:r w:rsidRPr="00021E94">
        <w:rPr>
          <w:rFonts w:hint="eastAsia"/>
          <w:lang w:val="en-US" w:eastAsia="zh-CN"/>
        </w:rPr>
        <w:t>预算不足的问题</w:t>
      </w:r>
      <w:r>
        <w:rPr>
          <w:rFonts w:hint="eastAsia"/>
          <w:lang w:val="en-US" w:eastAsia="zh-CN"/>
        </w:rPr>
        <w:t>。</w:t>
      </w:r>
    </w:p>
    <w:p w14:paraId="45AC5915" w14:textId="77777777" w:rsidR="00691957" w:rsidRPr="00E323D0" w:rsidRDefault="00691957" w:rsidP="00691957">
      <w:pPr>
        <w:jc w:val="center"/>
      </w:pPr>
      <w:r>
        <w:t>______________</w:t>
      </w:r>
    </w:p>
    <w:sectPr w:rsidR="00691957" w:rsidRPr="00E323D0" w:rsidSect="00E24D59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3E2E" w14:textId="77777777" w:rsidR="0007408F" w:rsidRDefault="0007408F">
      <w:r>
        <w:separator/>
      </w:r>
    </w:p>
  </w:endnote>
  <w:endnote w:type="continuationSeparator" w:id="0">
    <w:p w14:paraId="6B5F82A0" w14:textId="77777777" w:rsidR="0007408F" w:rsidRDefault="000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69311CB4" w14:textId="77777777" w:rsidTr="00E31DCE">
      <w:trPr>
        <w:jc w:val="center"/>
      </w:trPr>
      <w:tc>
        <w:tcPr>
          <w:tcW w:w="1803" w:type="dxa"/>
          <w:vAlign w:val="center"/>
        </w:tcPr>
        <w:p w14:paraId="55883B67" w14:textId="14A961FB" w:rsidR="00E24D59" w:rsidRPr="00691957" w:rsidRDefault="005327DF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R</w:t>
          </w:r>
          <w:r w:rsidR="00691957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2600982</w:t>
          </w:r>
        </w:p>
      </w:tc>
      <w:tc>
        <w:tcPr>
          <w:tcW w:w="8261" w:type="dxa"/>
        </w:tcPr>
        <w:p w14:paraId="665BC212" w14:textId="6240A111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691957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106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C272260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5ACED86" w14:textId="77777777" w:rsidTr="00E31DCE">
      <w:trPr>
        <w:jc w:val="center"/>
      </w:trPr>
      <w:tc>
        <w:tcPr>
          <w:tcW w:w="1803" w:type="dxa"/>
          <w:vAlign w:val="center"/>
        </w:tcPr>
        <w:p w14:paraId="7E65FAEC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295825C0" w14:textId="459B28C5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714231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106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620FF0D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8BD4" w14:textId="77777777" w:rsidR="0007408F" w:rsidRDefault="0007408F">
      <w:r>
        <w:t>____________________</w:t>
      </w:r>
    </w:p>
  </w:footnote>
  <w:footnote w:type="continuationSeparator" w:id="0">
    <w:p w14:paraId="6D00A7C3" w14:textId="77777777" w:rsidR="0007408F" w:rsidRDefault="0007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7FEB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65153"/>
    <w:multiLevelType w:val="multilevel"/>
    <w:tmpl w:val="56C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8C5FC0"/>
    <w:multiLevelType w:val="hybridMultilevel"/>
    <w:tmpl w:val="26B07DAA"/>
    <w:lvl w:ilvl="0" w:tplc="FC8051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6"/>
  </w:num>
  <w:num w:numId="5" w16cid:durableId="2033219779">
    <w:abstractNumId w:val="8"/>
  </w:num>
  <w:num w:numId="6" w16cid:durableId="349645790">
    <w:abstractNumId w:val="7"/>
  </w:num>
  <w:num w:numId="7" w16cid:durableId="1451586466">
    <w:abstractNumId w:val="2"/>
  </w:num>
  <w:num w:numId="8" w16cid:durableId="1131240780">
    <w:abstractNumId w:val="1"/>
  </w:num>
  <w:num w:numId="9" w16cid:durableId="2080201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3B"/>
    <w:rsid w:val="00001B77"/>
    <w:rsid w:val="0000517A"/>
    <w:rsid w:val="0000538F"/>
    <w:rsid w:val="00031E72"/>
    <w:rsid w:val="000404D2"/>
    <w:rsid w:val="000646BD"/>
    <w:rsid w:val="0007408F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37A39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321B1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21262"/>
    <w:rsid w:val="005327DF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602842"/>
    <w:rsid w:val="00630DD5"/>
    <w:rsid w:val="00637584"/>
    <w:rsid w:val="00654257"/>
    <w:rsid w:val="0065435A"/>
    <w:rsid w:val="00670D8A"/>
    <w:rsid w:val="00691957"/>
    <w:rsid w:val="006A2DD3"/>
    <w:rsid w:val="006A5113"/>
    <w:rsid w:val="006A5AF8"/>
    <w:rsid w:val="006C36CD"/>
    <w:rsid w:val="00700D1F"/>
    <w:rsid w:val="00714231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8203B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AE6190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A11F4"/>
    <w:rsid w:val="00BD0954"/>
    <w:rsid w:val="00BD1A5A"/>
    <w:rsid w:val="00BD3776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E5ABA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9332E"/>
    <w:rsid w:val="00EE5706"/>
    <w:rsid w:val="00EF29CD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EC285"/>
  <w15:docId w15:val="{6CDEB007-381A-41AE-A1B8-AEC474A7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691957"/>
    <w:rPr>
      <w:rFonts w:eastAsia="Times New Roman"/>
      <w:noProof/>
      <w:color w:val="4F81BD" w:themeColor="accent1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3\Desktop\&#24120;&#29992;&#27169;&#26495;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3</Pages>
  <Words>1975</Words>
  <Characters>656</Characters>
  <Application>Microsoft Office Word</Application>
  <DocSecurity>0</DocSecurity>
  <Lines>25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2580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dates and duration for the 2027, 2028 and 2029 Council sessions and the series of meetings of the CWGs for the period 2027-2029</dc:title>
  <dc:subject>ITU Council 2026</dc:subject>
  <cp:keywords>C26; C2026; Council 2026; PP26</cp:keywords>
  <dc:description/>
  <cp:lastPrinted>2015-02-24T13:23:00Z</cp:lastPrinted>
  <dcterms:created xsi:type="dcterms:W3CDTF">2026-04-22T15:51:00Z</dcterms:created>
  <dcterms:modified xsi:type="dcterms:W3CDTF">2026-04-22T15:51:00Z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