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9"/>
        <w:gridCol w:w="2972"/>
      </w:tblGrid>
      <w:tr w:rsidR="007B0AA0" w14:paraId="39421071" w14:textId="77777777" w:rsidTr="00F363FE">
        <w:tc>
          <w:tcPr>
            <w:tcW w:w="6512" w:type="dxa"/>
          </w:tcPr>
          <w:p w14:paraId="7CD5DD5C" w14:textId="4E9E49BD" w:rsidR="007B0AA0" w:rsidRPr="00341327" w:rsidRDefault="007B0AA0" w:rsidP="00F363FE">
            <w:pPr>
              <w:spacing w:before="60" w:after="60" w:line="260" w:lineRule="exact"/>
              <w:rPr>
                <w:b/>
                <w:bCs/>
                <w:lang w:val="en-GB"/>
              </w:rPr>
            </w:pPr>
            <w:r w:rsidRPr="007B0AA0">
              <w:rPr>
                <w:rFonts w:hint="cs"/>
                <w:b/>
                <w:bCs/>
                <w:rtl/>
                <w:lang w:bidi="ar-EG"/>
              </w:rPr>
              <w:t>بند جدول الأعمال:</w:t>
            </w:r>
            <w:r w:rsidR="00341327">
              <w:rPr>
                <w:rFonts w:hint="cs"/>
                <w:b/>
                <w:bCs/>
                <w:rtl/>
              </w:rPr>
              <w:t xml:space="preserve"> </w:t>
            </w:r>
            <w:r w:rsidR="00341327">
              <w:rPr>
                <w:b/>
                <w:bCs/>
                <w:lang w:val="en-GB"/>
              </w:rPr>
              <w:t>PL-3</w:t>
            </w:r>
          </w:p>
        </w:tc>
        <w:tc>
          <w:tcPr>
            <w:tcW w:w="3117" w:type="dxa"/>
          </w:tcPr>
          <w:p w14:paraId="339A15C6" w14:textId="48FBFCB4"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341327">
              <w:rPr>
                <w:b/>
                <w:bCs/>
                <w:lang w:bidi="ar-EG"/>
              </w:rPr>
              <w:t>106</w:t>
            </w:r>
            <w:r w:rsidRPr="007B0AA0">
              <w:rPr>
                <w:b/>
                <w:bCs/>
                <w:lang w:bidi="ar-EG"/>
              </w:rPr>
              <w:t>-A</w:t>
            </w:r>
          </w:p>
        </w:tc>
      </w:tr>
      <w:tr w:rsidR="007B0AA0" w14:paraId="7C4B8905" w14:textId="77777777" w:rsidTr="00F363FE">
        <w:tc>
          <w:tcPr>
            <w:tcW w:w="6512" w:type="dxa"/>
          </w:tcPr>
          <w:p w14:paraId="367D8BC7" w14:textId="77777777" w:rsidR="007B0AA0" w:rsidRPr="007B0AA0" w:rsidRDefault="007B0AA0" w:rsidP="00F363FE">
            <w:pPr>
              <w:spacing w:before="60" w:after="60" w:line="260" w:lineRule="exact"/>
              <w:rPr>
                <w:b/>
                <w:bCs/>
                <w:rtl/>
                <w:lang w:bidi="ar-EG"/>
              </w:rPr>
            </w:pPr>
          </w:p>
        </w:tc>
        <w:tc>
          <w:tcPr>
            <w:tcW w:w="3117" w:type="dxa"/>
          </w:tcPr>
          <w:p w14:paraId="09682B23" w14:textId="2B03408E" w:rsidR="007B0AA0" w:rsidRPr="00341327" w:rsidRDefault="00341327" w:rsidP="00F363FE">
            <w:pPr>
              <w:spacing w:before="60" w:after="60" w:line="260" w:lineRule="exact"/>
              <w:rPr>
                <w:b/>
                <w:bCs/>
              </w:rPr>
            </w:pPr>
            <w:r>
              <w:rPr>
                <w:b/>
                <w:bCs/>
                <w:lang w:bidi="ar-EG"/>
              </w:rPr>
              <w:t>15</w:t>
            </w:r>
            <w:r>
              <w:rPr>
                <w:rFonts w:hint="cs"/>
                <w:b/>
                <w:bCs/>
                <w:rtl/>
              </w:rPr>
              <w:t xml:space="preserve"> أبريل </w:t>
            </w:r>
            <w:r>
              <w:rPr>
                <w:b/>
                <w:bCs/>
              </w:rPr>
              <w:t>2026</w:t>
            </w:r>
          </w:p>
        </w:tc>
      </w:tr>
      <w:tr w:rsidR="007B0AA0" w14:paraId="5CFD1366" w14:textId="77777777" w:rsidTr="00F363FE">
        <w:tc>
          <w:tcPr>
            <w:tcW w:w="6512" w:type="dxa"/>
          </w:tcPr>
          <w:p w14:paraId="78D48491" w14:textId="77777777" w:rsidR="007B0AA0" w:rsidRPr="007B0AA0" w:rsidRDefault="007B0AA0" w:rsidP="00F363FE">
            <w:pPr>
              <w:spacing w:before="60" w:after="60" w:line="260" w:lineRule="exact"/>
              <w:rPr>
                <w:b/>
                <w:bCs/>
                <w:rtl/>
                <w:lang w:bidi="ar-EG"/>
              </w:rPr>
            </w:pPr>
          </w:p>
        </w:tc>
        <w:tc>
          <w:tcPr>
            <w:tcW w:w="3117" w:type="dxa"/>
          </w:tcPr>
          <w:p w14:paraId="0BEEA358"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1B85CD7" w14:textId="77777777" w:rsidTr="00F363FE">
        <w:tc>
          <w:tcPr>
            <w:tcW w:w="6512" w:type="dxa"/>
          </w:tcPr>
          <w:p w14:paraId="73DE253D" w14:textId="77777777" w:rsidR="007B0AA0" w:rsidRDefault="007B0AA0" w:rsidP="00F363FE">
            <w:pPr>
              <w:spacing w:before="60" w:after="60" w:line="260" w:lineRule="exact"/>
              <w:rPr>
                <w:lang w:bidi="ar-EG"/>
              </w:rPr>
            </w:pPr>
          </w:p>
        </w:tc>
        <w:tc>
          <w:tcPr>
            <w:tcW w:w="3117" w:type="dxa"/>
          </w:tcPr>
          <w:p w14:paraId="2C4798A9" w14:textId="77777777" w:rsidR="007B0AA0" w:rsidRDefault="007B0AA0" w:rsidP="00F363FE">
            <w:pPr>
              <w:spacing w:before="60" w:after="60" w:line="260" w:lineRule="exact"/>
              <w:rPr>
                <w:rtl/>
                <w:lang w:bidi="ar-EG"/>
              </w:rPr>
            </w:pPr>
          </w:p>
        </w:tc>
      </w:tr>
      <w:tr w:rsidR="007B0AA0" w14:paraId="174F013B" w14:textId="77777777" w:rsidTr="00EE7446">
        <w:tc>
          <w:tcPr>
            <w:tcW w:w="9629" w:type="dxa"/>
            <w:gridSpan w:val="2"/>
          </w:tcPr>
          <w:p w14:paraId="28CE8EF4" w14:textId="7E9EF129" w:rsidR="007B0AA0" w:rsidRDefault="00341327" w:rsidP="007B0AA0">
            <w:pPr>
              <w:pStyle w:val="Source"/>
              <w:jc w:val="left"/>
              <w:rPr>
                <w:lang w:bidi="ar-EG"/>
              </w:rPr>
            </w:pPr>
            <w:r w:rsidRPr="00341327">
              <w:rPr>
                <w:rtl/>
                <w:lang w:bidi="ar-EG"/>
              </w:rPr>
              <w:t xml:space="preserve">مساهمة مقدمة من المملكة المغربية وجمهورية جنوب إفريقيا </w:t>
            </w:r>
            <w:r>
              <w:rPr>
                <w:lang w:bidi="ar-EG"/>
              </w:rPr>
              <w:br/>
            </w:r>
            <w:r w:rsidRPr="00341327">
              <w:rPr>
                <w:rtl/>
                <w:lang w:bidi="ar-EG"/>
              </w:rPr>
              <w:t>وجمهورية السنغال</w:t>
            </w:r>
          </w:p>
        </w:tc>
      </w:tr>
      <w:tr w:rsidR="007B0AA0" w14:paraId="07BBDF5C" w14:textId="77777777" w:rsidTr="007B0AA0">
        <w:tc>
          <w:tcPr>
            <w:tcW w:w="9629" w:type="dxa"/>
            <w:gridSpan w:val="2"/>
            <w:tcBorders>
              <w:bottom w:val="single" w:sz="4" w:space="0" w:color="auto"/>
            </w:tcBorders>
          </w:tcPr>
          <w:p w14:paraId="4CEEFF10" w14:textId="571EFEBA" w:rsidR="007B0AA0" w:rsidRPr="005546CF" w:rsidRDefault="00341327" w:rsidP="007B0AA0">
            <w:pPr>
              <w:pStyle w:val="Subtitle0"/>
              <w:rPr>
                <w:sz w:val="32"/>
                <w:szCs w:val="32"/>
              </w:rPr>
            </w:pPr>
            <w:r w:rsidRPr="00341327">
              <w:rPr>
                <w:sz w:val="32"/>
                <w:szCs w:val="32"/>
                <w:rtl/>
              </w:rPr>
              <w:t>المواعيد والمدد المقترحة لدورات المجلس لعام 2027 و2028 و2029 وسلسلة اجتماعات فرق عمل المجلس للفترة 2027</w:t>
            </w:r>
            <w:r>
              <w:rPr>
                <w:sz w:val="32"/>
                <w:szCs w:val="32"/>
              </w:rPr>
              <w:t>-</w:t>
            </w:r>
            <w:r w:rsidRPr="00341327">
              <w:rPr>
                <w:sz w:val="32"/>
                <w:szCs w:val="32"/>
                <w:rtl/>
              </w:rPr>
              <w:t>2029</w:t>
            </w:r>
          </w:p>
        </w:tc>
      </w:tr>
      <w:tr w:rsidR="007B0AA0" w14:paraId="09DC6749" w14:textId="77777777" w:rsidTr="007B0AA0">
        <w:tc>
          <w:tcPr>
            <w:tcW w:w="9629" w:type="dxa"/>
            <w:gridSpan w:val="2"/>
            <w:tcBorders>
              <w:top w:val="single" w:sz="4" w:space="0" w:color="auto"/>
              <w:bottom w:val="single" w:sz="4" w:space="0" w:color="auto"/>
            </w:tcBorders>
          </w:tcPr>
          <w:p w14:paraId="4D747808" w14:textId="77777777" w:rsidR="007B0AA0" w:rsidRPr="007B0AA0" w:rsidRDefault="007B0AA0" w:rsidP="007B0AA0">
            <w:pPr>
              <w:rPr>
                <w:b/>
                <w:bCs/>
                <w:rtl/>
              </w:rPr>
            </w:pPr>
            <w:r w:rsidRPr="00494119">
              <w:rPr>
                <w:rFonts w:hint="cs"/>
                <w:b/>
                <w:bCs/>
                <w:rtl/>
              </w:rPr>
              <w:t>الغرض</w:t>
            </w:r>
          </w:p>
          <w:p w14:paraId="61E34937" w14:textId="77777777" w:rsidR="00341327" w:rsidRDefault="00341327" w:rsidP="00341327">
            <w:pPr>
              <w:rPr>
                <w:rtl/>
              </w:rPr>
            </w:pPr>
            <w:r>
              <w:rPr>
                <w:rtl/>
              </w:rPr>
              <w:t>يرجح أن يكون لمشروع تشييد المبنى الجديد لمقر الاتحاد آثار تشغيلية ومالية على تخطيط اجتماعات المجلس وتسيير أعماله، فضلاً عن اجتماعات فرق العمل التابعة للمجلس (</w:t>
            </w:r>
            <w:r>
              <w:t>CWG</w:t>
            </w:r>
            <w:r>
              <w:rPr>
                <w:rtl/>
              </w:rPr>
              <w:t>) وأفرقة الخبراء (</w:t>
            </w:r>
            <w:r>
              <w:t>EG</w:t>
            </w:r>
            <w:r>
              <w:rPr>
                <w:rtl/>
              </w:rPr>
              <w:t>) التابعة له، نظراً لعدم توفر مرافق الاجتماعات في المقر الرئيسي بجنيف. وفي هذا السياق، سيكون من المناسب تسليط الضوء على القيود القانونية والتشغيلية والمالية، فضلاً عن المخاطر المؤسسية المرتبطة بها.</w:t>
            </w:r>
          </w:p>
          <w:p w14:paraId="082D99CF" w14:textId="677CA44F" w:rsidR="007B0AA0" w:rsidRDefault="00341327" w:rsidP="00341327">
            <w:pPr>
              <w:rPr>
                <w:rtl/>
              </w:rPr>
            </w:pPr>
            <w:r>
              <w:rPr>
                <w:rtl/>
              </w:rPr>
              <w:t>وفي هذا الصدد، يدعى المجلس إلى النظر في اعتماد مقرر مبكر، يستند إلى نهج مشترك وعملي، يدعمه تعزيز الوضوح المالي، بغية ضمان استمرارية الأنشطة امتثالاً للمتطلبات القانونية وقيود الميزانية.</w:t>
            </w:r>
          </w:p>
          <w:p w14:paraId="587257F0" w14:textId="77777777" w:rsidR="007B0AA0" w:rsidRPr="007B0AA0" w:rsidRDefault="007B0AA0" w:rsidP="007B0AA0">
            <w:pPr>
              <w:rPr>
                <w:b/>
                <w:bCs/>
                <w:rtl/>
              </w:rPr>
            </w:pPr>
            <w:r w:rsidRPr="007B0AA0">
              <w:rPr>
                <w:rFonts w:hint="cs"/>
                <w:b/>
                <w:bCs/>
                <w:rtl/>
              </w:rPr>
              <w:t>الإجراء المطلوب من المجلس</w:t>
            </w:r>
          </w:p>
          <w:p w14:paraId="35A485CE" w14:textId="7B462732" w:rsidR="007B0AA0" w:rsidRDefault="00341327" w:rsidP="007B0AA0">
            <w:pPr>
              <w:rPr>
                <w:rtl/>
              </w:rPr>
            </w:pPr>
            <w:r w:rsidRPr="00341327">
              <w:rPr>
                <w:rtl/>
              </w:rPr>
              <w:t xml:space="preserve">يدعى المجلس إلى </w:t>
            </w:r>
            <w:r w:rsidRPr="00341327">
              <w:rPr>
                <w:b/>
                <w:bCs/>
                <w:rtl/>
              </w:rPr>
              <w:t>النظر في</w:t>
            </w:r>
            <w:r w:rsidRPr="00341327">
              <w:rPr>
                <w:rtl/>
              </w:rPr>
              <w:t xml:space="preserve"> هذه الوثيقة و</w:t>
            </w:r>
            <w:r w:rsidRPr="00341327">
              <w:rPr>
                <w:b/>
                <w:bCs/>
                <w:rtl/>
              </w:rPr>
              <w:t>اتخاذ الإجراءات المناسبة</w:t>
            </w:r>
            <w:r w:rsidRPr="00341327">
              <w:rPr>
                <w:rtl/>
              </w:rPr>
              <w:t>.</w:t>
            </w:r>
          </w:p>
          <w:p w14:paraId="4315034D"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182C7A11" w14:textId="77777777" w:rsidR="007B0AA0" w:rsidRPr="007B0AA0" w:rsidRDefault="007B0AA0" w:rsidP="007B0AA0">
            <w:pPr>
              <w:rPr>
                <w:b/>
                <w:bCs/>
                <w:rtl/>
              </w:rPr>
            </w:pPr>
            <w:r w:rsidRPr="007B0AA0">
              <w:rPr>
                <w:rFonts w:hint="cs"/>
                <w:b/>
                <w:bCs/>
                <w:rtl/>
              </w:rPr>
              <w:t>المراجع</w:t>
            </w:r>
          </w:p>
          <w:p w14:paraId="7D539086" w14:textId="297FA414" w:rsidR="007B0AA0" w:rsidRPr="005546CF" w:rsidRDefault="00341327" w:rsidP="003E07D7">
            <w:pPr>
              <w:rPr>
                <w:i/>
                <w:iCs/>
                <w:rtl/>
              </w:rPr>
            </w:pPr>
            <w:hyperlink r:id="rId8" w:history="1">
              <w:r w:rsidRPr="00341327">
                <w:rPr>
                  <w:rStyle w:val="Hyperlink"/>
                  <w:i/>
                  <w:iCs/>
                  <w:noProof w:val="0"/>
                  <w:rtl/>
                  <w:lang w:val="en-US" w:eastAsia="zh-CN"/>
                </w:rPr>
                <w:t>قرار المجلس 1434 (دورة المجلس لعام 2025)</w:t>
              </w:r>
            </w:hyperlink>
            <w:r w:rsidRPr="00341327">
              <w:rPr>
                <w:i/>
                <w:iCs/>
                <w:rtl/>
              </w:rPr>
              <w:t xml:space="preserve">، </w:t>
            </w:r>
            <w:hyperlink r:id="rId9" w:history="1">
              <w:r w:rsidRPr="003E07D7">
                <w:rPr>
                  <w:rStyle w:val="Hyperlink"/>
                  <w:i/>
                  <w:iCs/>
                  <w:noProof w:val="0"/>
                  <w:rtl/>
                  <w:lang w:val="en-US" w:eastAsia="zh-CN"/>
                </w:rPr>
                <w:t xml:space="preserve">قرار المجلس 1333 (دورة المجلس لعام 2011، </w:t>
              </w:r>
              <w:r w:rsidR="003E07D7" w:rsidRPr="003971E1">
                <w:rPr>
                  <w:rStyle w:val="Hyperlink"/>
                  <w:i/>
                  <w:iCs/>
                  <w:noProof w:val="0"/>
                  <w:rtl/>
                  <w:lang w:val="en-US" w:eastAsia="zh-CN"/>
                </w:rPr>
                <w:t>والمعدل آخر مرة</w:t>
              </w:r>
              <w:r w:rsidR="00947353" w:rsidRPr="003971E1">
                <w:rPr>
                  <w:rStyle w:val="Hyperlink"/>
                  <w:rFonts w:hint="cs"/>
                  <w:i/>
                  <w:iCs/>
                  <w:noProof w:val="0"/>
                  <w:rtl/>
                  <w:lang w:val="en-US" w:eastAsia="zh-CN" w:bidi="ar-EG"/>
                </w:rPr>
                <w:t xml:space="preserve"> </w:t>
              </w:r>
              <w:r w:rsidRPr="003E07D7">
                <w:rPr>
                  <w:rStyle w:val="Hyperlink"/>
                  <w:i/>
                  <w:iCs/>
                  <w:noProof w:val="0"/>
                  <w:rtl/>
                  <w:lang w:val="en-US" w:eastAsia="zh-CN"/>
                </w:rPr>
                <w:t>في دورة المجلس لعام 2025)</w:t>
              </w:r>
            </w:hyperlink>
            <w:r w:rsidRPr="00341327">
              <w:rPr>
                <w:i/>
                <w:iCs/>
                <w:rtl/>
              </w:rPr>
              <w:t xml:space="preserve">، </w:t>
            </w:r>
            <w:hyperlink r:id="rId10" w:history="1">
              <w:r w:rsidRPr="00341327">
                <w:rPr>
                  <w:rStyle w:val="Hyperlink"/>
                  <w:i/>
                  <w:iCs/>
                  <w:noProof w:val="0"/>
                  <w:rtl/>
                  <w:lang w:val="en-US" w:eastAsia="zh-CN"/>
                </w:rPr>
                <w:t>مقرر المجلس 640 (دورة المجلس لعام 2024)</w:t>
              </w:r>
            </w:hyperlink>
            <w:r w:rsidRPr="00341327">
              <w:rPr>
                <w:i/>
                <w:iCs/>
                <w:rtl/>
              </w:rPr>
              <w:t xml:space="preserve">، </w:t>
            </w:r>
            <w:hyperlink r:id="rId11" w:history="1">
              <w:r w:rsidRPr="00341327">
                <w:rPr>
                  <w:rStyle w:val="Hyperlink"/>
                  <w:i/>
                  <w:iCs/>
                  <w:noProof w:val="0"/>
                  <w:rtl/>
                  <w:lang w:val="en-US" w:eastAsia="zh-CN"/>
                </w:rPr>
                <w:t>مقرر المجلس رقم 643 (دورة المجلس لعام 2025)</w:t>
              </w:r>
            </w:hyperlink>
            <w:r w:rsidRPr="00341327">
              <w:rPr>
                <w:i/>
                <w:iCs/>
                <w:rtl/>
              </w:rPr>
              <w:t>.</w:t>
            </w:r>
          </w:p>
        </w:tc>
      </w:tr>
    </w:tbl>
    <w:p w14:paraId="41C8B8B1" w14:textId="77777777" w:rsidR="00F50E3F" w:rsidRDefault="00F50E3F" w:rsidP="0043260A">
      <w:pPr>
        <w:rPr>
          <w:rtl/>
          <w:lang w:bidi="ar-EG"/>
        </w:rPr>
      </w:pPr>
      <w:r>
        <w:rPr>
          <w:rtl/>
          <w:lang w:bidi="ar-EG"/>
        </w:rPr>
        <w:br w:type="page"/>
      </w:r>
    </w:p>
    <w:p w14:paraId="729960FF" w14:textId="7A9106A3" w:rsidR="00341327" w:rsidRPr="00341327" w:rsidRDefault="00341327" w:rsidP="00341327">
      <w:pPr>
        <w:pStyle w:val="Heading1"/>
        <w:rPr>
          <w:lang w:val="ar-SA" w:eastAsia="zh-TW" w:bidi="en-GB"/>
        </w:rPr>
      </w:pPr>
      <w:r>
        <w:lastRenderedPageBreak/>
        <w:t>1</w:t>
      </w:r>
      <w:r>
        <w:tab/>
      </w:r>
      <w:r w:rsidRPr="00341327">
        <w:rPr>
          <w:rtl/>
        </w:rPr>
        <w:t>معلومات أساسية</w:t>
      </w:r>
    </w:p>
    <w:p w14:paraId="012AFC9E" w14:textId="77777777" w:rsidR="00341327" w:rsidRPr="00341327" w:rsidRDefault="00341327" w:rsidP="00341327">
      <w:pPr>
        <w:rPr>
          <w:lang w:val="ar-SA" w:eastAsia="zh-TW" w:bidi="en-GB"/>
        </w:rPr>
      </w:pPr>
      <w:r w:rsidRPr="00341327">
        <w:rPr>
          <w:rtl/>
        </w:rPr>
        <w:t>عملاً بالمادتين 7 و10 من الدستور، يتصرف المجلس، بصفته الهيئة الإدارية للاتحاد، باسم مؤتمر المندوبين المفوضين في الفترة الواقعة بين مؤتمرين للمندوبين المفوضين، في حدود السلطات المفوضة له.</w:t>
      </w:r>
    </w:p>
    <w:p w14:paraId="6929F51D" w14:textId="77777777" w:rsidR="00341327" w:rsidRPr="00341327" w:rsidRDefault="00341327" w:rsidP="00341327">
      <w:pPr>
        <w:rPr>
          <w:lang w:val="ar-SA" w:eastAsia="zh-TW" w:bidi="en-GB"/>
        </w:rPr>
      </w:pPr>
      <w:r w:rsidRPr="00341327">
        <w:rPr>
          <w:rtl/>
        </w:rPr>
        <w:t>وطبقاً للمادة 4 من الاتفاقية (الرقم 51) التي تنص على أن تعقد دورة عادية للمجلس كل سنة في مقر الاتحاد.</w:t>
      </w:r>
    </w:p>
    <w:p w14:paraId="09AD50D3" w14:textId="17BAF68C" w:rsidR="00341327" w:rsidRPr="00341327" w:rsidRDefault="00341327" w:rsidP="00341327">
      <w:pPr>
        <w:rPr>
          <w:lang w:val="ar-SA" w:eastAsia="zh-TW" w:bidi="en-GB"/>
        </w:rPr>
      </w:pPr>
      <w:r w:rsidRPr="00341327">
        <w:rPr>
          <w:rtl/>
        </w:rPr>
        <w:t>ووفقاً للقرار 77 (المراج</w:t>
      </w:r>
      <w:r>
        <w:rPr>
          <w:rFonts w:hint="cs"/>
          <w:rtl/>
        </w:rPr>
        <w:t>َ</w:t>
      </w:r>
      <w:r w:rsidRPr="00341327">
        <w:rPr>
          <w:rtl/>
        </w:rPr>
        <w:t>ع في دبي، 2018) لمؤتمر المندوبين المفوضين والمقرر 612 (دورة المجلس لعام 2019)، ي</w:t>
      </w:r>
      <w:r>
        <w:rPr>
          <w:rFonts w:hint="cs"/>
          <w:rtl/>
        </w:rPr>
        <w:t>ُ</w:t>
      </w:r>
      <w:r w:rsidRPr="00341327">
        <w:rPr>
          <w:rtl/>
        </w:rPr>
        <w:t>دعى المجلس إلى تخطيط دوراته العادية على أساس عدة سنوات، مع إجراء تعديلات سنوية.</w:t>
      </w:r>
    </w:p>
    <w:p w14:paraId="5902742F" w14:textId="20C66850" w:rsidR="00341327" w:rsidRPr="00341327" w:rsidRDefault="00341327" w:rsidP="00335D73">
      <w:pPr>
        <w:rPr>
          <w:lang w:val="ar-SA" w:eastAsia="zh-TW" w:bidi="en-GB"/>
        </w:rPr>
      </w:pPr>
      <w:r w:rsidRPr="00341327">
        <w:rPr>
          <w:rtl/>
        </w:rPr>
        <w:t xml:space="preserve">وعملاً بالقرار 1333 (الصادر في دورة المجلس لعام 2011، </w:t>
      </w:r>
      <w:r w:rsidR="00335D73" w:rsidRPr="003971E1">
        <w:rPr>
          <w:rtl/>
        </w:rPr>
        <w:t>والمعدل آخر مرة</w:t>
      </w:r>
      <w:r w:rsidR="00335D73" w:rsidRPr="003971E1">
        <w:rPr>
          <w:rFonts w:hint="cs"/>
          <w:rtl/>
        </w:rPr>
        <w:t xml:space="preserve"> </w:t>
      </w:r>
      <w:r w:rsidRPr="00341327">
        <w:rPr>
          <w:rtl/>
        </w:rPr>
        <w:t>في دورة المجلس لعام 2025)، ولا</w:t>
      </w:r>
      <w:r w:rsidR="000627C5">
        <w:rPr>
          <w:rFonts w:hint="cs"/>
          <w:rtl/>
        </w:rPr>
        <w:t> </w:t>
      </w:r>
      <w:r w:rsidRPr="00341327">
        <w:rPr>
          <w:rtl/>
        </w:rPr>
        <w:t>سيما الفقرات 1 و2 و5 من "</w:t>
      </w:r>
      <w:r w:rsidRPr="000627C5">
        <w:rPr>
          <w:i/>
          <w:iCs/>
          <w:rtl/>
        </w:rPr>
        <w:t>يقرر</w:t>
      </w:r>
      <w:r w:rsidRPr="00341327">
        <w:rPr>
          <w:rtl/>
        </w:rPr>
        <w:t>"، تؤدي فرق العمل التابعة للمجلس دوراً أساسياً في دعم عملية صنع القرار من خلال دراسة المسائل المتعلقة بالخطة الاستراتيجية والخطة المالية ومقررات مؤتمرات المندوبين المفوضين، وتقديم المشورة إلى المجلس. ويجب تخطيط اجتماعاتها بصورة تتسم بالكفاءة وفعالية التكاليف، وفي حدود الميزانية المخصصة، وبمعدل اجتماع واحد أو اجتماعين في السنة، بحيث يمكن، عند الاقتضاء، إدماجها ضمن الوقت المخصص للدورات السنوية</w:t>
      </w:r>
      <w:r w:rsidR="000627C5">
        <w:rPr>
          <w:rFonts w:hint="cs"/>
          <w:rtl/>
        </w:rPr>
        <w:t> </w:t>
      </w:r>
      <w:r w:rsidRPr="00341327">
        <w:rPr>
          <w:rtl/>
        </w:rPr>
        <w:t>للمجلس.</w:t>
      </w:r>
    </w:p>
    <w:p w14:paraId="4E301E7E" w14:textId="052FA518" w:rsidR="00341327" w:rsidRPr="00341327" w:rsidRDefault="000627C5" w:rsidP="00341327">
      <w:pPr>
        <w:pStyle w:val="Heading1"/>
        <w:rPr>
          <w:lang w:val="ar-SA" w:eastAsia="zh-TW" w:bidi="en-GB"/>
        </w:rPr>
      </w:pPr>
      <w:r>
        <w:rPr>
          <w:rFonts w:hint="cs"/>
          <w:rtl/>
        </w:rPr>
        <w:t>2</w:t>
      </w:r>
      <w:r>
        <w:rPr>
          <w:rtl/>
        </w:rPr>
        <w:tab/>
      </w:r>
      <w:r w:rsidR="00341327" w:rsidRPr="00341327">
        <w:rPr>
          <w:rtl/>
        </w:rPr>
        <w:t xml:space="preserve">القيود المتعلقة باستمرار أعمال المجلس وفرق العمل التابعة للمجلس خلال الفترة </w:t>
      </w:r>
      <w:r>
        <w:rPr>
          <w:rFonts w:hint="cs"/>
          <w:rtl/>
        </w:rPr>
        <w:t>2027</w:t>
      </w:r>
      <w:r w:rsidR="00341327" w:rsidRPr="00341327">
        <w:rPr>
          <w:rtl/>
        </w:rPr>
        <w:t>-</w:t>
      </w:r>
      <w:r>
        <w:rPr>
          <w:rFonts w:hint="cs"/>
          <w:rtl/>
        </w:rPr>
        <w:t>2029</w:t>
      </w:r>
    </w:p>
    <w:p w14:paraId="270EA570" w14:textId="34004A2B" w:rsidR="00341327" w:rsidRPr="00341327" w:rsidRDefault="00341327" w:rsidP="00341327">
      <w:pPr>
        <w:rPr>
          <w:lang w:val="ar-SA" w:eastAsia="zh-TW" w:bidi="en-GB"/>
        </w:rPr>
      </w:pPr>
      <w:r w:rsidRPr="000627C5">
        <w:rPr>
          <w:b/>
          <w:bCs/>
          <w:rtl/>
        </w:rPr>
        <w:t>يلاحظ</w:t>
      </w:r>
      <w:r w:rsidRPr="00341327">
        <w:rPr>
          <w:rtl/>
        </w:rPr>
        <w:t xml:space="preserve"> أنه، عملاً بالمقرر 640 (دورة المجلس لعام 2024)، اعتمد المجلس جدولاً زمنياً لمشروع مبنى فارامبيه الجديد، الذي من المقرر أن يبدأ تنفيذه في عام 2028، وأن مرافق الاجتماعات الحالية في مقر الاتحاد من المتوقع أن تظل متاحة حتى نهاية عام 2027، ولكنها قد تصبح غير متاحة اعتباراً من يونيو 2028 ومن المحتمل أن تكون كذلك طوال عام</w:t>
      </w:r>
      <w:r w:rsidR="000627C5">
        <w:rPr>
          <w:rFonts w:hint="cs"/>
          <w:rtl/>
        </w:rPr>
        <w:t> </w:t>
      </w:r>
      <w:r w:rsidRPr="00341327">
        <w:rPr>
          <w:rtl/>
        </w:rPr>
        <w:t>2029 بسبب أعمال الهدم والبناء؛</w:t>
      </w:r>
    </w:p>
    <w:p w14:paraId="77ED6F1C" w14:textId="769C7EC1" w:rsidR="00341327" w:rsidRPr="00341327" w:rsidRDefault="00341327" w:rsidP="00341327">
      <w:pPr>
        <w:rPr>
          <w:lang w:val="ar-SA" w:eastAsia="zh-TW" w:bidi="en-GB"/>
        </w:rPr>
      </w:pPr>
      <w:r w:rsidRPr="000627C5">
        <w:rPr>
          <w:b/>
          <w:bCs/>
          <w:rtl/>
        </w:rPr>
        <w:t>ويلاحظ كذلك</w:t>
      </w:r>
      <w:r w:rsidRPr="00341327">
        <w:rPr>
          <w:rtl/>
        </w:rPr>
        <w:t xml:space="preserve"> أن المجلس حدد، بموجب المقرر 643 (دورة المجلس لعام 2025)، مواعيد ومدة دورتيه لعام</w:t>
      </w:r>
      <w:r w:rsidR="003971E1">
        <w:rPr>
          <w:rFonts w:hint="cs"/>
          <w:rtl/>
        </w:rPr>
        <w:t>َ</w:t>
      </w:r>
      <w:r w:rsidRPr="00341327">
        <w:rPr>
          <w:rtl/>
        </w:rPr>
        <w:t xml:space="preserve">ي 2027 و2028، وكذلك سلسلة اجتماعات فرق العمل </w:t>
      </w:r>
      <w:r w:rsidRPr="00341327">
        <w:t>(CWG)</w:t>
      </w:r>
      <w:r w:rsidRPr="00341327">
        <w:rPr>
          <w:rtl/>
        </w:rPr>
        <w:t xml:space="preserve"> وأفرقة الخبراء </w:t>
      </w:r>
      <w:r w:rsidRPr="00341327">
        <w:t>(EG)</w:t>
      </w:r>
      <w:r w:rsidRPr="00341327">
        <w:rPr>
          <w:rtl/>
        </w:rPr>
        <w:t xml:space="preserve"> التابعة للمجلس </w:t>
      </w:r>
      <w:r w:rsidRPr="00341327">
        <w:t>(EG)</w:t>
      </w:r>
      <w:r w:rsidRPr="00341327">
        <w:rPr>
          <w:rtl/>
        </w:rPr>
        <w:t>، بهدف ضمان التخطيط المنسق للأنشطة.</w:t>
      </w:r>
    </w:p>
    <w:p w14:paraId="6ACC7291" w14:textId="6CB7AD11" w:rsidR="00341327" w:rsidRPr="00341327" w:rsidRDefault="00341327" w:rsidP="00341327">
      <w:pPr>
        <w:rPr>
          <w:lang w:val="ar-SA" w:eastAsia="zh-TW" w:bidi="en-GB"/>
        </w:rPr>
      </w:pPr>
      <w:r w:rsidRPr="000627C5">
        <w:rPr>
          <w:b/>
          <w:bCs/>
          <w:rtl/>
        </w:rPr>
        <w:t>ويلاحظ أيضاً</w:t>
      </w:r>
      <w:r w:rsidRPr="00341327">
        <w:rPr>
          <w:rtl/>
        </w:rPr>
        <w:t xml:space="preserve"> أن الأمانة نظرت في مجموعة من الخيارات الرامية إلى ضمان استمرارية الأنشطة خلال الفترة من يونيو 2028 إلى ديسمبر 2029، وأنه وفقاً لتقريرها (الوثيقة </w:t>
      </w:r>
      <w:hyperlink r:id="rId12" w:history="1">
        <w:r w:rsidRPr="000627C5">
          <w:rPr>
            <w:rStyle w:val="Hyperlink"/>
            <w:noProof w:val="0"/>
            <w:rtl/>
            <w:lang w:val="en-US" w:eastAsia="zh-CN"/>
          </w:rPr>
          <w:t>CWG-FHR-22/13</w:t>
        </w:r>
      </w:hyperlink>
      <w:r w:rsidR="000627C5">
        <w:rPr>
          <w:rFonts w:hint="cs"/>
          <w:rtl/>
        </w:rPr>
        <w:t>)</w:t>
      </w:r>
      <w:r w:rsidRPr="00341327">
        <w:rPr>
          <w:rtl/>
        </w:rPr>
        <w:t xml:space="preserve"> المقدم إلى فريق العمل التابع للمجلس والمعني بالموارد المالية والبشرية في اجتماعه الحادي والعشرين، من المتوخى عقد دورتي المجلس لعامي 2028 و2029 في يونيو في المقر بجنيف، على أساس الالتزام بالجدول الزمني للبناء.</w:t>
      </w:r>
      <w:hyperlink r:id="rId13" w:history="1"/>
    </w:p>
    <w:p w14:paraId="727752C4" w14:textId="766B1665" w:rsidR="00341327" w:rsidRPr="00341327" w:rsidRDefault="00341327" w:rsidP="00341327">
      <w:pPr>
        <w:rPr>
          <w:lang w:val="en-GB" w:eastAsia="zh-TW" w:bidi="en-GB"/>
        </w:rPr>
      </w:pPr>
      <w:r w:rsidRPr="000627C5">
        <w:rPr>
          <w:b/>
          <w:bCs/>
          <w:rtl/>
        </w:rPr>
        <w:t>ويلاحظ كذلك</w:t>
      </w:r>
      <w:r w:rsidRPr="00341327">
        <w:rPr>
          <w:rtl/>
        </w:rPr>
        <w:t xml:space="preserve"> أن الأمانة العامة، في الوثيقة </w:t>
      </w:r>
      <w:hyperlink r:id="rId14" w:history="1">
        <w:r w:rsidRPr="000627C5">
          <w:rPr>
            <w:rStyle w:val="Hyperlink"/>
            <w:noProof w:val="0"/>
            <w:rtl/>
            <w:lang w:val="en-US" w:eastAsia="zh-CN"/>
          </w:rPr>
          <w:t>C26/65</w:t>
        </w:r>
      </w:hyperlink>
      <w:r w:rsidRPr="00341327">
        <w:rPr>
          <w:rtl/>
        </w:rPr>
        <w:t xml:space="preserve"> المقدمة إلى اللجنة الدائمة للتنظيم والإدارة، تعيد النظر في فترة عدم تيسر مباني الاتحاد، مشيرة إلى أن أعمال الهدم ستجري في الفترة من 1 أكتوبر 2028 إلى 31 أغسطس 2029. وفي هذا السياق، تقترح المساهمة الإبقاء على دورة المجلس لعام 2028 في قاعة بوبوف في الفترة من 13 إلى 23 يونيو وتأجيل دورة عام 2029 إلى سبتمبر. ومع ذلك، لا تقدم الوثيقة توضيحاً كافياً بشأن مدى التعطل الذي قد تسببه مرحلة البناء لعقد الاجتماعات وسيرها في مبنى مونبريان والبرج، ما يثير شواغل بشأن الجدوى العملية وشروط تنظيم الاجتماعات خلال تلك الفترة.</w:t>
      </w:r>
      <w:hyperlink r:id="rId15" w:history="1"/>
    </w:p>
    <w:p w14:paraId="66AF1373" w14:textId="77777777" w:rsidR="00341327" w:rsidRPr="003971E1" w:rsidRDefault="00341327" w:rsidP="00341327">
      <w:pPr>
        <w:rPr>
          <w:spacing w:val="-2"/>
          <w:lang w:val="ar-SA" w:eastAsia="zh-TW" w:bidi="en-GB"/>
        </w:rPr>
      </w:pPr>
      <w:r w:rsidRPr="003971E1">
        <w:rPr>
          <w:b/>
          <w:bCs/>
          <w:spacing w:val="-2"/>
          <w:rtl/>
        </w:rPr>
        <w:t>وتدرك</w:t>
      </w:r>
      <w:r w:rsidRPr="003971E1">
        <w:rPr>
          <w:spacing w:val="-2"/>
          <w:rtl/>
        </w:rPr>
        <w:t>، مع ذلك، أن هذا الافتراض لا يزال غير مؤكد وأن التأخير في الجدول الزمني للبناء يمكن أن يقيد الترتيبات المتوخاة، بما في ذلك:</w:t>
      </w:r>
    </w:p>
    <w:p w14:paraId="658A127E" w14:textId="48E64712" w:rsidR="00341327" w:rsidRPr="00341327" w:rsidRDefault="00F3689A" w:rsidP="00F3689A">
      <w:pPr>
        <w:pStyle w:val="enumlev1"/>
        <w:rPr>
          <w:lang w:val="ar-SA" w:eastAsia="zh-TW" w:bidi="en-GB"/>
        </w:rPr>
      </w:pPr>
      <w:bookmarkStart w:id="0" w:name="_Hlk116318639"/>
      <w:r w:rsidRPr="00F3689A">
        <w:sym w:font="Symbol" w:char="F0B7"/>
      </w:r>
      <w:bookmarkEnd w:id="0"/>
      <w:r>
        <w:rPr>
          <w:rtl/>
        </w:rPr>
        <w:tab/>
      </w:r>
      <w:r w:rsidR="00341327" w:rsidRPr="00341327">
        <w:rPr>
          <w:rtl/>
        </w:rPr>
        <w:t>عدم كفاية الميزانية المخصصة لاستئجار مرافق الاجتماعات خارج مقر الاتحاد؛</w:t>
      </w:r>
    </w:p>
    <w:p w14:paraId="7CF4654E" w14:textId="127C8C40" w:rsidR="00341327" w:rsidRPr="00341327" w:rsidRDefault="00F3689A" w:rsidP="000627C5">
      <w:pPr>
        <w:pStyle w:val="enumlev1"/>
        <w:rPr>
          <w:lang w:val="ar-SA" w:eastAsia="zh-TW" w:bidi="en-GB"/>
        </w:rPr>
      </w:pPr>
      <w:r w:rsidRPr="00F3689A">
        <w:sym w:font="Symbol" w:char="F0B7"/>
      </w:r>
      <w:r>
        <w:rPr>
          <w:rtl/>
        </w:rPr>
        <w:tab/>
      </w:r>
      <w:r w:rsidR="00341327" w:rsidRPr="00341327">
        <w:rPr>
          <w:rtl/>
        </w:rPr>
        <w:t>محدودية توفر المرافق في جنيف، لا</w:t>
      </w:r>
      <w:r w:rsidR="000627C5">
        <w:rPr>
          <w:rFonts w:hint="cs"/>
          <w:rtl/>
        </w:rPr>
        <w:t> </w:t>
      </w:r>
      <w:r w:rsidR="00341327" w:rsidRPr="00341327">
        <w:rPr>
          <w:rtl/>
        </w:rPr>
        <w:t>سيما بسبب تجديد مركز جنيف الدولي للمؤتمرات من يناير إلى أكتوبر</w:t>
      </w:r>
      <w:r w:rsidR="000627C5">
        <w:rPr>
          <w:rFonts w:hint="cs"/>
          <w:rtl/>
        </w:rPr>
        <w:t> </w:t>
      </w:r>
      <w:r w:rsidR="00341327" w:rsidRPr="00341327">
        <w:rPr>
          <w:rtl/>
        </w:rPr>
        <w:t>2028، بحيث لا تتاح المباني للاتحاد إلا في حالة إلغائها من جانب مستخدمين آخرين؛</w:t>
      </w:r>
    </w:p>
    <w:p w14:paraId="46DF5301" w14:textId="2E12ABD8" w:rsidR="00341327" w:rsidRPr="00341327" w:rsidRDefault="00F3689A" w:rsidP="00072AB0">
      <w:pPr>
        <w:pStyle w:val="enumlev1"/>
        <w:tabs>
          <w:tab w:val="left" w:pos="720"/>
        </w:tabs>
        <w:rPr>
          <w:lang w:val="ar-SA" w:eastAsia="zh-TW" w:bidi="en-GB"/>
        </w:rPr>
      </w:pPr>
      <w:r w:rsidRPr="00F3689A">
        <w:sym w:font="Symbol" w:char="F0B7"/>
      </w:r>
      <w:r>
        <w:rPr>
          <w:rtl/>
        </w:rPr>
        <w:tab/>
      </w:r>
      <w:r w:rsidR="00341327" w:rsidRPr="00341327">
        <w:rPr>
          <w:rtl/>
        </w:rPr>
        <w:t>عدم يقين توفر المرافق في المنظمات الدولية الأخرى والتكاليف التجارية المرتفعة نسبياً للأماكن البديلة.</w:t>
      </w:r>
    </w:p>
    <w:p w14:paraId="008015F9" w14:textId="77777777" w:rsidR="00341327" w:rsidRPr="00341327" w:rsidRDefault="00341327" w:rsidP="00341327">
      <w:pPr>
        <w:rPr>
          <w:lang w:val="ar-SA" w:eastAsia="zh-TW" w:bidi="en-GB"/>
        </w:rPr>
      </w:pPr>
      <w:r w:rsidRPr="000627C5">
        <w:rPr>
          <w:b/>
          <w:bCs/>
          <w:rtl/>
        </w:rPr>
        <w:t>وتعترف</w:t>
      </w:r>
      <w:r w:rsidRPr="00341327">
        <w:rPr>
          <w:rtl/>
        </w:rPr>
        <w:t xml:space="preserve"> مع التقدير بالجهود الدؤوبة والمتواصلة التي تبذلها الأمانة العامة في وضع ودفع حلول معقدة لضمان استمرارية أنشطة هيئات الاتحاد والاجتماعات المرتبطة بها.</w:t>
      </w:r>
    </w:p>
    <w:p w14:paraId="4CD7A54F" w14:textId="77777777" w:rsidR="00341327" w:rsidRPr="00341327" w:rsidRDefault="00341327" w:rsidP="000627C5">
      <w:pPr>
        <w:pStyle w:val="Headingb"/>
        <w:rPr>
          <w:lang w:val="ar-SA" w:eastAsia="zh-TW" w:bidi="en-GB"/>
        </w:rPr>
      </w:pPr>
      <w:r w:rsidRPr="00341327">
        <w:rPr>
          <w:rtl/>
        </w:rPr>
        <w:lastRenderedPageBreak/>
        <w:t>المقترح:</w:t>
      </w:r>
    </w:p>
    <w:p w14:paraId="07ED95DB" w14:textId="77777777" w:rsidR="00341327" w:rsidRPr="00341327" w:rsidRDefault="00341327" w:rsidP="00341327">
      <w:pPr>
        <w:rPr>
          <w:lang w:val="ar-SA" w:eastAsia="zh-TW" w:bidi="en-GB"/>
        </w:rPr>
      </w:pPr>
      <w:r w:rsidRPr="00341327">
        <w:rPr>
          <w:rtl/>
        </w:rPr>
        <w:t xml:space="preserve">في ضوء القيود المذكورة، وبغية ضمان استمرارية اجتماعات المجلس وفرق العمل التابعة له </w:t>
      </w:r>
      <w:r w:rsidRPr="00341327">
        <w:t>(CWG)</w:t>
      </w:r>
      <w:r w:rsidRPr="00341327">
        <w:rPr>
          <w:rtl/>
        </w:rPr>
        <w:t xml:space="preserve"> على نحو يتسق مع أحكام الاتفاقية، تقترح العناصر التالية لينظر فيها المجلس:</w:t>
      </w:r>
    </w:p>
    <w:p w14:paraId="409A9C72" w14:textId="2423EF7A" w:rsidR="00341327" w:rsidRPr="000627C5" w:rsidRDefault="000627C5" w:rsidP="003971E1">
      <w:pPr>
        <w:pStyle w:val="Heading1"/>
        <w:rPr>
          <w:lang w:val="ar-SA" w:eastAsia="zh-TW" w:bidi="en-GB"/>
        </w:rPr>
      </w:pPr>
      <w:r w:rsidRPr="000627C5">
        <w:rPr>
          <w:rFonts w:hint="cs"/>
          <w:rtl/>
        </w:rPr>
        <w:t>1</w:t>
      </w:r>
      <w:r w:rsidRPr="000627C5">
        <w:rPr>
          <w:rtl/>
        </w:rPr>
        <w:tab/>
      </w:r>
      <w:r w:rsidR="00341327" w:rsidRPr="000627C5">
        <w:rPr>
          <w:rtl/>
        </w:rPr>
        <w:t>نحو التبكير بوضع إطار توجيهي وتعبئة الموارد</w:t>
      </w:r>
    </w:p>
    <w:p w14:paraId="06708980" w14:textId="77777777" w:rsidR="00341327" w:rsidRPr="00341327" w:rsidRDefault="00341327" w:rsidP="00341327">
      <w:pPr>
        <w:rPr>
          <w:lang w:val="ar-SA" w:eastAsia="zh-TW" w:bidi="en-GB"/>
        </w:rPr>
      </w:pPr>
      <w:r w:rsidRPr="00341327">
        <w:rPr>
          <w:rtl/>
        </w:rPr>
        <w:t>قد يرغب المجلس في إعادة التأكيد على أهمية عقد دوراته العادية في جنيف، وفقاً للمادة 4 من الاتفاقية (الرقم 51)، والتأكد من أن أي ترتيبات متوخاة تتسق مع هذا المبدأ.</w:t>
      </w:r>
    </w:p>
    <w:p w14:paraId="26579CF0" w14:textId="77777777" w:rsidR="00341327" w:rsidRPr="00341327" w:rsidRDefault="00341327" w:rsidP="00341327">
      <w:pPr>
        <w:rPr>
          <w:lang w:val="ar-SA" w:eastAsia="zh-TW" w:bidi="en-GB"/>
        </w:rPr>
      </w:pPr>
      <w:r w:rsidRPr="00341327">
        <w:rPr>
          <w:rtl/>
        </w:rPr>
        <w:t>وفي هذا الصدد، قد يرغب المجلس في النظر في دورته لعام 2026 فيما يلي:</w:t>
      </w:r>
    </w:p>
    <w:p w14:paraId="0A2C67D3" w14:textId="2D7499F5" w:rsidR="00341327" w:rsidRPr="000627C5" w:rsidRDefault="000627C5" w:rsidP="000627C5">
      <w:pPr>
        <w:pStyle w:val="enumlev1"/>
        <w:rPr>
          <w:lang w:val="ar-SA" w:eastAsia="zh-TW" w:bidi="en-GB"/>
        </w:rPr>
      </w:pPr>
      <w:r>
        <w:rPr>
          <w:rFonts w:hint="cs"/>
          <w:rtl/>
        </w:rPr>
        <w:t>-</w:t>
      </w:r>
      <w:r>
        <w:rPr>
          <w:rtl/>
        </w:rPr>
        <w:tab/>
      </w:r>
      <w:r>
        <w:rPr>
          <w:rFonts w:hint="cs"/>
          <w:rtl/>
          <w:lang w:bidi="ar-SA"/>
        </w:rPr>
        <w:t>إ</w:t>
      </w:r>
      <w:r w:rsidR="00341327" w:rsidRPr="00341327">
        <w:rPr>
          <w:rtl/>
        </w:rPr>
        <w:t xml:space="preserve">مكانية تحديد طرائق تنظيم دوراته واجتماعات فرق العمل التابعة للمجلس للفترة </w:t>
      </w:r>
      <w:r>
        <w:rPr>
          <w:rFonts w:hint="cs"/>
          <w:rtl/>
        </w:rPr>
        <w:t>2028</w:t>
      </w:r>
      <w:r w:rsidR="00341327" w:rsidRPr="00341327">
        <w:rPr>
          <w:rtl/>
        </w:rPr>
        <w:t>-</w:t>
      </w:r>
      <w:r>
        <w:rPr>
          <w:rFonts w:hint="cs"/>
          <w:rtl/>
        </w:rPr>
        <w:t>2029</w:t>
      </w:r>
      <w:r w:rsidR="00341327" w:rsidRPr="00341327">
        <w:rPr>
          <w:rtl/>
        </w:rPr>
        <w:t>، بما في ذلك، عند الاقتضاء، لسيناريوهات بديلة في حالة حدوث تعطل في الجدول الزمني لبناء المقر.</w:t>
      </w:r>
    </w:p>
    <w:p w14:paraId="6497CBD0" w14:textId="3775833C" w:rsidR="00341327" w:rsidRPr="00341327" w:rsidRDefault="000627C5" w:rsidP="000627C5">
      <w:pPr>
        <w:pStyle w:val="enumlev1"/>
        <w:rPr>
          <w:lang w:val="ar-SA" w:eastAsia="zh-TW" w:bidi="en-GB"/>
        </w:rPr>
      </w:pPr>
      <w:r>
        <w:rPr>
          <w:rFonts w:hint="cs"/>
          <w:rtl/>
        </w:rPr>
        <w:t>-</w:t>
      </w:r>
      <w:r>
        <w:rPr>
          <w:rtl/>
        </w:rPr>
        <w:tab/>
      </w:r>
      <w:r>
        <w:rPr>
          <w:rFonts w:hint="cs"/>
          <w:rtl/>
        </w:rPr>
        <w:t>إ</w:t>
      </w:r>
      <w:r w:rsidR="00341327" w:rsidRPr="00341327">
        <w:rPr>
          <w:rtl/>
        </w:rPr>
        <w:t>مكانية تخصيص الموارد الناتجة عن دعم البلد المضيف، وأي مساهمات أو هبات أو رعاية، و/أو ميزانية الاتحاد لصندوق الاستمرارية، بغية تغطية التكاليف الإضافية المتعلقة بتنظيم الاجتماعات خارج مقر الاتحاد.</w:t>
      </w:r>
    </w:p>
    <w:p w14:paraId="2E72D350" w14:textId="5800AD20" w:rsidR="00341327" w:rsidRPr="00072AB0" w:rsidRDefault="00341327" w:rsidP="003971E1">
      <w:pPr>
        <w:pStyle w:val="Heading1"/>
        <w:rPr>
          <w:lang w:val="ar-SA" w:eastAsia="zh-TW" w:bidi="en-GB"/>
        </w:rPr>
      </w:pPr>
      <w:r w:rsidRPr="00072AB0">
        <w:t>2</w:t>
      </w:r>
      <w:r w:rsidRPr="00072AB0">
        <w:tab/>
      </w:r>
      <w:r w:rsidRPr="00072AB0">
        <w:rPr>
          <w:rtl/>
        </w:rPr>
        <w:t>النظر في نهج مجمع ومرحلي</w:t>
      </w:r>
    </w:p>
    <w:p w14:paraId="06217B5C" w14:textId="6B32F1FD" w:rsidR="00341327" w:rsidRPr="00341327" w:rsidRDefault="00341327" w:rsidP="00341327">
      <w:pPr>
        <w:rPr>
          <w:lang w:val="ar-SA" w:eastAsia="zh-TW" w:bidi="en-GB"/>
        </w:rPr>
      </w:pPr>
      <w:r w:rsidRPr="00341327">
        <w:rPr>
          <w:rtl/>
        </w:rPr>
        <w:t>دعماً لاستمرارية دورات مجلس الاتحاد ومجموعات اجتماعات فرق العمل التابعة للمجلس، قد يرغب المجلس في النظر في نهج مرحلي وعملي يستند، بترتيب الأولوية، إلى ما يلي:</w:t>
      </w:r>
    </w:p>
    <w:p w14:paraId="4D861CFD" w14:textId="09590FBC" w:rsidR="00341327" w:rsidRPr="00341327" w:rsidRDefault="000627C5" w:rsidP="000627C5">
      <w:pPr>
        <w:pStyle w:val="enumlev1"/>
        <w:rPr>
          <w:lang w:val="ar-SA" w:eastAsia="zh-TW" w:bidi="en-GB"/>
        </w:rPr>
      </w:pPr>
      <w:r>
        <w:rPr>
          <w:rFonts w:hint="cs"/>
          <w:rtl/>
        </w:rPr>
        <w:t>-</w:t>
      </w:r>
      <w:r>
        <w:rPr>
          <w:rtl/>
        </w:rPr>
        <w:tab/>
      </w:r>
      <w:r>
        <w:rPr>
          <w:rFonts w:hint="cs"/>
          <w:rtl/>
          <w:lang w:bidi="ar-SA"/>
        </w:rPr>
        <w:t>ا</w:t>
      </w:r>
      <w:r w:rsidR="00341327" w:rsidRPr="00341327">
        <w:rPr>
          <w:rtl/>
        </w:rPr>
        <w:t>لإبقاء على دورات المجلس واجتماعات فرق العمل التابعة للمجلس في المقر كلما أمكن ذلك.</w:t>
      </w:r>
    </w:p>
    <w:p w14:paraId="2D12E1F7" w14:textId="14EDFEEA" w:rsidR="00341327" w:rsidRPr="00341327" w:rsidRDefault="000627C5" w:rsidP="000627C5">
      <w:pPr>
        <w:pStyle w:val="enumlev1"/>
        <w:rPr>
          <w:lang w:val="ar-SA" w:eastAsia="zh-TW" w:bidi="en-GB"/>
        </w:rPr>
      </w:pPr>
      <w:r>
        <w:rPr>
          <w:rFonts w:hint="cs"/>
          <w:rtl/>
        </w:rPr>
        <w:t>-</w:t>
      </w:r>
      <w:r>
        <w:rPr>
          <w:rtl/>
        </w:rPr>
        <w:tab/>
      </w:r>
      <w:r>
        <w:rPr>
          <w:rFonts w:hint="cs"/>
          <w:rtl/>
        </w:rPr>
        <w:t>ا</w:t>
      </w:r>
      <w:r w:rsidR="00341327" w:rsidRPr="00341327">
        <w:rPr>
          <w:rtl/>
        </w:rPr>
        <w:t>لاستفادة من المرافق الموجودة في جنيف لاستضافة هذه الاجتماعات.</w:t>
      </w:r>
    </w:p>
    <w:p w14:paraId="48738238" w14:textId="029E7B54" w:rsidR="00341327" w:rsidRPr="00341327" w:rsidRDefault="000627C5" w:rsidP="000627C5">
      <w:pPr>
        <w:pStyle w:val="enumlev1"/>
        <w:rPr>
          <w:lang w:val="ar-SA" w:eastAsia="zh-TW" w:bidi="en-GB"/>
        </w:rPr>
      </w:pPr>
      <w:r>
        <w:rPr>
          <w:rFonts w:hint="cs"/>
          <w:rtl/>
        </w:rPr>
        <w:t>-</w:t>
      </w:r>
      <w:r>
        <w:rPr>
          <w:rtl/>
        </w:rPr>
        <w:tab/>
      </w:r>
      <w:r>
        <w:rPr>
          <w:rFonts w:hint="cs"/>
          <w:rtl/>
        </w:rPr>
        <w:t>م</w:t>
      </w:r>
      <w:r w:rsidR="00341327" w:rsidRPr="00341327">
        <w:rPr>
          <w:rtl/>
        </w:rPr>
        <w:t>واصلة استكشاف إنشاء مراكز للاجتماعات بدعم من الدول الأعضاء المهتمة، وفقاً للقرار 5 (كيوتو، 1994) لمؤتمر المندوبين المفوضين، مع الحرص على ألا يؤدي ذلك إلى تحميل الدول الأعضاء أعباء إضافية.</w:t>
      </w:r>
    </w:p>
    <w:p w14:paraId="12576EBF" w14:textId="03B558A1" w:rsidR="00341327" w:rsidRPr="00072AB0" w:rsidRDefault="00341327" w:rsidP="003971E1">
      <w:pPr>
        <w:pStyle w:val="Heading1"/>
        <w:rPr>
          <w:lang w:val="ar-SA" w:eastAsia="zh-TW" w:bidi="en-GB"/>
        </w:rPr>
      </w:pPr>
      <w:r w:rsidRPr="00072AB0">
        <w:t>3</w:t>
      </w:r>
      <w:r w:rsidRPr="00072AB0">
        <w:tab/>
      </w:r>
      <w:r w:rsidRPr="00072AB0">
        <w:rPr>
          <w:rtl/>
        </w:rPr>
        <w:t>تعزيز الأساس المالي والتشغيلي لاستمرارية الأعمال</w:t>
      </w:r>
    </w:p>
    <w:p w14:paraId="3F40450B" w14:textId="77777777" w:rsidR="00341327" w:rsidRPr="00341327" w:rsidRDefault="00341327" w:rsidP="00341327">
      <w:pPr>
        <w:rPr>
          <w:lang w:val="ar-SA" w:eastAsia="zh-TW" w:bidi="en-GB"/>
        </w:rPr>
      </w:pPr>
      <w:r w:rsidRPr="00341327">
        <w:rPr>
          <w:rtl/>
        </w:rPr>
        <w:t>بأخذ ما ورد أعلاه في الاعتبار، قد يرغب المجلس في النظر في دعوة الأمانة إلى:</w:t>
      </w:r>
    </w:p>
    <w:p w14:paraId="1FA57E8E" w14:textId="4BDE0DD1" w:rsidR="00341327" w:rsidRPr="00341327" w:rsidRDefault="00072AB0" w:rsidP="00072AB0">
      <w:pPr>
        <w:pStyle w:val="enumlev1"/>
        <w:rPr>
          <w:lang w:val="ar-SA" w:eastAsia="zh-TW" w:bidi="en-GB"/>
        </w:rPr>
      </w:pPr>
      <w:r>
        <w:t>-</w:t>
      </w:r>
      <w:r>
        <w:tab/>
      </w:r>
      <w:r>
        <w:rPr>
          <w:rFonts w:hint="cs"/>
          <w:rtl/>
          <w:lang w:bidi="ar-SA"/>
        </w:rPr>
        <w:t>ت</w:t>
      </w:r>
      <w:r w:rsidR="00341327" w:rsidRPr="00341327">
        <w:rPr>
          <w:rtl/>
        </w:rPr>
        <w:t>قديم تحليل مالي مفصل ومقارن لمختلف الخيارات في الوقت المناسب، بما في ذلك تقديرات التكلفة الموحدة ومقارنة مع التكاليف الحالية في المقر وتقييم للخيارات المتعلقة بمراكز الاجتماعات.</w:t>
      </w:r>
    </w:p>
    <w:p w14:paraId="2AF4D2F9" w14:textId="15968E4E" w:rsidR="00341327" w:rsidRPr="00341327" w:rsidRDefault="00072AB0" w:rsidP="00072AB0">
      <w:pPr>
        <w:pStyle w:val="enumlev1"/>
        <w:rPr>
          <w:lang w:val="ar-SA" w:eastAsia="zh-TW" w:bidi="en-GB"/>
        </w:rPr>
      </w:pPr>
      <w:r>
        <w:t>-</w:t>
      </w:r>
      <w:r>
        <w:tab/>
      </w:r>
      <w:r>
        <w:rPr>
          <w:rFonts w:hint="cs"/>
          <w:rtl/>
        </w:rPr>
        <w:t>م</w:t>
      </w:r>
      <w:r w:rsidR="00341327" w:rsidRPr="00341327">
        <w:rPr>
          <w:rtl/>
        </w:rPr>
        <w:t>واصلة تحديد مرافق الاجتماعات في سويسرا وتأمينها مسبقاً حيثما أمكن، ومواصلة المناقشات بشأن إنشاء محاور للاجتماعات، بهدف إبلاغ المجلس في دورته الاستثنائية لعام 2026.</w:t>
      </w:r>
    </w:p>
    <w:p w14:paraId="0D4E5594" w14:textId="29E371EE" w:rsidR="00341327" w:rsidRPr="003971E1" w:rsidRDefault="00072AB0" w:rsidP="00072AB0">
      <w:pPr>
        <w:pStyle w:val="enumlev1"/>
        <w:rPr>
          <w:spacing w:val="-4"/>
          <w:lang w:val="ar-SA" w:eastAsia="zh-TW" w:bidi="en-GB"/>
        </w:rPr>
      </w:pPr>
      <w:r w:rsidRPr="003971E1">
        <w:rPr>
          <w:spacing w:val="-4"/>
        </w:rPr>
        <w:t>-</w:t>
      </w:r>
      <w:r w:rsidRPr="003971E1">
        <w:rPr>
          <w:spacing w:val="-4"/>
        </w:rPr>
        <w:tab/>
      </w:r>
      <w:r w:rsidRPr="003971E1">
        <w:rPr>
          <w:spacing w:val="-4"/>
          <w:rtl/>
        </w:rPr>
        <w:t>ا</w:t>
      </w:r>
      <w:r w:rsidR="00341327" w:rsidRPr="003971E1">
        <w:rPr>
          <w:spacing w:val="-4"/>
          <w:rtl/>
        </w:rPr>
        <w:t>ستكشاف آليات التمويل التكميلية الممكنة لمعالجة عدم كفاية الميزانية المخصصة لاستئجار مرافق الاجتماعات خارج مقر الاتحاد.</w:t>
      </w:r>
    </w:p>
    <w:p w14:paraId="60B8CA3D"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6"/>
      <w:headerReference w:type="first" r:id="rId17"/>
      <w:footerReference w:type="first" r:id="rId18"/>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F88D" w14:textId="77777777" w:rsidR="008865D3" w:rsidRDefault="008865D3" w:rsidP="006C3242">
      <w:pPr>
        <w:spacing w:before="0" w:line="240" w:lineRule="auto"/>
      </w:pPr>
      <w:r>
        <w:separator/>
      </w:r>
    </w:p>
  </w:endnote>
  <w:endnote w:type="continuationSeparator" w:id="0">
    <w:p w14:paraId="49D24C32" w14:textId="77777777" w:rsidR="008865D3" w:rsidRDefault="008865D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4303406" w14:textId="77777777" w:rsidTr="00A67F05">
      <w:trPr>
        <w:jc w:val="center"/>
      </w:trPr>
      <w:tc>
        <w:tcPr>
          <w:tcW w:w="868" w:type="pct"/>
          <w:vAlign w:val="center"/>
        </w:tcPr>
        <w:p w14:paraId="2677F494" w14:textId="6580DED9" w:rsidR="00F50E3F" w:rsidRPr="007B0AA0" w:rsidRDefault="00341327"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2600982</w:t>
          </w:r>
        </w:p>
      </w:tc>
      <w:tc>
        <w:tcPr>
          <w:tcW w:w="3912" w:type="pct"/>
        </w:tcPr>
        <w:p w14:paraId="62EE8B15" w14:textId="2B38D0E1"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341327">
            <w:rPr>
              <w:rFonts w:ascii="Calibri" w:hAnsi="Calibri" w:cs="Arial"/>
              <w:bCs/>
              <w:color w:val="7F7F7F"/>
              <w:sz w:val="18"/>
            </w:rPr>
            <w:t>106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45AA31B"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5848B5B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0B176E0A" w14:textId="77777777" w:rsidTr="00A67F05">
      <w:trPr>
        <w:jc w:val="center"/>
      </w:trPr>
      <w:tc>
        <w:tcPr>
          <w:tcW w:w="1013" w:type="pct"/>
          <w:vAlign w:val="center"/>
        </w:tcPr>
        <w:p w14:paraId="0509A4BD"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5E019171" w14:textId="3BBBA12F"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341327">
            <w:rPr>
              <w:rFonts w:ascii="Calibri" w:hAnsi="Calibri" w:cs="Arial"/>
              <w:bCs/>
              <w:color w:val="7F7F7F"/>
              <w:sz w:val="18"/>
            </w:rPr>
            <w:t>106</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D3591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E53ED7"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996D" w14:textId="77777777" w:rsidR="008865D3" w:rsidRDefault="008865D3" w:rsidP="006C3242">
      <w:pPr>
        <w:spacing w:before="0" w:line="240" w:lineRule="auto"/>
      </w:pPr>
      <w:r>
        <w:separator/>
      </w:r>
    </w:p>
  </w:footnote>
  <w:footnote w:type="continuationSeparator" w:id="0">
    <w:p w14:paraId="5EC5F17A" w14:textId="77777777" w:rsidR="008865D3" w:rsidRDefault="008865D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9A3FE" w14:textId="77777777" w:rsidR="001A3E13" w:rsidRPr="00057769" w:rsidRDefault="001A3E13" w:rsidP="001A3E13">
    <w:pPr>
      <w:pStyle w:val="Header"/>
    </w:pPr>
    <w:r>
      <w:rPr>
        <w:noProof/>
      </w:rPr>
      <w:drawing>
        <wp:inline distT="0" distB="0" distL="0" distR="0" wp14:anchorId="5D4BC3F3" wp14:editId="3EA91B91">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D65153"/>
    <w:multiLevelType w:val="multilevel"/>
    <w:tmpl w:val="56C6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62166"/>
    <w:multiLevelType w:val="hybridMultilevel"/>
    <w:tmpl w:val="0A829D88"/>
    <w:lvl w:ilvl="0" w:tplc="FC80515A">
      <w:numFmt w:val="bullet"/>
      <w:lvlText w:val="-"/>
      <w:lvlJc w:val="left"/>
      <w:pPr>
        <w:ind w:left="720" w:hanging="360"/>
      </w:pPr>
      <w:rPr>
        <w:rFonts w:ascii="Calibri" w:eastAsiaTheme="minorEastAsia" w:hAnsi="Calibri" w:cs="Calibr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8C5FC0"/>
    <w:multiLevelType w:val="hybridMultilevel"/>
    <w:tmpl w:val="26B07DAA"/>
    <w:lvl w:ilvl="0" w:tplc="FC80515A">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F524C3"/>
    <w:multiLevelType w:val="hybridMultilevel"/>
    <w:tmpl w:val="D79E7594"/>
    <w:lvl w:ilvl="0" w:tplc="1474F21C">
      <w:start w:val="1"/>
      <w:numFmt w:val="bullet"/>
      <w:lvlText w:val="-"/>
      <w:lvlJc w:val="left"/>
      <w:pPr>
        <w:ind w:left="720" w:hanging="360"/>
      </w:pPr>
      <w:rPr>
        <w:rFonts w:ascii="Dubai" w:eastAsiaTheme="minorEastAsia" w:hAnsi="Dubai"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2E1E00"/>
    <w:multiLevelType w:val="hybridMultilevel"/>
    <w:tmpl w:val="30582078"/>
    <w:lvl w:ilvl="0" w:tplc="FC80515A">
      <w:numFmt w:val="bullet"/>
      <w:lvlText w:val="-"/>
      <w:lvlJc w:val="left"/>
      <w:pPr>
        <w:ind w:left="720" w:hanging="360"/>
      </w:pPr>
      <w:rPr>
        <w:rFonts w:ascii="Calibri" w:eastAsiaTheme="minorEastAsia" w:hAnsi="Calibri" w:cs="Calibri"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16cid:durableId="1093548260">
    <w:abstractNumId w:val="9"/>
  </w:num>
  <w:num w:numId="2" w16cid:durableId="1855924845">
    <w:abstractNumId w:val="7"/>
  </w:num>
  <w:num w:numId="3" w16cid:durableId="1401558454">
    <w:abstractNumId w:val="6"/>
  </w:num>
  <w:num w:numId="4" w16cid:durableId="1523860011">
    <w:abstractNumId w:val="5"/>
  </w:num>
  <w:num w:numId="5" w16cid:durableId="669136298">
    <w:abstractNumId w:val="4"/>
  </w:num>
  <w:num w:numId="6" w16cid:durableId="258225045">
    <w:abstractNumId w:val="8"/>
  </w:num>
  <w:num w:numId="7" w16cid:durableId="516434246">
    <w:abstractNumId w:val="3"/>
  </w:num>
  <w:num w:numId="8" w16cid:durableId="845024597">
    <w:abstractNumId w:val="2"/>
  </w:num>
  <w:num w:numId="9" w16cid:durableId="194732988">
    <w:abstractNumId w:val="1"/>
  </w:num>
  <w:num w:numId="10" w16cid:durableId="268896476">
    <w:abstractNumId w:val="0"/>
  </w:num>
  <w:num w:numId="11" w16cid:durableId="2034107800">
    <w:abstractNumId w:val="12"/>
  </w:num>
  <w:num w:numId="12" w16cid:durableId="27799414">
    <w:abstractNumId w:val="11"/>
  </w:num>
  <w:num w:numId="13" w16cid:durableId="733814945">
    <w:abstractNumId w:val="15"/>
  </w:num>
  <w:num w:numId="14" w16cid:durableId="232356472">
    <w:abstractNumId w:val="13"/>
  </w:num>
  <w:num w:numId="15" w16cid:durableId="495608384">
    <w:abstractNumId w:val="10"/>
  </w:num>
  <w:num w:numId="16" w16cid:durableId="15615572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17"/>
    <w:rsid w:val="000116AF"/>
    <w:rsid w:val="00021A17"/>
    <w:rsid w:val="000627C5"/>
    <w:rsid w:val="0006468A"/>
    <w:rsid w:val="00072AB0"/>
    <w:rsid w:val="00077A58"/>
    <w:rsid w:val="00090574"/>
    <w:rsid w:val="000C1C0E"/>
    <w:rsid w:val="000C2C5A"/>
    <w:rsid w:val="000C548A"/>
    <w:rsid w:val="00191059"/>
    <w:rsid w:val="001A3E13"/>
    <w:rsid w:val="001B6E2B"/>
    <w:rsid w:val="001C0169"/>
    <w:rsid w:val="001C0C21"/>
    <w:rsid w:val="001D1D50"/>
    <w:rsid w:val="001D64C7"/>
    <w:rsid w:val="001D6745"/>
    <w:rsid w:val="001E446E"/>
    <w:rsid w:val="002154EE"/>
    <w:rsid w:val="002276D2"/>
    <w:rsid w:val="0023283D"/>
    <w:rsid w:val="00254393"/>
    <w:rsid w:val="0026373E"/>
    <w:rsid w:val="00271C43"/>
    <w:rsid w:val="002801E7"/>
    <w:rsid w:val="00290728"/>
    <w:rsid w:val="002978F4"/>
    <w:rsid w:val="002B028D"/>
    <w:rsid w:val="002C3F32"/>
    <w:rsid w:val="002E6541"/>
    <w:rsid w:val="00334924"/>
    <w:rsid w:val="00335D73"/>
    <w:rsid w:val="003409BC"/>
    <w:rsid w:val="00341327"/>
    <w:rsid w:val="00357185"/>
    <w:rsid w:val="00383829"/>
    <w:rsid w:val="003971E1"/>
    <w:rsid w:val="003E07D7"/>
    <w:rsid w:val="003F4B29"/>
    <w:rsid w:val="004052C4"/>
    <w:rsid w:val="00410B26"/>
    <w:rsid w:val="004117F2"/>
    <w:rsid w:val="00420F8A"/>
    <w:rsid w:val="0042686F"/>
    <w:rsid w:val="004317D8"/>
    <w:rsid w:val="0043260A"/>
    <w:rsid w:val="00434183"/>
    <w:rsid w:val="00443869"/>
    <w:rsid w:val="00447F32"/>
    <w:rsid w:val="00491BA9"/>
    <w:rsid w:val="00494119"/>
    <w:rsid w:val="004A4701"/>
    <w:rsid w:val="004B7334"/>
    <w:rsid w:val="004C584F"/>
    <w:rsid w:val="004E11DC"/>
    <w:rsid w:val="005130DE"/>
    <w:rsid w:val="00513157"/>
    <w:rsid w:val="00516341"/>
    <w:rsid w:val="00525DDD"/>
    <w:rsid w:val="005349B2"/>
    <w:rsid w:val="005409AC"/>
    <w:rsid w:val="005434E0"/>
    <w:rsid w:val="005546CF"/>
    <w:rsid w:val="0055516A"/>
    <w:rsid w:val="0058491B"/>
    <w:rsid w:val="00592EA5"/>
    <w:rsid w:val="005A3170"/>
    <w:rsid w:val="005D39E7"/>
    <w:rsid w:val="005E3D30"/>
    <w:rsid w:val="00657019"/>
    <w:rsid w:val="00660DEA"/>
    <w:rsid w:val="00677396"/>
    <w:rsid w:val="00683F16"/>
    <w:rsid w:val="0069200F"/>
    <w:rsid w:val="006A65CB"/>
    <w:rsid w:val="006B12E5"/>
    <w:rsid w:val="006C3242"/>
    <w:rsid w:val="006C7CC0"/>
    <w:rsid w:val="006F363C"/>
    <w:rsid w:val="006F63F7"/>
    <w:rsid w:val="007025C7"/>
    <w:rsid w:val="00706D7A"/>
    <w:rsid w:val="00722F0D"/>
    <w:rsid w:val="00735081"/>
    <w:rsid w:val="0074420E"/>
    <w:rsid w:val="007648A6"/>
    <w:rsid w:val="0077110E"/>
    <w:rsid w:val="00783E26"/>
    <w:rsid w:val="007A6684"/>
    <w:rsid w:val="007B0AA0"/>
    <w:rsid w:val="007C3BC7"/>
    <w:rsid w:val="007C3BCD"/>
    <w:rsid w:val="007C50B1"/>
    <w:rsid w:val="007D4A97"/>
    <w:rsid w:val="007D4ACF"/>
    <w:rsid w:val="007F0787"/>
    <w:rsid w:val="00807B17"/>
    <w:rsid w:val="00810B7B"/>
    <w:rsid w:val="0082358A"/>
    <w:rsid w:val="008235CD"/>
    <w:rsid w:val="008247DE"/>
    <w:rsid w:val="008339C0"/>
    <w:rsid w:val="00840B10"/>
    <w:rsid w:val="008513CB"/>
    <w:rsid w:val="00874E9F"/>
    <w:rsid w:val="008865D3"/>
    <w:rsid w:val="008A7F84"/>
    <w:rsid w:val="0091702E"/>
    <w:rsid w:val="00923B0C"/>
    <w:rsid w:val="00924F46"/>
    <w:rsid w:val="00935AAC"/>
    <w:rsid w:val="0093725D"/>
    <w:rsid w:val="0094021C"/>
    <w:rsid w:val="00947353"/>
    <w:rsid w:val="00952F86"/>
    <w:rsid w:val="0096716C"/>
    <w:rsid w:val="00982B28"/>
    <w:rsid w:val="009868AC"/>
    <w:rsid w:val="009D313F"/>
    <w:rsid w:val="00A47A5A"/>
    <w:rsid w:val="00A63AE6"/>
    <w:rsid w:val="00A6683B"/>
    <w:rsid w:val="00A67F05"/>
    <w:rsid w:val="00A97F94"/>
    <w:rsid w:val="00AA7EA2"/>
    <w:rsid w:val="00AB5A56"/>
    <w:rsid w:val="00B03099"/>
    <w:rsid w:val="00B05BC8"/>
    <w:rsid w:val="00B30F5E"/>
    <w:rsid w:val="00B64B47"/>
    <w:rsid w:val="00B95654"/>
    <w:rsid w:val="00B97F32"/>
    <w:rsid w:val="00BA04B2"/>
    <w:rsid w:val="00C002DE"/>
    <w:rsid w:val="00C0599D"/>
    <w:rsid w:val="00C0602B"/>
    <w:rsid w:val="00C224DA"/>
    <w:rsid w:val="00C53BF8"/>
    <w:rsid w:val="00C66157"/>
    <w:rsid w:val="00C674FE"/>
    <w:rsid w:val="00C67501"/>
    <w:rsid w:val="00C75633"/>
    <w:rsid w:val="00C76C9E"/>
    <w:rsid w:val="00CE2EE1"/>
    <w:rsid w:val="00CE3349"/>
    <w:rsid w:val="00CE36E5"/>
    <w:rsid w:val="00CE4360"/>
    <w:rsid w:val="00CF27F5"/>
    <w:rsid w:val="00CF3FFD"/>
    <w:rsid w:val="00D10CCF"/>
    <w:rsid w:val="00D13941"/>
    <w:rsid w:val="00D23F5F"/>
    <w:rsid w:val="00D36891"/>
    <w:rsid w:val="00D43F7D"/>
    <w:rsid w:val="00D63735"/>
    <w:rsid w:val="00D77D0F"/>
    <w:rsid w:val="00DA1CF0"/>
    <w:rsid w:val="00DA6A30"/>
    <w:rsid w:val="00DC1E02"/>
    <w:rsid w:val="00DC24B4"/>
    <w:rsid w:val="00DC3AA5"/>
    <w:rsid w:val="00DC5FB0"/>
    <w:rsid w:val="00DF16DC"/>
    <w:rsid w:val="00E45211"/>
    <w:rsid w:val="00E473C5"/>
    <w:rsid w:val="00E61BE8"/>
    <w:rsid w:val="00E83FF1"/>
    <w:rsid w:val="00E92863"/>
    <w:rsid w:val="00E979B2"/>
    <w:rsid w:val="00EB796D"/>
    <w:rsid w:val="00F058DC"/>
    <w:rsid w:val="00F24FC4"/>
    <w:rsid w:val="00F2676C"/>
    <w:rsid w:val="00F35F87"/>
    <w:rsid w:val="00F363FE"/>
    <w:rsid w:val="00F3689A"/>
    <w:rsid w:val="00F50E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878C6"/>
  <w15:chartTrackingRefBased/>
  <w15:docId w15:val="{02F79A7E-4A6D-452D-BFDA-64F97774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F35F87"/>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118/en" TargetMode="External"/><Relationship Id="rId13" Type="http://schemas.openxmlformats.org/officeDocument/2006/relationships/hyperlink" Target="https://www.itu.int/md/S26-CWGFHR22-C-0013/e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6-CWGFHR22-C-0013/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122/en" TargetMode="External"/><Relationship Id="rId5" Type="http://schemas.openxmlformats.org/officeDocument/2006/relationships/webSettings" Target="webSettings.xml"/><Relationship Id="rId15" Type="http://schemas.openxmlformats.org/officeDocument/2006/relationships/hyperlink" Target="https://www.itu.int/md/S26-CL-C-0065/en" TargetMode="External"/><Relationship Id="rId10" Type="http://schemas.openxmlformats.org/officeDocument/2006/relationships/hyperlink" Target="https://www.itu.int/md/S24-CL-C-0132/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25-CL-C-0120/en" TargetMode="External"/><Relationship Id="rId14" Type="http://schemas.openxmlformats.org/officeDocument/2006/relationships/hyperlink" Target="https://www.itu.int/md/S26-CL-C-0065/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1035</Words>
  <Characters>5895</Characters>
  <Application>Microsoft Office Word</Application>
  <DocSecurity>0</DocSecurity>
  <Lines>245</Lines>
  <Paragraphs>138</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dates and duration for the 2027, 2028 and 2029 Council sessions and the series of meetings of the CWGs for the period 2027-2029</dc:title>
  <dc:subject>ITU Council 2026</dc:subject>
  <cp:keywords>C26; C2026; Council 2026; PP26</cp:keywords>
  <dc:description/>
  <dcterms:created xsi:type="dcterms:W3CDTF">2026-04-29T16:39:00Z</dcterms:created>
  <dcterms:modified xsi:type="dcterms:W3CDTF">2026-04-29T16:40:00Z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