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4C3375" w14:paraId="11C6E61B" w14:textId="77777777" w:rsidTr="00C4421B">
        <w:trPr>
          <w:cantSplit/>
          <w:trHeight w:val="23"/>
        </w:trPr>
        <w:tc>
          <w:tcPr>
            <w:tcW w:w="3969" w:type="dxa"/>
            <w:vMerge w:val="restart"/>
            <w:tcMar>
              <w:left w:w="0" w:type="dxa"/>
            </w:tcMar>
          </w:tcPr>
          <w:p w14:paraId="6122D803" w14:textId="73B5FF75" w:rsidR="00FE57F6" w:rsidRPr="004C3375" w:rsidRDefault="00CC1FAF" w:rsidP="00C4421B">
            <w:pPr>
              <w:tabs>
                <w:tab w:val="left" w:pos="851"/>
              </w:tabs>
              <w:spacing w:before="0" w:line="240" w:lineRule="atLeast"/>
              <w:rPr>
                <w:b/>
                <w:lang w:val="es-ES"/>
              </w:rPr>
            </w:pPr>
            <w:bookmarkStart w:id="0" w:name="_Hlk133421839"/>
            <w:r w:rsidRPr="004C3375">
              <w:rPr>
                <w:b/>
                <w:lang w:val="es-ES"/>
              </w:rPr>
              <w:t>Punto del o</w:t>
            </w:r>
            <w:r w:rsidR="00BB6FD8" w:rsidRPr="004C3375">
              <w:rPr>
                <w:b/>
                <w:lang w:val="es-ES"/>
              </w:rPr>
              <w:t>rden del día</w:t>
            </w:r>
            <w:r w:rsidR="00FE57F6" w:rsidRPr="004C3375">
              <w:rPr>
                <w:b/>
                <w:lang w:val="es-ES"/>
              </w:rPr>
              <w:t xml:space="preserve">: </w:t>
            </w:r>
            <w:r w:rsidR="005C3189" w:rsidRPr="005C3189">
              <w:rPr>
                <w:b/>
                <w:lang w:val="es-ES"/>
              </w:rPr>
              <w:t>ADM-3</w:t>
            </w:r>
          </w:p>
        </w:tc>
        <w:tc>
          <w:tcPr>
            <w:tcW w:w="5245" w:type="dxa"/>
          </w:tcPr>
          <w:p w14:paraId="10C5DD49" w14:textId="5BC94EFB" w:rsidR="00FE57F6" w:rsidRPr="004C3375" w:rsidRDefault="00FE57F6" w:rsidP="00C4421B">
            <w:pPr>
              <w:tabs>
                <w:tab w:val="left" w:pos="851"/>
              </w:tabs>
              <w:spacing w:before="0" w:line="240" w:lineRule="atLeast"/>
              <w:jc w:val="right"/>
              <w:rPr>
                <w:b/>
                <w:lang w:val="es-ES"/>
              </w:rPr>
            </w:pPr>
            <w:r w:rsidRPr="004C3375">
              <w:rPr>
                <w:b/>
                <w:lang w:val="es-ES"/>
              </w:rPr>
              <w:t>Document</w:t>
            </w:r>
            <w:r w:rsidR="00F24B71" w:rsidRPr="004C3375">
              <w:rPr>
                <w:b/>
                <w:lang w:val="es-ES"/>
              </w:rPr>
              <w:t>o</w:t>
            </w:r>
            <w:r w:rsidRPr="004C3375">
              <w:rPr>
                <w:b/>
                <w:lang w:val="es-ES"/>
              </w:rPr>
              <w:t xml:space="preserve"> C2</w:t>
            </w:r>
            <w:r w:rsidR="00F85E5C" w:rsidRPr="004C3375">
              <w:rPr>
                <w:b/>
                <w:lang w:val="es-ES"/>
              </w:rPr>
              <w:t>6</w:t>
            </w:r>
            <w:r w:rsidRPr="004C3375">
              <w:rPr>
                <w:b/>
                <w:lang w:val="es-ES"/>
              </w:rPr>
              <w:t>/</w:t>
            </w:r>
            <w:r w:rsidR="00C6342D" w:rsidRPr="004C3375">
              <w:rPr>
                <w:b/>
                <w:lang w:val="es-ES"/>
              </w:rPr>
              <w:t>105</w:t>
            </w:r>
            <w:r w:rsidRPr="004C3375">
              <w:rPr>
                <w:b/>
                <w:lang w:val="es-ES"/>
              </w:rPr>
              <w:t>-</w:t>
            </w:r>
            <w:r w:rsidR="00F24B71" w:rsidRPr="004C3375">
              <w:rPr>
                <w:b/>
                <w:lang w:val="es-ES"/>
              </w:rPr>
              <w:t>S</w:t>
            </w:r>
          </w:p>
        </w:tc>
      </w:tr>
      <w:tr w:rsidR="00FE57F6" w:rsidRPr="004C3375" w14:paraId="32F741ED" w14:textId="77777777" w:rsidTr="00C4421B">
        <w:trPr>
          <w:cantSplit/>
        </w:trPr>
        <w:tc>
          <w:tcPr>
            <w:tcW w:w="3969" w:type="dxa"/>
            <w:vMerge/>
          </w:tcPr>
          <w:p w14:paraId="16765036" w14:textId="77777777" w:rsidR="00FE57F6" w:rsidRPr="004C3375" w:rsidRDefault="00FE57F6" w:rsidP="00C4421B">
            <w:pPr>
              <w:tabs>
                <w:tab w:val="left" w:pos="851"/>
              </w:tabs>
              <w:spacing w:line="240" w:lineRule="atLeast"/>
              <w:rPr>
                <w:b/>
                <w:lang w:val="es-ES"/>
              </w:rPr>
            </w:pPr>
          </w:p>
        </w:tc>
        <w:tc>
          <w:tcPr>
            <w:tcW w:w="5245" w:type="dxa"/>
          </w:tcPr>
          <w:p w14:paraId="53EFD626" w14:textId="4F67144F" w:rsidR="00FE57F6" w:rsidRPr="004C3375" w:rsidRDefault="00C6342D" w:rsidP="00C4421B">
            <w:pPr>
              <w:tabs>
                <w:tab w:val="left" w:pos="851"/>
              </w:tabs>
              <w:spacing w:before="0"/>
              <w:jc w:val="right"/>
              <w:rPr>
                <w:b/>
                <w:lang w:val="es-ES"/>
              </w:rPr>
            </w:pPr>
            <w:r w:rsidRPr="004C3375">
              <w:rPr>
                <w:b/>
                <w:lang w:val="es-ES"/>
              </w:rPr>
              <w:t>15 de abril de 2026</w:t>
            </w:r>
          </w:p>
        </w:tc>
      </w:tr>
      <w:tr w:rsidR="00FE57F6" w:rsidRPr="004C3375" w14:paraId="21D54EF1" w14:textId="77777777" w:rsidTr="00C4421B">
        <w:trPr>
          <w:cantSplit/>
          <w:trHeight w:val="23"/>
        </w:trPr>
        <w:tc>
          <w:tcPr>
            <w:tcW w:w="3969" w:type="dxa"/>
            <w:vMerge/>
          </w:tcPr>
          <w:p w14:paraId="52A8FDEF" w14:textId="77777777" w:rsidR="00FE57F6" w:rsidRPr="004C3375" w:rsidRDefault="00FE57F6" w:rsidP="00C4421B">
            <w:pPr>
              <w:tabs>
                <w:tab w:val="left" w:pos="851"/>
              </w:tabs>
              <w:spacing w:line="240" w:lineRule="atLeast"/>
              <w:rPr>
                <w:b/>
                <w:lang w:val="es-ES"/>
              </w:rPr>
            </w:pPr>
          </w:p>
        </w:tc>
        <w:tc>
          <w:tcPr>
            <w:tcW w:w="5245" w:type="dxa"/>
          </w:tcPr>
          <w:p w14:paraId="382295B0" w14:textId="77777777" w:rsidR="00FE57F6" w:rsidRPr="004C3375" w:rsidRDefault="00F24B71" w:rsidP="00C4421B">
            <w:pPr>
              <w:tabs>
                <w:tab w:val="left" w:pos="851"/>
              </w:tabs>
              <w:spacing w:before="0" w:line="240" w:lineRule="atLeast"/>
              <w:jc w:val="right"/>
              <w:rPr>
                <w:b/>
                <w:bCs/>
                <w:lang w:val="es-ES"/>
              </w:rPr>
            </w:pPr>
            <w:r w:rsidRPr="004C3375">
              <w:rPr>
                <w:rFonts w:cstheme="minorHAnsi"/>
                <w:b/>
                <w:bCs/>
                <w:lang w:val="es-ES"/>
              </w:rPr>
              <w:t>Original: inglés</w:t>
            </w:r>
          </w:p>
        </w:tc>
      </w:tr>
      <w:tr w:rsidR="00FE57F6" w:rsidRPr="004C3375" w14:paraId="4B2EF973" w14:textId="77777777" w:rsidTr="00C4421B">
        <w:trPr>
          <w:cantSplit/>
          <w:trHeight w:val="23"/>
        </w:trPr>
        <w:tc>
          <w:tcPr>
            <w:tcW w:w="3969" w:type="dxa"/>
          </w:tcPr>
          <w:p w14:paraId="0F422A67" w14:textId="77777777" w:rsidR="00FE57F6" w:rsidRPr="004C3375" w:rsidRDefault="00FE57F6" w:rsidP="00C4421B">
            <w:pPr>
              <w:tabs>
                <w:tab w:val="left" w:pos="851"/>
              </w:tabs>
              <w:spacing w:line="240" w:lineRule="atLeast"/>
              <w:rPr>
                <w:b/>
                <w:lang w:val="es-ES"/>
              </w:rPr>
            </w:pPr>
          </w:p>
        </w:tc>
        <w:tc>
          <w:tcPr>
            <w:tcW w:w="5245" w:type="dxa"/>
          </w:tcPr>
          <w:p w14:paraId="78616364" w14:textId="77777777" w:rsidR="00FE57F6" w:rsidRPr="004C3375" w:rsidRDefault="00FE57F6" w:rsidP="00C4421B">
            <w:pPr>
              <w:tabs>
                <w:tab w:val="left" w:pos="851"/>
              </w:tabs>
              <w:spacing w:before="0" w:line="240" w:lineRule="atLeast"/>
              <w:jc w:val="right"/>
              <w:rPr>
                <w:b/>
                <w:lang w:val="es-ES"/>
              </w:rPr>
            </w:pPr>
          </w:p>
        </w:tc>
      </w:tr>
      <w:tr w:rsidR="00FE57F6" w:rsidRPr="00310516" w14:paraId="69B597C2" w14:textId="77777777" w:rsidTr="00C4421B">
        <w:trPr>
          <w:cantSplit/>
        </w:trPr>
        <w:tc>
          <w:tcPr>
            <w:tcW w:w="9214" w:type="dxa"/>
            <w:gridSpan w:val="2"/>
            <w:tcMar>
              <w:left w:w="0" w:type="dxa"/>
            </w:tcMar>
          </w:tcPr>
          <w:p w14:paraId="64249002" w14:textId="6B3135AA" w:rsidR="00FE57F6" w:rsidRPr="004C3375" w:rsidRDefault="00C6342D" w:rsidP="00C4421B">
            <w:pPr>
              <w:pStyle w:val="Source"/>
              <w:jc w:val="left"/>
              <w:rPr>
                <w:sz w:val="34"/>
                <w:szCs w:val="34"/>
                <w:lang w:val="es-ES"/>
              </w:rPr>
            </w:pPr>
            <w:r w:rsidRPr="004C3375">
              <w:rPr>
                <w:rFonts w:cstheme="minorHAnsi"/>
                <w:sz w:val="34"/>
                <w:szCs w:val="34"/>
                <w:lang w:val="es-ES"/>
              </w:rPr>
              <w:t>Contribución de Marruecos (Reino de), Sudafricana (República) y Senegal (República del)</w:t>
            </w:r>
          </w:p>
        </w:tc>
      </w:tr>
      <w:tr w:rsidR="00FE57F6" w:rsidRPr="00310516" w14:paraId="6CDFEF48" w14:textId="77777777" w:rsidTr="00C4421B">
        <w:trPr>
          <w:cantSplit/>
        </w:trPr>
        <w:tc>
          <w:tcPr>
            <w:tcW w:w="9214" w:type="dxa"/>
            <w:gridSpan w:val="2"/>
            <w:tcMar>
              <w:left w:w="0" w:type="dxa"/>
            </w:tcMar>
          </w:tcPr>
          <w:p w14:paraId="768BD10E" w14:textId="5289ED30" w:rsidR="00FE57F6" w:rsidRPr="004C3375" w:rsidRDefault="005A328C" w:rsidP="00C4421B">
            <w:pPr>
              <w:pStyle w:val="Subtitle"/>
              <w:framePr w:hSpace="0" w:wrap="auto" w:hAnchor="text" w:xAlign="left" w:yAlign="inline"/>
              <w:rPr>
                <w:lang w:val="es-ES"/>
              </w:rPr>
            </w:pPr>
            <w:r w:rsidRPr="00B35ADD">
              <w:rPr>
                <w:lang w:val="es-ES"/>
              </w:rPr>
              <w:t>CONTINUIDAD DE LAS ACTIVIDADES DE LAS REUNIONES</w:t>
            </w:r>
            <w:r>
              <w:rPr>
                <w:lang w:val="es-ES"/>
              </w:rPr>
              <w:br/>
            </w:r>
            <w:r w:rsidRPr="00B35ADD">
              <w:rPr>
                <w:lang w:val="es-ES"/>
              </w:rPr>
              <w:t>DE LOS GRUPOS DE TRABAJO DEL CONSEJO</w:t>
            </w:r>
          </w:p>
        </w:tc>
      </w:tr>
      <w:tr w:rsidR="00FE57F6" w:rsidRPr="00310516" w14:paraId="5FF5E8BC" w14:textId="77777777" w:rsidTr="00C4421B">
        <w:trPr>
          <w:cantSplit/>
        </w:trPr>
        <w:tc>
          <w:tcPr>
            <w:tcW w:w="9214" w:type="dxa"/>
            <w:gridSpan w:val="2"/>
            <w:tcBorders>
              <w:top w:val="single" w:sz="4" w:space="0" w:color="auto"/>
              <w:bottom w:val="single" w:sz="4" w:space="0" w:color="auto"/>
            </w:tcBorders>
            <w:tcMar>
              <w:left w:w="0" w:type="dxa"/>
            </w:tcMar>
          </w:tcPr>
          <w:p w14:paraId="65EB9E41" w14:textId="77777777" w:rsidR="00FE57F6" w:rsidRPr="004C3375" w:rsidRDefault="00F24B71" w:rsidP="00C4421B">
            <w:pPr>
              <w:spacing w:before="160"/>
              <w:rPr>
                <w:b/>
                <w:bCs/>
                <w:sz w:val="26"/>
                <w:szCs w:val="26"/>
                <w:lang w:val="es-ES"/>
              </w:rPr>
            </w:pPr>
            <w:r w:rsidRPr="004C3375">
              <w:rPr>
                <w:b/>
                <w:bCs/>
                <w:sz w:val="26"/>
                <w:szCs w:val="26"/>
                <w:lang w:val="es-ES"/>
              </w:rPr>
              <w:t>Finalidad</w:t>
            </w:r>
          </w:p>
          <w:p w14:paraId="1B23229F" w14:textId="031F6A1C" w:rsidR="00FE57F6" w:rsidRPr="004C3375" w:rsidRDefault="00C6342D" w:rsidP="005A328C">
            <w:pPr>
              <w:jc w:val="both"/>
              <w:rPr>
                <w:lang w:val="es-ES"/>
              </w:rPr>
            </w:pPr>
            <w:r w:rsidRPr="004C3375">
              <w:rPr>
                <w:lang w:val="es-ES"/>
              </w:rPr>
              <w:t>Habida cuenta de la falta de disponibilidad anticipada de salas de reunión en la Sede de la UIT durante la ejecución del proyecto de construcción del nuevo edificio, y considerando el papel fundamental de los Grupos de Trabajo del Consejo (GTC) en apoyo del proceso de adopción de decisiones del Consejo, en particular en lo que respecta al Plan Estratégico, el Plan Financiero y las decisiones de las Conferencias de Plenipotenciarios, la planificación y organización de sus reuniones podrían resultar perjudicadas.</w:t>
            </w:r>
          </w:p>
          <w:p w14:paraId="67365D75" w14:textId="6AE036E6" w:rsidR="00C6342D" w:rsidRPr="004C3375" w:rsidRDefault="00C6342D" w:rsidP="005A328C">
            <w:pPr>
              <w:jc w:val="both"/>
              <w:rPr>
                <w:lang w:val="es-ES"/>
              </w:rPr>
            </w:pPr>
            <w:r w:rsidRPr="004C3375">
              <w:rPr>
                <w:lang w:val="es-ES"/>
              </w:rPr>
              <w:t>En este contexto, es necesario que el Consejo tome las medidas necesarias para garantizar la continuidad de los trabajos de los GTC en condiciones adecuadas.</w:t>
            </w:r>
          </w:p>
          <w:p w14:paraId="2DF3DCAB" w14:textId="77777777" w:rsidR="00FE57F6" w:rsidRPr="004C3375" w:rsidRDefault="00F24B71" w:rsidP="00C4421B">
            <w:pPr>
              <w:spacing w:before="160"/>
              <w:rPr>
                <w:b/>
                <w:bCs/>
                <w:sz w:val="26"/>
                <w:szCs w:val="26"/>
                <w:lang w:val="es-ES"/>
              </w:rPr>
            </w:pPr>
            <w:r w:rsidRPr="004C3375">
              <w:rPr>
                <w:b/>
                <w:bCs/>
                <w:sz w:val="26"/>
                <w:szCs w:val="26"/>
                <w:lang w:val="es-ES"/>
              </w:rPr>
              <w:t xml:space="preserve">Acción solicitada </w:t>
            </w:r>
            <w:r w:rsidR="00677A97" w:rsidRPr="004C3375">
              <w:rPr>
                <w:b/>
                <w:bCs/>
                <w:sz w:val="26"/>
                <w:szCs w:val="26"/>
                <w:lang w:val="es-ES"/>
              </w:rPr>
              <w:t>al</w:t>
            </w:r>
            <w:r w:rsidRPr="004C3375">
              <w:rPr>
                <w:b/>
                <w:bCs/>
                <w:sz w:val="26"/>
                <w:szCs w:val="26"/>
                <w:lang w:val="es-ES"/>
              </w:rPr>
              <w:t xml:space="preserve"> Consejo</w:t>
            </w:r>
          </w:p>
          <w:p w14:paraId="7F655AB8" w14:textId="3E659415" w:rsidR="00F92BED" w:rsidRPr="004C3375" w:rsidRDefault="00C6342D" w:rsidP="00584E5E">
            <w:pPr>
              <w:spacing w:before="160"/>
              <w:jc w:val="both"/>
              <w:rPr>
                <w:szCs w:val="24"/>
                <w:lang w:val="es-ES"/>
              </w:rPr>
            </w:pPr>
            <w:r w:rsidRPr="004C3375">
              <w:rPr>
                <w:szCs w:val="24"/>
                <w:lang w:val="es-ES"/>
              </w:rPr>
              <w:t xml:space="preserve">Se invita al Consejo a </w:t>
            </w:r>
            <w:r w:rsidRPr="004C3375">
              <w:rPr>
                <w:b/>
                <w:bCs/>
                <w:szCs w:val="24"/>
                <w:lang w:val="es-ES"/>
              </w:rPr>
              <w:t>considerar</w:t>
            </w:r>
            <w:r w:rsidRPr="004C3375">
              <w:rPr>
                <w:szCs w:val="24"/>
                <w:lang w:val="es-ES"/>
              </w:rPr>
              <w:t xml:space="preserve"> esta propuesta y a </w:t>
            </w:r>
            <w:r w:rsidRPr="004C3375">
              <w:rPr>
                <w:b/>
                <w:bCs/>
                <w:szCs w:val="24"/>
                <w:lang w:val="es-ES"/>
              </w:rPr>
              <w:t>tomar las medidas que estime convenientes</w:t>
            </w:r>
            <w:r w:rsidRPr="004C3375">
              <w:rPr>
                <w:szCs w:val="24"/>
                <w:lang w:val="es-ES"/>
              </w:rPr>
              <w:t>.</w:t>
            </w:r>
          </w:p>
          <w:p w14:paraId="0AAE178C" w14:textId="77777777" w:rsidR="00FE57F6" w:rsidRPr="004C3375" w:rsidRDefault="00FE57F6" w:rsidP="00C4421B">
            <w:pPr>
              <w:spacing w:before="160"/>
              <w:rPr>
                <w:caps/>
                <w:sz w:val="22"/>
                <w:lang w:val="es-ES"/>
              </w:rPr>
            </w:pPr>
            <w:r w:rsidRPr="004C3375">
              <w:rPr>
                <w:sz w:val="22"/>
                <w:lang w:val="es-ES"/>
              </w:rPr>
              <w:t>__________________</w:t>
            </w:r>
          </w:p>
          <w:p w14:paraId="53CA0031" w14:textId="77777777" w:rsidR="00FE57F6" w:rsidRPr="004C3375" w:rsidRDefault="00F24B71" w:rsidP="00C4421B">
            <w:pPr>
              <w:spacing w:before="160"/>
              <w:rPr>
                <w:b/>
                <w:bCs/>
                <w:sz w:val="26"/>
                <w:szCs w:val="26"/>
                <w:lang w:val="es-ES"/>
              </w:rPr>
            </w:pPr>
            <w:r w:rsidRPr="004C3375">
              <w:rPr>
                <w:b/>
                <w:bCs/>
                <w:sz w:val="26"/>
                <w:szCs w:val="26"/>
                <w:lang w:val="es-ES"/>
              </w:rPr>
              <w:t>Referencia</w:t>
            </w:r>
            <w:r w:rsidR="00F92BED" w:rsidRPr="004C3375">
              <w:rPr>
                <w:b/>
                <w:bCs/>
                <w:sz w:val="26"/>
                <w:szCs w:val="26"/>
                <w:lang w:val="es-ES"/>
              </w:rPr>
              <w:t>s</w:t>
            </w:r>
            <w:r w:rsidR="00D375E0" w:rsidRPr="004C3375">
              <w:rPr>
                <w:sz w:val="26"/>
                <w:szCs w:val="26"/>
                <w:lang w:val="es-ES"/>
              </w:rPr>
              <w:t xml:space="preserve"> </w:t>
            </w:r>
          </w:p>
          <w:p w14:paraId="077649B2" w14:textId="5ACEC4AC" w:rsidR="00FE57F6" w:rsidRPr="00584E5E" w:rsidRDefault="00C6342D" w:rsidP="00C4421B">
            <w:pPr>
              <w:spacing w:after="160"/>
              <w:rPr>
                <w:i/>
                <w:iCs/>
                <w:sz w:val="22"/>
                <w:szCs w:val="22"/>
                <w:lang w:val="es-ES"/>
              </w:rPr>
            </w:pPr>
            <w:hyperlink r:id="rId6" w:history="1">
              <w:r w:rsidRPr="00584E5E">
                <w:rPr>
                  <w:rStyle w:val="Hyperlink"/>
                  <w:rFonts w:eastAsia="Times New Roman" w:cs="Times New Roman"/>
                  <w:i/>
                  <w:iCs/>
                  <w:sz w:val="22"/>
                  <w:lang w:val="es-ES"/>
                </w:rPr>
                <w:t>Resolución 1333</w:t>
              </w:r>
            </w:hyperlink>
            <w:r w:rsidRPr="00584E5E">
              <w:rPr>
                <w:i/>
                <w:iCs/>
                <w:sz w:val="22"/>
                <w:szCs w:val="22"/>
                <w:lang w:val="es-ES"/>
              </w:rPr>
              <w:t xml:space="preserve"> (</w:t>
            </w:r>
            <w:proofErr w:type="spellStart"/>
            <w:r w:rsidRPr="00584E5E">
              <w:rPr>
                <w:i/>
                <w:iCs/>
                <w:sz w:val="22"/>
                <w:szCs w:val="22"/>
                <w:lang w:val="es-ES"/>
              </w:rPr>
              <w:t>C11</w:t>
            </w:r>
            <w:proofErr w:type="spellEnd"/>
            <w:r w:rsidRPr="00584E5E">
              <w:rPr>
                <w:i/>
                <w:iCs/>
                <w:sz w:val="22"/>
                <w:szCs w:val="22"/>
                <w:lang w:val="es-ES"/>
              </w:rPr>
              <w:t xml:space="preserve">, modificada por última vez </w:t>
            </w:r>
            <w:proofErr w:type="spellStart"/>
            <w:r w:rsidRPr="00584E5E">
              <w:rPr>
                <w:i/>
                <w:iCs/>
                <w:sz w:val="22"/>
                <w:szCs w:val="22"/>
                <w:lang w:val="es-ES"/>
              </w:rPr>
              <w:t>C25</w:t>
            </w:r>
            <w:proofErr w:type="spellEnd"/>
            <w:r w:rsidRPr="00584E5E">
              <w:rPr>
                <w:i/>
                <w:iCs/>
                <w:sz w:val="22"/>
                <w:szCs w:val="22"/>
                <w:lang w:val="es-ES"/>
              </w:rPr>
              <w:t xml:space="preserve">) del Consejo, </w:t>
            </w:r>
            <w:hyperlink r:id="rId7" w:history="1">
              <w:r w:rsidRPr="00584E5E">
                <w:rPr>
                  <w:rStyle w:val="Hyperlink"/>
                  <w:rFonts w:eastAsia="Times New Roman" w:cs="Times New Roman"/>
                  <w:i/>
                  <w:iCs/>
                  <w:sz w:val="22"/>
                  <w:lang w:val="es-ES"/>
                </w:rPr>
                <w:t>Acuerdo 643</w:t>
              </w:r>
            </w:hyperlink>
            <w:r w:rsidRPr="00584E5E">
              <w:rPr>
                <w:i/>
                <w:iCs/>
                <w:sz w:val="22"/>
                <w:szCs w:val="22"/>
                <w:lang w:val="es-ES"/>
              </w:rPr>
              <w:t xml:space="preserve"> (</w:t>
            </w:r>
            <w:proofErr w:type="spellStart"/>
            <w:r w:rsidRPr="00584E5E">
              <w:rPr>
                <w:i/>
                <w:iCs/>
                <w:sz w:val="22"/>
                <w:szCs w:val="22"/>
                <w:lang w:val="es-ES"/>
              </w:rPr>
              <w:t>C25</w:t>
            </w:r>
            <w:proofErr w:type="spellEnd"/>
            <w:r w:rsidRPr="00584E5E">
              <w:rPr>
                <w:i/>
                <w:iCs/>
                <w:sz w:val="22"/>
                <w:szCs w:val="22"/>
                <w:lang w:val="es-ES"/>
              </w:rPr>
              <w:t xml:space="preserve">) del Consejo, </w:t>
            </w:r>
            <w:hyperlink r:id="rId8" w:history="1">
              <w:r w:rsidRPr="00584E5E">
                <w:rPr>
                  <w:rStyle w:val="Hyperlink"/>
                  <w:rFonts w:eastAsia="Times New Roman" w:cs="Times New Roman"/>
                  <w:i/>
                  <w:iCs/>
                  <w:sz w:val="22"/>
                  <w:lang w:val="es-ES"/>
                </w:rPr>
                <w:t>Acuerdo 640</w:t>
              </w:r>
            </w:hyperlink>
            <w:r w:rsidRPr="00584E5E">
              <w:rPr>
                <w:i/>
                <w:iCs/>
                <w:sz w:val="22"/>
                <w:szCs w:val="22"/>
                <w:lang w:val="es-ES"/>
              </w:rPr>
              <w:t xml:space="preserve"> (</w:t>
            </w:r>
            <w:proofErr w:type="spellStart"/>
            <w:r w:rsidRPr="00584E5E">
              <w:rPr>
                <w:i/>
                <w:iCs/>
                <w:sz w:val="22"/>
                <w:szCs w:val="22"/>
                <w:lang w:val="es-ES"/>
              </w:rPr>
              <w:t>C24</w:t>
            </w:r>
            <w:proofErr w:type="spellEnd"/>
            <w:r w:rsidRPr="00584E5E">
              <w:rPr>
                <w:i/>
                <w:iCs/>
                <w:sz w:val="22"/>
                <w:szCs w:val="22"/>
                <w:lang w:val="es-ES"/>
              </w:rPr>
              <w:t>) del Consejo.</w:t>
            </w:r>
          </w:p>
        </w:tc>
      </w:tr>
      <w:bookmarkEnd w:id="0"/>
    </w:tbl>
    <w:p w14:paraId="77EE618A" w14:textId="77777777" w:rsidR="00093EEB" w:rsidRPr="004C3375" w:rsidRDefault="00093EEB">
      <w:pPr>
        <w:rPr>
          <w:lang w:val="es-ES"/>
        </w:rPr>
      </w:pPr>
    </w:p>
    <w:p w14:paraId="0F20E4E5" w14:textId="77777777" w:rsidR="001559F5" w:rsidRPr="004C3375"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4C3375">
        <w:rPr>
          <w:lang w:val="es-ES"/>
        </w:rPr>
        <w:br w:type="page"/>
      </w:r>
    </w:p>
    <w:p w14:paraId="6998ED06" w14:textId="745A64BB" w:rsidR="004C3523" w:rsidRPr="004C3375" w:rsidRDefault="004C3523" w:rsidP="004C3523">
      <w:pPr>
        <w:pStyle w:val="Heading1"/>
        <w:rPr>
          <w:lang w:val="es-ES"/>
        </w:rPr>
      </w:pPr>
      <w:r w:rsidRPr="004C3375">
        <w:rPr>
          <w:lang w:val="es-ES"/>
        </w:rPr>
        <w:lastRenderedPageBreak/>
        <w:t>1</w:t>
      </w:r>
      <w:r w:rsidR="00584E5E">
        <w:rPr>
          <w:lang w:val="es-ES"/>
        </w:rPr>
        <w:tab/>
      </w:r>
      <w:r w:rsidRPr="004C3375">
        <w:rPr>
          <w:lang w:val="es-ES"/>
        </w:rPr>
        <w:t>Contexto</w:t>
      </w:r>
    </w:p>
    <w:p w14:paraId="2AC9ECF4" w14:textId="77777777" w:rsidR="004C3523" w:rsidRPr="004C3375" w:rsidRDefault="004C3523" w:rsidP="00584E5E">
      <w:pPr>
        <w:jc w:val="both"/>
        <w:rPr>
          <w:rFonts w:asciiTheme="minorHAnsi" w:hAnsiTheme="minorHAnsi" w:cstheme="minorHAnsi"/>
          <w:szCs w:val="24"/>
          <w:lang w:val="es-ES"/>
        </w:rPr>
      </w:pPr>
      <w:r w:rsidRPr="004C3375">
        <w:rPr>
          <w:lang w:val="es-ES"/>
        </w:rPr>
        <w:t>De conformidad con los Artículos 7 y 10 de la Constitución de la UIT, el Consejo actúa en calidad de órgano ejecutivo de la Unión entre Conferencias de Plenipotenciarios.</w:t>
      </w:r>
    </w:p>
    <w:p w14:paraId="1F940417" w14:textId="77777777" w:rsidR="004C3523" w:rsidRPr="004C3375" w:rsidRDefault="004C3523" w:rsidP="00584E5E">
      <w:pPr>
        <w:jc w:val="both"/>
        <w:rPr>
          <w:rFonts w:asciiTheme="minorHAnsi" w:hAnsiTheme="minorHAnsi" w:cstheme="minorHAnsi"/>
          <w:szCs w:val="24"/>
          <w:lang w:val="es-ES"/>
        </w:rPr>
      </w:pPr>
      <w:r w:rsidRPr="004C3375">
        <w:rPr>
          <w:lang w:val="es-ES"/>
        </w:rPr>
        <w:t>La Resolución 1333 del Consejo regula el establecimiento, gestión y disolución de los Grupos de Trabajo del Consejo (GTC), que examinan las prioridades de la Unión, asesoran al Consejo, operan con arreglo a mandatos claramente definidos y garantizan la eficiencia y la rentabilidad de las reuniones.</w:t>
      </w:r>
    </w:p>
    <w:p w14:paraId="0C6DA9B8" w14:textId="77777777" w:rsidR="004C3523" w:rsidRPr="004C3375" w:rsidRDefault="004C3523" w:rsidP="00584E5E">
      <w:pPr>
        <w:jc w:val="both"/>
        <w:rPr>
          <w:rFonts w:asciiTheme="minorHAnsi" w:hAnsiTheme="minorHAnsi" w:cstheme="minorHAnsi"/>
          <w:szCs w:val="24"/>
          <w:lang w:val="es-ES"/>
        </w:rPr>
      </w:pPr>
      <w:r w:rsidRPr="004C3375">
        <w:rPr>
          <w:lang w:val="es-ES"/>
        </w:rPr>
        <w:t>Además, en los Acuerdos del Consejo (en particular, los Acuerdos 642 y 643) se definen los calendarios de las reuniones y se establece un marco para la planificación plurianual de las series de reuniones de los GTC.</w:t>
      </w:r>
    </w:p>
    <w:p w14:paraId="6614B6A2" w14:textId="77777777" w:rsidR="004C3523" w:rsidRPr="004C3375" w:rsidRDefault="004C3523" w:rsidP="00584E5E">
      <w:pPr>
        <w:jc w:val="both"/>
        <w:rPr>
          <w:rFonts w:asciiTheme="minorHAnsi" w:hAnsiTheme="minorHAnsi" w:cstheme="minorHAnsi"/>
          <w:szCs w:val="24"/>
          <w:lang w:val="es-ES"/>
        </w:rPr>
      </w:pPr>
      <w:r w:rsidRPr="004C3375">
        <w:rPr>
          <w:lang w:val="es-ES"/>
        </w:rPr>
        <w:t>Las series de reuniones de los GTC están estrechamente vinculadas a las reuniones del Consejo y suelen celebrarse presencialmente en la Sede de la UIT. Sin embargo, en su reunión de junio de 2025, el Consejo examinó varios documentos relacionados con el proyecto de nueva Sede de la UIT y sus implicaciones financieras y operativas.</w:t>
      </w:r>
    </w:p>
    <w:p w14:paraId="43AF46EF" w14:textId="268555BF" w:rsidR="004C3523" w:rsidRPr="004C3375" w:rsidRDefault="004C3523" w:rsidP="00584E5E">
      <w:pPr>
        <w:jc w:val="both"/>
        <w:rPr>
          <w:rFonts w:asciiTheme="minorHAnsi" w:hAnsiTheme="minorHAnsi" w:cstheme="minorHAnsi"/>
          <w:szCs w:val="24"/>
          <w:lang w:val="es-ES"/>
        </w:rPr>
      </w:pPr>
      <w:r w:rsidRPr="004C3375">
        <w:rPr>
          <w:lang w:val="es-ES"/>
        </w:rPr>
        <w:t>En los informes presentados por la Secretaría al Consejo de 2025 y en la información actualizada que facilitó al Grupo de Trabajo del Consejo sobre los recursos humanos y financieros (GTC-RHF) en su 21</w:t>
      </w:r>
      <w:r w:rsidR="004C3375">
        <w:rPr>
          <w:lang w:val="es-ES"/>
        </w:rPr>
        <w:t>.</w:t>
      </w:r>
      <w:r w:rsidRPr="004C3375">
        <w:rPr>
          <w:lang w:val="es-ES"/>
        </w:rPr>
        <w:t>ª reunión, se hizo hincapié en los retos derivados de la creciente presión sobre la disponibilidad de instalaciones para conferencias en Ginebra entre el 1 de octubre de 2028 y diciembre de 2029, así como los costes adicionales asociados al alquiler de locales externos y la necesidad de adoptar soluciones financieramente sostenibles para garantizar la continuidad de las actividades.</w:t>
      </w:r>
    </w:p>
    <w:p w14:paraId="36410FBF" w14:textId="3DE57D93" w:rsidR="004C3523" w:rsidRPr="004C3375" w:rsidRDefault="004C3523" w:rsidP="00584E5E">
      <w:pPr>
        <w:jc w:val="both"/>
        <w:rPr>
          <w:rFonts w:asciiTheme="minorHAnsi" w:hAnsiTheme="minorHAnsi" w:cstheme="minorHAnsi"/>
          <w:szCs w:val="24"/>
          <w:lang w:val="es-ES"/>
        </w:rPr>
      </w:pPr>
      <w:r w:rsidRPr="004C3375">
        <w:rPr>
          <w:lang w:val="es-ES"/>
        </w:rPr>
        <w:t xml:space="preserve">En el </w:t>
      </w:r>
      <w:r w:rsidR="00584E5E" w:rsidRPr="004C3375">
        <w:rPr>
          <w:lang w:val="es-ES"/>
        </w:rPr>
        <w:t xml:space="preserve">Documento </w:t>
      </w:r>
      <w:hyperlink r:id="rId9" w:history="1">
        <w:proofErr w:type="spellStart"/>
        <w:r w:rsidRPr="00584E5E">
          <w:rPr>
            <w:rStyle w:val="Hyperlink"/>
            <w:rFonts w:eastAsia="Times New Roman" w:cs="Times New Roman"/>
            <w:szCs w:val="20"/>
            <w:lang w:val="es-ES"/>
          </w:rPr>
          <w:t>C26</w:t>
        </w:r>
        <w:proofErr w:type="spellEnd"/>
        <w:r w:rsidRPr="00584E5E">
          <w:rPr>
            <w:rStyle w:val="Hyperlink"/>
            <w:rFonts w:eastAsia="Times New Roman" w:cs="Times New Roman"/>
            <w:szCs w:val="20"/>
            <w:lang w:val="es-ES"/>
          </w:rPr>
          <w:t>/65</w:t>
        </w:r>
      </w:hyperlink>
      <w:r w:rsidRPr="004C3375">
        <w:rPr>
          <w:lang w:val="es-ES"/>
        </w:rPr>
        <w:t xml:space="preserve"> presentado a la ADM, la Secretaría propone reducir la frecuencia de las reuniones de los GTC, así como interrumpir las conversaciones con Emiratos Árabes Unidos y Kenya sobre el establecimiento de un Centro de reuniones de la UIT, alegando que resulta difícil asegurar lugares de celebración en Ginebra, en particular debido a las limitaciones financieras y a la falta de instalaciones para reuniones.</w:t>
      </w:r>
      <w:hyperlink r:id="rId10" w:history="1"/>
    </w:p>
    <w:p w14:paraId="7905F2D1" w14:textId="22F93592" w:rsidR="004C3523" w:rsidRPr="004C3375" w:rsidRDefault="004C3523" w:rsidP="004C3523">
      <w:pPr>
        <w:pStyle w:val="Heading1"/>
        <w:rPr>
          <w:rFonts w:asciiTheme="minorHAnsi" w:eastAsiaTheme="majorEastAsia" w:hAnsiTheme="minorHAnsi" w:cstheme="minorHAnsi"/>
          <w:szCs w:val="24"/>
          <w:lang w:val="es-ES"/>
        </w:rPr>
      </w:pPr>
      <w:r w:rsidRPr="004C3375">
        <w:rPr>
          <w:lang w:val="es-ES"/>
        </w:rPr>
        <w:t>2</w:t>
      </w:r>
      <w:r w:rsidRPr="004C3375">
        <w:rPr>
          <w:lang w:val="es-ES"/>
        </w:rPr>
        <w:tab/>
        <w:t>Problemas de continuidad y riesgos institucionales que afectan</w:t>
      </w:r>
      <w:r w:rsidRPr="004C3375">
        <w:rPr>
          <w:lang w:val="es-ES"/>
        </w:rPr>
        <w:br/>
        <w:t>a las series de reuniones de los GTC</w:t>
      </w:r>
    </w:p>
    <w:p w14:paraId="7441335C" w14:textId="77777777" w:rsidR="004C3523" w:rsidRPr="004C3375" w:rsidRDefault="004C3523" w:rsidP="00584E5E">
      <w:pPr>
        <w:jc w:val="both"/>
        <w:rPr>
          <w:rFonts w:asciiTheme="minorHAnsi" w:hAnsiTheme="minorHAnsi" w:cstheme="minorHAnsi"/>
          <w:szCs w:val="24"/>
          <w:lang w:val="es-ES"/>
        </w:rPr>
      </w:pPr>
      <w:r w:rsidRPr="004C3375">
        <w:rPr>
          <w:lang w:val="es-ES"/>
        </w:rPr>
        <w:t>En vista de las obras de demolición y reconstrucción de la Sede de la UIT, las series de reuniones de los GTC pueden quedar sujetas a ciertas limitaciones derivadas de la falta de disponibilidad anticipada de salas de reuniones en Ginebra a partir del 1 de octubre de 2028, y posiblemente a lo largo de 2029. Esta situación, sumada a la escasa disponibilidad de instalaciones alternativas en Ginebra, puede entrañar costos adicionales que actualmente no se contemplan en el presupuesto de la Unión. Además, la baja disponibilidad de datos financieros detallados y comparativos puede dificultar aún más el análisis completo de las repercusiones presupuestarias globales.</w:t>
      </w:r>
    </w:p>
    <w:p w14:paraId="045C3EF2" w14:textId="77777777" w:rsidR="004C3523" w:rsidRPr="004C3375" w:rsidRDefault="004C3523" w:rsidP="00584E5E">
      <w:pPr>
        <w:jc w:val="both"/>
        <w:rPr>
          <w:rFonts w:asciiTheme="minorHAnsi" w:hAnsiTheme="minorHAnsi" w:cstheme="minorHAnsi"/>
          <w:szCs w:val="24"/>
          <w:lang w:val="es-ES"/>
        </w:rPr>
      </w:pPr>
      <w:r w:rsidRPr="004C3375">
        <w:rPr>
          <w:lang w:val="es-ES"/>
        </w:rPr>
        <w:t>Más allá de las consideraciones logísticas, este contexto también puede conllevar ciertas consideraciones institucionales. Los GTC, que son los principales órganos que apoyan al Consejo, contribuyen significativamente a la preparación técnica, financiera y estratégica de las decisiones. Cualquier posible interrupción de sus trabajos podría repercutir en el cumplimiento de los plazos de los preparativos, la calidad de los análisis y la continuidad de las consultas entre los Estados Miembros.</w:t>
      </w:r>
    </w:p>
    <w:p w14:paraId="61E77A64" w14:textId="77777777" w:rsidR="004C3523" w:rsidRPr="004C3375" w:rsidRDefault="004C3523" w:rsidP="00584E5E">
      <w:pPr>
        <w:jc w:val="both"/>
        <w:rPr>
          <w:rFonts w:asciiTheme="minorHAnsi" w:hAnsiTheme="minorHAnsi" w:cstheme="minorHAnsi"/>
          <w:szCs w:val="24"/>
          <w:lang w:val="es-ES"/>
        </w:rPr>
      </w:pPr>
      <w:r w:rsidRPr="004C3375">
        <w:rPr>
          <w:lang w:val="es-ES"/>
        </w:rPr>
        <w:lastRenderedPageBreak/>
        <w:t>A su vez, esto puede tener influir en el funcionamiento del Consejo, que es el único órgano decisorio de la UIT entre Conferencias de Plenipotenciarios y trabaja conforme a un plazo limitado. En caso de no recibir suficientes contribuciones preparatorias de los GTC, es posible que el Consejo tenga que abordar asuntos complejos en condiciones más restrictivas, lo que podría repercutir en la eficiencia y transparencia del proceso de adopción de decisiones, así como en la gobernanza general de la Unión.</w:t>
      </w:r>
    </w:p>
    <w:p w14:paraId="084F3C2D" w14:textId="4A3928F2" w:rsidR="004C3523" w:rsidRPr="004C3375" w:rsidRDefault="004C3523" w:rsidP="004C3523">
      <w:pPr>
        <w:pStyle w:val="Heading1"/>
        <w:rPr>
          <w:rFonts w:asciiTheme="minorHAnsi" w:hAnsiTheme="minorHAnsi" w:cstheme="minorHAnsi"/>
          <w:szCs w:val="24"/>
          <w:lang w:val="es-ES"/>
        </w:rPr>
      </w:pPr>
      <w:r w:rsidRPr="004C3375">
        <w:rPr>
          <w:lang w:val="es-ES"/>
        </w:rPr>
        <w:t>3</w:t>
      </w:r>
      <w:r w:rsidR="00584E5E">
        <w:rPr>
          <w:lang w:val="es-ES"/>
        </w:rPr>
        <w:tab/>
      </w:r>
      <w:r w:rsidRPr="004C3375">
        <w:rPr>
          <w:lang w:val="es-ES"/>
        </w:rPr>
        <w:t>Propuesta</w:t>
      </w:r>
    </w:p>
    <w:p w14:paraId="62C448C3" w14:textId="77777777" w:rsidR="004C3523" w:rsidRPr="004C3375" w:rsidRDefault="004C3523" w:rsidP="00584E5E">
      <w:pPr>
        <w:jc w:val="both"/>
        <w:rPr>
          <w:rFonts w:asciiTheme="minorHAnsi" w:hAnsiTheme="minorHAnsi" w:cstheme="minorHAnsi"/>
          <w:szCs w:val="24"/>
          <w:lang w:val="es-ES"/>
        </w:rPr>
      </w:pPr>
      <w:r w:rsidRPr="004C3375">
        <w:rPr>
          <w:lang w:val="es-ES"/>
        </w:rPr>
        <w:t>Se invita al Consejo a examinar, en su reunión de 2026, las modalidades y opciones de organización de las reuniones de los GTC durante el periodo 2028-2029.</w:t>
      </w:r>
    </w:p>
    <w:p w14:paraId="1F284672" w14:textId="64375A99" w:rsidR="004C3523" w:rsidRPr="004C3375" w:rsidRDefault="004C3523" w:rsidP="00584E5E">
      <w:pPr>
        <w:jc w:val="both"/>
        <w:rPr>
          <w:rFonts w:asciiTheme="minorHAnsi" w:hAnsiTheme="minorHAnsi" w:cstheme="minorHAnsi"/>
          <w:szCs w:val="24"/>
          <w:lang w:val="es-ES"/>
        </w:rPr>
      </w:pPr>
      <w:r w:rsidRPr="004C3375">
        <w:rPr>
          <w:lang w:val="es-ES"/>
        </w:rPr>
        <w:t>A este respecto, es posible que el Consejo desee invitar a la Secretaría a proporcionar un análisis financiero comparativo detallado, incluidas las opciones de financiación alternativas, y a explorar un enfoque mixto pragmático que incluya utilizar instalaciones situadas fuera de Ginebra pero dentro de Suiza, así como la posibilidad de crear centros de reunión con el apoyo de los Estados Miembros interesados, con miras a garantizar la continuidad de las actividades de los GTC en condiciones financieramente sostenibles.</w:t>
      </w:r>
    </w:p>
    <w:p w14:paraId="2C327CBC" w14:textId="77777777" w:rsidR="00F92BED" w:rsidRPr="004C3375" w:rsidRDefault="00F92BED" w:rsidP="0032202E">
      <w:pPr>
        <w:pStyle w:val="Reasons"/>
        <w:rPr>
          <w:lang w:val="es-ES"/>
        </w:rPr>
      </w:pPr>
    </w:p>
    <w:p w14:paraId="27E80061" w14:textId="77777777" w:rsidR="00F92BED" w:rsidRPr="004C3375" w:rsidRDefault="00F92BED" w:rsidP="00F92BED">
      <w:pPr>
        <w:jc w:val="center"/>
        <w:rPr>
          <w:lang w:val="es-ES"/>
        </w:rPr>
      </w:pPr>
      <w:r w:rsidRPr="004C3375">
        <w:rPr>
          <w:lang w:val="es-ES"/>
        </w:rPr>
        <w:t>______________</w:t>
      </w:r>
    </w:p>
    <w:sectPr w:rsidR="00F92BED" w:rsidRPr="004C3375" w:rsidSect="00C538FC">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82BA" w14:textId="77777777" w:rsidR="00643085" w:rsidRDefault="00643085">
      <w:r>
        <w:separator/>
      </w:r>
    </w:p>
  </w:endnote>
  <w:endnote w:type="continuationSeparator" w:id="0">
    <w:p w14:paraId="491C346F" w14:textId="77777777" w:rsidR="00643085" w:rsidRDefault="0064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829D278" w14:textId="77777777" w:rsidTr="00E31DCE">
      <w:trPr>
        <w:jc w:val="center"/>
      </w:trPr>
      <w:tc>
        <w:tcPr>
          <w:tcW w:w="1803" w:type="dxa"/>
          <w:vAlign w:val="center"/>
        </w:tcPr>
        <w:p w14:paraId="594A0D7B" w14:textId="34201820" w:rsidR="003273A4" w:rsidRDefault="002946E2" w:rsidP="003273A4">
          <w:pPr>
            <w:pStyle w:val="Header"/>
            <w:jc w:val="left"/>
            <w:rPr>
              <w:noProof/>
            </w:rPr>
          </w:pPr>
          <w:r>
            <w:rPr>
              <w:noProof/>
            </w:rPr>
            <w:t xml:space="preserve">gDoc </w:t>
          </w:r>
          <w:r w:rsidR="004C3523" w:rsidRPr="004C3523">
            <w:rPr>
              <w:noProof/>
            </w:rPr>
            <w:t>2600981</w:t>
          </w:r>
          <w:r w:rsidR="004C3523">
            <w:rPr>
              <w:noProof/>
            </w:rPr>
            <w:t>S</w:t>
          </w:r>
        </w:p>
      </w:tc>
      <w:tc>
        <w:tcPr>
          <w:tcW w:w="8261" w:type="dxa"/>
        </w:tcPr>
        <w:p w14:paraId="08F41DD9" w14:textId="4E080740"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4C3523">
            <w:rPr>
              <w:bCs/>
            </w:rPr>
            <w:t>105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77C07C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2B8A1947" w14:textId="77777777" w:rsidTr="00E31DCE">
      <w:trPr>
        <w:jc w:val="center"/>
      </w:trPr>
      <w:tc>
        <w:tcPr>
          <w:tcW w:w="1803" w:type="dxa"/>
          <w:vAlign w:val="center"/>
        </w:tcPr>
        <w:p w14:paraId="1C25C8B8"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7091FC54" w14:textId="2D6600E3"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4C3523">
            <w:rPr>
              <w:bCs/>
            </w:rPr>
            <w:t>105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BF88EE2"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3590A" w14:textId="77777777" w:rsidR="00643085" w:rsidRDefault="00643085">
      <w:r>
        <w:t>____________________</w:t>
      </w:r>
    </w:p>
  </w:footnote>
  <w:footnote w:type="continuationSeparator" w:id="0">
    <w:p w14:paraId="7513AE3A" w14:textId="77777777" w:rsidR="00643085" w:rsidRDefault="0064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7893" w14:textId="77777777" w:rsidR="001559F5" w:rsidRPr="00B1560D" w:rsidRDefault="00B1560D" w:rsidP="00B1560D">
    <w:pPr>
      <w:pStyle w:val="Header"/>
    </w:pPr>
    <w:r>
      <w:rPr>
        <w:noProof/>
      </w:rPr>
      <w:drawing>
        <wp:inline distT="0" distB="0" distL="0" distR="0" wp14:anchorId="7334FEA0" wp14:editId="53192281">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85"/>
    <w:rsid w:val="000007D1"/>
    <w:rsid w:val="0006007D"/>
    <w:rsid w:val="00093EEB"/>
    <w:rsid w:val="000A2C36"/>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0516"/>
    <w:rsid w:val="0031300A"/>
    <w:rsid w:val="003273A4"/>
    <w:rsid w:val="0034796E"/>
    <w:rsid w:val="00401965"/>
    <w:rsid w:val="004571B0"/>
    <w:rsid w:val="00465C35"/>
    <w:rsid w:val="00473962"/>
    <w:rsid w:val="004B5D49"/>
    <w:rsid w:val="004C3375"/>
    <w:rsid w:val="004C3523"/>
    <w:rsid w:val="004D3A3C"/>
    <w:rsid w:val="00513630"/>
    <w:rsid w:val="00560125"/>
    <w:rsid w:val="00584E5E"/>
    <w:rsid w:val="00585553"/>
    <w:rsid w:val="005A328C"/>
    <w:rsid w:val="005B34D9"/>
    <w:rsid w:val="005C3189"/>
    <w:rsid w:val="005D0CCF"/>
    <w:rsid w:val="005F0915"/>
    <w:rsid w:val="005F3BCB"/>
    <w:rsid w:val="005F410F"/>
    <w:rsid w:val="0060149A"/>
    <w:rsid w:val="00601924"/>
    <w:rsid w:val="00643085"/>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C14A4"/>
    <w:rsid w:val="008F6ABC"/>
    <w:rsid w:val="00913B9C"/>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35ADD"/>
    <w:rsid w:val="00B574DB"/>
    <w:rsid w:val="00B826C2"/>
    <w:rsid w:val="00B8298E"/>
    <w:rsid w:val="00BB6FD8"/>
    <w:rsid w:val="00BD0723"/>
    <w:rsid w:val="00BD2518"/>
    <w:rsid w:val="00BF1D1C"/>
    <w:rsid w:val="00C20C59"/>
    <w:rsid w:val="00C2727F"/>
    <w:rsid w:val="00C4421B"/>
    <w:rsid w:val="00C538FC"/>
    <w:rsid w:val="00C55B1F"/>
    <w:rsid w:val="00C6342D"/>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9332E"/>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5C5236"/>
  <w15:docId w15:val="{B80D4D79-94A1-4FE8-BDDF-1951AEBE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132/e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itu.int/md/S25-CL-C-0122/e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5-CL-C-0120/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tu.int/md/S26-CL-C-0065/en" TargetMode="External"/><Relationship Id="rId4" Type="http://schemas.openxmlformats.org/officeDocument/2006/relationships/footnotes" Target="footnotes.xml"/><Relationship Id="rId9" Type="http://schemas.openxmlformats.org/officeDocument/2006/relationships/hyperlink" Target="https://www.itu.int/md/S26-CL-C-0065/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3</TotalTime>
  <Pages>3</Pages>
  <Words>897</Words>
  <Characters>5151</Characters>
  <Application>Microsoft Office Word</Application>
  <DocSecurity>0</DocSecurity>
  <Lines>303</Lines>
  <Paragraphs>241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5807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Continuidad de las actividades de las reuniones de los Grupos de Trabajo del Consejo</dc:title>
  <dc:subject>Consejo 2026 de la UIT</dc:subject>
  <cp:keywords>C26; C2026; Council 2026; PP26</cp:keywords>
  <dc:description/>
  <cp:revision>3</cp:revision>
  <cp:lastPrinted>2006-03-24T09:51:00Z</cp:lastPrinted>
  <dcterms:created xsi:type="dcterms:W3CDTF">2026-04-22T08:05:00Z</dcterms:created>
  <dcterms:modified xsi:type="dcterms:W3CDTF">2026-04-22T08:07:00Z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