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41E10BC" w14:textId="77777777" w:rsidTr="00796BDB">
        <w:trPr>
          <w:cantSplit/>
          <w:trHeight w:val="23"/>
        </w:trPr>
        <w:tc>
          <w:tcPr>
            <w:tcW w:w="3969" w:type="dxa"/>
            <w:vMerge w:val="restart"/>
            <w:tcMar>
              <w:left w:w="0" w:type="dxa"/>
            </w:tcMar>
          </w:tcPr>
          <w:p w14:paraId="2C50D237" w14:textId="774F9564" w:rsidR="00D72F49" w:rsidRPr="00E85629" w:rsidRDefault="00D72F49" w:rsidP="00796BDB">
            <w:pPr>
              <w:tabs>
                <w:tab w:val="left" w:pos="851"/>
              </w:tabs>
              <w:spacing w:before="0" w:line="240" w:lineRule="atLeast"/>
              <w:rPr>
                <w:b/>
              </w:rPr>
            </w:pPr>
            <w:r w:rsidRPr="00122CE1">
              <w:rPr>
                <w:b/>
              </w:rPr>
              <w:t>Point de l'ordre du jour</w:t>
            </w:r>
            <w:r>
              <w:rPr>
                <w:b/>
              </w:rPr>
              <w:t>:</w:t>
            </w:r>
            <w:r w:rsidR="00A53233">
              <w:rPr>
                <w:b/>
              </w:rPr>
              <w:t xml:space="preserve"> ADM 3</w:t>
            </w:r>
          </w:p>
        </w:tc>
        <w:tc>
          <w:tcPr>
            <w:tcW w:w="5245" w:type="dxa"/>
          </w:tcPr>
          <w:p w14:paraId="339D499E" w14:textId="4268A68B"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A53233">
              <w:rPr>
                <w:b/>
              </w:rPr>
              <w:t>105</w:t>
            </w:r>
            <w:r>
              <w:rPr>
                <w:b/>
              </w:rPr>
              <w:t>-F</w:t>
            </w:r>
          </w:p>
        </w:tc>
      </w:tr>
      <w:tr w:rsidR="00D72F49" w:rsidRPr="00C049D7" w14:paraId="0C7CECF6" w14:textId="77777777" w:rsidTr="00796BDB">
        <w:trPr>
          <w:cantSplit/>
        </w:trPr>
        <w:tc>
          <w:tcPr>
            <w:tcW w:w="3969" w:type="dxa"/>
            <w:vMerge/>
          </w:tcPr>
          <w:p w14:paraId="0074CA14" w14:textId="77777777" w:rsidR="00D72F49" w:rsidRPr="00813E5E" w:rsidRDefault="00D72F49" w:rsidP="00796BDB">
            <w:pPr>
              <w:tabs>
                <w:tab w:val="left" w:pos="851"/>
              </w:tabs>
              <w:spacing w:line="240" w:lineRule="atLeast"/>
              <w:rPr>
                <w:b/>
              </w:rPr>
            </w:pPr>
          </w:p>
        </w:tc>
        <w:tc>
          <w:tcPr>
            <w:tcW w:w="5245" w:type="dxa"/>
          </w:tcPr>
          <w:p w14:paraId="1B790336" w14:textId="48768F24" w:rsidR="00D72F49" w:rsidRPr="00FC6D7D" w:rsidRDefault="00A53233" w:rsidP="00796BDB">
            <w:pPr>
              <w:tabs>
                <w:tab w:val="left" w:pos="851"/>
              </w:tabs>
              <w:spacing w:before="0"/>
              <w:jc w:val="right"/>
              <w:rPr>
                <w:b/>
                <w:lang w:val="en-GB"/>
              </w:rPr>
            </w:pPr>
            <w:r>
              <w:rPr>
                <w:b/>
              </w:rPr>
              <w:t>15 avril 2026</w:t>
            </w:r>
          </w:p>
        </w:tc>
      </w:tr>
      <w:tr w:rsidR="00D72F49" w:rsidRPr="00813E5E" w14:paraId="1C7A51B0" w14:textId="77777777" w:rsidTr="00796BDB">
        <w:trPr>
          <w:cantSplit/>
          <w:trHeight w:val="23"/>
        </w:trPr>
        <w:tc>
          <w:tcPr>
            <w:tcW w:w="3969" w:type="dxa"/>
            <w:vMerge/>
          </w:tcPr>
          <w:p w14:paraId="2F9B5D24" w14:textId="77777777" w:rsidR="00D72F49" w:rsidRPr="00FC6D7D" w:rsidRDefault="00D72F49" w:rsidP="00796BDB">
            <w:pPr>
              <w:tabs>
                <w:tab w:val="left" w:pos="851"/>
              </w:tabs>
              <w:spacing w:line="240" w:lineRule="atLeast"/>
              <w:rPr>
                <w:b/>
                <w:lang w:val="en-GB"/>
              </w:rPr>
            </w:pPr>
          </w:p>
        </w:tc>
        <w:tc>
          <w:tcPr>
            <w:tcW w:w="5245" w:type="dxa"/>
          </w:tcPr>
          <w:p w14:paraId="76510002"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37AC2FF6" w14:textId="77777777" w:rsidTr="00796BDB">
        <w:trPr>
          <w:cantSplit/>
          <w:trHeight w:val="23"/>
        </w:trPr>
        <w:tc>
          <w:tcPr>
            <w:tcW w:w="3969" w:type="dxa"/>
          </w:tcPr>
          <w:p w14:paraId="1B9CA009" w14:textId="77777777" w:rsidR="00D72F49" w:rsidRPr="00813E5E" w:rsidRDefault="00D72F49" w:rsidP="00796BDB">
            <w:pPr>
              <w:tabs>
                <w:tab w:val="left" w:pos="851"/>
              </w:tabs>
              <w:spacing w:line="240" w:lineRule="atLeast"/>
              <w:rPr>
                <w:b/>
              </w:rPr>
            </w:pPr>
          </w:p>
        </w:tc>
        <w:tc>
          <w:tcPr>
            <w:tcW w:w="5245" w:type="dxa"/>
          </w:tcPr>
          <w:p w14:paraId="62B43D9A" w14:textId="77777777" w:rsidR="00D72F49" w:rsidRDefault="00D72F49" w:rsidP="00796BDB">
            <w:pPr>
              <w:tabs>
                <w:tab w:val="left" w:pos="851"/>
              </w:tabs>
              <w:spacing w:before="0" w:line="240" w:lineRule="atLeast"/>
              <w:jc w:val="right"/>
              <w:rPr>
                <w:b/>
              </w:rPr>
            </w:pPr>
          </w:p>
        </w:tc>
      </w:tr>
      <w:tr w:rsidR="00D72F49" w:rsidRPr="00122CE1" w14:paraId="4226D0F4" w14:textId="77777777" w:rsidTr="00796BDB">
        <w:trPr>
          <w:cantSplit/>
        </w:trPr>
        <w:tc>
          <w:tcPr>
            <w:tcW w:w="9214" w:type="dxa"/>
            <w:gridSpan w:val="2"/>
            <w:tcMar>
              <w:left w:w="0" w:type="dxa"/>
            </w:tcMar>
          </w:tcPr>
          <w:p w14:paraId="63B8C33C" w14:textId="189A97AB" w:rsidR="00D72F49" w:rsidRPr="00386382" w:rsidRDefault="00A53233" w:rsidP="00796BDB">
            <w:pPr>
              <w:pStyle w:val="Source"/>
              <w:jc w:val="left"/>
              <w:rPr>
                <w:sz w:val="32"/>
                <w:szCs w:val="32"/>
                <w:lang w:val="fr-CH"/>
              </w:rPr>
            </w:pPr>
            <w:r w:rsidRPr="00386382">
              <w:rPr>
                <w:rFonts w:cstheme="minorHAnsi"/>
                <w:color w:val="000000"/>
                <w:sz w:val="32"/>
                <w:szCs w:val="32"/>
              </w:rPr>
              <w:t>Contribution du Maroc (Royaume du), de la République sudafricaine et du Sénégal (République du)</w:t>
            </w:r>
          </w:p>
        </w:tc>
      </w:tr>
      <w:tr w:rsidR="00D72F49" w:rsidRPr="00813E5E" w14:paraId="19B873C8" w14:textId="77777777" w:rsidTr="00796BDB">
        <w:trPr>
          <w:cantSplit/>
        </w:trPr>
        <w:tc>
          <w:tcPr>
            <w:tcW w:w="9214" w:type="dxa"/>
            <w:gridSpan w:val="2"/>
            <w:tcMar>
              <w:left w:w="0" w:type="dxa"/>
            </w:tcMar>
          </w:tcPr>
          <w:p w14:paraId="662AF9A7" w14:textId="0480B703" w:rsidR="00D72F49" w:rsidRPr="00A53233" w:rsidRDefault="00C43D17" w:rsidP="00796BDB">
            <w:pPr>
              <w:pStyle w:val="Subtitle"/>
              <w:framePr w:hSpace="0" w:wrap="auto" w:hAnchor="text" w:xAlign="left" w:yAlign="inline"/>
              <w:rPr>
                <w:sz w:val="32"/>
                <w:szCs w:val="32"/>
                <w:lang w:val="fr-FR"/>
              </w:rPr>
            </w:pPr>
            <w:r w:rsidRPr="00A53233">
              <w:rPr>
                <w:rFonts w:cstheme="minorHAnsi"/>
                <w:sz w:val="32"/>
                <w:szCs w:val="32"/>
                <w:lang w:val="fr-FR"/>
              </w:rPr>
              <w:t>CONTINUITÉ DES RÉUNIONS DES GROUPES DE TRAVAIL DU CONSEIL</w:t>
            </w:r>
          </w:p>
        </w:tc>
      </w:tr>
      <w:tr w:rsidR="00D72F49" w:rsidRPr="00813E5E" w14:paraId="59374297" w14:textId="77777777" w:rsidTr="00796BDB">
        <w:trPr>
          <w:cantSplit/>
        </w:trPr>
        <w:tc>
          <w:tcPr>
            <w:tcW w:w="9214" w:type="dxa"/>
            <w:gridSpan w:val="2"/>
            <w:tcBorders>
              <w:top w:val="single" w:sz="4" w:space="0" w:color="auto"/>
              <w:bottom w:val="single" w:sz="4" w:space="0" w:color="auto"/>
            </w:tcBorders>
            <w:tcMar>
              <w:left w:w="0" w:type="dxa"/>
            </w:tcMar>
          </w:tcPr>
          <w:p w14:paraId="543E79A6" w14:textId="77777777" w:rsidR="00D72F49" w:rsidRPr="0099485B" w:rsidRDefault="00F37FE5" w:rsidP="00796BDB">
            <w:pPr>
              <w:spacing w:before="160"/>
              <w:rPr>
                <w:b/>
                <w:bCs/>
                <w:sz w:val="26"/>
                <w:szCs w:val="26"/>
                <w:lang w:val="fr-CH"/>
              </w:rPr>
            </w:pPr>
            <w:r>
              <w:rPr>
                <w:b/>
                <w:bCs/>
                <w:sz w:val="26"/>
                <w:szCs w:val="26"/>
                <w:lang w:val="fr-CH"/>
              </w:rPr>
              <w:t>Objet</w:t>
            </w:r>
          </w:p>
          <w:p w14:paraId="4E6C53D5" w14:textId="32C52867" w:rsidR="00A53233" w:rsidRPr="00A53233" w:rsidRDefault="00A53233" w:rsidP="00C43D17">
            <w:pPr>
              <w:jc w:val="both"/>
              <w:rPr>
                <w:lang w:val="fr-CH"/>
              </w:rPr>
            </w:pPr>
            <w:r w:rsidRPr="00A53233">
              <w:rPr>
                <w:lang w:val="fr-CH"/>
              </w:rPr>
              <w:t>Étant donné que les salles de réunion du siège de l</w:t>
            </w:r>
            <w:r>
              <w:rPr>
                <w:lang w:val="fr-CH"/>
              </w:rPr>
              <w:t>'</w:t>
            </w:r>
            <w:r w:rsidRPr="00A53233">
              <w:rPr>
                <w:lang w:val="fr-CH"/>
              </w:rPr>
              <w:t>UIT ne devraient pas être disponibles pendant la mise en œuvre du projet de construction du nouveau bâtiment, cette situation pourrait avoir des conséquences préjudiciables sur la planification et l</w:t>
            </w:r>
            <w:r>
              <w:rPr>
                <w:lang w:val="fr-CH"/>
              </w:rPr>
              <w:t>'</w:t>
            </w:r>
            <w:r w:rsidRPr="00A53233">
              <w:rPr>
                <w:lang w:val="fr-CH"/>
              </w:rPr>
              <w:t xml:space="preserve">organisation des réunions des </w:t>
            </w:r>
            <w:r>
              <w:rPr>
                <w:lang w:val="fr-CH"/>
              </w:rPr>
              <w:t>g</w:t>
            </w:r>
            <w:r w:rsidRPr="00A53233">
              <w:rPr>
                <w:lang w:val="fr-CH"/>
              </w:rPr>
              <w:t xml:space="preserve">roupes de travail du Conseil (GTC), qui jouent pourtant un rôle essentiel en facilitant le processus décisionnel du Conseil, en particulier en ce qui concerne le </w:t>
            </w:r>
            <w:r>
              <w:rPr>
                <w:lang w:val="fr-CH"/>
              </w:rPr>
              <w:t>P</w:t>
            </w:r>
            <w:r w:rsidRPr="00A53233">
              <w:rPr>
                <w:lang w:val="fr-CH"/>
              </w:rPr>
              <w:t xml:space="preserve">lan stratégique, le </w:t>
            </w:r>
            <w:r>
              <w:rPr>
                <w:lang w:val="fr-CH"/>
              </w:rPr>
              <w:t>P</w:t>
            </w:r>
            <w:r w:rsidRPr="00A53233">
              <w:rPr>
                <w:lang w:val="fr-CH"/>
              </w:rPr>
              <w:t xml:space="preserve">lan financier et les </w:t>
            </w:r>
            <w:r>
              <w:rPr>
                <w:lang w:val="fr-CH"/>
              </w:rPr>
              <w:t>D</w:t>
            </w:r>
            <w:r w:rsidRPr="00A53233">
              <w:rPr>
                <w:lang w:val="fr-CH"/>
              </w:rPr>
              <w:t xml:space="preserve">écisions des </w:t>
            </w:r>
            <w:r>
              <w:rPr>
                <w:lang w:val="fr-CH"/>
              </w:rPr>
              <w:t>c</w:t>
            </w:r>
            <w:r w:rsidRPr="00A53233">
              <w:rPr>
                <w:lang w:val="fr-CH"/>
              </w:rPr>
              <w:t>onférences de plénipotentiaires.</w:t>
            </w:r>
          </w:p>
          <w:p w14:paraId="7BCDC5C5" w14:textId="2CD90240" w:rsidR="00D72F49" w:rsidRPr="0099485B" w:rsidRDefault="00A53233" w:rsidP="00C43D17">
            <w:pPr>
              <w:jc w:val="both"/>
              <w:rPr>
                <w:lang w:val="fr-CH"/>
              </w:rPr>
            </w:pPr>
            <w:r w:rsidRPr="00A53233">
              <w:rPr>
                <w:lang w:val="fr-CH"/>
              </w:rPr>
              <w:t>Dans ce contexte, il est nécessaire que le Conseil prenne les mesures appropriées pour assurer la continuité des travaux des GTC dans des conditions convenables.</w:t>
            </w:r>
          </w:p>
          <w:p w14:paraId="2029090F"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614D4CE7" w14:textId="079069E2" w:rsidR="00D72F49" w:rsidRPr="00122CE1" w:rsidRDefault="00A53233" w:rsidP="00796BDB">
            <w:pPr>
              <w:rPr>
                <w:lang w:val="fr-CH"/>
              </w:rPr>
            </w:pPr>
            <w:r w:rsidRPr="00A53233">
              <w:rPr>
                <w:lang w:val="fr-CH"/>
              </w:rPr>
              <w:t xml:space="preserve">Le Conseil est invité à </w:t>
            </w:r>
            <w:r w:rsidRPr="00A53233">
              <w:rPr>
                <w:b/>
                <w:bCs/>
                <w:lang w:val="fr-CH"/>
              </w:rPr>
              <w:t>examiner</w:t>
            </w:r>
            <w:r w:rsidRPr="00A53233">
              <w:rPr>
                <w:lang w:val="fr-CH"/>
              </w:rPr>
              <w:t xml:space="preserve"> la présente contribution et à </w:t>
            </w:r>
            <w:r w:rsidRPr="00A53233">
              <w:rPr>
                <w:b/>
                <w:bCs/>
                <w:lang w:val="fr-CH"/>
              </w:rPr>
              <w:t>prendre les mesures appropriées</w:t>
            </w:r>
            <w:r w:rsidRPr="00A53233">
              <w:rPr>
                <w:lang w:val="fr-CH"/>
              </w:rPr>
              <w:t>.</w:t>
            </w:r>
          </w:p>
          <w:p w14:paraId="75205F1B" w14:textId="77777777" w:rsidR="00D72F49" w:rsidRPr="00813E5E" w:rsidRDefault="00D72F49" w:rsidP="00796BDB">
            <w:pPr>
              <w:spacing w:before="160"/>
              <w:rPr>
                <w:caps/>
                <w:sz w:val="22"/>
              </w:rPr>
            </w:pPr>
            <w:r w:rsidRPr="00813E5E">
              <w:rPr>
                <w:sz w:val="22"/>
              </w:rPr>
              <w:t>____________</w:t>
            </w:r>
            <w:r>
              <w:rPr>
                <w:sz w:val="22"/>
              </w:rPr>
              <w:t>______</w:t>
            </w:r>
          </w:p>
          <w:p w14:paraId="75ED89D7" w14:textId="77777777" w:rsidR="00D72F49" w:rsidRDefault="00D72F49" w:rsidP="00796BDB">
            <w:pPr>
              <w:spacing w:before="160"/>
              <w:rPr>
                <w:b/>
                <w:bCs/>
                <w:sz w:val="26"/>
                <w:szCs w:val="26"/>
              </w:rPr>
            </w:pPr>
            <w:r w:rsidRPr="00F16BAB">
              <w:rPr>
                <w:b/>
                <w:bCs/>
                <w:sz w:val="26"/>
                <w:szCs w:val="26"/>
              </w:rPr>
              <w:t>Références</w:t>
            </w:r>
          </w:p>
          <w:p w14:paraId="34CDE0D6" w14:textId="24AC83C3" w:rsidR="00D72F49" w:rsidRPr="00C43D17" w:rsidRDefault="00A53233" w:rsidP="00CE5172">
            <w:pPr>
              <w:pStyle w:val="Referencetext"/>
              <w:framePr w:hSpace="0" w:wrap="auto" w:vAnchor="margin" w:hAnchor="text" w:xAlign="left" w:yAlign="inline"/>
            </w:pPr>
            <w:hyperlink r:id="rId7" w:history="1">
              <w:r w:rsidRPr="00C43D17">
                <w:rPr>
                  <w:rStyle w:val="Hyperlink"/>
                  <w:rFonts w:eastAsia="Times New Roman" w:cs="Times New Roman"/>
                </w:rPr>
                <w:t>Résolution 1333</w:t>
              </w:r>
            </w:hyperlink>
            <w:r w:rsidRPr="00C43D17">
              <w:t xml:space="preserve"> (C11, dernière mod. C25</w:t>
            </w:r>
            <w:proofErr w:type="gramStart"/>
            <w:r w:rsidRPr="00C43D17">
              <w:t>);</w:t>
            </w:r>
            <w:proofErr w:type="gramEnd"/>
            <w:r w:rsidRPr="00C43D17">
              <w:t xml:space="preserve"> </w:t>
            </w:r>
            <w:hyperlink r:id="rId8" w:history="1">
              <w:r w:rsidRPr="00C43D17">
                <w:rPr>
                  <w:rStyle w:val="Hyperlink"/>
                  <w:rFonts w:eastAsia="Times New Roman" w:cs="Times New Roman"/>
                </w:rPr>
                <w:t>Décision 643</w:t>
              </w:r>
            </w:hyperlink>
            <w:r w:rsidRPr="00C43D17">
              <w:t xml:space="preserve"> (</w:t>
            </w:r>
            <w:proofErr w:type="spellStart"/>
            <w:r w:rsidRPr="00C43D17">
              <w:t>C25</w:t>
            </w:r>
            <w:proofErr w:type="spellEnd"/>
            <w:r w:rsidRPr="00C43D17">
              <w:t xml:space="preserve">) et </w:t>
            </w:r>
            <w:hyperlink r:id="rId9" w:history="1">
              <w:r w:rsidRPr="00C43D17">
                <w:rPr>
                  <w:rStyle w:val="Hyperlink"/>
                  <w:rFonts w:eastAsia="Times New Roman" w:cs="Times New Roman"/>
                </w:rPr>
                <w:t>Décision 640</w:t>
              </w:r>
            </w:hyperlink>
            <w:r w:rsidRPr="00C43D17">
              <w:t xml:space="preserve"> (</w:t>
            </w:r>
            <w:proofErr w:type="spellStart"/>
            <w:r w:rsidRPr="00C43D17">
              <w:t>C24</w:t>
            </w:r>
            <w:proofErr w:type="spellEnd"/>
            <w:r w:rsidRPr="00C43D17">
              <w:t>) du Conseil</w:t>
            </w:r>
          </w:p>
        </w:tc>
      </w:tr>
    </w:tbl>
    <w:p w14:paraId="38027452" w14:textId="77777777" w:rsidR="00A51849" w:rsidRPr="0019129B" w:rsidRDefault="00A51849" w:rsidP="00CF0534"/>
    <w:p w14:paraId="513542FB"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DC1C0A3" w14:textId="4713E3A8" w:rsidR="00A53233" w:rsidRDefault="00A53233" w:rsidP="00A53233">
      <w:pPr>
        <w:pStyle w:val="Heading1"/>
      </w:pPr>
      <w:r>
        <w:lastRenderedPageBreak/>
        <w:t>1</w:t>
      </w:r>
      <w:r>
        <w:tab/>
        <w:t>Considérations générales</w:t>
      </w:r>
    </w:p>
    <w:p w14:paraId="5D07EB1B" w14:textId="199FA872" w:rsidR="00A53233" w:rsidRDefault="00A53233" w:rsidP="00C43D17">
      <w:pPr>
        <w:jc w:val="both"/>
      </w:pPr>
      <w:r>
        <w:t>En vertu des articles 7 et 10 de la Constitution de l'UIT, le Conseil de l'UIT est l'organe directeur de l'Union dans l'intervalle qui sépare les conférences de plénipotentiaires.</w:t>
      </w:r>
    </w:p>
    <w:p w14:paraId="13D34600" w14:textId="36EB22CD" w:rsidR="00A53233" w:rsidRDefault="00A53233" w:rsidP="00C43D17">
      <w:pPr>
        <w:jc w:val="both"/>
      </w:pPr>
      <w:r>
        <w:t>La Résolution 1333 du Conseil régit la création, la gestion et la cessation des activités des groupes de travail du Conseil (GTC), qui examinent les priorités de l'Union, fournissent des avis au Conseil, exercent leurs activités dans le cadre de mandats bien définis et veillent à ce que leurs réunions soient efficaces et rentables.</w:t>
      </w:r>
    </w:p>
    <w:p w14:paraId="2B3123A6" w14:textId="77777777" w:rsidR="00A53233" w:rsidRDefault="00A53233" w:rsidP="00C43D17">
      <w:pPr>
        <w:jc w:val="both"/>
      </w:pPr>
      <w:r>
        <w:t>En outre, des Décisions du Conseil (notamment les Décisions 642 et 643) définissent le calendrier des réunions et fournissent un cadre pour la planification pluriannuelle des séries de réunions des GTC.</w:t>
      </w:r>
    </w:p>
    <w:p w14:paraId="1731733F" w14:textId="3D03B424" w:rsidR="00A53233" w:rsidRDefault="00A53233" w:rsidP="00C43D17">
      <w:pPr>
        <w:jc w:val="both"/>
      </w:pPr>
      <w:r>
        <w:t>Les séries de réunions des GTC sont étroitement liées aux sessions du Conseil et se tiennent généralement en présentiel, au siège de l'UIT. Toutefois, à sa session de juin 2025, le Conseil a examiné plusieurs documents relatifs au projet de nouveau bâtiment du siège de l'UIT et à ses incidences financières et opérationnelles.</w:t>
      </w:r>
    </w:p>
    <w:p w14:paraId="5F1EE67E" w14:textId="3B80A9D7" w:rsidR="00A53233" w:rsidRDefault="00A53233" w:rsidP="00C43D17">
      <w:pPr>
        <w:jc w:val="both"/>
      </w:pPr>
      <w:r>
        <w:t>Les rapports soumis par le Secrétariat au Conseil, à sa session de 2025, et leurs versions actualisées présentées au Groupe de travail du Conseil sur les ressources financières et les ressources humaines (GTC-FHR), à sa 21ème réunion, ont mis en évidence les défis liés à la pression croissante qui s'exerce sur la disponibilité des salles de conférence à Genève entre le 1er octobre 2028 et décembre 2029, ainsi que les coûts supplémentaires qu'engendrerait la location de locaux externes et la nécessité d'adopter des solutions financièrement viables pour garantir la continuité des activités.</w:t>
      </w:r>
    </w:p>
    <w:p w14:paraId="3F7D48DD" w14:textId="1C0844C4" w:rsidR="00A53233" w:rsidRDefault="00A53233" w:rsidP="00C43D17">
      <w:pPr>
        <w:jc w:val="both"/>
      </w:pPr>
      <w:r>
        <w:t xml:space="preserve">Dans le </w:t>
      </w:r>
      <w:hyperlink r:id="rId10" w:history="1">
        <w:r w:rsidRPr="00A53233">
          <w:rPr>
            <w:rStyle w:val="Hyperlink"/>
            <w:rFonts w:eastAsia="Times New Roman" w:cs="Times New Roman"/>
            <w:szCs w:val="20"/>
          </w:rPr>
          <w:t>Document C26/65</w:t>
        </w:r>
      </w:hyperlink>
      <w:r>
        <w:t xml:space="preserve"> soumis à la Commission permanente de l'administration et de la gestion, le Secrétariat propose de réduire la fréquence des réunions des GTC et de clore les discussions avec les Émirats arabes unis et le Kenya concernant l'accueil sur leur territoire d'un centre de réunion de l'UIT, et souligne qu'il est difficile de trouver des salles de réunion à Genève, notamment en raison de contraintes financières et de l'indisponibilité d'installations permettant de tenir des réunion.</w:t>
      </w:r>
    </w:p>
    <w:p w14:paraId="44611F00" w14:textId="2D65CC92" w:rsidR="00A53233" w:rsidRDefault="00A53233" w:rsidP="00A53233">
      <w:pPr>
        <w:pStyle w:val="Heading1"/>
      </w:pPr>
      <w:r>
        <w:t>2</w:t>
      </w:r>
      <w:r>
        <w:tab/>
        <w:t>Difficultés à assurer la continuité des activités et risques institutionnels concernant les séries de réunions des GTC</w:t>
      </w:r>
    </w:p>
    <w:p w14:paraId="5CEF1F3C" w14:textId="27FEC4C9" w:rsidR="00A53233" w:rsidRDefault="00A53233" w:rsidP="00C43D17">
      <w:pPr>
        <w:jc w:val="both"/>
      </w:pPr>
      <w:r>
        <w:t>Compte tenu des travaux de démolition et de reconstruction prévus au siège de l'UIT, les séries de réunions des GTC pourraient être soumises à certaines contraintes liées au fait que les installations prévues pour tenir des réunions à Genève ne devraient pas être disponibles à compter du 1er octobre 2028 et peut-être tout au long de l'année 2029. Cette situation, conjuguée à la faible disponibilité d'autres installations à Genève, pourrait entraîner des coûts supplémentaires qui ne sont actuellement pas pris en compte dans le budget de l'Union. En outre, les données financières détaillées permettant d'établir des comparaisons étant rares, il pourrait être plus difficile d'évaluer pleinement l'ensemble des incidences sur le plan budgétaire.</w:t>
      </w:r>
    </w:p>
    <w:p w14:paraId="5C8E31A3" w14:textId="0315E91D" w:rsidR="00A53233" w:rsidRDefault="00A53233" w:rsidP="00C43D17">
      <w:pPr>
        <w:jc w:val="both"/>
      </w:pPr>
      <w:r>
        <w:t xml:space="preserve">Au-delà des considérations logistiques, ce contexte pourrait également susciter des réflexions sur le plan institutionnel. En tant qu'organes essentiels fournissant un appui au Conseil, les GTC jouent un rôle important dans la préparation technique, financière et stratégique des décisions. Toute perturbation de leurs travaux pourrait avoir des conséquences pour le </w:t>
      </w:r>
      <w:r>
        <w:lastRenderedPageBreak/>
        <w:t>calendrier des préparatifs, la qualité des analyses et la continuité des consultations entre les États Membres.</w:t>
      </w:r>
    </w:p>
    <w:p w14:paraId="5613292F" w14:textId="6B9A2E0A" w:rsidR="00A53233" w:rsidRDefault="00A53233" w:rsidP="00C43D17">
      <w:pPr>
        <w:jc w:val="both"/>
      </w:pPr>
      <w:r>
        <w:t>Par voie de conséquence, cette situation pourrait nuire au fonctionnement du Conseil, seul organe décisionnel de l'UIT entre les Conférences de plénipotentiaires et dont la fenêtre d'action est limitée. Faute de préparatifs suffisants de la part des GTC, le Conseil pourrait être amené à examiner des questions complexes dans des conditions plus contraignantes, ce qui pourrait peser sur l'efficacité et la transparence du processus décisionnel, ainsi que sur la gouvernance globale de l'Union.</w:t>
      </w:r>
    </w:p>
    <w:p w14:paraId="381FCA4A" w14:textId="334A0CC9" w:rsidR="00A53233" w:rsidRDefault="00A53233" w:rsidP="00A53233">
      <w:pPr>
        <w:pStyle w:val="Heading1"/>
      </w:pPr>
      <w:r>
        <w:t>3</w:t>
      </w:r>
      <w:r>
        <w:tab/>
        <w:t>Proposition</w:t>
      </w:r>
    </w:p>
    <w:p w14:paraId="36A04709" w14:textId="384F247D" w:rsidR="00A53233" w:rsidRDefault="00A53233" w:rsidP="00C43D17">
      <w:pPr>
        <w:jc w:val="both"/>
      </w:pPr>
      <w:r>
        <w:t>Le Conseil est invité à examiner, à sa session de 2026, les modalités et les options concernant l'organisation des réunions des GTC pour la période 2028-2029.</w:t>
      </w:r>
    </w:p>
    <w:p w14:paraId="4F9D0210" w14:textId="786F6243" w:rsidR="006A11AE" w:rsidRDefault="00A53233" w:rsidP="00C43D17">
      <w:pPr>
        <w:jc w:val="both"/>
      </w:pPr>
      <w:r>
        <w:t>À cet égard, le Conseil voudra peut-être inviter le Secrétariat à fournir une analyse financière détaillée comparant les différentes options, y compris en ce qui concerne les modes de financement possibles, et à envisager d'adopter une approche mixte et pragmatique prévoyant l'utilisation d'installations en Suisse, en dehors de Genève, ainsi que la création éventuelle de centres de réunions, avec l'appui des États Membres intéressés, en vue de garantir la continuité des activités des GTC dans des conditions financièrement viables.</w:t>
      </w:r>
    </w:p>
    <w:p w14:paraId="06457391" w14:textId="77777777" w:rsidR="00C43D17" w:rsidRPr="00A53233" w:rsidRDefault="00C43D17" w:rsidP="00C43D17">
      <w:pPr>
        <w:jc w:val="both"/>
      </w:pPr>
    </w:p>
    <w:p w14:paraId="5564FD2C" w14:textId="77777777" w:rsidR="00897553" w:rsidRDefault="006A11AE" w:rsidP="002D2336">
      <w:pPr>
        <w:jc w:val="center"/>
      </w:pPr>
      <w:r>
        <w:t>______________</w:t>
      </w:r>
    </w:p>
    <w:sectPr w:rsidR="00897553"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F07D" w14:textId="77777777" w:rsidR="00134D86" w:rsidRDefault="00134D86">
      <w:r>
        <w:separator/>
      </w:r>
    </w:p>
  </w:endnote>
  <w:endnote w:type="continuationSeparator" w:id="0">
    <w:p w14:paraId="1071CD70" w14:textId="77777777" w:rsidR="00134D86" w:rsidRDefault="001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9C20" w14:textId="2E8A1F08" w:rsidR="00732045" w:rsidRDefault="00102662">
    <w:pPr>
      <w:pStyle w:val="Footer"/>
    </w:pPr>
    <w:fldSimple w:instr=" FILENAME \p \* MERGEFORMAT ">
      <w:r>
        <w:t>P:\FRA\gDoc\SG\C26\2600981F.docx</w:t>
      </w:r>
    </w:fldSimple>
    <w:r w:rsidR="00732045">
      <w:tab/>
    </w:r>
    <w:r w:rsidR="002F1B76">
      <w:fldChar w:fldCharType="begin"/>
    </w:r>
    <w:r w:rsidR="00732045">
      <w:instrText xml:space="preserve"> savedate \@ dd.MM.yy </w:instrText>
    </w:r>
    <w:r w:rsidR="002F1B76">
      <w:fldChar w:fldCharType="separate"/>
    </w:r>
    <w:r w:rsidR="00360123">
      <w:t>24.04.26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8FCF92D" w14:textId="77777777" w:rsidTr="00E31DCE">
      <w:trPr>
        <w:jc w:val="center"/>
      </w:trPr>
      <w:tc>
        <w:tcPr>
          <w:tcW w:w="1803" w:type="dxa"/>
          <w:vAlign w:val="center"/>
        </w:tcPr>
        <w:p w14:paraId="7BC48C32" w14:textId="32A63CAB" w:rsidR="00A51849" w:rsidRDefault="00A53233" w:rsidP="00A51849">
          <w:pPr>
            <w:pStyle w:val="Header"/>
            <w:jc w:val="left"/>
            <w:rPr>
              <w:noProof/>
            </w:rPr>
          </w:pPr>
          <w:r>
            <w:rPr>
              <w:noProof/>
            </w:rPr>
            <w:t>2600981</w:t>
          </w:r>
        </w:p>
      </w:tc>
      <w:tc>
        <w:tcPr>
          <w:tcW w:w="8261" w:type="dxa"/>
        </w:tcPr>
        <w:p w14:paraId="3E435ABE" w14:textId="62AC2A8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53233">
            <w:rPr>
              <w:bCs/>
            </w:rPr>
            <w:t>105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BEFF82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F6AD06C" w14:textId="77777777" w:rsidTr="00E31DCE">
      <w:trPr>
        <w:jc w:val="center"/>
      </w:trPr>
      <w:tc>
        <w:tcPr>
          <w:tcW w:w="1803" w:type="dxa"/>
          <w:vAlign w:val="center"/>
        </w:tcPr>
        <w:p w14:paraId="3C10FC46"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2AAD99A" w14:textId="7B8EBD5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53233">
            <w:rPr>
              <w:bCs/>
            </w:rPr>
            <w:t>105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FCA933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4D65" w14:textId="77777777" w:rsidR="00134D86" w:rsidRDefault="00134D86">
      <w:r>
        <w:t>____________________</w:t>
      </w:r>
    </w:p>
  </w:footnote>
  <w:footnote w:type="continuationSeparator" w:id="0">
    <w:p w14:paraId="74760136" w14:textId="77777777" w:rsidR="00134D86" w:rsidRDefault="0013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DB9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C507EE2"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1C48"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86"/>
    <w:rsid w:val="00076A2C"/>
    <w:rsid w:val="000D0D0A"/>
    <w:rsid w:val="00102662"/>
    <w:rsid w:val="00103163"/>
    <w:rsid w:val="00106B19"/>
    <w:rsid w:val="001133EF"/>
    <w:rsid w:val="00115D93"/>
    <w:rsid w:val="001247A8"/>
    <w:rsid w:val="001342E0"/>
    <w:rsid w:val="00134D86"/>
    <w:rsid w:val="001370B2"/>
    <w:rsid w:val="001378C0"/>
    <w:rsid w:val="00152ABB"/>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0123"/>
    <w:rsid w:val="00361350"/>
    <w:rsid w:val="00386382"/>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D3788"/>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53233"/>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0599D"/>
    <w:rsid w:val="00C25D29"/>
    <w:rsid w:val="00C2625E"/>
    <w:rsid w:val="00C27A7C"/>
    <w:rsid w:val="00C42437"/>
    <w:rsid w:val="00C43D1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42F41"/>
  <w15:docId w15:val="{EB0FAA44-DF1D-4D9E-8AD7-E31E544B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2/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md/S25-CL-C-0120/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md/S26-CL-C-0065/fr" TargetMode="External"/><Relationship Id="rId4" Type="http://schemas.openxmlformats.org/officeDocument/2006/relationships/webSettings" Target="webSettings.xml"/><Relationship Id="rId9" Type="http://schemas.openxmlformats.org/officeDocument/2006/relationships/hyperlink" Target="https://www.itu.int/md/S24-CL-C-0132/f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6</TotalTime>
  <Pages>3</Pages>
  <Words>900</Words>
  <Characters>5265</Characters>
  <Application>Microsoft Office Word</Application>
  <DocSecurity>0</DocSecurity>
  <Lines>351</Lines>
  <Paragraphs>198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5967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Continuité des réunions des Groupes de travail du Conseil</dc:title>
  <dc:subject>Conseil 2026 de l'UIT</dc:subject>
  <cp:keywords>C26; C2026; Council 2026; PP26</cp:keywords>
  <dc:description/>
  <cp:lastPrinted>2000-07-18T08:55:00Z</cp:lastPrinted>
  <dcterms:created xsi:type="dcterms:W3CDTF">2026-04-29T17:13:00Z</dcterms:created>
  <dcterms:modified xsi:type="dcterms:W3CDTF">2026-04-29T17:15:00Z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