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474505" w14:paraId="33984A52" w14:textId="77777777" w:rsidTr="00954C49">
        <w:trPr>
          <w:cantSplit/>
          <w:trHeight w:val="23"/>
        </w:trPr>
        <w:tc>
          <w:tcPr>
            <w:tcW w:w="3969" w:type="dxa"/>
            <w:vMerge w:val="restart"/>
            <w:tcMar>
              <w:left w:w="0" w:type="dxa"/>
            </w:tcMar>
          </w:tcPr>
          <w:p w14:paraId="7B3EDC5A" w14:textId="73939394" w:rsidR="00501CB0" w:rsidRPr="00474505" w:rsidRDefault="00AD3606" w:rsidP="00FD486A">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474505">
              <w:rPr>
                <w:rFonts w:asciiTheme="minorHAnsi" w:hAnsiTheme="minorHAnsi" w:cstheme="minorHAnsi"/>
                <w:b/>
              </w:rPr>
              <w:t xml:space="preserve">Agenda item: </w:t>
            </w:r>
            <w:r w:rsidR="00501CB0">
              <w:rPr>
                <w:rFonts w:asciiTheme="minorHAnsi" w:hAnsiTheme="minorHAnsi" w:cstheme="minorHAnsi"/>
                <w:b/>
              </w:rPr>
              <w:t>ADM-3</w:t>
            </w:r>
          </w:p>
        </w:tc>
        <w:tc>
          <w:tcPr>
            <w:tcW w:w="5245" w:type="dxa"/>
          </w:tcPr>
          <w:p w14:paraId="35986CF2" w14:textId="19144209" w:rsidR="00AD3606" w:rsidRPr="00474505" w:rsidRDefault="00AD3606" w:rsidP="00954C49">
            <w:pPr>
              <w:tabs>
                <w:tab w:val="left" w:pos="851"/>
              </w:tabs>
              <w:spacing w:before="0" w:line="240" w:lineRule="atLeast"/>
              <w:jc w:val="right"/>
              <w:rPr>
                <w:rFonts w:asciiTheme="minorHAnsi" w:hAnsiTheme="minorHAnsi" w:cstheme="minorHAnsi"/>
                <w:b/>
              </w:rPr>
            </w:pPr>
            <w:r w:rsidRPr="00474505">
              <w:rPr>
                <w:rFonts w:asciiTheme="minorHAnsi" w:hAnsiTheme="minorHAnsi" w:cstheme="minorHAnsi"/>
                <w:b/>
              </w:rPr>
              <w:t>Document C2</w:t>
            </w:r>
            <w:r w:rsidR="00DE532B" w:rsidRPr="00474505">
              <w:rPr>
                <w:rFonts w:asciiTheme="minorHAnsi" w:hAnsiTheme="minorHAnsi" w:cstheme="minorHAnsi"/>
                <w:b/>
              </w:rPr>
              <w:t>6</w:t>
            </w:r>
            <w:r w:rsidRPr="00474505">
              <w:rPr>
                <w:rFonts w:asciiTheme="minorHAnsi" w:hAnsiTheme="minorHAnsi" w:cstheme="minorHAnsi"/>
                <w:b/>
              </w:rPr>
              <w:t>/</w:t>
            </w:r>
            <w:r w:rsidR="00474505">
              <w:rPr>
                <w:rFonts w:asciiTheme="minorHAnsi" w:hAnsiTheme="minorHAnsi" w:cstheme="minorHAnsi"/>
                <w:b/>
              </w:rPr>
              <w:t>105</w:t>
            </w:r>
            <w:r w:rsidRPr="00474505">
              <w:rPr>
                <w:rFonts w:asciiTheme="minorHAnsi" w:hAnsiTheme="minorHAnsi" w:cstheme="minorHAnsi"/>
                <w:b/>
              </w:rPr>
              <w:t>-E</w:t>
            </w:r>
          </w:p>
        </w:tc>
      </w:tr>
      <w:tr w:rsidR="00AD3606" w:rsidRPr="00474505" w14:paraId="3CF03AAD" w14:textId="77777777" w:rsidTr="00954C49">
        <w:trPr>
          <w:cantSplit/>
        </w:trPr>
        <w:tc>
          <w:tcPr>
            <w:tcW w:w="3969" w:type="dxa"/>
            <w:vMerge/>
          </w:tcPr>
          <w:p w14:paraId="7467ED6C" w14:textId="77777777" w:rsidR="00AD3606" w:rsidRPr="00474505" w:rsidRDefault="00AD3606" w:rsidP="00954C49">
            <w:pPr>
              <w:tabs>
                <w:tab w:val="left" w:pos="851"/>
              </w:tabs>
              <w:spacing w:line="240" w:lineRule="atLeast"/>
              <w:rPr>
                <w:rFonts w:asciiTheme="minorHAnsi" w:hAnsiTheme="minorHAnsi" w:cstheme="minorHAnsi"/>
                <w:b/>
              </w:rPr>
            </w:pPr>
            <w:bookmarkStart w:id="6" w:name="ddate" w:colFirst="1" w:colLast="1"/>
            <w:bookmarkEnd w:id="0"/>
            <w:bookmarkEnd w:id="1"/>
          </w:p>
        </w:tc>
        <w:tc>
          <w:tcPr>
            <w:tcW w:w="5245" w:type="dxa"/>
          </w:tcPr>
          <w:p w14:paraId="520C4CEE" w14:textId="63AFD97F" w:rsidR="00AD3606" w:rsidRPr="00474505" w:rsidRDefault="00474505" w:rsidP="00954C49">
            <w:pPr>
              <w:tabs>
                <w:tab w:val="left" w:pos="851"/>
              </w:tabs>
              <w:spacing w:before="0"/>
              <w:jc w:val="right"/>
              <w:rPr>
                <w:rFonts w:asciiTheme="minorHAnsi" w:hAnsiTheme="minorHAnsi" w:cstheme="minorHAnsi"/>
                <w:b/>
              </w:rPr>
            </w:pPr>
            <w:r>
              <w:rPr>
                <w:rFonts w:asciiTheme="minorHAnsi" w:hAnsiTheme="minorHAnsi" w:cstheme="minorHAnsi"/>
                <w:b/>
              </w:rPr>
              <w:t>15</w:t>
            </w:r>
            <w:r w:rsidR="00473F13" w:rsidRPr="00474505">
              <w:rPr>
                <w:rFonts w:asciiTheme="minorHAnsi" w:hAnsiTheme="minorHAnsi" w:cstheme="minorHAnsi"/>
                <w:b/>
              </w:rPr>
              <w:t xml:space="preserve"> April 2026</w:t>
            </w:r>
          </w:p>
        </w:tc>
      </w:tr>
      <w:tr w:rsidR="00AD3606" w:rsidRPr="00474505" w14:paraId="647F4C7A" w14:textId="77777777" w:rsidTr="00954C49">
        <w:trPr>
          <w:cantSplit/>
          <w:trHeight w:val="23"/>
        </w:trPr>
        <w:tc>
          <w:tcPr>
            <w:tcW w:w="3969" w:type="dxa"/>
            <w:vMerge/>
          </w:tcPr>
          <w:p w14:paraId="6707CE1F" w14:textId="77777777" w:rsidR="00AD3606" w:rsidRPr="00474505" w:rsidRDefault="00AD3606" w:rsidP="00954C49">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317B5BD8" w14:textId="77777777" w:rsidR="00AD3606" w:rsidRPr="00474505" w:rsidRDefault="00AD3606" w:rsidP="00954C49">
            <w:pPr>
              <w:tabs>
                <w:tab w:val="left" w:pos="851"/>
              </w:tabs>
              <w:spacing w:before="0" w:line="240" w:lineRule="atLeast"/>
              <w:jc w:val="right"/>
              <w:rPr>
                <w:rFonts w:asciiTheme="minorHAnsi" w:hAnsiTheme="minorHAnsi" w:cstheme="minorHAnsi"/>
                <w:b/>
              </w:rPr>
            </w:pPr>
            <w:r w:rsidRPr="00474505">
              <w:rPr>
                <w:rFonts w:asciiTheme="minorHAnsi" w:hAnsiTheme="minorHAnsi" w:cstheme="minorHAnsi"/>
                <w:b/>
              </w:rPr>
              <w:t>Original: English</w:t>
            </w:r>
          </w:p>
        </w:tc>
      </w:tr>
      <w:tr w:rsidR="00472BAD" w:rsidRPr="00474505" w14:paraId="1A0DF624" w14:textId="77777777" w:rsidTr="00954C49">
        <w:trPr>
          <w:cantSplit/>
          <w:trHeight w:val="23"/>
        </w:trPr>
        <w:tc>
          <w:tcPr>
            <w:tcW w:w="3969" w:type="dxa"/>
          </w:tcPr>
          <w:p w14:paraId="02A5CA74" w14:textId="77777777" w:rsidR="00472BAD" w:rsidRPr="00474505" w:rsidRDefault="00472BAD" w:rsidP="00954C49">
            <w:pPr>
              <w:tabs>
                <w:tab w:val="left" w:pos="851"/>
              </w:tabs>
              <w:spacing w:line="240" w:lineRule="atLeast"/>
              <w:rPr>
                <w:rFonts w:asciiTheme="minorHAnsi" w:hAnsiTheme="minorHAnsi" w:cstheme="minorHAnsi"/>
                <w:b/>
              </w:rPr>
            </w:pPr>
          </w:p>
        </w:tc>
        <w:tc>
          <w:tcPr>
            <w:tcW w:w="5245" w:type="dxa"/>
          </w:tcPr>
          <w:p w14:paraId="2D54675C" w14:textId="77777777" w:rsidR="00472BAD" w:rsidRPr="00474505" w:rsidRDefault="00472BAD" w:rsidP="00954C49">
            <w:pPr>
              <w:tabs>
                <w:tab w:val="left" w:pos="851"/>
              </w:tabs>
              <w:spacing w:before="0" w:line="240" w:lineRule="atLeast"/>
              <w:jc w:val="right"/>
              <w:rPr>
                <w:rFonts w:asciiTheme="minorHAnsi" w:hAnsiTheme="minorHAnsi" w:cstheme="minorHAnsi"/>
                <w:b/>
              </w:rPr>
            </w:pPr>
          </w:p>
        </w:tc>
      </w:tr>
      <w:tr w:rsidR="00AD3606" w:rsidRPr="00474505" w14:paraId="6D437DFB" w14:textId="77777777" w:rsidTr="00954C49">
        <w:trPr>
          <w:cantSplit/>
        </w:trPr>
        <w:tc>
          <w:tcPr>
            <w:tcW w:w="9214" w:type="dxa"/>
            <w:gridSpan w:val="2"/>
            <w:tcMar>
              <w:left w:w="0" w:type="dxa"/>
            </w:tcMar>
          </w:tcPr>
          <w:p w14:paraId="24A872A9" w14:textId="2D36971F" w:rsidR="00AD3606" w:rsidRPr="00474505" w:rsidRDefault="003845D3" w:rsidP="00954C49">
            <w:pPr>
              <w:pStyle w:val="Source"/>
              <w:framePr w:hSpace="0" w:wrap="auto" w:vAnchor="margin" w:hAnchor="text" w:yAlign="inline"/>
              <w:rPr>
                <w:rFonts w:asciiTheme="minorHAnsi" w:hAnsiTheme="minorHAnsi" w:cstheme="minorHAnsi"/>
              </w:rPr>
            </w:pPr>
            <w:bookmarkStart w:id="8" w:name="dsource" w:colFirst="0" w:colLast="0"/>
            <w:bookmarkEnd w:id="7"/>
            <w:r w:rsidRPr="00441FBE">
              <w:rPr>
                <w:rFonts w:asciiTheme="minorHAnsi" w:hAnsiTheme="minorHAnsi" w:cstheme="minorHAnsi"/>
              </w:rPr>
              <w:t xml:space="preserve">Contribution by </w:t>
            </w:r>
            <w:r w:rsidR="00473F13" w:rsidRPr="00441FBE">
              <w:rPr>
                <w:rFonts w:asciiTheme="minorHAnsi" w:hAnsiTheme="minorHAnsi" w:cstheme="minorHAnsi"/>
              </w:rPr>
              <w:t>Morocco</w:t>
            </w:r>
            <w:r w:rsidR="009020CE" w:rsidRPr="00441FBE">
              <w:rPr>
                <w:rFonts w:asciiTheme="minorHAnsi" w:hAnsiTheme="minorHAnsi" w:cstheme="minorHAnsi"/>
              </w:rPr>
              <w:t xml:space="preserve"> (Kingdom of)</w:t>
            </w:r>
            <w:r w:rsidR="00473F13" w:rsidRPr="00441FBE">
              <w:rPr>
                <w:rFonts w:asciiTheme="minorHAnsi" w:hAnsiTheme="minorHAnsi" w:cstheme="minorHAnsi"/>
              </w:rPr>
              <w:t>, South Africa</w:t>
            </w:r>
            <w:r w:rsidR="00441FBE" w:rsidRPr="00441FBE">
              <w:rPr>
                <w:rFonts w:ascii="Arial" w:hAnsi="Arial" w:cs="Arial"/>
                <w:b w:val="0"/>
                <w:color w:val="000000"/>
                <w:sz w:val="20"/>
                <w:shd w:val="clear" w:color="auto" w:fill="FFFFFF"/>
              </w:rPr>
              <w:t xml:space="preserve"> </w:t>
            </w:r>
            <w:r w:rsidR="00441FBE" w:rsidRPr="00441FBE">
              <w:rPr>
                <w:rFonts w:asciiTheme="minorHAnsi" w:hAnsiTheme="minorHAnsi" w:cstheme="minorHAnsi"/>
              </w:rPr>
              <w:t>(Republic of)</w:t>
            </w:r>
            <w:r w:rsidR="00473F13" w:rsidRPr="00441FBE">
              <w:rPr>
                <w:rFonts w:asciiTheme="minorHAnsi" w:hAnsiTheme="minorHAnsi" w:cstheme="minorHAnsi"/>
              </w:rPr>
              <w:t xml:space="preserve"> and </w:t>
            </w:r>
            <w:r w:rsidR="00441FBE" w:rsidRPr="00441FBE">
              <w:rPr>
                <w:rFonts w:asciiTheme="minorHAnsi" w:hAnsiTheme="minorHAnsi" w:cstheme="minorHAnsi"/>
              </w:rPr>
              <w:t>Senegal (Republic of)</w:t>
            </w:r>
          </w:p>
        </w:tc>
      </w:tr>
      <w:tr w:rsidR="00AD3606" w:rsidRPr="00474505" w14:paraId="5DA031E7" w14:textId="77777777" w:rsidTr="00954C49">
        <w:trPr>
          <w:cantSplit/>
        </w:trPr>
        <w:tc>
          <w:tcPr>
            <w:tcW w:w="9214" w:type="dxa"/>
            <w:gridSpan w:val="2"/>
            <w:tcMar>
              <w:left w:w="0" w:type="dxa"/>
            </w:tcMar>
          </w:tcPr>
          <w:p w14:paraId="5144F60D" w14:textId="557F7907" w:rsidR="00AD3606" w:rsidRPr="00CA3E59" w:rsidRDefault="00CA3E59" w:rsidP="003E010B">
            <w:pPr>
              <w:spacing w:after="120"/>
              <w:jc w:val="both"/>
              <w:rPr>
                <w:rFonts w:asciiTheme="minorHAnsi" w:eastAsiaTheme="majorEastAsia" w:hAnsiTheme="minorHAnsi" w:cstheme="minorHAnsi"/>
                <w:kern w:val="28"/>
                <w:sz w:val="32"/>
                <w:szCs w:val="32"/>
              </w:rPr>
            </w:pPr>
            <w:bookmarkStart w:id="9" w:name="dtitle1" w:colFirst="0" w:colLast="0"/>
            <w:bookmarkEnd w:id="8"/>
            <w:r w:rsidRPr="00CA3E59">
              <w:rPr>
                <w:rFonts w:asciiTheme="minorHAnsi" w:eastAsiaTheme="majorEastAsia" w:hAnsiTheme="minorHAnsi" w:cstheme="minorHAnsi"/>
                <w:kern w:val="28"/>
                <w:sz w:val="32"/>
                <w:szCs w:val="32"/>
              </w:rPr>
              <w:t>BUSINESS CONTINUITY OF COUNCIL WORKING GROUP MEETINGS</w:t>
            </w:r>
          </w:p>
        </w:tc>
      </w:tr>
      <w:tr w:rsidR="00AD3606" w:rsidRPr="00474505"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474505" w:rsidRDefault="00F16BAB" w:rsidP="00954C49">
            <w:pPr>
              <w:spacing w:before="160"/>
              <w:rPr>
                <w:rFonts w:asciiTheme="minorHAnsi" w:hAnsiTheme="minorHAnsi" w:cstheme="minorHAnsi"/>
                <w:b/>
                <w:bCs/>
                <w:sz w:val="26"/>
                <w:szCs w:val="26"/>
              </w:rPr>
            </w:pPr>
            <w:r w:rsidRPr="00474505">
              <w:rPr>
                <w:rFonts w:asciiTheme="minorHAnsi" w:hAnsiTheme="minorHAnsi" w:cstheme="minorHAnsi"/>
                <w:b/>
                <w:bCs/>
                <w:sz w:val="26"/>
                <w:szCs w:val="26"/>
              </w:rPr>
              <w:t>Purpose</w:t>
            </w:r>
          </w:p>
          <w:p w14:paraId="0619649F" w14:textId="77777777" w:rsidR="00EF3375" w:rsidRPr="00474505" w:rsidRDefault="00EF3375" w:rsidP="00E85A5D">
            <w:pPr>
              <w:snapToGrid w:val="0"/>
              <w:spacing w:after="120"/>
              <w:jc w:val="both"/>
              <w:rPr>
                <w:rFonts w:asciiTheme="minorHAnsi" w:hAnsiTheme="minorHAnsi" w:cstheme="minorHAnsi"/>
                <w:szCs w:val="24"/>
              </w:rPr>
            </w:pPr>
            <w:r w:rsidRPr="00474505">
              <w:rPr>
                <w:rFonts w:asciiTheme="minorHAnsi" w:hAnsiTheme="minorHAnsi" w:cstheme="minorHAnsi"/>
                <w:szCs w:val="24"/>
              </w:rPr>
              <w:t>In light of the anticipated unavailability of meeting facilities at ITU headquarters during the implementation of the new building construction project, and considering the key role of the Council Working Groups (CWGs) in supporting the Council’s decision-making process, particularly with regard to the Strategic Plan, the Financial Plan and the decisions of the Plenipotentiary Conferences, the planning and organization of their meetings may be adversely affected.</w:t>
            </w:r>
          </w:p>
          <w:p w14:paraId="1735DE76" w14:textId="77777777" w:rsidR="00EF3375" w:rsidRPr="00474505" w:rsidRDefault="00EF3375" w:rsidP="00E85A5D">
            <w:pPr>
              <w:snapToGrid w:val="0"/>
              <w:spacing w:after="120"/>
              <w:jc w:val="both"/>
              <w:rPr>
                <w:rFonts w:asciiTheme="minorHAnsi" w:hAnsiTheme="minorHAnsi" w:cstheme="minorHAnsi"/>
                <w:szCs w:val="24"/>
              </w:rPr>
            </w:pPr>
            <w:r w:rsidRPr="00474505">
              <w:rPr>
                <w:rFonts w:asciiTheme="minorHAnsi" w:hAnsiTheme="minorHAnsi" w:cstheme="minorHAnsi"/>
                <w:szCs w:val="24"/>
              </w:rPr>
              <w:t>In this context, it is necessary for the Council to take appropriate measures to ensure the continuity of the work of the CWGs under suitable conditions.</w:t>
            </w:r>
          </w:p>
          <w:p w14:paraId="63754448" w14:textId="77777777" w:rsidR="00AD3606" w:rsidRPr="00474505" w:rsidRDefault="00AD3606" w:rsidP="00954C49">
            <w:pPr>
              <w:spacing w:before="160"/>
              <w:rPr>
                <w:rFonts w:asciiTheme="minorHAnsi" w:hAnsiTheme="minorHAnsi" w:cstheme="minorHAnsi"/>
                <w:b/>
                <w:bCs/>
                <w:sz w:val="26"/>
                <w:szCs w:val="26"/>
              </w:rPr>
            </w:pPr>
            <w:r w:rsidRPr="00474505">
              <w:rPr>
                <w:rFonts w:asciiTheme="minorHAnsi" w:hAnsiTheme="minorHAnsi" w:cstheme="minorHAnsi"/>
                <w:b/>
                <w:bCs/>
                <w:sz w:val="26"/>
                <w:szCs w:val="26"/>
              </w:rPr>
              <w:t>Action required</w:t>
            </w:r>
            <w:r w:rsidR="00F16BAB" w:rsidRPr="00474505">
              <w:rPr>
                <w:rFonts w:asciiTheme="minorHAnsi" w:hAnsiTheme="minorHAnsi" w:cstheme="minorHAnsi"/>
                <w:b/>
                <w:bCs/>
                <w:sz w:val="26"/>
                <w:szCs w:val="26"/>
              </w:rPr>
              <w:t xml:space="preserve"> by the Council</w:t>
            </w:r>
          </w:p>
          <w:p w14:paraId="67630361" w14:textId="07883416" w:rsidR="00473F13" w:rsidRPr="00474505" w:rsidRDefault="00EF3375" w:rsidP="00E85A5D">
            <w:pPr>
              <w:jc w:val="both"/>
              <w:rPr>
                <w:rFonts w:asciiTheme="minorHAnsi" w:hAnsiTheme="minorHAnsi" w:cstheme="minorHAnsi"/>
                <w:szCs w:val="24"/>
              </w:rPr>
            </w:pPr>
            <w:r w:rsidRPr="00474505">
              <w:rPr>
                <w:rFonts w:asciiTheme="minorHAnsi" w:hAnsiTheme="minorHAnsi" w:cstheme="minorHAnsi"/>
                <w:szCs w:val="24"/>
              </w:rPr>
              <w:t xml:space="preserve">The Council is invited </w:t>
            </w:r>
            <w:r w:rsidRPr="00E85A5D">
              <w:rPr>
                <w:rFonts w:asciiTheme="minorHAnsi" w:hAnsiTheme="minorHAnsi" w:cstheme="minorHAnsi"/>
                <w:b/>
                <w:bCs/>
                <w:szCs w:val="24"/>
              </w:rPr>
              <w:t>to consider</w:t>
            </w:r>
            <w:r w:rsidRPr="00474505">
              <w:rPr>
                <w:rFonts w:asciiTheme="minorHAnsi" w:hAnsiTheme="minorHAnsi" w:cstheme="minorHAnsi"/>
                <w:szCs w:val="24"/>
              </w:rPr>
              <w:t xml:space="preserve"> and </w:t>
            </w:r>
            <w:r w:rsidRPr="00E85A5D">
              <w:rPr>
                <w:rFonts w:asciiTheme="minorHAnsi" w:hAnsiTheme="minorHAnsi" w:cstheme="minorHAnsi"/>
                <w:b/>
                <w:bCs/>
                <w:szCs w:val="24"/>
              </w:rPr>
              <w:t>take appropriate action</w:t>
            </w:r>
            <w:r w:rsidRPr="00474505">
              <w:rPr>
                <w:rFonts w:asciiTheme="minorHAnsi" w:hAnsiTheme="minorHAnsi" w:cstheme="minorHAnsi"/>
                <w:szCs w:val="24"/>
              </w:rPr>
              <w:t>.</w:t>
            </w:r>
          </w:p>
          <w:p w14:paraId="08F2A353" w14:textId="77777777" w:rsidR="00C0458D" w:rsidRPr="00474505" w:rsidRDefault="00C0458D" w:rsidP="00954C49">
            <w:pPr>
              <w:rPr>
                <w:rFonts w:asciiTheme="minorHAnsi" w:hAnsiTheme="minorHAnsi" w:cstheme="minorHAnsi"/>
              </w:rPr>
            </w:pPr>
            <w:r w:rsidRPr="00474505">
              <w:rPr>
                <w:rFonts w:asciiTheme="minorHAnsi" w:hAnsiTheme="minorHAnsi" w:cstheme="minorHAnsi"/>
              </w:rPr>
              <w:t>_______________</w:t>
            </w:r>
          </w:p>
          <w:p w14:paraId="5F705648" w14:textId="77777777" w:rsidR="00AD3606" w:rsidRPr="00474505" w:rsidRDefault="00AD3606" w:rsidP="00954C49">
            <w:pPr>
              <w:spacing w:before="160"/>
              <w:rPr>
                <w:rFonts w:asciiTheme="minorHAnsi" w:hAnsiTheme="minorHAnsi" w:cstheme="minorHAnsi"/>
                <w:b/>
                <w:bCs/>
                <w:sz w:val="26"/>
                <w:szCs w:val="26"/>
              </w:rPr>
            </w:pPr>
            <w:r w:rsidRPr="00474505">
              <w:rPr>
                <w:rFonts w:asciiTheme="minorHAnsi" w:hAnsiTheme="minorHAnsi" w:cstheme="minorHAnsi"/>
                <w:b/>
                <w:bCs/>
                <w:sz w:val="26"/>
                <w:szCs w:val="26"/>
              </w:rPr>
              <w:t>References</w:t>
            </w:r>
          </w:p>
          <w:p w14:paraId="73AB02A7" w14:textId="7F90F58F" w:rsidR="00AD3606" w:rsidRPr="00E85A5D" w:rsidRDefault="00441FBE" w:rsidP="00FD486A">
            <w:pPr>
              <w:spacing w:after="120"/>
              <w:rPr>
                <w:rFonts w:asciiTheme="minorHAnsi" w:hAnsiTheme="minorHAnsi" w:cstheme="minorHAnsi"/>
                <w:i/>
                <w:iCs/>
                <w:sz w:val="20"/>
              </w:rPr>
            </w:pPr>
            <w:hyperlink r:id="rId8" w:history="1">
              <w:r w:rsidRPr="00E85A5D">
                <w:rPr>
                  <w:rStyle w:val="Hyperlink"/>
                  <w:rFonts w:asciiTheme="minorHAnsi" w:hAnsiTheme="minorHAnsi" w:cstheme="minorHAnsi"/>
                  <w:i/>
                  <w:iCs/>
                  <w:sz w:val="20"/>
                </w:rPr>
                <w:t xml:space="preserve">Council </w:t>
              </w:r>
              <w:r w:rsidR="00EF3375" w:rsidRPr="00E85A5D">
                <w:rPr>
                  <w:rStyle w:val="Hyperlink"/>
                  <w:rFonts w:asciiTheme="minorHAnsi" w:hAnsiTheme="minorHAnsi" w:cstheme="minorHAnsi"/>
                  <w:i/>
                  <w:iCs/>
                  <w:sz w:val="20"/>
                </w:rPr>
                <w:t>Resolution 1333</w:t>
              </w:r>
              <w:r w:rsidR="00EF3375" w:rsidRPr="00E85A5D">
                <w:rPr>
                  <w:rStyle w:val="Hyperlink"/>
                  <w:rFonts w:asciiTheme="minorHAnsi" w:hAnsiTheme="minorHAnsi" w:cstheme="minorHAnsi"/>
                  <w:i/>
                  <w:iCs/>
                  <w:sz w:val="20"/>
                  <w:lang w:eastAsia="zh-CN"/>
                </w:rPr>
                <w:t xml:space="preserve"> (</w:t>
              </w:r>
              <w:r w:rsidR="00FD486A">
                <w:rPr>
                  <w:rStyle w:val="Hyperlink"/>
                  <w:rFonts w:asciiTheme="minorHAnsi" w:hAnsiTheme="minorHAnsi" w:cstheme="minorHAnsi"/>
                  <w:i/>
                  <w:iCs/>
                  <w:sz w:val="20"/>
                  <w:lang w:eastAsia="zh-CN"/>
                </w:rPr>
                <w:t>C</w:t>
              </w:r>
              <w:r w:rsidR="00EF3375" w:rsidRPr="00E85A5D">
                <w:rPr>
                  <w:rStyle w:val="Hyperlink"/>
                  <w:rFonts w:asciiTheme="minorHAnsi" w:hAnsiTheme="minorHAnsi" w:cstheme="minorHAnsi"/>
                  <w:i/>
                  <w:iCs/>
                  <w:sz w:val="20"/>
                  <w:lang w:eastAsia="zh-CN"/>
                </w:rPr>
                <w:t xml:space="preserve">11, last amended </w:t>
              </w:r>
              <w:r w:rsidR="00FD486A">
                <w:rPr>
                  <w:rStyle w:val="Hyperlink"/>
                  <w:rFonts w:asciiTheme="minorHAnsi" w:hAnsiTheme="minorHAnsi" w:cstheme="minorHAnsi"/>
                  <w:i/>
                  <w:iCs/>
                  <w:sz w:val="20"/>
                  <w:lang w:eastAsia="zh-CN"/>
                </w:rPr>
                <w:t>C</w:t>
              </w:r>
              <w:r w:rsidR="00EF3375" w:rsidRPr="00E85A5D">
                <w:rPr>
                  <w:rStyle w:val="Hyperlink"/>
                  <w:rFonts w:asciiTheme="minorHAnsi" w:hAnsiTheme="minorHAnsi" w:cstheme="minorHAnsi"/>
                  <w:i/>
                  <w:iCs/>
                  <w:sz w:val="20"/>
                  <w:lang w:eastAsia="zh-CN"/>
                </w:rPr>
                <w:t>25)</w:t>
              </w:r>
            </w:hyperlink>
            <w:r w:rsidR="00FD486A">
              <w:rPr>
                <w:rFonts w:asciiTheme="minorHAnsi" w:hAnsiTheme="minorHAnsi" w:cstheme="minorHAnsi"/>
                <w:i/>
                <w:iCs/>
                <w:sz w:val="20"/>
                <w:lang w:eastAsia="zh-CN"/>
              </w:rPr>
              <w:t>,</w:t>
            </w:r>
            <w:r w:rsidR="00EF3375" w:rsidRPr="00E85A5D">
              <w:rPr>
                <w:rFonts w:asciiTheme="minorHAnsi" w:hAnsiTheme="minorHAnsi" w:cstheme="minorHAnsi"/>
                <w:i/>
                <w:iCs/>
                <w:sz w:val="20"/>
              </w:rPr>
              <w:t xml:space="preserve"> </w:t>
            </w:r>
            <w:hyperlink r:id="rId9" w:history="1">
              <w:r w:rsidR="00E85A5D" w:rsidRPr="00E85A5D">
                <w:rPr>
                  <w:rStyle w:val="Hyperlink"/>
                  <w:rFonts w:asciiTheme="minorHAnsi" w:hAnsiTheme="minorHAnsi" w:cstheme="minorHAnsi"/>
                  <w:i/>
                  <w:iCs/>
                  <w:sz w:val="20"/>
                </w:rPr>
                <w:t xml:space="preserve">Council </w:t>
              </w:r>
              <w:r w:rsidR="00EF3375" w:rsidRPr="00E85A5D">
                <w:rPr>
                  <w:rStyle w:val="Hyperlink"/>
                  <w:rFonts w:asciiTheme="minorHAnsi" w:hAnsiTheme="minorHAnsi" w:cstheme="minorHAnsi"/>
                  <w:i/>
                  <w:iCs/>
                  <w:sz w:val="20"/>
                </w:rPr>
                <w:t xml:space="preserve">Decision 643 </w:t>
              </w:r>
              <w:r w:rsidR="00EF3375" w:rsidRPr="00E85A5D">
                <w:rPr>
                  <w:rStyle w:val="Hyperlink"/>
                  <w:rFonts w:asciiTheme="minorHAnsi" w:hAnsiTheme="minorHAnsi" w:cstheme="minorHAnsi"/>
                  <w:i/>
                  <w:iCs/>
                  <w:sz w:val="20"/>
                  <w:lang w:eastAsia="zh-CN"/>
                </w:rPr>
                <w:t>(C25)</w:t>
              </w:r>
            </w:hyperlink>
            <w:r w:rsidR="00FD486A">
              <w:rPr>
                <w:rFonts w:asciiTheme="minorHAnsi" w:hAnsiTheme="minorHAnsi" w:cstheme="minorHAnsi"/>
                <w:i/>
                <w:iCs/>
                <w:sz w:val="20"/>
                <w:lang w:eastAsia="zh-CN"/>
              </w:rPr>
              <w:t>,</w:t>
            </w:r>
            <w:hyperlink r:id="rId10">
              <w:r w:rsidR="00EF3375" w:rsidRPr="00E85A5D">
                <w:rPr>
                  <w:rStyle w:val="Hyperlink"/>
                  <w:rFonts w:asciiTheme="minorHAnsi" w:hAnsiTheme="minorHAnsi" w:cstheme="minorHAnsi"/>
                  <w:i/>
                  <w:iCs/>
                  <w:sz w:val="20"/>
                </w:rPr>
                <w:t xml:space="preserve"> </w:t>
              </w:r>
              <w:r w:rsidR="00E85A5D" w:rsidRPr="00E85A5D">
                <w:rPr>
                  <w:rStyle w:val="Hyperlink"/>
                  <w:rFonts w:asciiTheme="minorHAnsi" w:hAnsiTheme="minorHAnsi" w:cstheme="minorHAnsi"/>
                  <w:i/>
                  <w:iCs/>
                  <w:sz w:val="20"/>
                </w:rPr>
                <w:t xml:space="preserve">Council </w:t>
              </w:r>
              <w:r w:rsidR="00EF3375" w:rsidRPr="00E85A5D">
                <w:rPr>
                  <w:rStyle w:val="Hyperlink"/>
                  <w:rFonts w:asciiTheme="minorHAnsi" w:hAnsiTheme="minorHAnsi" w:cstheme="minorHAnsi"/>
                  <w:i/>
                  <w:iCs/>
                  <w:sz w:val="20"/>
                </w:rPr>
                <w:t>Decision 64</w:t>
              </w:r>
              <w:r w:rsidR="00FD486A">
                <w:rPr>
                  <w:rStyle w:val="Hyperlink"/>
                  <w:rFonts w:asciiTheme="minorHAnsi" w:hAnsiTheme="minorHAnsi" w:cstheme="minorHAnsi"/>
                  <w:i/>
                  <w:iCs/>
                  <w:sz w:val="20"/>
                </w:rPr>
                <w:t>0(C24)</w:t>
              </w:r>
            </w:hyperlink>
            <w:r w:rsidR="00FD486A">
              <w:rPr>
                <w:rFonts w:asciiTheme="minorHAnsi" w:hAnsiTheme="minorHAnsi" w:cstheme="minorHAnsi"/>
                <w:i/>
                <w:iCs/>
                <w:sz w:val="20"/>
                <w:lang w:eastAsia="zh-CN"/>
              </w:rPr>
              <w:t>.</w:t>
            </w:r>
          </w:p>
        </w:tc>
      </w:tr>
    </w:tbl>
    <w:p w14:paraId="2A3CB862" w14:textId="77777777" w:rsidR="00E227F3" w:rsidRPr="00474505" w:rsidRDefault="00E227F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bookmarkStart w:id="10" w:name="_Hlk133421428"/>
      <w:bookmarkEnd w:id="2"/>
      <w:bookmarkEnd w:id="9"/>
    </w:p>
    <w:bookmarkEnd w:id="3"/>
    <w:bookmarkEnd w:id="4"/>
    <w:p w14:paraId="767A43FE" w14:textId="77777777" w:rsidR="0090147A" w:rsidRPr="00474505"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rPr>
      </w:pPr>
      <w:r w:rsidRPr="00474505">
        <w:rPr>
          <w:rFonts w:asciiTheme="minorHAnsi" w:hAnsiTheme="minorHAnsi" w:cstheme="minorHAnsi"/>
        </w:rPr>
        <w:br w:type="page"/>
      </w:r>
    </w:p>
    <w:bookmarkEnd w:id="5"/>
    <w:bookmarkEnd w:id="10"/>
    <w:p w14:paraId="7548FEAC" w14:textId="0A17BB58" w:rsidR="00EF3375" w:rsidRPr="00474505" w:rsidRDefault="00EF3375" w:rsidP="00474505">
      <w:pPr>
        <w:pStyle w:val="Heading1"/>
        <w:snapToGrid w:val="0"/>
        <w:spacing w:before="120" w:after="120"/>
        <w:jc w:val="both"/>
        <w:rPr>
          <w:rFonts w:asciiTheme="minorHAnsi" w:hAnsiTheme="minorHAnsi" w:cstheme="minorHAnsi"/>
          <w:sz w:val="24"/>
          <w:szCs w:val="24"/>
        </w:rPr>
      </w:pPr>
      <w:r w:rsidRPr="00474505">
        <w:rPr>
          <w:rFonts w:asciiTheme="minorHAnsi" w:hAnsiTheme="minorHAnsi" w:cstheme="minorHAnsi"/>
          <w:sz w:val="24"/>
          <w:szCs w:val="24"/>
        </w:rPr>
        <w:lastRenderedPageBreak/>
        <w:t xml:space="preserve">1. Background </w:t>
      </w:r>
    </w:p>
    <w:p w14:paraId="0C5F025A" w14:textId="77777777" w:rsidR="00EF3375" w:rsidRPr="00474505" w:rsidRDefault="00EF3375" w:rsidP="00474505">
      <w:pPr>
        <w:spacing w:after="120"/>
        <w:jc w:val="both"/>
        <w:rPr>
          <w:rFonts w:asciiTheme="minorHAnsi" w:hAnsiTheme="minorHAnsi" w:cstheme="minorHAnsi"/>
          <w:szCs w:val="24"/>
          <w:lang w:eastAsia="zh-CN"/>
        </w:rPr>
      </w:pPr>
      <w:r w:rsidRPr="00474505">
        <w:rPr>
          <w:rFonts w:asciiTheme="minorHAnsi" w:hAnsiTheme="minorHAnsi" w:cstheme="minorHAnsi"/>
          <w:szCs w:val="24"/>
          <w:lang w:eastAsia="zh-CN"/>
        </w:rPr>
        <w:t xml:space="preserve">The ITU Council acts pursuant to Articles 7 </w:t>
      </w:r>
      <w:r w:rsidRPr="00360ECE">
        <w:rPr>
          <w:rFonts w:asciiTheme="minorHAnsi" w:hAnsiTheme="minorHAnsi" w:cstheme="minorHAnsi"/>
          <w:szCs w:val="24"/>
          <w:lang w:eastAsia="zh-CN"/>
        </w:rPr>
        <w:t>and 10 of the ITU Constitution as</w:t>
      </w:r>
      <w:r w:rsidRPr="00474505">
        <w:rPr>
          <w:rFonts w:asciiTheme="minorHAnsi" w:hAnsiTheme="minorHAnsi" w:cstheme="minorHAnsi"/>
          <w:szCs w:val="24"/>
          <w:lang w:eastAsia="zh-CN"/>
        </w:rPr>
        <w:t xml:space="preserve"> the executive body of the Union between Plenipotentiary Conferences.</w:t>
      </w:r>
    </w:p>
    <w:p w14:paraId="33E9DF88" w14:textId="77777777" w:rsidR="00EF3375" w:rsidRPr="00474505" w:rsidRDefault="00EF3375" w:rsidP="00474505">
      <w:pPr>
        <w:spacing w:after="120"/>
        <w:jc w:val="both"/>
        <w:rPr>
          <w:rFonts w:asciiTheme="minorHAnsi" w:hAnsiTheme="minorHAnsi" w:cstheme="minorHAnsi"/>
          <w:szCs w:val="24"/>
          <w:lang w:eastAsia="zh-CN"/>
        </w:rPr>
      </w:pPr>
      <w:r w:rsidRPr="00474505">
        <w:rPr>
          <w:rFonts w:asciiTheme="minorHAnsi" w:hAnsiTheme="minorHAnsi" w:cstheme="minorHAnsi"/>
          <w:szCs w:val="24"/>
          <w:lang w:eastAsia="zh-CN"/>
        </w:rPr>
        <w:t>Council Resolution 1333 governs the establishment, management and termination of CWGs, which examine the Union’s priorities, provide advice to the Council, operate under clearly defined mandates, and ensure efficient and cost-effective meetings.</w:t>
      </w:r>
    </w:p>
    <w:p w14:paraId="2E313E06" w14:textId="77777777" w:rsidR="00EF3375" w:rsidRPr="00474505" w:rsidRDefault="00EF3375" w:rsidP="00474505">
      <w:pPr>
        <w:spacing w:after="120"/>
        <w:jc w:val="both"/>
        <w:rPr>
          <w:rFonts w:asciiTheme="minorHAnsi" w:hAnsiTheme="minorHAnsi" w:cstheme="minorHAnsi"/>
          <w:szCs w:val="24"/>
          <w:lang w:eastAsia="zh-CN"/>
        </w:rPr>
      </w:pPr>
      <w:r w:rsidRPr="00474505">
        <w:rPr>
          <w:rFonts w:asciiTheme="minorHAnsi" w:hAnsiTheme="minorHAnsi" w:cstheme="minorHAnsi"/>
          <w:szCs w:val="24"/>
          <w:lang w:eastAsia="zh-CN"/>
        </w:rPr>
        <w:t>Furthermore, Council decisions (notably Decisions 642 and 643) define meeting schedules and provide a framework for multi-year planning of CWG meeting series.</w:t>
      </w:r>
    </w:p>
    <w:p w14:paraId="322528F3" w14:textId="77777777" w:rsidR="00EF3375" w:rsidRPr="00474505" w:rsidRDefault="00EF3375" w:rsidP="00474505">
      <w:pPr>
        <w:spacing w:after="120"/>
        <w:jc w:val="both"/>
        <w:rPr>
          <w:rFonts w:asciiTheme="minorHAnsi" w:hAnsiTheme="minorHAnsi" w:cstheme="minorHAnsi"/>
          <w:szCs w:val="24"/>
          <w:lang w:eastAsia="zh-CN"/>
        </w:rPr>
      </w:pPr>
      <w:r w:rsidRPr="00474505">
        <w:rPr>
          <w:rFonts w:asciiTheme="minorHAnsi" w:hAnsiTheme="minorHAnsi" w:cstheme="minorHAnsi"/>
          <w:szCs w:val="24"/>
          <w:lang w:eastAsia="zh-CN"/>
        </w:rPr>
        <w:t>CWG clusters are closely linked to Council sessions and are usually held in person at ITU headquarters. However, at its June 2025 session, the Council considered several documents relating to the new ITU headquarters project and its financial and operational implications.</w:t>
      </w:r>
    </w:p>
    <w:p w14:paraId="56A0B1AA" w14:textId="086C8171" w:rsidR="00EF3375" w:rsidRPr="00474505" w:rsidRDefault="00EF3375" w:rsidP="00474505">
      <w:pPr>
        <w:spacing w:after="120"/>
        <w:jc w:val="both"/>
        <w:rPr>
          <w:rFonts w:asciiTheme="minorHAnsi" w:hAnsiTheme="minorHAnsi" w:cstheme="minorHAnsi"/>
          <w:szCs w:val="24"/>
          <w:lang w:eastAsia="zh-CN"/>
        </w:rPr>
      </w:pPr>
      <w:r w:rsidRPr="00474505">
        <w:rPr>
          <w:rFonts w:asciiTheme="minorHAnsi" w:hAnsiTheme="minorHAnsi" w:cstheme="minorHAnsi"/>
          <w:szCs w:val="24"/>
          <w:lang w:eastAsia="zh-CN"/>
        </w:rPr>
        <w:t xml:space="preserve">Reports submitted by the </w:t>
      </w:r>
      <w:r w:rsidR="00FD486A">
        <w:rPr>
          <w:rFonts w:asciiTheme="minorHAnsi" w:hAnsiTheme="minorHAnsi" w:cstheme="minorHAnsi"/>
          <w:szCs w:val="24"/>
          <w:lang w:eastAsia="zh-CN"/>
        </w:rPr>
        <w:t>s</w:t>
      </w:r>
      <w:r w:rsidRPr="00474505">
        <w:rPr>
          <w:rFonts w:asciiTheme="minorHAnsi" w:hAnsiTheme="minorHAnsi" w:cstheme="minorHAnsi"/>
          <w:szCs w:val="24"/>
          <w:lang w:eastAsia="zh-CN"/>
        </w:rPr>
        <w:t>ecretariat to the 2025 Council and its update to the CWG-FHR at its 21st meeting highlighted the challenges arising from the increasing pressure on the availability of conference facilities in Geneva between 1</w:t>
      </w:r>
      <w:r w:rsidRPr="00474505">
        <w:rPr>
          <w:rFonts w:asciiTheme="minorHAnsi" w:hAnsiTheme="minorHAnsi" w:cstheme="minorHAnsi"/>
          <w:szCs w:val="24"/>
          <w:vertAlign w:val="superscript"/>
          <w:lang w:eastAsia="zh-CN"/>
        </w:rPr>
        <w:t>st</w:t>
      </w:r>
      <w:r w:rsidRPr="00474505">
        <w:rPr>
          <w:rFonts w:asciiTheme="minorHAnsi" w:hAnsiTheme="minorHAnsi" w:cstheme="minorHAnsi"/>
          <w:szCs w:val="24"/>
          <w:lang w:eastAsia="zh-CN"/>
        </w:rPr>
        <w:t xml:space="preserve"> October 2028 and December 2029, as well as the additional costs associated with renting external premises and the need to adopt financially sustainable solutions to ensure business continuity.</w:t>
      </w:r>
    </w:p>
    <w:p w14:paraId="6DCCBA38" w14:textId="7A4F37F6" w:rsidR="00EF3375" w:rsidRPr="00474505" w:rsidRDefault="00EF3375" w:rsidP="00474505">
      <w:pPr>
        <w:spacing w:after="120"/>
        <w:jc w:val="both"/>
        <w:rPr>
          <w:rFonts w:asciiTheme="minorHAnsi" w:hAnsiTheme="minorHAnsi" w:cstheme="minorHAnsi"/>
          <w:szCs w:val="24"/>
          <w:lang w:val="en-US" w:eastAsia="zh-CN"/>
        </w:rPr>
      </w:pPr>
      <w:r w:rsidRPr="00474505">
        <w:rPr>
          <w:rFonts w:asciiTheme="minorHAnsi" w:hAnsiTheme="minorHAnsi" w:cstheme="minorHAnsi"/>
          <w:szCs w:val="24"/>
          <w:lang w:val="en-US" w:eastAsia="zh-CN"/>
        </w:rPr>
        <w:t xml:space="preserve">Through </w:t>
      </w:r>
      <w:r w:rsidRPr="004220A5">
        <w:rPr>
          <w:rFonts w:asciiTheme="minorHAnsi" w:hAnsiTheme="minorHAnsi" w:cstheme="minorHAnsi"/>
          <w:szCs w:val="24"/>
          <w:lang w:val="en-US" w:eastAsia="zh-CN"/>
        </w:rPr>
        <w:t xml:space="preserve">document </w:t>
      </w:r>
      <w:hyperlink r:id="rId11" w:history="1">
        <w:r w:rsidRPr="00FD486A">
          <w:rPr>
            <w:rStyle w:val="Hyperlink"/>
            <w:rFonts w:asciiTheme="minorHAnsi" w:hAnsiTheme="minorHAnsi" w:cstheme="minorHAnsi"/>
            <w:szCs w:val="24"/>
            <w:lang w:val="en-US" w:eastAsia="zh-CN"/>
          </w:rPr>
          <w:t>C26/65</w:t>
        </w:r>
      </w:hyperlink>
      <w:r w:rsidRPr="004220A5">
        <w:rPr>
          <w:rFonts w:asciiTheme="minorHAnsi" w:hAnsiTheme="minorHAnsi" w:cstheme="minorHAnsi"/>
          <w:szCs w:val="24"/>
          <w:lang w:val="en-US" w:eastAsia="zh-CN"/>
        </w:rPr>
        <w:t xml:space="preserve"> submitted</w:t>
      </w:r>
      <w:r w:rsidRPr="00474505">
        <w:rPr>
          <w:rFonts w:asciiTheme="minorHAnsi" w:hAnsiTheme="minorHAnsi" w:cstheme="minorHAnsi"/>
          <w:szCs w:val="24"/>
          <w:lang w:val="en-US" w:eastAsia="zh-CN"/>
        </w:rPr>
        <w:t xml:space="preserve"> to ADM, the </w:t>
      </w:r>
      <w:r w:rsidR="00FD486A">
        <w:rPr>
          <w:rFonts w:asciiTheme="minorHAnsi" w:hAnsiTheme="minorHAnsi" w:cstheme="minorHAnsi"/>
          <w:szCs w:val="24"/>
          <w:lang w:val="en-US" w:eastAsia="zh-CN"/>
        </w:rPr>
        <w:t>s</w:t>
      </w:r>
      <w:r w:rsidRPr="00474505">
        <w:rPr>
          <w:rFonts w:asciiTheme="minorHAnsi" w:hAnsiTheme="minorHAnsi" w:cstheme="minorHAnsi"/>
          <w:szCs w:val="24"/>
          <w:lang w:val="en-US" w:eastAsia="zh-CN"/>
        </w:rPr>
        <w:t>ecretariat proposes a reduction in the frequency of CWG meetings, as well as the discontinuation of discussions with the United Arab Emirates and Kenya regarding the hosting of an ITU meeting hub, citing difficulties in securing meeting venues in Geneva, notably due to financial constraints and the unavailability of meeting facilities.</w:t>
      </w:r>
    </w:p>
    <w:p w14:paraId="6210F306" w14:textId="40B67F2E" w:rsidR="00EF3375" w:rsidRPr="00474505" w:rsidRDefault="00773959" w:rsidP="00474505">
      <w:pPr>
        <w:snapToGrid w:val="0"/>
        <w:spacing w:before="360" w:after="120"/>
        <w:jc w:val="both"/>
        <w:rPr>
          <w:rFonts w:asciiTheme="minorHAnsi" w:eastAsiaTheme="majorEastAsia" w:hAnsiTheme="minorHAnsi" w:cstheme="minorHAnsi"/>
          <w:b/>
          <w:bCs/>
          <w:szCs w:val="24"/>
        </w:rPr>
      </w:pPr>
      <w:r>
        <w:rPr>
          <w:rFonts w:asciiTheme="minorHAnsi" w:eastAsiaTheme="majorEastAsia" w:hAnsiTheme="minorHAnsi" w:cstheme="minorHAnsi"/>
          <w:b/>
          <w:bCs/>
          <w:szCs w:val="24"/>
        </w:rPr>
        <w:t xml:space="preserve">2. </w:t>
      </w:r>
      <w:r w:rsidR="00EF3375" w:rsidRPr="00474505">
        <w:rPr>
          <w:rFonts w:asciiTheme="minorHAnsi" w:eastAsiaTheme="majorEastAsia" w:hAnsiTheme="minorHAnsi" w:cstheme="minorHAnsi"/>
          <w:b/>
          <w:bCs/>
          <w:szCs w:val="24"/>
        </w:rPr>
        <w:t>Continuity Challenges and Institutional Risks Affecting CWG Clusters</w:t>
      </w:r>
    </w:p>
    <w:p w14:paraId="3F48109C" w14:textId="77777777" w:rsidR="00EF3375" w:rsidRPr="00474505" w:rsidRDefault="00EF3375" w:rsidP="00474505">
      <w:pPr>
        <w:snapToGrid w:val="0"/>
        <w:spacing w:after="120"/>
        <w:jc w:val="both"/>
        <w:rPr>
          <w:rFonts w:asciiTheme="minorHAnsi" w:hAnsiTheme="minorHAnsi" w:cstheme="minorHAnsi"/>
          <w:szCs w:val="24"/>
        </w:rPr>
      </w:pPr>
      <w:proofErr w:type="gramStart"/>
      <w:r w:rsidRPr="00474505">
        <w:rPr>
          <w:rFonts w:asciiTheme="minorHAnsi" w:hAnsiTheme="minorHAnsi" w:cstheme="minorHAnsi"/>
          <w:szCs w:val="24"/>
        </w:rPr>
        <w:t>In light of</w:t>
      </w:r>
      <w:proofErr w:type="gramEnd"/>
      <w:r w:rsidRPr="00474505">
        <w:rPr>
          <w:rFonts w:asciiTheme="minorHAnsi" w:hAnsiTheme="minorHAnsi" w:cstheme="minorHAnsi"/>
          <w:szCs w:val="24"/>
        </w:rPr>
        <w:t xml:space="preserve"> the demolition and reconstruction works at ITU headquarters, the series of CWG meetings may be subject to certain constraints arising from the anticipated unavailability of meeting facilities in Geneva from 1</w:t>
      </w:r>
      <w:r w:rsidRPr="00474505">
        <w:rPr>
          <w:rFonts w:asciiTheme="minorHAnsi" w:hAnsiTheme="minorHAnsi" w:cstheme="minorHAnsi"/>
          <w:szCs w:val="24"/>
          <w:vertAlign w:val="superscript"/>
        </w:rPr>
        <w:t>st</w:t>
      </w:r>
      <w:r w:rsidRPr="00474505">
        <w:rPr>
          <w:rFonts w:asciiTheme="minorHAnsi" w:hAnsiTheme="minorHAnsi" w:cstheme="minorHAnsi"/>
          <w:szCs w:val="24"/>
        </w:rPr>
        <w:t xml:space="preserve"> October 2028 and potentially throughout 2029. This situation, together with the limited availability of alternative facilities in Geneva, may entail additional costs that are not currently reflected in the Union’s budget. In addition, the limited availability of detailed and comparative financial data may make it more challenging to fully assess the overall budgetary implications.</w:t>
      </w:r>
    </w:p>
    <w:p w14:paraId="4AB20BEF" w14:textId="77777777" w:rsidR="00EF3375" w:rsidRPr="00474505" w:rsidRDefault="00EF3375" w:rsidP="00474505">
      <w:pPr>
        <w:snapToGrid w:val="0"/>
        <w:spacing w:after="120"/>
        <w:jc w:val="both"/>
        <w:rPr>
          <w:rFonts w:asciiTheme="minorHAnsi" w:hAnsiTheme="minorHAnsi" w:cstheme="minorHAnsi"/>
          <w:szCs w:val="24"/>
        </w:rPr>
      </w:pPr>
      <w:r w:rsidRPr="00474505">
        <w:rPr>
          <w:rFonts w:asciiTheme="minorHAnsi" w:hAnsiTheme="minorHAnsi" w:cstheme="minorHAnsi"/>
          <w:szCs w:val="24"/>
        </w:rPr>
        <w:t>Beyond logistical considerations, this context may also give rise to certain institutional considerations. As key bodies supporting the Council, the CWGs contribute significantly to the technical, financial and strategic preparation of decisions. Any potential disruption to their work could have implications for the timeliness of preparations, the quality of analyses, and the continuity of consultations among Member States.</w:t>
      </w:r>
    </w:p>
    <w:p w14:paraId="2B80B2CE" w14:textId="77777777" w:rsidR="00EF3375" w:rsidRPr="00474505" w:rsidRDefault="00EF3375" w:rsidP="00474505">
      <w:pPr>
        <w:snapToGrid w:val="0"/>
        <w:spacing w:after="120"/>
        <w:jc w:val="both"/>
        <w:rPr>
          <w:rFonts w:asciiTheme="minorHAnsi" w:hAnsiTheme="minorHAnsi" w:cstheme="minorHAnsi"/>
          <w:szCs w:val="24"/>
        </w:rPr>
      </w:pPr>
      <w:r w:rsidRPr="00474505">
        <w:rPr>
          <w:rFonts w:asciiTheme="minorHAnsi" w:hAnsiTheme="minorHAnsi" w:cstheme="minorHAnsi"/>
          <w:szCs w:val="24"/>
        </w:rPr>
        <w:t>In turn, this may have an impact on the functioning of the Council, which serves as the sole decision-making body of the ITU between Plenipotentiary Conferences and operates within a limited timeframe. In the absence of sufficient preparatory input from the CWGs, the Council may need to address complex matters under more constrained conditions, which could influence the efficiency and transparency of the decision-making process, as well as the overall governance of the Union.</w:t>
      </w:r>
    </w:p>
    <w:p w14:paraId="035860A8" w14:textId="087D6085" w:rsidR="00EF3375" w:rsidRPr="00474505" w:rsidRDefault="00773959" w:rsidP="00474505">
      <w:pPr>
        <w:keepNext/>
        <w:keepLines/>
        <w:snapToGrid w:val="0"/>
        <w:spacing w:before="360" w:after="120"/>
        <w:jc w:val="both"/>
        <w:rPr>
          <w:rFonts w:asciiTheme="minorHAnsi" w:hAnsiTheme="minorHAnsi" w:cstheme="minorHAnsi"/>
          <w:szCs w:val="24"/>
        </w:rPr>
      </w:pPr>
      <w:r>
        <w:rPr>
          <w:rFonts w:asciiTheme="minorHAnsi" w:eastAsiaTheme="majorEastAsia" w:hAnsiTheme="minorHAnsi" w:cstheme="minorHAnsi"/>
          <w:b/>
          <w:bCs/>
          <w:szCs w:val="24"/>
        </w:rPr>
        <w:lastRenderedPageBreak/>
        <w:t xml:space="preserve">3. </w:t>
      </w:r>
      <w:r w:rsidR="00EF3375" w:rsidRPr="00474505">
        <w:rPr>
          <w:rFonts w:asciiTheme="minorHAnsi" w:eastAsiaTheme="majorEastAsia" w:hAnsiTheme="minorHAnsi" w:cstheme="minorHAnsi"/>
          <w:b/>
          <w:bCs/>
          <w:szCs w:val="24"/>
        </w:rPr>
        <w:t>Proposal</w:t>
      </w:r>
      <w:r w:rsidR="00EF3375" w:rsidRPr="00474505">
        <w:rPr>
          <w:rFonts w:asciiTheme="minorHAnsi" w:hAnsiTheme="minorHAnsi" w:cstheme="minorHAnsi"/>
          <w:szCs w:val="24"/>
        </w:rPr>
        <w:t xml:space="preserve"> </w:t>
      </w:r>
    </w:p>
    <w:p w14:paraId="7080BC02" w14:textId="77777777" w:rsidR="00EF3375" w:rsidRPr="00474505" w:rsidRDefault="00EF3375" w:rsidP="00474505">
      <w:pPr>
        <w:keepNext/>
        <w:keepLines/>
        <w:snapToGrid w:val="0"/>
        <w:spacing w:after="120"/>
        <w:jc w:val="both"/>
        <w:rPr>
          <w:rFonts w:asciiTheme="minorHAnsi" w:hAnsiTheme="minorHAnsi" w:cstheme="minorHAnsi"/>
          <w:szCs w:val="24"/>
        </w:rPr>
      </w:pPr>
      <w:r w:rsidRPr="00474505">
        <w:rPr>
          <w:rFonts w:asciiTheme="minorHAnsi" w:hAnsiTheme="minorHAnsi" w:cstheme="minorHAnsi"/>
          <w:szCs w:val="24"/>
        </w:rPr>
        <w:t>The Council is invited to consider, at its 2026 session, the modalities and options for organizing CWG meetings for the period 2028–2029.</w:t>
      </w:r>
    </w:p>
    <w:p w14:paraId="4935A80E" w14:textId="6E349DB8" w:rsidR="00441FBE" w:rsidRDefault="00EF3375" w:rsidP="00441FBE">
      <w:pPr>
        <w:snapToGrid w:val="0"/>
        <w:spacing w:after="120"/>
        <w:jc w:val="both"/>
        <w:rPr>
          <w:rFonts w:asciiTheme="minorHAnsi" w:hAnsiTheme="minorHAnsi" w:cstheme="minorHAnsi"/>
          <w:szCs w:val="24"/>
          <w:lang w:val="en-US"/>
        </w:rPr>
      </w:pPr>
      <w:r w:rsidRPr="00474505">
        <w:rPr>
          <w:rFonts w:asciiTheme="minorHAnsi" w:hAnsiTheme="minorHAnsi" w:cstheme="minorHAnsi"/>
          <w:szCs w:val="24"/>
          <w:lang w:val="en-US"/>
        </w:rPr>
        <w:t xml:space="preserve">In this regard, the Council may wish to invite the </w:t>
      </w:r>
      <w:r w:rsidR="00FD486A">
        <w:rPr>
          <w:rFonts w:asciiTheme="minorHAnsi" w:hAnsiTheme="minorHAnsi" w:cstheme="minorHAnsi"/>
          <w:szCs w:val="24"/>
          <w:lang w:val="en-US"/>
        </w:rPr>
        <w:t>s</w:t>
      </w:r>
      <w:r w:rsidRPr="00474505">
        <w:rPr>
          <w:rFonts w:asciiTheme="minorHAnsi" w:hAnsiTheme="minorHAnsi" w:cstheme="minorHAnsi"/>
          <w:szCs w:val="24"/>
          <w:lang w:val="en-US"/>
        </w:rPr>
        <w:t>ecretariat to provide a detailed comparative financial analysis, including potential funding options, and to explore a pragmatic, blended approach involving the use of facilities in Switzerland outside Geneva, as well as the possible establishment of meeting hubs with the support of interested Member States, with a view to ensuring the continuity of CWG activities under financially sustainable conditions</w:t>
      </w:r>
      <w:r w:rsidR="00441FBE">
        <w:rPr>
          <w:rFonts w:asciiTheme="minorHAnsi" w:hAnsiTheme="minorHAnsi" w:cstheme="minorHAnsi"/>
          <w:szCs w:val="24"/>
          <w:lang w:val="en-US"/>
        </w:rPr>
        <w:t xml:space="preserve">. </w:t>
      </w:r>
    </w:p>
    <w:p w14:paraId="77EFAA5E" w14:textId="48B61782" w:rsidR="00441FBE" w:rsidRPr="00441FBE" w:rsidRDefault="00441FBE" w:rsidP="00441FBE">
      <w:pPr>
        <w:snapToGrid w:val="0"/>
        <w:spacing w:before="600" w:after="120"/>
        <w:jc w:val="center"/>
        <w:rPr>
          <w:rFonts w:asciiTheme="minorHAnsi" w:hAnsiTheme="minorHAnsi" w:cstheme="minorHAnsi"/>
          <w:szCs w:val="24"/>
        </w:rPr>
      </w:pPr>
      <w:r w:rsidRPr="00441FBE">
        <w:rPr>
          <w:rFonts w:asciiTheme="minorHAnsi" w:hAnsiTheme="minorHAnsi" w:cstheme="minorHAnsi"/>
          <w:szCs w:val="24"/>
        </w:rPr>
        <w:t>_______________</w:t>
      </w:r>
    </w:p>
    <w:sectPr w:rsidR="00441FBE" w:rsidRPr="00441FBE"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5289" w14:textId="77777777" w:rsidR="00470F31" w:rsidRDefault="00470F31">
      <w:r>
        <w:separator/>
      </w:r>
    </w:p>
  </w:endnote>
  <w:endnote w:type="continuationSeparator" w:id="0">
    <w:p w14:paraId="216CD253" w14:textId="77777777" w:rsidR="00470F31" w:rsidRDefault="0047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rsidTr="0042469C">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22BD715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85A5D">
            <w:rPr>
              <w:bCs/>
            </w:rPr>
            <w:t>105</w:t>
          </w:r>
          <w:r w:rsidRPr="00623AE3">
            <w:rPr>
              <w:bCs/>
            </w:rPr>
            <w:t>-E</w:t>
          </w:r>
          <w:r>
            <w:rPr>
              <w:bCs/>
            </w:rPr>
            <w:tab/>
          </w:r>
          <w:r>
            <w:fldChar w:fldCharType="begin"/>
          </w:r>
          <w:r>
            <w:instrText>PAGE</w:instrText>
          </w:r>
          <w:r>
            <w:fldChar w:fldCharType="separate"/>
          </w:r>
          <w:r>
            <w:t>1</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FAB3B16" w14:textId="383F475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85A5D">
            <w:rPr>
              <w:bCs/>
            </w:rPr>
            <w:t>105</w:t>
          </w:r>
          <w:r w:rsidRPr="00623AE3">
            <w:rPr>
              <w:bCs/>
            </w:rPr>
            <w:t>-E</w:t>
          </w:r>
          <w:r>
            <w:rPr>
              <w:bCs/>
            </w:rPr>
            <w:tab/>
          </w:r>
          <w:r>
            <w:fldChar w:fldCharType="begin"/>
          </w:r>
          <w:r>
            <w:instrText>PAGE</w:instrText>
          </w:r>
          <w:r>
            <w:fldChar w:fldCharType="separate"/>
          </w:r>
          <w: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0CED" w14:textId="77777777" w:rsidR="00470F31" w:rsidRDefault="00470F31">
      <w:r>
        <w:t>____________________</w:t>
      </w:r>
    </w:p>
  </w:footnote>
  <w:footnote w:type="continuationSeparator" w:id="0">
    <w:p w14:paraId="2FF3F6B1" w14:textId="77777777" w:rsidR="00470F31" w:rsidRDefault="0047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D65153"/>
    <w:multiLevelType w:val="multilevel"/>
    <w:tmpl w:val="56C6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2166"/>
    <w:multiLevelType w:val="hybridMultilevel"/>
    <w:tmpl w:val="0A829D8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368C5FC0"/>
    <w:multiLevelType w:val="hybridMultilevel"/>
    <w:tmpl w:val="26B07DAA"/>
    <w:lvl w:ilvl="0" w:tplc="FC80515A">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E2E1E00"/>
    <w:multiLevelType w:val="hybridMultilevel"/>
    <w:tmpl w:val="3058207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7799414">
    <w:abstractNumId w:val="2"/>
  </w:num>
  <w:num w:numId="3" w16cid:durableId="733814945">
    <w:abstractNumId w:val="4"/>
  </w:num>
  <w:num w:numId="4" w16cid:durableId="232356472">
    <w:abstractNumId w:val="3"/>
  </w:num>
  <w:num w:numId="5" w16cid:durableId="49560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2"/>
    <w:rsid w:val="000210D4"/>
    <w:rsid w:val="0006007D"/>
    <w:rsid w:val="00063016"/>
    <w:rsid w:val="00066795"/>
    <w:rsid w:val="00076AF6"/>
    <w:rsid w:val="00085CF2"/>
    <w:rsid w:val="000B1705"/>
    <w:rsid w:val="000C71E1"/>
    <w:rsid w:val="000D75B2"/>
    <w:rsid w:val="000E372C"/>
    <w:rsid w:val="000F5DDB"/>
    <w:rsid w:val="001121F5"/>
    <w:rsid w:val="001400DC"/>
    <w:rsid w:val="00140CE1"/>
    <w:rsid w:val="0015189A"/>
    <w:rsid w:val="001576F2"/>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34BEF"/>
    <w:rsid w:val="00360ECE"/>
    <w:rsid w:val="00361465"/>
    <w:rsid w:val="003845D3"/>
    <w:rsid w:val="003877F5"/>
    <w:rsid w:val="003936D3"/>
    <w:rsid w:val="003942D4"/>
    <w:rsid w:val="003958A8"/>
    <w:rsid w:val="003B29C2"/>
    <w:rsid w:val="003B4FAF"/>
    <w:rsid w:val="003C1959"/>
    <w:rsid w:val="003C2533"/>
    <w:rsid w:val="003D5A7F"/>
    <w:rsid w:val="003E010B"/>
    <w:rsid w:val="003F0228"/>
    <w:rsid w:val="0040435A"/>
    <w:rsid w:val="00416A24"/>
    <w:rsid w:val="004220A5"/>
    <w:rsid w:val="00431D9E"/>
    <w:rsid w:val="00433CE8"/>
    <w:rsid w:val="00434A5C"/>
    <w:rsid w:val="00441FBE"/>
    <w:rsid w:val="00453079"/>
    <w:rsid w:val="004544D9"/>
    <w:rsid w:val="00465C35"/>
    <w:rsid w:val="00470F31"/>
    <w:rsid w:val="00472BAD"/>
    <w:rsid w:val="00473F13"/>
    <w:rsid w:val="00474505"/>
    <w:rsid w:val="00484009"/>
    <w:rsid w:val="00490E72"/>
    <w:rsid w:val="00491157"/>
    <w:rsid w:val="00491BA9"/>
    <w:rsid w:val="004921C8"/>
    <w:rsid w:val="0049369C"/>
    <w:rsid w:val="00495615"/>
    <w:rsid w:val="00495B0B"/>
    <w:rsid w:val="004A1B8B"/>
    <w:rsid w:val="004D1851"/>
    <w:rsid w:val="004D599D"/>
    <w:rsid w:val="004E2EA5"/>
    <w:rsid w:val="004E3AEB"/>
    <w:rsid w:val="00501CB0"/>
    <w:rsid w:val="0050223C"/>
    <w:rsid w:val="00512087"/>
    <w:rsid w:val="005243FF"/>
    <w:rsid w:val="00564FBC"/>
    <w:rsid w:val="005800BC"/>
    <w:rsid w:val="00582442"/>
    <w:rsid w:val="005F3269"/>
    <w:rsid w:val="00607997"/>
    <w:rsid w:val="0061071E"/>
    <w:rsid w:val="00623AE3"/>
    <w:rsid w:val="0064737F"/>
    <w:rsid w:val="006535F1"/>
    <w:rsid w:val="0065557D"/>
    <w:rsid w:val="00660D50"/>
    <w:rsid w:val="00662984"/>
    <w:rsid w:val="006716BB"/>
    <w:rsid w:val="0067674D"/>
    <w:rsid w:val="006A2F4B"/>
    <w:rsid w:val="006B1859"/>
    <w:rsid w:val="006B6680"/>
    <w:rsid w:val="006B6DCC"/>
    <w:rsid w:val="006B77F1"/>
    <w:rsid w:val="006D6CA0"/>
    <w:rsid w:val="00702DEF"/>
    <w:rsid w:val="00706861"/>
    <w:rsid w:val="00722551"/>
    <w:rsid w:val="0075051B"/>
    <w:rsid w:val="00765C89"/>
    <w:rsid w:val="0077110E"/>
    <w:rsid w:val="00773959"/>
    <w:rsid w:val="00793188"/>
    <w:rsid w:val="00794D34"/>
    <w:rsid w:val="007A3FCD"/>
    <w:rsid w:val="007B19CF"/>
    <w:rsid w:val="007B72C3"/>
    <w:rsid w:val="007D01AF"/>
    <w:rsid w:val="007E37B6"/>
    <w:rsid w:val="00813E5E"/>
    <w:rsid w:val="0083581B"/>
    <w:rsid w:val="0084546D"/>
    <w:rsid w:val="00863874"/>
    <w:rsid w:val="00864AFF"/>
    <w:rsid w:val="00865925"/>
    <w:rsid w:val="008B4A6A"/>
    <w:rsid w:val="008C7E27"/>
    <w:rsid w:val="008F7448"/>
    <w:rsid w:val="0090147A"/>
    <w:rsid w:val="009020CE"/>
    <w:rsid w:val="009173EF"/>
    <w:rsid w:val="00932906"/>
    <w:rsid w:val="009439B5"/>
    <w:rsid w:val="00954C49"/>
    <w:rsid w:val="00961B0B"/>
    <w:rsid w:val="00962D33"/>
    <w:rsid w:val="009842A1"/>
    <w:rsid w:val="009A76A8"/>
    <w:rsid w:val="009B38C3"/>
    <w:rsid w:val="009E0825"/>
    <w:rsid w:val="009E17BD"/>
    <w:rsid w:val="009E485A"/>
    <w:rsid w:val="00A04CEC"/>
    <w:rsid w:val="00A109AF"/>
    <w:rsid w:val="00A27F92"/>
    <w:rsid w:val="00A32257"/>
    <w:rsid w:val="00A36D20"/>
    <w:rsid w:val="00A514A4"/>
    <w:rsid w:val="00A55622"/>
    <w:rsid w:val="00A83502"/>
    <w:rsid w:val="00A94BAB"/>
    <w:rsid w:val="00AA76D5"/>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3E59"/>
    <w:rsid w:val="00CA6393"/>
    <w:rsid w:val="00CA7995"/>
    <w:rsid w:val="00CB18FF"/>
    <w:rsid w:val="00CD0C08"/>
    <w:rsid w:val="00CE03FB"/>
    <w:rsid w:val="00CE433C"/>
    <w:rsid w:val="00CF0161"/>
    <w:rsid w:val="00CF33F3"/>
    <w:rsid w:val="00CF4A2B"/>
    <w:rsid w:val="00D024CA"/>
    <w:rsid w:val="00D046DB"/>
    <w:rsid w:val="00D06183"/>
    <w:rsid w:val="00D22C42"/>
    <w:rsid w:val="00D65041"/>
    <w:rsid w:val="00DB1936"/>
    <w:rsid w:val="00DB384B"/>
    <w:rsid w:val="00DE24E1"/>
    <w:rsid w:val="00DE532B"/>
    <w:rsid w:val="00DF0189"/>
    <w:rsid w:val="00E06FD5"/>
    <w:rsid w:val="00E10E80"/>
    <w:rsid w:val="00E124F0"/>
    <w:rsid w:val="00E227F3"/>
    <w:rsid w:val="00E545C6"/>
    <w:rsid w:val="00E60F04"/>
    <w:rsid w:val="00E65B24"/>
    <w:rsid w:val="00E854E4"/>
    <w:rsid w:val="00E85A5D"/>
    <w:rsid w:val="00E86DBF"/>
    <w:rsid w:val="00E969AF"/>
    <w:rsid w:val="00EB0D6F"/>
    <w:rsid w:val="00EB2232"/>
    <w:rsid w:val="00EC5337"/>
    <w:rsid w:val="00EE49E8"/>
    <w:rsid w:val="00EF3375"/>
    <w:rsid w:val="00F16BAB"/>
    <w:rsid w:val="00F2150A"/>
    <w:rsid w:val="00F231D8"/>
    <w:rsid w:val="00F27212"/>
    <w:rsid w:val="00F44C00"/>
    <w:rsid w:val="00F45D2C"/>
    <w:rsid w:val="00F46C5F"/>
    <w:rsid w:val="00F520BB"/>
    <w:rsid w:val="00F632C0"/>
    <w:rsid w:val="00F641E1"/>
    <w:rsid w:val="00F94A63"/>
    <w:rsid w:val="00FA1C28"/>
    <w:rsid w:val="00FB1279"/>
    <w:rsid w:val="00FB6B76"/>
    <w:rsid w:val="00FB7596"/>
    <w:rsid w:val="00FC1EFF"/>
    <w:rsid w:val="00FD486A"/>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DDF"/>
  <w15:docId w15:val="{71D14934-2434-46B7-90F1-46CABA0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Title">
    <w:name w:val="Title"/>
    <w:basedOn w:val="Normal"/>
    <w:next w:val="Normal"/>
    <w:link w:val="TitleChar"/>
    <w:uiPriority w:val="10"/>
    <w:qFormat/>
    <w:rsid w:val="00473F13"/>
    <w:pPr>
      <w:pBdr>
        <w:bottom w:val="single" w:sz="8" w:space="4" w:color="4F81BD" w:themeColor="accent1"/>
      </w:pBdr>
      <w:tabs>
        <w:tab w:val="clear" w:pos="567"/>
        <w:tab w:val="clear" w:pos="1134"/>
        <w:tab w:val="clear" w:pos="1701"/>
        <w:tab w:val="clear" w:pos="2268"/>
        <w:tab w:val="clear" w:pos="2835"/>
      </w:tabs>
      <w:overflowPunct/>
      <w:autoSpaceDE/>
      <w:autoSpaceDN/>
      <w:adjustRightInd/>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73F13"/>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473F13"/>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rPr>
  </w:style>
  <w:style w:type="paragraph" w:styleId="Revision">
    <w:name w:val="Revision"/>
    <w:hidden/>
    <w:uiPriority w:val="99"/>
    <w:semiHidden/>
    <w:rsid w:val="00441FBE"/>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0/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65/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4-CL-C-0132/en" TargetMode="External"/><Relationship Id="rId4" Type="http://schemas.openxmlformats.org/officeDocument/2006/relationships/settings" Target="settings.xml"/><Relationship Id="rId9" Type="http://schemas.openxmlformats.org/officeDocument/2006/relationships/hyperlink" Target="https://www.itu.int/md/S25-CL-C-0122/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721</Words>
  <Characters>4460</Characters>
  <Application>Microsoft Office Word</Application>
  <DocSecurity>0</DocSecurity>
  <Lines>82</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General Secretariat</Manager>
  <Company>International Telecommunication Union (ITU)</Company>
  <LinksUpToDate>false</LinksUpToDate>
  <CharactersWithSpaces>5146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analysis of Council Working Group Clusters</dc:title>
  <dc:subject>ITU Council 2026</dc:subject>
  <dc:creator>Doral, Sean</dc:creator>
  <cp:keywords>C26; C2026; Council 2026; PP26</cp:keywords>
  <dc:description/>
  <cp:lastModifiedBy>Doral, Sean</cp:lastModifiedBy>
  <cp:revision>3</cp:revision>
  <cp:lastPrinted>2000-07-18T13:30:00Z</cp:lastPrinted>
  <dcterms:created xsi:type="dcterms:W3CDTF">2026-04-20T17:43:00Z</dcterms:created>
  <dcterms:modified xsi:type="dcterms:W3CDTF">2026-04-20T17:50:00Z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