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7E3D15AA" w14:textId="77777777" w:rsidTr="00555C29">
        <w:trPr>
          <w:cantSplit/>
          <w:trHeight w:val="23"/>
        </w:trPr>
        <w:tc>
          <w:tcPr>
            <w:tcW w:w="3969" w:type="dxa"/>
            <w:vMerge w:val="restart"/>
            <w:tcMar>
              <w:left w:w="0" w:type="dxa"/>
            </w:tcMar>
          </w:tcPr>
          <w:p w14:paraId="3DA0F7CF" w14:textId="716783D7"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9D6246">
              <w:rPr>
                <w:b/>
                <w:bCs/>
                <w:color w:val="000000"/>
                <w:lang w:val="zh-CN"/>
              </w:rPr>
              <w:t>ADM</w:t>
            </w:r>
            <w:r w:rsidR="009D6246">
              <w:rPr>
                <w:rFonts w:hint="eastAsia"/>
                <w:b/>
                <w:bCs/>
                <w:color w:val="000000"/>
                <w:lang w:val="zh-CN"/>
              </w:rPr>
              <w:t>-</w:t>
            </w:r>
            <w:r w:rsidR="009D6246">
              <w:rPr>
                <w:b/>
                <w:bCs/>
                <w:color w:val="000000"/>
                <w:lang w:val="zh-CN"/>
              </w:rPr>
              <w:t>3</w:t>
            </w:r>
          </w:p>
        </w:tc>
        <w:tc>
          <w:tcPr>
            <w:tcW w:w="5245" w:type="dxa"/>
          </w:tcPr>
          <w:p w14:paraId="634F8F66" w14:textId="46198DEA"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9D6246">
              <w:rPr>
                <w:b/>
                <w:lang w:val="fr-CH"/>
              </w:rPr>
              <w:t>105</w:t>
            </w:r>
            <w:r w:rsidRPr="00E24D59">
              <w:rPr>
                <w:b/>
                <w:lang w:val="fr-CH"/>
              </w:rPr>
              <w:t>-C</w:t>
            </w:r>
          </w:p>
        </w:tc>
      </w:tr>
      <w:tr w:rsidR="00E24D59" w:rsidRPr="00813E5E" w14:paraId="44568056" w14:textId="77777777" w:rsidTr="00555C29">
        <w:trPr>
          <w:cantSplit/>
        </w:trPr>
        <w:tc>
          <w:tcPr>
            <w:tcW w:w="3969" w:type="dxa"/>
            <w:vMerge/>
          </w:tcPr>
          <w:p w14:paraId="08752441"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10FC9115" w14:textId="505E2757" w:rsidR="00E24D59" w:rsidRPr="00E85629" w:rsidRDefault="009D6246"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15</w:t>
            </w:r>
            <w:r>
              <w:rPr>
                <w:rFonts w:hint="eastAsia"/>
                <w:b/>
                <w:lang w:eastAsia="zh-CN"/>
              </w:rPr>
              <w:t>日</w:t>
            </w:r>
          </w:p>
        </w:tc>
      </w:tr>
      <w:tr w:rsidR="00E24D59" w:rsidRPr="00813E5E" w14:paraId="12EFD284" w14:textId="77777777" w:rsidTr="00555C29">
        <w:trPr>
          <w:cantSplit/>
          <w:trHeight w:val="23"/>
        </w:trPr>
        <w:tc>
          <w:tcPr>
            <w:tcW w:w="3969" w:type="dxa"/>
            <w:vMerge/>
          </w:tcPr>
          <w:p w14:paraId="45863570"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48BCED7E" w14:textId="3E2F942F"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9D6246">
              <w:rPr>
                <w:rFonts w:cstheme="minorHAnsi" w:hint="eastAsia"/>
                <w:b/>
                <w:bCs/>
                <w:lang w:val="ru-RU" w:eastAsia="zh-CN"/>
              </w:rPr>
              <w:t>英文</w:t>
            </w:r>
          </w:p>
        </w:tc>
      </w:tr>
      <w:tr w:rsidR="00E24D59" w:rsidRPr="00813E5E" w14:paraId="500544FD" w14:textId="77777777" w:rsidTr="00555C29">
        <w:trPr>
          <w:cantSplit/>
          <w:trHeight w:val="23"/>
        </w:trPr>
        <w:tc>
          <w:tcPr>
            <w:tcW w:w="3969" w:type="dxa"/>
          </w:tcPr>
          <w:p w14:paraId="156BE055" w14:textId="77777777" w:rsidR="00E24D59" w:rsidRPr="00813E5E" w:rsidRDefault="00E24D59" w:rsidP="00555C29">
            <w:pPr>
              <w:tabs>
                <w:tab w:val="left" w:pos="851"/>
              </w:tabs>
              <w:spacing w:line="240" w:lineRule="atLeast"/>
              <w:rPr>
                <w:b/>
              </w:rPr>
            </w:pPr>
          </w:p>
        </w:tc>
        <w:tc>
          <w:tcPr>
            <w:tcW w:w="5245" w:type="dxa"/>
          </w:tcPr>
          <w:p w14:paraId="6689D034" w14:textId="77777777" w:rsidR="00E24D59" w:rsidRDefault="00E24D59" w:rsidP="00555C29">
            <w:pPr>
              <w:tabs>
                <w:tab w:val="left" w:pos="851"/>
              </w:tabs>
              <w:spacing w:before="0" w:line="240" w:lineRule="atLeast"/>
              <w:jc w:val="right"/>
              <w:rPr>
                <w:b/>
              </w:rPr>
            </w:pPr>
          </w:p>
        </w:tc>
      </w:tr>
      <w:tr w:rsidR="00E24D59" w:rsidRPr="00813E5E" w14:paraId="7A0DC4F8" w14:textId="77777777" w:rsidTr="00555C29">
        <w:trPr>
          <w:cantSplit/>
        </w:trPr>
        <w:tc>
          <w:tcPr>
            <w:tcW w:w="9214" w:type="dxa"/>
            <w:gridSpan w:val="2"/>
            <w:tcMar>
              <w:left w:w="0" w:type="dxa"/>
            </w:tcMar>
          </w:tcPr>
          <w:p w14:paraId="75347F8A" w14:textId="5D1B326C" w:rsidR="00E24D59" w:rsidRPr="00C24DAC" w:rsidRDefault="00320AFC" w:rsidP="00C24DAC">
            <w:pPr>
              <w:pStyle w:val="Source"/>
              <w:framePr w:hSpace="0" w:wrap="auto" w:vAnchor="margin" w:hAnchor="text" w:xAlign="left" w:yAlign="inline"/>
            </w:pPr>
            <w:bookmarkStart w:id="5" w:name="dsource" w:colFirst="0" w:colLast="0"/>
            <w:bookmarkEnd w:id="4"/>
            <w:r>
              <w:rPr>
                <w:color w:val="000000"/>
                <w:lang w:val="zh-CN"/>
              </w:rPr>
              <w:t>摩洛哥（王国）、南非（共和国）和塞内加尔（共和国）的文稿</w:t>
            </w:r>
          </w:p>
        </w:tc>
      </w:tr>
      <w:tr w:rsidR="00E24D59" w:rsidRPr="00813E5E" w14:paraId="2807E742" w14:textId="77777777" w:rsidTr="00555C29">
        <w:trPr>
          <w:cantSplit/>
        </w:trPr>
        <w:tc>
          <w:tcPr>
            <w:tcW w:w="9214" w:type="dxa"/>
            <w:gridSpan w:val="2"/>
            <w:tcMar>
              <w:left w:w="0" w:type="dxa"/>
            </w:tcMar>
          </w:tcPr>
          <w:p w14:paraId="7D4A5766" w14:textId="35A1B1CF" w:rsidR="00E24D59" w:rsidRPr="00C24DAC" w:rsidRDefault="00320AFC" w:rsidP="00C24DAC">
            <w:pPr>
              <w:pStyle w:val="Subtitle"/>
              <w:framePr w:hSpace="0" w:wrap="auto" w:vAnchor="margin" w:hAnchor="text" w:xAlign="left" w:yAlign="inline"/>
            </w:pPr>
            <w:bookmarkStart w:id="6" w:name="dtitle1" w:colFirst="0" w:colLast="0"/>
            <w:bookmarkEnd w:id="5"/>
            <w:r w:rsidRPr="00210843">
              <w:rPr>
                <w:rFonts w:hint="eastAsia"/>
                <w:color w:val="000000"/>
                <w:lang w:val="zh-CN"/>
              </w:rPr>
              <w:t>理事会工作组会议的业务连续性</w:t>
            </w:r>
          </w:p>
        </w:tc>
      </w:tr>
      <w:tr w:rsidR="00E24D59" w:rsidRPr="00813E5E" w14:paraId="4D791538" w14:textId="77777777" w:rsidTr="00555C29">
        <w:trPr>
          <w:cantSplit/>
        </w:trPr>
        <w:tc>
          <w:tcPr>
            <w:tcW w:w="9214" w:type="dxa"/>
            <w:gridSpan w:val="2"/>
            <w:tcBorders>
              <w:top w:val="single" w:sz="4" w:space="0" w:color="auto"/>
              <w:bottom w:val="single" w:sz="4" w:space="0" w:color="auto"/>
            </w:tcBorders>
            <w:tcMar>
              <w:left w:w="0" w:type="dxa"/>
            </w:tcMar>
          </w:tcPr>
          <w:p w14:paraId="523F848D" w14:textId="79470D64" w:rsidR="003F086E" w:rsidRPr="00477D57" w:rsidRDefault="003F086E" w:rsidP="00555C29">
            <w:pPr>
              <w:rPr>
                <w:b/>
                <w:bCs/>
                <w:lang w:eastAsia="zh-CN"/>
              </w:rPr>
            </w:pPr>
            <w:r w:rsidRPr="00477D57">
              <w:rPr>
                <w:b/>
                <w:bCs/>
                <w:lang w:eastAsia="zh-CN"/>
              </w:rPr>
              <w:t>目的</w:t>
            </w:r>
          </w:p>
          <w:p w14:paraId="5EF09996" w14:textId="77777777" w:rsidR="007078CF" w:rsidRPr="00474505" w:rsidRDefault="007078CF" w:rsidP="007078CF">
            <w:pPr>
              <w:snapToGrid w:val="0"/>
              <w:ind w:firstLineChars="200" w:firstLine="480"/>
              <w:rPr>
                <w:rFonts w:asciiTheme="minorHAnsi" w:hAnsiTheme="minorHAnsi" w:cstheme="minorHAnsi"/>
                <w:szCs w:val="24"/>
                <w:lang w:eastAsia="zh-CN"/>
              </w:rPr>
            </w:pPr>
            <w:r w:rsidRPr="00210843">
              <w:rPr>
                <w:rFonts w:asciiTheme="minorHAnsi" w:hAnsiTheme="minorHAnsi" w:cstheme="minorHAnsi" w:hint="eastAsia"/>
                <w:szCs w:val="24"/>
                <w:lang w:eastAsia="zh-CN"/>
              </w:rPr>
              <w:t>鉴于国际电联总部在新</w:t>
            </w:r>
            <w:r>
              <w:rPr>
                <w:color w:val="000000"/>
                <w:lang w:val="zh-CN" w:eastAsia="zh-CN"/>
              </w:rPr>
              <w:t>办公楼</w:t>
            </w:r>
            <w:r w:rsidRPr="00210843">
              <w:rPr>
                <w:rFonts w:asciiTheme="minorHAnsi" w:hAnsiTheme="minorHAnsi" w:cstheme="minorHAnsi" w:hint="eastAsia"/>
                <w:szCs w:val="24"/>
                <w:lang w:eastAsia="zh-CN"/>
              </w:rPr>
              <w:t>建设项目实施期间预计无法提供会议设施，且</w:t>
            </w:r>
            <w:r>
              <w:rPr>
                <w:color w:val="000000"/>
                <w:lang w:val="zh-CN" w:eastAsia="zh-CN"/>
              </w:rPr>
              <w:t>考虑到理事会工作组（</w:t>
            </w:r>
            <w:r>
              <w:rPr>
                <w:color w:val="000000"/>
                <w:lang w:val="zh-CN" w:eastAsia="zh-CN"/>
              </w:rPr>
              <w:t>CWG</w:t>
            </w:r>
            <w:r>
              <w:rPr>
                <w:color w:val="000000"/>
                <w:lang w:val="zh-CN" w:eastAsia="zh-CN"/>
              </w:rPr>
              <w:t>）在支持理事会决策进程，特别是有关</w:t>
            </w:r>
            <w:r>
              <w:rPr>
                <w:rFonts w:hint="eastAsia"/>
                <w:color w:val="000000"/>
                <w:lang w:val="zh-CN" w:eastAsia="zh-CN"/>
              </w:rPr>
              <w:t>《</w:t>
            </w:r>
            <w:r>
              <w:rPr>
                <w:color w:val="000000"/>
                <w:lang w:val="zh-CN" w:eastAsia="zh-CN"/>
              </w:rPr>
              <w:t>战略规划</w:t>
            </w:r>
            <w:r>
              <w:rPr>
                <w:rFonts w:hint="eastAsia"/>
                <w:color w:val="000000"/>
                <w:lang w:val="zh-CN" w:eastAsia="zh-CN"/>
              </w:rPr>
              <w:t>》</w:t>
            </w:r>
            <w:r>
              <w:rPr>
                <w:color w:val="000000"/>
                <w:lang w:val="zh-CN" w:eastAsia="zh-CN"/>
              </w:rPr>
              <w:t>、</w:t>
            </w:r>
            <w:r>
              <w:rPr>
                <w:rFonts w:hint="eastAsia"/>
                <w:color w:val="000000"/>
                <w:lang w:val="zh-CN" w:eastAsia="zh-CN"/>
              </w:rPr>
              <w:t>《</w:t>
            </w:r>
            <w:r>
              <w:rPr>
                <w:color w:val="000000"/>
                <w:lang w:val="zh-CN" w:eastAsia="zh-CN"/>
              </w:rPr>
              <w:t>财务规划</w:t>
            </w:r>
            <w:r>
              <w:rPr>
                <w:rFonts w:hint="eastAsia"/>
                <w:color w:val="000000"/>
                <w:lang w:val="zh-CN" w:eastAsia="zh-CN"/>
              </w:rPr>
              <w:t>》</w:t>
            </w:r>
            <w:r>
              <w:rPr>
                <w:color w:val="000000"/>
                <w:lang w:val="zh-CN" w:eastAsia="zh-CN"/>
              </w:rPr>
              <w:t>和全权代表大会</w:t>
            </w:r>
            <w:r w:rsidRPr="00210843">
              <w:rPr>
                <w:rFonts w:asciiTheme="minorHAnsi" w:hAnsiTheme="minorHAnsi" w:cstheme="minorHAnsi" w:hint="eastAsia"/>
                <w:szCs w:val="24"/>
                <w:lang w:eastAsia="zh-CN"/>
              </w:rPr>
              <w:t>各项</w:t>
            </w:r>
            <w:r>
              <w:rPr>
                <w:color w:val="000000"/>
                <w:lang w:val="zh-CN" w:eastAsia="zh-CN"/>
              </w:rPr>
              <w:t>决定的决策进程</w:t>
            </w:r>
            <w:r w:rsidRPr="00210843">
              <w:rPr>
                <w:rFonts w:asciiTheme="minorHAnsi" w:hAnsiTheme="minorHAnsi" w:cstheme="minorHAnsi" w:hint="eastAsia"/>
                <w:szCs w:val="24"/>
                <w:lang w:eastAsia="zh-CN"/>
              </w:rPr>
              <w:t>中发挥</w:t>
            </w:r>
            <w:r>
              <w:rPr>
                <w:color w:val="000000"/>
                <w:lang w:val="zh-CN" w:eastAsia="zh-CN"/>
              </w:rPr>
              <w:t>的关键作用，其会议的规划和组织可能会受到不利影响。</w:t>
            </w:r>
          </w:p>
          <w:p w14:paraId="69CCEA30" w14:textId="4F4107D4" w:rsidR="003F086E" w:rsidRPr="00477D57" w:rsidRDefault="007078CF" w:rsidP="007078CF">
            <w:pPr>
              <w:ind w:firstLineChars="200" w:firstLine="480"/>
              <w:rPr>
                <w:rFonts w:asciiTheme="majorEastAsia" w:eastAsiaTheme="majorEastAsia" w:hAnsiTheme="majorEastAsia"/>
                <w:lang w:eastAsia="zh-CN"/>
              </w:rPr>
            </w:pPr>
            <w:r>
              <w:rPr>
                <w:color w:val="000000"/>
                <w:lang w:val="zh-CN" w:eastAsia="zh-CN"/>
              </w:rPr>
              <w:t>在此</w:t>
            </w:r>
            <w:r w:rsidRPr="00210843">
              <w:rPr>
                <w:rFonts w:asciiTheme="minorHAnsi" w:hAnsiTheme="minorHAnsi" w:cstheme="minorHAnsi" w:hint="eastAsia"/>
                <w:szCs w:val="24"/>
                <w:lang w:eastAsia="zh-CN"/>
              </w:rPr>
              <w:t>背景下</w:t>
            </w:r>
            <w:r>
              <w:rPr>
                <w:color w:val="000000"/>
                <w:lang w:val="zh-CN" w:eastAsia="zh-CN"/>
              </w:rPr>
              <w:t>，理事会有必要采取适当措施，确保</w:t>
            </w:r>
            <w:r>
              <w:rPr>
                <w:color w:val="000000"/>
                <w:lang w:val="zh-CN" w:eastAsia="zh-CN"/>
              </w:rPr>
              <w:t>CWG</w:t>
            </w:r>
            <w:r>
              <w:rPr>
                <w:color w:val="000000"/>
                <w:lang w:val="zh-CN" w:eastAsia="zh-CN"/>
              </w:rPr>
              <w:t>在适当条件下工作的连续性。</w:t>
            </w:r>
          </w:p>
          <w:p w14:paraId="754132E3" w14:textId="77777777" w:rsidR="003F086E" w:rsidRPr="00477D57" w:rsidRDefault="003F086E" w:rsidP="00555C29">
            <w:pPr>
              <w:rPr>
                <w:b/>
                <w:bCs/>
                <w:lang w:eastAsia="zh-CN"/>
              </w:rPr>
            </w:pPr>
            <w:r w:rsidRPr="00477D57">
              <w:rPr>
                <w:b/>
                <w:bCs/>
                <w:lang w:eastAsia="zh-CN"/>
              </w:rPr>
              <w:t>理事会需采取的行动</w:t>
            </w:r>
          </w:p>
          <w:p w14:paraId="614A2D8B" w14:textId="02FB878A" w:rsidR="003F086E" w:rsidRPr="00477D57" w:rsidRDefault="007078CF" w:rsidP="007078CF">
            <w:pPr>
              <w:ind w:firstLineChars="200" w:firstLine="480"/>
              <w:rPr>
                <w:rFonts w:asciiTheme="majorEastAsia" w:eastAsiaTheme="majorEastAsia" w:hAnsiTheme="majorEastAsia"/>
                <w:lang w:eastAsia="zh-CN"/>
              </w:rPr>
            </w:pPr>
            <w:r>
              <w:rPr>
                <w:color w:val="000000"/>
                <w:lang w:val="zh-CN" w:eastAsia="zh-CN"/>
              </w:rPr>
              <w:t>请理事会</w:t>
            </w:r>
            <w:r w:rsidRPr="00210843">
              <w:rPr>
                <w:b/>
                <w:bCs/>
                <w:color w:val="000000"/>
                <w:lang w:val="zh-CN" w:eastAsia="zh-CN"/>
              </w:rPr>
              <w:t>审议</w:t>
            </w:r>
            <w:r>
              <w:rPr>
                <w:color w:val="000000"/>
                <w:lang w:val="zh-CN" w:eastAsia="zh-CN"/>
              </w:rPr>
              <w:t>并</w:t>
            </w:r>
            <w:r w:rsidRPr="00210843">
              <w:rPr>
                <w:b/>
                <w:bCs/>
                <w:color w:val="000000"/>
                <w:lang w:val="zh-CN" w:eastAsia="zh-CN"/>
              </w:rPr>
              <w:t>采取适当行动</w:t>
            </w:r>
            <w:r>
              <w:rPr>
                <w:color w:val="000000"/>
                <w:lang w:val="zh-CN" w:eastAsia="zh-CN"/>
              </w:rPr>
              <w:t>。</w:t>
            </w:r>
          </w:p>
          <w:p w14:paraId="2B17A5A6" w14:textId="77777777" w:rsidR="00E24D59" w:rsidRPr="00DA2D30" w:rsidRDefault="00DA2D30" w:rsidP="00DA2D30">
            <w:pPr>
              <w:rPr>
                <w:lang w:eastAsia="zh-CN"/>
              </w:rPr>
            </w:pPr>
            <w:r>
              <w:rPr>
                <w:lang w:eastAsia="zh-CN"/>
              </w:rPr>
              <w:t>_______________</w:t>
            </w:r>
          </w:p>
          <w:p w14:paraId="453AA4C6" w14:textId="77777777" w:rsidR="00E24D59" w:rsidRPr="00477D57" w:rsidRDefault="00E24D59" w:rsidP="00555C29">
            <w:pPr>
              <w:rPr>
                <w:b/>
                <w:bCs/>
                <w:lang w:eastAsia="zh-CN"/>
              </w:rPr>
            </w:pPr>
            <w:r w:rsidRPr="00477D57">
              <w:rPr>
                <w:rFonts w:hint="eastAsia"/>
                <w:b/>
                <w:bCs/>
                <w:lang w:eastAsia="zh-CN"/>
              </w:rPr>
              <w:t>参考文件</w:t>
            </w:r>
          </w:p>
          <w:p w14:paraId="75D0271A" w14:textId="6D30A4A2" w:rsidR="00E24D59" w:rsidRPr="00CA6A99" w:rsidRDefault="00CA6A99" w:rsidP="004B5170">
            <w:pPr>
              <w:spacing w:after="120"/>
              <w:ind w:firstLineChars="200" w:firstLine="480"/>
              <w:rPr>
                <w:rFonts w:asciiTheme="minorHAnsi" w:eastAsia="STKaiti" w:hAnsiTheme="minorHAnsi" w:cstheme="minorHAnsi"/>
                <w:szCs w:val="24"/>
                <w:lang w:eastAsia="zh-CN"/>
              </w:rPr>
            </w:pPr>
            <w:hyperlink r:id="rId8" w:history="1">
              <w:r w:rsidRPr="00CA6A99">
                <w:rPr>
                  <w:rStyle w:val="Hyperlink"/>
                  <w:rFonts w:asciiTheme="minorHAnsi" w:eastAsia="STKaiti" w:hAnsiTheme="minorHAnsi" w:cstheme="minorHAnsi"/>
                  <w:szCs w:val="24"/>
                  <w:lang w:eastAsia="zh-CN"/>
                </w:rPr>
                <w:t>理事会第</w:t>
              </w:r>
              <w:r w:rsidRPr="00CA6A99">
                <w:rPr>
                  <w:rStyle w:val="Hyperlink"/>
                  <w:rFonts w:asciiTheme="minorHAnsi" w:eastAsia="STKaiti" w:hAnsiTheme="minorHAnsi" w:cstheme="minorHAnsi"/>
                  <w:szCs w:val="24"/>
                  <w:lang w:eastAsia="zh-CN"/>
                </w:rPr>
                <w:t>1333</w:t>
              </w:r>
              <w:r w:rsidRPr="00CA6A99">
                <w:rPr>
                  <w:rStyle w:val="Hyperlink"/>
                  <w:rFonts w:asciiTheme="minorHAnsi" w:eastAsia="STKaiti" w:hAnsiTheme="minorHAnsi" w:cstheme="minorHAnsi"/>
                  <w:szCs w:val="24"/>
                  <w:lang w:eastAsia="zh-CN"/>
                </w:rPr>
                <w:t>号决议（</w:t>
              </w:r>
              <w:r w:rsidRPr="00CA6A99">
                <w:rPr>
                  <w:rStyle w:val="Hyperlink"/>
                  <w:rFonts w:asciiTheme="minorHAnsi" w:eastAsia="STKaiti" w:hAnsiTheme="minorHAnsi" w:cstheme="minorHAnsi"/>
                  <w:szCs w:val="24"/>
                  <w:lang w:eastAsia="zh-CN"/>
                </w:rPr>
                <w:t>C11</w:t>
              </w:r>
              <w:r w:rsidRPr="00CA6A99">
                <w:rPr>
                  <w:rStyle w:val="Hyperlink"/>
                  <w:rFonts w:asciiTheme="minorHAnsi" w:eastAsia="STKaiti" w:hAnsiTheme="minorHAnsi" w:cstheme="minorHAnsi"/>
                  <w:szCs w:val="24"/>
                  <w:lang w:eastAsia="zh-CN"/>
                </w:rPr>
                <w:t>，最后修正</w:t>
              </w:r>
              <w:r w:rsidRPr="00CA6A99">
                <w:rPr>
                  <w:rStyle w:val="Hyperlink"/>
                  <w:rFonts w:asciiTheme="minorHAnsi" w:eastAsia="STKaiti" w:hAnsiTheme="minorHAnsi" w:cstheme="minorHAnsi"/>
                  <w:szCs w:val="24"/>
                  <w:lang w:eastAsia="zh-CN"/>
                </w:rPr>
                <w:t>C25</w:t>
              </w:r>
              <w:r w:rsidRPr="00CA6A99">
                <w:rPr>
                  <w:rStyle w:val="Hyperlink"/>
                  <w:rFonts w:asciiTheme="minorHAnsi" w:eastAsia="STKaiti" w:hAnsiTheme="minorHAnsi" w:cstheme="minorHAnsi"/>
                  <w:szCs w:val="24"/>
                  <w:lang w:eastAsia="zh-CN"/>
                </w:rPr>
                <w:t>）</w:t>
              </w:r>
            </w:hyperlink>
            <w:r w:rsidRPr="00CA6A99">
              <w:rPr>
                <w:rFonts w:asciiTheme="minorHAnsi" w:eastAsia="STKaiti" w:hAnsiTheme="minorHAnsi" w:cstheme="minorHAnsi"/>
                <w:szCs w:val="24"/>
                <w:lang w:eastAsia="zh-CN"/>
              </w:rPr>
              <w:t>、</w:t>
            </w:r>
            <w:hyperlink r:id="rId9" w:history="1">
              <w:r w:rsidRPr="00CA6A99">
                <w:rPr>
                  <w:rStyle w:val="Hyperlink"/>
                  <w:rFonts w:asciiTheme="minorHAnsi" w:eastAsia="STKaiti" w:hAnsiTheme="minorHAnsi" w:cstheme="minorHAnsi"/>
                  <w:szCs w:val="24"/>
                  <w:lang w:eastAsia="zh-CN"/>
                </w:rPr>
                <w:t>理事会第</w:t>
              </w:r>
              <w:r w:rsidRPr="00CA6A99">
                <w:rPr>
                  <w:rStyle w:val="Hyperlink"/>
                  <w:rFonts w:asciiTheme="minorHAnsi" w:eastAsia="STKaiti" w:hAnsiTheme="minorHAnsi" w:cstheme="minorHAnsi"/>
                  <w:szCs w:val="24"/>
                  <w:lang w:eastAsia="zh-CN"/>
                </w:rPr>
                <w:t>643</w:t>
              </w:r>
              <w:r w:rsidRPr="00CA6A99">
                <w:rPr>
                  <w:rStyle w:val="Hyperlink"/>
                  <w:rFonts w:asciiTheme="minorHAnsi" w:eastAsia="STKaiti" w:hAnsiTheme="minorHAnsi" w:cstheme="minorHAnsi"/>
                  <w:szCs w:val="24"/>
                  <w:lang w:eastAsia="zh-CN"/>
                </w:rPr>
                <w:t>号决定（</w:t>
              </w:r>
              <w:r w:rsidRPr="00CA6A99">
                <w:rPr>
                  <w:rStyle w:val="Hyperlink"/>
                  <w:rFonts w:asciiTheme="minorHAnsi" w:eastAsia="STKaiti" w:hAnsiTheme="minorHAnsi" w:cstheme="minorHAnsi"/>
                  <w:szCs w:val="24"/>
                  <w:lang w:eastAsia="zh-CN"/>
                </w:rPr>
                <w:t>C25</w:t>
              </w:r>
              <w:r w:rsidRPr="00CA6A99">
                <w:rPr>
                  <w:rStyle w:val="Hyperlink"/>
                  <w:rFonts w:asciiTheme="minorHAnsi" w:eastAsia="STKaiti" w:hAnsiTheme="minorHAnsi" w:cstheme="minorHAnsi"/>
                  <w:szCs w:val="24"/>
                  <w:lang w:eastAsia="zh-CN"/>
                </w:rPr>
                <w:t>）</w:t>
              </w:r>
            </w:hyperlink>
            <w:r w:rsidRPr="00CA6A99">
              <w:rPr>
                <w:rFonts w:asciiTheme="minorHAnsi" w:eastAsia="STKaiti" w:hAnsiTheme="minorHAnsi" w:cstheme="minorHAnsi"/>
                <w:szCs w:val="24"/>
                <w:lang w:eastAsia="zh-CN"/>
              </w:rPr>
              <w:t>、</w:t>
            </w:r>
            <w:hyperlink r:id="rId10">
              <w:r w:rsidRPr="00CA6A99">
                <w:rPr>
                  <w:rStyle w:val="Hyperlink"/>
                  <w:rFonts w:asciiTheme="minorHAnsi" w:eastAsia="STKaiti" w:hAnsiTheme="minorHAnsi" w:cstheme="minorHAnsi"/>
                  <w:szCs w:val="24"/>
                  <w:lang w:eastAsia="zh-CN"/>
                </w:rPr>
                <w:t>理事会第</w:t>
              </w:r>
              <w:r w:rsidRPr="00CA6A99">
                <w:rPr>
                  <w:rStyle w:val="Hyperlink"/>
                  <w:rFonts w:asciiTheme="minorHAnsi" w:eastAsia="STKaiti" w:hAnsiTheme="minorHAnsi" w:cstheme="minorHAnsi"/>
                  <w:szCs w:val="24"/>
                  <w:lang w:eastAsia="zh-CN"/>
                </w:rPr>
                <w:t>640</w:t>
              </w:r>
              <w:r w:rsidRPr="00CA6A99">
                <w:rPr>
                  <w:rStyle w:val="Hyperlink"/>
                  <w:rFonts w:asciiTheme="minorHAnsi" w:eastAsia="STKaiti" w:hAnsiTheme="minorHAnsi" w:cstheme="minorHAnsi"/>
                  <w:szCs w:val="24"/>
                  <w:lang w:eastAsia="zh-CN"/>
                </w:rPr>
                <w:t>号决定（</w:t>
              </w:r>
              <w:r w:rsidRPr="00CA6A99">
                <w:rPr>
                  <w:rStyle w:val="Hyperlink"/>
                  <w:rFonts w:asciiTheme="minorHAnsi" w:eastAsia="STKaiti" w:hAnsiTheme="minorHAnsi" w:cstheme="minorHAnsi"/>
                  <w:szCs w:val="24"/>
                  <w:lang w:eastAsia="zh-CN"/>
                </w:rPr>
                <w:t>C24</w:t>
              </w:r>
              <w:r w:rsidRPr="00CA6A99">
                <w:rPr>
                  <w:rStyle w:val="Hyperlink"/>
                  <w:rFonts w:asciiTheme="minorHAnsi" w:eastAsia="STKaiti" w:hAnsiTheme="minorHAnsi" w:cstheme="minorHAnsi"/>
                  <w:szCs w:val="24"/>
                  <w:lang w:eastAsia="zh-CN"/>
                </w:rPr>
                <w:t>）</w:t>
              </w:r>
            </w:hyperlink>
            <w:r w:rsidRPr="00CA6A99">
              <w:rPr>
                <w:rFonts w:asciiTheme="minorHAnsi" w:eastAsia="STKaiti" w:hAnsiTheme="minorHAnsi" w:cstheme="minorHAnsi"/>
                <w:szCs w:val="24"/>
                <w:lang w:eastAsia="zh-CN"/>
              </w:rPr>
              <w:t>。</w:t>
            </w:r>
          </w:p>
        </w:tc>
      </w:tr>
      <w:bookmarkEnd w:id="2"/>
      <w:bookmarkEnd w:id="6"/>
    </w:tbl>
    <w:p w14:paraId="392FDA17"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7BCE6889"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B9D9456" w14:textId="32E10AC3" w:rsidR="007078CF" w:rsidRPr="008D558D" w:rsidRDefault="007078CF" w:rsidP="008D558D">
      <w:pPr>
        <w:pStyle w:val="Heading1"/>
        <w:rPr>
          <w:lang w:eastAsia="zh-CN"/>
        </w:rPr>
      </w:pPr>
      <w:r w:rsidRPr="008D558D">
        <w:rPr>
          <w:lang w:eastAsia="zh-CN"/>
        </w:rPr>
        <w:lastRenderedPageBreak/>
        <w:t>1</w:t>
      </w:r>
      <w:r w:rsidR="008D558D">
        <w:rPr>
          <w:lang w:eastAsia="zh-CN"/>
        </w:rPr>
        <w:tab/>
      </w:r>
      <w:r w:rsidRPr="008D558D">
        <w:rPr>
          <w:lang w:eastAsia="zh-CN"/>
        </w:rPr>
        <w:t>背景</w:t>
      </w:r>
    </w:p>
    <w:p w14:paraId="67509862" w14:textId="77777777" w:rsidR="007078CF" w:rsidRPr="00474505" w:rsidRDefault="007078CF" w:rsidP="008D558D">
      <w:pPr>
        <w:ind w:firstLineChars="200" w:firstLine="480"/>
        <w:rPr>
          <w:rFonts w:asciiTheme="minorHAnsi" w:hAnsiTheme="minorHAnsi" w:cstheme="minorHAnsi"/>
          <w:szCs w:val="24"/>
          <w:lang w:eastAsia="zh-CN"/>
        </w:rPr>
      </w:pPr>
      <w:r>
        <w:rPr>
          <w:lang w:val="zh-CN" w:eastAsia="zh-CN"/>
        </w:rPr>
        <w:t>根据国际电联《组织法》第</w:t>
      </w:r>
      <w:r>
        <w:rPr>
          <w:lang w:val="zh-CN" w:eastAsia="zh-CN"/>
        </w:rPr>
        <w:t>7</w:t>
      </w:r>
      <w:r>
        <w:rPr>
          <w:lang w:val="zh-CN" w:eastAsia="zh-CN"/>
        </w:rPr>
        <w:t>条和第</w:t>
      </w:r>
      <w:r>
        <w:rPr>
          <w:lang w:val="zh-CN" w:eastAsia="zh-CN"/>
        </w:rPr>
        <w:t>10</w:t>
      </w:r>
      <w:r>
        <w:rPr>
          <w:lang w:val="zh-CN" w:eastAsia="zh-CN"/>
        </w:rPr>
        <w:t>条，国际电联理事会作为国际电联在两届全权代表大会之间的执行机构行使职能。</w:t>
      </w:r>
    </w:p>
    <w:p w14:paraId="19F2CC3C" w14:textId="77777777" w:rsidR="007078CF" w:rsidRPr="00474505" w:rsidRDefault="007078CF" w:rsidP="008D558D">
      <w:pPr>
        <w:ind w:firstLineChars="200" w:firstLine="480"/>
        <w:rPr>
          <w:rFonts w:asciiTheme="minorHAnsi" w:hAnsiTheme="minorHAnsi" w:cstheme="minorHAnsi"/>
          <w:szCs w:val="24"/>
          <w:lang w:eastAsia="zh-CN"/>
        </w:rPr>
      </w:pPr>
      <w:r>
        <w:rPr>
          <w:lang w:val="zh-CN" w:eastAsia="zh-CN"/>
        </w:rPr>
        <w:t>理事会第</w:t>
      </w:r>
      <w:r>
        <w:rPr>
          <w:lang w:val="zh-CN" w:eastAsia="zh-CN"/>
        </w:rPr>
        <w:t>1333</w:t>
      </w:r>
      <w:r>
        <w:rPr>
          <w:lang w:val="zh-CN" w:eastAsia="zh-CN"/>
        </w:rPr>
        <w:t>号决议</w:t>
      </w:r>
      <w:r>
        <w:rPr>
          <w:rFonts w:hint="eastAsia"/>
          <w:lang w:val="zh-CN" w:eastAsia="zh-CN"/>
        </w:rPr>
        <w:t>规范了</w:t>
      </w:r>
      <w:r>
        <w:rPr>
          <w:lang w:val="zh-CN" w:eastAsia="zh-CN"/>
        </w:rPr>
        <w:t>理事会工作组的设立、管理和终止，这些工作组负责审查国际电联的工作重点，向理事会提出建议，在明确规定的职责范围内运作，并确保会议高效和经济</w:t>
      </w:r>
      <w:r>
        <w:rPr>
          <w:rFonts w:hint="eastAsia"/>
          <w:lang w:val="zh-CN" w:eastAsia="zh-CN"/>
        </w:rPr>
        <w:t>有</w:t>
      </w:r>
      <w:r>
        <w:rPr>
          <w:lang w:val="zh-CN" w:eastAsia="zh-CN"/>
        </w:rPr>
        <w:t>效。</w:t>
      </w:r>
    </w:p>
    <w:p w14:paraId="1291CB1A" w14:textId="77777777" w:rsidR="007078CF" w:rsidRPr="00474505" w:rsidRDefault="007078CF" w:rsidP="008D558D">
      <w:pPr>
        <w:ind w:firstLineChars="200" w:firstLine="480"/>
        <w:rPr>
          <w:rFonts w:asciiTheme="minorHAnsi" w:hAnsiTheme="minorHAnsi" w:cstheme="minorHAnsi"/>
          <w:szCs w:val="24"/>
          <w:lang w:eastAsia="zh-CN"/>
        </w:rPr>
      </w:pPr>
      <w:r>
        <w:rPr>
          <w:lang w:val="zh-CN" w:eastAsia="zh-CN"/>
        </w:rPr>
        <w:t>此外，理事会的决定（尤其是第</w:t>
      </w:r>
      <w:r>
        <w:rPr>
          <w:lang w:val="zh-CN" w:eastAsia="zh-CN"/>
        </w:rPr>
        <w:t>642</w:t>
      </w:r>
      <w:r>
        <w:rPr>
          <w:lang w:val="zh-CN" w:eastAsia="zh-CN"/>
        </w:rPr>
        <w:t>和</w:t>
      </w:r>
      <w:r>
        <w:rPr>
          <w:lang w:val="zh-CN" w:eastAsia="zh-CN"/>
        </w:rPr>
        <w:t>643</w:t>
      </w:r>
      <w:r>
        <w:rPr>
          <w:lang w:val="zh-CN" w:eastAsia="zh-CN"/>
        </w:rPr>
        <w:t>号决定）确定了会议时间安排，并为理事会工作组系列会议的多年期规划提供了框架。</w:t>
      </w:r>
    </w:p>
    <w:p w14:paraId="7E296BD9" w14:textId="77777777" w:rsidR="007078CF" w:rsidRPr="00474505" w:rsidRDefault="007078CF" w:rsidP="008D558D">
      <w:pPr>
        <w:ind w:firstLineChars="200" w:firstLine="480"/>
        <w:rPr>
          <w:rFonts w:asciiTheme="minorHAnsi" w:hAnsiTheme="minorHAnsi" w:cstheme="minorHAnsi"/>
          <w:szCs w:val="24"/>
          <w:lang w:eastAsia="zh-CN"/>
        </w:rPr>
      </w:pPr>
      <w:r>
        <w:rPr>
          <w:lang w:val="zh-CN" w:eastAsia="zh-CN"/>
        </w:rPr>
        <w:t>集中召开的理事会工作组会议与理事会会议密切相关，通常在国际电联总部举行面对面会议。然而，理事会在</w:t>
      </w:r>
      <w:r>
        <w:rPr>
          <w:lang w:val="zh-CN" w:eastAsia="zh-CN"/>
        </w:rPr>
        <w:t>2025</w:t>
      </w:r>
      <w:r>
        <w:rPr>
          <w:lang w:val="zh-CN" w:eastAsia="zh-CN"/>
        </w:rPr>
        <w:t>年</w:t>
      </w:r>
      <w:r>
        <w:rPr>
          <w:lang w:val="zh-CN" w:eastAsia="zh-CN"/>
        </w:rPr>
        <w:t>6</w:t>
      </w:r>
      <w:r>
        <w:rPr>
          <w:lang w:val="zh-CN" w:eastAsia="zh-CN"/>
        </w:rPr>
        <w:t>月的会议上审议了与国际电联新总部项目及其财务和运作影响有关的</w:t>
      </w:r>
      <w:r>
        <w:rPr>
          <w:rFonts w:hint="eastAsia"/>
          <w:lang w:val="zh-CN" w:eastAsia="zh-CN"/>
        </w:rPr>
        <w:t>若干</w:t>
      </w:r>
      <w:r>
        <w:rPr>
          <w:lang w:val="zh-CN" w:eastAsia="zh-CN"/>
        </w:rPr>
        <w:t>文件。</w:t>
      </w:r>
    </w:p>
    <w:p w14:paraId="161B6802" w14:textId="77777777" w:rsidR="007078CF" w:rsidRPr="00474505" w:rsidRDefault="007078CF" w:rsidP="008D558D">
      <w:pPr>
        <w:ind w:firstLineChars="200" w:firstLine="480"/>
        <w:rPr>
          <w:rFonts w:asciiTheme="minorHAnsi" w:hAnsiTheme="minorHAnsi" w:cstheme="minorHAnsi"/>
          <w:szCs w:val="24"/>
          <w:lang w:eastAsia="zh-CN"/>
        </w:rPr>
      </w:pPr>
      <w:r>
        <w:rPr>
          <w:lang w:val="zh-CN" w:eastAsia="zh-CN"/>
        </w:rPr>
        <w:t>秘书处向理事会</w:t>
      </w:r>
      <w:r>
        <w:rPr>
          <w:lang w:val="zh-CN" w:eastAsia="zh-CN"/>
        </w:rPr>
        <w:t>2025</w:t>
      </w:r>
      <w:r>
        <w:rPr>
          <w:lang w:val="zh-CN" w:eastAsia="zh-CN"/>
        </w:rPr>
        <w:t>年会议提交的报告及其向</w:t>
      </w:r>
      <w:r>
        <w:rPr>
          <w:lang w:val="zh-CN" w:eastAsia="zh-CN"/>
        </w:rPr>
        <w:t>CWG-FHR</w:t>
      </w:r>
      <w:r>
        <w:rPr>
          <w:lang w:val="zh-CN" w:eastAsia="zh-CN"/>
        </w:rPr>
        <w:t>第</w:t>
      </w:r>
      <w:r>
        <w:rPr>
          <w:lang w:val="zh-CN" w:eastAsia="zh-CN"/>
        </w:rPr>
        <w:t>21</w:t>
      </w:r>
      <w:r>
        <w:rPr>
          <w:lang w:val="zh-CN" w:eastAsia="zh-CN"/>
        </w:rPr>
        <w:t>次会议提交的最新情况强调了</w:t>
      </w:r>
      <w:r>
        <w:rPr>
          <w:lang w:val="zh-CN" w:eastAsia="zh-CN"/>
        </w:rPr>
        <w:t>2028</w:t>
      </w:r>
      <w:r>
        <w:rPr>
          <w:lang w:val="zh-CN" w:eastAsia="zh-CN"/>
        </w:rPr>
        <w:t>年</w:t>
      </w:r>
      <w:r>
        <w:rPr>
          <w:lang w:val="zh-CN" w:eastAsia="zh-CN"/>
        </w:rPr>
        <w:t>10</w:t>
      </w:r>
      <w:r>
        <w:rPr>
          <w:lang w:val="zh-CN" w:eastAsia="zh-CN"/>
        </w:rPr>
        <w:t>月</w:t>
      </w:r>
      <w:r>
        <w:rPr>
          <w:lang w:val="zh-CN" w:eastAsia="zh-CN"/>
        </w:rPr>
        <w:t>1</w:t>
      </w:r>
      <w:r>
        <w:rPr>
          <w:lang w:val="zh-CN" w:eastAsia="zh-CN"/>
        </w:rPr>
        <w:t>日至</w:t>
      </w:r>
      <w:r>
        <w:rPr>
          <w:lang w:val="zh-CN" w:eastAsia="zh-CN"/>
        </w:rPr>
        <w:t>2029</w:t>
      </w:r>
      <w:r>
        <w:rPr>
          <w:lang w:val="zh-CN" w:eastAsia="zh-CN"/>
        </w:rPr>
        <w:t>年</w:t>
      </w:r>
      <w:r>
        <w:rPr>
          <w:lang w:val="zh-CN" w:eastAsia="zh-CN"/>
        </w:rPr>
        <w:t>12</w:t>
      </w:r>
      <w:r>
        <w:rPr>
          <w:lang w:val="zh-CN" w:eastAsia="zh-CN"/>
        </w:rPr>
        <w:t>月期间日内瓦会议设施供应压力日益增加所带来的挑战，以及与租用外部场所相关的额外费用，以及需要采取财务上可持续的解决方案来确保业务连续性。</w:t>
      </w:r>
    </w:p>
    <w:p w14:paraId="3471D817" w14:textId="77777777" w:rsidR="007078CF" w:rsidRPr="00474505" w:rsidRDefault="007078CF" w:rsidP="008D558D">
      <w:pPr>
        <w:ind w:firstLineChars="200" w:firstLine="480"/>
        <w:rPr>
          <w:rFonts w:asciiTheme="minorHAnsi" w:hAnsiTheme="minorHAnsi" w:cstheme="minorHAnsi"/>
          <w:szCs w:val="24"/>
          <w:lang w:eastAsia="zh-CN"/>
        </w:rPr>
      </w:pPr>
      <w:r>
        <w:rPr>
          <w:lang w:val="zh-CN" w:eastAsia="zh-CN"/>
        </w:rPr>
        <w:t>通过</w:t>
      </w:r>
      <w:r>
        <w:rPr>
          <w:rFonts w:hint="eastAsia"/>
          <w:lang w:val="zh-CN" w:eastAsia="zh-CN"/>
        </w:rPr>
        <w:t>向</w:t>
      </w:r>
      <w:r>
        <w:rPr>
          <w:lang w:val="zh-CN" w:eastAsia="zh-CN"/>
        </w:rPr>
        <w:t>ADM</w:t>
      </w:r>
      <w:r>
        <w:rPr>
          <w:lang w:val="zh-CN" w:eastAsia="zh-CN"/>
        </w:rPr>
        <w:t>提交的</w:t>
      </w:r>
      <w:hyperlink r:id="rId11" w:history="1">
        <w:r w:rsidRPr="00FD486A">
          <w:rPr>
            <w:rStyle w:val="Hyperlink"/>
            <w:rFonts w:asciiTheme="minorHAnsi" w:eastAsia="SimSun" w:hAnsiTheme="minorHAnsi" w:cstheme="minorHAnsi"/>
            <w:szCs w:val="24"/>
            <w:lang w:eastAsia="zh-CN"/>
          </w:rPr>
          <w:t>C26/65</w:t>
        </w:r>
      </w:hyperlink>
      <w:r>
        <w:rPr>
          <w:lang w:val="zh-CN" w:eastAsia="zh-CN"/>
        </w:rPr>
        <w:t>号文件，秘书处建议减少</w:t>
      </w:r>
      <w:r>
        <w:rPr>
          <w:lang w:val="zh-CN" w:eastAsia="zh-CN"/>
        </w:rPr>
        <w:t>CWG</w:t>
      </w:r>
      <w:r>
        <w:rPr>
          <w:lang w:val="zh-CN" w:eastAsia="zh-CN"/>
        </w:rPr>
        <w:t>会议的频次，并停止与阿拉伯联合酋长国和肯尼亚就</w:t>
      </w:r>
      <w:r>
        <w:rPr>
          <w:rFonts w:hint="eastAsia"/>
          <w:lang w:val="zh-CN" w:eastAsia="zh-CN"/>
        </w:rPr>
        <w:t>承办</w:t>
      </w:r>
      <w:r>
        <w:rPr>
          <w:lang w:val="zh-CN" w:eastAsia="zh-CN"/>
        </w:rPr>
        <w:t>国际电联会议中心的问题进行讨论，理由主要是由于资金限制和会议设施短缺，难以在日内瓦获得会议地点。</w:t>
      </w:r>
      <w:hyperlink r:id="rId12" w:history="1"/>
    </w:p>
    <w:p w14:paraId="0E7BA926" w14:textId="2C99AFAC" w:rsidR="007078CF" w:rsidRPr="008D558D" w:rsidRDefault="007078CF" w:rsidP="008D558D">
      <w:pPr>
        <w:pStyle w:val="Heading1"/>
        <w:rPr>
          <w:lang w:eastAsia="zh-CN"/>
        </w:rPr>
      </w:pPr>
      <w:r w:rsidRPr="008D558D">
        <w:rPr>
          <w:lang w:eastAsia="zh-CN"/>
        </w:rPr>
        <w:t>2</w:t>
      </w:r>
      <w:r w:rsidR="008D558D">
        <w:rPr>
          <w:lang w:eastAsia="zh-CN"/>
        </w:rPr>
        <w:tab/>
      </w:r>
      <w:r w:rsidRPr="008D558D">
        <w:rPr>
          <w:lang w:eastAsia="zh-CN"/>
        </w:rPr>
        <w:t>影响集中</w:t>
      </w:r>
      <w:r w:rsidRPr="008D558D">
        <w:rPr>
          <w:rFonts w:hint="eastAsia"/>
          <w:lang w:eastAsia="zh-CN"/>
        </w:rPr>
        <w:t>召开</w:t>
      </w:r>
      <w:r w:rsidRPr="008D558D">
        <w:rPr>
          <w:lang w:eastAsia="zh-CN"/>
        </w:rPr>
        <w:t>CWG</w:t>
      </w:r>
      <w:r w:rsidRPr="008D558D">
        <w:rPr>
          <w:rFonts w:hint="eastAsia"/>
          <w:lang w:eastAsia="zh-CN"/>
        </w:rPr>
        <w:t>会议</w:t>
      </w:r>
      <w:r w:rsidRPr="008D558D">
        <w:rPr>
          <w:lang w:eastAsia="zh-CN"/>
        </w:rPr>
        <w:t>的</w:t>
      </w:r>
      <w:r w:rsidRPr="008D558D">
        <w:rPr>
          <w:rFonts w:hint="eastAsia"/>
          <w:lang w:eastAsia="zh-CN"/>
        </w:rPr>
        <w:t>业务</w:t>
      </w:r>
      <w:r w:rsidRPr="008D558D">
        <w:rPr>
          <w:lang w:eastAsia="zh-CN"/>
        </w:rPr>
        <w:t>连续性挑战和机构风险</w:t>
      </w:r>
    </w:p>
    <w:p w14:paraId="3914D286" w14:textId="77777777" w:rsidR="007078CF" w:rsidRPr="00474505" w:rsidRDefault="007078CF" w:rsidP="000F063F">
      <w:pPr>
        <w:snapToGrid w:val="0"/>
        <w:ind w:firstLineChars="200" w:firstLine="480"/>
        <w:rPr>
          <w:rFonts w:asciiTheme="minorHAnsi" w:hAnsiTheme="minorHAnsi" w:cstheme="minorHAnsi"/>
          <w:szCs w:val="24"/>
          <w:lang w:eastAsia="zh-CN"/>
        </w:rPr>
      </w:pPr>
      <w:r>
        <w:rPr>
          <w:lang w:val="zh-CN" w:eastAsia="zh-CN"/>
        </w:rPr>
        <w:t>鉴于国际电联总部的拆除和重建工程，</w:t>
      </w:r>
      <w:r>
        <w:rPr>
          <w:lang w:val="zh-CN" w:eastAsia="zh-CN"/>
        </w:rPr>
        <w:t>CWG</w:t>
      </w:r>
      <w:r>
        <w:rPr>
          <w:lang w:val="zh-CN" w:eastAsia="zh-CN"/>
        </w:rPr>
        <w:t>的系列会议可能会受到某些限制，因为预计自</w:t>
      </w:r>
      <w:r>
        <w:rPr>
          <w:lang w:val="zh-CN" w:eastAsia="zh-CN"/>
        </w:rPr>
        <w:t>2028</w:t>
      </w:r>
      <w:r>
        <w:rPr>
          <w:lang w:val="zh-CN" w:eastAsia="zh-CN"/>
        </w:rPr>
        <w:t>年</w:t>
      </w:r>
      <w:r>
        <w:rPr>
          <w:lang w:val="zh-CN" w:eastAsia="zh-CN"/>
        </w:rPr>
        <w:t>10</w:t>
      </w:r>
      <w:r>
        <w:rPr>
          <w:lang w:val="zh-CN" w:eastAsia="zh-CN"/>
        </w:rPr>
        <w:t>月</w:t>
      </w:r>
      <w:r>
        <w:rPr>
          <w:lang w:val="zh-CN" w:eastAsia="zh-CN"/>
        </w:rPr>
        <w:t>1</w:t>
      </w:r>
      <w:r>
        <w:rPr>
          <w:lang w:val="zh-CN" w:eastAsia="zh-CN"/>
        </w:rPr>
        <w:t>日起，甚至可能在</w:t>
      </w:r>
      <w:r>
        <w:rPr>
          <w:lang w:val="zh-CN" w:eastAsia="zh-CN"/>
        </w:rPr>
        <w:t>2029</w:t>
      </w:r>
      <w:r>
        <w:rPr>
          <w:lang w:val="zh-CN" w:eastAsia="zh-CN"/>
        </w:rPr>
        <w:t>年全年，日内瓦的会议设施将无法使用。这种情况</w:t>
      </w:r>
      <w:r>
        <w:rPr>
          <w:rFonts w:hint="eastAsia"/>
          <w:lang w:val="zh-CN" w:eastAsia="zh-CN"/>
        </w:rPr>
        <w:t>加之以</w:t>
      </w:r>
      <w:r>
        <w:rPr>
          <w:lang w:val="zh-CN" w:eastAsia="zh-CN"/>
        </w:rPr>
        <w:t>日内瓦可用的替代设施有限，可能会产生目前未反映在国际电联预算中的额外费用。此外，由于缺乏详细的可比较性财务数据，全面评估总体预算影响可能更具挑战性。</w:t>
      </w:r>
    </w:p>
    <w:p w14:paraId="6EDD2F9A" w14:textId="77777777" w:rsidR="007078CF" w:rsidRPr="00474505" w:rsidRDefault="007078CF" w:rsidP="000F063F">
      <w:pPr>
        <w:snapToGrid w:val="0"/>
        <w:ind w:firstLineChars="200" w:firstLine="480"/>
        <w:rPr>
          <w:rFonts w:asciiTheme="minorHAnsi" w:hAnsiTheme="minorHAnsi" w:cstheme="minorHAnsi"/>
          <w:szCs w:val="24"/>
          <w:lang w:eastAsia="zh-CN"/>
        </w:rPr>
      </w:pPr>
      <w:r>
        <w:rPr>
          <w:lang w:val="zh-CN" w:eastAsia="zh-CN"/>
        </w:rPr>
        <w:t>除后勤方面的考虑外，</w:t>
      </w:r>
      <w:r>
        <w:rPr>
          <w:lang w:eastAsia="zh-CN"/>
        </w:rPr>
        <w:t>这一背景还可能引发</w:t>
      </w:r>
      <w:r>
        <w:rPr>
          <w:lang w:val="zh-CN" w:eastAsia="zh-CN"/>
        </w:rPr>
        <w:t>某些制度方面的考虑。作为支持理事会工作的关键机构，</w:t>
      </w:r>
      <w:r>
        <w:rPr>
          <w:lang w:val="zh-CN" w:eastAsia="zh-CN"/>
        </w:rPr>
        <w:t>CWG</w:t>
      </w:r>
      <w:r>
        <w:rPr>
          <w:rFonts w:hint="eastAsia"/>
          <w:lang w:val="zh-CN" w:eastAsia="zh-CN"/>
        </w:rPr>
        <w:t>在</w:t>
      </w:r>
      <w:r>
        <w:rPr>
          <w:lang w:val="zh-CN" w:eastAsia="zh-CN"/>
        </w:rPr>
        <w:t>为</w:t>
      </w:r>
      <w:r>
        <w:rPr>
          <w:rFonts w:hint="eastAsia"/>
          <w:lang w:val="zh-CN" w:eastAsia="zh-CN"/>
        </w:rPr>
        <w:t>各项决定做出</w:t>
      </w:r>
      <w:r>
        <w:rPr>
          <w:lang w:val="zh-CN" w:eastAsia="zh-CN"/>
        </w:rPr>
        <w:t>技术、财务和战略准备工作</w:t>
      </w:r>
      <w:r>
        <w:rPr>
          <w:rFonts w:hint="eastAsia"/>
          <w:lang w:val="zh-CN" w:eastAsia="zh-CN"/>
        </w:rPr>
        <w:t>方面</w:t>
      </w:r>
      <w:r>
        <w:rPr>
          <w:lang w:eastAsia="zh-CN"/>
        </w:rPr>
        <w:t>发挥着重要作用</w:t>
      </w:r>
      <w:r>
        <w:rPr>
          <w:lang w:val="zh-CN" w:eastAsia="zh-CN"/>
        </w:rPr>
        <w:t>。</w:t>
      </w:r>
      <w:r>
        <w:rPr>
          <w:lang w:eastAsia="zh-CN"/>
        </w:rPr>
        <w:t>其工作若受到任何干扰，</w:t>
      </w:r>
      <w:r>
        <w:rPr>
          <w:lang w:val="zh-CN" w:eastAsia="zh-CN"/>
        </w:rPr>
        <w:t>都可能</w:t>
      </w:r>
      <w:r>
        <w:rPr>
          <w:lang w:eastAsia="zh-CN"/>
        </w:rPr>
        <w:t>影响</w:t>
      </w:r>
      <w:r>
        <w:rPr>
          <w:lang w:val="zh-CN" w:eastAsia="zh-CN"/>
        </w:rPr>
        <w:t>筹备工作的及时性、分析的质量以及成员国之间磋商的连续性。</w:t>
      </w:r>
    </w:p>
    <w:p w14:paraId="36780761" w14:textId="77777777" w:rsidR="007078CF" w:rsidRPr="00474505" w:rsidRDefault="007078CF" w:rsidP="000F063F">
      <w:pPr>
        <w:snapToGrid w:val="0"/>
        <w:ind w:firstLineChars="200" w:firstLine="480"/>
        <w:rPr>
          <w:rFonts w:asciiTheme="minorHAnsi" w:hAnsiTheme="minorHAnsi" w:cstheme="minorHAnsi"/>
          <w:szCs w:val="24"/>
          <w:lang w:eastAsia="zh-CN"/>
        </w:rPr>
      </w:pPr>
      <w:r>
        <w:rPr>
          <w:lang w:val="zh-CN" w:eastAsia="zh-CN"/>
        </w:rPr>
        <w:t>反过来，这可能对理事会的运作产生影响，因为理事会是国际电联在两届全权代表大会之间的唯一决策机构，在有限的时间</w:t>
      </w:r>
      <w:r>
        <w:rPr>
          <w:rFonts w:hint="eastAsia"/>
          <w:lang w:val="zh-CN" w:eastAsia="zh-CN"/>
        </w:rPr>
        <w:t>框架</w:t>
      </w:r>
      <w:r>
        <w:rPr>
          <w:lang w:val="zh-CN" w:eastAsia="zh-CN"/>
        </w:rPr>
        <w:t>内运作。</w:t>
      </w:r>
      <w:r>
        <w:rPr>
          <w:lang w:eastAsia="zh-CN"/>
        </w:rPr>
        <w:t>如果</w:t>
      </w:r>
      <w:r>
        <w:rPr>
          <w:lang w:val="zh-CN" w:eastAsia="zh-CN"/>
        </w:rPr>
        <w:t>理事会工作组</w:t>
      </w:r>
      <w:r>
        <w:rPr>
          <w:lang w:eastAsia="zh-CN"/>
        </w:rPr>
        <w:t>未能提供</w:t>
      </w:r>
      <w:r>
        <w:rPr>
          <w:lang w:val="zh-CN" w:eastAsia="zh-CN"/>
        </w:rPr>
        <w:t>足够的筹备输入意见，理事会可能需要在更</w:t>
      </w:r>
      <w:r>
        <w:rPr>
          <w:rFonts w:hint="eastAsia"/>
          <w:lang w:val="zh-CN" w:eastAsia="zh-CN"/>
        </w:rPr>
        <w:t>为</w:t>
      </w:r>
      <w:r>
        <w:rPr>
          <w:lang w:eastAsia="zh-CN"/>
        </w:rPr>
        <w:t>受限</w:t>
      </w:r>
      <w:r>
        <w:rPr>
          <w:lang w:val="zh-CN" w:eastAsia="zh-CN"/>
        </w:rPr>
        <w:t>的条件下处理复杂</w:t>
      </w:r>
      <w:r>
        <w:rPr>
          <w:lang w:eastAsia="zh-CN"/>
        </w:rPr>
        <w:t>事务</w:t>
      </w:r>
      <w:r>
        <w:rPr>
          <w:lang w:val="zh-CN" w:eastAsia="zh-CN"/>
        </w:rPr>
        <w:t>，这可能会影响决策过程的效率和透明度，以及国际电联的整体治理。</w:t>
      </w:r>
    </w:p>
    <w:p w14:paraId="14E83520" w14:textId="77777777" w:rsidR="000F063F" w:rsidRDefault="000F063F">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35BFE563" w14:textId="2F02AE5F" w:rsidR="007078CF" w:rsidRPr="008D558D" w:rsidRDefault="007078CF" w:rsidP="008D558D">
      <w:pPr>
        <w:pStyle w:val="Heading1"/>
        <w:rPr>
          <w:lang w:eastAsia="zh-CN"/>
        </w:rPr>
      </w:pPr>
      <w:r w:rsidRPr="008D558D">
        <w:rPr>
          <w:lang w:eastAsia="zh-CN"/>
        </w:rPr>
        <w:lastRenderedPageBreak/>
        <w:t>3</w:t>
      </w:r>
      <w:r w:rsidR="008D558D">
        <w:rPr>
          <w:lang w:eastAsia="zh-CN"/>
        </w:rPr>
        <w:tab/>
      </w:r>
      <w:r w:rsidRPr="008D558D">
        <w:rPr>
          <w:lang w:eastAsia="zh-CN"/>
        </w:rPr>
        <w:t>提案</w:t>
      </w:r>
    </w:p>
    <w:p w14:paraId="1DCFD5F1" w14:textId="77777777" w:rsidR="007078CF" w:rsidRPr="00474505" w:rsidRDefault="007078CF" w:rsidP="000F063F">
      <w:pPr>
        <w:keepNext/>
        <w:keepLines/>
        <w:snapToGrid w:val="0"/>
        <w:ind w:firstLineChars="200" w:firstLine="480"/>
        <w:rPr>
          <w:rFonts w:asciiTheme="minorHAnsi" w:hAnsiTheme="minorHAnsi" w:cstheme="minorHAnsi"/>
          <w:szCs w:val="24"/>
          <w:lang w:eastAsia="zh-CN"/>
        </w:rPr>
      </w:pPr>
      <w:r>
        <w:rPr>
          <w:lang w:val="zh-CN" w:eastAsia="zh-CN"/>
        </w:rPr>
        <w:t>请理事会在其</w:t>
      </w:r>
      <w:r>
        <w:rPr>
          <w:lang w:val="zh-CN" w:eastAsia="zh-CN"/>
        </w:rPr>
        <w:t>2026</w:t>
      </w:r>
      <w:r>
        <w:rPr>
          <w:lang w:val="zh-CN" w:eastAsia="zh-CN"/>
        </w:rPr>
        <w:t>年会议上审议在</w:t>
      </w:r>
      <w:r>
        <w:rPr>
          <w:lang w:val="zh-CN" w:eastAsia="zh-CN"/>
        </w:rPr>
        <w:t>2028-2029</w:t>
      </w:r>
      <w:r>
        <w:rPr>
          <w:lang w:val="zh-CN" w:eastAsia="zh-CN"/>
        </w:rPr>
        <w:t>年期间组织</w:t>
      </w:r>
      <w:r>
        <w:rPr>
          <w:rFonts w:hint="eastAsia"/>
          <w:lang w:val="zh-CN" w:eastAsia="zh-CN"/>
        </w:rPr>
        <w:t>召开</w:t>
      </w:r>
      <w:r>
        <w:rPr>
          <w:lang w:val="zh-CN" w:eastAsia="zh-CN"/>
        </w:rPr>
        <w:t>理事会工作组会议的方式和备选方案。</w:t>
      </w:r>
    </w:p>
    <w:p w14:paraId="35DF17D9" w14:textId="494F4343" w:rsidR="00E323D0" w:rsidRDefault="007078CF" w:rsidP="000F063F">
      <w:pPr>
        <w:pStyle w:val="Reasons"/>
        <w:ind w:firstLineChars="200" w:firstLine="480"/>
        <w:rPr>
          <w:lang w:val="zh-CN" w:eastAsia="zh-CN"/>
        </w:rPr>
      </w:pPr>
      <w:r>
        <w:rPr>
          <w:lang w:val="zh-CN" w:eastAsia="zh-CN"/>
        </w:rPr>
        <w:t>在此方面，理事会</w:t>
      </w:r>
      <w:r>
        <w:rPr>
          <w:lang w:eastAsia="zh-CN"/>
        </w:rPr>
        <w:t>不妨</w:t>
      </w:r>
      <w:r>
        <w:rPr>
          <w:lang w:val="zh-CN" w:eastAsia="zh-CN"/>
        </w:rPr>
        <w:t>请秘书处提供一份详细的财务比较分析，包括可能的供资方案，探索一种务实的混合方法，包括</w:t>
      </w:r>
      <w:r>
        <w:rPr>
          <w:lang w:eastAsia="zh-CN"/>
        </w:rPr>
        <w:t>利</w:t>
      </w:r>
      <w:r>
        <w:rPr>
          <w:lang w:val="zh-CN" w:eastAsia="zh-CN"/>
        </w:rPr>
        <w:t>用日内瓦以外的瑞士设施，以及在感兴趣的成员国的支持下建立会议中心的可能性，以确保理事会工作组活动在财务可持续条件下的</w:t>
      </w:r>
      <w:r>
        <w:rPr>
          <w:rFonts w:hint="eastAsia"/>
          <w:lang w:val="zh-CN" w:eastAsia="zh-CN"/>
        </w:rPr>
        <w:t>业务</w:t>
      </w:r>
      <w:r>
        <w:rPr>
          <w:lang w:val="zh-CN" w:eastAsia="zh-CN"/>
        </w:rPr>
        <w:t>连续性。</w:t>
      </w:r>
    </w:p>
    <w:p w14:paraId="7078B76E" w14:textId="77777777" w:rsidR="000F063F" w:rsidRDefault="000F063F" w:rsidP="000F063F">
      <w:pPr>
        <w:pStyle w:val="Reasons"/>
        <w:rPr>
          <w:lang w:eastAsia="zh-CN"/>
        </w:rPr>
      </w:pPr>
    </w:p>
    <w:p w14:paraId="4AA2BBC5" w14:textId="77777777" w:rsidR="00E323D0" w:rsidRPr="00E323D0" w:rsidRDefault="00E323D0" w:rsidP="00E323D0">
      <w:pPr>
        <w:jc w:val="center"/>
      </w:pPr>
      <w:r>
        <w:t>______________</w:t>
      </w:r>
    </w:p>
    <w:sectPr w:rsidR="00E323D0" w:rsidRPr="00E323D0" w:rsidSect="00E24D59">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EE85" w14:textId="77777777" w:rsidR="009D6246" w:rsidRDefault="009D6246">
      <w:r>
        <w:separator/>
      </w:r>
    </w:p>
  </w:endnote>
  <w:endnote w:type="continuationSeparator" w:id="0">
    <w:p w14:paraId="128C9FB8" w14:textId="77777777" w:rsidR="009D6246" w:rsidRDefault="009D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63E909A" w14:textId="77777777" w:rsidTr="00E31DCE">
      <w:trPr>
        <w:jc w:val="center"/>
      </w:trPr>
      <w:tc>
        <w:tcPr>
          <w:tcW w:w="1803" w:type="dxa"/>
          <w:vAlign w:val="center"/>
        </w:tcPr>
        <w:p w14:paraId="1B8CB857" w14:textId="34DFC1DF" w:rsidR="00E24D59" w:rsidRPr="007078CF"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7078CF">
            <w:rPr>
              <w:rFonts w:eastAsiaTheme="minorEastAsia" w:hint="eastAsia"/>
              <w:noProof/>
              <w:color w:val="808080" w:themeColor="background1" w:themeShade="80"/>
              <w:lang w:eastAsia="zh-CN"/>
            </w:rPr>
            <w:t xml:space="preserve"> 2600981</w:t>
          </w:r>
        </w:p>
      </w:tc>
      <w:tc>
        <w:tcPr>
          <w:tcW w:w="8261" w:type="dxa"/>
        </w:tcPr>
        <w:p w14:paraId="0088AC17" w14:textId="04D2EBB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7078CF">
            <w:rPr>
              <w:rFonts w:eastAsiaTheme="minorEastAsia" w:hint="eastAsia"/>
              <w:bCs/>
              <w:color w:val="808080" w:themeColor="background1" w:themeShade="80"/>
              <w:lang w:eastAsia="zh-CN"/>
            </w:rPr>
            <w:t>105</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93E17CB"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BB133C3" w14:textId="77777777" w:rsidTr="00E31DCE">
      <w:trPr>
        <w:jc w:val="center"/>
      </w:trPr>
      <w:tc>
        <w:tcPr>
          <w:tcW w:w="1803" w:type="dxa"/>
          <w:vAlign w:val="center"/>
        </w:tcPr>
        <w:p w14:paraId="5BC1CCAD"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34D5DDF8" w14:textId="41C85FE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7078CF">
            <w:rPr>
              <w:rFonts w:eastAsiaTheme="minorEastAsia" w:hint="eastAsia"/>
              <w:bCs/>
              <w:color w:val="808080" w:themeColor="background1" w:themeShade="80"/>
              <w:lang w:eastAsia="zh-CN"/>
            </w:rPr>
            <w:t>105</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281B69F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E5DD" w14:textId="77777777" w:rsidR="009D6246" w:rsidRDefault="009D6246">
      <w:r>
        <w:t>____________________</w:t>
      </w:r>
    </w:p>
  </w:footnote>
  <w:footnote w:type="continuationSeparator" w:id="0">
    <w:p w14:paraId="6CF9A673" w14:textId="77777777" w:rsidR="009D6246" w:rsidRDefault="009D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FA63"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46"/>
    <w:rsid w:val="00001B77"/>
    <w:rsid w:val="0000517A"/>
    <w:rsid w:val="0000538F"/>
    <w:rsid w:val="00031E72"/>
    <w:rsid w:val="000404D2"/>
    <w:rsid w:val="000646BD"/>
    <w:rsid w:val="000853C0"/>
    <w:rsid w:val="00093DD9"/>
    <w:rsid w:val="0009409E"/>
    <w:rsid w:val="000A1C21"/>
    <w:rsid w:val="000C0BC5"/>
    <w:rsid w:val="000D15EA"/>
    <w:rsid w:val="000D5BEB"/>
    <w:rsid w:val="000D7012"/>
    <w:rsid w:val="000F063F"/>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303502"/>
    <w:rsid w:val="00320AFC"/>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B5170"/>
    <w:rsid w:val="004C4C94"/>
    <w:rsid w:val="004D163F"/>
    <w:rsid w:val="004E4BFF"/>
    <w:rsid w:val="004F2598"/>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54257"/>
    <w:rsid w:val="0065435A"/>
    <w:rsid w:val="00670D8A"/>
    <w:rsid w:val="006A2DD3"/>
    <w:rsid w:val="006A3087"/>
    <w:rsid w:val="006A5113"/>
    <w:rsid w:val="006A5AF8"/>
    <w:rsid w:val="006C36CD"/>
    <w:rsid w:val="00700D1F"/>
    <w:rsid w:val="007078C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D558D"/>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D6246"/>
    <w:rsid w:val="009F1E3E"/>
    <w:rsid w:val="00A01F4F"/>
    <w:rsid w:val="00A109AF"/>
    <w:rsid w:val="00A1213C"/>
    <w:rsid w:val="00A13406"/>
    <w:rsid w:val="00A272FF"/>
    <w:rsid w:val="00A5354B"/>
    <w:rsid w:val="00A71B57"/>
    <w:rsid w:val="00A800C5"/>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A99"/>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9E1B3"/>
  <w15:docId w15:val="{DFD7CC27-F5A5-47DD-93F6-C40A3E45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0/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L-C-0065/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L-C-0065/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S24-CL-C-0132/en" TargetMode="External"/><Relationship Id="rId4" Type="http://schemas.openxmlformats.org/officeDocument/2006/relationships/settings" Target="settings.xml"/><Relationship Id="rId9" Type="http://schemas.openxmlformats.org/officeDocument/2006/relationships/hyperlink" Target="https://www.itu.int/md/S25-CL-C-0122/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3</Pages>
  <Words>1358</Words>
  <Characters>452</Characters>
  <Application>Microsoft Office Word</Application>
  <DocSecurity>0</DocSecurity>
  <Lines>21</Lines>
  <Paragraphs>34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1776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of Council Working Group meetings</dc:title>
  <dc:subject>ITU Council 2026</dc:subject>
  <cp:keywords>C26; C2026; Council 2026; PP26</cp:keywords>
  <dc:description/>
  <cp:lastPrinted>2015-02-24T13:23:00Z</cp:lastPrinted>
  <dcterms:created xsi:type="dcterms:W3CDTF">2026-04-24T13:18:00Z</dcterms:created>
  <dcterms:modified xsi:type="dcterms:W3CDTF">2026-04-24T13:19:00Z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