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33984A52" w14:textId="77777777" w:rsidTr="00954C49">
        <w:trPr>
          <w:cantSplit/>
          <w:trHeight w:val="23"/>
        </w:trPr>
        <w:tc>
          <w:tcPr>
            <w:tcW w:w="3969" w:type="dxa"/>
            <w:vMerge w:val="restart"/>
            <w:tcMar>
              <w:left w:w="0" w:type="dxa"/>
            </w:tcMar>
          </w:tcPr>
          <w:p w14:paraId="7B3EDC5A" w14:textId="00E863DD"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CE706B">
              <w:rPr>
                <w:b/>
              </w:rPr>
              <w:t>PL-2</w:t>
            </w:r>
          </w:p>
        </w:tc>
        <w:tc>
          <w:tcPr>
            <w:tcW w:w="5245" w:type="dxa"/>
          </w:tcPr>
          <w:p w14:paraId="35986CF2" w14:textId="507410AE"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00CE706B">
              <w:rPr>
                <w:b/>
              </w:rPr>
              <w:t>/</w:t>
            </w:r>
            <w:r w:rsidR="009C0AA7">
              <w:rPr>
                <w:b/>
              </w:rPr>
              <w:t>104</w:t>
            </w:r>
            <w:r w:rsidRPr="00C0458D">
              <w:rPr>
                <w:b/>
              </w:rPr>
              <w:t>-E</w:t>
            </w:r>
          </w:p>
        </w:tc>
      </w:tr>
      <w:tr w:rsidR="00AD3606" w:rsidRPr="00C0458D" w14:paraId="3CF03AAD" w14:textId="77777777" w:rsidTr="00954C49">
        <w:trPr>
          <w:cantSplit/>
        </w:trPr>
        <w:tc>
          <w:tcPr>
            <w:tcW w:w="3969" w:type="dxa"/>
            <w:vMerge/>
          </w:tcPr>
          <w:p w14:paraId="7467ED6C"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520C4CEE" w14:textId="09E72930" w:rsidR="00AD3606" w:rsidRPr="00C0458D" w:rsidRDefault="00CE706B" w:rsidP="00954C49">
            <w:pPr>
              <w:tabs>
                <w:tab w:val="left" w:pos="851"/>
              </w:tabs>
              <w:spacing w:before="0"/>
              <w:jc w:val="right"/>
              <w:rPr>
                <w:b/>
              </w:rPr>
            </w:pPr>
            <w:r>
              <w:rPr>
                <w:b/>
              </w:rPr>
              <w:t>1</w:t>
            </w:r>
            <w:r w:rsidR="009C0AA7">
              <w:rPr>
                <w:b/>
              </w:rPr>
              <w:t>5</w:t>
            </w:r>
            <w:r>
              <w:rPr>
                <w:b/>
              </w:rPr>
              <w:t xml:space="preserve"> April 2026</w:t>
            </w:r>
          </w:p>
        </w:tc>
      </w:tr>
      <w:tr w:rsidR="00AD3606" w:rsidRPr="00C0458D" w14:paraId="647F4C7A" w14:textId="77777777" w:rsidTr="00954C49">
        <w:trPr>
          <w:cantSplit/>
          <w:trHeight w:val="23"/>
        </w:trPr>
        <w:tc>
          <w:tcPr>
            <w:tcW w:w="3969" w:type="dxa"/>
            <w:vMerge/>
          </w:tcPr>
          <w:p w14:paraId="6707CE1F"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317B5BD8"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1A0DF624" w14:textId="77777777" w:rsidTr="00954C49">
        <w:trPr>
          <w:cantSplit/>
          <w:trHeight w:val="23"/>
        </w:trPr>
        <w:tc>
          <w:tcPr>
            <w:tcW w:w="3969" w:type="dxa"/>
          </w:tcPr>
          <w:p w14:paraId="02A5CA74" w14:textId="77777777" w:rsidR="00472BAD" w:rsidRPr="00C0458D" w:rsidRDefault="00472BAD" w:rsidP="00954C49">
            <w:pPr>
              <w:tabs>
                <w:tab w:val="left" w:pos="851"/>
              </w:tabs>
              <w:spacing w:line="240" w:lineRule="atLeast"/>
              <w:rPr>
                <w:b/>
              </w:rPr>
            </w:pPr>
          </w:p>
        </w:tc>
        <w:tc>
          <w:tcPr>
            <w:tcW w:w="5245" w:type="dxa"/>
          </w:tcPr>
          <w:p w14:paraId="2D54675C" w14:textId="77777777" w:rsidR="00472BAD" w:rsidRPr="00C0458D" w:rsidRDefault="00472BAD" w:rsidP="00954C49">
            <w:pPr>
              <w:tabs>
                <w:tab w:val="left" w:pos="851"/>
              </w:tabs>
              <w:spacing w:before="0" w:line="240" w:lineRule="atLeast"/>
              <w:jc w:val="right"/>
              <w:rPr>
                <w:b/>
              </w:rPr>
            </w:pPr>
          </w:p>
        </w:tc>
      </w:tr>
      <w:tr w:rsidR="00AD3606" w:rsidRPr="00C0458D" w14:paraId="6D437DFB" w14:textId="77777777" w:rsidTr="00954C49">
        <w:trPr>
          <w:cantSplit/>
        </w:trPr>
        <w:tc>
          <w:tcPr>
            <w:tcW w:w="9214" w:type="dxa"/>
            <w:gridSpan w:val="2"/>
            <w:tcMar>
              <w:left w:w="0" w:type="dxa"/>
            </w:tcMar>
          </w:tcPr>
          <w:p w14:paraId="24A872A9" w14:textId="0F0FC6A8" w:rsidR="00AD3606" w:rsidRPr="00C0458D" w:rsidRDefault="00CE706B" w:rsidP="00954C49">
            <w:pPr>
              <w:pStyle w:val="Source"/>
              <w:framePr w:hSpace="0" w:wrap="auto" w:vAnchor="margin" w:hAnchor="text" w:yAlign="inline"/>
            </w:pPr>
            <w:bookmarkStart w:id="8" w:name="dsource" w:colFirst="0" w:colLast="0"/>
            <w:bookmarkEnd w:id="7"/>
            <w:r w:rsidRPr="00031562">
              <w:t>Contribution by Ghana,</w:t>
            </w:r>
            <w:r w:rsidR="009C0AA7" w:rsidRPr="00031562">
              <w:t xml:space="preserve"> Nigeria (Federal Republic</w:t>
            </w:r>
            <w:r w:rsidR="009C0AA7">
              <w:t xml:space="preserve"> of</w:t>
            </w:r>
            <w:r w:rsidR="009C0AA7" w:rsidRPr="00031562">
              <w:t>)</w:t>
            </w:r>
            <w:r w:rsidR="009C0AA7">
              <w:t>,</w:t>
            </w:r>
            <w:r w:rsidRPr="00031562">
              <w:t xml:space="preserve"> South Africa (Republic of) </w:t>
            </w:r>
          </w:p>
        </w:tc>
      </w:tr>
      <w:tr w:rsidR="00AD3606" w:rsidRPr="00C0458D" w14:paraId="5DA031E7" w14:textId="77777777" w:rsidTr="00954C49">
        <w:trPr>
          <w:cantSplit/>
        </w:trPr>
        <w:tc>
          <w:tcPr>
            <w:tcW w:w="9214" w:type="dxa"/>
            <w:gridSpan w:val="2"/>
            <w:tcMar>
              <w:left w:w="0" w:type="dxa"/>
            </w:tcMar>
          </w:tcPr>
          <w:p w14:paraId="5144F60D" w14:textId="35AC0FD8" w:rsidR="00AD3606" w:rsidRPr="005065E7" w:rsidRDefault="00C9116A" w:rsidP="005065E7">
            <w:pPr>
              <w:pStyle w:val="Subtitle"/>
              <w:framePr w:hSpace="0" w:wrap="auto" w:hAnchor="text" w:xAlign="left" w:yAlign="inline"/>
              <w:rPr>
                <w:sz w:val="30"/>
                <w:szCs w:val="30"/>
              </w:rPr>
            </w:pPr>
            <w:bookmarkStart w:id="9" w:name="dtitle1" w:colFirst="0" w:colLast="0"/>
            <w:bookmarkEnd w:id="8"/>
            <w:r w:rsidRPr="005065E7">
              <w:rPr>
                <w:sz w:val="30"/>
                <w:szCs w:val="30"/>
              </w:rPr>
              <w:t xml:space="preserve">REVIEW </w:t>
            </w:r>
            <w:r>
              <w:rPr>
                <w:sz w:val="30"/>
                <w:szCs w:val="30"/>
              </w:rPr>
              <w:t>A</w:t>
            </w:r>
            <w:r w:rsidRPr="005065E7">
              <w:rPr>
                <w:sz w:val="30"/>
                <w:szCs w:val="30"/>
              </w:rPr>
              <w:t xml:space="preserve">ND REVISION </w:t>
            </w:r>
            <w:r>
              <w:rPr>
                <w:sz w:val="30"/>
                <w:szCs w:val="30"/>
              </w:rPr>
              <w:t>O</w:t>
            </w:r>
            <w:r w:rsidRPr="005065E7">
              <w:rPr>
                <w:sz w:val="30"/>
                <w:szCs w:val="30"/>
              </w:rPr>
              <w:t xml:space="preserve">F </w:t>
            </w:r>
            <w:r>
              <w:rPr>
                <w:sz w:val="30"/>
                <w:szCs w:val="30"/>
              </w:rPr>
              <w:t>T</w:t>
            </w:r>
            <w:r w:rsidRPr="005065E7">
              <w:rPr>
                <w:sz w:val="30"/>
                <w:szCs w:val="30"/>
              </w:rPr>
              <w:t xml:space="preserve">HE </w:t>
            </w:r>
            <w:r>
              <w:rPr>
                <w:sz w:val="30"/>
                <w:szCs w:val="30"/>
              </w:rPr>
              <w:t>ITRS</w:t>
            </w:r>
            <w:r w:rsidRPr="005065E7">
              <w:rPr>
                <w:sz w:val="30"/>
                <w:szCs w:val="30"/>
              </w:rPr>
              <w:t xml:space="preserve"> </w:t>
            </w:r>
            <w:r>
              <w:rPr>
                <w:sz w:val="30"/>
                <w:szCs w:val="30"/>
              </w:rPr>
              <w:t>I</w:t>
            </w:r>
            <w:r w:rsidRPr="005065E7">
              <w:rPr>
                <w:sz w:val="30"/>
                <w:szCs w:val="30"/>
              </w:rPr>
              <w:t xml:space="preserve">N RESPONSE </w:t>
            </w:r>
            <w:r>
              <w:rPr>
                <w:sz w:val="30"/>
                <w:szCs w:val="30"/>
              </w:rPr>
              <w:t>T</w:t>
            </w:r>
            <w:r w:rsidRPr="005065E7">
              <w:rPr>
                <w:sz w:val="30"/>
                <w:szCs w:val="30"/>
              </w:rPr>
              <w:t xml:space="preserve">O NEW TRENDS </w:t>
            </w:r>
            <w:r>
              <w:rPr>
                <w:sz w:val="30"/>
                <w:szCs w:val="30"/>
              </w:rPr>
              <w:t>A</w:t>
            </w:r>
            <w:r w:rsidRPr="005065E7">
              <w:rPr>
                <w:sz w:val="30"/>
                <w:szCs w:val="30"/>
              </w:rPr>
              <w:t xml:space="preserve">ND EMERGING ISSUES </w:t>
            </w:r>
            <w:r>
              <w:rPr>
                <w:sz w:val="30"/>
                <w:szCs w:val="30"/>
              </w:rPr>
              <w:t>I</w:t>
            </w:r>
            <w:r w:rsidRPr="005065E7">
              <w:rPr>
                <w:sz w:val="30"/>
                <w:szCs w:val="30"/>
              </w:rPr>
              <w:t xml:space="preserve">N GLOBAL </w:t>
            </w:r>
            <w:r>
              <w:rPr>
                <w:sz w:val="30"/>
                <w:szCs w:val="30"/>
              </w:rPr>
              <w:t>ICTS</w:t>
            </w:r>
            <w:r w:rsidRPr="005065E7">
              <w:rPr>
                <w:sz w:val="30"/>
                <w:szCs w:val="30"/>
              </w:rPr>
              <w:t xml:space="preserve"> / TELECOMMUNICATIONS</w:t>
            </w:r>
          </w:p>
        </w:tc>
      </w:tr>
      <w:tr w:rsidR="00AD3606" w:rsidRPr="00C0458D" w14:paraId="0291B0EA" w14:textId="77777777" w:rsidTr="00954C49">
        <w:trPr>
          <w:cantSplit/>
        </w:trPr>
        <w:tc>
          <w:tcPr>
            <w:tcW w:w="9214" w:type="dxa"/>
            <w:gridSpan w:val="2"/>
            <w:tcBorders>
              <w:top w:val="single" w:sz="4" w:space="0" w:color="auto"/>
              <w:bottom w:val="single" w:sz="4" w:space="0" w:color="auto"/>
            </w:tcBorders>
            <w:tcMar>
              <w:left w:w="0" w:type="dxa"/>
            </w:tcMar>
          </w:tcPr>
          <w:p w14:paraId="65A75B4F" w14:textId="77777777" w:rsidR="00AD3606" w:rsidRPr="00C0458D" w:rsidRDefault="00F16BAB" w:rsidP="00954C49">
            <w:pPr>
              <w:spacing w:before="160"/>
              <w:rPr>
                <w:b/>
                <w:bCs/>
                <w:sz w:val="26"/>
                <w:szCs w:val="26"/>
              </w:rPr>
            </w:pPr>
            <w:r w:rsidRPr="00C0458D">
              <w:rPr>
                <w:b/>
                <w:bCs/>
                <w:sz w:val="26"/>
                <w:szCs w:val="26"/>
              </w:rPr>
              <w:t>Purpose</w:t>
            </w:r>
          </w:p>
          <w:p w14:paraId="6066D138" w14:textId="56C2ECAD" w:rsidR="00AD3606" w:rsidRPr="00C0458D" w:rsidRDefault="005065E7" w:rsidP="00CE706B">
            <w:pPr>
              <w:jc w:val="both"/>
            </w:pPr>
            <w:r>
              <w:t>The contribution seeks to</w:t>
            </w:r>
            <w:r w:rsidR="00CE706B" w:rsidRPr="00031562">
              <w:t xml:space="preserve"> </w:t>
            </w:r>
            <w:r>
              <w:rPr>
                <w:rFonts w:asciiTheme="minorHAnsi" w:hAnsiTheme="minorHAnsi" w:cstheme="minorHAnsi"/>
                <w:bCs/>
              </w:rPr>
              <w:t xml:space="preserve">request the 2026 </w:t>
            </w:r>
            <w:r w:rsidR="00CE706B" w:rsidRPr="00031562">
              <w:rPr>
                <w:rFonts w:asciiTheme="minorHAnsi" w:hAnsiTheme="minorHAnsi" w:cstheme="minorHAnsi"/>
                <w:bCs/>
              </w:rPr>
              <w:t xml:space="preserve">Council to recommend to </w:t>
            </w:r>
            <w:r w:rsidR="00CE706B" w:rsidRPr="00031562">
              <w:rPr>
                <w:rFonts w:asciiTheme="minorHAnsi" w:hAnsiTheme="minorHAnsi" w:cstheme="minorHAnsi"/>
              </w:rPr>
              <w:t xml:space="preserve">the </w:t>
            </w:r>
            <w:r w:rsidR="00CE706B" w:rsidRPr="00031562">
              <w:rPr>
                <w:rFonts w:asciiTheme="minorHAnsi" w:hAnsiTheme="minorHAnsi" w:cstheme="minorHAnsi"/>
                <w:bCs/>
              </w:rPr>
              <w:t>2026 Plenipotentiary Conference</w:t>
            </w:r>
            <w:r w:rsidR="00BD2658">
              <w:rPr>
                <w:rFonts w:asciiTheme="minorHAnsi" w:hAnsiTheme="minorHAnsi" w:cstheme="minorHAnsi"/>
                <w:bCs/>
              </w:rPr>
              <w:t xml:space="preserve"> (PP-26)</w:t>
            </w:r>
            <w:r w:rsidR="00CE706B" w:rsidRPr="00031562">
              <w:rPr>
                <w:rFonts w:asciiTheme="minorHAnsi" w:hAnsiTheme="minorHAnsi" w:cstheme="minorHAnsi"/>
                <w:bCs/>
              </w:rPr>
              <w:t xml:space="preserve"> to convene the third edition of the </w:t>
            </w:r>
            <w:r w:rsidR="00CE706B" w:rsidRPr="00031562">
              <w:rPr>
                <w:rFonts w:asciiTheme="minorHAnsi" w:hAnsiTheme="minorHAnsi" w:cstheme="minorHAnsi"/>
              </w:rPr>
              <w:t>World Conference on International Telecommunications (WCIT) that would review and revise the International Telecommunication Regulations (ITRs) to align with new trends and emerging issues in global ICTs/Telecommunications.</w:t>
            </w:r>
            <w:r w:rsidR="00180115">
              <w:rPr>
                <w:rFonts w:asciiTheme="minorHAnsi" w:hAnsiTheme="minorHAnsi" w:cstheme="minorHAnsi"/>
              </w:rPr>
              <w:t xml:space="preserve"> It is further proposed that the Expert Group on ITRs</w:t>
            </w:r>
            <w:r w:rsidR="00523E67">
              <w:rPr>
                <w:rFonts w:asciiTheme="minorHAnsi" w:hAnsiTheme="minorHAnsi" w:cstheme="minorHAnsi"/>
              </w:rPr>
              <w:t xml:space="preserve"> be encouraged to</w:t>
            </w:r>
            <w:r w:rsidR="00180115">
              <w:rPr>
                <w:rFonts w:asciiTheme="minorHAnsi" w:hAnsiTheme="minorHAnsi" w:cstheme="minorHAnsi"/>
              </w:rPr>
              <w:t xml:space="preserve"> continue its work at the next Council</w:t>
            </w:r>
            <w:r w:rsidR="00F03B95">
              <w:rPr>
                <w:rFonts w:asciiTheme="minorHAnsi" w:hAnsiTheme="minorHAnsi" w:cstheme="minorHAnsi"/>
              </w:rPr>
              <w:t xml:space="preserve"> Period</w:t>
            </w:r>
            <w:r w:rsidR="00523E67">
              <w:rPr>
                <w:rFonts w:asciiTheme="minorHAnsi" w:hAnsiTheme="minorHAnsi" w:cstheme="minorHAnsi"/>
              </w:rPr>
              <w:t>.</w:t>
            </w:r>
          </w:p>
          <w:p w14:paraId="63754448"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24C9706D" w14:textId="302328D8" w:rsidR="00722551" w:rsidRDefault="00CE706B" w:rsidP="00CE706B">
            <w:pPr>
              <w:jc w:val="both"/>
            </w:pPr>
            <w:r w:rsidRPr="00031562">
              <w:t xml:space="preserve">The 2026 Council is invited to </w:t>
            </w:r>
            <w:r w:rsidRPr="00031562">
              <w:rPr>
                <w:b/>
                <w:bCs/>
              </w:rPr>
              <w:t>consider</w:t>
            </w:r>
            <w:r w:rsidRPr="00031562">
              <w:t xml:space="preserve"> the proposal.</w:t>
            </w:r>
          </w:p>
          <w:p w14:paraId="08F2A353" w14:textId="77777777" w:rsidR="00C0458D" w:rsidRDefault="00C0458D" w:rsidP="00954C49">
            <w:r>
              <w:t>_______________</w:t>
            </w:r>
          </w:p>
          <w:p w14:paraId="5F705648" w14:textId="77777777" w:rsidR="00AD3606" w:rsidRPr="00C0458D" w:rsidRDefault="00AD3606" w:rsidP="00954C49">
            <w:pPr>
              <w:spacing w:before="160"/>
              <w:rPr>
                <w:b/>
                <w:bCs/>
                <w:sz w:val="26"/>
                <w:szCs w:val="26"/>
              </w:rPr>
            </w:pPr>
            <w:r w:rsidRPr="00C0458D">
              <w:rPr>
                <w:b/>
                <w:bCs/>
                <w:sz w:val="26"/>
                <w:szCs w:val="26"/>
              </w:rPr>
              <w:t>References</w:t>
            </w:r>
          </w:p>
          <w:p w14:paraId="73AB02A7" w14:textId="5ECBB2B9" w:rsidR="00AD3606" w:rsidRPr="00722551" w:rsidRDefault="00103DC1" w:rsidP="00954C49">
            <w:pPr>
              <w:spacing w:after="160"/>
              <w:rPr>
                <w:i/>
                <w:iCs/>
                <w:sz w:val="22"/>
                <w:szCs w:val="22"/>
              </w:rPr>
            </w:pPr>
            <w:hyperlink r:id="rId8" w:history="1">
              <w:r w:rsidR="00A8797B" w:rsidRPr="00103DC1">
                <w:rPr>
                  <w:rStyle w:val="Hyperlink"/>
                  <w:i/>
                  <w:iCs/>
                  <w:sz w:val="22"/>
                  <w:szCs w:val="22"/>
                </w:rPr>
                <w:t>Council Resolution 1379 (C16, last amended C23</w:t>
              </w:r>
            </w:hyperlink>
            <w:r w:rsidR="00A8797B" w:rsidRPr="00103DC1">
              <w:rPr>
                <w:i/>
                <w:iCs/>
                <w:sz w:val="22"/>
                <w:szCs w:val="22"/>
              </w:rPr>
              <w:t xml:space="preserve">); </w:t>
            </w:r>
            <w:hyperlink r:id="rId9" w:history="1">
              <w:r w:rsidR="00A8797B" w:rsidRPr="00103DC1">
                <w:rPr>
                  <w:rStyle w:val="Hyperlink"/>
                  <w:i/>
                  <w:iCs/>
                  <w:sz w:val="22"/>
                  <w:szCs w:val="22"/>
                </w:rPr>
                <w:t>Council document C26/26</w:t>
              </w:r>
            </w:hyperlink>
            <w:r w:rsidR="00A8797B" w:rsidRPr="00103DC1">
              <w:rPr>
                <w:i/>
                <w:iCs/>
                <w:sz w:val="22"/>
                <w:szCs w:val="22"/>
              </w:rPr>
              <w:t>);</w:t>
            </w:r>
            <w:hyperlink r:id="rId10" w:history="1">
              <w:r w:rsidR="00A8797B" w:rsidRPr="00103DC1">
                <w:rPr>
                  <w:rStyle w:val="Hyperlink"/>
                  <w:i/>
                  <w:iCs/>
                  <w:sz w:val="22"/>
                  <w:szCs w:val="22"/>
                </w:rPr>
                <w:t>WCIT Resolution Plen/4 (Dubai, 2012)</w:t>
              </w:r>
            </w:hyperlink>
          </w:p>
        </w:tc>
      </w:tr>
    </w:tbl>
    <w:p w14:paraId="2A3CB862"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7A43FE"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2B40F838" w14:textId="77777777" w:rsidR="00CE706B" w:rsidRPr="00103DC1" w:rsidRDefault="00CE706B" w:rsidP="00103DC1">
      <w:pPr>
        <w:pStyle w:val="Heading6"/>
        <w:numPr>
          <w:ilvl w:val="0"/>
          <w:numId w:val="2"/>
        </w:numPr>
        <w:tabs>
          <w:tab w:val="clear" w:pos="567"/>
          <w:tab w:val="clear" w:pos="1134"/>
          <w:tab w:val="clear" w:pos="1701"/>
          <w:tab w:val="clear" w:pos="2268"/>
          <w:tab w:val="clear" w:pos="2835"/>
        </w:tabs>
        <w:spacing w:before="120" w:after="120"/>
        <w:ind w:left="0" w:firstLine="0"/>
        <w:rPr>
          <w:rFonts w:asciiTheme="minorHAnsi" w:hAnsiTheme="minorHAnsi" w:cstheme="minorHAnsi"/>
          <w:szCs w:val="24"/>
        </w:rPr>
      </w:pPr>
      <w:r w:rsidRPr="00103DC1">
        <w:rPr>
          <w:rFonts w:asciiTheme="minorHAnsi" w:hAnsiTheme="minorHAnsi" w:cstheme="minorHAnsi"/>
          <w:szCs w:val="24"/>
        </w:rPr>
        <w:lastRenderedPageBreak/>
        <w:t>Introduction</w:t>
      </w:r>
    </w:p>
    <w:p w14:paraId="767F4FE3" w14:textId="77777777" w:rsidR="00CE706B" w:rsidRPr="00103DC1" w:rsidRDefault="00CE706B" w:rsidP="00103DC1">
      <w:pPr>
        <w:tabs>
          <w:tab w:val="clear" w:pos="567"/>
          <w:tab w:val="clear" w:pos="1134"/>
          <w:tab w:val="clear" w:pos="1701"/>
          <w:tab w:val="clear" w:pos="2268"/>
          <w:tab w:val="clear" w:pos="2835"/>
        </w:tabs>
        <w:spacing w:after="120"/>
        <w:jc w:val="both"/>
        <w:rPr>
          <w:rFonts w:asciiTheme="minorHAnsi" w:hAnsiTheme="minorHAnsi" w:cstheme="minorHAnsi"/>
          <w:szCs w:val="24"/>
          <w:lang w:val="en-US"/>
        </w:rPr>
      </w:pPr>
      <w:r w:rsidRPr="00103DC1">
        <w:rPr>
          <w:rFonts w:asciiTheme="minorHAnsi" w:hAnsiTheme="minorHAnsi" w:cstheme="minorHAnsi"/>
          <w:szCs w:val="24"/>
          <w:lang w:val="en-US"/>
        </w:rPr>
        <w:t>The Terms of Reference (ToR) in Resolution 1379 mandated by the 2023 Council for the work of the current EG-ITRs was very clear and precise as follows:</w:t>
      </w:r>
    </w:p>
    <w:p w14:paraId="0D28A59D" w14:textId="4CA76021" w:rsidR="00CE706B" w:rsidRPr="00103DC1" w:rsidRDefault="00CE706B" w:rsidP="00103DC1">
      <w:pPr>
        <w:tabs>
          <w:tab w:val="clear" w:pos="567"/>
          <w:tab w:val="clear" w:pos="1134"/>
          <w:tab w:val="clear" w:pos="1701"/>
          <w:tab w:val="clear" w:pos="2268"/>
          <w:tab w:val="clear" w:pos="2835"/>
        </w:tabs>
        <w:spacing w:after="120"/>
        <w:jc w:val="both"/>
        <w:rPr>
          <w:rFonts w:asciiTheme="minorHAnsi" w:hAnsiTheme="minorHAnsi" w:cstheme="minorHAnsi"/>
          <w:i/>
          <w:iCs/>
          <w:szCs w:val="24"/>
        </w:rPr>
      </w:pPr>
      <w:r w:rsidRPr="00103DC1">
        <w:rPr>
          <w:rFonts w:asciiTheme="minorHAnsi" w:hAnsiTheme="minorHAnsi" w:cstheme="minorHAnsi"/>
          <w:i/>
          <w:iCs/>
          <w:szCs w:val="24"/>
        </w:rPr>
        <w:t>1.1</w:t>
      </w:r>
      <w:r w:rsidR="00103DC1" w:rsidRPr="00103DC1">
        <w:rPr>
          <w:rFonts w:asciiTheme="minorHAnsi" w:hAnsiTheme="minorHAnsi" w:cstheme="minorHAnsi"/>
          <w:i/>
          <w:iCs/>
          <w:szCs w:val="24"/>
        </w:rPr>
        <w:t xml:space="preserve"> </w:t>
      </w:r>
      <w:r w:rsidR="00103DC1" w:rsidRPr="00103DC1">
        <w:rPr>
          <w:rFonts w:asciiTheme="minorHAnsi" w:hAnsiTheme="minorHAnsi" w:cstheme="minorHAnsi"/>
          <w:i/>
          <w:iCs/>
          <w:szCs w:val="24"/>
        </w:rPr>
        <w:tab/>
      </w:r>
      <w:r w:rsidRPr="00103DC1">
        <w:rPr>
          <w:rFonts w:asciiTheme="minorHAnsi" w:hAnsiTheme="minorHAnsi" w:cstheme="minorHAnsi"/>
          <w:i/>
          <w:iCs/>
          <w:szCs w:val="24"/>
        </w:rPr>
        <w:t xml:space="preserve">Taking into consideration the work of the previous two Expert Groups, the review may consider, among others: </w:t>
      </w:r>
    </w:p>
    <w:p w14:paraId="6B662C1C" w14:textId="77777777" w:rsidR="00CE706B" w:rsidRPr="00BC2B0B" w:rsidRDefault="00CE706B" w:rsidP="00BC2B0B">
      <w:pPr>
        <w:pStyle w:val="enumlev2"/>
        <w:rPr>
          <w:i/>
          <w:iCs/>
        </w:rPr>
      </w:pPr>
      <w:r w:rsidRPr="00BC2B0B">
        <w:rPr>
          <w:i/>
          <w:iCs/>
        </w:rPr>
        <w:t>a)</w:t>
      </w:r>
      <w:r w:rsidRPr="00BC2B0B">
        <w:rPr>
          <w:i/>
          <w:iCs/>
        </w:rPr>
        <w:tab/>
        <w:t>new trends in telecommunications/ICT and emerging issues in international telecommunications/ICT environment which may impact the ITRs,</w:t>
      </w:r>
    </w:p>
    <w:p w14:paraId="49B7113A" w14:textId="77777777" w:rsidR="00CE706B" w:rsidRPr="00BC2B0B" w:rsidRDefault="00CE706B" w:rsidP="00BC2B0B">
      <w:pPr>
        <w:pStyle w:val="enumlev2"/>
        <w:rPr>
          <w:i/>
          <w:iCs/>
        </w:rPr>
      </w:pPr>
      <w:r w:rsidRPr="00BC2B0B">
        <w:rPr>
          <w:i/>
          <w:iCs/>
        </w:rPr>
        <w:t>b)</w:t>
      </w:r>
      <w:r w:rsidRPr="00BC2B0B">
        <w:rPr>
          <w:i/>
          <w:iCs/>
        </w:rPr>
        <w:tab/>
        <w:t>empirical data on the current use of the ITRs by operating agencies and/or administrations and the proportion of global telecommunication services which now rely on the ITRs, and</w:t>
      </w:r>
    </w:p>
    <w:p w14:paraId="0F1CBD02" w14:textId="77777777" w:rsidR="00CE706B" w:rsidRPr="00BC2B0B" w:rsidRDefault="00CE706B" w:rsidP="00BC2B0B">
      <w:pPr>
        <w:pStyle w:val="enumlev2"/>
        <w:rPr>
          <w:i/>
          <w:iCs/>
        </w:rPr>
      </w:pPr>
      <w:r w:rsidRPr="00BC2B0B">
        <w:rPr>
          <w:i/>
          <w:iCs/>
        </w:rPr>
        <w:t>c)</w:t>
      </w:r>
      <w:r w:rsidRPr="00BC2B0B">
        <w:rPr>
          <w:i/>
          <w:iCs/>
        </w:rPr>
        <w:tab/>
        <w:t>the relevance of the ITRs which “consist of high-level guiding principles” in the current telecommunication/ICT environment.</w:t>
      </w:r>
    </w:p>
    <w:p w14:paraId="5C8BAE85" w14:textId="2438D2D0" w:rsidR="00CE706B" w:rsidRPr="00103DC1" w:rsidRDefault="00A8797B" w:rsidP="00103DC1">
      <w:pPr>
        <w:tabs>
          <w:tab w:val="clear" w:pos="567"/>
          <w:tab w:val="clear" w:pos="1134"/>
          <w:tab w:val="clear" w:pos="1701"/>
          <w:tab w:val="clear" w:pos="2268"/>
          <w:tab w:val="clear" w:pos="2835"/>
        </w:tabs>
        <w:spacing w:after="120"/>
        <w:jc w:val="both"/>
        <w:rPr>
          <w:rFonts w:asciiTheme="minorHAnsi" w:hAnsiTheme="minorHAnsi" w:cstheme="minorHAnsi"/>
          <w:i/>
          <w:szCs w:val="24"/>
          <w:shd w:val="clear" w:color="auto" w:fill="FFFFFF"/>
        </w:rPr>
      </w:pPr>
      <w:r w:rsidRPr="00103DC1">
        <w:rPr>
          <w:rFonts w:asciiTheme="minorHAnsi" w:hAnsiTheme="minorHAnsi" w:cstheme="minorHAnsi"/>
          <w:i/>
          <w:szCs w:val="24"/>
          <w:shd w:val="clear" w:color="auto" w:fill="FFFFFF"/>
        </w:rPr>
        <w:t xml:space="preserve">1.2 </w:t>
      </w:r>
      <w:r w:rsidRPr="00103DC1">
        <w:rPr>
          <w:rFonts w:asciiTheme="minorHAnsi" w:hAnsiTheme="minorHAnsi" w:cstheme="minorHAnsi"/>
          <w:i/>
          <w:szCs w:val="24"/>
          <w:shd w:val="clear" w:color="auto" w:fill="FFFFFF"/>
        </w:rPr>
        <w:tab/>
      </w:r>
      <w:r w:rsidR="00CE706B" w:rsidRPr="00103DC1">
        <w:rPr>
          <w:rFonts w:asciiTheme="minorHAnsi" w:hAnsiTheme="minorHAnsi" w:cstheme="minorHAnsi"/>
          <w:i/>
          <w:szCs w:val="24"/>
          <w:shd w:val="clear" w:color="auto" w:fill="FFFFFF"/>
        </w:rPr>
        <w:t>The EG-ITRs will present a progress report reflecting all views on the ITRs review to Council 2024 and Council 2025, and a final report to Council 2026 for examination and submission to the 2026 Plenipotentiary Conference with the Council's comment</w:t>
      </w:r>
    </w:p>
    <w:p w14:paraId="75B31861" w14:textId="095C9DCF" w:rsidR="00CE706B" w:rsidRPr="00103DC1" w:rsidRDefault="00CE706B" w:rsidP="00103DC1">
      <w:pPr>
        <w:tabs>
          <w:tab w:val="clear" w:pos="567"/>
          <w:tab w:val="clear" w:pos="1134"/>
          <w:tab w:val="clear" w:pos="1701"/>
          <w:tab w:val="clear" w:pos="2268"/>
          <w:tab w:val="clear" w:pos="2835"/>
        </w:tabs>
        <w:spacing w:after="120"/>
        <w:jc w:val="both"/>
        <w:rPr>
          <w:rFonts w:asciiTheme="minorHAnsi" w:hAnsiTheme="minorHAnsi" w:cstheme="minorHAnsi"/>
          <w:iCs/>
          <w:szCs w:val="24"/>
        </w:rPr>
      </w:pPr>
      <w:r w:rsidRPr="00103DC1">
        <w:rPr>
          <w:rFonts w:asciiTheme="minorHAnsi" w:hAnsiTheme="minorHAnsi" w:cstheme="minorHAnsi"/>
          <w:iCs/>
          <w:szCs w:val="24"/>
        </w:rPr>
        <w:t>The Administrations of Ghana, South Africa and Nigeria believe that the Expert Group for the International Telecommunication Regulations (EG-ITRs) has creditably</w:t>
      </w:r>
      <w:r w:rsidR="00BC2B0B">
        <w:rPr>
          <w:rFonts w:asciiTheme="minorHAnsi" w:hAnsiTheme="minorHAnsi" w:cstheme="minorHAnsi"/>
          <w:iCs/>
          <w:szCs w:val="24"/>
        </w:rPr>
        <w:t xml:space="preserve"> </w:t>
      </w:r>
      <w:r w:rsidRPr="00103DC1">
        <w:rPr>
          <w:rFonts w:asciiTheme="minorHAnsi" w:hAnsiTheme="minorHAnsi" w:cstheme="minorHAnsi"/>
          <w:iCs/>
          <w:szCs w:val="24"/>
        </w:rPr>
        <w:t xml:space="preserve">delivered on its mandates as enshrined in the above provisions of the ToR and would like to thank the Group for its four-year report as found in </w:t>
      </w:r>
      <w:hyperlink r:id="rId11" w:history="1">
        <w:hyperlink r:id="rId12" w:history="1">
          <w:r w:rsidR="00103DC1">
            <w:rPr>
              <w:rStyle w:val="Hyperlink"/>
              <w:szCs w:val="24"/>
            </w:rPr>
            <w:t>D</w:t>
          </w:r>
          <w:r w:rsidR="00103DC1" w:rsidRPr="00103DC1">
            <w:rPr>
              <w:rStyle w:val="Hyperlink"/>
              <w:szCs w:val="24"/>
            </w:rPr>
            <w:t>ocument C26/26</w:t>
          </w:r>
        </w:hyperlink>
        <w:r w:rsidRPr="00103DC1">
          <w:rPr>
            <w:rStyle w:val="Hyperlink"/>
            <w:rFonts w:asciiTheme="minorHAnsi" w:hAnsiTheme="minorHAnsi" w:cstheme="minorHAnsi"/>
            <w:szCs w:val="24"/>
            <w:shd w:val="clear" w:color="auto" w:fill="FFFFFF"/>
          </w:rPr>
          <w:t>.</w:t>
        </w:r>
      </w:hyperlink>
    </w:p>
    <w:p w14:paraId="72BB28F0" w14:textId="77777777" w:rsidR="00CE706B" w:rsidRPr="00103DC1" w:rsidRDefault="00CE706B" w:rsidP="00103DC1">
      <w:pPr>
        <w:tabs>
          <w:tab w:val="clear" w:pos="567"/>
          <w:tab w:val="clear" w:pos="1134"/>
          <w:tab w:val="clear" w:pos="1701"/>
          <w:tab w:val="clear" w:pos="2268"/>
          <w:tab w:val="clear" w:pos="2835"/>
        </w:tabs>
        <w:spacing w:after="120"/>
        <w:jc w:val="both"/>
        <w:rPr>
          <w:rFonts w:asciiTheme="minorHAnsi" w:hAnsiTheme="minorHAnsi" w:cstheme="minorHAnsi"/>
          <w:iCs/>
          <w:szCs w:val="24"/>
        </w:rPr>
      </w:pPr>
      <w:r w:rsidRPr="00103DC1">
        <w:rPr>
          <w:rFonts w:asciiTheme="minorHAnsi" w:hAnsiTheme="minorHAnsi" w:cstheme="minorHAnsi"/>
          <w:iCs/>
          <w:szCs w:val="24"/>
        </w:rPr>
        <w:t>We note with concern, however, that the membership still appears divided on the relevance or otherwise of the ITRs thereby placing some setback on the future of the ITRs within the Union.</w:t>
      </w:r>
    </w:p>
    <w:p w14:paraId="5689196C" w14:textId="110F0BD8" w:rsidR="00CE706B" w:rsidRPr="00103DC1" w:rsidRDefault="00CE706B" w:rsidP="00103DC1">
      <w:pPr>
        <w:tabs>
          <w:tab w:val="clear" w:pos="567"/>
          <w:tab w:val="clear" w:pos="1134"/>
          <w:tab w:val="clear" w:pos="1701"/>
          <w:tab w:val="clear" w:pos="2268"/>
          <w:tab w:val="clear" w:pos="2835"/>
        </w:tabs>
        <w:spacing w:after="120"/>
        <w:jc w:val="both"/>
        <w:rPr>
          <w:rFonts w:asciiTheme="minorHAnsi" w:hAnsiTheme="minorHAnsi" w:cstheme="minorHAnsi"/>
          <w:iCs/>
          <w:szCs w:val="24"/>
        </w:rPr>
      </w:pPr>
      <w:r w:rsidRPr="00103DC1">
        <w:rPr>
          <w:rFonts w:asciiTheme="minorHAnsi" w:hAnsiTheme="minorHAnsi" w:cstheme="minorHAnsi"/>
          <w:iCs/>
          <w:szCs w:val="24"/>
        </w:rPr>
        <w:t xml:space="preserve">Having carefully reviewed the final report of the Expert Group for the International Telecommunication Regulations (EG-ITRs) to Council 2026, </w:t>
      </w:r>
      <w:r w:rsidRPr="00103DC1">
        <w:rPr>
          <w:rFonts w:asciiTheme="minorHAnsi" w:hAnsiTheme="minorHAnsi" w:cstheme="minorHAnsi"/>
          <w:szCs w:val="24"/>
        </w:rPr>
        <w:t>Ghana, South Africa and Nigeria</w:t>
      </w:r>
      <w:r w:rsidRPr="00103DC1">
        <w:rPr>
          <w:rFonts w:asciiTheme="minorHAnsi" w:hAnsiTheme="minorHAnsi" w:cstheme="minorHAnsi"/>
          <w:iCs/>
          <w:szCs w:val="24"/>
        </w:rPr>
        <w:t xml:space="preserve"> are of the view that among the various options presented as “potential way forwards” under Section 4 of the Report the cogent thing to do under the circumstance is to give Member States yet another opportunity to discuss and make a determination on the future of the ITRs one of which is to revise the ITRs pursuant to </w:t>
      </w:r>
      <w:r w:rsidRPr="00103DC1">
        <w:rPr>
          <w:rFonts w:asciiTheme="minorHAnsi" w:hAnsiTheme="minorHAnsi" w:cstheme="minorHAnsi"/>
          <w:color w:val="0462C1"/>
          <w:szCs w:val="24"/>
        </w:rPr>
        <w:t xml:space="preserve"> </w:t>
      </w:r>
      <w:hyperlink r:id="rId13" w:history="1">
        <w:r w:rsidRPr="00103DC1">
          <w:rPr>
            <w:rStyle w:val="Hyperlink"/>
            <w:rFonts w:asciiTheme="minorHAnsi" w:hAnsiTheme="minorHAnsi" w:cstheme="minorHAnsi"/>
            <w:szCs w:val="24"/>
          </w:rPr>
          <w:t>Resolution Plen/4</w:t>
        </w:r>
      </w:hyperlink>
      <w:r w:rsidRPr="00103DC1">
        <w:rPr>
          <w:rFonts w:asciiTheme="minorHAnsi" w:hAnsiTheme="minorHAnsi" w:cstheme="minorHAnsi"/>
          <w:szCs w:val="24"/>
        </w:rPr>
        <w:t xml:space="preserve"> (Periodic Review of the International Telecommunication Regulations) of the World Conference on International Telecommunications (Dubai, 2012).</w:t>
      </w:r>
    </w:p>
    <w:p w14:paraId="64A1385F" w14:textId="77777777" w:rsidR="00CE706B" w:rsidRPr="00103DC1" w:rsidRDefault="00CE706B" w:rsidP="00103DC1">
      <w:pPr>
        <w:pStyle w:val="Heading6"/>
        <w:numPr>
          <w:ilvl w:val="0"/>
          <w:numId w:val="2"/>
        </w:numPr>
        <w:tabs>
          <w:tab w:val="clear" w:pos="567"/>
          <w:tab w:val="clear" w:pos="1134"/>
          <w:tab w:val="clear" w:pos="1701"/>
          <w:tab w:val="clear" w:pos="2268"/>
          <w:tab w:val="clear" w:pos="2835"/>
        </w:tabs>
        <w:spacing w:before="360" w:after="120"/>
        <w:ind w:left="0" w:firstLine="0"/>
        <w:rPr>
          <w:rFonts w:asciiTheme="minorHAnsi" w:hAnsiTheme="minorHAnsi" w:cstheme="minorHAnsi"/>
          <w:szCs w:val="24"/>
        </w:rPr>
      </w:pPr>
      <w:r w:rsidRPr="00103DC1">
        <w:rPr>
          <w:rFonts w:asciiTheme="minorHAnsi" w:hAnsiTheme="minorHAnsi" w:cstheme="minorHAnsi"/>
          <w:szCs w:val="24"/>
        </w:rPr>
        <w:t>Proposal</w:t>
      </w:r>
    </w:p>
    <w:p w14:paraId="17FC832F" w14:textId="314F2FEA" w:rsidR="00CE706B" w:rsidRPr="00103DC1" w:rsidRDefault="00CE706B" w:rsidP="00103DC1">
      <w:pPr>
        <w:tabs>
          <w:tab w:val="clear" w:pos="567"/>
          <w:tab w:val="clear" w:pos="1134"/>
          <w:tab w:val="clear" w:pos="1701"/>
          <w:tab w:val="clear" w:pos="2268"/>
          <w:tab w:val="clear" w:pos="2835"/>
        </w:tabs>
        <w:spacing w:after="120"/>
        <w:jc w:val="both"/>
        <w:rPr>
          <w:rFonts w:asciiTheme="minorHAnsi" w:hAnsiTheme="minorHAnsi" w:cstheme="minorHAnsi"/>
          <w:iCs/>
          <w:szCs w:val="24"/>
        </w:rPr>
      </w:pPr>
      <w:r w:rsidRPr="00103DC1">
        <w:rPr>
          <w:rFonts w:asciiTheme="minorHAnsi" w:hAnsiTheme="minorHAnsi" w:cstheme="minorHAnsi"/>
          <w:iCs/>
          <w:szCs w:val="24"/>
        </w:rPr>
        <w:t>Given that the debate on the ITRs has gained much traction over the past three (3) Council Periods, there is the need to call a truce and make progress.</w:t>
      </w:r>
      <w:r w:rsidRPr="00103DC1">
        <w:rPr>
          <w:rFonts w:asciiTheme="minorHAnsi" w:hAnsiTheme="minorHAnsi" w:cstheme="minorHAnsi"/>
          <w:i/>
          <w:iCs/>
          <w:szCs w:val="24"/>
        </w:rPr>
        <w:t xml:space="preserve"> </w:t>
      </w:r>
      <w:r w:rsidRPr="00103DC1">
        <w:rPr>
          <w:rFonts w:asciiTheme="minorHAnsi" w:hAnsiTheme="minorHAnsi" w:cstheme="minorHAnsi"/>
          <w:iCs/>
          <w:szCs w:val="24"/>
        </w:rPr>
        <w:t xml:space="preserve">We therefore would like to </w:t>
      </w:r>
      <w:r w:rsidRPr="00103DC1">
        <w:rPr>
          <w:rFonts w:asciiTheme="minorHAnsi" w:hAnsiTheme="minorHAnsi" w:cstheme="minorHAnsi"/>
          <w:bCs/>
          <w:szCs w:val="24"/>
        </w:rPr>
        <w:t xml:space="preserve">propose to Council 2026 to recommend to </w:t>
      </w:r>
      <w:r w:rsidRPr="00103DC1">
        <w:rPr>
          <w:rFonts w:asciiTheme="minorHAnsi" w:hAnsiTheme="minorHAnsi" w:cstheme="minorHAnsi"/>
          <w:szCs w:val="24"/>
        </w:rPr>
        <w:t xml:space="preserve">the </w:t>
      </w:r>
      <w:r w:rsidRPr="00103DC1">
        <w:rPr>
          <w:rFonts w:asciiTheme="minorHAnsi" w:hAnsiTheme="minorHAnsi" w:cstheme="minorHAnsi"/>
          <w:bCs/>
          <w:szCs w:val="24"/>
        </w:rPr>
        <w:t xml:space="preserve">2026 Plenipotentiary Conference to convene the third edition of the </w:t>
      </w:r>
      <w:r w:rsidRPr="00103DC1">
        <w:rPr>
          <w:rFonts w:asciiTheme="minorHAnsi" w:hAnsiTheme="minorHAnsi" w:cstheme="minorHAnsi"/>
          <w:szCs w:val="24"/>
        </w:rPr>
        <w:t xml:space="preserve">World Conference on International Telecommunications (WCIT) that would assist </w:t>
      </w:r>
      <w:proofErr w:type="gramStart"/>
      <w:r w:rsidRPr="00103DC1">
        <w:rPr>
          <w:rFonts w:asciiTheme="minorHAnsi" w:hAnsiTheme="minorHAnsi" w:cstheme="minorHAnsi"/>
          <w:szCs w:val="24"/>
        </w:rPr>
        <w:t>make a determination</w:t>
      </w:r>
      <w:proofErr w:type="gramEnd"/>
      <w:r w:rsidRPr="00103DC1">
        <w:rPr>
          <w:rFonts w:asciiTheme="minorHAnsi" w:hAnsiTheme="minorHAnsi" w:cstheme="minorHAnsi"/>
          <w:szCs w:val="24"/>
        </w:rPr>
        <w:t xml:space="preserve"> on the future of the ITRs. Ghana, S</w:t>
      </w:r>
      <w:r w:rsidR="00EA504E" w:rsidRPr="00103DC1">
        <w:rPr>
          <w:rFonts w:asciiTheme="minorHAnsi" w:hAnsiTheme="minorHAnsi" w:cstheme="minorHAnsi"/>
          <w:szCs w:val="24"/>
        </w:rPr>
        <w:t xml:space="preserve">outh Africa and </w:t>
      </w:r>
      <w:r w:rsidR="006B7643" w:rsidRPr="00103DC1">
        <w:rPr>
          <w:rFonts w:asciiTheme="minorHAnsi" w:hAnsiTheme="minorHAnsi" w:cstheme="minorHAnsi"/>
          <w:szCs w:val="24"/>
        </w:rPr>
        <w:t>Nigeria strongly</w:t>
      </w:r>
      <w:r w:rsidRPr="00103DC1">
        <w:rPr>
          <w:rFonts w:asciiTheme="minorHAnsi" w:hAnsiTheme="minorHAnsi" w:cstheme="minorHAnsi"/>
          <w:szCs w:val="24"/>
        </w:rPr>
        <w:t xml:space="preserve"> support the view that the ITRs are still relevant to our current ICT dispensation and only requires review and amendment, particularly of the provisions and areas that that have outlived their usefulness </w:t>
      </w:r>
      <w:proofErr w:type="gramStart"/>
      <w:r w:rsidRPr="00103DC1">
        <w:rPr>
          <w:rFonts w:asciiTheme="minorHAnsi" w:hAnsiTheme="minorHAnsi" w:cstheme="minorHAnsi"/>
          <w:szCs w:val="24"/>
        </w:rPr>
        <w:t>in order to</w:t>
      </w:r>
      <w:proofErr w:type="gramEnd"/>
      <w:r w:rsidRPr="00103DC1">
        <w:rPr>
          <w:rFonts w:asciiTheme="minorHAnsi" w:hAnsiTheme="minorHAnsi" w:cstheme="minorHAnsi"/>
          <w:szCs w:val="24"/>
        </w:rPr>
        <w:t xml:space="preserve"> align with the </w:t>
      </w:r>
      <w:r w:rsidRPr="00103DC1">
        <w:rPr>
          <w:rFonts w:asciiTheme="minorHAnsi" w:hAnsiTheme="minorHAnsi" w:cstheme="minorHAnsi"/>
          <w:iCs/>
          <w:szCs w:val="24"/>
        </w:rPr>
        <w:t>new trends and emerging issues within the global telecommunications/ICT environment.</w:t>
      </w:r>
      <w:r w:rsidR="006B7643" w:rsidRPr="00103DC1">
        <w:rPr>
          <w:rFonts w:asciiTheme="minorHAnsi" w:hAnsiTheme="minorHAnsi" w:cstheme="minorHAnsi"/>
          <w:iCs/>
          <w:szCs w:val="24"/>
        </w:rPr>
        <w:t xml:space="preserve"> We would also like to propose a continuation of the work of the EG-ITR under a </w:t>
      </w:r>
      <w:r w:rsidR="006054A7" w:rsidRPr="00103DC1">
        <w:rPr>
          <w:rFonts w:asciiTheme="minorHAnsi" w:hAnsiTheme="minorHAnsi" w:cstheme="minorHAnsi"/>
          <w:iCs/>
          <w:szCs w:val="24"/>
        </w:rPr>
        <w:t>renewed mandate and/or</w:t>
      </w:r>
      <w:r w:rsidR="006B7643" w:rsidRPr="00103DC1">
        <w:rPr>
          <w:rFonts w:asciiTheme="minorHAnsi" w:hAnsiTheme="minorHAnsi" w:cstheme="minorHAnsi"/>
          <w:iCs/>
          <w:szCs w:val="24"/>
        </w:rPr>
        <w:t xml:space="preserve"> framework at the next Council </w:t>
      </w:r>
      <w:r w:rsidR="00F03B95" w:rsidRPr="00103DC1">
        <w:rPr>
          <w:rFonts w:asciiTheme="minorHAnsi" w:hAnsiTheme="minorHAnsi" w:cstheme="minorHAnsi"/>
          <w:iCs/>
          <w:szCs w:val="24"/>
        </w:rPr>
        <w:t>P</w:t>
      </w:r>
      <w:r w:rsidR="006B7643" w:rsidRPr="00103DC1">
        <w:rPr>
          <w:rFonts w:asciiTheme="minorHAnsi" w:hAnsiTheme="minorHAnsi" w:cstheme="minorHAnsi"/>
          <w:iCs/>
          <w:szCs w:val="24"/>
        </w:rPr>
        <w:t>eriod</w:t>
      </w:r>
      <w:r w:rsidR="006054A7" w:rsidRPr="00103DC1">
        <w:rPr>
          <w:rFonts w:asciiTheme="minorHAnsi" w:hAnsiTheme="minorHAnsi" w:cstheme="minorHAnsi"/>
          <w:iCs/>
          <w:szCs w:val="24"/>
        </w:rPr>
        <w:t xml:space="preserve">, </w:t>
      </w:r>
      <w:proofErr w:type="gramStart"/>
      <w:r w:rsidR="006054A7" w:rsidRPr="00103DC1">
        <w:rPr>
          <w:rFonts w:asciiTheme="minorHAnsi" w:hAnsiTheme="minorHAnsi" w:cstheme="minorHAnsi"/>
          <w:iCs/>
          <w:szCs w:val="24"/>
        </w:rPr>
        <w:t>where</w:t>
      </w:r>
      <w:proofErr w:type="gramEnd"/>
      <w:r w:rsidR="006054A7" w:rsidRPr="00103DC1">
        <w:rPr>
          <w:rFonts w:asciiTheme="minorHAnsi" w:hAnsiTheme="minorHAnsi" w:cstheme="minorHAnsi"/>
          <w:iCs/>
          <w:szCs w:val="24"/>
        </w:rPr>
        <w:t xml:space="preserve"> expedient.</w:t>
      </w:r>
    </w:p>
    <w:p w14:paraId="4D41606A" w14:textId="77777777" w:rsidR="00CE706B" w:rsidRPr="00103DC1" w:rsidRDefault="00CE706B" w:rsidP="00103DC1">
      <w:pPr>
        <w:tabs>
          <w:tab w:val="clear" w:pos="567"/>
          <w:tab w:val="clear" w:pos="1134"/>
          <w:tab w:val="clear" w:pos="1701"/>
          <w:tab w:val="clear" w:pos="2268"/>
          <w:tab w:val="clear" w:pos="2835"/>
        </w:tabs>
        <w:spacing w:after="120"/>
        <w:jc w:val="both"/>
        <w:rPr>
          <w:rFonts w:asciiTheme="minorHAnsi" w:hAnsiTheme="minorHAnsi" w:cstheme="minorHAnsi"/>
          <w:iCs/>
          <w:szCs w:val="24"/>
        </w:rPr>
      </w:pPr>
    </w:p>
    <w:p w14:paraId="601CA124" w14:textId="77777777" w:rsidR="00CE706B" w:rsidRPr="00103DC1" w:rsidRDefault="00CE706B" w:rsidP="00DC56BB">
      <w:pPr>
        <w:pStyle w:val="Heading6"/>
        <w:numPr>
          <w:ilvl w:val="0"/>
          <w:numId w:val="2"/>
        </w:numPr>
        <w:tabs>
          <w:tab w:val="clear" w:pos="567"/>
          <w:tab w:val="clear" w:pos="1134"/>
          <w:tab w:val="clear" w:pos="1701"/>
          <w:tab w:val="clear" w:pos="2268"/>
          <w:tab w:val="clear" w:pos="2835"/>
        </w:tabs>
        <w:spacing w:before="120" w:after="120"/>
        <w:ind w:left="0" w:firstLine="0"/>
        <w:rPr>
          <w:rFonts w:asciiTheme="minorHAnsi" w:hAnsiTheme="minorHAnsi" w:cstheme="minorHAnsi"/>
          <w:szCs w:val="24"/>
        </w:rPr>
      </w:pPr>
      <w:r w:rsidRPr="00103DC1">
        <w:rPr>
          <w:rFonts w:asciiTheme="minorHAnsi" w:hAnsiTheme="minorHAnsi" w:cstheme="minorHAnsi"/>
          <w:szCs w:val="24"/>
        </w:rPr>
        <w:t>Action required</w:t>
      </w:r>
    </w:p>
    <w:p w14:paraId="455ECBBA" w14:textId="77777777" w:rsidR="00CE706B" w:rsidRPr="00103DC1" w:rsidRDefault="00CE706B" w:rsidP="00103DC1">
      <w:pPr>
        <w:tabs>
          <w:tab w:val="clear" w:pos="567"/>
          <w:tab w:val="clear" w:pos="1134"/>
          <w:tab w:val="clear" w:pos="1701"/>
          <w:tab w:val="clear" w:pos="2268"/>
          <w:tab w:val="clear" w:pos="2835"/>
        </w:tabs>
        <w:spacing w:after="120"/>
        <w:jc w:val="both"/>
        <w:rPr>
          <w:rFonts w:asciiTheme="minorHAnsi" w:hAnsiTheme="minorHAnsi" w:cstheme="minorHAnsi"/>
          <w:bCs/>
          <w:szCs w:val="24"/>
        </w:rPr>
      </w:pPr>
      <w:r w:rsidRPr="00103DC1">
        <w:rPr>
          <w:rFonts w:asciiTheme="minorHAnsi" w:hAnsiTheme="minorHAnsi" w:cstheme="minorHAnsi"/>
          <w:bCs/>
          <w:szCs w:val="24"/>
        </w:rPr>
        <w:t>This contribution is submitted for consideration by the 2026 Council.</w:t>
      </w:r>
    </w:p>
    <w:p w14:paraId="0D1E478F" w14:textId="1C969EA5" w:rsidR="007A3FCD" w:rsidRPr="000446BE" w:rsidRDefault="00CE706B" w:rsidP="000446BE">
      <w:pPr>
        <w:spacing w:beforeLines="120" w:before="288" w:afterLines="120" w:after="288"/>
        <w:jc w:val="center"/>
        <w:rPr>
          <w:rFonts w:asciiTheme="minorHAnsi" w:hAnsiTheme="minorHAnsi" w:cstheme="minorHAnsi"/>
        </w:rPr>
      </w:pPr>
      <w:r w:rsidRPr="00031562">
        <w:rPr>
          <w:rFonts w:asciiTheme="minorHAnsi" w:hAnsiTheme="minorHAnsi" w:cstheme="minorHAnsi"/>
        </w:rPr>
        <w:t>______________</w:t>
      </w:r>
    </w:p>
    <w:sectPr w:rsidR="007A3FCD" w:rsidRPr="000446BE"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D0945" w14:textId="77777777" w:rsidR="00336C8F" w:rsidRDefault="00336C8F">
      <w:r>
        <w:separator/>
      </w:r>
    </w:p>
  </w:endnote>
  <w:endnote w:type="continuationSeparator" w:id="0">
    <w:p w14:paraId="04E4EDA6" w14:textId="77777777" w:rsidR="00336C8F" w:rsidRDefault="0033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5102083" w14:textId="77777777" w:rsidTr="000446BE">
      <w:trPr>
        <w:jc w:val="center"/>
      </w:trPr>
      <w:tc>
        <w:tcPr>
          <w:tcW w:w="1803" w:type="dxa"/>
          <w:vAlign w:val="center"/>
        </w:tcPr>
        <w:p w14:paraId="3C16AE96" w14:textId="77777777" w:rsidR="00EE49E8" w:rsidRDefault="00C6520B" w:rsidP="00EE49E8">
          <w:pPr>
            <w:pStyle w:val="Header"/>
            <w:jc w:val="left"/>
            <w:rPr>
              <w:noProof/>
            </w:rPr>
          </w:pPr>
          <w:r>
            <w:rPr>
              <w:noProof/>
            </w:rPr>
            <w:t>gDoc #</w:t>
          </w:r>
        </w:p>
      </w:tc>
      <w:tc>
        <w:tcPr>
          <w:tcW w:w="8261" w:type="dxa"/>
        </w:tcPr>
        <w:p w14:paraId="4D34939F" w14:textId="0C79A26B"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00CE706B">
            <w:rPr>
              <w:bCs/>
            </w:rPr>
            <w:t>/</w:t>
          </w:r>
          <w:r w:rsidR="009C0AA7">
            <w:rPr>
              <w:bCs/>
            </w:rPr>
            <w:t>104</w:t>
          </w:r>
          <w:r w:rsidRPr="00623AE3">
            <w:rPr>
              <w:bCs/>
            </w:rPr>
            <w:t>-E</w:t>
          </w:r>
          <w:r>
            <w:rPr>
              <w:bCs/>
            </w:rPr>
            <w:tab/>
          </w:r>
          <w:r>
            <w:fldChar w:fldCharType="begin"/>
          </w:r>
          <w:r>
            <w:instrText>PAGE</w:instrText>
          </w:r>
          <w:r>
            <w:fldChar w:fldCharType="separate"/>
          </w:r>
          <w:r w:rsidR="00F03B95">
            <w:rPr>
              <w:noProof/>
            </w:rPr>
            <w:t>3</w:t>
          </w:r>
          <w:r>
            <w:rPr>
              <w:noProof/>
            </w:rPr>
            <w:fldChar w:fldCharType="end"/>
          </w:r>
        </w:p>
      </w:tc>
    </w:tr>
  </w:tbl>
  <w:p w14:paraId="06BC350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706779C" w14:textId="77777777" w:rsidTr="006B77F1">
      <w:trPr>
        <w:jc w:val="center"/>
      </w:trPr>
      <w:tc>
        <w:tcPr>
          <w:tcW w:w="1803" w:type="dxa"/>
          <w:vAlign w:val="center"/>
        </w:tcPr>
        <w:p w14:paraId="21DBFDFB"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0FAB3B16" w14:textId="1475E0C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C0AA7">
            <w:rPr>
              <w:bCs/>
            </w:rPr>
            <w:t>104</w:t>
          </w:r>
          <w:r w:rsidRPr="00623AE3">
            <w:rPr>
              <w:bCs/>
            </w:rPr>
            <w:t>-E</w:t>
          </w:r>
          <w:r>
            <w:rPr>
              <w:bCs/>
            </w:rPr>
            <w:tab/>
          </w:r>
          <w:r>
            <w:fldChar w:fldCharType="begin"/>
          </w:r>
          <w:r>
            <w:instrText>PAGE</w:instrText>
          </w:r>
          <w:r>
            <w:fldChar w:fldCharType="separate"/>
          </w:r>
          <w:r w:rsidR="00F03B95">
            <w:rPr>
              <w:noProof/>
            </w:rPr>
            <w:t>1</w:t>
          </w:r>
          <w:r>
            <w:rPr>
              <w:noProof/>
            </w:rPr>
            <w:fldChar w:fldCharType="end"/>
          </w:r>
        </w:p>
      </w:tc>
    </w:tr>
  </w:tbl>
  <w:p w14:paraId="0E27737E"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9AD88" w14:textId="77777777" w:rsidR="00336C8F" w:rsidRDefault="00336C8F">
      <w:r>
        <w:t>____________________</w:t>
      </w:r>
    </w:p>
  </w:footnote>
  <w:footnote w:type="continuationSeparator" w:id="0">
    <w:p w14:paraId="3B09621F" w14:textId="77777777" w:rsidR="00336C8F" w:rsidRDefault="0033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2B7" w14:textId="77777777" w:rsidR="00AD3606" w:rsidRPr="00512087" w:rsidRDefault="00512087" w:rsidP="0049369C">
    <w:pPr>
      <w:pStyle w:val="Header"/>
    </w:pPr>
    <w:r>
      <w:rPr>
        <w:noProof/>
        <w:lang w:eastAsia="en-GB"/>
      </w:rPr>
      <w:drawing>
        <wp:inline distT="0" distB="0" distL="0" distR="0" wp14:anchorId="16AD69B0" wp14:editId="15BC3CB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420A1D"/>
    <w:multiLevelType w:val="hybridMultilevel"/>
    <w:tmpl w:val="A81A5E1E"/>
    <w:lvl w:ilvl="0" w:tplc="316A104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9B7940"/>
    <w:multiLevelType w:val="hybridMultilevel"/>
    <w:tmpl w:val="EAFC4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3137405">
    <w:abstractNumId w:val="0"/>
  </w:num>
  <w:num w:numId="2" w16cid:durableId="1451122638">
    <w:abstractNumId w:val="2"/>
  </w:num>
  <w:num w:numId="3" w16cid:durableId="1757364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2"/>
    <w:rsid w:val="00005DD4"/>
    <w:rsid w:val="000210D4"/>
    <w:rsid w:val="000446BE"/>
    <w:rsid w:val="0006007D"/>
    <w:rsid w:val="00063016"/>
    <w:rsid w:val="00066795"/>
    <w:rsid w:val="00076AF6"/>
    <w:rsid w:val="00085CF2"/>
    <w:rsid w:val="000B1705"/>
    <w:rsid w:val="000D75B2"/>
    <w:rsid w:val="000E372C"/>
    <w:rsid w:val="000F5DDB"/>
    <w:rsid w:val="00103DC1"/>
    <w:rsid w:val="001121F5"/>
    <w:rsid w:val="001400DC"/>
    <w:rsid w:val="00140CE1"/>
    <w:rsid w:val="0015189A"/>
    <w:rsid w:val="0017539C"/>
    <w:rsid w:val="00175AC2"/>
    <w:rsid w:val="0017609F"/>
    <w:rsid w:val="00176F47"/>
    <w:rsid w:val="00180115"/>
    <w:rsid w:val="00182594"/>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03A9B"/>
    <w:rsid w:val="00320223"/>
    <w:rsid w:val="00322D0D"/>
    <w:rsid w:val="00336C8F"/>
    <w:rsid w:val="00361465"/>
    <w:rsid w:val="003845D3"/>
    <w:rsid w:val="003877F5"/>
    <w:rsid w:val="003936D3"/>
    <w:rsid w:val="003942D4"/>
    <w:rsid w:val="003958A8"/>
    <w:rsid w:val="003B29C2"/>
    <w:rsid w:val="003B4FAF"/>
    <w:rsid w:val="003B56DF"/>
    <w:rsid w:val="003C2533"/>
    <w:rsid w:val="003D5A7F"/>
    <w:rsid w:val="003F0228"/>
    <w:rsid w:val="0040435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2EA5"/>
    <w:rsid w:val="004E3AEB"/>
    <w:rsid w:val="0050223C"/>
    <w:rsid w:val="005065E7"/>
    <w:rsid w:val="00512087"/>
    <w:rsid w:val="00523E67"/>
    <w:rsid w:val="005243FF"/>
    <w:rsid w:val="00564FBC"/>
    <w:rsid w:val="005800BC"/>
    <w:rsid w:val="00582442"/>
    <w:rsid w:val="005F3269"/>
    <w:rsid w:val="006054A7"/>
    <w:rsid w:val="0061071E"/>
    <w:rsid w:val="00623AE3"/>
    <w:rsid w:val="0064737F"/>
    <w:rsid w:val="006535F1"/>
    <w:rsid w:val="0065557D"/>
    <w:rsid w:val="00660D50"/>
    <w:rsid w:val="00662984"/>
    <w:rsid w:val="006716BB"/>
    <w:rsid w:val="0068087A"/>
    <w:rsid w:val="006A2F4B"/>
    <w:rsid w:val="006B1859"/>
    <w:rsid w:val="006B6680"/>
    <w:rsid w:val="006B6DCC"/>
    <w:rsid w:val="006B7643"/>
    <w:rsid w:val="006B77F1"/>
    <w:rsid w:val="00702DEF"/>
    <w:rsid w:val="00706861"/>
    <w:rsid w:val="007159C8"/>
    <w:rsid w:val="00722551"/>
    <w:rsid w:val="0075051B"/>
    <w:rsid w:val="00760550"/>
    <w:rsid w:val="00765C89"/>
    <w:rsid w:val="0077110E"/>
    <w:rsid w:val="00793188"/>
    <w:rsid w:val="00794D34"/>
    <w:rsid w:val="007A3FCD"/>
    <w:rsid w:val="007B19CF"/>
    <w:rsid w:val="007D01AF"/>
    <w:rsid w:val="007D3498"/>
    <w:rsid w:val="007E37B6"/>
    <w:rsid w:val="008121E3"/>
    <w:rsid w:val="00813E5E"/>
    <w:rsid w:val="0083581B"/>
    <w:rsid w:val="0084546D"/>
    <w:rsid w:val="00863874"/>
    <w:rsid w:val="00864AFF"/>
    <w:rsid w:val="00865925"/>
    <w:rsid w:val="008910D2"/>
    <w:rsid w:val="008B4A6A"/>
    <w:rsid w:val="008C522B"/>
    <w:rsid w:val="008C7E27"/>
    <w:rsid w:val="008F7448"/>
    <w:rsid w:val="0090147A"/>
    <w:rsid w:val="009173EF"/>
    <w:rsid w:val="00932906"/>
    <w:rsid w:val="00954C49"/>
    <w:rsid w:val="00961B0B"/>
    <w:rsid w:val="00962D33"/>
    <w:rsid w:val="009842A1"/>
    <w:rsid w:val="009A76A8"/>
    <w:rsid w:val="009B38C3"/>
    <w:rsid w:val="009C0AA7"/>
    <w:rsid w:val="009E17BD"/>
    <w:rsid w:val="009E485A"/>
    <w:rsid w:val="00A04CEC"/>
    <w:rsid w:val="00A109AF"/>
    <w:rsid w:val="00A27F92"/>
    <w:rsid w:val="00A32257"/>
    <w:rsid w:val="00A36D20"/>
    <w:rsid w:val="00A514A4"/>
    <w:rsid w:val="00A55622"/>
    <w:rsid w:val="00A83502"/>
    <w:rsid w:val="00A8797B"/>
    <w:rsid w:val="00A94BAB"/>
    <w:rsid w:val="00AD15B3"/>
    <w:rsid w:val="00AD3606"/>
    <w:rsid w:val="00AD4A3D"/>
    <w:rsid w:val="00AF6E49"/>
    <w:rsid w:val="00B04A67"/>
    <w:rsid w:val="00B0583C"/>
    <w:rsid w:val="00B40A81"/>
    <w:rsid w:val="00B44910"/>
    <w:rsid w:val="00B72267"/>
    <w:rsid w:val="00B76EB6"/>
    <w:rsid w:val="00B7737B"/>
    <w:rsid w:val="00B824C8"/>
    <w:rsid w:val="00B84B9D"/>
    <w:rsid w:val="00B9131F"/>
    <w:rsid w:val="00BB0646"/>
    <w:rsid w:val="00BC251A"/>
    <w:rsid w:val="00BC2B0B"/>
    <w:rsid w:val="00BC4A20"/>
    <w:rsid w:val="00BD032B"/>
    <w:rsid w:val="00BD2658"/>
    <w:rsid w:val="00BE01C6"/>
    <w:rsid w:val="00BE2640"/>
    <w:rsid w:val="00BF1FDE"/>
    <w:rsid w:val="00C01189"/>
    <w:rsid w:val="00C0458D"/>
    <w:rsid w:val="00C374DE"/>
    <w:rsid w:val="00C47AD4"/>
    <w:rsid w:val="00C52D81"/>
    <w:rsid w:val="00C55198"/>
    <w:rsid w:val="00C5605F"/>
    <w:rsid w:val="00C56E53"/>
    <w:rsid w:val="00C6520B"/>
    <w:rsid w:val="00C9116A"/>
    <w:rsid w:val="00CA6393"/>
    <w:rsid w:val="00CA7995"/>
    <w:rsid w:val="00CB18FF"/>
    <w:rsid w:val="00CD0C08"/>
    <w:rsid w:val="00CE03FB"/>
    <w:rsid w:val="00CE433C"/>
    <w:rsid w:val="00CE706B"/>
    <w:rsid w:val="00CF0161"/>
    <w:rsid w:val="00CF33F3"/>
    <w:rsid w:val="00CF4A2B"/>
    <w:rsid w:val="00D024CA"/>
    <w:rsid w:val="00D06183"/>
    <w:rsid w:val="00D22C42"/>
    <w:rsid w:val="00D65041"/>
    <w:rsid w:val="00DB1936"/>
    <w:rsid w:val="00DB384B"/>
    <w:rsid w:val="00DC56BB"/>
    <w:rsid w:val="00DE532B"/>
    <w:rsid w:val="00DF0189"/>
    <w:rsid w:val="00E06FD5"/>
    <w:rsid w:val="00E10E80"/>
    <w:rsid w:val="00E124F0"/>
    <w:rsid w:val="00E227F3"/>
    <w:rsid w:val="00E545C6"/>
    <w:rsid w:val="00E60F04"/>
    <w:rsid w:val="00E65B24"/>
    <w:rsid w:val="00E854E4"/>
    <w:rsid w:val="00E86DBF"/>
    <w:rsid w:val="00E969AF"/>
    <w:rsid w:val="00EA504E"/>
    <w:rsid w:val="00EB0D6F"/>
    <w:rsid w:val="00EB2232"/>
    <w:rsid w:val="00EC5337"/>
    <w:rsid w:val="00EE49E8"/>
    <w:rsid w:val="00F03B95"/>
    <w:rsid w:val="00F16BAB"/>
    <w:rsid w:val="00F2150A"/>
    <w:rsid w:val="00F231D8"/>
    <w:rsid w:val="00F27212"/>
    <w:rsid w:val="00F44C00"/>
    <w:rsid w:val="00F45D2C"/>
    <w:rsid w:val="00F46C5F"/>
    <w:rsid w:val="00F632C0"/>
    <w:rsid w:val="00F641E1"/>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06ADDF"/>
  <w15:docId w15:val="{77BF7044-E22A-4F11-9A3F-67D2A6CB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customStyle="1" w:styleId="UnresolvedMention1">
    <w:name w:val="Unresolved Mention1"/>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180115"/>
    <w:pPr>
      <w:ind w:left="720"/>
      <w:contextualSpacing/>
    </w:pPr>
  </w:style>
  <w:style w:type="character" w:styleId="UnresolvedMention">
    <w:name w:val="Unresolved Mention"/>
    <w:basedOn w:val="DefaultParagraphFont"/>
    <w:uiPriority w:val="99"/>
    <w:semiHidden/>
    <w:unhideWhenUsed/>
    <w:rsid w:val="00103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3-CL-C-0121/en" TargetMode="External"/><Relationship Id="rId13" Type="http://schemas.openxmlformats.org/officeDocument/2006/relationships/hyperlink" Target="https://www.itu.int/dms_pub/itu-s/opb/conf/S-CONF-WCIT-2012-PDF-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L-C-0026/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6-CL-C-0026/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dms_pub/itu-s/opb/conf/S-CONF-WCIT-2012-PDF-E.pdf" TargetMode="External"/><Relationship Id="rId4" Type="http://schemas.openxmlformats.org/officeDocument/2006/relationships/settings" Target="settings.xml"/><Relationship Id="rId9" Type="http://schemas.openxmlformats.org/officeDocument/2006/relationships/hyperlink" Target="https://www.itu.int/md/S26-CL-C-0026/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7784B-8521-4FDD-B81F-1D7548443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642</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General Secretariat</Manager>
  <Company>International Telecommunication Union (ITU)</Company>
  <LinksUpToDate>false</LinksUpToDate>
  <CharactersWithSpaces>4572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2026</dc:subject>
  <dc:creator/>
  <cp:keywords>C26; C2026; Council 2026; PP26</cp:keywords>
  <dc:description/>
  <cp:lastModifiedBy>Doral, Sean</cp:lastModifiedBy>
  <cp:revision>2</cp:revision>
  <cp:lastPrinted>2000-07-18T13:30:00Z</cp:lastPrinted>
  <dcterms:created xsi:type="dcterms:W3CDTF">2026-04-15T09:46:00Z</dcterms:created>
  <dcterms:modified xsi:type="dcterms:W3CDTF">2026-04-15T13:16:00Z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