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F167C0" w14:paraId="55DD9FCD" w14:textId="77777777" w:rsidTr="00796BDB">
        <w:trPr>
          <w:cantSplit/>
          <w:trHeight w:val="23"/>
        </w:trPr>
        <w:tc>
          <w:tcPr>
            <w:tcW w:w="3969" w:type="dxa"/>
            <w:vMerge w:val="restart"/>
            <w:tcMar>
              <w:left w:w="0" w:type="dxa"/>
            </w:tcMar>
          </w:tcPr>
          <w:p w14:paraId="3A3FF3BD" w14:textId="372722DA" w:rsidR="00D72F49" w:rsidRPr="00F167C0" w:rsidRDefault="00D72F49" w:rsidP="00796BDB">
            <w:pPr>
              <w:tabs>
                <w:tab w:val="left" w:pos="851"/>
              </w:tabs>
              <w:spacing w:before="0" w:line="240" w:lineRule="atLeast"/>
              <w:rPr>
                <w:b/>
              </w:rPr>
            </w:pPr>
            <w:r w:rsidRPr="00F167C0">
              <w:rPr>
                <w:b/>
              </w:rPr>
              <w:t>Point de l'ordre du jour:</w:t>
            </w:r>
            <w:r w:rsidR="00803041" w:rsidRPr="00F167C0">
              <w:rPr>
                <w:b/>
              </w:rPr>
              <w:t xml:space="preserve"> </w:t>
            </w:r>
            <w:r w:rsidR="003F7DEF">
              <w:rPr>
                <w:b/>
              </w:rPr>
              <w:t>ADM 1</w:t>
            </w:r>
          </w:p>
        </w:tc>
        <w:tc>
          <w:tcPr>
            <w:tcW w:w="5245" w:type="dxa"/>
          </w:tcPr>
          <w:p w14:paraId="427677C5" w14:textId="6A5261B8" w:rsidR="00D72F49" w:rsidRPr="00F167C0" w:rsidRDefault="00D72F49" w:rsidP="00796BDB">
            <w:pPr>
              <w:tabs>
                <w:tab w:val="left" w:pos="851"/>
              </w:tabs>
              <w:spacing w:before="0" w:line="240" w:lineRule="atLeast"/>
              <w:jc w:val="right"/>
              <w:rPr>
                <w:b/>
              </w:rPr>
            </w:pPr>
            <w:r w:rsidRPr="00F167C0">
              <w:rPr>
                <w:b/>
              </w:rPr>
              <w:t>Document C2</w:t>
            </w:r>
            <w:r w:rsidR="00E4448E" w:rsidRPr="00F167C0">
              <w:rPr>
                <w:b/>
              </w:rPr>
              <w:t>6</w:t>
            </w:r>
            <w:r w:rsidRPr="00F167C0">
              <w:rPr>
                <w:b/>
              </w:rPr>
              <w:t>/</w:t>
            </w:r>
            <w:r w:rsidR="0050226F" w:rsidRPr="00F167C0">
              <w:rPr>
                <w:b/>
              </w:rPr>
              <w:t>103</w:t>
            </w:r>
            <w:r w:rsidRPr="00F167C0">
              <w:rPr>
                <w:b/>
              </w:rPr>
              <w:t>-F</w:t>
            </w:r>
          </w:p>
        </w:tc>
      </w:tr>
      <w:tr w:rsidR="00D72F49" w:rsidRPr="00F167C0" w14:paraId="35510E3B" w14:textId="77777777" w:rsidTr="00796BDB">
        <w:trPr>
          <w:cantSplit/>
        </w:trPr>
        <w:tc>
          <w:tcPr>
            <w:tcW w:w="3969" w:type="dxa"/>
            <w:vMerge/>
          </w:tcPr>
          <w:p w14:paraId="32485025" w14:textId="77777777" w:rsidR="00D72F49" w:rsidRPr="00F167C0" w:rsidRDefault="00D72F49" w:rsidP="00796BDB">
            <w:pPr>
              <w:tabs>
                <w:tab w:val="left" w:pos="851"/>
              </w:tabs>
              <w:spacing w:line="240" w:lineRule="atLeast"/>
              <w:rPr>
                <w:b/>
              </w:rPr>
            </w:pPr>
          </w:p>
        </w:tc>
        <w:tc>
          <w:tcPr>
            <w:tcW w:w="5245" w:type="dxa"/>
          </w:tcPr>
          <w:p w14:paraId="1B3758A9" w14:textId="2A56691E" w:rsidR="00D72F49" w:rsidRPr="00F167C0" w:rsidRDefault="00803041" w:rsidP="00796BDB">
            <w:pPr>
              <w:tabs>
                <w:tab w:val="left" w:pos="851"/>
              </w:tabs>
              <w:spacing w:before="0"/>
              <w:jc w:val="right"/>
              <w:rPr>
                <w:b/>
              </w:rPr>
            </w:pPr>
            <w:r w:rsidRPr="00F167C0">
              <w:rPr>
                <w:b/>
              </w:rPr>
              <w:t>1</w:t>
            </w:r>
            <w:r w:rsidR="0050226F" w:rsidRPr="00F167C0">
              <w:rPr>
                <w:b/>
              </w:rPr>
              <w:t>4</w:t>
            </w:r>
            <w:r w:rsidRPr="00F167C0">
              <w:rPr>
                <w:b/>
              </w:rPr>
              <w:t xml:space="preserve"> avril 2026</w:t>
            </w:r>
          </w:p>
        </w:tc>
      </w:tr>
      <w:tr w:rsidR="00D72F49" w:rsidRPr="00F167C0" w14:paraId="51C9A786" w14:textId="77777777" w:rsidTr="00796BDB">
        <w:trPr>
          <w:cantSplit/>
          <w:trHeight w:val="23"/>
        </w:trPr>
        <w:tc>
          <w:tcPr>
            <w:tcW w:w="3969" w:type="dxa"/>
            <w:vMerge/>
          </w:tcPr>
          <w:p w14:paraId="019BC82D" w14:textId="77777777" w:rsidR="00D72F49" w:rsidRPr="00F167C0" w:rsidRDefault="00D72F49" w:rsidP="00796BDB">
            <w:pPr>
              <w:tabs>
                <w:tab w:val="left" w:pos="851"/>
              </w:tabs>
              <w:spacing w:line="240" w:lineRule="atLeast"/>
              <w:rPr>
                <w:b/>
              </w:rPr>
            </w:pPr>
          </w:p>
        </w:tc>
        <w:tc>
          <w:tcPr>
            <w:tcW w:w="5245" w:type="dxa"/>
          </w:tcPr>
          <w:p w14:paraId="505B188D" w14:textId="7FA639FD" w:rsidR="00D72F49" w:rsidRPr="00F167C0" w:rsidRDefault="00D72F49" w:rsidP="00796BDB">
            <w:pPr>
              <w:tabs>
                <w:tab w:val="left" w:pos="851"/>
              </w:tabs>
              <w:spacing w:before="0" w:line="240" w:lineRule="atLeast"/>
              <w:jc w:val="right"/>
              <w:rPr>
                <w:b/>
              </w:rPr>
            </w:pPr>
            <w:r w:rsidRPr="00F167C0">
              <w:rPr>
                <w:b/>
              </w:rPr>
              <w:t xml:space="preserve">Original: </w:t>
            </w:r>
            <w:r w:rsidR="0050226F" w:rsidRPr="00F167C0">
              <w:rPr>
                <w:b/>
              </w:rPr>
              <w:t>anglais</w:t>
            </w:r>
          </w:p>
        </w:tc>
      </w:tr>
      <w:tr w:rsidR="00D72F49" w:rsidRPr="00F167C0" w14:paraId="455F44F5" w14:textId="77777777" w:rsidTr="00796BDB">
        <w:trPr>
          <w:cantSplit/>
          <w:trHeight w:val="23"/>
        </w:trPr>
        <w:tc>
          <w:tcPr>
            <w:tcW w:w="3969" w:type="dxa"/>
          </w:tcPr>
          <w:p w14:paraId="402C9DDD" w14:textId="77777777" w:rsidR="00D72F49" w:rsidRPr="00F167C0" w:rsidRDefault="00D72F49" w:rsidP="00796BDB">
            <w:pPr>
              <w:tabs>
                <w:tab w:val="left" w:pos="851"/>
              </w:tabs>
              <w:spacing w:line="240" w:lineRule="atLeast"/>
              <w:rPr>
                <w:b/>
              </w:rPr>
            </w:pPr>
          </w:p>
        </w:tc>
        <w:tc>
          <w:tcPr>
            <w:tcW w:w="5245" w:type="dxa"/>
          </w:tcPr>
          <w:p w14:paraId="0AB10D7E" w14:textId="77777777" w:rsidR="00D72F49" w:rsidRPr="00F167C0" w:rsidRDefault="00D72F49" w:rsidP="00796BDB">
            <w:pPr>
              <w:tabs>
                <w:tab w:val="left" w:pos="851"/>
              </w:tabs>
              <w:spacing w:before="0" w:line="240" w:lineRule="atLeast"/>
              <w:jc w:val="right"/>
              <w:rPr>
                <w:b/>
              </w:rPr>
            </w:pPr>
          </w:p>
        </w:tc>
      </w:tr>
      <w:tr w:rsidR="00D72F49" w:rsidRPr="00F167C0" w14:paraId="6212F2AE" w14:textId="77777777" w:rsidTr="00796BDB">
        <w:trPr>
          <w:cantSplit/>
        </w:trPr>
        <w:tc>
          <w:tcPr>
            <w:tcW w:w="9214" w:type="dxa"/>
            <w:gridSpan w:val="2"/>
            <w:tcMar>
              <w:left w:w="0" w:type="dxa"/>
            </w:tcMar>
          </w:tcPr>
          <w:p w14:paraId="72E54EF5" w14:textId="45EB3962" w:rsidR="00D72F49" w:rsidRPr="00763801" w:rsidRDefault="00803041" w:rsidP="00763801">
            <w:pPr>
              <w:pStyle w:val="Source"/>
              <w:framePr w:hSpace="0" w:wrap="auto" w:vAnchor="margin" w:hAnchor="text" w:xAlign="left" w:yAlign="inline"/>
              <w:ind w:right="-113"/>
              <w:rPr>
                <w:rFonts w:cs="Times New Roman Bold"/>
                <w:spacing w:val="-3"/>
              </w:rPr>
            </w:pPr>
            <w:r w:rsidRPr="00763801">
              <w:rPr>
                <w:rFonts w:cs="Times New Roman Bold"/>
                <w:spacing w:val="-3"/>
              </w:rPr>
              <w:t xml:space="preserve">Contribution de la </w:t>
            </w:r>
            <w:r w:rsidR="0050226F" w:rsidRPr="00763801">
              <w:rPr>
                <w:rFonts w:cs="Times New Roman Bold"/>
                <w:spacing w:val="-3"/>
              </w:rPr>
              <w:t xml:space="preserve">République sudafricaine, du Kenya (République du), du Sénégal (République du), </w:t>
            </w:r>
            <w:r w:rsidR="007D4E20" w:rsidRPr="00763801">
              <w:rPr>
                <w:rFonts w:cs="Times New Roman Bold"/>
                <w:spacing w:val="-3"/>
              </w:rPr>
              <w:t>du</w:t>
            </w:r>
            <w:r w:rsidR="0050226F" w:rsidRPr="00763801">
              <w:rPr>
                <w:rFonts w:cs="Times New Roman Bold"/>
                <w:spacing w:val="-3"/>
              </w:rPr>
              <w:t xml:space="preserve"> Maroc (Royaume du) et </w:t>
            </w:r>
            <w:r w:rsidR="00763801">
              <w:rPr>
                <w:rFonts w:cs="Times New Roman Bold"/>
                <w:spacing w:val="-3"/>
              </w:rPr>
              <w:br/>
            </w:r>
            <w:r w:rsidR="0050226F" w:rsidRPr="00763801">
              <w:rPr>
                <w:rFonts w:cs="Times New Roman Bold"/>
                <w:spacing w:val="-3"/>
              </w:rPr>
              <w:t>de la Tanzanie (République-Unie de)</w:t>
            </w:r>
          </w:p>
        </w:tc>
      </w:tr>
      <w:tr w:rsidR="00D72F49" w:rsidRPr="00F167C0" w14:paraId="4DB97F10" w14:textId="77777777" w:rsidTr="00796BDB">
        <w:trPr>
          <w:cantSplit/>
        </w:trPr>
        <w:tc>
          <w:tcPr>
            <w:tcW w:w="9214" w:type="dxa"/>
            <w:gridSpan w:val="2"/>
            <w:tcMar>
              <w:left w:w="0" w:type="dxa"/>
            </w:tcMar>
          </w:tcPr>
          <w:p w14:paraId="0BF4E9C9" w14:textId="16326511" w:rsidR="00D72F49" w:rsidRPr="00F167C0" w:rsidRDefault="00CE185B" w:rsidP="00796BDB">
            <w:pPr>
              <w:pStyle w:val="Subtitle"/>
              <w:framePr w:hSpace="0" w:wrap="auto" w:hAnchor="text" w:xAlign="left" w:yAlign="inline"/>
              <w:rPr>
                <w:sz w:val="32"/>
                <w:szCs w:val="32"/>
                <w:lang w:val="fr-FR"/>
              </w:rPr>
            </w:pPr>
            <w:r w:rsidRPr="00F167C0">
              <w:rPr>
                <w:rFonts w:cstheme="minorHAnsi"/>
                <w:sz w:val="32"/>
                <w:szCs w:val="32"/>
                <w:lang w:val="fr-FR"/>
              </w:rPr>
              <w:t>INCIDENCES FINANCIÈRES DE LA MISE EN ŒUVRE DES RÉSULTATS DE</w:t>
            </w:r>
            <w:r>
              <w:rPr>
                <w:rFonts w:cstheme="minorHAnsi"/>
                <w:sz w:val="32"/>
                <w:szCs w:val="32"/>
                <w:lang w:val="fr-FR"/>
              </w:rPr>
              <w:t> </w:t>
            </w:r>
            <w:r w:rsidRPr="00F167C0">
              <w:rPr>
                <w:rFonts w:cstheme="minorHAnsi"/>
                <w:sz w:val="32"/>
                <w:szCs w:val="32"/>
                <w:lang w:val="fr-FR"/>
              </w:rPr>
              <w:t xml:space="preserve">LA </w:t>
            </w:r>
            <w:proofErr w:type="spellStart"/>
            <w:r w:rsidRPr="00F167C0">
              <w:rPr>
                <w:rFonts w:cstheme="minorHAnsi"/>
                <w:sz w:val="32"/>
                <w:szCs w:val="32"/>
                <w:lang w:val="fr-FR"/>
              </w:rPr>
              <w:t>CDMT</w:t>
            </w:r>
            <w:proofErr w:type="spellEnd"/>
            <w:r w:rsidRPr="00F167C0">
              <w:rPr>
                <w:rFonts w:cstheme="minorHAnsi"/>
                <w:sz w:val="32"/>
                <w:szCs w:val="32"/>
                <w:lang w:val="fr-FR"/>
              </w:rPr>
              <w:t>-25 RELATIFS AU RENFORCEMENT DU RÔLE DES BUREAUX RÉGIONAUX DE L'UIT DANS L'ACCÉLÉRATION DE</w:t>
            </w:r>
            <w:r>
              <w:rPr>
                <w:rFonts w:cstheme="minorHAnsi"/>
                <w:sz w:val="32"/>
                <w:szCs w:val="32"/>
                <w:lang w:val="fr-FR"/>
              </w:rPr>
              <w:t> </w:t>
            </w:r>
            <w:r w:rsidRPr="00F167C0">
              <w:rPr>
                <w:rFonts w:cstheme="minorHAnsi"/>
                <w:sz w:val="32"/>
                <w:szCs w:val="32"/>
                <w:lang w:val="fr-FR"/>
              </w:rPr>
              <w:t>LA</w:t>
            </w:r>
            <w:r>
              <w:rPr>
                <w:rFonts w:cstheme="minorHAnsi"/>
                <w:sz w:val="32"/>
                <w:szCs w:val="32"/>
                <w:lang w:val="fr-FR"/>
              </w:rPr>
              <w:t> </w:t>
            </w:r>
            <w:r w:rsidRPr="00F167C0">
              <w:rPr>
                <w:rFonts w:cstheme="minorHAnsi"/>
                <w:sz w:val="32"/>
                <w:szCs w:val="32"/>
                <w:lang w:val="fr-FR"/>
              </w:rPr>
              <w:t>TRANSFORMATION NUMÉRIQUE ET LA MISE À</w:t>
            </w:r>
            <w:r>
              <w:rPr>
                <w:rFonts w:cstheme="minorHAnsi"/>
                <w:sz w:val="32"/>
                <w:szCs w:val="32"/>
                <w:lang w:val="fr-FR"/>
              </w:rPr>
              <w:t> </w:t>
            </w:r>
            <w:r w:rsidRPr="00F167C0">
              <w:rPr>
                <w:rFonts w:cstheme="minorHAnsi"/>
                <w:sz w:val="32"/>
                <w:szCs w:val="32"/>
                <w:lang w:val="fr-FR"/>
              </w:rPr>
              <w:t>PROFIT</w:t>
            </w:r>
            <w:r>
              <w:rPr>
                <w:rFonts w:cstheme="minorHAnsi"/>
                <w:sz w:val="32"/>
                <w:szCs w:val="32"/>
                <w:lang w:val="fr-FR"/>
              </w:rPr>
              <w:t> </w:t>
            </w:r>
            <w:r w:rsidRPr="00F167C0">
              <w:rPr>
                <w:rFonts w:cstheme="minorHAnsi"/>
                <w:sz w:val="32"/>
                <w:szCs w:val="32"/>
                <w:lang w:val="fr-FR"/>
              </w:rPr>
              <w:t>DES</w:t>
            </w:r>
            <w:r>
              <w:rPr>
                <w:rFonts w:cstheme="minorHAnsi"/>
                <w:sz w:val="32"/>
                <w:szCs w:val="32"/>
                <w:lang w:val="fr-FR"/>
              </w:rPr>
              <w:t> </w:t>
            </w:r>
            <w:r w:rsidRPr="00F167C0">
              <w:rPr>
                <w:rFonts w:cstheme="minorHAnsi"/>
                <w:sz w:val="32"/>
                <w:szCs w:val="32"/>
                <w:lang w:val="fr-FR"/>
              </w:rPr>
              <w:t xml:space="preserve">PARTENARIATS </w:t>
            </w:r>
          </w:p>
        </w:tc>
      </w:tr>
      <w:tr w:rsidR="00D72F49" w:rsidRPr="00F167C0" w14:paraId="001236C9" w14:textId="77777777" w:rsidTr="00796BDB">
        <w:trPr>
          <w:cantSplit/>
        </w:trPr>
        <w:tc>
          <w:tcPr>
            <w:tcW w:w="9214" w:type="dxa"/>
            <w:gridSpan w:val="2"/>
            <w:tcBorders>
              <w:top w:val="single" w:sz="4" w:space="0" w:color="auto"/>
              <w:bottom w:val="single" w:sz="4" w:space="0" w:color="auto"/>
            </w:tcBorders>
            <w:tcMar>
              <w:left w:w="0" w:type="dxa"/>
            </w:tcMar>
          </w:tcPr>
          <w:p w14:paraId="604C67BF" w14:textId="77777777" w:rsidR="00D72F49" w:rsidRPr="00F167C0" w:rsidRDefault="00F37FE5" w:rsidP="00796BDB">
            <w:pPr>
              <w:spacing w:before="160"/>
              <w:rPr>
                <w:b/>
                <w:bCs/>
                <w:sz w:val="26"/>
                <w:szCs w:val="26"/>
              </w:rPr>
            </w:pPr>
            <w:r w:rsidRPr="00F167C0">
              <w:rPr>
                <w:b/>
                <w:bCs/>
                <w:sz w:val="26"/>
                <w:szCs w:val="26"/>
              </w:rPr>
              <w:t>Objet</w:t>
            </w:r>
          </w:p>
          <w:p w14:paraId="6E34E98B" w14:textId="60D56808" w:rsidR="00D72F49" w:rsidRPr="00F167C0" w:rsidRDefault="00DE788C" w:rsidP="00763801">
            <w:pPr>
              <w:jc w:val="both"/>
            </w:pPr>
            <w:r w:rsidRPr="00F167C0">
              <w:t xml:space="preserve">La présente contribution vise à permettre la mise à disposition de financement dédiés pour le mandat élargi du BDT en matière de transformation numérique et à réduire la fracture numérique moyennant </w:t>
            </w:r>
            <w:r w:rsidR="007D4E20">
              <w:t>l'instauration</w:t>
            </w:r>
            <w:r w:rsidRPr="00F167C0">
              <w:t xml:space="preserve"> de nouveaux modèles opérationnels, tels que les centres appartenant aux pays (académies, centres d'accélération), le cadre d'accélération des initiatives régionales et les cadres relatifs à l'écosystème </w:t>
            </w:r>
            <w:r w:rsidR="007D4E20">
              <w:t>pour les</w:t>
            </w:r>
            <w:r w:rsidRPr="00F167C0">
              <w:t xml:space="preserve"> partenariats.</w:t>
            </w:r>
          </w:p>
          <w:p w14:paraId="471A4FA7" w14:textId="7B73A970" w:rsidR="00AA39AF" w:rsidRPr="00F167C0" w:rsidRDefault="00D72F49" w:rsidP="0050226F">
            <w:pPr>
              <w:spacing w:before="160"/>
              <w:rPr>
                <w:b/>
                <w:bCs/>
                <w:sz w:val="26"/>
                <w:szCs w:val="26"/>
              </w:rPr>
            </w:pPr>
            <w:r w:rsidRPr="00F167C0">
              <w:rPr>
                <w:b/>
                <w:bCs/>
                <w:sz w:val="26"/>
                <w:szCs w:val="26"/>
              </w:rPr>
              <w:t>Suite à donner par le Conseil</w:t>
            </w:r>
          </w:p>
          <w:p w14:paraId="1F3836BC" w14:textId="7ABC18C8" w:rsidR="0050226F" w:rsidRPr="00F167C0" w:rsidRDefault="00DE788C" w:rsidP="0050226F">
            <w:pPr>
              <w:spacing w:before="160"/>
              <w:rPr>
                <w:sz w:val="26"/>
                <w:szCs w:val="26"/>
              </w:rPr>
            </w:pPr>
            <w:r w:rsidRPr="00BE08E9">
              <w:rPr>
                <w:szCs w:val="24"/>
              </w:rPr>
              <w:t xml:space="preserve">Le Conseil est invité à </w:t>
            </w:r>
            <w:r w:rsidRPr="00BE08E9">
              <w:rPr>
                <w:b/>
                <w:bCs/>
                <w:szCs w:val="24"/>
              </w:rPr>
              <w:t>examiner</w:t>
            </w:r>
            <w:r w:rsidRPr="00BE08E9">
              <w:rPr>
                <w:szCs w:val="24"/>
              </w:rPr>
              <w:t xml:space="preserve"> le présent document.</w:t>
            </w:r>
          </w:p>
          <w:p w14:paraId="3E14DBFB" w14:textId="77777777" w:rsidR="00D72F49" w:rsidRPr="00F167C0" w:rsidRDefault="00D72F49" w:rsidP="00796BDB">
            <w:pPr>
              <w:spacing w:before="160"/>
              <w:rPr>
                <w:caps/>
                <w:sz w:val="22"/>
              </w:rPr>
            </w:pPr>
            <w:r w:rsidRPr="00F167C0">
              <w:rPr>
                <w:sz w:val="22"/>
              </w:rPr>
              <w:t>__________________</w:t>
            </w:r>
          </w:p>
          <w:p w14:paraId="4147FB9C" w14:textId="77777777" w:rsidR="00D72F49" w:rsidRPr="00F167C0" w:rsidRDefault="00D72F49" w:rsidP="00796BDB">
            <w:pPr>
              <w:spacing w:before="160"/>
              <w:rPr>
                <w:b/>
                <w:bCs/>
                <w:sz w:val="26"/>
                <w:szCs w:val="26"/>
              </w:rPr>
            </w:pPr>
            <w:r w:rsidRPr="00F167C0">
              <w:rPr>
                <w:b/>
                <w:bCs/>
                <w:sz w:val="26"/>
                <w:szCs w:val="26"/>
              </w:rPr>
              <w:t>Références</w:t>
            </w:r>
          </w:p>
          <w:p w14:paraId="018C57D5" w14:textId="06F26221" w:rsidR="00D72F49" w:rsidRPr="00F167C0" w:rsidRDefault="00DE788C" w:rsidP="00CE5172">
            <w:pPr>
              <w:pStyle w:val="Referencetext"/>
              <w:framePr w:hSpace="0" w:wrap="auto" w:vAnchor="margin" w:hAnchor="text" w:xAlign="left" w:yAlign="inline"/>
            </w:pPr>
            <w:hyperlink r:id="rId7" w:history="1">
              <w:r w:rsidRPr="00BE08E9">
                <w:rPr>
                  <w:rStyle w:val="Hyperlink"/>
                  <w:rFonts w:eastAsia="Times New Roman" w:cs="Times New Roman"/>
                  <w:sz w:val="24"/>
                  <w:szCs w:val="24"/>
                </w:rPr>
                <w:t xml:space="preserve">Documents </w:t>
              </w:r>
              <w:proofErr w:type="spellStart"/>
              <w:r w:rsidRPr="00BE08E9">
                <w:rPr>
                  <w:rStyle w:val="Hyperlink"/>
                  <w:sz w:val="24"/>
                  <w:szCs w:val="24"/>
                </w:rPr>
                <w:t>C26</w:t>
              </w:r>
              <w:proofErr w:type="spellEnd"/>
              <w:r w:rsidRPr="00BE08E9">
                <w:rPr>
                  <w:rStyle w:val="Hyperlink"/>
                  <w:sz w:val="24"/>
                  <w:szCs w:val="24"/>
                </w:rPr>
                <w:t>/43</w:t>
              </w:r>
            </w:hyperlink>
            <w:r w:rsidRPr="00BE08E9">
              <w:rPr>
                <w:sz w:val="24"/>
                <w:szCs w:val="24"/>
              </w:rPr>
              <w:t xml:space="preserve"> et </w:t>
            </w:r>
            <w:hyperlink r:id="rId8" w:history="1">
              <w:proofErr w:type="spellStart"/>
              <w:r w:rsidRPr="00BE08E9">
                <w:rPr>
                  <w:rStyle w:val="Hyperlink"/>
                  <w:sz w:val="24"/>
                  <w:szCs w:val="24"/>
                </w:rPr>
                <w:t>C26</w:t>
              </w:r>
              <w:proofErr w:type="spellEnd"/>
              <w:r w:rsidRPr="00BE08E9">
                <w:rPr>
                  <w:rStyle w:val="Hyperlink"/>
                  <w:sz w:val="24"/>
                  <w:szCs w:val="24"/>
                </w:rPr>
                <w:t>/42</w:t>
              </w:r>
            </w:hyperlink>
          </w:p>
        </w:tc>
      </w:tr>
    </w:tbl>
    <w:p w14:paraId="5652AA81" w14:textId="77777777" w:rsidR="00BE08E9" w:rsidRDefault="00A51849" w:rsidP="00BE08E9">
      <w:r w:rsidRPr="00F167C0">
        <w:br w:type="page"/>
      </w:r>
    </w:p>
    <w:p w14:paraId="02EF70FE" w14:textId="6A0B80A2" w:rsidR="00DE788C" w:rsidRPr="00F167C0" w:rsidRDefault="00DE788C" w:rsidP="00DE788C">
      <w:pPr>
        <w:pStyle w:val="Heading1"/>
      </w:pPr>
      <w:r w:rsidRPr="00F167C0">
        <w:rPr>
          <w:rFonts w:eastAsia="Calibri" w:cs="Arial"/>
          <w:kern w:val="2"/>
          <w:szCs w:val="24"/>
        </w:rPr>
        <w:lastRenderedPageBreak/>
        <w:t>1</w:t>
      </w:r>
      <w:r w:rsidRPr="00F167C0">
        <w:rPr>
          <w:rFonts w:eastAsia="Calibri" w:cs="Arial"/>
          <w:kern w:val="2"/>
          <w:szCs w:val="24"/>
        </w:rPr>
        <w:tab/>
      </w:r>
      <w:r w:rsidR="00F167C0" w:rsidRPr="00F167C0">
        <w:t>Rappel</w:t>
      </w:r>
    </w:p>
    <w:p w14:paraId="36CE73AD" w14:textId="32D082D5" w:rsidR="00DE788C" w:rsidRPr="00F167C0" w:rsidRDefault="00DE788C" w:rsidP="00CE185B">
      <w:pPr>
        <w:jc w:val="both"/>
      </w:pPr>
      <w:r w:rsidRPr="00F167C0">
        <w:rPr>
          <w:rFonts w:eastAsia="Calibri"/>
        </w:rPr>
        <w:t>1.1</w:t>
      </w:r>
      <w:r w:rsidRPr="00F167C0">
        <w:rPr>
          <w:rFonts w:eastAsia="Calibri"/>
        </w:rPr>
        <w:tab/>
      </w:r>
      <w:r w:rsidR="00F167C0" w:rsidRPr="00F167C0">
        <w:rPr>
          <w:rFonts w:eastAsia="Calibri"/>
        </w:rPr>
        <w:t xml:space="preserve">Certains textes </w:t>
      </w:r>
      <w:r w:rsidR="00F167C0">
        <w:rPr>
          <w:rFonts w:eastAsia="Calibri"/>
        </w:rPr>
        <w:t xml:space="preserve">adoptés à la Conférence mondiale de développement des télécommunications de 2025 (CMDT-25) tenue à Bakou (Azerbaïdjan) élargissent le mandat opérationnel du Bureau de développement des télécommunications (BDT) dans le domaine l'appui à la transformation numérique dans les pays en développement. En particulier, la Résolution 17 </w:t>
      </w:r>
      <w:r w:rsidR="009F377D">
        <w:rPr>
          <w:rFonts w:eastAsia="Calibri"/>
        </w:rPr>
        <w:t>(Rév. Bakou, 2025)</w:t>
      </w:r>
      <w:r w:rsidR="00F167C0">
        <w:rPr>
          <w:rFonts w:eastAsia="Calibri"/>
        </w:rPr>
        <w:t xml:space="preserve"> et </w:t>
      </w:r>
      <w:r w:rsidR="009F377D">
        <w:rPr>
          <w:rFonts w:eastAsia="Calibri"/>
        </w:rPr>
        <w:t>la Résolution 92 (Bakou</w:t>
      </w:r>
      <w:r w:rsidR="007F35C6">
        <w:rPr>
          <w:rFonts w:eastAsia="Calibri"/>
        </w:rPr>
        <w:t>, 2025</w:t>
      </w:r>
      <w:r w:rsidR="009F377D">
        <w:rPr>
          <w:rFonts w:eastAsia="Calibri"/>
        </w:rPr>
        <w:t xml:space="preserve">) créent des </w:t>
      </w:r>
      <w:r w:rsidR="004F2CA2">
        <w:rPr>
          <w:rFonts w:eastAsia="Calibri"/>
        </w:rPr>
        <w:t xml:space="preserve">besoins nouveaux et élargis en matière de mise en œuvre </w:t>
      </w:r>
      <w:r w:rsidR="007D4E20">
        <w:rPr>
          <w:rFonts w:eastAsia="Calibri"/>
        </w:rPr>
        <w:t>associés</w:t>
      </w:r>
      <w:r w:rsidR="004F2CA2">
        <w:rPr>
          <w:rFonts w:eastAsia="Calibri"/>
        </w:rPr>
        <w:t xml:space="preserve"> aux centres </w:t>
      </w:r>
      <w:r w:rsidR="001F17D7">
        <w:rPr>
          <w:rFonts w:eastAsia="Calibri"/>
        </w:rPr>
        <w:t>appartenant à des</w:t>
      </w:r>
      <w:r w:rsidR="004F2CA2">
        <w:rPr>
          <w:rFonts w:eastAsia="Calibri"/>
        </w:rPr>
        <w:t xml:space="preserve"> pays pour accélérer la transformation numérique, promouvoir des approches pérennes pour le développement des télécommunications/TIC et renforcer la présence régionale de l'UIT.</w:t>
      </w:r>
    </w:p>
    <w:p w14:paraId="2E0FA0E3" w14:textId="0F03EB31" w:rsidR="001F17D7" w:rsidRDefault="00DE788C" w:rsidP="00CE185B">
      <w:pPr>
        <w:jc w:val="both"/>
        <w:rPr>
          <w:rFonts w:eastAsia="Calibri"/>
        </w:rPr>
      </w:pPr>
      <w:r w:rsidRPr="00F167C0">
        <w:rPr>
          <w:rFonts w:eastAsia="Calibri"/>
        </w:rPr>
        <w:t>1.2</w:t>
      </w:r>
      <w:r w:rsidRPr="00F167C0">
        <w:rPr>
          <w:rFonts w:eastAsia="Calibri"/>
        </w:rPr>
        <w:tab/>
      </w:r>
      <w:r w:rsidR="001F17D7">
        <w:rPr>
          <w:rFonts w:eastAsia="Calibri"/>
        </w:rPr>
        <w:t>Ces textes doivent être lus dans le contexte de la Résolution 25 (Rév. Bucarest, 2022) de la Conférence de plénipotentiaires</w:t>
      </w:r>
      <w:r w:rsidR="007E14B1">
        <w:rPr>
          <w:rFonts w:eastAsia="Calibri"/>
        </w:rPr>
        <w:t>, par laquelle sont déjà demandés un renforcement de l'exécution au niveau régional, des mécanismes de financement des projets transparents pour les initiatives régionale et des ressources humaines adéquates pour les bureaux régionaux et les bureaux de zone.</w:t>
      </w:r>
    </w:p>
    <w:p w14:paraId="6FF8676D" w14:textId="37FA99B6" w:rsidR="007E14B1" w:rsidRDefault="00DE788C" w:rsidP="00CE185B">
      <w:pPr>
        <w:jc w:val="both"/>
        <w:rPr>
          <w:rFonts w:eastAsia="Calibri"/>
        </w:rPr>
      </w:pPr>
      <w:r w:rsidRPr="00F167C0">
        <w:rPr>
          <w:rFonts w:eastAsia="Calibri"/>
        </w:rPr>
        <w:t>1.3</w:t>
      </w:r>
      <w:r w:rsidRPr="00F167C0">
        <w:rPr>
          <w:rFonts w:eastAsia="Calibri"/>
        </w:rPr>
        <w:tab/>
      </w:r>
      <w:r w:rsidR="007E14B1">
        <w:rPr>
          <w:rFonts w:eastAsia="Calibri"/>
        </w:rPr>
        <w:t xml:space="preserve">Si la CMDT, par ses résultats, a appuyé et approuvé ces Résolutions, il n'existe toujours aucune approche de financement dédiée pour la mise en œuvre de ces nouveaux mécanismes de facilitation, en particulier </w:t>
      </w:r>
      <w:r w:rsidR="007D4E20">
        <w:rPr>
          <w:rFonts w:eastAsia="Calibri"/>
        </w:rPr>
        <w:t>pour</w:t>
      </w:r>
      <w:r w:rsidR="007E14B1">
        <w:rPr>
          <w:rFonts w:eastAsia="Calibri"/>
        </w:rPr>
        <w:t xml:space="preserve"> le renforcement du rôle des bureaux régionaux de l'UIT dans l'accélération de la transformation numérique</w:t>
      </w:r>
      <w:r w:rsidR="00CE28AD">
        <w:rPr>
          <w:rFonts w:eastAsia="Calibri"/>
        </w:rPr>
        <w:t xml:space="preserve"> et</w:t>
      </w:r>
      <w:r w:rsidR="007E14B1">
        <w:rPr>
          <w:rFonts w:eastAsia="Calibri"/>
        </w:rPr>
        <w:t xml:space="preserve"> la mise à profit des partenariats</w:t>
      </w:r>
      <w:r w:rsidR="007D4E20">
        <w:rPr>
          <w:rFonts w:eastAsia="Calibri"/>
        </w:rPr>
        <w:t>,</w:t>
      </w:r>
      <w:r w:rsidR="007E14B1">
        <w:rPr>
          <w:rFonts w:eastAsia="Calibri"/>
        </w:rPr>
        <w:t xml:space="preserve"> </w:t>
      </w:r>
      <w:r w:rsidR="00CE28AD">
        <w:rPr>
          <w:rFonts w:eastAsia="Calibri"/>
        </w:rPr>
        <w:t xml:space="preserve">ainsi que </w:t>
      </w:r>
      <w:r w:rsidR="007D4E20">
        <w:rPr>
          <w:rFonts w:eastAsia="Calibri"/>
        </w:rPr>
        <w:t xml:space="preserve">pour </w:t>
      </w:r>
      <w:r w:rsidR="00CE28AD">
        <w:rPr>
          <w:rFonts w:eastAsia="Calibri"/>
        </w:rPr>
        <w:t>la réalisation des mandats confiés par l</w:t>
      </w:r>
      <w:r w:rsidR="007D4E20">
        <w:rPr>
          <w:rFonts w:eastAsia="Calibri"/>
        </w:rPr>
        <w:t>a</w:t>
      </w:r>
      <w:r w:rsidR="00CE28AD">
        <w:rPr>
          <w:rFonts w:eastAsia="Calibri"/>
        </w:rPr>
        <w:t xml:space="preserve"> CMDT.</w:t>
      </w:r>
    </w:p>
    <w:p w14:paraId="79841A59" w14:textId="7BAC9393" w:rsidR="00CE28AD" w:rsidRDefault="00DE788C" w:rsidP="00CE185B">
      <w:pPr>
        <w:jc w:val="both"/>
        <w:rPr>
          <w:rFonts w:eastAsia="Calibri"/>
        </w:rPr>
      </w:pPr>
      <w:r w:rsidRPr="00F167C0">
        <w:rPr>
          <w:rFonts w:eastAsia="Calibri"/>
        </w:rPr>
        <w:t>1.4</w:t>
      </w:r>
      <w:r w:rsidRPr="00F167C0">
        <w:rPr>
          <w:rFonts w:eastAsia="Calibri"/>
        </w:rPr>
        <w:tab/>
      </w:r>
      <w:r w:rsidR="00CE28AD">
        <w:rPr>
          <w:rFonts w:eastAsia="Calibri"/>
        </w:rPr>
        <w:t>Les initiatives régionales adoptées par la CMDT-25 restent le principal outil de mise en</w:t>
      </w:r>
      <w:r w:rsidR="00BE08E9">
        <w:rPr>
          <w:rFonts w:eastAsia="Calibri"/>
        </w:rPr>
        <w:t> </w:t>
      </w:r>
      <w:r w:rsidR="00CE28AD">
        <w:rPr>
          <w:rFonts w:eastAsia="Calibri"/>
        </w:rPr>
        <w:t>œuvre au niveau régional. Or, elles sont conçues avant tout pour faciliter l'identification et le co-financement de projets régionaux et ne</w:t>
      </w:r>
      <w:r w:rsidR="005911B9">
        <w:rPr>
          <w:rFonts w:eastAsia="Calibri"/>
        </w:rPr>
        <w:t xml:space="preserve"> couvrent pas la totalité des fonctions sous</w:t>
      </w:r>
      <w:r w:rsidR="00BE08E9">
        <w:rPr>
          <w:rFonts w:eastAsia="Calibri"/>
        </w:rPr>
        <w:noBreakHyphen/>
      </w:r>
      <w:r w:rsidR="005911B9">
        <w:rPr>
          <w:rFonts w:eastAsia="Calibri"/>
        </w:rPr>
        <w:t xml:space="preserve">jacentes et transversales </w:t>
      </w:r>
      <w:r w:rsidR="007D4E20">
        <w:rPr>
          <w:rFonts w:eastAsia="Calibri"/>
        </w:rPr>
        <w:t>nécessaires</w:t>
      </w:r>
      <w:r w:rsidR="005911B9">
        <w:rPr>
          <w:rFonts w:eastAsia="Calibri"/>
        </w:rPr>
        <w:t xml:space="preserve"> pour mettre en œuvre/concrétiser les nouveaux modèles d'exécution établis à la CMDT-25, notamment l'appui aux centres d'accélération, </w:t>
      </w:r>
      <w:r w:rsidR="007D4E20">
        <w:rPr>
          <w:rFonts w:eastAsia="Calibri"/>
        </w:rPr>
        <w:t xml:space="preserve">l'instauration d'un </w:t>
      </w:r>
      <w:r w:rsidR="005911B9">
        <w:rPr>
          <w:rFonts w:eastAsia="Calibri"/>
        </w:rPr>
        <w:t xml:space="preserve">écosystème </w:t>
      </w:r>
      <w:r w:rsidR="007D4E20">
        <w:rPr>
          <w:rFonts w:eastAsia="Calibri"/>
        </w:rPr>
        <w:t>pour les</w:t>
      </w:r>
      <w:r w:rsidR="005911B9">
        <w:rPr>
          <w:rFonts w:eastAsia="Calibri"/>
        </w:rPr>
        <w:t xml:space="preserve"> partenariats, les centres appartenant aux pays, ainsi que la coordination de l'élaboration et de la mise en œuvre des projets</w:t>
      </w:r>
      <w:r w:rsidR="00337CCB">
        <w:rPr>
          <w:rFonts w:eastAsia="Calibri"/>
        </w:rPr>
        <w:t>,</w:t>
      </w:r>
      <w:r w:rsidR="005911B9">
        <w:rPr>
          <w:rFonts w:eastAsia="Calibri"/>
        </w:rPr>
        <w:t xml:space="preserve"> </w:t>
      </w:r>
      <w:r w:rsidR="00337CCB">
        <w:rPr>
          <w:rFonts w:eastAsia="Calibri"/>
        </w:rPr>
        <w:t>par</w:t>
      </w:r>
      <w:r w:rsidR="005911B9">
        <w:rPr>
          <w:rFonts w:eastAsia="Calibri"/>
        </w:rPr>
        <w:t xml:space="preserve"> la Résolution</w:t>
      </w:r>
      <w:r w:rsidR="00BE08E9">
        <w:rPr>
          <w:rFonts w:eastAsia="Calibri"/>
        </w:rPr>
        <w:t> </w:t>
      </w:r>
      <w:r w:rsidR="005911B9">
        <w:rPr>
          <w:rFonts w:eastAsia="Calibri"/>
        </w:rPr>
        <w:t>17</w:t>
      </w:r>
      <w:r w:rsidR="00BE08E9">
        <w:rPr>
          <w:rFonts w:eastAsia="Calibri"/>
        </w:rPr>
        <w:t> </w:t>
      </w:r>
      <w:r w:rsidR="005911B9">
        <w:rPr>
          <w:rFonts w:eastAsia="Calibri"/>
        </w:rPr>
        <w:t>(</w:t>
      </w:r>
      <w:r w:rsidR="00337CCB">
        <w:rPr>
          <w:rFonts w:eastAsia="Calibri"/>
        </w:rPr>
        <w:t>R</w:t>
      </w:r>
      <w:r w:rsidR="005911B9">
        <w:rPr>
          <w:rFonts w:eastAsia="Calibri"/>
        </w:rPr>
        <w:t>év. Bakou, 2025) et la Résolution 92 (Bakou, 2025).</w:t>
      </w:r>
    </w:p>
    <w:p w14:paraId="383E87ED" w14:textId="2416D54F" w:rsidR="00727375" w:rsidRDefault="00DE788C" w:rsidP="00CE185B">
      <w:pPr>
        <w:jc w:val="both"/>
      </w:pPr>
      <w:r w:rsidRPr="00F167C0">
        <w:rPr>
          <w:rFonts w:eastAsia="Calibri"/>
        </w:rPr>
        <w:t>1.5</w:t>
      </w:r>
      <w:r w:rsidRPr="00F167C0">
        <w:rPr>
          <w:rFonts w:eastAsia="Calibri"/>
        </w:rPr>
        <w:tab/>
      </w:r>
      <w:r w:rsidR="00727375">
        <w:t xml:space="preserve">Alors que la technologie évolue rapidement, il est de plus en plus nécessaire d'intensifier l'assistance apportée aux pays en développement afin qu'ils puissent rattraper leur retard persistant dans le domaine du numérique, mettre les nouvelles possibilités au service du développement et éviter de se retrouver davantage marginalisés dans l'économie numérique. </w:t>
      </w:r>
      <w:r w:rsidR="000C08C1">
        <w:t xml:space="preserve">Cela ne sera possible et viable que si l'UIT instaure une capacité locale pour ce faire, qui </w:t>
      </w:r>
      <w:r w:rsidR="00337CCB">
        <w:t>soit</w:t>
      </w:r>
      <w:r w:rsidR="000C08C1">
        <w:t xml:space="preserve"> pleinement intégrée dans ses programmes existants, en mettant à profit de nouveaux modèles, comme les travaux qu'elle mène sur la mise en place de centres appartenant aux pays </w:t>
      </w:r>
      <w:r w:rsidR="00337CCB">
        <w:t xml:space="preserve">et </w:t>
      </w:r>
      <w:r w:rsidR="000C08C1">
        <w:t>menant leurs activités en étroite coordination avec les équipes chargées des programmes et les bureaux régionaux afin d'accroître les retombées et la résilience des interventions.</w:t>
      </w:r>
    </w:p>
    <w:p w14:paraId="0297B040" w14:textId="15CF9463" w:rsidR="000C08C1" w:rsidRDefault="00DE788C" w:rsidP="00CE185B">
      <w:pPr>
        <w:jc w:val="both"/>
        <w:rPr>
          <w:rFonts w:eastAsia="Calibri"/>
        </w:rPr>
      </w:pPr>
      <w:r w:rsidRPr="00F167C0">
        <w:rPr>
          <w:rFonts w:eastAsia="Calibri"/>
        </w:rPr>
        <w:t>1.6</w:t>
      </w:r>
      <w:r w:rsidRPr="00F167C0">
        <w:rPr>
          <w:rFonts w:eastAsia="Calibri"/>
        </w:rPr>
        <w:tab/>
      </w:r>
      <w:r w:rsidR="000C08C1">
        <w:rPr>
          <w:rFonts w:eastAsia="Calibri"/>
        </w:rPr>
        <w:t>À cet égard, les bureaux régionaux et les bureaux de zone devraient être considérés comme la principale plate-forme d'exécution et de coordination de ces fonctions de facilitation</w:t>
      </w:r>
      <w:r w:rsidR="00337CCB">
        <w:rPr>
          <w:rFonts w:eastAsia="Calibri"/>
        </w:rPr>
        <w:t xml:space="preserve"> (élaboration des différents projets</w:t>
      </w:r>
      <w:r w:rsidR="000C08C1">
        <w:rPr>
          <w:rFonts w:eastAsia="Calibri"/>
        </w:rPr>
        <w:t>, négociation de partenariat</w:t>
      </w:r>
      <w:r w:rsidR="00337CCB">
        <w:rPr>
          <w:rFonts w:eastAsia="Calibri"/>
        </w:rPr>
        <w:t>s</w:t>
      </w:r>
      <w:r w:rsidR="000C08C1">
        <w:rPr>
          <w:rFonts w:eastAsia="Calibri"/>
        </w:rPr>
        <w:t>, coordination des projets et appui à la mise en œuvre</w:t>
      </w:r>
      <w:r w:rsidR="00337CCB">
        <w:rPr>
          <w:rFonts w:eastAsia="Calibri"/>
        </w:rPr>
        <w:t>)</w:t>
      </w:r>
      <w:r w:rsidR="000C08C1">
        <w:rPr>
          <w:rFonts w:eastAsia="Calibri"/>
        </w:rPr>
        <w:t>, dans la droite ligne du rôle de plus en plus important dont il est déjà rendu compte dans les rapports opérationnels régionaux.</w:t>
      </w:r>
    </w:p>
    <w:p w14:paraId="54757057" w14:textId="5001C43B" w:rsidR="000C08C1" w:rsidRDefault="00DE788C" w:rsidP="00CE185B">
      <w:pPr>
        <w:keepLines/>
        <w:jc w:val="both"/>
        <w:rPr>
          <w:rFonts w:eastAsia="Calibri"/>
        </w:rPr>
      </w:pPr>
      <w:r w:rsidRPr="00F167C0">
        <w:rPr>
          <w:rFonts w:eastAsia="Calibri"/>
        </w:rPr>
        <w:lastRenderedPageBreak/>
        <w:t>1.7</w:t>
      </w:r>
      <w:r w:rsidRPr="00F167C0">
        <w:rPr>
          <w:rFonts w:eastAsia="Calibri"/>
        </w:rPr>
        <w:tab/>
      </w:r>
      <w:r w:rsidR="000C08C1">
        <w:rPr>
          <w:rFonts w:eastAsia="Calibri"/>
        </w:rPr>
        <w:t xml:space="preserve">Compte tenu de ce qui précède, le présent document est soumis pour examen au Conseil, afin </w:t>
      </w:r>
      <w:r w:rsidR="00337CCB">
        <w:rPr>
          <w:rFonts w:eastAsia="Calibri"/>
        </w:rPr>
        <w:t>que celui-ci</w:t>
      </w:r>
      <w:r w:rsidR="000C08C1">
        <w:rPr>
          <w:rFonts w:eastAsia="Calibri"/>
        </w:rPr>
        <w:t xml:space="preserve"> se penche sur la nécessité de disposer de fonds d'amorçage ponctuels </w:t>
      </w:r>
      <w:r w:rsidR="00337CCB">
        <w:rPr>
          <w:rFonts w:eastAsia="Calibri"/>
        </w:rPr>
        <w:t>et</w:t>
      </w:r>
      <w:r w:rsidR="000C08C1">
        <w:rPr>
          <w:rFonts w:eastAsia="Calibri"/>
        </w:rPr>
        <w:t xml:space="preserve"> catalyseur</w:t>
      </w:r>
      <w:r w:rsidR="00337CCB">
        <w:rPr>
          <w:rFonts w:eastAsia="Calibri"/>
        </w:rPr>
        <w:t>s</w:t>
      </w:r>
      <w:r w:rsidR="000C08C1">
        <w:rPr>
          <w:rFonts w:eastAsia="Calibri"/>
        </w:rPr>
        <w:t xml:space="preserve"> pour appuyer la mise en œuvre des activités </w:t>
      </w:r>
      <w:r w:rsidR="00337CCB">
        <w:rPr>
          <w:rFonts w:eastAsia="Calibri"/>
        </w:rPr>
        <w:t>au titre</w:t>
      </w:r>
      <w:r w:rsidR="000C08C1">
        <w:rPr>
          <w:rFonts w:eastAsia="Calibri"/>
        </w:rPr>
        <w:t xml:space="preserve"> d</w:t>
      </w:r>
      <w:r w:rsidR="00512802">
        <w:rPr>
          <w:rFonts w:eastAsia="Calibri"/>
        </w:rPr>
        <w:t xml:space="preserve">es Résolutions 17 (Rév. Bakou, 2025) et 92 (Bakou, 2025), </w:t>
      </w:r>
      <w:r w:rsidR="00337CCB">
        <w:rPr>
          <w:rFonts w:eastAsia="Calibri"/>
        </w:rPr>
        <w:t>en vertu desquelles</w:t>
      </w:r>
      <w:r w:rsidR="00512802">
        <w:rPr>
          <w:rFonts w:eastAsia="Calibri"/>
        </w:rPr>
        <w:t xml:space="preserve"> </w:t>
      </w:r>
      <w:r w:rsidR="00337CCB">
        <w:rPr>
          <w:rFonts w:eastAsia="Calibri"/>
        </w:rPr>
        <w:t>est confié au</w:t>
      </w:r>
      <w:r w:rsidR="00512802">
        <w:rPr>
          <w:rFonts w:eastAsia="Calibri"/>
        </w:rPr>
        <w:t xml:space="preserve"> Bureau de développement </w:t>
      </w:r>
      <w:r w:rsidR="00337CCB">
        <w:rPr>
          <w:rFonts w:eastAsia="Calibri"/>
        </w:rPr>
        <w:t>des télécommunications un mandat considérablement élargi afin de</w:t>
      </w:r>
      <w:r w:rsidR="00512802">
        <w:rPr>
          <w:rFonts w:eastAsia="Calibri"/>
        </w:rPr>
        <w:t xml:space="preserve"> mettre en œuvre les nouveaux modèles d'exécution, notamment les cadres </w:t>
      </w:r>
      <w:r w:rsidR="00337CCB">
        <w:rPr>
          <w:rFonts w:eastAsia="Calibri"/>
        </w:rPr>
        <w:t>d'accélération des initiatives régionales</w:t>
      </w:r>
      <w:r w:rsidR="00512802">
        <w:rPr>
          <w:rFonts w:eastAsia="Calibri"/>
        </w:rPr>
        <w:t xml:space="preserve">, les écosystèmes </w:t>
      </w:r>
      <w:r w:rsidR="00337CCB">
        <w:rPr>
          <w:rFonts w:eastAsia="Calibri"/>
        </w:rPr>
        <w:t>pour les</w:t>
      </w:r>
      <w:r w:rsidR="00512802">
        <w:rPr>
          <w:rFonts w:eastAsia="Calibri"/>
        </w:rPr>
        <w:t xml:space="preserve"> partenariat et les centres appartenant aux pays afin </w:t>
      </w:r>
      <w:r w:rsidR="008C7002">
        <w:rPr>
          <w:rFonts w:eastAsia="Calibri"/>
        </w:rPr>
        <w:t>de favoriser</w:t>
      </w:r>
      <w:r w:rsidR="00512802">
        <w:rPr>
          <w:rFonts w:eastAsia="Calibri"/>
        </w:rPr>
        <w:t xml:space="preserve"> la transformation numérique. Or, </w:t>
      </w:r>
      <w:r w:rsidR="008C7002">
        <w:rPr>
          <w:rFonts w:eastAsia="Calibri"/>
        </w:rPr>
        <w:t>les missions correspondantes</w:t>
      </w:r>
      <w:r w:rsidR="00512802">
        <w:rPr>
          <w:rFonts w:eastAsia="Calibri"/>
        </w:rPr>
        <w:t xml:space="preserve"> ont été adopté</w:t>
      </w:r>
      <w:r w:rsidR="008C7002">
        <w:rPr>
          <w:rFonts w:eastAsia="Calibri"/>
        </w:rPr>
        <w:t>e</w:t>
      </w:r>
      <w:r w:rsidR="00512802">
        <w:rPr>
          <w:rFonts w:eastAsia="Calibri"/>
        </w:rPr>
        <w:t>s sans financement dédié, ce qui crée un décalage incontestable entre l</w:t>
      </w:r>
      <w:r w:rsidR="008C7002">
        <w:rPr>
          <w:rFonts w:eastAsia="Calibri"/>
        </w:rPr>
        <w:t xml:space="preserve">es </w:t>
      </w:r>
      <w:r w:rsidR="00512802">
        <w:rPr>
          <w:rFonts w:eastAsia="Calibri"/>
        </w:rPr>
        <w:t>ambition</w:t>
      </w:r>
      <w:r w:rsidR="008C7002">
        <w:rPr>
          <w:rFonts w:eastAsia="Calibri"/>
        </w:rPr>
        <w:t>s</w:t>
      </w:r>
      <w:r w:rsidR="00512802">
        <w:rPr>
          <w:rFonts w:eastAsia="Calibri"/>
        </w:rPr>
        <w:t xml:space="preserve"> et la mise en œuvre. Les cycles précédents </w:t>
      </w:r>
      <w:r w:rsidR="008C7002">
        <w:rPr>
          <w:rFonts w:eastAsia="Calibri"/>
        </w:rPr>
        <w:t>ont montré</w:t>
      </w:r>
      <w:r w:rsidR="00512802">
        <w:rPr>
          <w:rFonts w:eastAsia="Calibri"/>
        </w:rPr>
        <w:t xml:space="preserve"> qu'il est essentiel de disposer de fonds d'amorçage </w:t>
      </w:r>
      <w:r w:rsidR="008C7002">
        <w:rPr>
          <w:rFonts w:eastAsia="Calibri"/>
        </w:rPr>
        <w:t xml:space="preserve">jouant un rôle catalyseur </w:t>
      </w:r>
      <w:r w:rsidR="00512802">
        <w:rPr>
          <w:rFonts w:eastAsia="Calibri"/>
        </w:rPr>
        <w:t xml:space="preserve">pour que ces </w:t>
      </w:r>
      <w:r w:rsidR="008C7002">
        <w:rPr>
          <w:rFonts w:eastAsia="Calibri"/>
        </w:rPr>
        <w:t>missions</w:t>
      </w:r>
      <w:r w:rsidR="00512802">
        <w:rPr>
          <w:rFonts w:eastAsia="Calibri"/>
        </w:rPr>
        <w:t xml:space="preserve"> se traduisent par des résultats concrets, en ce qu'ils permettent de préparer les projets, d'assurer la coordination au niveau régional, d'encourager les partenariats et de mobiliser des ressources extrabudgétaires.</w:t>
      </w:r>
    </w:p>
    <w:p w14:paraId="3CC8DBA8" w14:textId="4835E46D" w:rsidR="00DE788C" w:rsidRPr="00F167C0" w:rsidRDefault="00DE788C" w:rsidP="00DE788C">
      <w:pPr>
        <w:pStyle w:val="Heading1"/>
      </w:pPr>
      <w:r w:rsidRPr="00F167C0">
        <w:rPr>
          <w:rFonts w:eastAsia="Calibri" w:cs="Arial"/>
          <w:kern w:val="2"/>
          <w:szCs w:val="24"/>
        </w:rPr>
        <w:t>2</w:t>
      </w:r>
      <w:r w:rsidRPr="00F167C0">
        <w:rPr>
          <w:rFonts w:eastAsia="Calibri" w:cs="Arial"/>
          <w:kern w:val="2"/>
          <w:szCs w:val="24"/>
        </w:rPr>
        <w:tab/>
      </w:r>
      <w:r w:rsidRPr="00F167C0">
        <w:t>Propos</w:t>
      </w:r>
      <w:r w:rsidR="00512802">
        <w:t>ition</w:t>
      </w:r>
    </w:p>
    <w:p w14:paraId="501C2A81" w14:textId="55AEA58B" w:rsidR="00512802" w:rsidRDefault="00512802" w:rsidP="00CE185B">
      <w:pPr>
        <w:jc w:val="both"/>
      </w:pPr>
      <w:r>
        <w:t xml:space="preserve">Dans ce contexte, nous demandons au Conseil d'envisager d'affecter sans délai les éventuels excédents budgétaires disponibles pour </w:t>
      </w:r>
      <w:r w:rsidR="008C7002">
        <w:t>assurer un appui ponctuel et catalyseur à</w:t>
      </w:r>
      <w:r>
        <w:t xml:space="preserve"> la mise en œuvre des nouveaux mécanismes de facilitation </w:t>
      </w:r>
      <w:r w:rsidR="008C7002">
        <w:t>découlant des</w:t>
      </w:r>
      <w:r>
        <w:t xml:space="preserve"> résultats de la CMDT-25 en lien avec la transformation numérique</w:t>
      </w:r>
      <w:r w:rsidR="008C7002">
        <w:t>,</w:t>
      </w:r>
      <w:r>
        <w:t xml:space="preserve"> et de donner des instructions concernant la création de mécanismes de financement catalyseur prévisibles.</w:t>
      </w:r>
    </w:p>
    <w:p w14:paraId="78CA48E2" w14:textId="7F94EF40" w:rsidR="00512802" w:rsidRDefault="00512802" w:rsidP="00CE185B">
      <w:pPr>
        <w:jc w:val="both"/>
      </w:pPr>
      <w:r>
        <w:t xml:space="preserve">De plus, le Conseil envisagera peut-être de transmettre à la PP-26 des propositions de financements dédiés pour ces Résolutions, afin de faire en sorte que les priorités adoptées à la CMDT-25 soient mises en œuvre de manière efficace, </w:t>
      </w:r>
      <w:r w:rsidR="0053166F">
        <w:t>pérenne</w:t>
      </w:r>
      <w:r>
        <w:t xml:space="preserve"> et équitable dans toutes les régions.</w:t>
      </w:r>
    </w:p>
    <w:p w14:paraId="7121DB94" w14:textId="77777777" w:rsidR="00CE185B" w:rsidRDefault="00CE185B" w:rsidP="00CE185B">
      <w:pPr>
        <w:jc w:val="both"/>
      </w:pPr>
    </w:p>
    <w:p w14:paraId="39D49A74" w14:textId="77777777" w:rsidR="00DE788C" w:rsidRPr="00F167C0" w:rsidRDefault="00DE788C" w:rsidP="00DE788C">
      <w:pPr>
        <w:jc w:val="center"/>
      </w:pPr>
      <w:r w:rsidRPr="00F167C0">
        <w:t>______________</w:t>
      </w:r>
    </w:p>
    <w:sectPr w:rsidR="00DE788C" w:rsidRPr="00F167C0" w:rsidSect="00D72F49">
      <w:headerReference w:type="even" r:id="rId9"/>
      <w:footerReference w:type="even" r:id="rId10"/>
      <w:footerReference w:type="default" r:id="rId11"/>
      <w:headerReference w:type="first" r:id="rId12"/>
      <w:footerReference w:type="first" r:id="rId1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DD4F" w14:textId="77777777" w:rsidR="00781986" w:rsidRDefault="00781986">
      <w:r>
        <w:separator/>
      </w:r>
    </w:p>
  </w:endnote>
  <w:endnote w:type="continuationSeparator" w:id="0">
    <w:p w14:paraId="566B3D48" w14:textId="77777777" w:rsidR="00781986" w:rsidRDefault="0078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A7A9" w14:textId="40D524E4" w:rsidR="00732045" w:rsidRDefault="00803041">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1D5DB3">
      <w:t>21.04.26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72B0CA5" w14:textId="77777777" w:rsidTr="00E31DCE">
      <w:trPr>
        <w:jc w:val="center"/>
      </w:trPr>
      <w:tc>
        <w:tcPr>
          <w:tcW w:w="1803" w:type="dxa"/>
          <w:vAlign w:val="center"/>
        </w:tcPr>
        <w:p w14:paraId="00AE36DD" w14:textId="2C122AD4" w:rsidR="00A51849" w:rsidRDefault="007F35C6" w:rsidP="00A51849">
          <w:pPr>
            <w:pStyle w:val="Header"/>
            <w:jc w:val="left"/>
            <w:rPr>
              <w:noProof/>
            </w:rPr>
          </w:pPr>
          <w:r>
            <w:rPr>
              <w:noProof/>
            </w:rPr>
            <w:t>2600992</w:t>
          </w:r>
        </w:p>
      </w:tc>
      <w:tc>
        <w:tcPr>
          <w:tcW w:w="8261" w:type="dxa"/>
        </w:tcPr>
        <w:p w14:paraId="367B66FF" w14:textId="773CAAFC"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9D6DAC">
            <w:rPr>
              <w:bCs/>
            </w:rPr>
            <w:t>103</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0990EA3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CB56759" w14:textId="77777777" w:rsidTr="00E31DCE">
      <w:trPr>
        <w:jc w:val="center"/>
      </w:trPr>
      <w:tc>
        <w:tcPr>
          <w:tcW w:w="1803" w:type="dxa"/>
          <w:vAlign w:val="center"/>
        </w:tcPr>
        <w:p w14:paraId="72A347AC"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D017A15" w14:textId="403CFC68"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BE08E9">
            <w:rPr>
              <w:bCs/>
            </w:rPr>
            <w:t>103</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64A9495"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97C0" w14:textId="77777777" w:rsidR="00781986" w:rsidRDefault="00781986">
      <w:r>
        <w:t>____________________</w:t>
      </w:r>
    </w:p>
  </w:footnote>
  <w:footnote w:type="continuationSeparator" w:id="0">
    <w:p w14:paraId="6B72188E" w14:textId="77777777" w:rsidR="00781986" w:rsidRDefault="0078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F1B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5EC29A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DCFF" w14:textId="77777777" w:rsidR="00A51849" w:rsidRPr="001342E0" w:rsidRDefault="001342E0" w:rsidP="001342E0">
    <w:pPr>
      <w:pStyle w:val="Header"/>
    </w:pPr>
    <w:r>
      <w:rPr>
        <w:noProof/>
      </w:rPr>
      <w:drawing>
        <wp:inline distT="0" distB="0" distL="0" distR="0" wp14:anchorId="61E5119D" wp14:editId="2BE1A92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E6154"/>
    <w:multiLevelType w:val="hybridMultilevel"/>
    <w:tmpl w:val="50FC32B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 w:numId="16" w16cid:durableId="167065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41"/>
    <w:rsid w:val="00061C9B"/>
    <w:rsid w:val="00076A2C"/>
    <w:rsid w:val="00095D77"/>
    <w:rsid w:val="000C08C1"/>
    <w:rsid w:val="000D0D0A"/>
    <w:rsid w:val="00103163"/>
    <w:rsid w:val="00106B19"/>
    <w:rsid w:val="001133EF"/>
    <w:rsid w:val="00115D93"/>
    <w:rsid w:val="001247A8"/>
    <w:rsid w:val="001342E0"/>
    <w:rsid w:val="001370B2"/>
    <w:rsid w:val="001378C0"/>
    <w:rsid w:val="001658F9"/>
    <w:rsid w:val="00165D1E"/>
    <w:rsid w:val="0017606A"/>
    <w:rsid w:val="0018694A"/>
    <w:rsid w:val="0019129B"/>
    <w:rsid w:val="001A3287"/>
    <w:rsid w:val="001A6508"/>
    <w:rsid w:val="001D4C31"/>
    <w:rsid w:val="001D5DB3"/>
    <w:rsid w:val="001E4D21"/>
    <w:rsid w:val="001F17D7"/>
    <w:rsid w:val="00207CD1"/>
    <w:rsid w:val="00226657"/>
    <w:rsid w:val="002477A2"/>
    <w:rsid w:val="00263A51"/>
    <w:rsid w:val="00267E02"/>
    <w:rsid w:val="00271321"/>
    <w:rsid w:val="00277DEA"/>
    <w:rsid w:val="002A5D44"/>
    <w:rsid w:val="002C3F32"/>
    <w:rsid w:val="002C4E3D"/>
    <w:rsid w:val="002D2336"/>
    <w:rsid w:val="002E0BC4"/>
    <w:rsid w:val="002F1B76"/>
    <w:rsid w:val="00306D17"/>
    <w:rsid w:val="0033568E"/>
    <w:rsid w:val="00337CCB"/>
    <w:rsid w:val="00355FF5"/>
    <w:rsid w:val="00361350"/>
    <w:rsid w:val="00362963"/>
    <w:rsid w:val="003775FB"/>
    <w:rsid w:val="003B38FD"/>
    <w:rsid w:val="003C3FAE"/>
    <w:rsid w:val="003F7DEF"/>
    <w:rsid w:val="004038CB"/>
    <w:rsid w:val="0040546F"/>
    <w:rsid w:val="004177BD"/>
    <w:rsid w:val="0042404A"/>
    <w:rsid w:val="0044618F"/>
    <w:rsid w:val="00465C35"/>
    <w:rsid w:val="0046769A"/>
    <w:rsid w:val="00475FB3"/>
    <w:rsid w:val="004C37A9"/>
    <w:rsid w:val="004D1D50"/>
    <w:rsid w:val="004F259E"/>
    <w:rsid w:val="004F2CA2"/>
    <w:rsid w:val="004F633A"/>
    <w:rsid w:val="0050226F"/>
    <w:rsid w:val="00504C7F"/>
    <w:rsid w:val="00511F1D"/>
    <w:rsid w:val="00512802"/>
    <w:rsid w:val="0052024E"/>
    <w:rsid w:val="00520F36"/>
    <w:rsid w:val="00524E8D"/>
    <w:rsid w:val="0053166F"/>
    <w:rsid w:val="00534E13"/>
    <w:rsid w:val="00540615"/>
    <w:rsid w:val="00540629"/>
    <w:rsid w:val="00540A6D"/>
    <w:rsid w:val="00553536"/>
    <w:rsid w:val="00566679"/>
    <w:rsid w:val="00571EEA"/>
    <w:rsid w:val="00575417"/>
    <w:rsid w:val="005768E1"/>
    <w:rsid w:val="005911B9"/>
    <w:rsid w:val="005B1938"/>
    <w:rsid w:val="005C3890"/>
    <w:rsid w:val="005F7BFE"/>
    <w:rsid w:val="00600017"/>
    <w:rsid w:val="00602682"/>
    <w:rsid w:val="006060AC"/>
    <w:rsid w:val="00613FE8"/>
    <w:rsid w:val="006235CA"/>
    <w:rsid w:val="0062366E"/>
    <w:rsid w:val="006643AB"/>
    <w:rsid w:val="006A11AE"/>
    <w:rsid w:val="006B224B"/>
    <w:rsid w:val="006C033A"/>
    <w:rsid w:val="006F0A53"/>
    <w:rsid w:val="0071402E"/>
    <w:rsid w:val="007210CD"/>
    <w:rsid w:val="00727375"/>
    <w:rsid w:val="00732045"/>
    <w:rsid w:val="0073275D"/>
    <w:rsid w:val="007369DB"/>
    <w:rsid w:val="00763801"/>
    <w:rsid w:val="0077110E"/>
    <w:rsid w:val="00772462"/>
    <w:rsid w:val="00781986"/>
    <w:rsid w:val="007832AB"/>
    <w:rsid w:val="007956C2"/>
    <w:rsid w:val="00796BDB"/>
    <w:rsid w:val="007A187E"/>
    <w:rsid w:val="007C72C2"/>
    <w:rsid w:val="007D4436"/>
    <w:rsid w:val="007D4E20"/>
    <w:rsid w:val="007E14B1"/>
    <w:rsid w:val="007F257A"/>
    <w:rsid w:val="007F35C6"/>
    <w:rsid w:val="007F3665"/>
    <w:rsid w:val="00800037"/>
    <w:rsid w:val="00803041"/>
    <w:rsid w:val="0082299A"/>
    <w:rsid w:val="0083391C"/>
    <w:rsid w:val="0084546D"/>
    <w:rsid w:val="00861D73"/>
    <w:rsid w:val="00882919"/>
    <w:rsid w:val="00897553"/>
    <w:rsid w:val="008A4E87"/>
    <w:rsid w:val="008A7F8A"/>
    <w:rsid w:val="008C7002"/>
    <w:rsid w:val="008D76E6"/>
    <w:rsid w:val="0092392D"/>
    <w:rsid w:val="009259A0"/>
    <w:rsid w:val="0093234A"/>
    <w:rsid w:val="00956A78"/>
    <w:rsid w:val="0097363B"/>
    <w:rsid w:val="00973F53"/>
    <w:rsid w:val="009770F1"/>
    <w:rsid w:val="0098348E"/>
    <w:rsid w:val="009A6BAA"/>
    <w:rsid w:val="009A76A8"/>
    <w:rsid w:val="009C307F"/>
    <w:rsid w:val="009C353C"/>
    <w:rsid w:val="009D32EE"/>
    <w:rsid w:val="009D5955"/>
    <w:rsid w:val="009D6DAC"/>
    <w:rsid w:val="009F0FB8"/>
    <w:rsid w:val="009F377D"/>
    <w:rsid w:val="00A01F4F"/>
    <w:rsid w:val="00A109AF"/>
    <w:rsid w:val="00A125FB"/>
    <w:rsid w:val="00A2113E"/>
    <w:rsid w:val="00A23A51"/>
    <w:rsid w:val="00A24607"/>
    <w:rsid w:val="00A25CD3"/>
    <w:rsid w:val="00A34BC6"/>
    <w:rsid w:val="00A51849"/>
    <w:rsid w:val="00A709FE"/>
    <w:rsid w:val="00A73C60"/>
    <w:rsid w:val="00A82767"/>
    <w:rsid w:val="00AA332F"/>
    <w:rsid w:val="00AA39AF"/>
    <w:rsid w:val="00AA7BBB"/>
    <w:rsid w:val="00AB64A8"/>
    <w:rsid w:val="00AC0266"/>
    <w:rsid w:val="00AC0F1D"/>
    <w:rsid w:val="00AD24EC"/>
    <w:rsid w:val="00B27B00"/>
    <w:rsid w:val="00B309F9"/>
    <w:rsid w:val="00B32B60"/>
    <w:rsid w:val="00B51005"/>
    <w:rsid w:val="00B61619"/>
    <w:rsid w:val="00BB38C1"/>
    <w:rsid w:val="00BB4545"/>
    <w:rsid w:val="00BD5873"/>
    <w:rsid w:val="00BE08E9"/>
    <w:rsid w:val="00BF4B60"/>
    <w:rsid w:val="00C049D7"/>
    <w:rsid w:val="00C04BE3"/>
    <w:rsid w:val="00C25D29"/>
    <w:rsid w:val="00C2625E"/>
    <w:rsid w:val="00C27A7C"/>
    <w:rsid w:val="00C42437"/>
    <w:rsid w:val="00CA08ED"/>
    <w:rsid w:val="00CC6EAA"/>
    <w:rsid w:val="00CD58B7"/>
    <w:rsid w:val="00CE185B"/>
    <w:rsid w:val="00CE28AD"/>
    <w:rsid w:val="00CE5172"/>
    <w:rsid w:val="00CF0534"/>
    <w:rsid w:val="00CF183B"/>
    <w:rsid w:val="00D375CD"/>
    <w:rsid w:val="00D37B53"/>
    <w:rsid w:val="00D553A2"/>
    <w:rsid w:val="00D72F49"/>
    <w:rsid w:val="00D75711"/>
    <w:rsid w:val="00D774D3"/>
    <w:rsid w:val="00D904E8"/>
    <w:rsid w:val="00DA08C3"/>
    <w:rsid w:val="00DB5A3E"/>
    <w:rsid w:val="00DC22AA"/>
    <w:rsid w:val="00DD1A99"/>
    <w:rsid w:val="00DD27B6"/>
    <w:rsid w:val="00DE62C6"/>
    <w:rsid w:val="00DE788C"/>
    <w:rsid w:val="00DF74DD"/>
    <w:rsid w:val="00E25AD0"/>
    <w:rsid w:val="00E4428F"/>
    <w:rsid w:val="00E4448E"/>
    <w:rsid w:val="00E47427"/>
    <w:rsid w:val="00E93668"/>
    <w:rsid w:val="00E95647"/>
    <w:rsid w:val="00EB6350"/>
    <w:rsid w:val="00ED799B"/>
    <w:rsid w:val="00F15B57"/>
    <w:rsid w:val="00F167C0"/>
    <w:rsid w:val="00F35EF4"/>
    <w:rsid w:val="00F37FE5"/>
    <w:rsid w:val="00F427DB"/>
    <w:rsid w:val="00FA2D7B"/>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E1F3"/>
  <w15:docId w15:val="{B8F2DAB7-08B8-4EAE-B278-ABE97095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3F7DEF"/>
    <w:pPr>
      <w:framePr w:hSpace="181" w:wrap="around" w:vAnchor="page" w:hAnchor="page" w:x="1589" w:y="2314"/>
      <w:spacing w:before="840"/>
    </w:pPr>
    <w:rPr>
      <w:b/>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ListParagraph">
    <w:name w:val="List Paragraph"/>
    <w:basedOn w:val="Normal"/>
    <w:uiPriority w:val="34"/>
    <w:qFormat/>
    <w:rsid w:val="00AA3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f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tu.int/md/S26-CL-C-0043/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952</Words>
  <Characters>5568</Characters>
  <Application>Microsoft Office Word</Application>
  <DocSecurity>0</DocSecurity>
  <Lines>103</Lines>
  <Paragraphs>37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6483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Incidences financières de la mise en œuvre des résultats de la CDMT-25 relatifs au renforcement du rôle des bureaux régionaux de l'UIT dans l'accélération de la transformation numérique et la mise à profit des partenariats</dc:title>
  <dc:subject>Conseil 2026 de l'UIT</dc:subject>
  <cp:keywords>C26; C2026; Council 2026; PP26</cp:keywords>
  <dc:description/>
  <cp:lastPrinted>2000-07-18T08:55:00Z</cp:lastPrinted>
  <dcterms:created xsi:type="dcterms:W3CDTF">2026-04-21T08:04:00Z</dcterms:created>
  <dcterms:modified xsi:type="dcterms:W3CDTF">2026-04-21T09:35:00Z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