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358CCB0D" w14:textId="77777777" w:rsidTr="00954C49">
        <w:trPr>
          <w:cantSplit/>
          <w:trHeight w:val="23"/>
        </w:trPr>
        <w:tc>
          <w:tcPr>
            <w:tcW w:w="3969" w:type="dxa"/>
            <w:vMerge w:val="restart"/>
            <w:tcMar>
              <w:left w:w="0" w:type="dxa"/>
            </w:tcMar>
          </w:tcPr>
          <w:p w14:paraId="42B26F6D" w14:textId="7405A6AD"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p>
        </w:tc>
        <w:tc>
          <w:tcPr>
            <w:tcW w:w="5245" w:type="dxa"/>
          </w:tcPr>
          <w:p w14:paraId="526987D5" w14:textId="666E374E"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A705D1">
              <w:rPr>
                <w:b/>
              </w:rPr>
              <w:t>103</w:t>
            </w:r>
            <w:r w:rsidRPr="00C0458D">
              <w:rPr>
                <w:b/>
              </w:rPr>
              <w:t>-E</w:t>
            </w:r>
          </w:p>
        </w:tc>
      </w:tr>
      <w:tr w:rsidR="00AD3606" w:rsidRPr="00C0458D" w14:paraId="3F2F6EB4" w14:textId="77777777" w:rsidTr="00954C49">
        <w:trPr>
          <w:cantSplit/>
        </w:trPr>
        <w:tc>
          <w:tcPr>
            <w:tcW w:w="3969" w:type="dxa"/>
            <w:vMerge/>
          </w:tcPr>
          <w:p w14:paraId="75566EF0"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FEAD664" w14:textId="08A74EC4" w:rsidR="00AD3606" w:rsidRPr="00C0458D" w:rsidRDefault="00BC2F32" w:rsidP="00954C49">
            <w:pPr>
              <w:tabs>
                <w:tab w:val="left" w:pos="851"/>
              </w:tabs>
              <w:spacing w:before="0"/>
              <w:jc w:val="right"/>
              <w:rPr>
                <w:b/>
              </w:rPr>
            </w:pPr>
            <w:r>
              <w:rPr>
                <w:b/>
              </w:rPr>
              <w:t>14 April 2026</w:t>
            </w:r>
          </w:p>
        </w:tc>
      </w:tr>
      <w:tr w:rsidR="00AD3606" w:rsidRPr="00C0458D" w14:paraId="7041130E" w14:textId="77777777" w:rsidTr="00954C49">
        <w:trPr>
          <w:cantSplit/>
          <w:trHeight w:val="23"/>
        </w:trPr>
        <w:tc>
          <w:tcPr>
            <w:tcW w:w="3969" w:type="dxa"/>
            <w:vMerge/>
          </w:tcPr>
          <w:p w14:paraId="19B6C7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1421D04F"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59AE0316" w14:textId="77777777" w:rsidTr="00954C49">
        <w:trPr>
          <w:cantSplit/>
          <w:trHeight w:val="23"/>
        </w:trPr>
        <w:tc>
          <w:tcPr>
            <w:tcW w:w="3969" w:type="dxa"/>
          </w:tcPr>
          <w:p w14:paraId="0B84EE4F" w14:textId="77777777" w:rsidR="00472BAD" w:rsidRPr="00C0458D" w:rsidRDefault="00472BAD" w:rsidP="00954C49">
            <w:pPr>
              <w:tabs>
                <w:tab w:val="left" w:pos="851"/>
              </w:tabs>
              <w:spacing w:line="240" w:lineRule="atLeast"/>
              <w:rPr>
                <w:b/>
              </w:rPr>
            </w:pPr>
          </w:p>
        </w:tc>
        <w:tc>
          <w:tcPr>
            <w:tcW w:w="5245" w:type="dxa"/>
          </w:tcPr>
          <w:p w14:paraId="05B707AC" w14:textId="77777777" w:rsidR="00472BAD" w:rsidRPr="00C0458D" w:rsidRDefault="00472BAD" w:rsidP="00954C49">
            <w:pPr>
              <w:tabs>
                <w:tab w:val="left" w:pos="851"/>
              </w:tabs>
              <w:spacing w:before="0" w:line="240" w:lineRule="atLeast"/>
              <w:jc w:val="right"/>
              <w:rPr>
                <w:b/>
              </w:rPr>
            </w:pPr>
          </w:p>
        </w:tc>
      </w:tr>
      <w:tr w:rsidR="00AD3606" w:rsidRPr="00C0458D" w14:paraId="75C9B8C1" w14:textId="77777777" w:rsidTr="00954C49">
        <w:trPr>
          <w:cantSplit/>
        </w:trPr>
        <w:tc>
          <w:tcPr>
            <w:tcW w:w="9214" w:type="dxa"/>
            <w:gridSpan w:val="2"/>
            <w:tcMar>
              <w:left w:w="0" w:type="dxa"/>
            </w:tcMar>
          </w:tcPr>
          <w:p w14:paraId="03B94647" w14:textId="75D83719" w:rsidR="00AD3606" w:rsidRPr="00C0458D" w:rsidRDefault="007870AF" w:rsidP="009239F0">
            <w:pPr>
              <w:pStyle w:val="Source"/>
              <w:framePr w:hSpace="0" w:wrap="auto" w:vAnchor="margin" w:hAnchor="text" w:xAlign="left" w:yAlign="inline"/>
            </w:pPr>
            <w:bookmarkStart w:id="8" w:name="dsource" w:colFirst="0" w:colLast="0"/>
            <w:bookmarkEnd w:id="7"/>
            <w:r>
              <w:t xml:space="preserve">Contribution by </w:t>
            </w:r>
            <w:r w:rsidRPr="009239F0">
              <w:t>South</w:t>
            </w:r>
            <w:r>
              <w:t xml:space="preserve"> Africa (Republic of), Kenya (Republic of), Senegal (Republic of), Morocco (Kingdom of) and Tanzania (United Republic of)</w:t>
            </w:r>
          </w:p>
        </w:tc>
      </w:tr>
      <w:tr w:rsidR="00AD3606" w:rsidRPr="00C0458D" w14:paraId="5F704D62" w14:textId="77777777" w:rsidTr="00954C49">
        <w:trPr>
          <w:cantSplit/>
        </w:trPr>
        <w:tc>
          <w:tcPr>
            <w:tcW w:w="9214" w:type="dxa"/>
            <w:gridSpan w:val="2"/>
            <w:tcMar>
              <w:left w:w="0" w:type="dxa"/>
            </w:tcMar>
          </w:tcPr>
          <w:p w14:paraId="56C1AF56" w14:textId="0B5CBF12" w:rsidR="00AD3606" w:rsidRPr="00176F47" w:rsidRDefault="00960EC8" w:rsidP="009239F0">
            <w:pPr>
              <w:pStyle w:val="Subtitle"/>
              <w:framePr w:hSpace="0" w:wrap="auto" w:xAlign="left" w:yAlign="inline"/>
            </w:pPr>
            <w:bookmarkStart w:id="9" w:name="dtitle1" w:colFirst="0" w:colLast="0"/>
            <w:bookmarkEnd w:id="8"/>
            <w:r w:rsidRPr="00BC2F32">
              <w:t>FINANCIAL IMPLICATIONS OF THE IMPLEMENTATION OF WTDC-25 OUTCOMES ON STRENGTHENING THE ROLE OF ITU REGIONAL OFFICES IN ACCELERATING DIGITAL TRANSFORMATION AND LEVERAGING PARTNERSHIPS</w:t>
            </w:r>
          </w:p>
        </w:tc>
      </w:tr>
      <w:tr w:rsidR="00AD3606" w:rsidRPr="00C0458D" w14:paraId="62FD4E7D" w14:textId="77777777" w:rsidTr="00954C49">
        <w:trPr>
          <w:cantSplit/>
        </w:trPr>
        <w:tc>
          <w:tcPr>
            <w:tcW w:w="9214" w:type="dxa"/>
            <w:gridSpan w:val="2"/>
            <w:tcBorders>
              <w:top w:val="single" w:sz="4" w:space="0" w:color="auto"/>
              <w:bottom w:val="single" w:sz="4" w:space="0" w:color="auto"/>
            </w:tcBorders>
            <w:tcMar>
              <w:left w:w="0" w:type="dxa"/>
            </w:tcMar>
          </w:tcPr>
          <w:p w14:paraId="72558BF4" w14:textId="77777777" w:rsidR="00AD3606" w:rsidRPr="00C0458D" w:rsidRDefault="00F16BAB" w:rsidP="00954C49">
            <w:pPr>
              <w:spacing w:before="160"/>
              <w:rPr>
                <w:b/>
                <w:bCs/>
                <w:sz w:val="26"/>
                <w:szCs w:val="26"/>
              </w:rPr>
            </w:pPr>
            <w:r w:rsidRPr="00C0458D">
              <w:rPr>
                <w:b/>
                <w:bCs/>
                <w:sz w:val="26"/>
                <w:szCs w:val="26"/>
              </w:rPr>
              <w:t>Purpose</w:t>
            </w:r>
          </w:p>
          <w:p w14:paraId="0134B28D" w14:textId="625DEC39" w:rsidR="00BC2F32" w:rsidRDefault="00BC2F32" w:rsidP="00BC2F32">
            <w:pPr>
              <w:jc w:val="both"/>
            </w:pPr>
            <w:r>
              <w:t xml:space="preserve">This contribution aims to </w:t>
            </w:r>
            <w:r w:rsidRPr="00421329">
              <w:t>facilitate</w:t>
            </w:r>
            <w:r>
              <w:t xml:space="preserve"> </w:t>
            </w:r>
            <w:r w:rsidRPr="00267F94">
              <w:t xml:space="preserve">dedicated funding </w:t>
            </w:r>
            <w:r>
              <w:t xml:space="preserve">for the expanded </w:t>
            </w:r>
            <w:r w:rsidRPr="00267F94">
              <w:t xml:space="preserve">mandate of </w:t>
            </w:r>
            <w:r>
              <w:t xml:space="preserve">BDT’s </w:t>
            </w:r>
            <w:r w:rsidRPr="00267F94">
              <w:t xml:space="preserve">digital transformation and </w:t>
            </w:r>
            <w:r>
              <w:t xml:space="preserve">to close the digital divide by introducing new operational models, such as </w:t>
            </w:r>
            <w:r w:rsidR="009239F0">
              <w:t>country</w:t>
            </w:r>
            <w:r>
              <w:t xml:space="preserve">-owned centres (Academies, acceleration centres), the Regional Initiative Accelerator framework, and the Partnership ecosystem frameworks. </w:t>
            </w:r>
          </w:p>
          <w:p w14:paraId="7882ECC8"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2334F065" w14:textId="77777777" w:rsidR="00BC2F32" w:rsidRPr="004405AB" w:rsidRDefault="00BC2F32" w:rsidP="00BC2F32">
            <w:pPr>
              <w:spacing w:before="160"/>
            </w:pPr>
            <w:r w:rsidRPr="002D5DBD">
              <w:t>The Council is invited to</w:t>
            </w:r>
            <w:r>
              <w:t xml:space="preserve"> </w:t>
            </w:r>
            <w:r>
              <w:rPr>
                <w:b/>
                <w:bCs/>
              </w:rPr>
              <w:t>consider</w:t>
            </w:r>
            <w:r>
              <w:t xml:space="preserve"> this document.</w:t>
            </w:r>
          </w:p>
          <w:p w14:paraId="1554E5F9" w14:textId="77777777" w:rsidR="00C0458D" w:rsidRDefault="00C0458D" w:rsidP="00954C49">
            <w:r>
              <w:t>_______________</w:t>
            </w:r>
          </w:p>
          <w:p w14:paraId="75073B39" w14:textId="77777777" w:rsidR="00AD3606" w:rsidRPr="00C0458D" w:rsidRDefault="00AD3606" w:rsidP="00954C49">
            <w:pPr>
              <w:spacing w:before="160"/>
              <w:rPr>
                <w:b/>
                <w:bCs/>
                <w:sz w:val="26"/>
                <w:szCs w:val="26"/>
              </w:rPr>
            </w:pPr>
            <w:r w:rsidRPr="00C0458D">
              <w:rPr>
                <w:b/>
                <w:bCs/>
                <w:sz w:val="26"/>
                <w:szCs w:val="26"/>
              </w:rPr>
              <w:t>References</w:t>
            </w:r>
          </w:p>
          <w:p w14:paraId="3177FBA2" w14:textId="618287E2" w:rsidR="00AD3606" w:rsidRPr="009239F0" w:rsidRDefault="009239F0" w:rsidP="00954C49">
            <w:pPr>
              <w:spacing w:after="160"/>
              <w:rPr>
                <w:i/>
                <w:iCs/>
                <w:sz w:val="22"/>
                <w:szCs w:val="22"/>
              </w:rPr>
            </w:pPr>
            <w:r w:rsidRPr="009239F0">
              <w:rPr>
                <w:i/>
                <w:iCs/>
                <w:sz w:val="22"/>
                <w:szCs w:val="22"/>
              </w:rPr>
              <w:t xml:space="preserve">Documents </w:t>
            </w:r>
            <w:hyperlink r:id="rId8" w:history="1">
              <w:r w:rsidR="00BC2F32" w:rsidRPr="009239F0">
                <w:rPr>
                  <w:rStyle w:val="Hyperlink"/>
                  <w:i/>
                  <w:iCs/>
                  <w:sz w:val="22"/>
                  <w:szCs w:val="22"/>
                </w:rPr>
                <w:t>C26/43</w:t>
              </w:r>
            </w:hyperlink>
            <w:r w:rsidR="00BC2F32" w:rsidRPr="009239F0">
              <w:rPr>
                <w:i/>
                <w:iCs/>
                <w:sz w:val="22"/>
                <w:szCs w:val="22"/>
              </w:rPr>
              <w:t xml:space="preserve"> and </w:t>
            </w:r>
            <w:hyperlink r:id="rId9" w:history="1">
              <w:r w:rsidR="00BC2F32" w:rsidRPr="009239F0">
                <w:rPr>
                  <w:rStyle w:val="Hyperlink"/>
                  <w:i/>
                  <w:iCs/>
                  <w:sz w:val="22"/>
                  <w:szCs w:val="22"/>
                </w:rPr>
                <w:t>C26/42</w:t>
              </w:r>
            </w:hyperlink>
          </w:p>
        </w:tc>
      </w:tr>
    </w:tbl>
    <w:p w14:paraId="2AB90D0B"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8362D99"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3BA65BD3" w14:textId="26A6BB0B" w:rsidR="008B5C81" w:rsidRPr="00BC2F32" w:rsidRDefault="00BC2F32" w:rsidP="00BC2F32">
      <w:pPr>
        <w:pStyle w:val="Heading1"/>
      </w:pPr>
      <w:r>
        <w:rPr>
          <w:rFonts w:eastAsia="Calibri" w:cs="Arial"/>
          <w:kern w:val="2"/>
          <w:szCs w:val="24"/>
          <w:lang w:val="en-ZA"/>
        </w:rPr>
        <w:lastRenderedPageBreak/>
        <w:t>1</w:t>
      </w:r>
      <w:r>
        <w:rPr>
          <w:rFonts w:eastAsia="Calibri" w:cs="Arial"/>
          <w:kern w:val="2"/>
          <w:szCs w:val="24"/>
          <w:lang w:val="en-ZA"/>
        </w:rPr>
        <w:tab/>
      </w:r>
      <w:r w:rsidR="008B5C81" w:rsidRPr="00BC2F32">
        <w:t>Background</w:t>
      </w:r>
    </w:p>
    <w:p w14:paraId="211D105A" w14:textId="7CC62DE2" w:rsidR="008B5C81" w:rsidRDefault="00BC2F32" w:rsidP="00BC2F32">
      <w:pPr>
        <w:jc w:val="both"/>
      </w:pPr>
      <w:r>
        <w:rPr>
          <w:rFonts w:eastAsia="Calibri" w:cs="Arial"/>
          <w:kern w:val="2"/>
          <w:szCs w:val="24"/>
          <w:lang w:val="en-ZA"/>
        </w:rPr>
        <w:t>1.1</w:t>
      </w:r>
      <w:r>
        <w:rPr>
          <w:rFonts w:eastAsia="Calibri" w:cs="Arial"/>
          <w:kern w:val="2"/>
          <w:szCs w:val="24"/>
          <w:lang w:val="en-ZA"/>
        </w:rPr>
        <w:tab/>
      </w:r>
      <w:r w:rsidR="008B5C81">
        <w:t xml:space="preserve">The </w:t>
      </w:r>
      <w:r w:rsidR="00960EC8">
        <w:t xml:space="preserve">2025 </w:t>
      </w:r>
      <w:r w:rsidR="008B5C81">
        <w:t>World Telecommunication Development Conference (WTDC-25), held in Baku, Azerbaijan, adopted outcomes that expand the operational mandate of the Telecommunication Development Bureau (BDT) in supporting digital transformation in developing countries. In particular, the revised Resolution 17 and the Resolution 92, Baku, 2025 introduce new and expanded implementation requirements related to country-owned centres in accelerating digital transformation, promoting sustainable approaches to ICT/telecommunication development, and strengthening the regional presence of ITU.</w:t>
      </w:r>
    </w:p>
    <w:p w14:paraId="3CF65709" w14:textId="3F924AD7" w:rsidR="008B5C81" w:rsidRDefault="00BC2F32" w:rsidP="00BC2F32">
      <w:pPr>
        <w:jc w:val="both"/>
      </w:pPr>
      <w:r>
        <w:rPr>
          <w:rFonts w:eastAsia="Calibri" w:cs="Arial"/>
          <w:kern w:val="2"/>
          <w:szCs w:val="24"/>
          <w:lang w:val="en-ZA"/>
        </w:rPr>
        <w:t>1.2</w:t>
      </w:r>
      <w:r>
        <w:rPr>
          <w:rFonts w:eastAsia="Calibri" w:cs="Arial"/>
          <w:kern w:val="2"/>
          <w:szCs w:val="24"/>
          <w:lang w:val="en-ZA"/>
        </w:rPr>
        <w:tab/>
      </w:r>
      <w:r w:rsidR="008B5C81" w:rsidRPr="0023335C">
        <w:t>These outcomes should be read together with Resolution 25 (Rev. Bucharest, 2022), which already calls for stronger regional delivery, transparent project funding mechanisms for Regional Initiatives, and adequate human resources in regional and area offices</w:t>
      </w:r>
      <w:r w:rsidR="008B5C81">
        <w:t>.</w:t>
      </w:r>
    </w:p>
    <w:p w14:paraId="2CB37967" w14:textId="335C6C86" w:rsidR="008B5C81" w:rsidRDefault="00BC2F32" w:rsidP="00BC2F32">
      <w:pPr>
        <w:jc w:val="both"/>
      </w:pPr>
      <w:r>
        <w:rPr>
          <w:rFonts w:eastAsia="Calibri" w:cs="Arial"/>
          <w:kern w:val="2"/>
          <w:szCs w:val="24"/>
          <w:lang w:val="en-ZA"/>
        </w:rPr>
        <w:t>1.3</w:t>
      </w:r>
      <w:r>
        <w:rPr>
          <w:rFonts w:eastAsia="Calibri" w:cs="Arial"/>
          <w:kern w:val="2"/>
          <w:szCs w:val="24"/>
          <w:lang w:val="en-ZA"/>
        </w:rPr>
        <w:tab/>
      </w:r>
      <w:r w:rsidR="008B5C81">
        <w:t xml:space="preserve">While the WTDC outcome has endorsed and approved these resolutions, </w:t>
      </w:r>
      <w:r w:rsidR="008B5C81" w:rsidRPr="0023335C">
        <w:t>the implementation of the new enabling mechanisms remains without a dedicated financing approach</w:t>
      </w:r>
      <w:r w:rsidR="008B5C81">
        <w:t xml:space="preserve">, particularly on strengthening the role of ITU regional offices in accelerating digital transformation and leveraging partnerships and achieving the mandate of WTDC. </w:t>
      </w:r>
    </w:p>
    <w:p w14:paraId="02D7B0AD" w14:textId="67826450" w:rsidR="008B5C81" w:rsidRDefault="00BC2F32" w:rsidP="00BC2F32">
      <w:pPr>
        <w:jc w:val="both"/>
      </w:pPr>
      <w:r>
        <w:rPr>
          <w:rFonts w:eastAsia="Calibri" w:cs="Arial"/>
          <w:kern w:val="2"/>
          <w:szCs w:val="24"/>
          <w:lang w:val="en-ZA"/>
        </w:rPr>
        <w:t>1.4</w:t>
      </w:r>
      <w:r>
        <w:rPr>
          <w:rFonts w:eastAsia="Calibri" w:cs="Arial"/>
          <w:kern w:val="2"/>
          <w:szCs w:val="24"/>
          <w:lang w:val="en-ZA"/>
        </w:rPr>
        <w:tab/>
      </w:r>
      <w:r w:rsidR="008B5C81">
        <w:t xml:space="preserve">The Regional Initiatives adopted by WTDC-25 </w:t>
      </w:r>
      <w:r w:rsidR="008B5C81" w:rsidRPr="000575B6">
        <w:t>remain the principal regional implementation vehicle</w:t>
      </w:r>
      <w:r w:rsidR="008B5C81">
        <w:t xml:space="preserve">. </w:t>
      </w:r>
      <w:r w:rsidR="00960EC8">
        <w:t>However</w:t>
      </w:r>
      <w:r w:rsidR="008B5C81">
        <w:t>, they are designed primarily to facilitate the identification and co-funding of regional projects and do not cover the full range of enabling and cross-cutting functions required to implement/</w:t>
      </w:r>
      <w:r w:rsidR="008B5C81" w:rsidRPr="00C21575">
        <w:t>operationalize the new delivery models</w:t>
      </w:r>
      <w:r w:rsidR="008B5C81" w:rsidRPr="000575B6">
        <w:t xml:space="preserve"> introduced at WTDC-25, including accelerator support, partnership ecosystem development, country-owned centres, project preparation and implementation </w:t>
      </w:r>
      <w:r w:rsidR="00960EC8" w:rsidRPr="000575B6">
        <w:t>coordination</w:t>
      </w:r>
      <w:r w:rsidR="00960EC8">
        <w:t xml:space="preserve"> in</w:t>
      </w:r>
      <w:r w:rsidR="008B5C81">
        <w:t xml:space="preserve"> both Resolution 17 and Resolution 92 (Baku, 2025).</w:t>
      </w:r>
    </w:p>
    <w:p w14:paraId="7C588FC1" w14:textId="5047798B" w:rsidR="008B5C81" w:rsidRDefault="00BC2F32" w:rsidP="00BC2F32">
      <w:pPr>
        <w:jc w:val="both"/>
      </w:pPr>
      <w:r>
        <w:rPr>
          <w:rFonts w:eastAsia="Calibri" w:cs="Arial"/>
          <w:kern w:val="2"/>
          <w:szCs w:val="24"/>
          <w:lang w:val="en-ZA"/>
        </w:rPr>
        <w:t>1.5</w:t>
      </w:r>
      <w:r>
        <w:rPr>
          <w:rFonts w:eastAsia="Calibri" w:cs="Arial"/>
          <w:kern w:val="2"/>
          <w:szCs w:val="24"/>
          <w:lang w:val="en-ZA"/>
        </w:rPr>
        <w:tab/>
      </w:r>
      <w:r w:rsidR="008B5C81">
        <w:t xml:space="preserve"> At a time of rapid technological change, there is a growing need to strengthen assistance to developing countries so that they can bridge persistent digital gaps, harness new opportunities for development, and avoid further marginalization in the digital economy. This will only be possible and sustainable if ITU builds local enabling capacity that is fully integrated into its existing programmes, leveraging new models such as ITU’s work on developing country-owned centres that operate in close coordination with programmatic and regional offices to scale the impact and resilience of interventions.</w:t>
      </w:r>
    </w:p>
    <w:p w14:paraId="65B660C3" w14:textId="4CC95319" w:rsidR="008B5C81" w:rsidRDefault="00BC2F32" w:rsidP="00BC2F32">
      <w:pPr>
        <w:jc w:val="both"/>
      </w:pPr>
      <w:r>
        <w:rPr>
          <w:rFonts w:eastAsia="Calibri" w:cs="Arial"/>
          <w:kern w:val="2"/>
          <w:szCs w:val="24"/>
          <w:lang w:val="en-ZA"/>
        </w:rPr>
        <w:t>1.6</w:t>
      </w:r>
      <w:r>
        <w:rPr>
          <w:rFonts w:eastAsia="Calibri" w:cs="Arial"/>
          <w:kern w:val="2"/>
          <w:szCs w:val="24"/>
          <w:lang w:val="en-ZA"/>
        </w:rPr>
        <w:tab/>
      </w:r>
      <w:r w:rsidR="008B5C81" w:rsidRPr="000575B6">
        <w:t>In this regard, regional and area offices should be understood as the principal delivery and facilitation platform for these enabling functions, including pipeline development, partnership brokering, project coordination and support to implementation, in line with the growing role already reflected in regional operational reporting.</w:t>
      </w:r>
    </w:p>
    <w:p w14:paraId="5A40C277" w14:textId="75FF45BF" w:rsidR="008B5C81" w:rsidRDefault="00BC2F32" w:rsidP="00BC2F32">
      <w:pPr>
        <w:jc w:val="both"/>
      </w:pPr>
      <w:r>
        <w:rPr>
          <w:rFonts w:eastAsia="Calibri" w:cs="Arial"/>
          <w:kern w:val="2"/>
          <w:szCs w:val="24"/>
          <w:lang w:val="en-ZA"/>
        </w:rPr>
        <w:t>1.7</w:t>
      </w:r>
      <w:r>
        <w:rPr>
          <w:rFonts w:eastAsia="Calibri" w:cs="Arial"/>
          <w:kern w:val="2"/>
          <w:szCs w:val="24"/>
          <w:lang w:val="en-ZA"/>
        </w:rPr>
        <w:tab/>
      </w:r>
      <w:r w:rsidR="008B5C81">
        <w:t xml:space="preserve">In view of the above, this document is submitted for Council consideration to address the need for catalytic, </w:t>
      </w:r>
      <w:r w:rsidR="008B5C81" w:rsidRPr="000575B6">
        <w:t>time-bound seed</w:t>
      </w:r>
      <w:r w:rsidR="008B5C81">
        <w:t xml:space="preserve"> funding to support the implementation of activities under Resolutions 17 and 92 (Baku, 2025), which confer a significantly expanded mandate on the Telecommunication Development Bureau to operationalise new delivery models, including regional accelerator frameworks, partnership ecosystems, and country-owned centres to advance digital transformation. However, these mandates were adopted without dedicated funding, creating a clear gap between ambition and implementation. Experience from previous cycles has shown that catalytic seed funding is essential to translate such mandates into tangible results by enabling project preparation, regional coordination, fostering partnerships, and mobilising extrabudgetary resources. </w:t>
      </w:r>
    </w:p>
    <w:p w14:paraId="7123FC76" w14:textId="7807AB63" w:rsidR="008B5C81" w:rsidRPr="00BC2F32" w:rsidRDefault="00BC2F32" w:rsidP="009239F0">
      <w:pPr>
        <w:pStyle w:val="Heading1"/>
      </w:pPr>
      <w:r>
        <w:rPr>
          <w:rFonts w:eastAsia="Calibri" w:cs="Arial"/>
          <w:kern w:val="2"/>
          <w:szCs w:val="24"/>
          <w:lang w:val="en-ZA"/>
        </w:rPr>
        <w:lastRenderedPageBreak/>
        <w:t>2</w:t>
      </w:r>
      <w:r>
        <w:rPr>
          <w:rFonts w:eastAsia="Calibri" w:cs="Arial"/>
          <w:kern w:val="2"/>
          <w:szCs w:val="24"/>
          <w:lang w:val="en-ZA"/>
        </w:rPr>
        <w:tab/>
      </w:r>
      <w:r w:rsidR="008B5C81" w:rsidRPr="00BC2F32">
        <w:t xml:space="preserve">Proposal </w:t>
      </w:r>
    </w:p>
    <w:p w14:paraId="0C99342E" w14:textId="77777777" w:rsidR="008B5C81" w:rsidRDefault="008B5C81" w:rsidP="009239F0">
      <w:pPr>
        <w:jc w:val="both"/>
      </w:pPr>
      <w:r>
        <w:t xml:space="preserve">In this context, we ask the Council to consider the timely allocation of any available surplus funds as </w:t>
      </w:r>
      <w:r w:rsidRPr="000575B6">
        <w:t>catalytic, time-bound support</w:t>
      </w:r>
      <w:r>
        <w:t xml:space="preserve"> f</w:t>
      </w:r>
      <w:r w:rsidRPr="004178C9">
        <w:t>or the implementation of the new enabling mechanisms associated with WTDC-25 digital-transformation outcomes</w:t>
      </w:r>
      <w:r>
        <w:t xml:space="preserve"> and to provide guidance on establishing a predictable catalytic funding mechanism. </w:t>
      </w:r>
    </w:p>
    <w:p w14:paraId="6C738AB8" w14:textId="77777777" w:rsidR="008B5C81" w:rsidRPr="00015AB4" w:rsidRDefault="008B5C81" w:rsidP="009239F0">
      <w:pPr>
        <w:jc w:val="both"/>
        <w:rPr>
          <w:rFonts w:eastAsia="Calibri"/>
          <w:b/>
          <w:bCs/>
        </w:rPr>
      </w:pPr>
      <w:r>
        <w:t>Furthermore, Council may consider forwarding to PP-26 proposals for dedicated funding for these resolutions to ensure that the priorities agreed at WTDC-25 are implemented effectively, sustainably, and equitably across all regions.</w:t>
      </w:r>
    </w:p>
    <w:p w14:paraId="58C51F4C" w14:textId="77777777" w:rsidR="007A3FCD" w:rsidRPr="007A3FCD" w:rsidRDefault="007A3FCD" w:rsidP="0032202E">
      <w:pPr>
        <w:pStyle w:val="Reasons"/>
        <w:rPr>
          <w:rFonts w:asciiTheme="minorHAnsi" w:hAnsiTheme="minorHAnsi" w:cstheme="minorHAnsi"/>
        </w:rPr>
      </w:pPr>
    </w:p>
    <w:p w14:paraId="1D4E8971" w14:textId="77777777" w:rsidR="007A3FCD" w:rsidRPr="00C0458D" w:rsidRDefault="007A3FCD" w:rsidP="007A3FCD">
      <w:pPr>
        <w:jc w:val="center"/>
      </w:pPr>
      <w:r>
        <w:t>______________</w:t>
      </w:r>
    </w:p>
    <w:sectPr w:rsidR="007A3FCD" w:rsidRPr="00C0458D" w:rsidSect="00AD3606">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1602" w14:textId="77777777" w:rsidR="00957522" w:rsidRDefault="00957522">
      <w:r>
        <w:separator/>
      </w:r>
    </w:p>
  </w:endnote>
  <w:endnote w:type="continuationSeparator" w:id="0">
    <w:p w14:paraId="19514C7E" w14:textId="77777777" w:rsidR="00957522" w:rsidRDefault="0095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AAE18B9" w14:textId="77777777" w:rsidTr="0042469C">
      <w:trPr>
        <w:jc w:val="center"/>
      </w:trPr>
      <w:tc>
        <w:tcPr>
          <w:tcW w:w="1803" w:type="dxa"/>
          <w:vAlign w:val="center"/>
        </w:tcPr>
        <w:p w14:paraId="3F1CDBBE" w14:textId="77777777" w:rsidR="00EE49E8" w:rsidRDefault="00C6520B" w:rsidP="00EE49E8">
          <w:pPr>
            <w:pStyle w:val="Header"/>
            <w:jc w:val="left"/>
            <w:rPr>
              <w:noProof/>
            </w:rPr>
          </w:pPr>
          <w:r>
            <w:rPr>
              <w:noProof/>
            </w:rPr>
            <w:t>gDoc #</w:t>
          </w:r>
        </w:p>
      </w:tc>
      <w:tc>
        <w:tcPr>
          <w:tcW w:w="8261" w:type="dxa"/>
        </w:tcPr>
        <w:p w14:paraId="5126DB0B" w14:textId="4F85117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BC2F32">
            <w:rPr>
              <w:bCs/>
            </w:rPr>
            <w:t>103</w:t>
          </w:r>
          <w:r w:rsidRPr="00623AE3">
            <w:rPr>
              <w:bCs/>
            </w:rPr>
            <w:t>-E</w:t>
          </w:r>
          <w:r>
            <w:rPr>
              <w:bCs/>
            </w:rPr>
            <w:tab/>
          </w:r>
          <w:r>
            <w:fldChar w:fldCharType="begin"/>
          </w:r>
          <w:r>
            <w:instrText>PAGE</w:instrText>
          </w:r>
          <w:r>
            <w:fldChar w:fldCharType="separate"/>
          </w:r>
          <w:r>
            <w:t>1</w:t>
          </w:r>
          <w:r>
            <w:rPr>
              <w:noProof/>
            </w:rPr>
            <w:fldChar w:fldCharType="end"/>
          </w:r>
        </w:p>
      </w:tc>
    </w:tr>
  </w:tbl>
  <w:p w14:paraId="63F76857"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5E6588D" w14:textId="77777777" w:rsidTr="006B77F1">
      <w:trPr>
        <w:jc w:val="center"/>
      </w:trPr>
      <w:tc>
        <w:tcPr>
          <w:tcW w:w="1803" w:type="dxa"/>
          <w:vAlign w:val="center"/>
        </w:tcPr>
        <w:p w14:paraId="639358C5"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26C16FAF" w14:textId="6E418D98"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BC2F32">
            <w:rPr>
              <w:bCs/>
            </w:rPr>
            <w:t>103</w:t>
          </w:r>
          <w:r w:rsidRPr="00623AE3">
            <w:rPr>
              <w:bCs/>
            </w:rPr>
            <w:t>-E</w:t>
          </w:r>
          <w:r>
            <w:rPr>
              <w:bCs/>
            </w:rPr>
            <w:tab/>
          </w:r>
          <w:r>
            <w:fldChar w:fldCharType="begin"/>
          </w:r>
          <w:r>
            <w:instrText>PAGE</w:instrText>
          </w:r>
          <w:r>
            <w:fldChar w:fldCharType="separate"/>
          </w:r>
          <w:r>
            <w:t>1</w:t>
          </w:r>
          <w:r>
            <w:rPr>
              <w:noProof/>
            </w:rPr>
            <w:fldChar w:fldCharType="end"/>
          </w:r>
        </w:p>
      </w:tc>
    </w:tr>
  </w:tbl>
  <w:p w14:paraId="50DFFA1B"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F10D" w14:textId="77777777" w:rsidR="00957522" w:rsidRDefault="00957522">
      <w:r>
        <w:t>____________________</w:t>
      </w:r>
    </w:p>
  </w:footnote>
  <w:footnote w:type="continuationSeparator" w:id="0">
    <w:p w14:paraId="4E5E65DD" w14:textId="77777777" w:rsidR="00957522" w:rsidRDefault="0095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108C"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71F6D46"/>
    <w:multiLevelType w:val="multilevel"/>
    <w:tmpl w:val="1512D8B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74816267">
    <w:abstractNumId w:val="0"/>
  </w:num>
  <w:num w:numId="2" w16cid:durableId="117630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22"/>
    <w:rsid w:val="000210D4"/>
    <w:rsid w:val="0006007D"/>
    <w:rsid w:val="00063016"/>
    <w:rsid w:val="00066795"/>
    <w:rsid w:val="00076AF6"/>
    <w:rsid w:val="00085CF2"/>
    <w:rsid w:val="000B1705"/>
    <w:rsid w:val="000D75B2"/>
    <w:rsid w:val="000E372C"/>
    <w:rsid w:val="000F5DDB"/>
    <w:rsid w:val="001121F5"/>
    <w:rsid w:val="001400DC"/>
    <w:rsid w:val="00140CE1"/>
    <w:rsid w:val="0015189A"/>
    <w:rsid w:val="00152F33"/>
    <w:rsid w:val="0017539C"/>
    <w:rsid w:val="00175AC2"/>
    <w:rsid w:val="0017609F"/>
    <w:rsid w:val="00176F47"/>
    <w:rsid w:val="001A3154"/>
    <w:rsid w:val="001A7D1D"/>
    <w:rsid w:val="001B51DD"/>
    <w:rsid w:val="001C628E"/>
    <w:rsid w:val="001E0F7B"/>
    <w:rsid w:val="001F40E2"/>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20795"/>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64FBC"/>
    <w:rsid w:val="005800BC"/>
    <w:rsid w:val="00582442"/>
    <w:rsid w:val="005F3269"/>
    <w:rsid w:val="0061071E"/>
    <w:rsid w:val="00623AE3"/>
    <w:rsid w:val="0064737F"/>
    <w:rsid w:val="006535F1"/>
    <w:rsid w:val="0065557D"/>
    <w:rsid w:val="00660D50"/>
    <w:rsid w:val="00662984"/>
    <w:rsid w:val="006716BB"/>
    <w:rsid w:val="006A2F4B"/>
    <w:rsid w:val="006B1859"/>
    <w:rsid w:val="006B6680"/>
    <w:rsid w:val="006B6DCC"/>
    <w:rsid w:val="006B77F1"/>
    <w:rsid w:val="00702DEF"/>
    <w:rsid w:val="00706861"/>
    <w:rsid w:val="00722551"/>
    <w:rsid w:val="0075051B"/>
    <w:rsid w:val="00752D3D"/>
    <w:rsid w:val="00765C89"/>
    <w:rsid w:val="0077110E"/>
    <w:rsid w:val="007870AF"/>
    <w:rsid w:val="00793188"/>
    <w:rsid w:val="00794D34"/>
    <w:rsid w:val="007A3FCD"/>
    <w:rsid w:val="007B19CF"/>
    <w:rsid w:val="007D01AF"/>
    <w:rsid w:val="007F5954"/>
    <w:rsid w:val="00813E5E"/>
    <w:rsid w:val="0083581B"/>
    <w:rsid w:val="0084546D"/>
    <w:rsid w:val="00863874"/>
    <w:rsid w:val="00864AFF"/>
    <w:rsid w:val="00865925"/>
    <w:rsid w:val="008B4A6A"/>
    <w:rsid w:val="008B5C81"/>
    <w:rsid w:val="008C7E27"/>
    <w:rsid w:val="008F7448"/>
    <w:rsid w:val="0090147A"/>
    <w:rsid w:val="009173EF"/>
    <w:rsid w:val="009239F0"/>
    <w:rsid w:val="00932906"/>
    <w:rsid w:val="00954C49"/>
    <w:rsid w:val="00957522"/>
    <w:rsid w:val="00960EC8"/>
    <w:rsid w:val="00961B0B"/>
    <w:rsid w:val="00962D33"/>
    <w:rsid w:val="009842A1"/>
    <w:rsid w:val="009A76A8"/>
    <w:rsid w:val="009B38C3"/>
    <w:rsid w:val="009E17BD"/>
    <w:rsid w:val="009E485A"/>
    <w:rsid w:val="00A04CEC"/>
    <w:rsid w:val="00A109AF"/>
    <w:rsid w:val="00A27F92"/>
    <w:rsid w:val="00A32257"/>
    <w:rsid w:val="00A36D20"/>
    <w:rsid w:val="00A514A4"/>
    <w:rsid w:val="00A55622"/>
    <w:rsid w:val="00A705D1"/>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2F32"/>
    <w:rsid w:val="00BC4A20"/>
    <w:rsid w:val="00BD032B"/>
    <w:rsid w:val="00BE01C6"/>
    <w:rsid w:val="00BE2640"/>
    <w:rsid w:val="00BF1FDE"/>
    <w:rsid w:val="00C01189"/>
    <w:rsid w:val="00C0458D"/>
    <w:rsid w:val="00C374DE"/>
    <w:rsid w:val="00C47AD4"/>
    <w:rsid w:val="00C52D81"/>
    <w:rsid w:val="00C55198"/>
    <w:rsid w:val="00C5605F"/>
    <w:rsid w:val="00C6520B"/>
    <w:rsid w:val="00CA6393"/>
    <w:rsid w:val="00CA7995"/>
    <w:rsid w:val="00CB18FF"/>
    <w:rsid w:val="00CD0C08"/>
    <w:rsid w:val="00CE03FB"/>
    <w:rsid w:val="00CE433C"/>
    <w:rsid w:val="00CF0161"/>
    <w:rsid w:val="00CF33F3"/>
    <w:rsid w:val="00CF4A2B"/>
    <w:rsid w:val="00D024CA"/>
    <w:rsid w:val="00D046DB"/>
    <w:rsid w:val="00D06183"/>
    <w:rsid w:val="00D22C42"/>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C5337"/>
    <w:rsid w:val="00EE49E8"/>
    <w:rsid w:val="00F16BAB"/>
    <w:rsid w:val="00F2150A"/>
    <w:rsid w:val="00F231D8"/>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44373"/>
  <w15:docId w15:val="{D4819EFE-4768-496F-A04F-C93F1FF6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239F0"/>
    <w:pPr>
      <w:framePr w:hSpace="181" w:wrap="around" w:vAnchor="page" w:hAnchor="page" w:x="1589"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8B5C81"/>
    <w:pPr>
      <w:tabs>
        <w:tab w:val="clear" w:pos="567"/>
        <w:tab w:val="clear" w:pos="1134"/>
        <w:tab w:val="clear" w:pos="1701"/>
        <w:tab w:val="clear" w:pos="2268"/>
        <w:tab w:val="clear" w:pos="2835"/>
      </w:tabs>
      <w:overflowPunct/>
      <w:autoSpaceDE/>
      <w:autoSpaceDN/>
      <w:adjustRightInd/>
      <w:spacing w:before="0" w:after="160" w:line="278" w:lineRule="auto"/>
      <w:ind w:left="720"/>
      <w:contextualSpacing/>
      <w:textAlignment w:val="auto"/>
    </w:pPr>
    <w:rPr>
      <w:rFonts w:eastAsia="Calibri" w:cs="Arial"/>
      <w:kern w:val="2"/>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3/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6-CL-C-0042/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4</TotalTime>
  <Pages>3</Pages>
  <Words>666</Words>
  <Characters>4477</Characters>
  <Application>Microsoft Office Word</Application>
  <DocSecurity>0</DocSecurity>
  <Lines>82</Lines>
  <Paragraphs>29</Paragraphs>
  <ScaleCrop>false</ScaleCrop>
  <HeadingPairs>
    <vt:vector size="2" baseType="variant">
      <vt:variant>
        <vt:lpstr>Title</vt:lpstr>
      </vt:variant>
      <vt:variant>
        <vt:i4>1</vt:i4>
      </vt:variant>
    </vt:vector>
  </HeadingPairs>
  <TitlesOfParts>
    <vt:vector size="1" baseType="lpstr">
      <vt:lpstr>Financial implications of the implementation of WTDC-25 outcomes on strengthening the role of ITU regional offices in accelerating digital transformation and leveraging partnerships</vt:lpstr>
    </vt:vector>
  </TitlesOfParts>
  <Manager>General Secretariat</Manager>
  <Company>International Telecommunication Union (ITU)</Company>
  <LinksUpToDate>false</LinksUpToDate>
  <CharactersWithSpaces>5114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implications of the implementation of WTDC-25 outcomes on strengthening the role of ITU regional offices in accelerating digital transformation and leveraging partnerships</dc:title>
  <dc:subject>ITU Council 2026</dc:subject>
  <dc:creator/>
  <cp:keywords>C26; C2026; Council 2026; PP26</cp:keywords>
  <dc:description/>
  <cp:lastModifiedBy>GBS</cp:lastModifiedBy>
  <cp:revision>4</cp:revision>
  <cp:lastPrinted>2000-07-18T13:30:00Z</cp:lastPrinted>
  <dcterms:created xsi:type="dcterms:W3CDTF">2026-04-16T21:45:00Z</dcterms:created>
  <dcterms:modified xsi:type="dcterms:W3CDTF">2026-04-16T21:59:00Z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