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1AB955A6" w14:textId="77777777" w:rsidTr="00555C29">
        <w:trPr>
          <w:cantSplit/>
          <w:trHeight w:val="23"/>
        </w:trPr>
        <w:tc>
          <w:tcPr>
            <w:tcW w:w="3969" w:type="dxa"/>
            <w:vMerge w:val="restart"/>
            <w:tcMar>
              <w:left w:w="0" w:type="dxa"/>
            </w:tcMar>
          </w:tcPr>
          <w:p w14:paraId="13BA0CC8" w14:textId="0B01B45D"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5159A3">
              <w:rPr>
                <w:b/>
              </w:rPr>
              <w:t>ADM 1</w:t>
            </w:r>
          </w:p>
        </w:tc>
        <w:tc>
          <w:tcPr>
            <w:tcW w:w="5245" w:type="dxa"/>
          </w:tcPr>
          <w:p w14:paraId="63890608" w14:textId="4FA62B7F"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043E8D">
              <w:rPr>
                <w:b/>
                <w:lang w:val="fr-CH"/>
              </w:rPr>
              <w:t>103</w:t>
            </w:r>
            <w:r w:rsidRPr="00E24D59">
              <w:rPr>
                <w:b/>
                <w:lang w:val="fr-CH"/>
              </w:rPr>
              <w:t>-C</w:t>
            </w:r>
          </w:p>
        </w:tc>
      </w:tr>
      <w:tr w:rsidR="00E24D59" w:rsidRPr="00813E5E" w14:paraId="11221220" w14:textId="77777777" w:rsidTr="00555C29">
        <w:trPr>
          <w:cantSplit/>
        </w:trPr>
        <w:tc>
          <w:tcPr>
            <w:tcW w:w="3969" w:type="dxa"/>
            <w:vMerge/>
          </w:tcPr>
          <w:p w14:paraId="531774A1"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45E22E96" w14:textId="138D294C" w:rsidR="00E24D59" w:rsidRPr="00E85629" w:rsidRDefault="00374715" w:rsidP="00555C29">
            <w:pPr>
              <w:tabs>
                <w:tab w:val="left" w:pos="851"/>
              </w:tabs>
              <w:spacing w:before="0"/>
              <w:jc w:val="right"/>
              <w:rPr>
                <w:b/>
                <w:lang w:eastAsia="zh-CN"/>
              </w:rPr>
            </w:pPr>
            <w:r>
              <w:rPr>
                <w:b/>
              </w:rPr>
              <w:t>2026</w:t>
            </w:r>
            <w:r>
              <w:rPr>
                <w:rFonts w:hint="eastAsia"/>
                <w:b/>
                <w:lang w:eastAsia="zh-CN"/>
              </w:rPr>
              <w:t>年</w:t>
            </w:r>
            <w:r>
              <w:rPr>
                <w:rFonts w:hint="eastAsia"/>
                <w:b/>
                <w:lang w:eastAsia="zh-CN"/>
              </w:rPr>
              <w:t>4</w:t>
            </w:r>
            <w:r>
              <w:rPr>
                <w:rFonts w:hint="eastAsia"/>
                <w:b/>
                <w:lang w:eastAsia="zh-CN"/>
              </w:rPr>
              <w:t>月</w:t>
            </w:r>
            <w:r>
              <w:rPr>
                <w:rFonts w:hint="eastAsia"/>
                <w:b/>
                <w:lang w:eastAsia="zh-CN"/>
              </w:rPr>
              <w:t>14</w:t>
            </w:r>
            <w:r>
              <w:rPr>
                <w:rFonts w:hint="eastAsia"/>
                <w:b/>
                <w:lang w:eastAsia="zh-CN"/>
              </w:rPr>
              <w:t>日</w:t>
            </w:r>
          </w:p>
        </w:tc>
      </w:tr>
      <w:tr w:rsidR="00E24D59" w:rsidRPr="00813E5E" w14:paraId="1AF96C5A" w14:textId="77777777" w:rsidTr="00555C29">
        <w:trPr>
          <w:cantSplit/>
          <w:trHeight w:val="23"/>
        </w:trPr>
        <w:tc>
          <w:tcPr>
            <w:tcW w:w="3969" w:type="dxa"/>
            <w:vMerge/>
          </w:tcPr>
          <w:p w14:paraId="631E2319"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16356F3E" w14:textId="691BCA08"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374715">
              <w:rPr>
                <w:rFonts w:cstheme="minorHAnsi" w:hint="eastAsia"/>
                <w:b/>
                <w:bCs/>
                <w:lang w:val="ru-RU" w:eastAsia="zh-CN"/>
              </w:rPr>
              <w:t>英文</w:t>
            </w:r>
          </w:p>
        </w:tc>
      </w:tr>
      <w:tr w:rsidR="00E24D59" w:rsidRPr="00813E5E" w14:paraId="1B222AC3" w14:textId="77777777" w:rsidTr="00555C29">
        <w:trPr>
          <w:cantSplit/>
          <w:trHeight w:val="23"/>
        </w:trPr>
        <w:tc>
          <w:tcPr>
            <w:tcW w:w="3969" w:type="dxa"/>
          </w:tcPr>
          <w:p w14:paraId="6DBE6F77" w14:textId="77777777" w:rsidR="00E24D59" w:rsidRPr="00813E5E" w:rsidRDefault="00E24D59" w:rsidP="00555C29">
            <w:pPr>
              <w:tabs>
                <w:tab w:val="left" w:pos="851"/>
              </w:tabs>
              <w:spacing w:line="240" w:lineRule="atLeast"/>
              <w:rPr>
                <w:b/>
              </w:rPr>
            </w:pPr>
          </w:p>
        </w:tc>
        <w:tc>
          <w:tcPr>
            <w:tcW w:w="5245" w:type="dxa"/>
          </w:tcPr>
          <w:p w14:paraId="3DC71FF7" w14:textId="77777777" w:rsidR="00E24D59" w:rsidRDefault="00E24D59" w:rsidP="00555C29">
            <w:pPr>
              <w:tabs>
                <w:tab w:val="left" w:pos="851"/>
              </w:tabs>
              <w:spacing w:before="0" w:line="240" w:lineRule="atLeast"/>
              <w:jc w:val="right"/>
              <w:rPr>
                <w:b/>
              </w:rPr>
            </w:pPr>
          </w:p>
        </w:tc>
      </w:tr>
      <w:tr w:rsidR="00E24D59" w:rsidRPr="00813E5E" w14:paraId="12022AA4" w14:textId="77777777" w:rsidTr="00555C29">
        <w:trPr>
          <w:cantSplit/>
        </w:trPr>
        <w:tc>
          <w:tcPr>
            <w:tcW w:w="9214" w:type="dxa"/>
            <w:gridSpan w:val="2"/>
            <w:tcMar>
              <w:left w:w="0" w:type="dxa"/>
            </w:tcMar>
          </w:tcPr>
          <w:p w14:paraId="08CF4120" w14:textId="3A0D9BEA" w:rsidR="00E24D59" w:rsidRPr="008161B3" w:rsidRDefault="00043E8D" w:rsidP="00C24DAC">
            <w:pPr>
              <w:pStyle w:val="Source"/>
              <w:framePr w:hSpace="0" w:wrap="auto" w:vAnchor="margin" w:hAnchor="text" w:xAlign="left" w:yAlign="inline"/>
              <w:rPr>
                <w:rFonts w:cs="Calibri"/>
              </w:rPr>
            </w:pPr>
            <w:bookmarkStart w:id="5" w:name="dsource" w:colFirst="0" w:colLast="0"/>
            <w:bookmarkEnd w:id="4"/>
            <w:r w:rsidRPr="008161B3">
              <w:rPr>
                <w:rFonts w:cs="Calibri" w:hint="eastAsia"/>
              </w:rPr>
              <w:t>南非（共和国）、肯尼亚（共和国）、塞内加尔（共和国）、摩洛哥（王国）和坦桑尼亚（联合共和国）的文稿</w:t>
            </w:r>
          </w:p>
        </w:tc>
      </w:tr>
      <w:tr w:rsidR="00E24D59" w:rsidRPr="00813E5E" w14:paraId="12FE0E14" w14:textId="77777777" w:rsidTr="00555C29">
        <w:trPr>
          <w:cantSplit/>
        </w:trPr>
        <w:tc>
          <w:tcPr>
            <w:tcW w:w="9214" w:type="dxa"/>
            <w:gridSpan w:val="2"/>
            <w:tcMar>
              <w:left w:w="0" w:type="dxa"/>
            </w:tcMar>
          </w:tcPr>
          <w:p w14:paraId="782A8A06" w14:textId="223227C5" w:rsidR="00E24D59" w:rsidRPr="008161B3" w:rsidRDefault="00043E8D" w:rsidP="00C24DAC">
            <w:pPr>
              <w:pStyle w:val="Subtitle"/>
              <w:framePr w:hSpace="0" w:wrap="auto" w:vAnchor="margin" w:hAnchor="text" w:xAlign="left" w:yAlign="inline"/>
              <w:rPr>
                <w:rFonts w:cs="Calibri"/>
                <w:lang w:val="en-GB"/>
              </w:rPr>
            </w:pPr>
            <w:bookmarkStart w:id="6" w:name="dtitle1" w:colFirst="0" w:colLast="0"/>
            <w:bookmarkEnd w:id="5"/>
            <w:r w:rsidRPr="008161B3">
              <w:rPr>
                <w:rFonts w:cs="Calibri" w:hint="eastAsia"/>
              </w:rPr>
              <w:t>落实</w:t>
            </w:r>
            <w:r w:rsidRPr="008161B3">
              <w:rPr>
                <w:rFonts w:cs="Calibri" w:hint="eastAsia"/>
              </w:rPr>
              <w:t>WTDC-25</w:t>
            </w:r>
            <w:r w:rsidRPr="008161B3">
              <w:rPr>
                <w:rFonts w:cs="Calibri" w:hint="eastAsia"/>
              </w:rPr>
              <w:t>成果对加强国际电联区域代表处在加快数字化转型和利用伙伴关系方面的作用所产生的财务影响</w:t>
            </w:r>
          </w:p>
        </w:tc>
      </w:tr>
      <w:tr w:rsidR="00E24D59" w:rsidRPr="00813E5E" w14:paraId="5E166100" w14:textId="77777777" w:rsidTr="00555C29">
        <w:trPr>
          <w:cantSplit/>
        </w:trPr>
        <w:tc>
          <w:tcPr>
            <w:tcW w:w="9214" w:type="dxa"/>
            <w:gridSpan w:val="2"/>
            <w:tcBorders>
              <w:top w:val="single" w:sz="4" w:space="0" w:color="auto"/>
              <w:bottom w:val="single" w:sz="4" w:space="0" w:color="auto"/>
            </w:tcBorders>
            <w:tcMar>
              <w:left w:w="0" w:type="dxa"/>
            </w:tcMar>
          </w:tcPr>
          <w:p w14:paraId="376EDF85" w14:textId="22CEA825" w:rsidR="003F086E" w:rsidRPr="008161B3" w:rsidRDefault="003F086E" w:rsidP="00555C29">
            <w:pPr>
              <w:rPr>
                <w:rFonts w:cs="Calibri"/>
                <w:b/>
                <w:bCs/>
                <w:lang w:eastAsia="zh-CN"/>
              </w:rPr>
            </w:pPr>
            <w:r w:rsidRPr="008161B3">
              <w:rPr>
                <w:rFonts w:cs="Calibri"/>
                <w:b/>
                <w:bCs/>
                <w:lang w:eastAsia="zh-CN"/>
              </w:rPr>
              <w:t>目的</w:t>
            </w:r>
          </w:p>
          <w:p w14:paraId="3381CB62" w14:textId="5E081872" w:rsidR="003F086E" w:rsidRPr="008161B3" w:rsidRDefault="00043E8D" w:rsidP="00993210">
            <w:pPr>
              <w:ind w:firstLineChars="200" w:firstLine="480"/>
              <w:rPr>
                <w:rFonts w:cs="Calibri"/>
                <w:lang w:eastAsia="zh-CN"/>
              </w:rPr>
            </w:pPr>
            <w:r w:rsidRPr="008161B3">
              <w:rPr>
                <w:rFonts w:cs="Calibri" w:hint="eastAsia"/>
                <w:lang w:eastAsia="zh-CN"/>
              </w:rPr>
              <w:t>本文稿旨在为电信发展局扩大后的数字化转型职责范围提供专项资金，并通过引入新的运作模式，如国有中心（学院、加速中心）、区域性举措加速器框架和伙伴关系生态框架，来弥合数字鸿沟。</w:t>
            </w:r>
          </w:p>
          <w:p w14:paraId="15642ED1" w14:textId="77777777" w:rsidR="003F086E" w:rsidRPr="008161B3" w:rsidRDefault="003F086E" w:rsidP="00555C29">
            <w:pPr>
              <w:rPr>
                <w:rFonts w:cs="Calibri"/>
                <w:b/>
                <w:bCs/>
                <w:lang w:eastAsia="zh-CN"/>
              </w:rPr>
            </w:pPr>
            <w:r w:rsidRPr="008161B3">
              <w:rPr>
                <w:rFonts w:cs="Calibri"/>
                <w:b/>
                <w:bCs/>
                <w:lang w:eastAsia="zh-CN"/>
              </w:rPr>
              <w:t>理事会需采取的行动</w:t>
            </w:r>
          </w:p>
          <w:p w14:paraId="7E763674" w14:textId="0747A512" w:rsidR="00E24D59" w:rsidRPr="008161B3" w:rsidRDefault="00043E8D" w:rsidP="00993210">
            <w:pPr>
              <w:ind w:firstLineChars="200" w:firstLine="480"/>
              <w:rPr>
                <w:rFonts w:cs="Calibri"/>
                <w:lang w:val="en-US" w:eastAsia="zh-CN"/>
              </w:rPr>
            </w:pPr>
            <w:r w:rsidRPr="008161B3">
              <w:rPr>
                <w:rFonts w:cs="Calibri" w:hint="eastAsia"/>
                <w:lang w:eastAsia="zh-CN"/>
              </w:rPr>
              <w:t>请理事会</w:t>
            </w:r>
            <w:r w:rsidRPr="008161B3">
              <w:rPr>
                <w:rFonts w:cs="Calibri" w:hint="eastAsia"/>
                <w:b/>
                <w:bCs/>
                <w:lang w:eastAsia="zh-CN"/>
              </w:rPr>
              <w:t>审议</w:t>
            </w:r>
            <w:r w:rsidRPr="008161B3">
              <w:rPr>
                <w:rFonts w:cs="Calibri" w:hint="eastAsia"/>
                <w:lang w:eastAsia="zh-CN"/>
              </w:rPr>
              <w:t>本文件。</w:t>
            </w:r>
          </w:p>
          <w:p w14:paraId="0E4B6CC5" w14:textId="77777777" w:rsidR="00043E8D" w:rsidRPr="008161B3" w:rsidRDefault="00043E8D" w:rsidP="00043E8D">
            <w:pPr>
              <w:rPr>
                <w:rFonts w:cs="Calibri"/>
                <w:lang w:eastAsia="zh-CN"/>
              </w:rPr>
            </w:pPr>
            <w:r w:rsidRPr="008161B3">
              <w:rPr>
                <w:rFonts w:cs="Calibri"/>
                <w:lang w:eastAsia="zh-CN"/>
              </w:rPr>
              <w:t>_______________</w:t>
            </w:r>
          </w:p>
          <w:p w14:paraId="1813F9FA" w14:textId="77777777" w:rsidR="00E24D59" w:rsidRPr="008161B3" w:rsidRDefault="00E24D59" w:rsidP="00555C29">
            <w:pPr>
              <w:rPr>
                <w:rFonts w:cs="Calibri"/>
                <w:b/>
                <w:bCs/>
                <w:lang w:eastAsia="zh-CN"/>
              </w:rPr>
            </w:pPr>
            <w:r w:rsidRPr="008161B3">
              <w:rPr>
                <w:rFonts w:cs="Calibri" w:hint="eastAsia"/>
                <w:b/>
                <w:bCs/>
                <w:lang w:eastAsia="zh-CN"/>
              </w:rPr>
              <w:t>参考文件</w:t>
            </w:r>
          </w:p>
          <w:p w14:paraId="5169ACC8" w14:textId="4839ECE7" w:rsidR="00E24D59" w:rsidRPr="008161B3" w:rsidRDefault="00043E8D" w:rsidP="00993210">
            <w:pPr>
              <w:spacing w:after="120"/>
              <w:ind w:firstLineChars="200" w:firstLine="480"/>
              <w:rPr>
                <w:rFonts w:cs="Calibri"/>
                <w:sz w:val="22"/>
                <w:szCs w:val="22"/>
                <w:lang w:eastAsia="zh-CN"/>
              </w:rPr>
            </w:pPr>
            <w:hyperlink r:id="rId8" w:history="1">
              <w:r w:rsidRPr="008161B3">
                <w:rPr>
                  <w:rStyle w:val="Hyperlink"/>
                  <w:rFonts w:eastAsia="SimSun" w:cs="Calibri"/>
                  <w:sz w:val="22"/>
                  <w:szCs w:val="22"/>
                  <w:lang w:eastAsia="zh-CN"/>
                </w:rPr>
                <w:t>C26/43</w:t>
              </w:r>
            </w:hyperlink>
            <w:r w:rsidRPr="008161B3">
              <w:rPr>
                <w:rFonts w:ascii="STKaiti" w:eastAsia="STKaiti" w:hAnsi="STKaiti" w:cs="Calibri"/>
                <w:sz w:val="22"/>
                <w:szCs w:val="22"/>
                <w:lang w:eastAsia="zh-CN"/>
              </w:rPr>
              <w:t>和</w:t>
            </w:r>
            <w:hyperlink r:id="rId9" w:history="1">
              <w:r w:rsidRPr="008161B3">
                <w:rPr>
                  <w:rStyle w:val="Hyperlink"/>
                  <w:rFonts w:eastAsia="SimSun" w:cs="Calibri"/>
                  <w:sz w:val="22"/>
                  <w:szCs w:val="22"/>
                  <w:lang w:eastAsia="zh-CN"/>
                </w:rPr>
                <w:t>C26/42</w:t>
              </w:r>
            </w:hyperlink>
            <w:r w:rsidRPr="008161B3">
              <w:rPr>
                <w:rFonts w:ascii="STKaiti" w:eastAsia="STKaiti" w:hAnsi="STKaiti" w:cs="Calibri"/>
                <w:sz w:val="22"/>
                <w:szCs w:val="22"/>
                <w:lang w:eastAsia="zh-CN"/>
              </w:rPr>
              <w:t>号文件</w:t>
            </w:r>
          </w:p>
        </w:tc>
      </w:tr>
      <w:bookmarkEnd w:id="2"/>
      <w:bookmarkEnd w:id="6"/>
    </w:tbl>
    <w:p w14:paraId="1B942FDE"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618B99C3" w14:textId="77777777" w:rsidR="00043E8D" w:rsidRPr="008161B3" w:rsidRDefault="00E24D59" w:rsidP="00043E8D">
      <w:pPr>
        <w:pStyle w:val="Heading1"/>
        <w:rPr>
          <w:rFonts w:cs="Calibri"/>
          <w:lang w:eastAsia="zh-CN"/>
        </w:rPr>
      </w:pPr>
      <w:r>
        <w:rPr>
          <w:lang w:eastAsia="zh-CN"/>
        </w:rPr>
        <w:br w:type="page"/>
      </w:r>
      <w:r w:rsidR="00043E8D" w:rsidRPr="008161B3">
        <w:rPr>
          <w:rFonts w:cs="Calibri"/>
          <w:kern w:val="2"/>
          <w:szCs w:val="24"/>
          <w:lang w:val="en-ZA" w:eastAsia="zh-CN"/>
        </w:rPr>
        <w:lastRenderedPageBreak/>
        <w:t>1</w:t>
      </w:r>
      <w:r w:rsidR="00043E8D" w:rsidRPr="008161B3">
        <w:rPr>
          <w:rFonts w:cs="Calibri"/>
          <w:kern w:val="2"/>
          <w:szCs w:val="24"/>
          <w:lang w:val="en-ZA" w:eastAsia="zh-CN"/>
        </w:rPr>
        <w:tab/>
      </w:r>
      <w:r w:rsidR="00043E8D" w:rsidRPr="008161B3">
        <w:rPr>
          <w:rFonts w:cs="Calibri" w:hint="eastAsia"/>
          <w:lang w:eastAsia="zh-CN"/>
        </w:rPr>
        <w:t>背景</w:t>
      </w:r>
    </w:p>
    <w:p w14:paraId="4396C1E7" w14:textId="77777777" w:rsidR="00043E8D" w:rsidRPr="008161B3" w:rsidRDefault="00043E8D" w:rsidP="00043E8D">
      <w:pPr>
        <w:jc w:val="both"/>
        <w:rPr>
          <w:rFonts w:cs="Calibri"/>
          <w:lang w:eastAsia="zh-CN"/>
        </w:rPr>
      </w:pPr>
      <w:r w:rsidRPr="008161B3">
        <w:rPr>
          <w:rFonts w:cs="Calibri"/>
          <w:kern w:val="2"/>
          <w:szCs w:val="24"/>
          <w:lang w:val="en-ZA" w:eastAsia="zh-CN"/>
        </w:rPr>
        <w:t>1.1</w:t>
      </w:r>
      <w:r w:rsidRPr="008161B3">
        <w:rPr>
          <w:rFonts w:cs="Calibri"/>
          <w:kern w:val="2"/>
          <w:szCs w:val="24"/>
          <w:lang w:val="en-ZA" w:eastAsia="zh-CN"/>
        </w:rPr>
        <w:tab/>
      </w:r>
      <w:r w:rsidRPr="008161B3">
        <w:rPr>
          <w:rFonts w:cs="Calibri" w:hint="eastAsia"/>
          <w:lang w:eastAsia="zh-CN"/>
        </w:rPr>
        <w:t>在阿塞拜疆巴库举行的</w:t>
      </w:r>
      <w:r w:rsidRPr="008161B3">
        <w:rPr>
          <w:rFonts w:cs="Calibri" w:hint="eastAsia"/>
          <w:lang w:eastAsia="zh-CN"/>
        </w:rPr>
        <w:t>2025</w:t>
      </w:r>
      <w:r w:rsidRPr="008161B3">
        <w:rPr>
          <w:rFonts w:cs="Calibri" w:hint="eastAsia"/>
          <w:lang w:eastAsia="zh-CN"/>
        </w:rPr>
        <w:t>年世界电信发展大会（</w:t>
      </w:r>
      <w:r w:rsidRPr="008161B3">
        <w:rPr>
          <w:rFonts w:cs="Calibri" w:hint="eastAsia"/>
          <w:lang w:eastAsia="zh-CN"/>
        </w:rPr>
        <w:t>WTDC-25</w:t>
      </w:r>
      <w:r w:rsidRPr="008161B3">
        <w:rPr>
          <w:rFonts w:cs="Calibri" w:hint="eastAsia"/>
          <w:lang w:eastAsia="zh-CN"/>
        </w:rPr>
        <w:t>）通过了相关成果，扩大电信发展局（</w:t>
      </w:r>
      <w:r w:rsidRPr="008161B3">
        <w:rPr>
          <w:rFonts w:cs="Calibri" w:hint="eastAsia"/>
          <w:lang w:eastAsia="zh-CN"/>
        </w:rPr>
        <w:t>BDT</w:t>
      </w:r>
      <w:r w:rsidRPr="008161B3">
        <w:rPr>
          <w:rFonts w:cs="Calibri" w:hint="eastAsia"/>
          <w:lang w:eastAsia="zh-CN"/>
        </w:rPr>
        <w:t>）支持发展中国家数字化转型的运作职责。特别是，经</w:t>
      </w:r>
      <w:r w:rsidRPr="008161B3">
        <w:rPr>
          <w:rFonts w:cs="Calibri" w:hint="eastAsia"/>
          <w:lang w:eastAsia="zh-CN"/>
        </w:rPr>
        <w:t>2025</w:t>
      </w:r>
      <w:r w:rsidRPr="008161B3">
        <w:rPr>
          <w:rFonts w:cs="Calibri" w:hint="eastAsia"/>
          <w:lang w:eastAsia="zh-CN"/>
        </w:rPr>
        <w:t>年巴库大会修订的第</w:t>
      </w:r>
      <w:r w:rsidRPr="008161B3">
        <w:rPr>
          <w:rFonts w:cs="Calibri" w:hint="eastAsia"/>
          <w:lang w:eastAsia="zh-CN"/>
        </w:rPr>
        <w:t>17</w:t>
      </w:r>
      <w:r w:rsidRPr="008161B3">
        <w:rPr>
          <w:rFonts w:cs="Calibri" w:hint="eastAsia"/>
          <w:lang w:eastAsia="zh-CN"/>
        </w:rPr>
        <w:t>号决议和第</w:t>
      </w:r>
      <w:r w:rsidRPr="008161B3">
        <w:rPr>
          <w:rFonts w:cs="Calibri" w:hint="eastAsia"/>
          <w:lang w:eastAsia="zh-CN"/>
        </w:rPr>
        <w:t>92</w:t>
      </w:r>
      <w:r w:rsidRPr="008161B3">
        <w:rPr>
          <w:rFonts w:cs="Calibri" w:hint="eastAsia"/>
          <w:lang w:eastAsia="zh-CN"/>
        </w:rPr>
        <w:t>号决议在加快数字化转型、促进可持续的</w:t>
      </w:r>
      <w:r w:rsidRPr="008161B3">
        <w:rPr>
          <w:rFonts w:cs="Calibri" w:hint="eastAsia"/>
          <w:lang w:eastAsia="zh-CN"/>
        </w:rPr>
        <w:t>ICT/</w:t>
      </w:r>
      <w:r w:rsidRPr="008161B3">
        <w:rPr>
          <w:rFonts w:cs="Calibri" w:hint="eastAsia"/>
          <w:lang w:eastAsia="zh-CN"/>
        </w:rPr>
        <w:t>电信发展方式，以及加强国际电联区域代表性方面，引入了与国有中心相关的新要求并扩大了相关实施要求。</w:t>
      </w:r>
    </w:p>
    <w:p w14:paraId="0999A29F" w14:textId="77777777" w:rsidR="00043E8D" w:rsidRPr="008161B3" w:rsidRDefault="00043E8D" w:rsidP="00043E8D">
      <w:pPr>
        <w:jc w:val="both"/>
        <w:rPr>
          <w:rFonts w:cs="Calibri"/>
          <w:lang w:eastAsia="zh-CN"/>
        </w:rPr>
      </w:pPr>
      <w:r w:rsidRPr="008161B3">
        <w:rPr>
          <w:rFonts w:cs="Calibri"/>
          <w:kern w:val="2"/>
          <w:szCs w:val="24"/>
          <w:lang w:val="en-ZA" w:eastAsia="zh-CN"/>
        </w:rPr>
        <w:t>1.2</w:t>
      </w:r>
      <w:r w:rsidRPr="008161B3">
        <w:rPr>
          <w:rFonts w:cs="Calibri"/>
          <w:kern w:val="2"/>
          <w:szCs w:val="24"/>
          <w:lang w:val="en-ZA" w:eastAsia="zh-CN"/>
        </w:rPr>
        <w:tab/>
      </w:r>
      <w:r w:rsidRPr="008161B3">
        <w:rPr>
          <w:rFonts w:cs="Calibri" w:hint="eastAsia"/>
          <w:lang w:eastAsia="zh-CN"/>
        </w:rPr>
        <w:t>这些成果应与第</w:t>
      </w:r>
      <w:r w:rsidRPr="008161B3">
        <w:rPr>
          <w:rFonts w:cs="Calibri" w:hint="eastAsia"/>
          <w:lang w:eastAsia="zh-CN"/>
        </w:rPr>
        <w:t>25</w:t>
      </w:r>
      <w:r w:rsidRPr="008161B3">
        <w:rPr>
          <w:rFonts w:cs="Calibri" w:hint="eastAsia"/>
          <w:lang w:eastAsia="zh-CN"/>
        </w:rPr>
        <w:t>号决议（</w:t>
      </w:r>
      <w:r w:rsidRPr="008161B3">
        <w:rPr>
          <w:rFonts w:cs="Calibri" w:hint="eastAsia"/>
          <w:lang w:eastAsia="zh-CN"/>
        </w:rPr>
        <w:t>2022</w:t>
      </w:r>
      <w:r w:rsidRPr="008161B3">
        <w:rPr>
          <w:rFonts w:cs="Calibri" w:hint="eastAsia"/>
          <w:lang w:eastAsia="zh-CN"/>
        </w:rPr>
        <w:t>年，布加勒斯特，修订版）一起阅读，该决议已呼吁加强区域交付、</w:t>
      </w:r>
      <w:r w:rsidRPr="008161B3">
        <w:rPr>
          <w:rFonts w:cs="Calibri" w:hint="eastAsia"/>
          <w:lang w:val="en-US" w:eastAsia="zh-CN"/>
        </w:rPr>
        <w:t>为</w:t>
      </w:r>
      <w:r w:rsidRPr="008161B3">
        <w:rPr>
          <w:rFonts w:cs="Calibri" w:hint="eastAsia"/>
          <w:lang w:eastAsia="zh-CN"/>
        </w:rPr>
        <w:t>区域性举措制定透明的项目供资机制，以及为区域代表处和地区办事处配备充足的人力资源。</w:t>
      </w:r>
    </w:p>
    <w:p w14:paraId="66007039" w14:textId="35F4FC49" w:rsidR="00043E8D" w:rsidRPr="008161B3" w:rsidRDefault="00043E8D" w:rsidP="00043E8D">
      <w:pPr>
        <w:jc w:val="both"/>
        <w:rPr>
          <w:rFonts w:cs="Calibri"/>
          <w:lang w:eastAsia="zh-CN"/>
        </w:rPr>
      </w:pPr>
      <w:r w:rsidRPr="008161B3">
        <w:rPr>
          <w:rFonts w:cs="Calibri"/>
          <w:kern w:val="2"/>
          <w:szCs w:val="24"/>
          <w:lang w:val="en-ZA" w:eastAsia="zh-CN"/>
        </w:rPr>
        <w:t>1.3</w:t>
      </w:r>
      <w:r w:rsidRPr="008161B3">
        <w:rPr>
          <w:rFonts w:cs="Calibri"/>
          <w:kern w:val="2"/>
          <w:szCs w:val="24"/>
          <w:lang w:val="en-ZA" w:eastAsia="zh-CN"/>
        </w:rPr>
        <w:tab/>
      </w:r>
      <w:r w:rsidRPr="008161B3">
        <w:rPr>
          <w:rFonts w:cs="Calibri" w:hint="eastAsia"/>
          <w:lang w:eastAsia="zh-CN"/>
        </w:rPr>
        <w:t>虽然</w:t>
      </w:r>
      <w:r w:rsidRPr="008161B3">
        <w:rPr>
          <w:rFonts w:cs="Calibri" w:hint="eastAsia"/>
          <w:lang w:eastAsia="zh-CN"/>
        </w:rPr>
        <w:t>WTDC</w:t>
      </w:r>
      <w:r w:rsidRPr="008161B3">
        <w:rPr>
          <w:rFonts w:cs="Calibri" w:hint="eastAsia"/>
          <w:lang w:eastAsia="zh-CN"/>
        </w:rPr>
        <w:t>成果已认可并批准了这些决议，但新的赋能机制在实施方面仍缺乏专门的融资途径，特别是在加强国际电联区域代表处的作用以加快数字化转型、充分利用伙伴关系以及履行</w:t>
      </w:r>
      <w:r w:rsidRPr="008161B3">
        <w:rPr>
          <w:rFonts w:cs="Calibri" w:hint="eastAsia"/>
          <w:lang w:eastAsia="zh-CN"/>
        </w:rPr>
        <w:t>WTDC</w:t>
      </w:r>
      <w:r w:rsidRPr="008161B3">
        <w:rPr>
          <w:rFonts w:cs="Calibri" w:hint="eastAsia"/>
          <w:lang w:eastAsia="zh-CN"/>
        </w:rPr>
        <w:t>职责方面。</w:t>
      </w:r>
    </w:p>
    <w:p w14:paraId="39DE18F8" w14:textId="77777777" w:rsidR="00043E8D" w:rsidRPr="008161B3" w:rsidRDefault="00043E8D" w:rsidP="00043E8D">
      <w:pPr>
        <w:jc w:val="both"/>
        <w:rPr>
          <w:rFonts w:cs="Calibri"/>
          <w:lang w:eastAsia="zh-CN"/>
        </w:rPr>
      </w:pPr>
      <w:r w:rsidRPr="008161B3">
        <w:rPr>
          <w:rFonts w:cs="Calibri"/>
          <w:kern w:val="2"/>
          <w:szCs w:val="24"/>
          <w:lang w:val="en-ZA" w:eastAsia="zh-CN"/>
        </w:rPr>
        <w:t>1.4</w:t>
      </w:r>
      <w:r w:rsidRPr="008161B3">
        <w:rPr>
          <w:rFonts w:cs="Calibri"/>
          <w:kern w:val="2"/>
          <w:szCs w:val="24"/>
          <w:lang w:val="en-ZA" w:eastAsia="zh-CN"/>
        </w:rPr>
        <w:tab/>
      </w:r>
      <w:r w:rsidRPr="008161B3">
        <w:rPr>
          <w:rFonts w:cs="Calibri" w:hint="eastAsia"/>
          <w:lang w:eastAsia="zh-CN"/>
        </w:rPr>
        <w:t>WTDC-25</w:t>
      </w:r>
      <w:r w:rsidRPr="008161B3">
        <w:rPr>
          <w:rFonts w:cs="Calibri" w:hint="eastAsia"/>
          <w:lang w:eastAsia="zh-CN"/>
        </w:rPr>
        <w:t>通过的区域性举措依然是主要的区域性实施工具。然而，这些举措的主要目的是促进区域项目的确定和共同供资，并未涵盖实施</w:t>
      </w:r>
      <w:r w:rsidRPr="008161B3">
        <w:rPr>
          <w:rFonts w:cs="Calibri" w:hint="eastAsia"/>
          <w:lang w:eastAsia="zh-CN"/>
        </w:rPr>
        <w:t>/</w:t>
      </w:r>
      <w:r w:rsidRPr="008161B3">
        <w:rPr>
          <w:rFonts w:cs="Calibri" w:hint="eastAsia"/>
          <w:lang w:eastAsia="zh-CN"/>
        </w:rPr>
        <w:t>运作</w:t>
      </w:r>
      <w:r w:rsidRPr="008161B3">
        <w:rPr>
          <w:rFonts w:cs="Calibri" w:hint="eastAsia"/>
          <w:lang w:eastAsia="zh-CN"/>
        </w:rPr>
        <w:t>WTDC-25</w:t>
      </w:r>
      <w:r w:rsidRPr="008161B3">
        <w:rPr>
          <w:rFonts w:cs="Calibri" w:hint="eastAsia"/>
          <w:lang w:eastAsia="zh-CN"/>
        </w:rPr>
        <w:t>引入的新交付模式所需的全部赋能和跨领域职能，包括加速器支持、伙伴关系生态建设、国有中心、项目筹备，以及第</w:t>
      </w:r>
      <w:r w:rsidRPr="008161B3">
        <w:rPr>
          <w:rFonts w:cs="Calibri" w:hint="eastAsia"/>
          <w:lang w:eastAsia="zh-CN"/>
        </w:rPr>
        <w:t>17</w:t>
      </w:r>
      <w:r w:rsidRPr="008161B3">
        <w:rPr>
          <w:rFonts w:cs="Calibri" w:hint="eastAsia"/>
          <w:lang w:eastAsia="zh-CN"/>
        </w:rPr>
        <w:t>号决议和第</w:t>
      </w:r>
      <w:r w:rsidRPr="008161B3">
        <w:rPr>
          <w:rFonts w:cs="Calibri" w:hint="eastAsia"/>
          <w:lang w:eastAsia="zh-CN"/>
        </w:rPr>
        <w:t>92</w:t>
      </w:r>
      <w:r w:rsidRPr="008161B3">
        <w:rPr>
          <w:rFonts w:cs="Calibri" w:hint="eastAsia"/>
          <w:lang w:eastAsia="zh-CN"/>
        </w:rPr>
        <w:t>号决议要求的实施协调（</w:t>
      </w:r>
      <w:r w:rsidRPr="008161B3">
        <w:rPr>
          <w:rFonts w:cs="Calibri" w:hint="eastAsia"/>
          <w:lang w:eastAsia="zh-CN"/>
        </w:rPr>
        <w:t>2025</w:t>
      </w:r>
      <w:r w:rsidRPr="008161B3">
        <w:rPr>
          <w:rFonts w:cs="Calibri" w:hint="eastAsia"/>
          <w:lang w:eastAsia="zh-CN"/>
        </w:rPr>
        <w:t>年，巴库）。</w:t>
      </w:r>
    </w:p>
    <w:p w14:paraId="1870A8E7" w14:textId="77777777" w:rsidR="00043E8D" w:rsidRPr="008161B3" w:rsidRDefault="00043E8D" w:rsidP="00043E8D">
      <w:pPr>
        <w:jc w:val="both"/>
        <w:rPr>
          <w:rFonts w:cs="Calibri"/>
          <w:lang w:eastAsia="zh-CN"/>
        </w:rPr>
      </w:pPr>
      <w:r w:rsidRPr="008161B3">
        <w:rPr>
          <w:rFonts w:cs="Calibri"/>
          <w:kern w:val="2"/>
          <w:szCs w:val="24"/>
          <w:lang w:val="en-ZA" w:eastAsia="zh-CN"/>
        </w:rPr>
        <w:t>1.5</w:t>
      </w:r>
      <w:r w:rsidRPr="008161B3">
        <w:rPr>
          <w:rFonts w:cs="Calibri"/>
          <w:kern w:val="2"/>
          <w:szCs w:val="24"/>
          <w:lang w:val="en-ZA" w:eastAsia="zh-CN"/>
        </w:rPr>
        <w:tab/>
      </w:r>
      <w:r w:rsidRPr="008161B3">
        <w:rPr>
          <w:rFonts w:cs="Calibri" w:hint="eastAsia"/>
          <w:lang w:eastAsia="zh-CN"/>
        </w:rPr>
        <w:t>在技术日新月异的时代，越来越需要加强对发展中国家的援助，以便它们能够弥合长期存在的数字鸿沟，抓住新的发展机遇，并避免在数字经济中被进一步边缘化。只有国际电联建设地方赋能能力，并将其完全融入国际电联的现有计划中，利用新模式（如国际电联发展国有中心的工作，与计划部门和区域代表处密切协调运作）来扩大干预措施的影响和韧性，这才是可能实现和可持续的。</w:t>
      </w:r>
    </w:p>
    <w:p w14:paraId="350C7259" w14:textId="77777777" w:rsidR="00043E8D" w:rsidRPr="008161B3" w:rsidRDefault="00043E8D" w:rsidP="00043E8D">
      <w:pPr>
        <w:jc w:val="both"/>
        <w:rPr>
          <w:rFonts w:cs="Calibri"/>
          <w:lang w:eastAsia="zh-CN"/>
        </w:rPr>
      </w:pPr>
      <w:r w:rsidRPr="008161B3">
        <w:rPr>
          <w:rFonts w:cs="Calibri"/>
          <w:kern w:val="2"/>
          <w:szCs w:val="24"/>
          <w:lang w:val="en-ZA" w:eastAsia="zh-CN"/>
        </w:rPr>
        <w:t>1.6</w:t>
      </w:r>
      <w:r w:rsidRPr="008161B3">
        <w:rPr>
          <w:rFonts w:cs="Calibri"/>
          <w:kern w:val="2"/>
          <w:szCs w:val="24"/>
          <w:lang w:val="en-ZA" w:eastAsia="zh-CN"/>
        </w:rPr>
        <w:tab/>
      </w:r>
      <w:r w:rsidRPr="008161B3">
        <w:rPr>
          <w:rFonts w:cs="Calibri" w:hint="eastAsia"/>
          <w:lang w:eastAsia="zh-CN"/>
        </w:rPr>
        <w:t>为此，应将区域代表处和地区办事处理解为这些赋能职能的主要交付和推进平台，包括渠道开发、伙伴关系促成、项目协调和实施支持，与区域运作报告中已经反映出的日益重要的作用相一致。</w:t>
      </w:r>
    </w:p>
    <w:p w14:paraId="398B7E4C" w14:textId="119687B1" w:rsidR="00043E8D" w:rsidRPr="008161B3" w:rsidRDefault="00043E8D" w:rsidP="00043E8D">
      <w:pPr>
        <w:jc w:val="both"/>
        <w:rPr>
          <w:rFonts w:cs="Calibri"/>
          <w:lang w:eastAsia="zh-CN"/>
        </w:rPr>
      </w:pPr>
      <w:r w:rsidRPr="008161B3">
        <w:rPr>
          <w:rFonts w:cs="Calibri"/>
          <w:kern w:val="2"/>
          <w:szCs w:val="24"/>
          <w:lang w:val="en-ZA" w:eastAsia="zh-CN"/>
        </w:rPr>
        <w:t>1.7</w:t>
      </w:r>
      <w:r w:rsidRPr="008161B3">
        <w:rPr>
          <w:rFonts w:cs="Calibri"/>
          <w:kern w:val="2"/>
          <w:szCs w:val="24"/>
          <w:lang w:val="en-ZA" w:eastAsia="zh-CN"/>
        </w:rPr>
        <w:tab/>
      </w:r>
      <w:r w:rsidRPr="008161B3">
        <w:rPr>
          <w:rFonts w:cs="Calibri" w:hint="eastAsia"/>
          <w:lang w:eastAsia="zh-CN"/>
        </w:rPr>
        <w:t>鉴于上述情况，本文件提交理事会审议，以满足对催化性、有时限的种子资金的需求，支持落实根据第</w:t>
      </w:r>
      <w:r w:rsidRPr="008161B3">
        <w:rPr>
          <w:rFonts w:cs="Calibri" w:hint="eastAsia"/>
          <w:lang w:eastAsia="zh-CN"/>
        </w:rPr>
        <w:t>17</w:t>
      </w:r>
      <w:r w:rsidRPr="008161B3">
        <w:rPr>
          <w:rFonts w:cs="Calibri" w:hint="eastAsia"/>
          <w:lang w:eastAsia="zh-CN"/>
        </w:rPr>
        <w:t>和第</w:t>
      </w:r>
      <w:r w:rsidRPr="008161B3">
        <w:rPr>
          <w:rFonts w:cs="Calibri" w:hint="eastAsia"/>
          <w:lang w:eastAsia="zh-CN"/>
        </w:rPr>
        <w:t>92</w:t>
      </w:r>
      <w:r w:rsidRPr="008161B3">
        <w:rPr>
          <w:rFonts w:cs="Calibri" w:hint="eastAsia"/>
          <w:lang w:eastAsia="zh-CN"/>
        </w:rPr>
        <w:t>号决议（</w:t>
      </w:r>
      <w:r w:rsidRPr="008161B3">
        <w:rPr>
          <w:rFonts w:cs="Calibri" w:hint="eastAsia"/>
          <w:lang w:eastAsia="zh-CN"/>
        </w:rPr>
        <w:t>2025</w:t>
      </w:r>
      <w:r w:rsidRPr="008161B3">
        <w:rPr>
          <w:rFonts w:cs="Calibri" w:hint="eastAsia"/>
          <w:lang w:eastAsia="zh-CN"/>
        </w:rPr>
        <w:t>年，巴库）开展的活动，这两项决议大大扩展了电信发展局的职责范围，以实施新的交付模式，包括区域加速器框架、伙伴关系生态和国有中心，进而推进数字化转型。然而，这些职责虽获得通过，但没有专项资金，在雄心壮志和落实工作之间形成了明显落差。以往周期的经验表明，催化性种子基金对于推动项目筹备、区域协调、培育伙伴关系和筹措预算外资源，将职责转化为切实结果至关重要。</w:t>
      </w:r>
    </w:p>
    <w:p w14:paraId="37790BC4" w14:textId="0EDE1D04" w:rsidR="00043E8D" w:rsidRPr="008161B3" w:rsidRDefault="00043E8D" w:rsidP="00043E8D">
      <w:pPr>
        <w:pStyle w:val="Heading1"/>
        <w:rPr>
          <w:rFonts w:cs="Calibri"/>
          <w:lang w:eastAsia="zh-CN"/>
        </w:rPr>
      </w:pPr>
      <w:r w:rsidRPr="008161B3">
        <w:rPr>
          <w:rFonts w:cs="Calibri"/>
          <w:kern w:val="2"/>
          <w:szCs w:val="24"/>
          <w:lang w:val="en-ZA" w:eastAsia="zh-CN"/>
        </w:rPr>
        <w:t>2</w:t>
      </w:r>
      <w:r w:rsidRPr="008161B3">
        <w:rPr>
          <w:rFonts w:cs="Calibri"/>
          <w:kern w:val="2"/>
          <w:szCs w:val="24"/>
          <w:lang w:val="en-ZA" w:eastAsia="zh-CN"/>
        </w:rPr>
        <w:tab/>
      </w:r>
      <w:r w:rsidRPr="008161B3">
        <w:rPr>
          <w:rFonts w:cs="Calibri" w:hint="eastAsia"/>
          <w:lang w:eastAsia="zh-CN"/>
        </w:rPr>
        <w:t>提案</w:t>
      </w:r>
    </w:p>
    <w:p w14:paraId="39C53618" w14:textId="7A0BE8F5" w:rsidR="00043E8D" w:rsidRPr="008161B3" w:rsidRDefault="00043E8D" w:rsidP="00043E8D">
      <w:pPr>
        <w:ind w:firstLineChars="200" w:firstLine="456"/>
        <w:jc w:val="both"/>
        <w:rPr>
          <w:rFonts w:cs="Calibri"/>
          <w:spacing w:val="-6"/>
          <w:lang w:eastAsia="zh-CN"/>
        </w:rPr>
      </w:pPr>
      <w:r w:rsidRPr="008161B3">
        <w:rPr>
          <w:rFonts w:cs="Calibri" w:hint="eastAsia"/>
          <w:spacing w:val="-6"/>
          <w:lang w:eastAsia="zh-CN"/>
        </w:rPr>
        <w:t>在此背景下，我们请理事会考虑及时分配任何可用的盈余资金，为落实与</w:t>
      </w:r>
      <w:r w:rsidRPr="008161B3">
        <w:rPr>
          <w:rFonts w:cs="Calibri" w:hint="eastAsia"/>
          <w:spacing w:val="-6"/>
          <w:lang w:eastAsia="zh-CN"/>
        </w:rPr>
        <w:t>WTDC-25</w:t>
      </w:r>
      <w:r w:rsidRPr="008161B3">
        <w:rPr>
          <w:rFonts w:cs="Calibri" w:hint="eastAsia"/>
          <w:spacing w:val="-6"/>
          <w:lang w:eastAsia="zh-CN"/>
        </w:rPr>
        <w:t>数字化转型成果相关的新赋能机制</w:t>
      </w:r>
      <w:r w:rsidRPr="008161B3">
        <w:rPr>
          <w:rFonts w:cs="Calibri" w:hint="eastAsia"/>
          <w:spacing w:val="-6"/>
          <w:lang w:val="en-US" w:eastAsia="zh-CN"/>
        </w:rPr>
        <w:t>提供</w:t>
      </w:r>
      <w:r w:rsidRPr="008161B3">
        <w:rPr>
          <w:rFonts w:cs="Calibri" w:hint="eastAsia"/>
          <w:spacing w:val="-6"/>
          <w:lang w:eastAsia="zh-CN"/>
        </w:rPr>
        <w:t>催化性、有时限的支持，并为建立可预测的催化性供资机制提供指导。</w:t>
      </w:r>
    </w:p>
    <w:p w14:paraId="5DB91307" w14:textId="77777777" w:rsidR="00043E8D" w:rsidRPr="008161B3" w:rsidRDefault="00043E8D" w:rsidP="00043E8D">
      <w:pPr>
        <w:ind w:firstLineChars="200" w:firstLine="480"/>
        <w:jc w:val="both"/>
        <w:rPr>
          <w:rFonts w:cs="Calibri"/>
          <w:b/>
          <w:bCs/>
          <w:lang w:eastAsia="zh-CN"/>
        </w:rPr>
      </w:pPr>
      <w:r w:rsidRPr="008161B3">
        <w:rPr>
          <w:rFonts w:cs="Calibri" w:hint="eastAsia"/>
          <w:lang w:eastAsia="zh-CN"/>
        </w:rPr>
        <w:t>此外，理事会可考虑向</w:t>
      </w:r>
      <w:r w:rsidRPr="008161B3">
        <w:rPr>
          <w:rFonts w:cs="Calibri" w:hint="eastAsia"/>
          <w:lang w:eastAsia="zh-CN"/>
        </w:rPr>
        <w:t>PP-26</w:t>
      </w:r>
      <w:r w:rsidRPr="008161B3">
        <w:rPr>
          <w:rFonts w:cs="Calibri" w:hint="eastAsia"/>
          <w:lang w:eastAsia="zh-CN"/>
        </w:rPr>
        <w:t>转呈为这些决议提供专项资金的提案，以确保</w:t>
      </w:r>
      <w:r w:rsidRPr="008161B3">
        <w:rPr>
          <w:rFonts w:cs="Calibri" w:hint="eastAsia"/>
          <w:lang w:eastAsia="zh-CN"/>
        </w:rPr>
        <w:t>WTDC-25</w:t>
      </w:r>
      <w:r w:rsidRPr="008161B3">
        <w:rPr>
          <w:rFonts w:cs="Calibri" w:hint="eastAsia"/>
          <w:lang w:eastAsia="zh-CN"/>
        </w:rPr>
        <w:t>商定的重点工作在所有区域得到有效、可持续和公平的实施。</w:t>
      </w:r>
    </w:p>
    <w:p w14:paraId="6A20C68A" w14:textId="6BB32B72" w:rsidR="00043E8D" w:rsidRPr="008161B3" w:rsidRDefault="00043E8D" w:rsidP="005159A3">
      <w:pPr>
        <w:spacing w:before="0"/>
        <w:jc w:val="center"/>
        <w:rPr>
          <w:rFonts w:cs="Calibri"/>
        </w:rPr>
      </w:pPr>
      <w:r w:rsidRPr="008161B3">
        <w:rPr>
          <w:rFonts w:cs="Calibri"/>
        </w:rPr>
        <w:t>_____________</w:t>
      </w:r>
    </w:p>
    <w:sectPr w:rsidR="00043E8D" w:rsidRPr="008161B3" w:rsidSect="00E24D59">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83811" w14:textId="77777777" w:rsidR="00014C59" w:rsidRDefault="00014C59">
      <w:r>
        <w:separator/>
      </w:r>
    </w:p>
  </w:endnote>
  <w:endnote w:type="continuationSeparator" w:id="0">
    <w:p w14:paraId="6629D088" w14:textId="77777777" w:rsidR="00014C59" w:rsidRDefault="0001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256B491F" w14:textId="77777777" w:rsidTr="00E31DCE">
      <w:trPr>
        <w:jc w:val="center"/>
      </w:trPr>
      <w:tc>
        <w:tcPr>
          <w:tcW w:w="1803" w:type="dxa"/>
          <w:vAlign w:val="center"/>
        </w:tcPr>
        <w:p w14:paraId="42BD95BE" w14:textId="5C020E1D" w:rsidR="00E24D59" w:rsidRPr="00993210" w:rsidRDefault="00993210" w:rsidP="00E24D59">
          <w:pPr>
            <w:pStyle w:val="Header"/>
            <w:jc w:val="left"/>
            <w:rPr>
              <w:rFonts w:eastAsiaTheme="minorEastAsia"/>
              <w:noProof/>
              <w:color w:val="808080" w:themeColor="background1" w:themeShade="80"/>
              <w:lang w:eastAsia="zh-CN"/>
            </w:rPr>
          </w:pPr>
          <w:r>
            <w:rPr>
              <w:rFonts w:eastAsiaTheme="minorEastAsia" w:hint="eastAsia"/>
              <w:noProof/>
              <w:color w:val="808080" w:themeColor="background1" w:themeShade="80"/>
              <w:lang w:eastAsia="zh-CN"/>
            </w:rPr>
            <w:t>26009</w:t>
          </w:r>
          <w:r w:rsidR="00043E8D">
            <w:rPr>
              <w:rFonts w:eastAsiaTheme="minorEastAsia"/>
              <w:noProof/>
              <w:color w:val="808080" w:themeColor="background1" w:themeShade="80"/>
              <w:lang w:eastAsia="zh-CN"/>
            </w:rPr>
            <w:t>9</w:t>
          </w:r>
          <w:r>
            <w:rPr>
              <w:rFonts w:eastAsiaTheme="minorEastAsia" w:hint="eastAsia"/>
              <w:noProof/>
              <w:color w:val="808080" w:themeColor="background1" w:themeShade="80"/>
              <w:lang w:eastAsia="zh-CN"/>
            </w:rPr>
            <w:t>2</w:t>
          </w:r>
        </w:p>
      </w:tc>
      <w:tc>
        <w:tcPr>
          <w:tcW w:w="8261" w:type="dxa"/>
        </w:tcPr>
        <w:p w14:paraId="7E267BE0" w14:textId="24BC781A"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043E8D">
            <w:rPr>
              <w:bCs/>
              <w:color w:val="808080" w:themeColor="background1" w:themeShade="80"/>
            </w:rPr>
            <w:t>103</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1FE0F0C6"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746BAB8" w14:textId="77777777" w:rsidTr="00E31DCE">
      <w:trPr>
        <w:jc w:val="center"/>
      </w:trPr>
      <w:tc>
        <w:tcPr>
          <w:tcW w:w="1803" w:type="dxa"/>
          <w:vAlign w:val="center"/>
        </w:tcPr>
        <w:p w14:paraId="01D610E1"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0C522AF5" w14:textId="4F669C11"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043E8D">
            <w:rPr>
              <w:bCs/>
              <w:color w:val="808080" w:themeColor="background1" w:themeShade="80"/>
            </w:rPr>
            <w:t>103</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7F75FAC6"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CBA79" w14:textId="77777777" w:rsidR="00014C59" w:rsidRDefault="00014C59">
      <w:r>
        <w:t>____________________</w:t>
      </w:r>
    </w:p>
  </w:footnote>
  <w:footnote w:type="continuationSeparator" w:id="0">
    <w:p w14:paraId="3275E237" w14:textId="77777777" w:rsidR="00014C59" w:rsidRDefault="00014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3F7F"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CD"/>
    <w:rsid w:val="00001B77"/>
    <w:rsid w:val="0000517A"/>
    <w:rsid w:val="0000538F"/>
    <w:rsid w:val="00014C59"/>
    <w:rsid w:val="00022283"/>
    <w:rsid w:val="00031E72"/>
    <w:rsid w:val="000404D2"/>
    <w:rsid w:val="00043E8D"/>
    <w:rsid w:val="000646BD"/>
    <w:rsid w:val="000853C0"/>
    <w:rsid w:val="00093DD9"/>
    <w:rsid w:val="0009409E"/>
    <w:rsid w:val="000A1C21"/>
    <w:rsid w:val="000C0BC5"/>
    <w:rsid w:val="000D15EA"/>
    <w:rsid w:val="000D7012"/>
    <w:rsid w:val="00100D84"/>
    <w:rsid w:val="00124C9D"/>
    <w:rsid w:val="001305DE"/>
    <w:rsid w:val="0015333E"/>
    <w:rsid w:val="00157773"/>
    <w:rsid w:val="0018251A"/>
    <w:rsid w:val="001833B7"/>
    <w:rsid w:val="00190272"/>
    <w:rsid w:val="00193244"/>
    <w:rsid w:val="00195C6C"/>
    <w:rsid w:val="00195FED"/>
    <w:rsid w:val="001A4BD6"/>
    <w:rsid w:val="001B6E2B"/>
    <w:rsid w:val="001D129A"/>
    <w:rsid w:val="001D5A18"/>
    <w:rsid w:val="001E1F2C"/>
    <w:rsid w:val="00200372"/>
    <w:rsid w:val="00215132"/>
    <w:rsid w:val="00220C45"/>
    <w:rsid w:val="00224449"/>
    <w:rsid w:val="00243B44"/>
    <w:rsid w:val="00277DEA"/>
    <w:rsid w:val="00280EB8"/>
    <w:rsid w:val="002916B4"/>
    <w:rsid w:val="002A1D39"/>
    <w:rsid w:val="002A6670"/>
    <w:rsid w:val="002C3F32"/>
    <w:rsid w:val="00303502"/>
    <w:rsid w:val="00325C25"/>
    <w:rsid w:val="00372C8F"/>
    <w:rsid w:val="00374715"/>
    <w:rsid w:val="00380ECE"/>
    <w:rsid w:val="00393DDF"/>
    <w:rsid w:val="00397F55"/>
    <w:rsid w:val="003A1DFB"/>
    <w:rsid w:val="003B28F9"/>
    <w:rsid w:val="003B4454"/>
    <w:rsid w:val="003C2E37"/>
    <w:rsid w:val="003F086E"/>
    <w:rsid w:val="003F1415"/>
    <w:rsid w:val="0040144C"/>
    <w:rsid w:val="00403EB7"/>
    <w:rsid w:val="004178E6"/>
    <w:rsid w:val="00430BF0"/>
    <w:rsid w:val="00465C35"/>
    <w:rsid w:val="004672E6"/>
    <w:rsid w:val="00474ED1"/>
    <w:rsid w:val="00477D57"/>
    <w:rsid w:val="00491BA9"/>
    <w:rsid w:val="00493085"/>
    <w:rsid w:val="004A36EC"/>
    <w:rsid w:val="004D163F"/>
    <w:rsid w:val="004E4BFF"/>
    <w:rsid w:val="004F2598"/>
    <w:rsid w:val="005159A3"/>
    <w:rsid w:val="005403F7"/>
    <w:rsid w:val="00540632"/>
    <w:rsid w:val="00541CF4"/>
    <w:rsid w:val="005451E8"/>
    <w:rsid w:val="005507F2"/>
    <w:rsid w:val="00555C29"/>
    <w:rsid w:val="005759CC"/>
    <w:rsid w:val="00576C08"/>
    <w:rsid w:val="005845CB"/>
    <w:rsid w:val="005A72E1"/>
    <w:rsid w:val="005C6632"/>
    <w:rsid w:val="005D1C9E"/>
    <w:rsid w:val="00602842"/>
    <w:rsid w:val="00630DD5"/>
    <w:rsid w:val="00637584"/>
    <w:rsid w:val="00654257"/>
    <w:rsid w:val="0065435A"/>
    <w:rsid w:val="00670D8A"/>
    <w:rsid w:val="006A1ED9"/>
    <w:rsid w:val="006A2DD3"/>
    <w:rsid w:val="006A5113"/>
    <w:rsid w:val="006A5AF8"/>
    <w:rsid w:val="006C36CD"/>
    <w:rsid w:val="00700D1F"/>
    <w:rsid w:val="00711BB3"/>
    <w:rsid w:val="007205CB"/>
    <w:rsid w:val="0072138B"/>
    <w:rsid w:val="00726073"/>
    <w:rsid w:val="00734FE8"/>
    <w:rsid w:val="007360CE"/>
    <w:rsid w:val="0077110E"/>
    <w:rsid w:val="00772315"/>
    <w:rsid w:val="00775157"/>
    <w:rsid w:val="007813AE"/>
    <w:rsid w:val="007A37DB"/>
    <w:rsid w:val="007E0667"/>
    <w:rsid w:val="007E189D"/>
    <w:rsid w:val="007F0210"/>
    <w:rsid w:val="007F558C"/>
    <w:rsid w:val="00806E3F"/>
    <w:rsid w:val="00811259"/>
    <w:rsid w:val="00813AA2"/>
    <w:rsid w:val="008161B3"/>
    <w:rsid w:val="008173A3"/>
    <w:rsid w:val="008418F5"/>
    <w:rsid w:val="0084546D"/>
    <w:rsid w:val="0086059C"/>
    <w:rsid w:val="00864589"/>
    <w:rsid w:val="008733E4"/>
    <w:rsid w:val="00874C82"/>
    <w:rsid w:val="00890AFB"/>
    <w:rsid w:val="00890FC4"/>
    <w:rsid w:val="00895905"/>
    <w:rsid w:val="008F64AD"/>
    <w:rsid w:val="00911230"/>
    <w:rsid w:val="00911867"/>
    <w:rsid w:val="009164A9"/>
    <w:rsid w:val="009258CB"/>
    <w:rsid w:val="0093362E"/>
    <w:rsid w:val="00944563"/>
    <w:rsid w:val="00953160"/>
    <w:rsid w:val="009625D8"/>
    <w:rsid w:val="00965CAD"/>
    <w:rsid w:val="00983878"/>
    <w:rsid w:val="0098459B"/>
    <w:rsid w:val="00993210"/>
    <w:rsid w:val="00997185"/>
    <w:rsid w:val="009A3456"/>
    <w:rsid w:val="009A76A8"/>
    <w:rsid w:val="009B4068"/>
    <w:rsid w:val="009C2458"/>
    <w:rsid w:val="009C4A7B"/>
    <w:rsid w:val="009C6123"/>
    <w:rsid w:val="009F1E3E"/>
    <w:rsid w:val="00A01F4F"/>
    <w:rsid w:val="00A03ECD"/>
    <w:rsid w:val="00A109AF"/>
    <w:rsid w:val="00A1213C"/>
    <w:rsid w:val="00A13406"/>
    <w:rsid w:val="00A272FF"/>
    <w:rsid w:val="00A5354B"/>
    <w:rsid w:val="00A71B57"/>
    <w:rsid w:val="00AA2E08"/>
    <w:rsid w:val="00AB42C1"/>
    <w:rsid w:val="00AC516F"/>
    <w:rsid w:val="00AE195F"/>
    <w:rsid w:val="00AE2926"/>
    <w:rsid w:val="00B0184B"/>
    <w:rsid w:val="00B035CD"/>
    <w:rsid w:val="00B0769D"/>
    <w:rsid w:val="00B217F8"/>
    <w:rsid w:val="00B326AA"/>
    <w:rsid w:val="00B332EA"/>
    <w:rsid w:val="00B40A53"/>
    <w:rsid w:val="00B45365"/>
    <w:rsid w:val="00B46A65"/>
    <w:rsid w:val="00B56BB0"/>
    <w:rsid w:val="00B60184"/>
    <w:rsid w:val="00B62D20"/>
    <w:rsid w:val="00B81E75"/>
    <w:rsid w:val="00B91673"/>
    <w:rsid w:val="00B93453"/>
    <w:rsid w:val="00B9445B"/>
    <w:rsid w:val="00BA3D9C"/>
    <w:rsid w:val="00BD0954"/>
    <w:rsid w:val="00BD1A5A"/>
    <w:rsid w:val="00BD7A9B"/>
    <w:rsid w:val="00BD7BE1"/>
    <w:rsid w:val="00BF416B"/>
    <w:rsid w:val="00C24DAC"/>
    <w:rsid w:val="00C45EB2"/>
    <w:rsid w:val="00C63BAC"/>
    <w:rsid w:val="00C64E4E"/>
    <w:rsid w:val="00C66E64"/>
    <w:rsid w:val="00C761A0"/>
    <w:rsid w:val="00C85F7E"/>
    <w:rsid w:val="00C90D53"/>
    <w:rsid w:val="00CA0B2E"/>
    <w:rsid w:val="00CA260A"/>
    <w:rsid w:val="00CA6EF7"/>
    <w:rsid w:val="00CD47F0"/>
    <w:rsid w:val="00CD5566"/>
    <w:rsid w:val="00CD64D7"/>
    <w:rsid w:val="00CE6F22"/>
    <w:rsid w:val="00CF41F6"/>
    <w:rsid w:val="00CF7D3E"/>
    <w:rsid w:val="00D02B4E"/>
    <w:rsid w:val="00D21F11"/>
    <w:rsid w:val="00D36817"/>
    <w:rsid w:val="00D453EE"/>
    <w:rsid w:val="00D5666C"/>
    <w:rsid w:val="00D666BC"/>
    <w:rsid w:val="00D83542"/>
    <w:rsid w:val="00D87C3A"/>
    <w:rsid w:val="00D92F45"/>
    <w:rsid w:val="00D94637"/>
    <w:rsid w:val="00D9725C"/>
    <w:rsid w:val="00DA0E66"/>
    <w:rsid w:val="00DA2D30"/>
    <w:rsid w:val="00DA7006"/>
    <w:rsid w:val="00DB3621"/>
    <w:rsid w:val="00DC6427"/>
    <w:rsid w:val="00DD62F5"/>
    <w:rsid w:val="00DD66A1"/>
    <w:rsid w:val="00DE196D"/>
    <w:rsid w:val="00DF6B49"/>
    <w:rsid w:val="00E00C26"/>
    <w:rsid w:val="00E067C5"/>
    <w:rsid w:val="00E24D59"/>
    <w:rsid w:val="00E265BF"/>
    <w:rsid w:val="00E323D0"/>
    <w:rsid w:val="00E34C96"/>
    <w:rsid w:val="00E378D8"/>
    <w:rsid w:val="00E43A12"/>
    <w:rsid w:val="00E67C67"/>
    <w:rsid w:val="00E77476"/>
    <w:rsid w:val="00E8228B"/>
    <w:rsid w:val="00E9462B"/>
    <w:rsid w:val="00EA33B9"/>
    <w:rsid w:val="00ED558C"/>
    <w:rsid w:val="00EE5706"/>
    <w:rsid w:val="00EF373D"/>
    <w:rsid w:val="00F11595"/>
    <w:rsid w:val="00F13BC9"/>
    <w:rsid w:val="00F31D49"/>
    <w:rsid w:val="00F357B2"/>
    <w:rsid w:val="00F36556"/>
    <w:rsid w:val="00F55F8C"/>
    <w:rsid w:val="00F6736A"/>
    <w:rsid w:val="00F705DF"/>
    <w:rsid w:val="00F70622"/>
    <w:rsid w:val="00F85624"/>
    <w:rsid w:val="00F86928"/>
    <w:rsid w:val="00F87C05"/>
    <w:rsid w:val="00F93191"/>
    <w:rsid w:val="00F93A17"/>
    <w:rsid w:val="00FA2AF6"/>
    <w:rsid w:val="00FA2D7B"/>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54E009"/>
  <w15:docId w15:val="{3AD73C6D-5040-4207-89A7-F9123AC4E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styleId="Revision">
    <w:name w:val="Revision"/>
    <w:hidden/>
    <w:uiPriority w:val="99"/>
    <w:semiHidden/>
    <w:rsid w:val="00ED558C"/>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L-C-0043/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S26-CL-C-0042/en"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youqi\AppData\Local\Microsoft\Windows\INetCache\Content.Outlook\16LT1LDQ\PC_Council26%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 (002).dotx</Template>
  <TotalTime>1</TotalTime>
  <Pages>2</Pages>
  <Words>230</Words>
  <Characters>1393</Characters>
  <Application>Microsoft Office Word</Application>
  <DocSecurity>0</DocSecurity>
  <Lines>29</Lines>
  <Paragraphs>15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1608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implications of the implementation of WTDC-25 outcomes on Strengthening the role of ITU regional offices in accelerating digital transformation and leveraging partnerships</dc:title>
  <dc:subject>ITU Council 2026</dc:subject>
  <cp:keywords>C26; C2026; Council 2026; PP26</cp:keywords>
  <dc:description/>
  <cp:lastPrinted>2015-02-24T13:23:00Z</cp:lastPrinted>
  <dcterms:created xsi:type="dcterms:W3CDTF">2026-04-21T12:24:00Z</dcterms:created>
  <dcterms:modified xsi:type="dcterms:W3CDTF">2026-04-21T12:24:00Z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