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782DC5" w:rsidRPr="006C4FB1" w14:paraId="6F3F2F3E" w14:textId="77777777" w:rsidTr="00C4421B">
        <w:trPr>
          <w:cantSplit/>
          <w:trHeight w:val="23"/>
        </w:trPr>
        <w:tc>
          <w:tcPr>
            <w:tcW w:w="3969" w:type="dxa"/>
            <w:vMerge w:val="restart"/>
            <w:tcMar>
              <w:left w:w="0" w:type="dxa"/>
            </w:tcMar>
          </w:tcPr>
          <w:p w14:paraId="45AE4CF5" w14:textId="6A8F82EA" w:rsidR="00782DC5" w:rsidRPr="006C4FB1" w:rsidRDefault="00782DC5" w:rsidP="00782DC5">
            <w:pPr>
              <w:tabs>
                <w:tab w:val="left" w:pos="851"/>
              </w:tabs>
              <w:spacing w:before="0" w:line="240" w:lineRule="atLeast"/>
              <w:rPr>
                <w:b/>
                <w:lang w:val="es-ES_tradnl"/>
              </w:rPr>
            </w:pPr>
            <w:bookmarkStart w:id="0" w:name="_Hlk133421839"/>
            <w:r w:rsidRPr="006C4FB1">
              <w:rPr>
                <w:b/>
                <w:lang w:val="es-ES_tradnl"/>
              </w:rPr>
              <w:t xml:space="preserve">Punto del orden del día: </w:t>
            </w:r>
            <w:r w:rsidRPr="006C4FB1">
              <w:rPr>
                <w:b/>
                <w:bCs/>
                <w:color w:val="000000"/>
                <w:lang w:val="es-ES_tradnl"/>
              </w:rPr>
              <w:t>PL 3</w:t>
            </w:r>
          </w:p>
        </w:tc>
        <w:tc>
          <w:tcPr>
            <w:tcW w:w="5245" w:type="dxa"/>
          </w:tcPr>
          <w:p w14:paraId="4ACB2B0B" w14:textId="153502F2" w:rsidR="00782DC5" w:rsidRPr="006C4FB1" w:rsidRDefault="00782DC5" w:rsidP="00782DC5">
            <w:pPr>
              <w:tabs>
                <w:tab w:val="left" w:pos="851"/>
              </w:tabs>
              <w:spacing w:before="0" w:line="240" w:lineRule="atLeast"/>
              <w:jc w:val="right"/>
              <w:rPr>
                <w:b/>
                <w:lang w:val="es-ES_tradnl"/>
              </w:rPr>
            </w:pPr>
            <w:r w:rsidRPr="006C4FB1">
              <w:rPr>
                <w:b/>
                <w:bCs/>
                <w:color w:val="000000"/>
                <w:lang w:val="es-ES_tradnl"/>
              </w:rPr>
              <w:t xml:space="preserve">Documento </w:t>
            </w:r>
            <w:proofErr w:type="spellStart"/>
            <w:r w:rsidRPr="006C4FB1">
              <w:rPr>
                <w:b/>
                <w:bCs/>
                <w:color w:val="000000"/>
                <w:lang w:val="es-ES_tradnl"/>
              </w:rPr>
              <w:t>C26</w:t>
            </w:r>
            <w:proofErr w:type="spellEnd"/>
            <w:r w:rsidRPr="006C4FB1">
              <w:rPr>
                <w:b/>
                <w:bCs/>
                <w:color w:val="000000"/>
                <w:lang w:val="es-ES_tradnl"/>
              </w:rPr>
              <w:t>/102-S</w:t>
            </w:r>
          </w:p>
        </w:tc>
      </w:tr>
      <w:tr w:rsidR="00782DC5" w:rsidRPr="006C4FB1" w14:paraId="172D820F" w14:textId="77777777" w:rsidTr="00C4421B">
        <w:trPr>
          <w:cantSplit/>
        </w:trPr>
        <w:tc>
          <w:tcPr>
            <w:tcW w:w="3969" w:type="dxa"/>
            <w:vMerge/>
          </w:tcPr>
          <w:p w14:paraId="66044D17" w14:textId="77777777" w:rsidR="00782DC5" w:rsidRPr="006C4FB1" w:rsidRDefault="00782DC5" w:rsidP="00782DC5">
            <w:pPr>
              <w:tabs>
                <w:tab w:val="left" w:pos="851"/>
              </w:tabs>
              <w:spacing w:line="240" w:lineRule="atLeast"/>
              <w:rPr>
                <w:b/>
                <w:lang w:val="es-ES_tradnl"/>
              </w:rPr>
            </w:pPr>
          </w:p>
        </w:tc>
        <w:tc>
          <w:tcPr>
            <w:tcW w:w="5245" w:type="dxa"/>
          </w:tcPr>
          <w:p w14:paraId="4E0E5707" w14:textId="06520A65" w:rsidR="00782DC5" w:rsidRPr="006C4FB1" w:rsidRDefault="00782DC5" w:rsidP="00782DC5">
            <w:pPr>
              <w:tabs>
                <w:tab w:val="left" w:pos="851"/>
              </w:tabs>
              <w:spacing w:before="0"/>
              <w:jc w:val="right"/>
              <w:rPr>
                <w:b/>
                <w:lang w:val="es-ES_tradnl"/>
              </w:rPr>
            </w:pPr>
            <w:r w:rsidRPr="006C4FB1">
              <w:rPr>
                <w:b/>
                <w:bCs/>
                <w:color w:val="000000"/>
                <w:lang w:val="es-ES_tradnl"/>
              </w:rPr>
              <w:t>14 de abril de 2026</w:t>
            </w:r>
          </w:p>
        </w:tc>
      </w:tr>
      <w:tr w:rsidR="00782DC5" w:rsidRPr="006C4FB1" w14:paraId="309A2457" w14:textId="77777777" w:rsidTr="00C4421B">
        <w:trPr>
          <w:cantSplit/>
          <w:trHeight w:val="23"/>
        </w:trPr>
        <w:tc>
          <w:tcPr>
            <w:tcW w:w="3969" w:type="dxa"/>
            <w:vMerge/>
          </w:tcPr>
          <w:p w14:paraId="47E33D1C" w14:textId="77777777" w:rsidR="00782DC5" w:rsidRPr="006C4FB1" w:rsidRDefault="00782DC5" w:rsidP="00782DC5">
            <w:pPr>
              <w:tabs>
                <w:tab w:val="left" w:pos="851"/>
              </w:tabs>
              <w:spacing w:line="240" w:lineRule="atLeast"/>
              <w:rPr>
                <w:b/>
                <w:lang w:val="es-ES_tradnl"/>
              </w:rPr>
            </w:pPr>
          </w:p>
        </w:tc>
        <w:tc>
          <w:tcPr>
            <w:tcW w:w="5245" w:type="dxa"/>
          </w:tcPr>
          <w:p w14:paraId="73AC35D5" w14:textId="126F8A6D" w:rsidR="00782DC5" w:rsidRPr="006C4FB1" w:rsidRDefault="00782DC5" w:rsidP="00782DC5">
            <w:pPr>
              <w:tabs>
                <w:tab w:val="left" w:pos="851"/>
              </w:tabs>
              <w:spacing w:before="0" w:line="240" w:lineRule="atLeast"/>
              <w:jc w:val="right"/>
              <w:rPr>
                <w:b/>
                <w:bCs/>
                <w:lang w:val="es-ES_tradnl"/>
              </w:rPr>
            </w:pPr>
            <w:r w:rsidRPr="006C4FB1">
              <w:rPr>
                <w:b/>
                <w:bCs/>
                <w:color w:val="000000"/>
                <w:lang w:val="es-ES_tradnl"/>
              </w:rPr>
              <w:t>Original: inglés</w:t>
            </w:r>
          </w:p>
        </w:tc>
      </w:tr>
      <w:tr w:rsidR="00FE57F6" w:rsidRPr="006C4FB1" w14:paraId="7A4F7618" w14:textId="77777777" w:rsidTr="00C4421B">
        <w:trPr>
          <w:cantSplit/>
          <w:trHeight w:val="23"/>
        </w:trPr>
        <w:tc>
          <w:tcPr>
            <w:tcW w:w="3969" w:type="dxa"/>
          </w:tcPr>
          <w:p w14:paraId="2470F01B" w14:textId="77777777" w:rsidR="00FE57F6" w:rsidRPr="006C4FB1" w:rsidRDefault="00FE57F6" w:rsidP="00C4421B">
            <w:pPr>
              <w:tabs>
                <w:tab w:val="left" w:pos="851"/>
              </w:tabs>
              <w:spacing w:line="240" w:lineRule="atLeast"/>
              <w:rPr>
                <w:b/>
                <w:lang w:val="es-ES_tradnl"/>
              </w:rPr>
            </w:pPr>
          </w:p>
        </w:tc>
        <w:tc>
          <w:tcPr>
            <w:tcW w:w="5245" w:type="dxa"/>
          </w:tcPr>
          <w:p w14:paraId="1BB7EEC3" w14:textId="77777777" w:rsidR="00FE57F6" w:rsidRPr="006C4FB1" w:rsidRDefault="00FE57F6" w:rsidP="00C4421B">
            <w:pPr>
              <w:tabs>
                <w:tab w:val="left" w:pos="851"/>
              </w:tabs>
              <w:spacing w:before="0" w:line="240" w:lineRule="atLeast"/>
              <w:jc w:val="right"/>
              <w:rPr>
                <w:b/>
                <w:lang w:val="es-ES_tradnl"/>
              </w:rPr>
            </w:pPr>
          </w:p>
        </w:tc>
      </w:tr>
      <w:tr w:rsidR="00FE57F6" w:rsidRPr="006C4FB1" w14:paraId="21CABEC2" w14:textId="77777777" w:rsidTr="00C4421B">
        <w:trPr>
          <w:cantSplit/>
        </w:trPr>
        <w:tc>
          <w:tcPr>
            <w:tcW w:w="9214" w:type="dxa"/>
            <w:gridSpan w:val="2"/>
            <w:tcMar>
              <w:left w:w="0" w:type="dxa"/>
            </w:tcMar>
          </w:tcPr>
          <w:p w14:paraId="55726CF4" w14:textId="4DEADBF0" w:rsidR="00FE57F6" w:rsidRPr="006C4FB1" w:rsidRDefault="00782DC5" w:rsidP="006C4FB1">
            <w:pPr>
              <w:pStyle w:val="Source"/>
              <w:framePr w:hSpace="0" w:wrap="auto" w:vAnchor="margin" w:hAnchor="text" w:xAlign="left" w:yAlign="inline"/>
              <w:rPr>
                <w:lang w:val="es-ES_tradnl"/>
              </w:rPr>
            </w:pPr>
            <w:r w:rsidRPr="006C4FB1">
              <w:rPr>
                <w:lang w:val="es-ES_tradnl"/>
              </w:rPr>
              <w:t xml:space="preserve">Contribución de Sudafricana (República), Kenya (República de), Marruecos (Reino de) y Nigeria (República Federal de) </w:t>
            </w:r>
          </w:p>
        </w:tc>
      </w:tr>
      <w:tr w:rsidR="00782DC5" w:rsidRPr="006C4FB1" w14:paraId="28BD1706" w14:textId="77777777" w:rsidTr="00C4421B">
        <w:trPr>
          <w:cantSplit/>
        </w:trPr>
        <w:tc>
          <w:tcPr>
            <w:tcW w:w="9214" w:type="dxa"/>
            <w:gridSpan w:val="2"/>
            <w:tcMar>
              <w:left w:w="0" w:type="dxa"/>
            </w:tcMar>
          </w:tcPr>
          <w:p w14:paraId="7A04E473" w14:textId="692A3471" w:rsidR="00782DC5" w:rsidRPr="006C4FB1" w:rsidRDefault="009179EB" w:rsidP="009179EB">
            <w:pPr>
              <w:pStyle w:val="Subtitle"/>
              <w:framePr w:hSpace="0" w:wrap="auto" w:vAnchor="margin" w:hAnchor="text" w:xAlign="left" w:yAlign="inline"/>
            </w:pPr>
            <w:r w:rsidRPr="006C4FB1">
              <w:t xml:space="preserve">ARGUMENTOS EN FAVOR DE LA EQUIDAD REGIONAL Y DE UNAS CONDICIONES </w:t>
            </w:r>
            <w:r w:rsidRPr="009179EB">
              <w:t>PROPICIAS</w:t>
            </w:r>
            <w:r w:rsidRPr="006C4FB1">
              <w:t xml:space="preserve"> PARA UNA PARTICIPACIÓN MÁS AMPLIA EN LA ACOGIDA DE LA CONFERENCIA DE PLENIPOTENCIARIOS DE LA UIT</w:t>
            </w:r>
          </w:p>
        </w:tc>
      </w:tr>
      <w:tr w:rsidR="00782DC5" w:rsidRPr="006C4FB1" w14:paraId="5BB5CE05" w14:textId="77777777" w:rsidTr="00C4421B">
        <w:trPr>
          <w:cantSplit/>
        </w:trPr>
        <w:tc>
          <w:tcPr>
            <w:tcW w:w="9214" w:type="dxa"/>
            <w:gridSpan w:val="2"/>
            <w:tcBorders>
              <w:top w:val="single" w:sz="4" w:space="0" w:color="auto"/>
              <w:bottom w:val="single" w:sz="4" w:space="0" w:color="auto"/>
            </w:tcBorders>
            <w:tcMar>
              <w:left w:w="0" w:type="dxa"/>
            </w:tcMar>
          </w:tcPr>
          <w:p w14:paraId="792915C5" w14:textId="77777777" w:rsidR="00782DC5" w:rsidRPr="006C4FB1" w:rsidRDefault="00782DC5" w:rsidP="00782DC5">
            <w:pPr>
              <w:spacing w:before="160"/>
              <w:rPr>
                <w:b/>
                <w:bCs/>
                <w:sz w:val="26"/>
                <w:szCs w:val="26"/>
                <w:lang w:val="es-ES_tradnl"/>
              </w:rPr>
            </w:pPr>
            <w:r w:rsidRPr="006C4FB1">
              <w:rPr>
                <w:b/>
                <w:bCs/>
                <w:sz w:val="26"/>
                <w:szCs w:val="26"/>
                <w:lang w:val="es-ES_tradnl"/>
              </w:rPr>
              <w:t>Finalidad</w:t>
            </w:r>
          </w:p>
          <w:p w14:paraId="3835298B" w14:textId="02123151" w:rsidR="00782DC5" w:rsidRPr="006C4FB1" w:rsidRDefault="00782DC5" w:rsidP="009179EB">
            <w:pPr>
              <w:jc w:val="both"/>
              <w:rPr>
                <w:lang w:val="es-ES_tradnl"/>
              </w:rPr>
            </w:pPr>
            <w:r w:rsidRPr="006C4FB1">
              <w:rPr>
                <w:color w:val="000000"/>
                <w:lang w:val="es-ES_tradnl"/>
              </w:rPr>
              <w:t>Esta contribución tiene por objeto reforzar el proceso propuesto por la Secretaría para seleccionar a los países anfitriones de las conferencias y asambleas de la UIT, y establecer las condiciones prácticas necesarias y propiciar para una participación más amplia de los Estados Miembros, en particular los países en desarrollo, como solicitó el Grupo de Trabajo del Consejo sobre Recursos Humanos y Financieros en enero de 2026.</w:t>
            </w:r>
          </w:p>
          <w:p w14:paraId="6A878073" w14:textId="77777777" w:rsidR="00782DC5" w:rsidRPr="006C4FB1" w:rsidRDefault="00782DC5" w:rsidP="00782DC5">
            <w:pPr>
              <w:spacing w:before="160"/>
              <w:rPr>
                <w:b/>
                <w:bCs/>
                <w:sz w:val="26"/>
                <w:szCs w:val="26"/>
                <w:lang w:val="es-ES_tradnl"/>
              </w:rPr>
            </w:pPr>
            <w:r w:rsidRPr="006C4FB1">
              <w:rPr>
                <w:b/>
                <w:bCs/>
                <w:sz w:val="26"/>
                <w:szCs w:val="26"/>
                <w:lang w:val="es-ES_tradnl"/>
              </w:rPr>
              <w:t>Acción solicitada al Consejo</w:t>
            </w:r>
          </w:p>
          <w:p w14:paraId="3E43D280" w14:textId="77777777" w:rsidR="00782DC5" w:rsidRPr="006C4FB1" w:rsidRDefault="00782DC5" w:rsidP="00782DC5">
            <w:pPr>
              <w:spacing w:before="160"/>
              <w:rPr>
                <w:lang w:val="es-ES_tradnl"/>
              </w:rPr>
            </w:pPr>
            <w:r w:rsidRPr="006C4FB1">
              <w:rPr>
                <w:color w:val="000000"/>
                <w:lang w:val="es-ES_tradnl"/>
              </w:rPr>
              <w:t xml:space="preserve">Se invita al Consejo a </w:t>
            </w:r>
            <w:r w:rsidRPr="006C4FB1">
              <w:rPr>
                <w:b/>
                <w:bCs/>
                <w:color w:val="000000"/>
                <w:lang w:val="es-ES_tradnl"/>
              </w:rPr>
              <w:t>examinar</w:t>
            </w:r>
            <w:r w:rsidRPr="006C4FB1">
              <w:rPr>
                <w:color w:val="000000"/>
                <w:lang w:val="es-ES_tradnl"/>
              </w:rPr>
              <w:t xml:space="preserve"> el presente documento.</w:t>
            </w:r>
          </w:p>
          <w:p w14:paraId="295374ED" w14:textId="77777777" w:rsidR="00782DC5" w:rsidRPr="006C4FB1" w:rsidRDefault="00782DC5" w:rsidP="00782DC5">
            <w:pPr>
              <w:spacing w:before="160"/>
              <w:rPr>
                <w:caps/>
                <w:sz w:val="22"/>
                <w:lang w:val="es-ES_tradnl"/>
              </w:rPr>
            </w:pPr>
            <w:r w:rsidRPr="006C4FB1">
              <w:rPr>
                <w:sz w:val="22"/>
                <w:lang w:val="es-ES_tradnl"/>
              </w:rPr>
              <w:t>__________________</w:t>
            </w:r>
          </w:p>
          <w:p w14:paraId="01B96C36" w14:textId="77777777" w:rsidR="00782DC5" w:rsidRPr="006C4FB1" w:rsidRDefault="00782DC5" w:rsidP="00782DC5">
            <w:pPr>
              <w:spacing w:before="160"/>
              <w:rPr>
                <w:b/>
                <w:bCs/>
                <w:sz w:val="26"/>
                <w:szCs w:val="26"/>
                <w:lang w:val="es-ES_tradnl"/>
              </w:rPr>
            </w:pPr>
            <w:r w:rsidRPr="006C4FB1">
              <w:rPr>
                <w:b/>
                <w:bCs/>
                <w:sz w:val="26"/>
                <w:szCs w:val="26"/>
                <w:lang w:val="es-ES_tradnl"/>
              </w:rPr>
              <w:t>Referencias</w:t>
            </w:r>
            <w:r w:rsidRPr="006C4FB1">
              <w:rPr>
                <w:sz w:val="26"/>
                <w:szCs w:val="26"/>
                <w:lang w:val="es-ES_tradnl"/>
              </w:rPr>
              <w:t xml:space="preserve"> </w:t>
            </w:r>
          </w:p>
          <w:p w14:paraId="41790B5D" w14:textId="3C7C4133" w:rsidR="00782DC5" w:rsidRPr="009179EB" w:rsidRDefault="00782DC5" w:rsidP="00782DC5">
            <w:pPr>
              <w:spacing w:after="160"/>
              <w:rPr>
                <w:i/>
                <w:iCs/>
                <w:sz w:val="22"/>
                <w:szCs w:val="22"/>
                <w:lang w:val="es-ES_tradnl"/>
              </w:rPr>
            </w:pPr>
            <w:r w:rsidRPr="009179EB">
              <w:rPr>
                <w:i/>
                <w:iCs/>
                <w:color w:val="000000"/>
                <w:sz w:val="22"/>
                <w:szCs w:val="22"/>
                <w:lang w:val="es-ES_tradnl"/>
              </w:rPr>
              <w:t xml:space="preserve">Documentos </w:t>
            </w:r>
            <w:hyperlink r:id="rId6" w:history="1">
              <w:proofErr w:type="spellStart"/>
              <w:r w:rsidRPr="009179EB">
                <w:rPr>
                  <w:rStyle w:val="Hyperlink"/>
                  <w:i/>
                  <w:iCs/>
                  <w:sz w:val="22"/>
                  <w:lang w:val="es-ES_tradnl"/>
                </w:rPr>
                <w:t>C26</w:t>
              </w:r>
              <w:proofErr w:type="spellEnd"/>
              <w:r w:rsidRPr="009179EB">
                <w:rPr>
                  <w:rStyle w:val="Hyperlink"/>
                  <w:i/>
                  <w:iCs/>
                  <w:sz w:val="22"/>
                  <w:lang w:val="es-ES_tradnl"/>
                </w:rPr>
                <w:t>/70</w:t>
              </w:r>
            </w:hyperlink>
            <w:r w:rsidRPr="009179EB">
              <w:rPr>
                <w:i/>
                <w:iCs/>
                <w:color w:val="000000"/>
                <w:sz w:val="22"/>
                <w:szCs w:val="22"/>
                <w:lang w:val="es-ES_tradnl"/>
              </w:rPr>
              <w:t xml:space="preserve"> y </w:t>
            </w:r>
            <w:hyperlink r:id="rId7" w:history="1">
              <w:proofErr w:type="spellStart"/>
              <w:r w:rsidRPr="009179EB">
                <w:rPr>
                  <w:rStyle w:val="Hyperlink"/>
                  <w:i/>
                  <w:iCs/>
                  <w:sz w:val="22"/>
                  <w:lang w:val="es-ES_tradnl"/>
                </w:rPr>
                <w:t>C26</w:t>
              </w:r>
              <w:proofErr w:type="spellEnd"/>
              <w:r w:rsidRPr="009179EB">
                <w:rPr>
                  <w:rStyle w:val="Hyperlink"/>
                  <w:i/>
                  <w:iCs/>
                  <w:sz w:val="22"/>
                  <w:lang w:val="es-ES_tradnl"/>
                </w:rPr>
                <w:t>/50</w:t>
              </w:r>
            </w:hyperlink>
          </w:p>
        </w:tc>
      </w:tr>
      <w:bookmarkEnd w:id="0"/>
    </w:tbl>
    <w:p w14:paraId="68AD817C" w14:textId="77777777" w:rsidR="00093EEB" w:rsidRPr="006C4FB1" w:rsidRDefault="00093EEB">
      <w:pPr>
        <w:rPr>
          <w:lang w:val="es-ES_tradnl"/>
        </w:rPr>
      </w:pPr>
    </w:p>
    <w:p w14:paraId="634D72EC" w14:textId="77777777" w:rsidR="001559F5" w:rsidRPr="006C4FB1"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6C4FB1">
        <w:rPr>
          <w:lang w:val="es-ES_tradnl"/>
        </w:rPr>
        <w:br w:type="page"/>
      </w:r>
    </w:p>
    <w:p w14:paraId="3D772F72" w14:textId="77777777" w:rsidR="00782DC5" w:rsidRPr="006C4FB1" w:rsidRDefault="00782DC5" w:rsidP="00782DC5">
      <w:pPr>
        <w:pStyle w:val="Heading1"/>
        <w:rPr>
          <w:lang w:val="es-ES_tradnl"/>
        </w:rPr>
      </w:pPr>
      <w:r w:rsidRPr="006C4FB1">
        <w:rPr>
          <w:bCs/>
          <w:lang w:val="es-ES_tradnl"/>
        </w:rPr>
        <w:lastRenderedPageBreak/>
        <w:t>1</w:t>
      </w:r>
      <w:r w:rsidRPr="006C4FB1">
        <w:rPr>
          <w:lang w:val="es-ES_tradnl"/>
        </w:rPr>
        <w:tab/>
      </w:r>
      <w:r w:rsidRPr="006C4FB1">
        <w:rPr>
          <w:bCs/>
          <w:lang w:val="es-ES_tradnl"/>
        </w:rPr>
        <w:t>Contexto</w:t>
      </w:r>
    </w:p>
    <w:p w14:paraId="2063F55E" w14:textId="77777777" w:rsidR="00782DC5" w:rsidRPr="006C4FB1" w:rsidRDefault="00782DC5" w:rsidP="009179EB">
      <w:pPr>
        <w:jc w:val="both"/>
        <w:rPr>
          <w:lang w:val="es-ES_tradnl"/>
        </w:rPr>
      </w:pPr>
      <w:r w:rsidRPr="006C4FB1">
        <w:rPr>
          <w:lang w:val="es-ES_tradnl"/>
        </w:rPr>
        <w:t>1.1</w:t>
      </w:r>
      <w:r w:rsidRPr="006C4FB1">
        <w:rPr>
          <w:lang w:val="es-ES_tradnl"/>
        </w:rPr>
        <w:tab/>
        <w:t>Queremos expresar nuestro agradecimiento por la propuesta de la Secretaría, que establece un proceso de selección normalizado y transparente para albergar conferencias y asambleas de la UIT, elaborado en respuesta a las orientaciones del Consejo y a los debates anteriores. En ella se introduce un calendario estructurado que se inicia cuatro años antes con una convocatoria formal de propuestas, seguida de la presentación de candidaturas, la diligencia debida a cargo de la Secretaría y la selección final por el Consejo o la Conferencia de Plenipotenciarios sobre la base del cumplimiento de los requisitos y del equilibrio geográfico.</w:t>
      </w:r>
    </w:p>
    <w:p w14:paraId="35C8DF88" w14:textId="77777777" w:rsidR="00782DC5" w:rsidRPr="006C4FB1" w:rsidRDefault="00782DC5" w:rsidP="009179EB">
      <w:pPr>
        <w:jc w:val="both"/>
        <w:rPr>
          <w:lang w:val="es-ES_tradnl"/>
        </w:rPr>
      </w:pPr>
      <w:r w:rsidRPr="006C4FB1">
        <w:rPr>
          <w:lang w:val="es-ES_tradnl"/>
        </w:rPr>
        <w:t>1.2</w:t>
      </w:r>
      <w:r w:rsidRPr="006C4FB1">
        <w:rPr>
          <w:lang w:val="es-ES_tradnl"/>
        </w:rPr>
        <w:tab/>
        <w:t>También queremos expresar nuestro agradecimiento por el nuevo portal web del país anfitrión que centraliza toda la información y las ofertas pertinentes. También aclara los costes de acogida, incluidos los gastos nacionales y los gastos reembolsables de la UIT, al tiempo que destaca los esfuerzos para reducir las cargas financieras y fomentar una participación más amplia. El marco tiene por objeto mejorar la equidad, la coherencia y la previsibilidad, y se propone su aplicación en conferencias a partir de 2031.</w:t>
      </w:r>
    </w:p>
    <w:p w14:paraId="763429B6" w14:textId="77777777" w:rsidR="00782DC5" w:rsidRPr="006C4FB1" w:rsidRDefault="00782DC5" w:rsidP="009179EB">
      <w:pPr>
        <w:jc w:val="both"/>
        <w:rPr>
          <w:lang w:val="es-ES_tradnl"/>
        </w:rPr>
      </w:pPr>
      <w:r w:rsidRPr="006C4FB1">
        <w:rPr>
          <w:lang w:val="es-ES_tradnl"/>
        </w:rPr>
        <w:t>1.3</w:t>
      </w:r>
      <w:r w:rsidRPr="006C4FB1">
        <w:rPr>
          <w:lang w:val="es-ES_tradnl"/>
        </w:rPr>
        <w:tab/>
        <w:t>La Conferencia de Plenipotenciarios (PP) sigue siendo la máxima instancia de la Unión Internacional de Telecomunicaciones (UIT), determina la política general de la Unión, adopta sus Planes Estratégico y Financiero cuadrienales y elige a sus altos dirigentes. Desde 1947, las PP han sido un hito clave en la evolución de la gobernanza mundial de las telecomunicaciones.</w:t>
      </w:r>
    </w:p>
    <w:p w14:paraId="4A312BFE" w14:textId="77777777" w:rsidR="00782DC5" w:rsidRPr="006C4FB1" w:rsidRDefault="00782DC5" w:rsidP="009179EB">
      <w:pPr>
        <w:jc w:val="both"/>
        <w:rPr>
          <w:lang w:val="es-ES_tradnl"/>
        </w:rPr>
      </w:pPr>
      <w:r w:rsidRPr="006C4FB1">
        <w:rPr>
          <w:lang w:val="es-ES_tradnl"/>
        </w:rPr>
        <w:t>1.4</w:t>
      </w:r>
      <w:r w:rsidRPr="006C4FB1">
        <w:rPr>
          <w:lang w:val="es-ES_tradnl"/>
        </w:rPr>
        <w:tab/>
        <w:t xml:space="preserve">En consonancia con el carácter internacional de la UIT, cada conferencia es acogida por un Estado Miembro. Esta tradición ha permitido a la PP reflejar simbólica y concretamente el mandato integrador de la Unión, al tiempo que confiere prestigio y visibilidad estratégica al país anfitrión. </w:t>
      </w:r>
    </w:p>
    <w:p w14:paraId="5B71994C" w14:textId="77777777" w:rsidR="00782DC5" w:rsidRPr="006C4FB1" w:rsidRDefault="00782DC5" w:rsidP="009179EB">
      <w:pPr>
        <w:jc w:val="both"/>
        <w:rPr>
          <w:lang w:val="es-ES_tradnl"/>
        </w:rPr>
      </w:pPr>
      <w:r w:rsidRPr="006C4FB1">
        <w:rPr>
          <w:lang w:val="es-ES_tradnl"/>
        </w:rPr>
        <w:t>1.5</w:t>
      </w:r>
      <w:r w:rsidRPr="006C4FB1">
        <w:rPr>
          <w:lang w:val="es-ES_tradnl"/>
        </w:rPr>
        <w:tab/>
        <w:t>Los más altos niveles de la Unión han reconocido explícitamente la necesidad de garantizar que este proceso se lleve a cabo de manera transparente y oportuna. En la reunión del Consejo de 2025, durante los debates previos a la votación sobre la celebración de la </w:t>
      </w:r>
      <w:proofErr w:type="spellStart"/>
      <w:r w:rsidRPr="006C4FB1">
        <w:rPr>
          <w:lang w:val="es-ES_tradnl"/>
        </w:rPr>
        <w:t>CMR</w:t>
      </w:r>
      <w:proofErr w:type="spellEnd"/>
      <w:r w:rsidRPr="006C4FB1">
        <w:rPr>
          <w:lang w:val="es-ES_tradnl"/>
        </w:rPr>
        <w:t>-27, los Estados Miembros pidieron invitaciones abiertas y predecibles para acoger conferencias y asambleas. Con el tiempo, las sedes han ido rotando de una región a otra, aunque de manera informal. En el Anexo figura un resumen de los anfitriones anteriores y próximos.</w:t>
      </w:r>
    </w:p>
    <w:p w14:paraId="3012D346" w14:textId="77777777" w:rsidR="00782DC5" w:rsidRPr="006C4FB1" w:rsidRDefault="00782DC5" w:rsidP="00782DC5">
      <w:pPr>
        <w:pStyle w:val="Headingb"/>
        <w:rPr>
          <w:lang w:val="es-ES_tradnl"/>
        </w:rPr>
      </w:pPr>
      <w:r w:rsidRPr="006C4FB1">
        <w:rPr>
          <w:bCs/>
          <w:lang w:val="es-ES_tradnl"/>
        </w:rPr>
        <w:t>Asunto para considerar: transparencia, equilibrio regional y condiciones propicias para una participación más amplia en la selección de los países anfitriones</w:t>
      </w:r>
    </w:p>
    <w:p w14:paraId="5D3FF606" w14:textId="77777777" w:rsidR="00782DC5" w:rsidRPr="006C4FB1" w:rsidRDefault="00782DC5" w:rsidP="009179EB">
      <w:pPr>
        <w:jc w:val="both"/>
        <w:rPr>
          <w:lang w:val="es-ES_tradnl"/>
        </w:rPr>
      </w:pPr>
      <w:r w:rsidRPr="006C4FB1">
        <w:rPr>
          <w:lang w:val="es-ES_tradnl"/>
        </w:rPr>
        <w:t>1.6</w:t>
      </w:r>
      <w:r w:rsidRPr="006C4FB1">
        <w:rPr>
          <w:lang w:val="es-ES_tradnl"/>
        </w:rPr>
        <w:tab/>
        <w:t>Si bien la práctica de rotar la PP entre los Estados Miembros se ha mantenido generalmente, los últimos ciclos indican la necesidad de un proceso más estructurado y transparente que preste la debida atención al equilibrio geográfico y la igualdad de oportunidades entre las regiones.</w:t>
      </w:r>
    </w:p>
    <w:p w14:paraId="79CE3CF6" w14:textId="77777777" w:rsidR="00782DC5" w:rsidRPr="006C4FB1" w:rsidRDefault="00782DC5" w:rsidP="009179EB">
      <w:pPr>
        <w:jc w:val="both"/>
        <w:rPr>
          <w:lang w:val="es-ES_tradnl"/>
        </w:rPr>
      </w:pPr>
      <w:r w:rsidRPr="006C4FB1">
        <w:rPr>
          <w:lang w:val="es-ES_tradnl"/>
        </w:rPr>
        <w:t>1.7</w:t>
      </w:r>
      <w:r w:rsidRPr="006C4FB1">
        <w:rPr>
          <w:lang w:val="es-ES_tradnl"/>
        </w:rPr>
        <w:tab/>
        <w:t>Se observa que:</w:t>
      </w:r>
    </w:p>
    <w:p w14:paraId="7805A213" w14:textId="58A242B7" w:rsidR="00782DC5" w:rsidRPr="006C4FB1" w:rsidRDefault="00053288" w:rsidP="009179EB">
      <w:pPr>
        <w:pStyle w:val="enumlev1"/>
        <w:jc w:val="both"/>
        <w:rPr>
          <w:lang w:val="es-ES_tradnl"/>
        </w:rPr>
      </w:pPr>
      <w:r w:rsidRPr="006C4FB1">
        <w:rPr>
          <w:lang w:val="es-ES_tradnl"/>
        </w:rPr>
        <w:t>–</w:t>
      </w:r>
      <w:r w:rsidR="00782DC5" w:rsidRPr="006C4FB1">
        <w:rPr>
          <w:lang w:val="es-ES_tradnl"/>
        </w:rPr>
        <w:tab/>
        <w:t>El proceso de selección del país anfitrión no está sujeto a una convocatoria de manifestaciones de interés abierta y limitada en el tiempo, accesible a todos los Estados Miembros.</w:t>
      </w:r>
    </w:p>
    <w:p w14:paraId="0B27A4B9" w14:textId="1085195C" w:rsidR="00782DC5" w:rsidRPr="006C4FB1" w:rsidRDefault="00053288" w:rsidP="009179EB">
      <w:pPr>
        <w:pStyle w:val="enumlev1"/>
        <w:jc w:val="both"/>
        <w:rPr>
          <w:lang w:val="es-ES_tradnl"/>
        </w:rPr>
      </w:pPr>
      <w:r w:rsidRPr="006C4FB1">
        <w:rPr>
          <w:lang w:val="es-ES_tradnl"/>
        </w:rPr>
        <w:t>–</w:t>
      </w:r>
      <w:r w:rsidR="00782DC5" w:rsidRPr="006C4FB1">
        <w:rPr>
          <w:lang w:val="es-ES_tradnl"/>
        </w:rPr>
        <w:tab/>
        <w:t>No existe ningún mecanismo oficial en los procedimientos de la Unión que garantice una secuencia predecible o regionalmente equitativa de acogida, y la propuesta de la Secretaría está haciendo un esfuerzo para abordar este punto.</w:t>
      </w:r>
    </w:p>
    <w:p w14:paraId="0AE6FD64" w14:textId="5D2AA2C1" w:rsidR="00782DC5" w:rsidRPr="006C4FB1" w:rsidRDefault="00053288" w:rsidP="009179EB">
      <w:pPr>
        <w:pStyle w:val="enumlev1"/>
        <w:jc w:val="both"/>
        <w:rPr>
          <w:lang w:val="es-ES_tradnl"/>
        </w:rPr>
      </w:pPr>
      <w:r w:rsidRPr="006C4FB1">
        <w:rPr>
          <w:lang w:val="es-ES_tradnl"/>
        </w:rPr>
        <w:lastRenderedPageBreak/>
        <w:t>–</w:t>
      </w:r>
      <w:r w:rsidR="00782DC5" w:rsidRPr="006C4FB1">
        <w:rPr>
          <w:lang w:val="es-ES_tradnl"/>
        </w:rPr>
        <w:tab/>
        <w:t>La ausencia de una ventana de licitación clara y de un mecanismo para informar a los candidatos no seleccionados puede reducir la previsibilidad y desalentar una participación futura más amplia.</w:t>
      </w:r>
    </w:p>
    <w:p w14:paraId="5A9390EF" w14:textId="47B2B921" w:rsidR="00782DC5" w:rsidRPr="006C4FB1" w:rsidRDefault="00053288" w:rsidP="009179EB">
      <w:pPr>
        <w:pStyle w:val="enumlev1"/>
        <w:jc w:val="both"/>
        <w:rPr>
          <w:lang w:val="es-ES_tradnl"/>
        </w:rPr>
      </w:pPr>
      <w:r w:rsidRPr="006C4FB1">
        <w:rPr>
          <w:lang w:val="es-ES_tradnl"/>
        </w:rPr>
        <w:t>–</w:t>
      </w:r>
      <w:r w:rsidR="00782DC5" w:rsidRPr="006C4FB1">
        <w:rPr>
          <w:lang w:val="es-ES_tradnl"/>
        </w:rPr>
        <w:tab/>
        <w:t>Algunas regiones no han acogido la Conferencia de Plenipotenciarios en más de dos décadas.</w:t>
      </w:r>
    </w:p>
    <w:p w14:paraId="6A2C1616" w14:textId="2E74F9DC" w:rsidR="00782DC5" w:rsidRPr="006C4FB1" w:rsidRDefault="00053288" w:rsidP="009179EB">
      <w:pPr>
        <w:pStyle w:val="enumlev1"/>
        <w:jc w:val="both"/>
        <w:rPr>
          <w:lang w:val="es-ES_tradnl"/>
        </w:rPr>
      </w:pPr>
      <w:r w:rsidRPr="006C4FB1">
        <w:rPr>
          <w:lang w:val="es-ES_tradnl"/>
        </w:rPr>
        <w:t>–</w:t>
      </w:r>
      <w:r w:rsidR="00782DC5" w:rsidRPr="006C4FB1">
        <w:rPr>
          <w:lang w:val="es-ES_tradnl"/>
        </w:rPr>
        <w:tab/>
        <w:t>En el caso de la región africana, por ejemplo, sólo se han celebrado dos Conferencias de Plenipotenciarios en el continente, a saber, la de Nairobi en 1982 y la de Marrakech en 2002. Por otra parte, desde 1947, Europa ha acogido siete veces la Conferencia y cuatro veces las Américas. Al igual que África, Asia-Pacífico y los Estados Árabes han sido anfitriones cada uno en dos ocasiones, con la principal diferencia de que, cuando se celebre la Conferencia de 2026 en Doha, habrán transcurrido veinticuatro años desde el último anfitrión africano, a pesar de que África cuenta con 54 Estados Miembros de la UIT y 13 escaños en el Consejo.</w:t>
      </w:r>
    </w:p>
    <w:p w14:paraId="38582E19" w14:textId="77777777" w:rsidR="00782DC5" w:rsidRPr="006C4FB1" w:rsidRDefault="00782DC5" w:rsidP="009179EB">
      <w:pPr>
        <w:jc w:val="both"/>
        <w:rPr>
          <w:lang w:val="es-ES_tradnl"/>
        </w:rPr>
      </w:pPr>
      <w:r w:rsidRPr="006C4FB1">
        <w:rPr>
          <w:lang w:val="es-ES_tradnl"/>
        </w:rPr>
        <w:t>1.8</w:t>
      </w:r>
      <w:r w:rsidRPr="006C4FB1">
        <w:rPr>
          <w:lang w:val="es-ES_tradnl"/>
        </w:rPr>
        <w:tab/>
        <w:t>Se reconoce que la selección de los países anfitriones se basa en una serie de consideraciones prácticas, como la infraestructura, los compromisos financieros y las expresiones de interés de los Estados Miembros. No obstante, dar cabida a una participación más amplia en la celebración de reuniones de alto nivel es coherente con los principios de equidad, inclusión y compromiso mundial que sustentan la labor de la UIT.</w:t>
      </w:r>
    </w:p>
    <w:p w14:paraId="29ED4256" w14:textId="77777777" w:rsidR="00782DC5" w:rsidRPr="006C4FB1" w:rsidRDefault="00782DC5" w:rsidP="00782DC5">
      <w:pPr>
        <w:pStyle w:val="Heading1"/>
        <w:rPr>
          <w:lang w:val="es-ES_tradnl"/>
        </w:rPr>
      </w:pPr>
      <w:r w:rsidRPr="006C4FB1">
        <w:rPr>
          <w:bCs/>
          <w:lang w:val="es-ES_tradnl"/>
        </w:rPr>
        <w:t>2</w:t>
      </w:r>
      <w:r w:rsidRPr="006C4FB1">
        <w:rPr>
          <w:lang w:val="es-ES_tradnl"/>
        </w:rPr>
        <w:tab/>
      </w:r>
      <w:r w:rsidRPr="006C4FB1">
        <w:rPr>
          <w:bCs/>
          <w:lang w:val="es-ES_tradnl"/>
        </w:rPr>
        <w:t>Propuesta</w:t>
      </w:r>
    </w:p>
    <w:p w14:paraId="0E169B23" w14:textId="77777777" w:rsidR="00782DC5" w:rsidRPr="006C4FB1" w:rsidRDefault="00782DC5" w:rsidP="009179EB">
      <w:pPr>
        <w:jc w:val="both"/>
        <w:rPr>
          <w:lang w:val="es-ES_tradnl"/>
        </w:rPr>
      </w:pPr>
      <w:r w:rsidRPr="006C4FB1">
        <w:rPr>
          <w:lang w:val="es-ES_tradnl"/>
        </w:rPr>
        <w:t>2.1</w:t>
      </w:r>
      <w:r w:rsidRPr="006C4FB1">
        <w:rPr>
          <w:lang w:val="es-ES_tradnl"/>
        </w:rPr>
        <w:tab/>
        <w:t>Habida cuenta de lo anterior, y teniendo plenamente en cuenta las prerrogativas del Consejo de la UIT, se propone que el Consejo considere:</w:t>
      </w:r>
    </w:p>
    <w:p w14:paraId="144A428B" w14:textId="77777777" w:rsidR="00782DC5" w:rsidRPr="006C4FB1" w:rsidRDefault="00782DC5" w:rsidP="009179EB">
      <w:pPr>
        <w:pStyle w:val="enumlev1"/>
        <w:jc w:val="both"/>
        <w:rPr>
          <w:lang w:val="es-ES_tradnl"/>
        </w:rPr>
      </w:pPr>
      <w:r w:rsidRPr="006C4FB1">
        <w:rPr>
          <w:lang w:val="es-ES_tradnl"/>
        </w:rPr>
        <w:t>2.1.1</w:t>
      </w:r>
      <w:r w:rsidRPr="006C4FB1">
        <w:rPr>
          <w:lang w:val="es-ES_tradnl"/>
        </w:rPr>
        <w:tab/>
        <w:t>Introducir convocatorias de manifestaciones de interés abiertas y con plazos concretos para acoger la Conferencia de Plenipotenciarios y otras reuniones estatutarias importantes, con plazos y criterios claramente comunicados con suficiente antelación a todos los Estados Miembros a fin de preparar propuestas de país anfitrión de conformidad con sus ciclos nacionales de planificación y presupuesto;</w:t>
      </w:r>
    </w:p>
    <w:p w14:paraId="7FE78424" w14:textId="77777777" w:rsidR="00782DC5" w:rsidRPr="006C4FB1" w:rsidRDefault="00782DC5" w:rsidP="009179EB">
      <w:pPr>
        <w:pStyle w:val="enumlev1"/>
        <w:jc w:val="both"/>
        <w:rPr>
          <w:lang w:val="es-ES_tradnl"/>
        </w:rPr>
      </w:pPr>
      <w:r w:rsidRPr="006C4FB1">
        <w:rPr>
          <w:lang w:val="es-ES_tradnl"/>
        </w:rPr>
        <w:t>2.1.2</w:t>
      </w:r>
      <w:r w:rsidRPr="006C4FB1">
        <w:rPr>
          <w:lang w:val="es-ES_tradnl"/>
        </w:rPr>
        <w:tab/>
        <w:t>Afirmar que la rotación regional es una consideración rectora en la selección de los anfitriones, aplicada sistemáticamente en ciclos sucesivos para permitir la igualdad de oportunidades entre las regiones;</w:t>
      </w:r>
    </w:p>
    <w:p w14:paraId="6FC55B60" w14:textId="77777777" w:rsidR="00782DC5" w:rsidRPr="006C4FB1" w:rsidRDefault="00782DC5" w:rsidP="009179EB">
      <w:pPr>
        <w:pStyle w:val="enumlev1"/>
        <w:jc w:val="both"/>
        <w:rPr>
          <w:lang w:val="es-ES_tradnl"/>
        </w:rPr>
      </w:pPr>
      <w:r w:rsidRPr="006C4FB1">
        <w:rPr>
          <w:lang w:val="es-ES_tradnl"/>
        </w:rPr>
        <w:t>2.1.3</w:t>
      </w:r>
      <w:r w:rsidRPr="006C4FB1">
        <w:rPr>
          <w:lang w:val="es-ES_tradnl"/>
        </w:rPr>
        <w:tab/>
        <w:t>Fomentar la presentación de candidaturas de regiones insuficientemente representadas, en consonancia con los objetivos de desarrollo de la Unión, como medio para promover una mayor equidad en las TIC e inclusión institucional;</w:t>
      </w:r>
    </w:p>
    <w:p w14:paraId="014F6D49" w14:textId="77777777" w:rsidR="00782DC5" w:rsidRPr="006C4FB1" w:rsidRDefault="00782DC5" w:rsidP="009179EB">
      <w:pPr>
        <w:pStyle w:val="enumlev1"/>
        <w:jc w:val="both"/>
        <w:rPr>
          <w:lang w:val="es-ES_tradnl"/>
        </w:rPr>
      </w:pPr>
      <w:r w:rsidRPr="006C4FB1">
        <w:rPr>
          <w:lang w:val="es-ES_tradnl"/>
        </w:rPr>
        <w:t>2.1.4</w:t>
      </w:r>
      <w:r w:rsidRPr="006C4FB1">
        <w:rPr>
          <w:lang w:val="es-ES_tradnl"/>
        </w:rPr>
        <w:tab/>
        <w:t>Nuestra opinión de que, en conjunto, estas medidas mejorarían la transparencia, fortalecerían la participación regional y garantizarían una distribución más equitativa de los beneficios de la acogida;</w:t>
      </w:r>
    </w:p>
    <w:p w14:paraId="5F20434A" w14:textId="77777777" w:rsidR="00782DC5" w:rsidRPr="006C4FB1" w:rsidRDefault="00782DC5" w:rsidP="009179EB">
      <w:pPr>
        <w:pStyle w:val="enumlev1"/>
        <w:jc w:val="both"/>
        <w:rPr>
          <w:lang w:val="es-ES_tradnl"/>
        </w:rPr>
      </w:pPr>
      <w:r w:rsidRPr="006C4FB1">
        <w:rPr>
          <w:lang w:val="es-ES_tradnl"/>
        </w:rPr>
        <w:t>2.1.5</w:t>
      </w:r>
      <w:r w:rsidRPr="006C4FB1">
        <w:rPr>
          <w:lang w:val="es-ES_tradnl"/>
        </w:rPr>
        <w:tab/>
        <w:t xml:space="preserve">Publicar a través del portal web toda la información práctica pertinente sobre las obligaciones del país anfitrión, los componentes genéricos de costes, las invitaciones oficiales recibidas y otras orientaciones en materia de procedimiento, a fin de aumentar la transparencia y la participación informada. </w:t>
      </w:r>
    </w:p>
    <w:p w14:paraId="73C24972" w14:textId="77777777" w:rsidR="00782DC5" w:rsidRPr="006C4FB1" w:rsidRDefault="00782DC5" w:rsidP="009179EB">
      <w:pPr>
        <w:pStyle w:val="enumlev1"/>
        <w:jc w:val="both"/>
        <w:rPr>
          <w:lang w:val="es-ES_tradnl"/>
        </w:rPr>
      </w:pPr>
      <w:r w:rsidRPr="006C4FB1">
        <w:rPr>
          <w:lang w:val="es-ES_tradnl"/>
        </w:rPr>
        <w:t>2.1.6</w:t>
      </w:r>
      <w:r w:rsidRPr="006C4FB1">
        <w:rPr>
          <w:lang w:val="es-ES_tradnl"/>
        </w:rPr>
        <w:tab/>
        <w:t>Promover medidas para reducir la carga financiera y operativa de los países anfitriones, incluida, cuando proceda, la utilización de la capacidad profesional local, las herramientas de participación a distancia, las soluciones digitales de inscripción y acreditación y la contratación local de infraestructuras técnicas compatibles</w:t>
      </w:r>
    </w:p>
    <w:p w14:paraId="7F887E5D" w14:textId="77777777" w:rsidR="00782DC5" w:rsidRPr="006C4FB1" w:rsidRDefault="00782DC5" w:rsidP="009179EB">
      <w:pPr>
        <w:pStyle w:val="enumlev1"/>
        <w:jc w:val="both"/>
        <w:rPr>
          <w:lang w:val="es-ES_tradnl"/>
        </w:rPr>
      </w:pPr>
      <w:r w:rsidRPr="006C4FB1">
        <w:rPr>
          <w:lang w:val="es-ES_tradnl"/>
        </w:rPr>
        <w:lastRenderedPageBreak/>
        <w:t>2.1.7</w:t>
      </w:r>
      <w:r w:rsidRPr="006C4FB1">
        <w:rPr>
          <w:lang w:val="es-ES_tradnl"/>
        </w:rPr>
        <w:tab/>
        <w:t>Proporcionar información adecuada a los candidatos no seleccionados, con miras a reforzar las futuras candidaturas y alentar la participación continua de las regiones insuficientemente representadas.</w:t>
      </w:r>
    </w:p>
    <w:p w14:paraId="5E7267F7" w14:textId="77777777" w:rsidR="00782DC5" w:rsidRPr="006C4FB1" w:rsidRDefault="00782DC5" w:rsidP="00053288">
      <w:pPr>
        <w:pStyle w:val="enumlev1"/>
        <w:spacing w:before="1320"/>
        <w:rPr>
          <w:lang w:val="es-ES_tradnl"/>
        </w:rPr>
      </w:pPr>
      <w:r w:rsidRPr="006C4FB1">
        <w:rPr>
          <w:b/>
          <w:bCs/>
          <w:lang w:val="es-ES_tradnl"/>
        </w:rPr>
        <w:t>Anexo</w:t>
      </w:r>
      <w:r w:rsidRPr="006C4FB1">
        <w:rPr>
          <w:lang w:val="es-ES_tradnl"/>
        </w:rPr>
        <w:t xml:space="preserve">: 1 </w:t>
      </w:r>
    </w:p>
    <w:p w14:paraId="660B47E5" w14:textId="77777777" w:rsidR="00782DC5" w:rsidRPr="006C4FB1" w:rsidRDefault="00782DC5" w:rsidP="00782DC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6C4FB1">
        <w:rPr>
          <w:lang w:val="es-ES_tradnl"/>
        </w:rPr>
        <w:br w:type="page"/>
      </w:r>
    </w:p>
    <w:p w14:paraId="59D1FBE0" w14:textId="77777777" w:rsidR="00782DC5" w:rsidRPr="006C4FB1" w:rsidRDefault="00782DC5" w:rsidP="00782DC5">
      <w:pPr>
        <w:pStyle w:val="AnnexNo"/>
        <w:rPr>
          <w:lang w:val="es-ES_tradnl"/>
        </w:rPr>
      </w:pPr>
      <w:r w:rsidRPr="006C4FB1">
        <w:rPr>
          <w:lang w:val="es-ES_tradnl"/>
        </w:rPr>
        <w:lastRenderedPageBreak/>
        <w:t>ANEXO</w:t>
      </w:r>
    </w:p>
    <w:p w14:paraId="67B8987D" w14:textId="77777777" w:rsidR="00782DC5" w:rsidRPr="006C4FB1" w:rsidRDefault="00782DC5" w:rsidP="00782DC5">
      <w:pPr>
        <w:pStyle w:val="Annextitle"/>
        <w:rPr>
          <w:lang w:val="es-ES_tradnl"/>
        </w:rPr>
      </w:pPr>
      <w:r w:rsidRPr="006C4FB1">
        <w:rPr>
          <w:bCs/>
          <w:lang w:val="es-ES_tradnl"/>
        </w:rPr>
        <w:t>Historia de la celebración de Conferencias de Plenipotenciarios</w:t>
      </w:r>
    </w:p>
    <w:tbl>
      <w:tblPr>
        <w:tblStyle w:val="TableGrid"/>
        <w:tblW w:w="5260" w:type="pct"/>
        <w:tblLayout w:type="fixed"/>
        <w:tblLook w:val="04A0" w:firstRow="1" w:lastRow="0" w:firstColumn="1" w:lastColumn="0" w:noHBand="0" w:noVBand="1"/>
      </w:tblPr>
      <w:tblGrid>
        <w:gridCol w:w="2358"/>
        <w:gridCol w:w="2337"/>
        <w:gridCol w:w="4837"/>
      </w:tblGrid>
      <w:tr w:rsidR="00782DC5" w:rsidRPr="006C4FB1" w14:paraId="0602FD1E" w14:textId="77777777" w:rsidTr="00207BE6">
        <w:trPr>
          <w:trHeight w:val="340"/>
        </w:trPr>
        <w:tc>
          <w:tcPr>
            <w:tcW w:w="1237" w:type="pct"/>
            <w:hideMark/>
          </w:tcPr>
          <w:p w14:paraId="2FBEE4A1" w14:textId="77777777" w:rsidR="00782DC5" w:rsidRPr="006C4FB1" w:rsidRDefault="00782DC5" w:rsidP="00207BE6">
            <w:pPr>
              <w:pStyle w:val="Tablehead"/>
              <w:rPr>
                <w:lang w:val="es-ES_tradnl"/>
              </w:rPr>
            </w:pPr>
            <w:r w:rsidRPr="006C4FB1">
              <w:rPr>
                <w:bCs/>
                <w:color w:val="000000"/>
                <w:lang w:val="es-ES_tradnl"/>
              </w:rPr>
              <w:t>Región</w:t>
            </w:r>
          </w:p>
        </w:tc>
        <w:tc>
          <w:tcPr>
            <w:tcW w:w="1226" w:type="pct"/>
            <w:hideMark/>
          </w:tcPr>
          <w:p w14:paraId="4955B992" w14:textId="77777777" w:rsidR="00782DC5" w:rsidRPr="006C4FB1" w:rsidRDefault="00782DC5" w:rsidP="00207BE6">
            <w:pPr>
              <w:pStyle w:val="Tablehead"/>
              <w:rPr>
                <w:lang w:val="es-ES_tradnl"/>
              </w:rPr>
            </w:pPr>
            <w:r w:rsidRPr="006C4FB1">
              <w:rPr>
                <w:bCs/>
                <w:color w:val="000000"/>
                <w:lang w:val="es-ES_tradnl"/>
              </w:rPr>
              <w:t xml:space="preserve">Número </w:t>
            </w:r>
            <w:proofErr w:type="gramStart"/>
            <w:r w:rsidRPr="006C4FB1">
              <w:rPr>
                <w:bCs/>
                <w:color w:val="000000"/>
                <w:lang w:val="es-ES_tradnl"/>
              </w:rPr>
              <w:t>de PP</w:t>
            </w:r>
            <w:proofErr w:type="gramEnd"/>
            <w:r w:rsidRPr="006C4FB1">
              <w:rPr>
                <w:bCs/>
                <w:color w:val="000000"/>
                <w:lang w:val="es-ES_tradnl"/>
              </w:rPr>
              <w:t xml:space="preserve"> acogidas</w:t>
            </w:r>
          </w:p>
        </w:tc>
        <w:tc>
          <w:tcPr>
            <w:tcW w:w="2538" w:type="pct"/>
            <w:hideMark/>
          </w:tcPr>
          <w:p w14:paraId="78BD0202" w14:textId="77777777" w:rsidR="00782DC5" w:rsidRPr="006C4FB1" w:rsidRDefault="00782DC5" w:rsidP="00207BE6">
            <w:pPr>
              <w:pStyle w:val="Tablehead"/>
              <w:rPr>
                <w:lang w:val="es-ES_tradnl"/>
              </w:rPr>
            </w:pPr>
            <w:r w:rsidRPr="006C4FB1">
              <w:rPr>
                <w:bCs/>
                <w:color w:val="000000"/>
                <w:lang w:val="es-ES_tradnl"/>
              </w:rPr>
              <w:t>Años – Ubicaciones</w:t>
            </w:r>
          </w:p>
        </w:tc>
      </w:tr>
      <w:tr w:rsidR="00782DC5" w:rsidRPr="006C4FB1" w14:paraId="38AA2353" w14:textId="77777777" w:rsidTr="00207BE6">
        <w:trPr>
          <w:trHeight w:val="1700"/>
        </w:trPr>
        <w:tc>
          <w:tcPr>
            <w:tcW w:w="1237" w:type="pct"/>
            <w:hideMark/>
          </w:tcPr>
          <w:p w14:paraId="3BB51B13" w14:textId="77777777" w:rsidR="00782DC5" w:rsidRPr="006C4FB1" w:rsidRDefault="00782DC5" w:rsidP="00207BE6">
            <w:pPr>
              <w:pStyle w:val="Tabletext"/>
              <w:rPr>
                <w:lang w:val="es-ES_tradnl"/>
              </w:rPr>
            </w:pPr>
            <w:r w:rsidRPr="006C4FB1">
              <w:rPr>
                <w:color w:val="000000"/>
                <w:lang w:val="es-ES_tradnl"/>
              </w:rPr>
              <w:t>Europa (</w:t>
            </w:r>
            <w:proofErr w:type="spellStart"/>
            <w:r w:rsidRPr="006C4FB1">
              <w:rPr>
                <w:color w:val="000000"/>
                <w:lang w:val="es-ES_tradnl"/>
              </w:rPr>
              <w:t>CEPT</w:t>
            </w:r>
            <w:proofErr w:type="spellEnd"/>
            <w:r w:rsidRPr="006C4FB1">
              <w:rPr>
                <w:color w:val="000000"/>
                <w:lang w:val="es-ES_tradnl"/>
              </w:rPr>
              <w:t>)</w:t>
            </w:r>
          </w:p>
        </w:tc>
        <w:tc>
          <w:tcPr>
            <w:tcW w:w="1226" w:type="pct"/>
            <w:hideMark/>
          </w:tcPr>
          <w:p w14:paraId="2DDC8411" w14:textId="77777777" w:rsidR="00782DC5" w:rsidRPr="006C4FB1" w:rsidRDefault="00782DC5" w:rsidP="00207BE6">
            <w:pPr>
              <w:pStyle w:val="Tabletext"/>
              <w:jc w:val="center"/>
              <w:rPr>
                <w:lang w:val="es-ES_tradnl"/>
              </w:rPr>
            </w:pPr>
            <w:r w:rsidRPr="006C4FB1">
              <w:rPr>
                <w:color w:val="000000"/>
                <w:lang w:val="es-ES_tradnl"/>
              </w:rPr>
              <w:t>7</w:t>
            </w:r>
          </w:p>
        </w:tc>
        <w:tc>
          <w:tcPr>
            <w:tcW w:w="2538" w:type="pct"/>
            <w:hideMark/>
          </w:tcPr>
          <w:p w14:paraId="7FC343AF" w14:textId="77777777" w:rsidR="00782DC5" w:rsidRPr="006C4FB1" w:rsidRDefault="00782DC5" w:rsidP="00207BE6">
            <w:pPr>
              <w:pStyle w:val="Tabletext"/>
              <w:rPr>
                <w:lang w:val="es-ES_tradnl"/>
              </w:rPr>
            </w:pPr>
            <w:r w:rsidRPr="006C4FB1">
              <w:rPr>
                <w:color w:val="000000"/>
                <w:lang w:val="es-ES_tradnl"/>
              </w:rPr>
              <w:t xml:space="preserve">1959 – Ginebra (Suiza) </w:t>
            </w:r>
          </w:p>
          <w:p w14:paraId="010883AB" w14:textId="77777777" w:rsidR="00782DC5" w:rsidRPr="006C4FB1" w:rsidRDefault="00782DC5" w:rsidP="00207BE6">
            <w:pPr>
              <w:pStyle w:val="Tabletext"/>
              <w:rPr>
                <w:lang w:val="es-ES_tradnl"/>
              </w:rPr>
            </w:pPr>
            <w:r w:rsidRPr="006C4FB1">
              <w:rPr>
                <w:color w:val="000000"/>
                <w:lang w:val="es-ES_tradnl"/>
              </w:rPr>
              <w:t xml:space="preserve">1965 – </w:t>
            </w:r>
            <w:proofErr w:type="spellStart"/>
            <w:r w:rsidRPr="006C4FB1">
              <w:rPr>
                <w:color w:val="000000"/>
                <w:lang w:val="es-ES_tradnl"/>
              </w:rPr>
              <w:t>Montreux</w:t>
            </w:r>
            <w:proofErr w:type="spellEnd"/>
            <w:r w:rsidRPr="006C4FB1">
              <w:rPr>
                <w:color w:val="000000"/>
                <w:lang w:val="es-ES_tradnl"/>
              </w:rPr>
              <w:t xml:space="preserve"> (Suiza) </w:t>
            </w:r>
          </w:p>
          <w:p w14:paraId="3EAFEA99" w14:textId="15D156C8" w:rsidR="00782DC5" w:rsidRPr="006C4FB1" w:rsidRDefault="00782DC5" w:rsidP="00207BE6">
            <w:pPr>
              <w:pStyle w:val="Tabletext"/>
              <w:rPr>
                <w:lang w:val="es-ES_tradnl"/>
              </w:rPr>
            </w:pPr>
            <w:r w:rsidRPr="006C4FB1">
              <w:rPr>
                <w:color w:val="000000"/>
                <w:lang w:val="es-ES_tradnl"/>
              </w:rPr>
              <w:t xml:space="preserve">1973 </w:t>
            </w:r>
            <w:r w:rsidR="00053288" w:rsidRPr="006C4FB1">
              <w:rPr>
                <w:color w:val="000000"/>
                <w:lang w:val="es-ES_tradnl"/>
              </w:rPr>
              <w:t>–</w:t>
            </w:r>
            <w:r w:rsidRPr="006C4FB1">
              <w:rPr>
                <w:color w:val="000000"/>
                <w:lang w:val="es-ES_tradnl"/>
              </w:rPr>
              <w:t xml:space="preserve"> Málaga-Torremolinos (España) </w:t>
            </w:r>
          </w:p>
          <w:p w14:paraId="7DC7C140" w14:textId="77777777" w:rsidR="00782DC5" w:rsidRPr="006C4FB1" w:rsidRDefault="00782DC5" w:rsidP="00207BE6">
            <w:pPr>
              <w:pStyle w:val="Tabletext"/>
              <w:rPr>
                <w:lang w:val="es-ES_tradnl"/>
              </w:rPr>
            </w:pPr>
            <w:r w:rsidRPr="006C4FB1">
              <w:rPr>
                <w:color w:val="000000"/>
                <w:lang w:val="es-ES_tradnl"/>
              </w:rPr>
              <w:t xml:space="preserve">1989 – Niza (Francia) </w:t>
            </w:r>
          </w:p>
          <w:p w14:paraId="734DBF77" w14:textId="77777777" w:rsidR="00782DC5" w:rsidRPr="006C4FB1" w:rsidRDefault="00782DC5" w:rsidP="00207BE6">
            <w:pPr>
              <w:pStyle w:val="Tabletext"/>
              <w:rPr>
                <w:lang w:val="es-ES_tradnl"/>
              </w:rPr>
            </w:pPr>
            <w:r w:rsidRPr="006C4FB1">
              <w:rPr>
                <w:color w:val="000000"/>
                <w:lang w:val="es-ES_tradnl"/>
              </w:rPr>
              <w:t xml:space="preserve">1992 – Ginebra (PP extraordinaria) </w:t>
            </w:r>
          </w:p>
          <w:p w14:paraId="08B724F5" w14:textId="77777777" w:rsidR="00782DC5" w:rsidRPr="006C4FB1" w:rsidRDefault="00782DC5" w:rsidP="00207BE6">
            <w:pPr>
              <w:pStyle w:val="Tabletext"/>
              <w:rPr>
                <w:lang w:val="es-ES_tradnl"/>
              </w:rPr>
            </w:pPr>
            <w:r w:rsidRPr="006C4FB1">
              <w:rPr>
                <w:color w:val="000000"/>
                <w:lang w:val="es-ES_tradnl"/>
              </w:rPr>
              <w:t>2006 – Antalya (</w:t>
            </w:r>
            <w:proofErr w:type="spellStart"/>
            <w:r w:rsidRPr="006C4FB1">
              <w:rPr>
                <w:color w:val="000000"/>
                <w:lang w:val="es-ES_tradnl"/>
              </w:rPr>
              <w:t>Türkiye</w:t>
            </w:r>
            <w:proofErr w:type="spellEnd"/>
            <w:r w:rsidRPr="006C4FB1">
              <w:rPr>
                <w:color w:val="000000"/>
                <w:lang w:val="es-ES_tradnl"/>
              </w:rPr>
              <w:t xml:space="preserve">) </w:t>
            </w:r>
          </w:p>
          <w:p w14:paraId="75116DB1" w14:textId="77777777" w:rsidR="00782DC5" w:rsidRPr="006C4FB1" w:rsidRDefault="00782DC5" w:rsidP="00207BE6">
            <w:pPr>
              <w:pStyle w:val="Tabletext"/>
              <w:rPr>
                <w:lang w:val="es-ES_tradnl"/>
              </w:rPr>
            </w:pPr>
            <w:r w:rsidRPr="006C4FB1">
              <w:rPr>
                <w:color w:val="000000"/>
                <w:lang w:val="es-ES_tradnl"/>
              </w:rPr>
              <w:t>2022 – Bucarest (Rumanía)</w:t>
            </w:r>
          </w:p>
        </w:tc>
      </w:tr>
      <w:tr w:rsidR="00782DC5" w:rsidRPr="006C4FB1" w14:paraId="63FA440E" w14:textId="77777777" w:rsidTr="00207BE6">
        <w:trPr>
          <w:trHeight w:val="680"/>
        </w:trPr>
        <w:tc>
          <w:tcPr>
            <w:tcW w:w="1237" w:type="pct"/>
            <w:hideMark/>
          </w:tcPr>
          <w:p w14:paraId="721A0316" w14:textId="77777777" w:rsidR="00782DC5" w:rsidRPr="006C4FB1" w:rsidRDefault="00782DC5" w:rsidP="00207BE6">
            <w:pPr>
              <w:pStyle w:val="Tabletext"/>
              <w:rPr>
                <w:lang w:val="es-ES_tradnl"/>
              </w:rPr>
            </w:pPr>
            <w:r w:rsidRPr="006C4FB1">
              <w:rPr>
                <w:color w:val="000000"/>
                <w:lang w:val="es-ES_tradnl"/>
              </w:rPr>
              <w:t>Américas (CITEL)</w:t>
            </w:r>
          </w:p>
        </w:tc>
        <w:tc>
          <w:tcPr>
            <w:tcW w:w="1226" w:type="pct"/>
            <w:hideMark/>
          </w:tcPr>
          <w:p w14:paraId="6AF55E52" w14:textId="77777777" w:rsidR="00782DC5" w:rsidRPr="006C4FB1" w:rsidRDefault="00782DC5" w:rsidP="00207BE6">
            <w:pPr>
              <w:pStyle w:val="Tabletext"/>
              <w:jc w:val="center"/>
              <w:rPr>
                <w:lang w:val="es-ES_tradnl"/>
              </w:rPr>
            </w:pPr>
            <w:r w:rsidRPr="006C4FB1">
              <w:rPr>
                <w:color w:val="000000"/>
                <w:lang w:val="es-ES_tradnl"/>
              </w:rPr>
              <w:t>4</w:t>
            </w:r>
          </w:p>
        </w:tc>
        <w:tc>
          <w:tcPr>
            <w:tcW w:w="2538" w:type="pct"/>
            <w:hideMark/>
          </w:tcPr>
          <w:p w14:paraId="62306F64" w14:textId="77777777" w:rsidR="00782DC5" w:rsidRPr="006C4FB1" w:rsidRDefault="00782DC5" w:rsidP="00207BE6">
            <w:pPr>
              <w:pStyle w:val="Tabletext"/>
              <w:rPr>
                <w:lang w:val="es-ES_tradnl"/>
              </w:rPr>
            </w:pPr>
            <w:r w:rsidRPr="006C4FB1">
              <w:rPr>
                <w:color w:val="000000"/>
                <w:lang w:val="es-ES_tradnl"/>
              </w:rPr>
              <w:t xml:space="preserve">1947 – Atlantic City (Estados Unidos) </w:t>
            </w:r>
          </w:p>
          <w:p w14:paraId="772E360D" w14:textId="77777777" w:rsidR="00782DC5" w:rsidRPr="006C4FB1" w:rsidRDefault="00782DC5" w:rsidP="00207BE6">
            <w:pPr>
              <w:pStyle w:val="Tabletext"/>
              <w:rPr>
                <w:lang w:val="es-ES_tradnl"/>
              </w:rPr>
            </w:pPr>
            <w:r w:rsidRPr="006C4FB1">
              <w:rPr>
                <w:color w:val="000000"/>
                <w:lang w:val="es-ES_tradnl"/>
              </w:rPr>
              <w:t xml:space="preserve">1952 – Buenos Aires (Argentina) </w:t>
            </w:r>
          </w:p>
          <w:p w14:paraId="42DC920D" w14:textId="77777777" w:rsidR="00782DC5" w:rsidRPr="006C4FB1" w:rsidRDefault="00782DC5" w:rsidP="00207BE6">
            <w:pPr>
              <w:pStyle w:val="Tabletext"/>
              <w:rPr>
                <w:lang w:val="es-ES_tradnl"/>
              </w:rPr>
            </w:pPr>
            <w:r w:rsidRPr="006C4FB1">
              <w:rPr>
                <w:color w:val="000000"/>
                <w:lang w:val="es-ES_tradnl"/>
              </w:rPr>
              <w:t xml:space="preserve">1998 – Minneapolis (Estados Unidos) </w:t>
            </w:r>
          </w:p>
          <w:p w14:paraId="22DBC3FB" w14:textId="77777777" w:rsidR="00782DC5" w:rsidRPr="006C4FB1" w:rsidRDefault="00782DC5" w:rsidP="00207BE6">
            <w:pPr>
              <w:pStyle w:val="Tabletext"/>
              <w:rPr>
                <w:lang w:val="es-ES_tradnl"/>
              </w:rPr>
            </w:pPr>
            <w:r w:rsidRPr="006C4FB1">
              <w:rPr>
                <w:color w:val="000000"/>
                <w:lang w:val="es-ES_tradnl"/>
              </w:rPr>
              <w:t>2010 – Guadalajara (México)</w:t>
            </w:r>
          </w:p>
        </w:tc>
      </w:tr>
      <w:tr w:rsidR="00782DC5" w:rsidRPr="006C4FB1" w14:paraId="2E55D601" w14:textId="77777777" w:rsidTr="00207BE6">
        <w:trPr>
          <w:trHeight w:val="340"/>
        </w:trPr>
        <w:tc>
          <w:tcPr>
            <w:tcW w:w="1237" w:type="pct"/>
            <w:hideMark/>
          </w:tcPr>
          <w:p w14:paraId="1311BF0E" w14:textId="77777777" w:rsidR="00782DC5" w:rsidRPr="006C4FB1" w:rsidRDefault="00782DC5" w:rsidP="00207BE6">
            <w:pPr>
              <w:pStyle w:val="Tabletext"/>
              <w:rPr>
                <w:lang w:val="es-ES_tradnl"/>
              </w:rPr>
            </w:pPr>
            <w:r w:rsidRPr="006C4FB1">
              <w:rPr>
                <w:color w:val="000000"/>
                <w:lang w:val="es-ES_tradnl"/>
              </w:rPr>
              <w:t>África (</w:t>
            </w:r>
            <w:proofErr w:type="spellStart"/>
            <w:r w:rsidRPr="006C4FB1">
              <w:rPr>
                <w:color w:val="000000"/>
                <w:lang w:val="es-ES_tradnl"/>
              </w:rPr>
              <w:t>ATU</w:t>
            </w:r>
            <w:proofErr w:type="spellEnd"/>
            <w:r w:rsidRPr="006C4FB1">
              <w:rPr>
                <w:color w:val="000000"/>
                <w:lang w:val="es-ES_tradnl"/>
              </w:rPr>
              <w:t>)</w:t>
            </w:r>
          </w:p>
        </w:tc>
        <w:tc>
          <w:tcPr>
            <w:tcW w:w="1226" w:type="pct"/>
            <w:hideMark/>
          </w:tcPr>
          <w:p w14:paraId="2ADB3A21" w14:textId="77777777" w:rsidR="00782DC5" w:rsidRPr="006C4FB1" w:rsidRDefault="00782DC5" w:rsidP="00207BE6">
            <w:pPr>
              <w:pStyle w:val="Tabletext"/>
              <w:jc w:val="center"/>
              <w:rPr>
                <w:lang w:val="es-ES_tradnl"/>
              </w:rPr>
            </w:pPr>
            <w:r w:rsidRPr="006C4FB1">
              <w:rPr>
                <w:color w:val="000000"/>
                <w:lang w:val="es-ES_tradnl"/>
              </w:rPr>
              <w:t>2</w:t>
            </w:r>
          </w:p>
        </w:tc>
        <w:tc>
          <w:tcPr>
            <w:tcW w:w="2538" w:type="pct"/>
            <w:hideMark/>
          </w:tcPr>
          <w:p w14:paraId="3751C6C0" w14:textId="77777777" w:rsidR="00782DC5" w:rsidRPr="006C4FB1" w:rsidRDefault="00782DC5" w:rsidP="00207BE6">
            <w:pPr>
              <w:pStyle w:val="Tabletext"/>
              <w:rPr>
                <w:lang w:val="es-ES_tradnl"/>
              </w:rPr>
            </w:pPr>
            <w:r w:rsidRPr="006C4FB1">
              <w:rPr>
                <w:color w:val="000000"/>
                <w:lang w:val="es-ES_tradnl"/>
              </w:rPr>
              <w:t xml:space="preserve">1982 – Nairobi (Kenya) </w:t>
            </w:r>
          </w:p>
          <w:p w14:paraId="57428785" w14:textId="77777777" w:rsidR="00782DC5" w:rsidRPr="006C4FB1" w:rsidRDefault="00782DC5" w:rsidP="00207BE6">
            <w:pPr>
              <w:pStyle w:val="Tabletext"/>
              <w:rPr>
                <w:lang w:val="es-ES_tradnl"/>
              </w:rPr>
            </w:pPr>
            <w:r w:rsidRPr="006C4FB1">
              <w:rPr>
                <w:color w:val="000000"/>
                <w:lang w:val="es-ES_tradnl"/>
              </w:rPr>
              <w:t>2002 – Marrakech (Marruecos)</w:t>
            </w:r>
          </w:p>
        </w:tc>
      </w:tr>
      <w:tr w:rsidR="00782DC5" w:rsidRPr="006C4FB1" w14:paraId="363FBF7B" w14:textId="77777777" w:rsidTr="00207BE6">
        <w:trPr>
          <w:trHeight w:val="680"/>
        </w:trPr>
        <w:tc>
          <w:tcPr>
            <w:tcW w:w="1237" w:type="pct"/>
            <w:hideMark/>
          </w:tcPr>
          <w:p w14:paraId="2DFFB24A" w14:textId="77777777" w:rsidR="00782DC5" w:rsidRPr="006C4FB1" w:rsidRDefault="00782DC5" w:rsidP="00207BE6">
            <w:pPr>
              <w:pStyle w:val="Tabletext"/>
              <w:rPr>
                <w:lang w:val="es-ES_tradnl"/>
              </w:rPr>
            </w:pPr>
            <w:r w:rsidRPr="006C4FB1">
              <w:rPr>
                <w:color w:val="000000"/>
                <w:lang w:val="es-ES_tradnl"/>
              </w:rPr>
              <w:t>Asia-Pacífico (APT)</w:t>
            </w:r>
          </w:p>
        </w:tc>
        <w:tc>
          <w:tcPr>
            <w:tcW w:w="1226" w:type="pct"/>
            <w:hideMark/>
          </w:tcPr>
          <w:p w14:paraId="45679720" w14:textId="77777777" w:rsidR="00782DC5" w:rsidRPr="006C4FB1" w:rsidRDefault="00782DC5" w:rsidP="00207BE6">
            <w:pPr>
              <w:pStyle w:val="Tabletext"/>
              <w:jc w:val="center"/>
              <w:rPr>
                <w:lang w:val="es-ES_tradnl"/>
              </w:rPr>
            </w:pPr>
            <w:r w:rsidRPr="006C4FB1">
              <w:rPr>
                <w:color w:val="000000"/>
                <w:lang w:val="es-ES_tradnl"/>
              </w:rPr>
              <w:t>2</w:t>
            </w:r>
          </w:p>
        </w:tc>
        <w:tc>
          <w:tcPr>
            <w:tcW w:w="2538" w:type="pct"/>
            <w:hideMark/>
          </w:tcPr>
          <w:p w14:paraId="321D8316" w14:textId="77777777" w:rsidR="00782DC5" w:rsidRPr="006C4FB1" w:rsidRDefault="00782DC5" w:rsidP="00207BE6">
            <w:pPr>
              <w:pStyle w:val="Tabletext"/>
              <w:rPr>
                <w:color w:val="000000"/>
                <w:lang w:val="es-ES_tradnl"/>
              </w:rPr>
            </w:pPr>
            <w:r w:rsidRPr="006C4FB1">
              <w:rPr>
                <w:color w:val="000000"/>
                <w:lang w:val="es-ES_tradnl"/>
              </w:rPr>
              <w:t xml:space="preserve">1994 – </w:t>
            </w:r>
            <w:proofErr w:type="spellStart"/>
            <w:r w:rsidRPr="006C4FB1">
              <w:rPr>
                <w:color w:val="000000"/>
                <w:lang w:val="es-ES_tradnl"/>
              </w:rPr>
              <w:t>Kyoto</w:t>
            </w:r>
            <w:proofErr w:type="spellEnd"/>
            <w:r w:rsidRPr="006C4FB1">
              <w:rPr>
                <w:color w:val="000000"/>
                <w:lang w:val="es-ES_tradnl"/>
              </w:rPr>
              <w:t xml:space="preserve"> (Japón) </w:t>
            </w:r>
          </w:p>
          <w:p w14:paraId="313AC261" w14:textId="77777777" w:rsidR="00782DC5" w:rsidRPr="006C4FB1" w:rsidRDefault="00782DC5" w:rsidP="00207BE6">
            <w:pPr>
              <w:pStyle w:val="Tabletext"/>
              <w:rPr>
                <w:lang w:val="es-ES_tradnl"/>
              </w:rPr>
            </w:pPr>
            <w:r w:rsidRPr="006C4FB1">
              <w:rPr>
                <w:color w:val="000000"/>
                <w:lang w:val="es-ES_tradnl"/>
              </w:rPr>
              <w:t xml:space="preserve">2014 – </w:t>
            </w:r>
            <w:proofErr w:type="spellStart"/>
            <w:r w:rsidRPr="006C4FB1">
              <w:rPr>
                <w:color w:val="000000"/>
                <w:lang w:val="es-ES_tradnl"/>
              </w:rPr>
              <w:t>Busán</w:t>
            </w:r>
            <w:proofErr w:type="spellEnd"/>
            <w:r w:rsidRPr="006C4FB1">
              <w:rPr>
                <w:color w:val="000000"/>
                <w:lang w:val="es-ES_tradnl"/>
              </w:rPr>
              <w:t xml:space="preserve"> (República de Corea) </w:t>
            </w:r>
          </w:p>
        </w:tc>
      </w:tr>
      <w:tr w:rsidR="00782DC5" w:rsidRPr="006C4FB1" w14:paraId="1EA5147B" w14:textId="77777777" w:rsidTr="00207BE6">
        <w:trPr>
          <w:trHeight w:val="340"/>
        </w:trPr>
        <w:tc>
          <w:tcPr>
            <w:tcW w:w="1237" w:type="pct"/>
            <w:hideMark/>
          </w:tcPr>
          <w:p w14:paraId="46A1AD05" w14:textId="77777777" w:rsidR="00782DC5" w:rsidRPr="006C4FB1" w:rsidRDefault="00782DC5" w:rsidP="00207BE6">
            <w:pPr>
              <w:pStyle w:val="Tabletext"/>
              <w:rPr>
                <w:lang w:val="es-ES_tradnl"/>
              </w:rPr>
            </w:pPr>
            <w:r w:rsidRPr="006C4FB1">
              <w:rPr>
                <w:color w:val="000000"/>
                <w:lang w:val="es-ES_tradnl"/>
              </w:rPr>
              <w:t>Estados Árabes (</w:t>
            </w:r>
            <w:proofErr w:type="spellStart"/>
            <w:r w:rsidRPr="006C4FB1">
              <w:rPr>
                <w:color w:val="000000"/>
                <w:lang w:val="es-ES_tradnl"/>
              </w:rPr>
              <w:t>ASMG</w:t>
            </w:r>
            <w:proofErr w:type="spellEnd"/>
            <w:r w:rsidRPr="006C4FB1">
              <w:rPr>
                <w:color w:val="000000"/>
                <w:lang w:val="es-ES_tradnl"/>
              </w:rPr>
              <w:t>)</w:t>
            </w:r>
          </w:p>
        </w:tc>
        <w:tc>
          <w:tcPr>
            <w:tcW w:w="1226" w:type="pct"/>
            <w:hideMark/>
          </w:tcPr>
          <w:p w14:paraId="437782C4" w14:textId="77777777" w:rsidR="00782DC5" w:rsidRPr="006C4FB1" w:rsidRDefault="00782DC5" w:rsidP="00207BE6">
            <w:pPr>
              <w:pStyle w:val="Tabletext"/>
              <w:jc w:val="center"/>
              <w:rPr>
                <w:lang w:val="es-ES_tradnl"/>
              </w:rPr>
            </w:pPr>
            <w:r w:rsidRPr="006C4FB1">
              <w:rPr>
                <w:color w:val="000000"/>
                <w:lang w:val="es-ES_tradnl"/>
              </w:rPr>
              <w:t>2</w:t>
            </w:r>
            <w:r w:rsidRPr="006C4FB1">
              <w:rPr>
                <w:color w:val="000000"/>
                <w:lang w:val="es-ES_tradnl"/>
              </w:rPr>
              <w:br/>
              <w:t>(</w:t>
            </w:r>
            <w:r w:rsidRPr="006C4FB1">
              <w:rPr>
                <w:i/>
                <w:iCs/>
                <w:color w:val="000000"/>
                <w:lang w:val="es-ES_tradnl"/>
              </w:rPr>
              <w:t>incluida la PP-26</w:t>
            </w:r>
            <w:r w:rsidRPr="006C4FB1">
              <w:rPr>
                <w:color w:val="000000"/>
                <w:lang w:val="es-ES_tradnl"/>
              </w:rPr>
              <w:t>)</w:t>
            </w:r>
          </w:p>
        </w:tc>
        <w:tc>
          <w:tcPr>
            <w:tcW w:w="2538" w:type="pct"/>
            <w:hideMark/>
          </w:tcPr>
          <w:p w14:paraId="5AE06CE6" w14:textId="77777777" w:rsidR="00782DC5" w:rsidRPr="006C4FB1" w:rsidRDefault="00782DC5" w:rsidP="00207BE6">
            <w:pPr>
              <w:pStyle w:val="Tabletext"/>
              <w:rPr>
                <w:lang w:val="es-ES_tradnl"/>
              </w:rPr>
            </w:pPr>
            <w:r w:rsidRPr="006C4FB1">
              <w:rPr>
                <w:color w:val="000000"/>
                <w:lang w:val="es-ES_tradnl"/>
              </w:rPr>
              <w:t>2018 – Dubái (Emiratos Árabes Unido)</w:t>
            </w:r>
          </w:p>
          <w:p w14:paraId="6EBE8945" w14:textId="77777777" w:rsidR="00782DC5" w:rsidRPr="006C4FB1" w:rsidRDefault="00782DC5" w:rsidP="00207BE6">
            <w:pPr>
              <w:pStyle w:val="Tabletext"/>
              <w:rPr>
                <w:lang w:val="es-ES_tradnl"/>
              </w:rPr>
            </w:pPr>
            <w:r w:rsidRPr="006C4FB1">
              <w:rPr>
                <w:color w:val="000000"/>
                <w:lang w:val="es-ES_tradnl"/>
              </w:rPr>
              <w:t>2026 – Doha (Qatar)</w:t>
            </w:r>
          </w:p>
        </w:tc>
      </w:tr>
    </w:tbl>
    <w:p w14:paraId="260D7F66" w14:textId="77777777" w:rsidR="00782DC5" w:rsidRPr="006C4FB1" w:rsidRDefault="00782DC5" w:rsidP="00411C49">
      <w:pPr>
        <w:pStyle w:val="Reasons"/>
        <w:rPr>
          <w:lang w:val="es-ES_tradnl"/>
        </w:rPr>
      </w:pPr>
    </w:p>
    <w:p w14:paraId="6EDD297E" w14:textId="77777777" w:rsidR="00782DC5" w:rsidRPr="006C4FB1" w:rsidRDefault="00782DC5">
      <w:pPr>
        <w:jc w:val="center"/>
        <w:rPr>
          <w:lang w:val="es-ES_tradnl"/>
        </w:rPr>
      </w:pPr>
      <w:r w:rsidRPr="006C4FB1">
        <w:rPr>
          <w:lang w:val="es-ES_tradnl"/>
        </w:rPr>
        <w:t>______________</w:t>
      </w:r>
    </w:p>
    <w:sectPr w:rsidR="00782DC5" w:rsidRPr="006C4FB1" w:rsidSect="00C538FC">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B370" w14:textId="77777777" w:rsidR="008437FF" w:rsidRDefault="008437FF">
      <w:r>
        <w:separator/>
      </w:r>
    </w:p>
  </w:endnote>
  <w:endnote w:type="continuationSeparator" w:id="0">
    <w:p w14:paraId="6F78C5F3" w14:textId="77777777" w:rsidR="008437FF" w:rsidRDefault="0084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F80F7BB" w14:textId="77777777" w:rsidTr="00E31DCE">
      <w:trPr>
        <w:jc w:val="center"/>
      </w:trPr>
      <w:tc>
        <w:tcPr>
          <w:tcW w:w="1803" w:type="dxa"/>
          <w:vAlign w:val="center"/>
        </w:tcPr>
        <w:p w14:paraId="7804BE30" w14:textId="77777777" w:rsidR="003273A4" w:rsidRDefault="002946E2" w:rsidP="003273A4">
          <w:pPr>
            <w:pStyle w:val="Header"/>
            <w:jc w:val="left"/>
            <w:rPr>
              <w:noProof/>
            </w:rPr>
          </w:pPr>
          <w:r>
            <w:rPr>
              <w:noProof/>
            </w:rPr>
            <w:t>gDoc #</w:t>
          </w:r>
        </w:p>
      </w:tc>
      <w:tc>
        <w:tcPr>
          <w:tcW w:w="8261" w:type="dxa"/>
        </w:tcPr>
        <w:p w14:paraId="69013CA8" w14:textId="2459DC71"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782DC5">
            <w:rPr>
              <w:bCs/>
            </w:rPr>
            <w:t>102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1ACC70E"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A0126AE" w14:textId="77777777" w:rsidTr="00E31DCE">
      <w:trPr>
        <w:jc w:val="center"/>
      </w:trPr>
      <w:tc>
        <w:tcPr>
          <w:tcW w:w="1803" w:type="dxa"/>
          <w:vAlign w:val="center"/>
        </w:tcPr>
        <w:p w14:paraId="502E27D4"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5BACAC2" w14:textId="4F00FEB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782DC5">
            <w:rPr>
              <w:bCs/>
            </w:rPr>
            <w:t>102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5935AF8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F1F5" w14:textId="77777777" w:rsidR="008437FF" w:rsidRDefault="008437FF">
      <w:r>
        <w:t>____________________</w:t>
      </w:r>
    </w:p>
  </w:footnote>
  <w:footnote w:type="continuationSeparator" w:id="0">
    <w:p w14:paraId="7BF01CE4" w14:textId="77777777" w:rsidR="008437FF" w:rsidRDefault="0084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7575"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FF"/>
    <w:rsid w:val="000007D1"/>
    <w:rsid w:val="00053288"/>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51A22"/>
    <w:rsid w:val="00277DEA"/>
    <w:rsid w:val="002801AA"/>
    <w:rsid w:val="002946E2"/>
    <w:rsid w:val="00297C1B"/>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C4FB1"/>
    <w:rsid w:val="006D4761"/>
    <w:rsid w:val="00726872"/>
    <w:rsid w:val="00760F1C"/>
    <w:rsid w:val="007657F0"/>
    <w:rsid w:val="0077110E"/>
    <w:rsid w:val="0077252D"/>
    <w:rsid w:val="00782DC5"/>
    <w:rsid w:val="007955DA"/>
    <w:rsid w:val="007E5DD3"/>
    <w:rsid w:val="007F350B"/>
    <w:rsid w:val="00820BE4"/>
    <w:rsid w:val="008437FF"/>
    <w:rsid w:val="008451E8"/>
    <w:rsid w:val="0084546D"/>
    <w:rsid w:val="008F6ABC"/>
    <w:rsid w:val="00913B9C"/>
    <w:rsid w:val="009179EB"/>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90461"/>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B5B77"/>
    <w:rsid w:val="00ED65AB"/>
    <w:rsid w:val="00F12850"/>
    <w:rsid w:val="00F24B71"/>
    <w:rsid w:val="00F33BF4"/>
    <w:rsid w:val="00F7105E"/>
    <w:rsid w:val="00F75F57"/>
    <w:rsid w:val="00F82FEE"/>
    <w:rsid w:val="00F85E5C"/>
    <w:rsid w:val="00F92BED"/>
    <w:rsid w:val="00FA2D7B"/>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5905B"/>
  <w15:docId w15:val="{D27ED773-3082-4EA0-9234-5B4BA30E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6C4FB1"/>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9179EB"/>
    <w:pPr>
      <w:framePr w:hSpace="181" w:wrap="around" w:vAnchor="page" w:hAnchor="page" w:x="1589" w:y="2314"/>
      <w:spacing w:after="160"/>
    </w:pPr>
    <w:rPr>
      <w:sz w:val="32"/>
      <w:szCs w:val="32"/>
      <w:lang w:val="es-ES_tradnl"/>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md/S26-CL-C-0050/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6-CL-C-0070/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TotalTime>
  <Pages>5</Pages>
  <Words>1260</Words>
  <Characters>7290</Characters>
  <Application>Microsoft Office Word</Application>
  <DocSecurity>0</DocSecurity>
  <Lines>137</Lines>
  <Paragraphs>59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8491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Argumentos en favor de la equidad regional y de unas condiciones propicias para una participación más amplia en la acogida de la conferencia de plenipotenciarios de la UIT</dc:title>
  <dc:subject>Consejo 2026 de la UIT</dc:subject>
  <cp:keywords>C26; C2026; Council 2026; PP26</cp:keywords>
  <dc:description/>
  <cp:lastPrinted>2006-03-24T09:51:00Z</cp:lastPrinted>
  <dcterms:created xsi:type="dcterms:W3CDTF">2026-04-21T17:00:00Z</dcterms:created>
  <dcterms:modified xsi:type="dcterms:W3CDTF">2026-04-21T17:01:00Z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