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325BFA" w14:paraId="2E3ADD46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D726D10" w14:textId="6219D201" w:rsidR="00796BD3" w:rsidRPr="00325BFA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325BFA">
              <w:rPr>
                <w:b/>
              </w:rPr>
              <w:t>Пункт повестки дня:</w:t>
            </w:r>
            <w:r w:rsidR="00510F45" w:rsidRPr="00325BFA">
              <w:rPr>
                <w:b/>
              </w:rPr>
              <w:t xml:space="preserve"> PL 3</w:t>
            </w:r>
          </w:p>
        </w:tc>
        <w:tc>
          <w:tcPr>
            <w:tcW w:w="5245" w:type="dxa"/>
          </w:tcPr>
          <w:p w14:paraId="19CED129" w14:textId="6D696B4F" w:rsidR="00796BD3" w:rsidRPr="00325BFA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325BFA">
              <w:rPr>
                <w:b/>
              </w:rPr>
              <w:t xml:space="preserve">Документ </w:t>
            </w:r>
            <w:r w:rsidR="00796BD3" w:rsidRPr="00325BFA">
              <w:rPr>
                <w:b/>
              </w:rPr>
              <w:t>C2</w:t>
            </w:r>
            <w:r w:rsidR="00BE00DD" w:rsidRPr="00325BFA">
              <w:rPr>
                <w:b/>
              </w:rPr>
              <w:t>6</w:t>
            </w:r>
            <w:r w:rsidR="00796BD3" w:rsidRPr="00325BFA">
              <w:rPr>
                <w:b/>
              </w:rPr>
              <w:t>/</w:t>
            </w:r>
            <w:r w:rsidR="00510F45" w:rsidRPr="00325BFA">
              <w:rPr>
                <w:b/>
              </w:rPr>
              <w:t>102</w:t>
            </w:r>
          </w:p>
        </w:tc>
      </w:tr>
      <w:tr w:rsidR="00796BD3" w:rsidRPr="00325BFA" w14:paraId="64EA3F23" w14:textId="77777777" w:rsidTr="00D17718">
        <w:trPr>
          <w:cantSplit/>
        </w:trPr>
        <w:tc>
          <w:tcPr>
            <w:tcW w:w="3969" w:type="dxa"/>
            <w:vMerge/>
          </w:tcPr>
          <w:p w14:paraId="234795EE" w14:textId="77777777" w:rsidR="00796BD3" w:rsidRPr="00325BFA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C4F9A97" w14:textId="03D02A3D" w:rsidR="00796BD3" w:rsidRPr="00325BFA" w:rsidRDefault="00510F45" w:rsidP="00D17718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325BFA">
              <w:rPr>
                <w:b/>
              </w:rPr>
              <w:t>14 апреля 2026 г</w:t>
            </w:r>
            <w:r w:rsidR="00FC0015">
              <w:rPr>
                <w:b/>
              </w:rPr>
              <w:t>ода</w:t>
            </w:r>
          </w:p>
        </w:tc>
      </w:tr>
      <w:tr w:rsidR="00796BD3" w:rsidRPr="00325BFA" w14:paraId="0D23EFCC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098508F8" w14:textId="77777777" w:rsidR="00796BD3" w:rsidRPr="00325BFA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4FB5D11C" w14:textId="77777777" w:rsidR="00796BD3" w:rsidRPr="00325BFA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325BFA">
              <w:rPr>
                <w:b/>
              </w:rPr>
              <w:t>Оригинал: английский</w:t>
            </w:r>
          </w:p>
        </w:tc>
      </w:tr>
      <w:tr w:rsidR="00796BD3" w:rsidRPr="00325BFA" w14:paraId="7E39E7B7" w14:textId="77777777" w:rsidTr="00D17718">
        <w:trPr>
          <w:cantSplit/>
          <w:trHeight w:val="23"/>
        </w:trPr>
        <w:tc>
          <w:tcPr>
            <w:tcW w:w="3969" w:type="dxa"/>
          </w:tcPr>
          <w:p w14:paraId="36B329AB" w14:textId="77777777" w:rsidR="00796BD3" w:rsidRPr="00325BFA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5266AE" w14:textId="77777777" w:rsidR="00796BD3" w:rsidRPr="00325BFA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796BD3" w:rsidRPr="00325BFA" w14:paraId="2C6F8B4B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E7B54C4" w14:textId="234F99E6" w:rsidR="00796BD3" w:rsidRPr="003728ED" w:rsidRDefault="00510F45" w:rsidP="005004A5">
            <w:pPr>
              <w:pStyle w:val="Source"/>
              <w:framePr w:hSpace="0" w:wrap="auto" w:vAnchor="margin" w:hAnchor="text" w:xAlign="left" w:yAlign="inline"/>
              <w:spacing w:before="840"/>
              <w:suppressOverlap w:val="0"/>
            </w:pPr>
            <w:bookmarkStart w:id="5" w:name="dsource" w:colFirst="0" w:colLast="0"/>
            <w:bookmarkEnd w:id="4"/>
            <w:r w:rsidRPr="00FC0015">
              <w:t xml:space="preserve">Вклад </w:t>
            </w:r>
            <w:r w:rsidR="003728ED" w:rsidRPr="00FC0015">
              <w:t>Южно-Африканской Республики</w:t>
            </w:r>
            <w:r w:rsidR="003728ED">
              <w:t>,</w:t>
            </w:r>
            <w:r w:rsidR="003728ED" w:rsidRPr="00FC0015">
              <w:t xml:space="preserve"> Кении (Республики), </w:t>
            </w:r>
            <w:r w:rsidRPr="00FC0015">
              <w:t>Марокко (Королевства)</w:t>
            </w:r>
            <w:r w:rsidR="003728ED">
              <w:t xml:space="preserve"> и </w:t>
            </w:r>
            <w:r w:rsidRPr="00FC0015">
              <w:t>Нигерии (Федеративной Республики)</w:t>
            </w:r>
          </w:p>
        </w:tc>
      </w:tr>
      <w:tr w:rsidR="00796BD3" w:rsidRPr="00325BFA" w14:paraId="73B3721B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3F768A" w14:textId="341D663B" w:rsidR="00796BD3" w:rsidRPr="003728ED" w:rsidRDefault="00510F45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3728ED">
              <w:rPr>
                <w:sz w:val="32"/>
              </w:rPr>
              <w:t>АРГУМЕНТЫ В ПОЛЬЗУ РЕГИОНАЛЬНОГО РАВЕНСТВА И СОЗДАНИЯ БЛАГОПРИЯТНЫХ УСЛОВИЙ ДЛЯ БОЛЕЕ ШИРОКОГО УЧАСТИЯ В ПРОВЕДЕНИИ ПОЛНОМОЧНЫХ КОНФЕРЕНЦИЙ МСЭ</w:t>
            </w:r>
          </w:p>
        </w:tc>
      </w:tr>
      <w:tr w:rsidR="00796BD3" w:rsidRPr="00325BFA" w14:paraId="76DBCA83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62D7E2E" w14:textId="77777777" w:rsidR="00796BD3" w:rsidRPr="00325BFA" w:rsidRDefault="0033025A" w:rsidP="00D17718">
            <w:pPr>
              <w:spacing w:before="160"/>
              <w:rPr>
                <w:b/>
                <w:bCs/>
                <w:sz w:val="24"/>
                <w:szCs w:val="24"/>
              </w:rPr>
            </w:pPr>
            <w:r w:rsidRPr="00325BFA">
              <w:rPr>
                <w:b/>
                <w:bCs/>
                <w:sz w:val="24"/>
                <w:szCs w:val="24"/>
              </w:rPr>
              <w:t>Назначение</w:t>
            </w:r>
          </w:p>
          <w:p w14:paraId="5A4E74AA" w14:textId="7DC16A3C" w:rsidR="00796BD3" w:rsidRPr="00325BFA" w:rsidRDefault="00325BFA" w:rsidP="00D17718">
            <w:r>
              <w:t xml:space="preserve">Цель настоящего вклада – усовершенствовать предложенный Секретариатом процесс </w:t>
            </w:r>
            <w:r w:rsidRPr="00325BFA">
              <w:t>отбора стран</w:t>
            </w:r>
            <w:r>
              <w:t xml:space="preserve"> для проведения конференций и ассамблей </w:t>
            </w:r>
            <w:r w:rsidRPr="00325BFA">
              <w:t xml:space="preserve">МСЭ, </w:t>
            </w:r>
            <w:r>
              <w:t>и создать практические благоприятные условия</w:t>
            </w:r>
            <w:r w:rsidRPr="00325BFA">
              <w:t xml:space="preserve"> для более широкого участия </w:t>
            </w:r>
            <w:r>
              <w:t>Г</w:t>
            </w:r>
            <w:r w:rsidRPr="00325BFA">
              <w:t>осударств-</w:t>
            </w:r>
            <w:r>
              <w:t>Ч</w:t>
            </w:r>
            <w:r w:rsidRPr="00325BFA">
              <w:t xml:space="preserve">ленов, </w:t>
            </w:r>
            <w:r w:rsidR="00A8509A">
              <w:t xml:space="preserve">особенно </w:t>
            </w:r>
            <w:r w:rsidRPr="00325BFA">
              <w:t xml:space="preserve">развивающихся стран, </w:t>
            </w:r>
            <w:r>
              <w:t xml:space="preserve">в этом процессе, как было поручено Рабочей группой </w:t>
            </w:r>
            <w:r w:rsidRPr="00325BFA">
              <w:t>Совета по финансовым и людским ресурсам в январе 2026 года</w:t>
            </w:r>
            <w:r w:rsidR="00510F45" w:rsidRPr="00325BFA">
              <w:t>.</w:t>
            </w:r>
          </w:p>
          <w:p w14:paraId="0EDE8251" w14:textId="77777777" w:rsidR="00796BD3" w:rsidRPr="00325BFA" w:rsidRDefault="0033025A" w:rsidP="00D17718">
            <w:pPr>
              <w:spacing w:before="160"/>
              <w:rPr>
                <w:b/>
                <w:bCs/>
                <w:sz w:val="24"/>
                <w:szCs w:val="24"/>
              </w:rPr>
            </w:pPr>
            <w:r w:rsidRPr="00325BFA">
              <w:rPr>
                <w:b/>
                <w:bCs/>
                <w:sz w:val="24"/>
                <w:szCs w:val="24"/>
              </w:rPr>
              <w:t>Необходимые действия Совета</w:t>
            </w:r>
          </w:p>
          <w:p w14:paraId="093A07C4" w14:textId="2280A818" w:rsidR="00796BD3" w:rsidRPr="00325BFA" w:rsidRDefault="00510F45" w:rsidP="00D17718">
            <w:r w:rsidRPr="00325BFA">
              <w:t xml:space="preserve">Совету предлагается </w:t>
            </w:r>
            <w:r w:rsidRPr="00325BFA">
              <w:rPr>
                <w:b/>
                <w:bCs/>
              </w:rPr>
              <w:t>рассмотреть</w:t>
            </w:r>
            <w:r w:rsidRPr="00325BFA">
              <w:t xml:space="preserve"> настоящий документ.</w:t>
            </w:r>
          </w:p>
          <w:p w14:paraId="2FCD5C47" w14:textId="77777777" w:rsidR="00796BD3" w:rsidRPr="00325BFA" w:rsidRDefault="00796BD3" w:rsidP="00D17718">
            <w:pPr>
              <w:spacing w:before="160"/>
              <w:rPr>
                <w:caps/>
                <w:sz w:val="20"/>
                <w:szCs w:val="18"/>
              </w:rPr>
            </w:pPr>
            <w:r w:rsidRPr="00325BFA">
              <w:rPr>
                <w:sz w:val="20"/>
                <w:szCs w:val="18"/>
              </w:rPr>
              <w:t>__________________</w:t>
            </w:r>
          </w:p>
          <w:p w14:paraId="7459CBF5" w14:textId="77777777" w:rsidR="00796BD3" w:rsidRPr="00325BFA" w:rsidRDefault="0033025A" w:rsidP="00D17718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325BFA">
              <w:rPr>
                <w:b/>
                <w:bCs/>
                <w:sz w:val="24"/>
                <w:szCs w:val="24"/>
              </w:rPr>
              <w:t>Справочные материалы</w:t>
            </w:r>
          </w:p>
          <w:p w14:paraId="33F270BD" w14:textId="10DE55AE" w:rsidR="00796BD3" w:rsidRPr="00325BFA" w:rsidRDefault="00510F45" w:rsidP="00D17718">
            <w:pPr>
              <w:spacing w:after="160"/>
              <w:rPr>
                <w:i/>
                <w:iCs/>
              </w:rPr>
            </w:pPr>
            <w:r w:rsidRPr="00325BFA">
              <w:rPr>
                <w:i/>
                <w:iCs/>
                <w:szCs w:val="22"/>
              </w:rPr>
              <w:t xml:space="preserve">Документы </w:t>
            </w:r>
            <w:hyperlink r:id="rId7" w:history="1">
              <w:r w:rsidRPr="00325BFA">
                <w:rPr>
                  <w:rStyle w:val="Hyperlink"/>
                  <w:i/>
                  <w:iCs/>
                  <w:szCs w:val="22"/>
                </w:rPr>
                <w:t>C26/70</w:t>
              </w:r>
            </w:hyperlink>
            <w:r w:rsidRPr="00325BFA">
              <w:rPr>
                <w:i/>
                <w:iCs/>
                <w:szCs w:val="22"/>
              </w:rPr>
              <w:t xml:space="preserve"> и </w:t>
            </w:r>
            <w:hyperlink r:id="rId8" w:history="1">
              <w:r w:rsidRPr="00325BFA">
                <w:rPr>
                  <w:rStyle w:val="Hyperlink"/>
                  <w:i/>
                  <w:iCs/>
                  <w:szCs w:val="22"/>
                </w:rPr>
                <w:t>C26/50</w:t>
              </w:r>
            </w:hyperlink>
          </w:p>
        </w:tc>
      </w:tr>
      <w:bookmarkEnd w:id="2"/>
      <w:bookmarkEnd w:id="6"/>
    </w:tbl>
    <w:p w14:paraId="68F50B35" w14:textId="77777777" w:rsidR="00796BD3" w:rsidRPr="00325BFA" w:rsidRDefault="00796BD3" w:rsidP="00796BD3"/>
    <w:p w14:paraId="1BBBE7C4" w14:textId="77777777" w:rsidR="00D17718" w:rsidRPr="00325BFA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14:paraId="12B7192E" w14:textId="77777777" w:rsidR="00165D06" w:rsidRPr="00325BFA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 w:rsidRPr="00325BFA">
        <w:br w:type="page"/>
      </w:r>
    </w:p>
    <w:p w14:paraId="05796739" w14:textId="5947AC85" w:rsidR="00510F45" w:rsidRPr="00E83CCE" w:rsidRDefault="00510F45" w:rsidP="005004A5">
      <w:pPr>
        <w:pStyle w:val="Heading1"/>
      </w:pPr>
      <w:r w:rsidRPr="00E83CCE">
        <w:lastRenderedPageBreak/>
        <w:t>1</w:t>
      </w:r>
      <w:r w:rsidRPr="00E83CCE">
        <w:tab/>
      </w:r>
      <w:r w:rsidR="00325BFA" w:rsidRPr="00E83CCE">
        <w:t xml:space="preserve">Базовая </w:t>
      </w:r>
      <w:r w:rsidR="00325BFA" w:rsidRPr="002C5221">
        <w:t>информация</w:t>
      </w:r>
    </w:p>
    <w:p w14:paraId="6E2413D4" w14:textId="25DBF768" w:rsidR="00325BFA" w:rsidRDefault="00510F45" w:rsidP="005004A5">
      <w:pPr>
        <w:jc w:val="both"/>
      </w:pPr>
      <w:r w:rsidRPr="00325BFA">
        <w:t>1.1</w:t>
      </w:r>
      <w:r w:rsidRPr="00325BFA">
        <w:tab/>
      </w:r>
      <w:r w:rsidR="00325BFA">
        <w:t xml:space="preserve">Мы хотели бы выразить благодарность Секретариату за предложение в отношении стандартизированного, прозрачного процесса отбора стран для проведения конференций и ассамблей МСЭ, </w:t>
      </w:r>
      <w:r w:rsidR="00FC0015">
        <w:t>подготовленное</w:t>
      </w:r>
      <w:r w:rsidR="00325BFA">
        <w:t xml:space="preserve"> </w:t>
      </w:r>
      <w:r w:rsidR="00CF4F26">
        <w:t xml:space="preserve">по </w:t>
      </w:r>
      <w:r w:rsidR="00FC0015">
        <w:t>указанию</w:t>
      </w:r>
      <w:r w:rsidR="00325BFA">
        <w:t xml:space="preserve"> Совета и п</w:t>
      </w:r>
      <w:r w:rsidR="00CF4F26">
        <w:t>о итогам предыдущих обсуждений</w:t>
      </w:r>
      <w:r w:rsidR="00325BFA">
        <w:t xml:space="preserve">. </w:t>
      </w:r>
      <w:r w:rsidR="00CF4F26">
        <w:t xml:space="preserve">Предлагается установить </w:t>
      </w:r>
      <w:r w:rsidR="00325BFA">
        <w:t xml:space="preserve">структурированный график, </w:t>
      </w:r>
      <w:r w:rsidR="00CF4F26">
        <w:t xml:space="preserve">согласно которому процесс начинается за четыре года до мероприятия </w:t>
      </w:r>
      <w:r w:rsidR="00325BFA">
        <w:t xml:space="preserve">с официального запроса </w:t>
      </w:r>
      <w:r w:rsidR="00CF4F26">
        <w:t xml:space="preserve">на представление </w:t>
      </w:r>
      <w:r w:rsidR="00325BFA">
        <w:t xml:space="preserve">предложений, за которым следует подача заявок, комплексная проверка под руководством </w:t>
      </w:r>
      <w:r w:rsidR="00CF4F26">
        <w:t>С</w:t>
      </w:r>
      <w:r w:rsidR="00325BFA">
        <w:t>екретариата и окончательный отбор Советом или Полномочн</w:t>
      </w:r>
      <w:r w:rsidR="00CF4F26">
        <w:t xml:space="preserve">ой конференцией </w:t>
      </w:r>
      <w:r w:rsidR="00325BFA">
        <w:t xml:space="preserve">на основе соответствия требованиям и </w:t>
      </w:r>
      <w:r w:rsidR="00555AFB">
        <w:t xml:space="preserve">с учетом </w:t>
      </w:r>
      <w:r w:rsidR="006C6F25">
        <w:t>обеспечения географического баланса</w:t>
      </w:r>
      <w:r w:rsidR="00325BFA">
        <w:t>.</w:t>
      </w:r>
    </w:p>
    <w:p w14:paraId="79199117" w14:textId="2B8FE6AC" w:rsidR="00325BFA" w:rsidRDefault="00325BFA" w:rsidP="005004A5">
      <w:pPr>
        <w:jc w:val="both"/>
      </w:pPr>
      <w:r>
        <w:t>1.2</w:t>
      </w:r>
      <w:r>
        <w:tab/>
        <w:t>Мы также хот</w:t>
      </w:r>
      <w:r w:rsidR="002849D0">
        <w:t xml:space="preserve">ели бы </w:t>
      </w:r>
      <w:r>
        <w:t xml:space="preserve">выразить признательность за новый веб-портал </w:t>
      </w:r>
      <w:r w:rsidR="002849D0">
        <w:t>для принимающих стран</w:t>
      </w:r>
      <w:r>
        <w:t xml:space="preserve">, на котором </w:t>
      </w:r>
      <w:r w:rsidR="002849D0">
        <w:t xml:space="preserve">централизованно публикуются </w:t>
      </w:r>
      <w:r>
        <w:t xml:space="preserve">вся соответствующая информация и заявки. </w:t>
      </w:r>
      <w:r w:rsidR="002849D0">
        <w:t xml:space="preserve">Там же разъясняется, какие расходы </w:t>
      </w:r>
      <w:r w:rsidR="00555AFB">
        <w:t>связаны с проведением мероприятий</w:t>
      </w:r>
      <w:r w:rsidR="002849D0">
        <w:t>, в том числе расходы</w:t>
      </w:r>
      <w:r w:rsidR="00555AFB">
        <w:t>, которые несет страна,</w:t>
      </w:r>
      <w:r w:rsidR="002849D0">
        <w:t xml:space="preserve"> и </w:t>
      </w:r>
      <w:r>
        <w:t>возмещаемые МСЭ</w:t>
      </w:r>
      <w:r w:rsidR="002849D0" w:rsidRPr="003728ED">
        <w:t xml:space="preserve"> </w:t>
      </w:r>
      <w:r w:rsidR="002849D0">
        <w:t>расходы</w:t>
      </w:r>
      <w:r>
        <w:t xml:space="preserve">, </w:t>
      </w:r>
      <w:r w:rsidR="002849D0">
        <w:t xml:space="preserve">и </w:t>
      </w:r>
      <w:r>
        <w:t>при этом подчеркива</w:t>
      </w:r>
      <w:r w:rsidR="002849D0">
        <w:t xml:space="preserve">ется, что предпринимаются усилия </w:t>
      </w:r>
      <w:r w:rsidR="00C0490B">
        <w:t>для того</w:t>
      </w:r>
      <w:r w:rsidR="002849D0">
        <w:t>, чтобы уменьшить финансовое бремя и стимулировать более широкое участие</w:t>
      </w:r>
      <w:r>
        <w:t xml:space="preserve">. Эта система призвана </w:t>
      </w:r>
      <w:r w:rsidR="002849D0">
        <w:t xml:space="preserve">сделать весь процесс более справедливым, последовательным и предсказуемым, и ее предлагается использовать для организации конференций, </w:t>
      </w:r>
      <w:r>
        <w:t>начиная с 2031 года.</w:t>
      </w:r>
    </w:p>
    <w:p w14:paraId="64E020E8" w14:textId="27CEF181" w:rsidR="00325BFA" w:rsidRDefault="00325BFA" w:rsidP="005004A5">
      <w:pPr>
        <w:jc w:val="both"/>
      </w:pPr>
      <w:r>
        <w:t>1.3</w:t>
      </w:r>
      <w:r>
        <w:tab/>
        <w:t>Полномочная конференция (</w:t>
      </w:r>
      <w:r w:rsidR="002849D0">
        <w:t>ПК</w:t>
      </w:r>
      <w:r>
        <w:t>) остается высшим органом Международного союза электросвязи (</w:t>
      </w:r>
      <w:r w:rsidR="002849D0">
        <w:t>МСЭ</w:t>
      </w:r>
      <w:r>
        <w:t>), определяющим общую политику Союза, утверждающим его четырех</w:t>
      </w:r>
      <w:r w:rsidR="002849D0">
        <w:t xml:space="preserve">годичные </w:t>
      </w:r>
      <w:r>
        <w:t xml:space="preserve">стратегические и финансовые планы и избирающим его высшее руководство. </w:t>
      </w:r>
      <w:r w:rsidR="002849D0">
        <w:t>Начиная с</w:t>
      </w:r>
      <w:r>
        <w:t xml:space="preserve"> 1947 года </w:t>
      </w:r>
      <w:r w:rsidR="002849D0">
        <w:t>ПК</w:t>
      </w:r>
      <w:r>
        <w:t xml:space="preserve"> </w:t>
      </w:r>
      <w:r w:rsidR="002849D0">
        <w:t xml:space="preserve">являются </w:t>
      </w:r>
      <w:r>
        <w:t xml:space="preserve">ключевыми вехами в эволюции управления </w:t>
      </w:r>
      <w:r w:rsidR="00A37BE6">
        <w:t>электросвязью в глобальном масштабе</w:t>
      </w:r>
      <w:r>
        <w:t>.</w:t>
      </w:r>
    </w:p>
    <w:p w14:paraId="055B405F" w14:textId="02AF0B01" w:rsidR="00325BFA" w:rsidRDefault="00325BFA" w:rsidP="005004A5">
      <w:pPr>
        <w:jc w:val="both"/>
      </w:pPr>
      <w:r>
        <w:t>1.4</w:t>
      </w:r>
      <w:r>
        <w:tab/>
      </w:r>
      <w:r w:rsidR="00A37BE6">
        <w:t>Учитывая международный характер деятельности</w:t>
      </w:r>
      <w:r>
        <w:t xml:space="preserve"> МСЭ, каждая конференция проводится</w:t>
      </w:r>
      <w:r w:rsidR="00A37BE6">
        <w:t xml:space="preserve"> одним из Государств-Членов</w:t>
      </w:r>
      <w:r>
        <w:t>. Эта традиция позволила П</w:t>
      </w:r>
      <w:r w:rsidR="00A37BE6">
        <w:t>К</w:t>
      </w:r>
      <w:r>
        <w:t xml:space="preserve"> символически и практически отразить всеобъемлющий мандат Союза, а также повысить престиж и стратегическую значимость принимающей страны.</w:t>
      </w:r>
    </w:p>
    <w:p w14:paraId="0BD28C2A" w14:textId="3ECD7646" w:rsidR="00510F45" w:rsidRPr="00325BFA" w:rsidRDefault="00325BFA" w:rsidP="005004A5">
      <w:pPr>
        <w:jc w:val="both"/>
      </w:pPr>
      <w:r>
        <w:t>1.5</w:t>
      </w:r>
      <w:r>
        <w:tab/>
        <w:t xml:space="preserve">Необходимость обеспечения того, чтобы этот процесс </w:t>
      </w:r>
      <w:r w:rsidR="00EC6446">
        <w:t>был прозрачным и осуществлялся в установленные сро</w:t>
      </w:r>
      <w:r w:rsidR="00C0490B">
        <w:t>к</w:t>
      </w:r>
      <w:r w:rsidR="00EC6446">
        <w:t>и</w:t>
      </w:r>
      <w:r>
        <w:t>, была</w:t>
      </w:r>
      <w:r w:rsidR="00EC6446">
        <w:t xml:space="preserve"> однозначно</w:t>
      </w:r>
      <w:r>
        <w:t xml:space="preserve"> признана на самых высоких уровнях </w:t>
      </w:r>
      <w:r w:rsidR="00EC6446">
        <w:t>руководства Союзом</w:t>
      </w:r>
      <w:r>
        <w:t xml:space="preserve">. На </w:t>
      </w:r>
      <w:r w:rsidR="00EC6446">
        <w:t xml:space="preserve">сессии </w:t>
      </w:r>
      <w:r>
        <w:t xml:space="preserve">Совета 2025 года в ходе дебатов, предшествовавших голосованию по вопросу о проведении ВКР-27, </w:t>
      </w:r>
      <w:r w:rsidR="00EC6446">
        <w:t>Г</w:t>
      </w:r>
      <w:r>
        <w:t>осударства-</w:t>
      </w:r>
      <w:r w:rsidR="00EC6446">
        <w:t>Ч</w:t>
      </w:r>
      <w:r>
        <w:t xml:space="preserve">лены призвали </w:t>
      </w:r>
      <w:r w:rsidR="00EC6446">
        <w:t xml:space="preserve">обеспечить открытость и предсказуемость процесса направления приглашений и организации конференций </w:t>
      </w:r>
      <w:r>
        <w:t xml:space="preserve">и ассамблей. Со временем </w:t>
      </w:r>
      <w:r w:rsidR="00EC6446">
        <w:t>установился порядок, хотя и неофициальный, согласно которому такие мероприятия проводятся поочередно в разных регионах в порядке ротации.</w:t>
      </w:r>
      <w:r>
        <w:t xml:space="preserve"> Краткая информация о </w:t>
      </w:r>
      <w:r w:rsidR="00EC6446">
        <w:t xml:space="preserve">странах, принимавших прошлые и готовящихся принять будущие конференции, </w:t>
      </w:r>
      <w:r>
        <w:t xml:space="preserve">представлена в </w:t>
      </w:r>
      <w:r w:rsidR="00555AFB">
        <w:t>Приложении</w:t>
      </w:r>
      <w:r>
        <w:t>.</w:t>
      </w:r>
    </w:p>
    <w:p w14:paraId="2757DF3B" w14:textId="09FC68BC" w:rsidR="00510F45" w:rsidRPr="00325BFA" w:rsidRDefault="00D65CB4" w:rsidP="005004A5">
      <w:pPr>
        <w:pStyle w:val="Headingb"/>
      </w:pPr>
      <w:r>
        <w:t>Вопрос для рассмотрения</w:t>
      </w:r>
      <w:r w:rsidR="00510F45" w:rsidRPr="00325BFA">
        <w:t xml:space="preserve">: </w:t>
      </w:r>
      <w:r>
        <w:t>прозрачность, региональный баланс и благоприятные условия для более широкого участия в процессе отбора принимающих стран</w:t>
      </w:r>
    </w:p>
    <w:p w14:paraId="711BA835" w14:textId="46BFC82D" w:rsidR="00510F45" w:rsidRPr="00325BFA" w:rsidRDefault="00510F45" w:rsidP="005004A5">
      <w:pPr>
        <w:jc w:val="both"/>
      </w:pPr>
      <w:r w:rsidRPr="00325BFA">
        <w:t>1.6</w:t>
      </w:r>
      <w:r w:rsidRPr="00325BFA">
        <w:tab/>
      </w:r>
      <w:r w:rsidR="00555AFB">
        <w:t>Притом что</w:t>
      </w:r>
      <w:r w:rsidR="00D65CB4" w:rsidRPr="00D65CB4">
        <w:t xml:space="preserve"> </w:t>
      </w:r>
      <w:r w:rsidR="00D65CB4">
        <w:t>Государства-Члены в целом следуют практике проведения ПК в порядке ротации</w:t>
      </w:r>
      <w:r w:rsidR="00D65CB4" w:rsidRPr="00D65CB4">
        <w:t>, последние циклы указывают на необходимость более структурированного и прозрачного процесса, в котором должным образом учитыва</w:t>
      </w:r>
      <w:r w:rsidR="00D65CB4">
        <w:t>ю</w:t>
      </w:r>
      <w:r w:rsidR="00D65CB4" w:rsidRPr="00D65CB4">
        <w:t>тся географический баланс между регионами</w:t>
      </w:r>
      <w:r w:rsidR="00D65CB4">
        <w:t xml:space="preserve"> и необходимость обеспечить равенство их возможностей</w:t>
      </w:r>
      <w:r w:rsidRPr="00325BFA">
        <w:t>.</w:t>
      </w:r>
    </w:p>
    <w:p w14:paraId="4D10E7EC" w14:textId="6BAAF082" w:rsidR="00510F45" w:rsidRPr="00325BFA" w:rsidRDefault="00510F45" w:rsidP="005004A5">
      <w:pPr>
        <w:jc w:val="both"/>
      </w:pPr>
      <w:r w:rsidRPr="00325BFA">
        <w:t>1.7</w:t>
      </w:r>
      <w:r w:rsidRPr="00325BFA">
        <w:tab/>
      </w:r>
      <w:r w:rsidR="00555AFB">
        <w:t xml:space="preserve">Необходимо отметить </w:t>
      </w:r>
      <w:r w:rsidR="00D65CB4">
        <w:t>следующ</w:t>
      </w:r>
      <w:r w:rsidR="00555AFB">
        <w:t>ие моменты.</w:t>
      </w:r>
    </w:p>
    <w:p w14:paraId="4F4B5D03" w14:textId="6F72916D" w:rsidR="00F4004C" w:rsidRDefault="00510F45" w:rsidP="005004A5">
      <w:pPr>
        <w:pStyle w:val="enumlev1"/>
        <w:jc w:val="both"/>
      </w:pPr>
      <w:r w:rsidRPr="00325BFA">
        <w:tab/>
      </w:r>
      <w:r w:rsidR="00F4004C">
        <w:t>Отбор принимающей страны не проводится в порядке открытого для всех Государств-Членов и ограниченного по срокам конкурса, в рамках которого странам направляются запросы на выражение заинтересованности.</w:t>
      </w:r>
    </w:p>
    <w:p w14:paraId="193C2884" w14:textId="18CE4C42" w:rsidR="00F4004C" w:rsidRDefault="00F4004C" w:rsidP="005004A5">
      <w:pPr>
        <w:pStyle w:val="enumlev1"/>
        <w:jc w:val="both"/>
      </w:pPr>
      <w:r>
        <w:tab/>
      </w:r>
      <w:r w:rsidR="00A31C98">
        <w:t xml:space="preserve">Процедурами Союза не предусмотрено какого-либо </w:t>
      </w:r>
      <w:r>
        <w:t xml:space="preserve">официального механизма, который обеспечивал бы предсказуемую или справедливую </w:t>
      </w:r>
      <w:r w:rsidR="00A31C98">
        <w:t xml:space="preserve">для всех регионов </w:t>
      </w:r>
      <w:r>
        <w:lastRenderedPageBreak/>
        <w:t xml:space="preserve">последовательность </w:t>
      </w:r>
      <w:r w:rsidR="00A31C98">
        <w:t>отбора принимающих стран</w:t>
      </w:r>
      <w:r>
        <w:t>, и Секретариат прилагает усилия для решения этой проблемы.</w:t>
      </w:r>
    </w:p>
    <w:p w14:paraId="33EAFD10" w14:textId="3764EAC4" w:rsidR="00F4004C" w:rsidRDefault="00F4004C" w:rsidP="005004A5">
      <w:pPr>
        <w:pStyle w:val="enumlev1"/>
        <w:jc w:val="both"/>
      </w:pPr>
      <w:r>
        <w:tab/>
        <w:t xml:space="preserve">Отсутствие четкого </w:t>
      </w:r>
      <w:r w:rsidR="00ED018E">
        <w:t>порядка</w:t>
      </w:r>
      <w:r w:rsidR="00ED018E" w:rsidRPr="0018183C">
        <w:t xml:space="preserve">, устанавливающего сроки </w:t>
      </w:r>
      <w:r w:rsidRPr="0018183C">
        <w:t>подачи заявок</w:t>
      </w:r>
      <w:r w:rsidR="00ED018E" w:rsidRPr="0018183C">
        <w:t>,</w:t>
      </w:r>
      <w:r w:rsidRPr="0018183C">
        <w:t xml:space="preserve"> и</w:t>
      </w:r>
      <w:r>
        <w:t xml:space="preserve"> обратной связи с кандидатами, не прошедшими отбор, может с</w:t>
      </w:r>
      <w:r w:rsidR="00ED018E">
        <w:t>делать процесс менее предсказуемым</w:t>
      </w:r>
      <w:r>
        <w:t xml:space="preserve"> и </w:t>
      </w:r>
      <w:r w:rsidR="00ED018E">
        <w:t xml:space="preserve">не способствовать </w:t>
      </w:r>
      <w:r>
        <w:t>более широкому участию в будущем.</w:t>
      </w:r>
    </w:p>
    <w:p w14:paraId="58FB0FA0" w14:textId="3256E810" w:rsidR="00F4004C" w:rsidRDefault="00F4004C" w:rsidP="005004A5">
      <w:pPr>
        <w:pStyle w:val="enumlev1"/>
        <w:jc w:val="both"/>
      </w:pPr>
      <w:r>
        <w:tab/>
      </w:r>
      <w:r w:rsidR="00ED018E">
        <w:t xml:space="preserve">В некоторых регионах Полномочная конференция не проводилась уже </w:t>
      </w:r>
      <w:r>
        <w:t>более двух десятилетий.</w:t>
      </w:r>
    </w:p>
    <w:p w14:paraId="48F56174" w14:textId="5D78914B" w:rsidR="00510F45" w:rsidRPr="00325BFA" w:rsidRDefault="00F4004C" w:rsidP="005004A5">
      <w:pPr>
        <w:pStyle w:val="enumlev1"/>
        <w:jc w:val="both"/>
      </w:pPr>
      <w:r>
        <w:tab/>
        <w:t>Например, в Африканск</w:t>
      </w:r>
      <w:r w:rsidR="00ED018E">
        <w:t xml:space="preserve">ом регионе </w:t>
      </w:r>
      <w:r>
        <w:t xml:space="preserve">были проведены только две полномочные конференции </w:t>
      </w:r>
      <w:r w:rsidR="003F1F0B">
        <w:rPr>
          <w:rFonts w:cs="Calibri"/>
        </w:rPr>
        <w:t>−</w:t>
      </w:r>
      <w:r>
        <w:t xml:space="preserve"> в 1982 году (</w:t>
      </w:r>
      <w:r w:rsidR="00C0490B">
        <w:t xml:space="preserve">в </w:t>
      </w:r>
      <w:r>
        <w:t>Найроби) и в 2002 году (</w:t>
      </w:r>
      <w:r w:rsidR="00C0490B">
        <w:t xml:space="preserve">в </w:t>
      </w:r>
      <w:r>
        <w:t>Марракеш</w:t>
      </w:r>
      <w:r w:rsidR="00C0490B">
        <w:t>е</w:t>
      </w:r>
      <w:r>
        <w:t xml:space="preserve">). </w:t>
      </w:r>
      <w:r w:rsidR="00ED018E">
        <w:t>В то же время</w:t>
      </w:r>
      <w:r>
        <w:t>, с 1947</w:t>
      </w:r>
      <w:r w:rsidR="00ED018E">
        <w:t> </w:t>
      </w:r>
      <w:r>
        <w:t xml:space="preserve">года </w:t>
      </w:r>
      <w:r w:rsidR="00ED018E">
        <w:t xml:space="preserve">европейские страны принимали </w:t>
      </w:r>
      <w:r>
        <w:t xml:space="preserve">конференцию семь раз, а </w:t>
      </w:r>
      <w:r w:rsidR="00ED018E">
        <w:t xml:space="preserve">страны Северной и Южной Америки – четыре </w:t>
      </w:r>
      <w:r>
        <w:t xml:space="preserve">раза. Как и </w:t>
      </w:r>
      <w:r w:rsidR="00ED018E">
        <w:t>африканские страны</w:t>
      </w:r>
      <w:r>
        <w:t xml:space="preserve">, </w:t>
      </w:r>
      <w:r w:rsidR="00ED018E">
        <w:t xml:space="preserve">государства </w:t>
      </w:r>
      <w:r>
        <w:t>Азиатско-Тихоокеанск</w:t>
      </w:r>
      <w:r w:rsidR="00ED018E">
        <w:t>ого и Арабского регионов</w:t>
      </w:r>
      <w:r>
        <w:t xml:space="preserve"> </w:t>
      </w:r>
      <w:r w:rsidR="00ED018E">
        <w:t xml:space="preserve">проводили конференцию </w:t>
      </w:r>
      <w:r>
        <w:t xml:space="preserve">дважды, </w:t>
      </w:r>
      <w:r w:rsidR="00ED018E">
        <w:t>но важное различие заключается в том</w:t>
      </w:r>
      <w:r>
        <w:t>, что ко времени проведения Конференции в Дохе в 2026</w:t>
      </w:r>
      <w:r w:rsidR="00ED018E">
        <w:t> </w:t>
      </w:r>
      <w:r>
        <w:t>году пройдет двадцать четыре года с момента последней конференции</w:t>
      </w:r>
      <w:r w:rsidR="00ED018E">
        <w:t xml:space="preserve"> в Африке</w:t>
      </w:r>
      <w:r>
        <w:t xml:space="preserve">, несмотря на то что </w:t>
      </w:r>
      <w:r w:rsidR="00ED018E">
        <w:t xml:space="preserve">в этом регионе находятся </w:t>
      </w:r>
      <w:r>
        <w:t xml:space="preserve">54 </w:t>
      </w:r>
      <w:r w:rsidR="00ED018E">
        <w:t>Государства</w:t>
      </w:r>
      <w:r w:rsidR="0018183C" w:rsidRPr="003728ED">
        <w:t xml:space="preserve"> </w:t>
      </w:r>
      <w:r w:rsidR="002C5221">
        <w:rPr>
          <w:rFonts w:cs="Calibri"/>
        </w:rPr>
        <w:t>−</w:t>
      </w:r>
      <w:r w:rsidR="0018183C" w:rsidRPr="003728ED">
        <w:t xml:space="preserve"> </w:t>
      </w:r>
      <w:r w:rsidR="00ED018E">
        <w:t xml:space="preserve">Члена </w:t>
      </w:r>
      <w:r>
        <w:t xml:space="preserve">МСЭ и </w:t>
      </w:r>
      <w:r w:rsidR="00ED018E">
        <w:t xml:space="preserve">ему принадлежат </w:t>
      </w:r>
      <w:r>
        <w:t>13 мест в Совете.</w:t>
      </w:r>
    </w:p>
    <w:p w14:paraId="08A87D54" w14:textId="7C8690AD" w:rsidR="00510F45" w:rsidRPr="00325BFA" w:rsidRDefault="00510F45" w:rsidP="005004A5">
      <w:pPr>
        <w:jc w:val="both"/>
      </w:pPr>
      <w:r w:rsidRPr="00325BFA">
        <w:t>1.8</w:t>
      </w:r>
      <w:r w:rsidRPr="00325BFA">
        <w:tab/>
      </w:r>
      <w:r w:rsidR="00E83CCE" w:rsidRPr="00E83CCE">
        <w:t>Общепризнано, что выбор принимающих стран</w:t>
      </w:r>
      <w:r w:rsidR="00E83CCE">
        <w:t xml:space="preserve"> определяется рядом </w:t>
      </w:r>
      <w:r w:rsidR="00E83CCE" w:rsidRPr="00E83CCE">
        <w:t xml:space="preserve">практических соображений, включая инфраструктуру, финансовые обязательства и выражение заинтересованности </w:t>
      </w:r>
      <w:r w:rsidR="00E83CCE">
        <w:t>Г</w:t>
      </w:r>
      <w:r w:rsidR="00E83CCE" w:rsidRPr="00E83CCE">
        <w:t>осударствами-</w:t>
      </w:r>
      <w:r w:rsidR="00E83CCE">
        <w:t>Ч</w:t>
      </w:r>
      <w:r w:rsidR="00E83CCE" w:rsidRPr="00E83CCE">
        <w:t xml:space="preserve">ленами. Тем не менее, </w:t>
      </w:r>
      <w:r w:rsidR="00E83CCE">
        <w:t xml:space="preserve">создание условий и </w:t>
      </w:r>
      <w:r w:rsidR="00E83CCE" w:rsidRPr="00E83CCE">
        <w:t xml:space="preserve">возможностей для более широкого участия в </w:t>
      </w:r>
      <w:r w:rsidR="00E83CCE">
        <w:t xml:space="preserve">процессе </w:t>
      </w:r>
      <w:r w:rsidR="00E83CCE" w:rsidRPr="00E83CCE">
        <w:t>проведени</w:t>
      </w:r>
      <w:r w:rsidR="00E83CCE">
        <w:t>я</w:t>
      </w:r>
      <w:r w:rsidR="00E83CCE" w:rsidRPr="00E83CCE">
        <w:t xml:space="preserve"> </w:t>
      </w:r>
      <w:r w:rsidR="0018183C">
        <w:t>собраний</w:t>
      </w:r>
      <w:r w:rsidR="00E83CCE" w:rsidRPr="00E83CCE">
        <w:t xml:space="preserve"> высокого уровня соответствует принципам справедливости, инклюзивности и глобального</w:t>
      </w:r>
      <w:r w:rsidR="00E83CCE">
        <w:t xml:space="preserve"> </w:t>
      </w:r>
      <w:r w:rsidR="0018183C">
        <w:t>взаимодействия</w:t>
      </w:r>
      <w:r w:rsidR="00E83CCE" w:rsidRPr="00E83CCE">
        <w:t>, которые лежат в основе работы МСЭ</w:t>
      </w:r>
      <w:r w:rsidRPr="00325BFA">
        <w:t>.</w:t>
      </w:r>
    </w:p>
    <w:p w14:paraId="42DCBF5B" w14:textId="3DA57F04" w:rsidR="00510F45" w:rsidRPr="005004A5" w:rsidRDefault="00510F45" w:rsidP="005004A5">
      <w:pPr>
        <w:pStyle w:val="Heading1"/>
      </w:pPr>
      <w:r w:rsidRPr="00325BFA">
        <w:t>2</w:t>
      </w:r>
      <w:r w:rsidRPr="00325BFA">
        <w:tab/>
      </w:r>
      <w:r w:rsidR="00E83CCE">
        <w:t>Предложение</w:t>
      </w:r>
    </w:p>
    <w:p w14:paraId="29A5D69C" w14:textId="1F2A29AB" w:rsidR="00510F45" w:rsidRPr="00325BFA" w:rsidRDefault="00510F45" w:rsidP="005004A5">
      <w:pPr>
        <w:jc w:val="both"/>
      </w:pPr>
      <w:r w:rsidRPr="00325BFA">
        <w:t>2.1</w:t>
      </w:r>
      <w:r w:rsidRPr="00325BFA">
        <w:tab/>
      </w:r>
      <w:r w:rsidR="00E83CCE">
        <w:t xml:space="preserve">В свете вышеизложенного и полностью принимая во внимание прерогативы </w:t>
      </w:r>
      <w:r w:rsidR="00E83CCE" w:rsidRPr="00E83CCE">
        <w:t>Совета МСЭ</w:t>
      </w:r>
      <w:r w:rsidR="00E83CCE">
        <w:t xml:space="preserve">, </w:t>
      </w:r>
      <w:r w:rsidR="0018183C">
        <w:t xml:space="preserve">предлагаем </w:t>
      </w:r>
      <w:r w:rsidR="00E83CCE">
        <w:t>Совету рассмотреть следующие вопросы</w:t>
      </w:r>
      <w:r w:rsidRPr="00325BFA">
        <w:t>:</w:t>
      </w:r>
    </w:p>
    <w:p w14:paraId="2794185B" w14:textId="35BE3259" w:rsidR="00BC4160" w:rsidRDefault="00510F45" w:rsidP="005004A5">
      <w:pPr>
        <w:pStyle w:val="enumlev1"/>
        <w:jc w:val="both"/>
      </w:pPr>
      <w:r w:rsidRPr="00951C0A">
        <w:t>2.1.1</w:t>
      </w:r>
      <w:r w:rsidRPr="00951C0A">
        <w:tab/>
      </w:r>
      <w:r w:rsidR="00BC4160" w:rsidRPr="00951C0A">
        <w:t>ввести открыт</w:t>
      </w:r>
      <w:r w:rsidR="00951C0A">
        <w:t xml:space="preserve">ую для всех процедуру ограниченного по срокам приема заявок на проведение </w:t>
      </w:r>
      <w:r w:rsidR="00BC4160" w:rsidRPr="00951C0A">
        <w:t>Полномочной конференции и других крупных</w:t>
      </w:r>
      <w:r w:rsidR="00951C0A">
        <w:t xml:space="preserve"> предусмотренных </w:t>
      </w:r>
      <w:r w:rsidR="0018183C">
        <w:t xml:space="preserve">Уставом </w:t>
      </w:r>
      <w:r w:rsidR="00951C0A">
        <w:t>собраний</w:t>
      </w:r>
      <w:r w:rsidR="00BC4160" w:rsidRPr="00951C0A">
        <w:t xml:space="preserve">, при этом сроки и критерии должны </w:t>
      </w:r>
      <w:r w:rsidR="00C0490B">
        <w:t>заблаговременно</w:t>
      </w:r>
      <w:r w:rsidR="00951C0A">
        <w:t xml:space="preserve"> и четко доводиться до сведения Государств-Членов</w:t>
      </w:r>
      <w:r w:rsidR="00BC4160" w:rsidRPr="00951C0A">
        <w:t>, чтобы они могли подготовить предложения принимающей страны в соответствии с их национальными циклами планирования и составления бюджета;</w:t>
      </w:r>
    </w:p>
    <w:p w14:paraId="77771BB8" w14:textId="568C5474" w:rsidR="00BC4160" w:rsidRDefault="00BC4160" w:rsidP="005004A5">
      <w:pPr>
        <w:pStyle w:val="enumlev1"/>
        <w:jc w:val="both"/>
      </w:pPr>
      <w:r>
        <w:t>2.1.2</w:t>
      </w:r>
      <w:r>
        <w:tab/>
        <w:t xml:space="preserve">утвердить региональную ротацию в качестве </w:t>
      </w:r>
      <w:r w:rsidR="00951C0A">
        <w:t xml:space="preserve">одного из основных критериев выбора </w:t>
      </w:r>
      <w:r>
        <w:t xml:space="preserve">принимающей </w:t>
      </w:r>
      <w:r w:rsidR="00951C0A">
        <w:t>страны</w:t>
      </w:r>
      <w:r>
        <w:t xml:space="preserve">, последовательно применяемого в течение последовательных циклов для обеспечения равных возможностей </w:t>
      </w:r>
      <w:r w:rsidR="00951C0A">
        <w:t>регионов</w:t>
      </w:r>
      <w:r>
        <w:t>;</w:t>
      </w:r>
    </w:p>
    <w:p w14:paraId="2F6F58AE" w14:textId="6090BCFB" w:rsidR="00BC4160" w:rsidRDefault="00BC4160" w:rsidP="005004A5">
      <w:pPr>
        <w:pStyle w:val="enumlev1"/>
        <w:jc w:val="both"/>
      </w:pPr>
      <w:r>
        <w:t>2.1.3</w:t>
      </w:r>
      <w:r>
        <w:tab/>
        <w:t xml:space="preserve">поощрять </w:t>
      </w:r>
      <w:r w:rsidR="00951C0A">
        <w:t xml:space="preserve">подачу заявок недостаточно представленными регионами </w:t>
      </w:r>
      <w:r>
        <w:t xml:space="preserve">в соответствии с </w:t>
      </w:r>
      <w:r w:rsidR="000A1664">
        <w:t xml:space="preserve">установленными Союзом </w:t>
      </w:r>
      <w:r>
        <w:t>целями развития</w:t>
      </w:r>
      <w:r w:rsidR="000A1664">
        <w:t xml:space="preserve">, с тем чтобы обеспечить </w:t>
      </w:r>
      <w:r w:rsidR="0018183C">
        <w:t xml:space="preserve">более широкое равенство и институциональный охват </w:t>
      </w:r>
      <w:r w:rsidR="000A1664">
        <w:t xml:space="preserve">в </w:t>
      </w:r>
      <w:r w:rsidR="0018183C">
        <w:t>сфере</w:t>
      </w:r>
      <w:r w:rsidR="000A1664">
        <w:t xml:space="preserve"> ИКТ</w:t>
      </w:r>
      <w:r>
        <w:t>;</w:t>
      </w:r>
    </w:p>
    <w:p w14:paraId="5DA9E858" w14:textId="2BAED708" w:rsidR="00BC4160" w:rsidRDefault="00BC4160" w:rsidP="005004A5">
      <w:pPr>
        <w:pStyle w:val="enumlev1"/>
        <w:jc w:val="both"/>
      </w:pPr>
      <w:r>
        <w:t>2.1.4</w:t>
      </w:r>
      <w:r>
        <w:tab/>
        <w:t>мы считаем, что в совокупности эти меры повысят прозрачность,</w:t>
      </w:r>
      <w:r w:rsidR="00C0490B">
        <w:t xml:space="preserve"> </w:t>
      </w:r>
      <w:r w:rsidR="000A1664">
        <w:t xml:space="preserve">будут способствовать более активному участию регионов и </w:t>
      </w:r>
      <w:r>
        <w:t>обеспечат более равномерное распределение выгод</w:t>
      </w:r>
      <w:r w:rsidR="000A1664">
        <w:t>, получаемых принимающими странами</w:t>
      </w:r>
      <w:r>
        <w:t>;</w:t>
      </w:r>
    </w:p>
    <w:p w14:paraId="5A436FB4" w14:textId="62262A24" w:rsidR="00BC4160" w:rsidRDefault="00BC4160" w:rsidP="005004A5">
      <w:pPr>
        <w:pStyle w:val="enumlev1"/>
        <w:jc w:val="both"/>
      </w:pPr>
      <w:r>
        <w:t>2.1.5</w:t>
      </w:r>
      <w:r>
        <w:tab/>
        <w:t xml:space="preserve">сделать доступной через веб-портал всю необходимую практическую информацию, касающуюся обязательств принимающей страны, </w:t>
      </w:r>
      <w:r w:rsidR="000A1664">
        <w:t xml:space="preserve">стандартных </w:t>
      </w:r>
      <w:r>
        <w:t xml:space="preserve">компонентов затрат, полученных официальных приглашений и других </w:t>
      </w:r>
      <w:r w:rsidR="000A1664">
        <w:t xml:space="preserve">руководящих </w:t>
      </w:r>
      <w:r>
        <w:t>указаний</w:t>
      </w:r>
      <w:r w:rsidR="000A1664">
        <w:t xml:space="preserve"> по процедурным вопросам</w:t>
      </w:r>
      <w:r>
        <w:t xml:space="preserve">, с целью повышения прозрачности и </w:t>
      </w:r>
      <w:r w:rsidR="000A1664">
        <w:t xml:space="preserve">стимулирования </w:t>
      </w:r>
      <w:r>
        <w:t>осознанного участия</w:t>
      </w:r>
      <w:r w:rsidR="000A1664" w:rsidRPr="003728ED">
        <w:t>;</w:t>
      </w:r>
    </w:p>
    <w:p w14:paraId="68213045" w14:textId="4AF18B64" w:rsidR="00BC4160" w:rsidRPr="00F50D6D" w:rsidRDefault="00BC4160" w:rsidP="005004A5">
      <w:pPr>
        <w:pStyle w:val="enumlev1"/>
        <w:jc w:val="both"/>
      </w:pPr>
      <w:r>
        <w:t>2.1.6</w:t>
      </w:r>
      <w:r>
        <w:tab/>
        <w:t xml:space="preserve">содействовать принятию мер по снижению финансовой и операционной нагрузки на принимающие страны, включая, при необходимости, использование местного </w:t>
      </w:r>
      <w:r>
        <w:lastRenderedPageBreak/>
        <w:t xml:space="preserve">профессионального потенциала, инструментов дистанционного участия, решений для цифровой регистрации и аккредитации, а также </w:t>
      </w:r>
      <w:r w:rsidR="00F50D6D">
        <w:t xml:space="preserve">местной </w:t>
      </w:r>
      <w:r>
        <w:t>совместимой технической инфраструктуры</w:t>
      </w:r>
      <w:r w:rsidR="00F50D6D" w:rsidRPr="003728ED">
        <w:t>;</w:t>
      </w:r>
    </w:p>
    <w:p w14:paraId="50522CB3" w14:textId="2F7D60DB" w:rsidR="00510F45" w:rsidRPr="00325BFA" w:rsidRDefault="00BC4160" w:rsidP="005004A5">
      <w:pPr>
        <w:pStyle w:val="enumlev1"/>
        <w:jc w:val="both"/>
      </w:pPr>
      <w:r>
        <w:t>2.1.7</w:t>
      </w:r>
      <w:r>
        <w:tab/>
      </w:r>
      <w:r w:rsidR="00F50D6D">
        <w:t xml:space="preserve">обеспечить надлежащую </w:t>
      </w:r>
      <w:r>
        <w:t xml:space="preserve">обратную связь </w:t>
      </w:r>
      <w:r w:rsidR="00F50D6D">
        <w:t>с кандидатами</w:t>
      </w:r>
      <w:r>
        <w:t>, не прошедшим</w:t>
      </w:r>
      <w:r w:rsidR="00F50D6D">
        <w:t>и</w:t>
      </w:r>
      <w:r>
        <w:t xml:space="preserve"> отбор, с </w:t>
      </w:r>
      <w:r w:rsidR="00F50D6D">
        <w:t>тем чтобы в будущем заявки составлялись более эффективно и качественно, и чтобы стимулировать недостаточно представленные регионы к тому, чтобы продолжать участвовать в этом процессе</w:t>
      </w:r>
      <w:r>
        <w:t>.</w:t>
      </w:r>
    </w:p>
    <w:p w14:paraId="3C1AB194" w14:textId="77777777" w:rsidR="002C5221" w:rsidRDefault="00BC4160" w:rsidP="002C5221">
      <w:pPr>
        <w:pStyle w:val="Normalaftertitle"/>
        <w:spacing w:before="1440"/>
      </w:pPr>
      <w:r>
        <w:rPr>
          <w:b/>
          <w:bCs/>
        </w:rPr>
        <w:t>Приложение</w:t>
      </w:r>
      <w:r w:rsidR="00510F45" w:rsidRPr="00325BFA">
        <w:rPr>
          <w:b/>
          <w:bCs/>
        </w:rPr>
        <w:t>:</w:t>
      </w:r>
      <w:r w:rsidR="00510F45" w:rsidRPr="00325BFA">
        <w:t xml:space="preserve"> 1</w:t>
      </w:r>
    </w:p>
    <w:p w14:paraId="7B89A56B" w14:textId="77F9901D" w:rsidR="00510F45" w:rsidRPr="00325BFA" w:rsidRDefault="00510F45" w:rsidP="002C5221">
      <w:pPr>
        <w:pStyle w:val="Normalaftertitle"/>
        <w:spacing w:before="120"/>
        <w:rPr>
          <w:rFonts w:eastAsia="Calibri"/>
        </w:rPr>
      </w:pPr>
      <w:r w:rsidRPr="00325BFA">
        <w:rPr>
          <w:rFonts w:eastAsia="Calibri"/>
        </w:rPr>
        <w:br w:type="page"/>
      </w:r>
    </w:p>
    <w:p w14:paraId="6A9BE444" w14:textId="3007FD1B" w:rsidR="00510F45" w:rsidRPr="00325BFA" w:rsidRDefault="00C7560A" w:rsidP="00510F45">
      <w:pPr>
        <w:pStyle w:val="AnnexNo"/>
      </w:pPr>
      <w:r>
        <w:lastRenderedPageBreak/>
        <w:t>ПРИЛОЖЕНИЕ</w:t>
      </w:r>
    </w:p>
    <w:p w14:paraId="79910234" w14:textId="3952253E" w:rsidR="00510F45" w:rsidRPr="00325BFA" w:rsidRDefault="003312E4" w:rsidP="00510F45">
      <w:pPr>
        <w:pStyle w:val="Annextitle"/>
      </w:pPr>
      <w:r>
        <w:t>Хронология</w:t>
      </w:r>
      <w:r w:rsidR="00C7560A">
        <w:t xml:space="preserve"> проведения полномочных конференций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2"/>
        <w:gridCol w:w="2013"/>
        <w:gridCol w:w="4926"/>
      </w:tblGrid>
      <w:tr w:rsidR="00510F45" w:rsidRPr="00325BFA" w14:paraId="77A13299" w14:textId="77777777" w:rsidTr="00C7560A">
        <w:trPr>
          <w:trHeight w:val="340"/>
        </w:trPr>
        <w:tc>
          <w:tcPr>
            <w:tcW w:w="1171" w:type="pct"/>
            <w:hideMark/>
          </w:tcPr>
          <w:p w14:paraId="4B0E8E9C" w14:textId="3551F0B2" w:rsidR="00510F45" w:rsidRPr="00325BFA" w:rsidRDefault="00C7560A" w:rsidP="00017051">
            <w:pPr>
              <w:pStyle w:val="Tablehead"/>
              <w:rPr>
                <w:lang w:eastAsia="en-GB"/>
              </w:rPr>
            </w:pPr>
            <w:r>
              <w:rPr>
                <w:lang w:eastAsia="en-GB"/>
              </w:rPr>
              <w:t>Регион</w:t>
            </w:r>
          </w:p>
        </w:tc>
        <w:tc>
          <w:tcPr>
            <w:tcW w:w="1111" w:type="pct"/>
            <w:hideMark/>
          </w:tcPr>
          <w:p w14:paraId="0881CB1F" w14:textId="6DCF7AAA" w:rsidR="00510F45" w:rsidRPr="00325BFA" w:rsidRDefault="00C7560A" w:rsidP="00017051">
            <w:pPr>
              <w:pStyle w:val="Tablehead"/>
              <w:rPr>
                <w:lang w:eastAsia="en-GB"/>
              </w:rPr>
            </w:pPr>
            <w:r>
              <w:rPr>
                <w:lang w:eastAsia="en-GB"/>
              </w:rPr>
              <w:t>Число организованных ПК</w:t>
            </w:r>
          </w:p>
        </w:tc>
        <w:tc>
          <w:tcPr>
            <w:tcW w:w="2718" w:type="pct"/>
            <w:hideMark/>
          </w:tcPr>
          <w:p w14:paraId="765A0C92" w14:textId="34D6A927" w:rsidR="00510F45" w:rsidRPr="00325BFA" w:rsidRDefault="00C7560A" w:rsidP="00017051">
            <w:pPr>
              <w:pStyle w:val="Tablehead"/>
              <w:rPr>
                <w:lang w:eastAsia="en-GB"/>
              </w:rPr>
            </w:pPr>
            <w:r>
              <w:rPr>
                <w:lang w:eastAsia="en-GB"/>
              </w:rPr>
              <w:t>Годы</w:t>
            </w:r>
            <w:r w:rsidR="00510F45" w:rsidRPr="00325BFA">
              <w:rPr>
                <w:lang w:eastAsia="en-GB"/>
              </w:rPr>
              <w:t xml:space="preserve"> – </w:t>
            </w:r>
            <w:r>
              <w:rPr>
                <w:lang w:eastAsia="en-GB"/>
              </w:rPr>
              <w:t>места проведения</w:t>
            </w:r>
          </w:p>
        </w:tc>
      </w:tr>
      <w:tr w:rsidR="00510F45" w:rsidRPr="00325BFA" w14:paraId="72844396" w14:textId="77777777" w:rsidTr="00C7560A">
        <w:trPr>
          <w:trHeight w:val="1700"/>
        </w:trPr>
        <w:tc>
          <w:tcPr>
            <w:tcW w:w="1171" w:type="pct"/>
            <w:hideMark/>
          </w:tcPr>
          <w:p w14:paraId="7E1F17A2" w14:textId="0880ED94" w:rsidR="00510F45" w:rsidRPr="00325BFA" w:rsidRDefault="00C7560A" w:rsidP="00017051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Европа</w:t>
            </w:r>
            <w:r w:rsidR="00510F45" w:rsidRPr="00325BFA">
              <w:rPr>
                <w:lang w:eastAsia="en-GB"/>
              </w:rPr>
              <w:t xml:space="preserve"> (</w:t>
            </w:r>
            <w:r>
              <w:rPr>
                <w:lang w:eastAsia="en-GB"/>
              </w:rPr>
              <w:t>СЕПТ</w:t>
            </w:r>
            <w:r w:rsidR="00510F45" w:rsidRPr="00325BFA">
              <w:rPr>
                <w:lang w:eastAsia="en-GB"/>
              </w:rPr>
              <w:t>)</w:t>
            </w:r>
          </w:p>
        </w:tc>
        <w:tc>
          <w:tcPr>
            <w:tcW w:w="1111" w:type="pct"/>
            <w:hideMark/>
          </w:tcPr>
          <w:p w14:paraId="09DA8C07" w14:textId="77777777" w:rsidR="00510F45" w:rsidRPr="00325BFA" w:rsidRDefault="00510F45" w:rsidP="00017051">
            <w:pPr>
              <w:pStyle w:val="Tabletext"/>
              <w:jc w:val="center"/>
              <w:rPr>
                <w:lang w:eastAsia="en-GB"/>
              </w:rPr>
            </w:pPr>
            <w:r w:rsidRPr="00325BFA">
              <w:rPr>
                <w:lang w:eastAsia="en-GB"/>
              </w:rPr>
              <w:t>7</w:t>
            </w:r>
          </w:p>
        </w:tc>
        <w:tc>
          <w:tcPr>
            <w:tcW w:w="2718" w:type="pct"/>
            <w:hideMark/>
          </w:tcPr>
          <w:p w14:paraId="203AAADB" w14:textId="0A6C7874" w:rsidR="00510F45" w:rsidRPr="00325BFA" w:rsidRDefault="00510F45" w:rsidP="00017051">
            <w:pPr>
              <w:pStyle w:val="Tabletext"/>
              <w:rPr>
                <w:lang w:eastAsia="en-GB"/>
              </w:rPr>
            </w:pPr>
            <w:r w:rsidRPr="00325BFA">
              <w:rPr>
                <w:lang w:eastAsia="en-GB"/>
              </w:rPr>
              <w:t xml:space="preserve">1959 – </w:t>
            </w:r>
            <w:r w:rsidR="00C7560A">
              <w:rPr>
                <w:lang w:eastAsia="en-GB"/>
              </w:rPr>
              <w:t>Женева, Швейцария</w:t>
            </w:r>
          </w:p>
          <w:p w14:paraId="05B963E3" w14:textId="1BCFBEF8" w:rsidR="00510F45" w:rsidRPr="00325BFA" w:rsidRDefault="00510F45" w:rsidP="00017051">
            <w:pPr>
              <w:pStyle w:val="Tabletext"/>
              <w:rPr>
                <w:lang w:eastAsia="en-GB"/>
              </w:rPr>
            </w:pPr>
            <w:r w:rsidRPr="00325BFA">
              <w:rPr>
                <w:lang w:eastAsia="en-GB"/>
              </w:rPr>
              <w:t xml:space="preserve">1965 – </w:t>
            </w:r>
            <w:r w:rsidR="00C7560A">
              <w:rPr>
                <w:lang w:eastAsia="en-GB"/>
              </w:rPr>
              <w:t>Монтрё</w:t>
            </w:r>
            <w:r w:rsidRPr="00325BFA">
              <w:rPr>
                <w:lang w:eastAsia="en-GB"/>
              </w:rPr>
              <w:t xml:space="preserve">, </w:t>
            </w:r>
            <w:r w:rsidR="00C7560A">
              <w:rPr>
                <w:lang w:eastAsia="en-GB"/>
              </w:rPr>
              <w:t>Швейцария</w:t>
            </w:r>
          </w:p>
          <w:p w14:paraId="3439A427" w14:textId="7A32D042" w:rsidR="00510F45" w:rsidRPr="00325BFA" w:rsidRDefault="00510F45" w:rsidP="00017051">
            <w:pPr>
              <w:pStyle w:val="Tabletext"/>
              <w:rPr>
                <w:lang w:eastAsia="en-GB"/>
              </w:rPr>
            </w:pPr>
            <w:r w:rsidRPr="00325BFA">
              <w:rPr>
                <w:lang w:eastAsia="en-GB"/>
              </w:rPr>
              <w:t xml:space="preserve">1973 – </w:t>
            </w:r>
            <w:r w:rsidR="00C7560A">
              <w:rPr>
                <w:lang w:eastAsia="en-GB"/>
              </w:rPr>
              <w:t>Малага-Торремолинос, Испания</w:t>
            </w:r>
          </w:p>
          <w:p w14:paraId="225B37D9" w14:textId="1A4F200E" w:rsidR="00510F45" w:rsidRPr="00325BFA" w:rsidRDefault="00510F45" w:rsidP="00017051">
            <w:pPr>
              <w:pStyle w:val="Tabletext"/>
              <w:rPr>
                <w:lang w:eastAsia="en-GB"/>
              </w:rPr>
            </w:pPr>
            <w:r w:rsidRPr="00325BFA">
              <w:rPr>
                <w:lang w:eastAsia="en-GB"/>
              </w:rPr>
              <w:t xml:space="preserve">1989 – </w:t>
            </w:r>
            <w:r w:rsidR="00C7560A">
              <w:rPr>
                <w:lang w:eastAsia="en-GB"/>
              </w:rPr>
              <w:t>Ницца, Франция</w:t>
            </w:r>
            <w:r w:rsidRPr="00325BFA">
              <w:rPr>
                <w:lang w:eastAsia="en-GB"/>
              </w:rPr>
              <w:t xml:space="preserve"> </w:t>
            </w:r>
          </w:p>
          <w:p w14:paraId="207A44D8" w14:textId="7E55B302" w:rsidR="00510F45" w:rsidRPr="00325BFA" w:rsidRDefault="00510F45" w:rsidP="00017051">
            <w:pPr>
              <w:pStyle w:val="Tabletext"/>
              <w:rPr>
                <w:lang w:eastAsia="en-GB"/>
              </w:rPr>
            </w:pPr>
            <w:r w:rsidRPr="00325BFA">
              <w:rPr>
                <w:lang w:eastAsia="en-GB"/>
              </w:rPr>
              <w:t xml:space="preserve">1992 – </w:t>
            </w:r>
            <w:r w:rsidR="00C7560A">
              <w:rPr>
                <w:lang w:eastAsia="en-GB"/>
              </w:rPr>
              <w:t xml:space="preserve">Женева </w:t>
            </w:r>
            <w:r w:rsidRPr="00325BFA">
              <w:rPr>
                <w:lang w:eastAsia="en-GB"/>
              </w:rPr>
              <w:t>(</w:t>
            </w:r>
            <w:r w:rsidR="00C7560A">
              <w:rPr>
                <w:lang w:eastAsia="en-GB"/>
              </w:rPr>
              <w:t>Внеочередная ПК</w:t>
            </w:r>
            <w:r w:rsidRPr="00325BFA">
              <w:rPr>
                <w:lang w:eastAsia="en-GB"/>
              </w:rPr>
              <w:t>)</w:t>
            </w:r>
          </w:p>
          <w:p w14:paraId="0DAFD11D" w14:textId="38C14EC2" w:rsidR="00510F45" w:rsidRPr="00325BFA" w:rsidRDefault="00510F45" w:rsidP="00017051">
            <w:pPr>
              <w:pStyle w:val="Tabletext"/>
              <w:rPr>
                <w:lang w:eastAsia="en-GB"/>
              </w:rPr>
            </w:pPr>
            <w:r w:rsidRPr="00325BFA">
              <w:rPr>
                <w:lang w:eastAsia="en-GB"/>
              </w:rPr>
              <w:t xml:space="preserve">2006 – </w:t>
            </w:r>
            <w:r w:rsidR="00C7560A">
              <w:rPr>
                <w:lang w:eastAsia="en-GB"/>
              </w:rPr>
              <w:t>Анталия, Турция</w:t>
            </w:r>
          </w:p>
          <w:p w14:paraId="2CF5F351" w14:textId="12E8B063" w:rsidR="00510F45" w:rsidRPr="00325BFA" w:rsidRDefault="00510F45" w:rsidP="00017051">
            <w:pPr>
              <w:pStyle w:val="Tabletext"/>
              <w:rPr>
                <w:lang w:eastAsia="en-GB"/>
              </w:rPr>
            </w:pPr>
            <w:r w:rsidRPr="00325BFA">
              <w:rPr>
                <w:lang w:eastAsia="en-GB"/>
              </w:rPr>
              <w:t xml:space="preserve">2022 – </w:t>
            </w:r>
            <w:r w:rsidR="00C7560A">
              <w:rPr>
                <w:lang w:eastAsia="en-GB"/>
              </w:rPr>
              <w:t>Бухарест, Румыния</w:t>
            </w:r>
          </w:p>
        </w:tc>
      </w:tr>
      <w:tr w:rsidR="00510F45" w:rsidRPr="00325BFA" w14:paraId="3AB3F195" w14:textId="77777777" w:rsidTr="00C7560A">
        <w:trPr>
          <w:trHeight w:val="680"/>
        </w:trPr>
        <w:tc>
          <w:tcPr>
            <w:tcW w:w="1171" w:type="pct"/>
            <w:hideMark/>
          </w:tcPr>
          <w:p w14:paraId="5721D78A" w14:textId="5C5C769B" w:rsidR="00510F45" w:rsidRPr="00325BFA" w:rsidRDefault="00C7560A" w:rsidP="00017051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Северная и Южная Америка</w:t>
            </w:r>
            <w:r w:rsidR="00510F45" w:rsidRPr="00325BFA">
              <w:rPr>
                <w:lang w:eastAsia="en-GB"/>
              </w:rPr>
              <w:t xml:space="preserve"> (</w:t>
            </w:r>
            <w:r>
              <w:rPr>
                <w:lang w:eastAsia="en-GB"/>
              </w:rPr>
              <w:t>СИТЕЛ</w:t>
            </w:r>
            <w:r w:rsidR="00510F45" w:rsidRPr="00325BFA">
              <w:rPr>
                <w:lang w:eastAsia="en-GB"/>
              </w:rPr>
              <w:t>)</w:t>
            </w:r>
          </w:p>
        </w:tc>
        <w:tc>
          <w:tcPr>
            <w:tcW w:w="1111" w:type="pct"/>
            <w:hideMark/>
          </w:tcPr>
          <w:p w14:paraId="4856A153" w14:textId="77777777" w:rsidR="00510F45" w:rsidRPr="00325BFA" w:rsidRDefault="00510F45" w:rsidP="00017051">
            <w:pPr>
              <w:pStyle w:val="Tabletext"/>
              <w:jc w:val="center"/>
              <w:rPr>
                <w:lang w:eastAsia="en-GB"/>
              </w:rPr>
            </w:pPr>
            <w:r w:rsidRPr="00325BFA">
              <w:rPr>
                <w:lang w:eastAsia="en-GB"/>
              </w:rPr>
              <w:t>4</w:t>
            </w:r>
          </w:p>
        </w:tc>
        <w:tc>
          <w:tcPr>
            <w:tcW w:w="2718" w:type="pct"/>
            <w:hideMark/>
          </w:tcPr>
          <w:p w14:paraId="3E77BEF9" w14:textId="6AF74C34" w:rsidR="00510F45" w:rsidRPr="00325BFA" w:rsidRDefault="00510F45" w:rsidP="00017051">
            <w:pPr>
              <w:pStyle w:val="Tabletext"/>
              <w:rPr>
                <w:lang w:eastAsia="en-GB"/>
              </w:rPr>
            </w:pPr>
            <w:r w:rsidRPr="00325BFA">
              <w:rPr>
                <w:lang w:eastAsia="en-GB"/>
              </w:rPr>
              <w:t xml:space="preserve">1947 – </w:t>
            </w:r>
            <w:r w:rsidR="00C7560A">
              <w:rPr>
                <w:lang w:eastAsia="en-GB"/>
              </w:rPr>
              <w:t>Атлантик-Сити, США</w:t>
            </w:r>
          </w:p>
          <w:p w14:paraId="12E63DC9" w14:textId="2C335E07" w:rsidR="00510F45" w:rsidRPr="00325BFA" w:rsidRDefault="00510F45" w:rsidP="00017051">
            <w:pPr>
              <w:pStyle w:val="Tabletext"/>
              <w:rPr>
                <w:lang w:eastAsia="en-GB"/>
              </w:rPr>
            </w:pPr>
            <w:r w:rsidRPr="00325BFA">
              <w:rPr>
                <w:lang w:eastAsia="en-GB"/>
              </w:rPr>
              <w:t xml:space="preserve">1952 – </w:t>
            </w:r>
            <w:r w:rsidR="00C7560A">
              <w:rPr>
                <w:lang w:eastAsia="en-GB"/>
              </w:rPr>
              <w:t>Буэнос-Айрес, Аргентина</w:t>
            </w:r>
          </w:p>
          <w:p w14:paraId="25DD0E01" w14:textId="49AB0530" w:rsidR="00510F45" w:rsidRPr="00325BFA" w:rsidRDefault="00510F45" w:rsidP="00017051">
            <w:pPr>
              <w:pStyle w:val="Tabletext"/>
              <w:rPr>
                <w:lang w:eastAsia="en-GB"/>
              </w:rPr>
            </w:pPr>
            <w:r w:rsidRPr="00325BFA">
              <w:rPr>
                <w:lang w:eastAsia="en-GB"/>
              </w:rPr>
              <w:t xml:space="preserve">1998 – </w:t>
            </w:r>
            <w:r w:rsidR="00C7560A">
              <w:rPr>
                <w:lang w:eastAsia="en-GB"/>
              </w:rPr>
              <w:t>Миннеаполис, США</w:t>
            </w:r>
          </w:p>
          <w:p w14:paraId="2C6F08DE" w14:textId="7D0D8D28" w:rsidR="00510F45" w:rsidRPr="00325BFA" w:rsidRDefault="00510F45" w:rsidP="00017051">
            <w:pPr>
              <w:pStyle w:val="Tabletext"/>
              <w:rPr>
                <w:lang w:eastAsia="en-GB"/>
              </w:rPr>
            </w:pPr>
            <w:r w:rsidRPr="00325BFA">
              <w:rPr>
                <w:lang w:eastAsia="en-GB"/>
              </w:rPr>
              <w:t xml:space="preserve">2010 – </w:t>
            </w:r>
            <w:r w:rsidR="00C7560A" w:rsidRPr="00C7560A">
              <w:rPr>
                <w:lang w:eastAsia="en-GB"/>
              </w:rPr>
              <w:t>Гвадалахара</w:t>
            </w:r>
            <w:r w:rsidR="00C7560A">
              <w:rPr>
                <w:lang w:eastAsia="en-GB"/>
              </w:rPr>
              <w:t>, Мексика</w:t>
            </w:r>
          </w:p>
        </w:tc>
      </w:tr>
      <w:tr w:rsidR="00510F45" w:rsidRPr="00325BFA" w14:paraId="294FB7B4" w14:textId="77777777" w:rsidTr="00C7560A">
        <w:trPr>
          <w:trHeight w:val="340"/>
        </w:trPr>
        <w:tc>
          <w:tcPr>
            <w:tcW w:w="1171" w:type="pct"/>
            <w:hideMark/>
          </w:tcPr>
          <w:p w14:paraId="2447BF2A" w14:textId="22C26285" w:rsidR="00510F45" w:rsidRPr="00325BFA" w:rsidRDefault="00C7560A" w:rsidP="00017051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Африка</w:t>
            </w:r>
            <w:r w:rsidR="00510F45" w:rsidRPr="00325BFA">
              <w:rPr>
                <w:lang w:eastAsia="en-GB"/>
              </w:rPr>
              <w:t xml:space="preserve"> (</w:t>
            </w:r>
            <w:r w:rsidRPr="00C7560A">
              <w:rPr>
                <w:lang w:eastAsia="en-GB"/>
              </w:rPr>
              <w:t>АСЭ</w:t>
            </w:r>
            <w:r w:rsidR="00510F45" w:rsidRPr="00325BFA">
              <w:rPr>
                <w:lang w:eastAsia="en-GB"/>
              </w:rPr>
              <w:t>)</w:t>
            </w:r>
          </w:p>
        </w:tc>
        <w:tc>
          <w:tcPr>
            <w:tcW w:w="1111" w:type="pct"/>
            <w:hideMark/>
          </w:tcPr>
          <w:p w14:paraId="6F7D8685" w14:textId="77777777" w:rsidR="00510F45" w:rsidRPr="00325BFA" w:rsidRDefault="00510F45" w:rsidP="00017051">
            <w:pPr>
              <w:pStyle w:val="Tabletext"/>
              <w:jc w:val="center"/>
              <w:rPr>
                <w:lang w:eastAsia="en-GB"/>
              </w:rPr>
            </w:pPr>
            <w:r w:rsidRPr="00325BFA">
              <w:rPr>
                <w:lang w:eastAsia="en-GB"/>
              </w:rPr>
              <w:t>2</w:t>
            </w:r>
          </w:p>
        </w:tc>
        <w:tc>
          <w:tcPr>
            <w:tcW w:w="2718" w:type="pct"/>
            <w:hideMark/>
          </w:tcPr>
          <w:p w14:paraId="3D9E9B78" w14:textId="40F2E9B0" w:rsidR="00510F45" w:rsidRPr="00325BFA" w:rsidRDefault="00510F45" w:rsidP="00017051">
            <w:pPr>
              <w:pStyle w:val="Tabletext"/>
              <w:rPr>
                <w:lang w:eastAsia="en-GB"/>
              </w:rPr>
            </w:pPr>
            <w:r w:rsidRPr="00325BFA">
              <w:rPr>
                <w:lang w:eastAsia="en-GB"/>
              </w:rPr>
              <w:t xml:space="preserve">1982 – </w:t>
            </w:r>
            <w:r w:rsidR="00C7560A">
              <w:rPr>
                <w:lang w:eastAsia="en-GB"/>
              </w:rPr>
              <w:t>Найроби, Кения</w:t>
            </w:r>
          </w:p>
          <w:p w14:paraId="08BF2DE1" w14:textId="3FB42C7D" w:rsidR="00510F45" w:rsidRPr="00325BFA" w:rsidRDefault="00510F45" w:rsidP="00017051">
            <w:pPr>
              <w:pStyle w:val="Tabletext"/>
              <w:rPr>
                <w:lang w:eastAsia="en-GB"/>
              </w:rPr>
            </w:pPr>
            <w:r w:rsidRPr="00325BFA">
              <w:rPr>
                <w:lang w:eastAsia="en-GB"/>
              </w:rPr>
              <w:t xml:space="preserve">2002 – </w:t>
            </w:r>
            <w:r w:rsidR="00C7560A">
              <w:rPr>
                <w:lang w:eastAsia="en-GB"/>
              </w:rPr>
              <w:t>Марракеш, Марокко</w:t>
            </w:r>
          </w:p>
        </w:tc>
      </w:tr>
      <w:tr w:rsidR="00510F45" w:rsidRPr="00325BFA" w14:paraId="26862E55" w14:textId="77777777" w:rsidTr="00C7560A">
        <w:trPr>
          <w:trHeight w:val="680"/>
        </w:trPr>
        <w:tc>
          <w:tcPr>
            <w:tcW w:w="1171" w:type="pct"/>
            <w:hideMark/>
          </w:tcPr>
          <w:p w14:paraId="7247393F" w14:textId="7A881A21" w:rsidR="00510F45" w:rsidRPr="00325BFA" w:rsidRDefault="00C7560A" w:rsidP="00017051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Азиатско-Тихоокеанский регион</w:t>
            </w:r>
            <w:r w:rsidR="00510F45" w:rsidRPr="00325BFA">
              <w:rPr>
                <w:lang w:eastAsia="en-GB"/>
              </w:rPr>
              <w:t xml:space="preserve"> (</w:t>
            </w:r>
            <w:r w:rsidRPr="00C7560A">
              <w:rPr>
                <w:lang w:eastAsia="en-GB"/>
              </w:rPr>
              <w:t>АТСЭ</w:t>
            </w:r>
            <w:r w:rsidR="00510F45" w:rsidRPr="00325BFA">
              <w:rPr>
                <w:lang w:eastAsia="en-GB"/>
              </w:rPr>
              <w:t>)</w:t>
            </w:r>
          </w:p>
        </w:tc>
        <w:tc>
          <w:tcPr>
            <w:tcW w:w="1111" w:type="pct"/>
            <w:hideMark/>
          </w:tcPr>
          <w:p w14:paraId="316C2351" w14:textId="77777777" w:rsidR="00510F45" w:rsidRPr="00325BFA" w:rsidRDefault="00510F45" w:rsidP="00017051">
            <w:pPr>
              <w:pStyle w:val="Tabletext"/>
              <w:jc w:val="center"/>
              <w:rPr>
                <w:lang w:eastAsia="en-GB"/>
              </w:rPr>
            </w:pPr>
            <w:r w:rsidRPr="00325BFA">
              <w:rPr>
                <w:lang w:eastAsia="en-GB"/>
              </w:rPr>
              <w:t>2</w:t>
            </w:r>
          </w:p>
        </w:tc>
        <w:tc>
          <w:tcPr>
            <w:tcW w:w="2718" w:type="pct"/>
            <w:hideMark/>
          </w:tcPr>
          <w:p w14:paraId="1C93B6F7" w14:textId="41FBEA51" w:rsidR="00510F45" w:rsidRPr="00325BFA" w:rsidRDefault="00510F45" w:rsidP="00017051">
            <w:pPr>
              <w:pStyle w:val="Tabletext"/>
              <w:rPr>
                <w:lang w:eastAsia="en-GB"/>
              </w:rPr>
            </w:pPr>
            <w:r w:rsidRPr="00325BFA">
              <w:rPr>
                <w:lang w:eastAsia="en-GB"/>
              </w:rPr>
              <w:t xml:space="preserve">1994 – </w:t>
            </w:r>
            <w:r w:rsidR="00C7560A">
              <w:rPr>
                <w:lang w:eastAsia="en-GB"/>
              </w:rPr>
              <w:t>Киото, Япония</w:t>
            </w:r>
          </w:p>
          <w:p w14:paraId="69DEE1B8" w14:textId="7858F60C" w:rsidR="00510F45" w:rsidRPr="00325BFA" w:rsidRDefault="00510F45" w:rsidP="00017051">
            <w:pPr>
              <w:pStyle w:val="Tabletext"/>
              <w:rPr>
                <w:lang w:eastAsia="en-GB"/>
              </w:rPr>
            </w:pPr>
            <w:r w:rsidRPr="00325BFA">
              <w:rPr>
                <w:lang w:eastAsia="en-GB"/>
              </w:rPr>
              <w:t xml:space="preserve">2014 – </w:t>
            </w:r>
            <w:r w:rsidR="000215FB" w:rsidRPr="000215FB">
              <w:rPr>
                <w:lang w:eastAsia="en-GB"/>
              </w:rPr>
              <w:t>Пусан</w:t>
            </w:r>
            <w:r w:rsidRPr="00325BFA">
              <w:rPr>
                <w:lang w:eastAsia="en-GB"/>
              </w:rPr>
              <w:t xml:space="preserve">, </w:t>
            </w:r>
            <w:r w:rsidR="000215FB">
              <w:rPr>
                <w:lang w:eastAsia="en-GB"/>
              </w:rPr>
              <w:t>Республика Корея</w:t>
            </w:r>
          </w:p>
        </w:tc>
      </w:tr>
      <w:tr w:rsidR="00510F45" w:rsidRPr="00325BFA" w14:paraId="5AE34437" w14:textId="77777777" w:rsidTr="00C7560A">
        <w:trPr>
          <w:trHeight w:val="340"/>
        </w:trPr>
        <w:tc>
          <w:tcPr>
            <w:tcW w:w="1171" w:type="pct"/>
            <w:hideMark/>
          </w:tcPr>
          <w:p w14:paraId="04AC283B" w14:textId="3616C2B7" w:rsidR="00510F45" w:rsidRPr="00325BFA" w:rsidRDefault="00C7560A" w:rsidP="00017051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Арабские государства</w:t>
            </w:r>
            <w:r w:rsidR="00510F45" w:rsidRPr="00325BFA">
              <w:rPr>
                <w:lang w:eastAsia="en-GB"/>
              </w:rPr>
              <w:t xml:space="preserve"> (ASMG)</w:t>
            </w:r>
          </w:p>
        </w:tc>
        <w:tc>
          <w:tcPr>
            <w:tcW w:w="1111" w:type="pct"/>
            <w:hideMark/>
          </w:tcPr>
          <w:p w14:paraId="5B901F7F" w14:textId="7F125F7E" w:rsidR="00510F45" w:rsidRPr="00325BFA" w:rsidRDefault="00510F45" w:rsidP="00017051">
            <w:pPr>
              <w:pStyle w:val="Tabletext"/>
              <w:jc w:val="center"/>
              <w:rPr>
                <w:lang w:eastAsia="en-GB"/>
              </w:rPr>
            </w:pPr>
            <w:r w:rsidRPr="00325BFA">
              <w:rPr>
                <w:lang w:eastAsia="en-GB"/>
              </w:rPr>
              <w:t>2</w:t>
            </w:r>
            <w:r w:rsidRPr="00325BFA">
              <w:rPr>
                <w:lang w:eastAsia="en-GB"/>
              </w:rPr>
              <w:br/>
            </w:r>
            <w:r w:rsidRPr="00325BFA">
              <w:rPr>
                <w:i/>
                <w:iCs/>
                <w:lang w:eastAsia="en-GB"/>
              </w:rPr>
              <w:t>(</w:t>
            </w:r>
            <w:r w:rsidR="00C7560A">
              <w:rPr>
                <w:i/>
                <w:iCs/>
                <w:lang w:eastAsia="en-GB"/>
              </w:rPr>
              <w:t>в том числе ПК</w:t>
            </w:r>
            <w:r w:rsidRPr="00325BFA">
              <w:rPr>
                <w:i/>
                <w:iCs/>
                <w:lang w:eastAsia="en-GB"/>
              </w:rPr>
              <w:t>-26)</w:t>
            </w:r>
          </w:p>
        </w:tc>
        <w:tc>
          <w:tcPr>
            <w:tcW w:w="2718" w:type="pct"/>
            <w:hideMark/>
          </w:tcPr>
          <w:p w14:paraId="43153097" w14:textId="07E41549" w:rsidR="00510F45" w:rsidRPr="00325BFA" w:rsidRDefault="00510F45" w:rsidP="00017051">
            <w:pPr>
              <w:pStyle w:val="Tabletext"/>
              <w:rPr>
                <w:lang w:eastAsia="en-GB"/>
              </w:rPr>
            </w:pPr>
            <w:r w:rsidRPr="00325BFA">
              <w:rPr>
                <w:lang w:eastAsia="en-GB"/>
              </w:rPr>
              <w:t xml:space="preserve">2018 – </w:t>
            </w:r>
            <w:r w:rsidR="000215FB" w:rsidRPr="000215FB">
              <w:rPr>
                <w:lang w:eastAsia="en-GB"/>
              </w:rPr>
              <w:t>Дубай</w:t>
            </w:r>
            <w:r w:rsidRPr="00325BFA">
              <w:rPr>
                <w:lang w:eastAsia="en-GB"/>
              </w:rPr>
              <w:t xml:space="preserve">, </w:t>
            </w:r>
            <w:r w:rsidR="000215FB">
              <w:rPr>
                <w:lang w:eastAsia="en-GB"/>
              </w:rPr>
              <w:t>ОАЭ</w:t>
            </w:r>
          </w:p>
          <w:p w14:paraId="1EF5E873" w14:textId="69522BCD" w:rsidR="00510F45" w:rsidRPr="00325BFA" w:rsidRDefault="00510F45" w:rsidP="00017051">
            <w:pPr>
              <w:pStyle w:val="Tabletext"/>
              <w:rPr>
                <w:lang w:eastAsia="en-GB"/>
              </w:rPr>
            </w:pPr>
            <w:r w:rsidRPr="00325BFA">
              <w:rPr>
                <w:lang w:eastAsia="en-GB"/>
              </w:rPr>
              <w:t xml:space="preserve">2026 – </w:t>
            </w:r>
            <w:r w:rsidR="000215FB">
              <w:rPr>
                <w:lang w:eastAsia="en-GB"/>
              </w:rPr>
              <w:t>Доха, Катар</w:t>
            </w:r>
          </w:p>
        </w:tc>
      </w:tr>
    </w:tbl>
    <w:p w14:paraId="628EFE5D" w14:textId="1F6B893A" w:rsidR="00C462C5" w:rsidRDefault="00510F45" w:rsidP="002C5221">
      <w:pPr>
        <w:spacing w:before="720"/>
        <w:jc w:val="center"/>
      </w:pPr>
      <w:r w:rsidRPr="00325BFA">
        <w:t>______________</w:t>
      </w:r>
    </w:p>
    <w:sectPr w:rsidR="00C462C5" w:rsidSect="00796BD3">
      <w:footerReference w:type="default" r:id="rId9"/>
      <w:headerReference w:type="first" r:id="rId10"/>
      <w:footerReference w:type="first" r:id="rId11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B471F" w14:textId="77777777" w:rsidR="001272F1" w:rsidRPr="00325BFA" w:rsidRDefault="001272F1">
      <w:r w:rsidRPr="00325BFA">
        <w:separator/>
      </w:r>
    </w:p>
  </w:endnote>
  <w:endnote w:type="continuationSeparator" w:id="0">
    <w:p w14:paraId="7B583276" w14:textId="77777777" w:rsidR="001272F1" w:rsidRPr="00325BFA" w:rsidRDefault="001272F1">
      <w:r w:rsidRPr="00325B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325BFA" w14:paraId="2E67F397" w14:textId="77777777" w:rsidTr="00E31DCE">
      <w:trPr>
        <w:jc w:val="center"/>
      </w:trPr>
      <w:tc>
        <w:tcPr>
          <w:tcW w:w="1803" w:type="dxa"/>
          <w:vAlign w:val="center"/>
        </w:tcPr>
        <w:p w14:paraId="502BA0C0" w14:textId="32A12F2F" w:rsidR="00672F8A" w:rsidRPr="003728ED" w:rsidRDefault="003728ED" w:rsidP="00672F8A">
          <w:pPr>
            <w:pStyle w:val="Header"/>
            <w:jc w:val="left"/>
            <w:rPr>
              <w:lang w:val="en-US"/>
            </w:rPr>
          </w:pPr>
          <w:r>
            <w:rPr>
              <w:lang w:val="en-US"/>
            </w:rPr>
            <w:t>2600991</w:t>
          </w:r>
        </w:p>
      </w:tc>
      <w:tc>
        <w:tcPr>
          <w:tcW w:w="8261" w:type="dxa"/>
        </w:tcPr>
        <w:p w14:paraId="34C2C0B7" w14:textId="6484A291" w:rsidR="00672F8A" w:rsidRPr="00325BFA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ru-RU"/>
            </w:rPr>
          </w:pPr>
          <w:r w:rsidRPr="00325BFA">
            <w:rPr>
              <w:bCs/>
              <w:lang w:val="ru-RU"/>
            </w:rPr>
            <w:tab/>
          </w:r>
          <w:r w:rsidRPr="00325BFA">
            <w:rPr>
              <w:bCs/>
              <w:lang w:val="ru-RU"/>
            </w:rPr>
            <w:t>C2</w:t>
          </w:r>
          <w:r w:rsidR="00BE00DD" w:rsidRPr="00325BFA">
            <w:rPr>
              <w:bCs/>
              <w:lang w:val="ru-RU"/>
            </w:rPr>
            <w:t>6</w:t>
          </w:r>
          <w:r w:rsidRPr="00325BFA">
            <w:rPr>
              <w:bCs/>
              <w:lang w:val="ru-RU"/>
            </w:rPr>
            <w:t>/</w:t>
          </w:r>
          <w:r w:rsidR="00510F45" w:rsidRPr="00325BFA">
            <w:rPr>
              <w:bCs/>
              <w:lang w:val="ru-RU"/>
            </w:rPr>
            <w:t>102</w:t>
          </w:r>
          <w:r w:rsidRPr="00325BFA">
            <w:rPr>
              <w:bCs/>
              <w:lang w:val="ru-RU"/>
            </w:rPr>
            <w:tab/>
          </w:r>
          <w:r w:rsidRPr="00325BFA">
            <w:rPr>
              <w:lang w:val="ru-RU"/>
            </w:rPr>
            <w:fldChar w:fldCharType="begin"/>
          </w:r>
          <w:r w:rsidRPr="00325BFA">
            <w:rPr>
              <w:lang w:val="ru-RU"/>
            </w:rPr>
            <w:instrText>PAGE</w:instrText>
          </w:r>
          <w:r w:rsidRPr="00325BFA">
            <w:rPr>
              <w:lang w:val="ru-RU"/>
            </w:rPr>
            <w:fldChar w:fldCharType="separate"/>
          </w:r>
          <w:r w:rsidRPr="00325BFA">
            <w:rPr>
              <w:lang w:val="ru-RU"/>
            </w:rPr>
            <w:t>1</w:t>
          </w:r>
          <w:r w:rsidRPr="00325BFA">
            <w:rPr>
              <w:lang w:val="ru-RU"/>
            </w:rPr>
            <w:fldChar w:fldCharType="end"/>
          </w:r>
        </w:p>
      </w:tc>
    </w:tr>
  </w:tbl>
  <w:p w14:paraId="64F8A9CA" w14:textId="77777777" w:rsidR="000E568E" w:rsidRPr="00325BFA" w:rsidRDefault="000E568E" w:rsidP="00672F8A">
    <w:pPr>
      <w:pStyle w:val="Footer"/>
      <w:rPr>
        <w:noProof w:val="0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325BFA" w14:paraId="401D215B" w14:textId="77777777" w:rsidTr="00E31DCE">
      <w:trPr>
        <w:jc w:val="center"/>
      </w:trPr>
      <w:tc>
        <w:tcPr>
          <w:tcW w:w="1803" w:type="dxa"/>
          <w:vAlign w:val="center"/>
        </w:tcPr>
        <w:p w14:paraId="222CB050" w14:textId="77777777" w:rsidR="00672F8A" w:rsidRPr="00325BFA" w:rsidRDefault="00D631AA" w:rsidP="00672F8A">
          <w:pPr>
            <w:pStyle w:val="Header"/>
            <w:jc w:val="left"/>
            <w:rPr>
              <w:lang w:val="ru-RU"/>
            </w:rPr>
          </w:pPr>
          <w:hyperlink r:id="rId1" w:anchor="/ru" w:history="1">
            <w:r w:rsidRPr="00325BFA">
              <w:rPr>
                <w:rStyle w:val="Hyperlink"/>
                <w:szCs w:val="14"/>
                <w:lang w:val="ru-RU"/>
              </w:rPr>
              <w:t>council.itu.int/202</w:t>
            </w:r>
            <w:r w:rsidR="00BE00DD" w:rsidRPr="00325BFA">
              <w:rPr>
                <w:rStyle w:val="Hyperlink"/>
                <w:szCs w:val="14"/>
                <w:lang w:val="ru-RU"/>
              </w:rPr>
              <w:t>6</w:t>
            </w:r>
          </w:hyperlink>
          <w:r w:rsidR="00BE00DD" w:rsidRPr="00325BFA">
            <w:rPr>
              <w:color w:val="0563C1"/>
              <w:szCs w:val="14"/>
              <w:lang w:val="ru-RU"/>
            </w:rPr>
            <w:t xml:space="preserve"> </w:t>
          </w:r>
        </w:p>
      </w:tc>
      <w:tc>
        <w:tcPr>
          <w:tcW w:w="8261" w:type="dxa"/>
        </w:tcPr>
        <w:p w14:paraId="27749FA4" w14:textId="559F921A" w:rsidR="00672F8A" w:rsidRPr="00325BFA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ru-RU"/>
            </w:rPr>
          </w:pPr>
          <w:r w:rsidRPr="00325BFA">
            <w:rPr>
              <w:bCs/>
              <w:lang w:val="ru-RU"/>
            </w:rPr>
            <w:tab/>
          </w:r>
          <w:r w:rsidRPr="00325BFA">
            <w:rPr>
              <w:bCs/>
              <w:lang w:val="ru-RU"/>
            </w:rPr>
            <w:t>C2</w:t>
          </w:r>
          <w:r w:rsidR="00BE00DD" w:rsidRPr="00325BFA">
            <w:rPr>
              <w:bCs/>
              <w:lang w:val="ru-RU"/>
            </w:rPr>
            <w:t>6</w:t>
          </w:r>
          <w:r w:rsidRPr="00325BFA">
            <w:rPr>
              <w:bCs/>
              <w:lang w:val="ru-RU"/>
            </w:rPr>
            <w:t>/</w:t>
          </w:r>
          <w:r w:rsidR="00325BFA">
            <w:rPr>
              <w:bCs/>
              <w:lang w:val="ru-RU"/>
            </w:rPr>
            <w:t>102</w:t>
          </w:r>
          <w:r w:rsidRPr="00325BFA">
            <w:rPr>
              <w:bCs/>
              <w:lang w:val="ru-RU"/>
            </w:rPr>
            <w:tab/>
          </w:r>
          <w:r w:rsidRPr="00325BFA">
            <w:rPr>
              <w:lang w:val="ru-RU"/>
            </w:rPr>
            <w:fldChar w:fldCharType="begin"/>
          </w:r>
          <w:r w:rsidRPr="00325BFA">
            <w:rPr>
              <w:lang w:val="ru-RU"/>
            </w:rPr>
            <w:instrText>PAGE</w:instrText>
          </w:r>
          <w:r w:rsidRPr="00325BFA">
            <w:rPr>
              <w:lang w:val="ru-RU"/>
            </w:rPr>
            <w:fldChar w:fldCharType="separate"/>
          </w:r>
          <w:r w:rsidRPr="00325BFA">
            <w:rPr>
              <w:lang w:val="ru-RU"/>
            </w:rPr>
            <w:t>1</w:t>
          </w:r>
          <w:r w:rsidRPr="00325BFA">
            <w:rPr>
              <w:lang w:val="ru-RU"/>
            </w:rPr>
            <w:fldChar w:fldCharType="end"/>
          </w:r>
        </w:p>
      </w:tc>
    </w:tr>
  </w:tbl>
  <w:p w14:paraId="3895848A" w14:textId="77777777" w:rsidR="000E568E" w:rsidRPr="00325BFA" w:rsidRDefault="000E568E" w:rsidP="00672F8A">
    <w:pPr>
      <w:pStyle w:val="Footer"/>
      <w:rPr>
        <w:noProof w:val="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E266D" w14:textId="77777777" w:rsidR="001272F1" w:rsidRPr="00325BFA" w:rsidRDefault="001272F1">
      <w:r w:rsidRPr="00325BFA">
        <w:t>____________________</w:t>
      </w:r>
    </w:p>
  </w:footnote>
  <w:footnote w:type="continuationSeparator" w:id="0">
    <w:p w14:paraId="520473D7" w14:textId="77777777" w:rsidR="001272F1" w:rsidRPr="00325BFA" w:rsidRDefault="001272F1">
      <w:r w:rsidRPr="00325B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1882" w14:textId="77777777" w:rsidR="0014229E" w:rsidRPr="00325BFA" w:rsidRDefault="00244C39" w:rsidP="00A74304">
    <w:pPr>
      <w:pStyle w:val="Header"/>
      <w:spacing w:before="60"/>
      <w:ind w:left="113"/>
      <w:jc w:val="left"/>
      <w:rPr>
        <w:lang w:val="ru-RU"/>
      </w:rPr>
    </w:pPr>
    <w:r w:rsidRPr="00325BFA">
      <w:rPr>
        <w:noProof/>
        <w:lang w:val="ru-RU"/>
      </w:rPr>
      <w:drawing>
        <wp:inline distT="0" distB="0" distL="0" distR="0" wp14:anchorId="4D3AC9E2" wp14:editId="635FD3DE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65"/>
    <w:rsid w:val="00005BE0"/>
    <w:rsid w:val="000215FB"/>
    <w:rsid w:val="0002183E"/>
    <w:rsid w:val="000569B4"/>
    <w:rsid w:val="0006007D"/>
    <w:rsid w:val="00080E82"/>
    <w:rsid w:val="000934DD"/>
    <w:rsid w:val="000A10CA"/>
    <w:rsid w:val="000A1664"/>
    <w:rsid w:val="000B2DE7"/>
    <w:rsid w:val="000B4E93"/>
    <w:rsid w:val="000E568E"/>
    <w:rsid w:val="001272F1"/>
    <w:rsid w:val="0014229E"/>
    <w:rsid w:val="0014734F"/>
    <w:rsid w:val="00156890"/>
    <w:rsid w:val="0015710D"/>
    <w:rsid w:val="00163A32"/>
    <w:rsid w:val="00165D06"/>
    <w:rsid w:val="0018183C"/>
    <w:rsid w:val="00192B41"/>
    <w:rsid w:val="001B7B09"/>
    <w:rsid w:val="001E6719"/>
    <w:rsid w:val="001E7F50"/>
    <w:rsid w:val="00225368"/>
    <w:rsid w:val="00227FF0"/>
    <w:rsid w:val="00244C39"/>
    <w:rsid w:val="00276F05"/>
    <w:rsid w:val="00277DEA"/>
    <w:rsid w:val="002849D0"/>
    <w:rsid w:val="00291EB6"/>
    <w:rsid w:val="002C3F32"/>
    <w:rsid w:val="002C5221"/>
    <w:rsid w:val="002D2F57"/>
    <w:rsid w:val="002D48C5"/>
    <w:rsid w:val="00325BFA"/>
    <w:rsid w:val="0033025A"/>
    <w:rsid w:val="003312E4"/>
    <w:rsid w:val="00345D2A"/>
    <w:rsid w:val="003659B3"/>
    <w:rsid w:val="003728ED"/>
    <w:rsid w:val="00381936"/>
    <w:rsid w:val="003935CB"/>
    <w:rsid w:val="003F099E"/>
    <w:rsid w:val="003F1F0B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004A5"/>
    <w:rsid w:val="00510F45"/>
    <w:rsid w:val="00515795"/>
    <w:rsid w:val="00555AFB"/>
    <w:rsid w:val="00574B60"/>
    <w:rsid w:val="005A64D5"/>
    <w:rsid w:val="005B3DEC"/>
    <w:rsid w:val="00601994"/>
    <w:rsid w:val="00660449"/>
    <w:rsid w:val="00672F8A"/>
    <w:rsid w:val="006C6F25"/>
    <w:rsid w:val="006E2D42"/>
    <w:rsid w:val="00703676"/>
    <w:rsid w:val="00707304"/>
    <w:rsid w:val="00732269"/>
    <w:rsid w:val="00762555"/>
    <w:rsid w:val="0077110E"/>
    <w:rsid w:val="00771CA8"/>
    <w:rsid w:val="00784980"/>
    <w:rsid w:val="00785ABD"/>
    <w:rsid w:val="00796BD3"/>
    <w:rsid w:val="007A2DD4"/>
    <w:rsid w:val="007A6888"/>
    <w:rsid w:val="007D38B5"/>
    <w:rsid w:val="007E5FC4"/>
    <w:rsid w:val="007E7EA0"/>
    <w:rsid w:val="00807255"/>
    <w:rsid w:val="0081023E"/>
    <w:rsid w:val="008173AA"/>
    <w:rsid w:val="00840A14"/>
    <w:rsid w:val="0084546D"/>
    <w:rsid w:val="00874834"/>
    <w:rsid w:val="008B62B4"/>
    <w:rsid w:val="008D2D7B"/>
    <w:rsid w:val="008E0737"/>
    <w:rsid w:val="008F7958"/>
    <w:rsid w:val="008F7C2C"/>
    <w:rsid w:val="00940E96"/>
    <w:rsid w:val="00950A82"/>
    <w:rsid w:val="00951C0A"/>
    <w:rsid w:val="009A76A8"/>
    <w:rsid w:val="009B0BAE"/>
    <w:rsid w:val="009C1C89"/>
    <w:rsid w:val="009F3448"/>
    <w:rsid w:val="00A01CF9"/>
    <w:rsid w:val="00A01F4F"/>
    <w:rsid w:val="00A109AF"/>
    <w:rsid w:val="00A20B63"/>
    <w:rsid w:val="00A31C98"/>
    <w:rsid w:val="00A3481C"/>
    <w:rsid w:val="00A37BE6"/>
    <w:rsid w:val="00A405F9"/>
    <w:rsid w:val="00A71773"/>
    <w:rsid w:val="00A74304"/>
    <w:rsid w:val="00A8509A"/>
    <w:rsid w:val="00AE2C85"/>
    <w:rsid w:val="00B0107F"/>
    <w:rsid w:val="00B12A37"/>
    <w:rsid w:val="00B41837"/>
    <w:rsid w:val="00B464BC"/>
    <w:rsid w:val="00B63EF2"/>
    <w:rsid w:val="00BA7D89"/>
    <w:rsid w:val="00BC0D39"/>
    <w:rsid w:val="00BC4160"/>
    <w:rsid w:val="00BC7BC0"/>
    <w:rsid w:val="00BD57B7"/>
    <w:rsid w:val="00BE00DD"/>
    <w:rsid w:val="00BE63E2"/>
    <w:rsid w:val="00C0490B"/>
    <w:rsid w:val="00C462C5"/>
    <w:rsid w:val="00C7560A"/>
    <w:rsid w:val="00CD2009"/>
    <w:rsid w:val="00CE2FCB"/>
    <w:rsid w:val="00CF15AE"/>
    <w:rsid w:val="00CF4F26"/>
    <w:rsid w:val="00CF629C"/>
    <w:rsid w:val="00D17718"/>
    <w:rsid w:val="00D21265"/>
    <w:rsid w:val="00D631AA"/>
    <w:rsid w:val="00D65CB4"/>
    <w:rsid w:val="00D92EEA"/>
    <w:rsid w:val="00DA5D4E"/>
    <w:rsid w:val="00DA770A"/>
    <w:rsid w:val="00E04490"/>
    <w:rsid w:val="00E05752"/>
    <w:rsid w:val="00E176BA"/>
    <w:rsid w:val="00E423EC"/>
    <w:rsid w:val="00E55121"/>
    <w:rsid w:val="00E83CCE"/>
    <w:rsid w:val="00EB4FCB"/>
    <w:rsid w:val="00EC6446"/>
    <w:rsid w:val="00EC6BC5"/>
    <w:rsid w:val="00ED018E"/>
    <w:rsid w:val="00F30FC5"/>
    <w:rsid w:val="00F348D0"/>
    <w:rsid w:val="00F35898"/>
    <w:rsid w:val="00F4004C"/>
    <w:rsid w:val="00F50D6D"/>
    <w:rsid w:val="00F5225B"/>
    <w:rsid w:val="00F52426"/>
    <w:rsid w:val="00FC0015"/>
    <w:rsid w:val="00FC30CE"/>
    <w:rsid w:val="00FC582A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7765A5"/>
  <w15:docId w15:val="{5897A4A7-84D7-4773-9AEE-0C0B28E3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5004A5"/>
    <w:pPr>
      <w:keepNext/>
      <w:keepLines/>
      <w:spacing w:before="36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qFormat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qFormat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qFormat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CF4F2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F4F2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F4F26"/>
    <w:rPr>
      <w:rFonts w:ascii="Calibri" w:hAnsi="Calibri"/>
      <w:lang w:val="ru-R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4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4F26"/>
    <w:rPr>
      <w:rFonts w:ascii="Calibri" w:hAnsi="Calibri"/>
      <w:b/>
      <w:bCs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6-CL-C-0050/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tu.int/md/S26-CL-C-0070/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1069</Words>
  <Characters>7692</Characters>
  <Application>Microsoft Office Word</Application>
  <DocSecurity>0</DocSecurity>
  <Lines>178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8652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case for regional equity and enabling conditions for broader participation in the hosting of ITU Plenipotentiary Conferences</dc:title>
  <dc:subject>ITU Council 2026</dc:subject>
  <cp:keywords>C26; C2026; Council 2026; PP26</cp:keywords>
  <dc:description/>
  <cp:lastPrinted>2006-03-28T16:12:00Z</cp:lastPrinted>
  <dcterms:created xsi:type="dcterms:W3CDTF">2026-04-30T15:24:00Z</dcterms:created>
  <dcterms:modified xsi:type="dcterms:W3CDTF">2026-04-30T15:28:00Z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