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D2421C" w14:paraId="414F0683" w14:textId="77777777" w:rsidTr="00796BDB">
        <w:trPr>
          <w:cantSplit/>
          <w:trHeight w:val="23"/>
        </w:trPr>
        <w:tc>
          <w:tcPr>
            <w:tcW w:w="3969" w:type="dxa"/>
            <w:vMerge w:val="restart"/>
            <w:tcMar>
              <w:left w:w="0" w:type="dxa"/>
            </w:tcMar>
          </w:tcPr>
          <w:p w14:paraId="53AF1C02" w14:textId="76FCBCF6" w:rsidR="00D72F49" w:rsidRPr="00D2421C" w:rsidRDefault="00D72F49" w:rsidP="00796BDB">
            <w:pPr>
              <w:tabs>
                <w:tab w:val="left" w:pos="851"/>
              </w:tabs>
              <w:spacing w:before="0" w:line="240" w:lineRule="atLeast"/>
              <w:rPr>
                <w:b/>
              </w:rPr>
            </w:pPr>
            <w:r w:rsidRPr="00D2421C">
              <w:rPr>
                <w:b/>
              </w:rPr>
              <w:t xml:space="preserve">Point de l'ordre du </w:t>
            </w:r>
            <w:proofErr w:type="gramStart"/>
            <w:r w:rsidRPr="00D2421C">
              <w:rPr>
                <w:b/>
              </w:rPr>
              <w:t>jour:</w:t>
            </w:r>
            <w:proofErr w:type="gramEnd"/>
            <w:r w:rsidR="005B2FD9" w:rsidRPr="00D2421C">
              <w:rPr>
                <w:b/>
              </w:rPr>
              <w:t xml:space="preserve"> </w:t>
            </w:r>
            <w:r w:rsidR="005B2FD9" w:rsidRPr="00D2421C">
              <w:rPr>
                <w:b/>
                <w:bCs/>
                <w:color w:val="000000"/>
              </w:rPr>
              <w:t>PL 3</w:t>
            </w:r>
          </w:p>
        </w:tc>
        <w:tc>
          <w:tcPr>
            <w:tcW w:w="5245" w:type="dxa"/>
          </w:tcPr>
          <w:p w14:paraId="7FD24932" w14:textId="36D5B24E" w:rsidR="00D72F49" w:rsidRPr="00D2421C" w:rsidRDefault="00D72F49" w:rsidP="00796BDB">
            <w:pPr>
              <w:tabs>
                <w:tab w:val="left" w:pos="851"/>
              </w:tabs>
              <w:spacing w:before="0" w:line="240" w:lineRule="atLeast"/>
              <w:jc w:val="right"/>
              <w:rPr>
                <w:b/>
              </w:rPr>
            </w:pPr>
            <w:r w:rsidRPr="00D2421C">
              <w:rPr>
                <w:b/>
              </w:rPr>
              <w:t xml:space="preserve">Document </w:t>
            </w:r>
            <w:proofErr w:type="spellStart"/>
            <w:r w:rsidRPr="00D2421C">
              <w:rPr>
                <w:b/>
              </w:rPr>
              <w:t>C2</w:t>
            </w:r>
            <w:r w:rsidR="00E4448E" w:rsidRPr="00D2421C">
              <w:rPr>
                <w:b/>
              </w:rPr>
              <w:t>6</w:t>
            </w:r>
            <w:proofErr w:type="spellEnd"/>
            <w:r w:rsidRPr="00D2421C">
              <w:rPr>
                <w:b/>
              </w:rPr>
              <w:t>/</w:t>
            </w:r>
            <w:r w:rsidR="005B2FD9" w:rsidRPr="00D2421C">
              <w:rPr>
                <w:b/>
              </w:rPr>
              <w:t>102</w:t>
            </w:r>
            <w:r w:rsidRPr="00D2421C">
              <w:rPr>
                <w:b/>
              </w:rPr>
              <w:t>-F</w:t>
            </w:r>
          </w:p>
        </w:tc>
      </w:tr>
      <w:tr w:rsidR="00D72F49" w:rsidRPr="00D2421C" w14:paraId="7E9F4ED7" w14:textId="77777777" w:rsidTr="00796BDB">
        <w:trPr>
          <w:cantSplit/>
        </w:trPr>
        <w:tc>
          <w:tcPr>
            <w:tcW w:w="3969" w:type="dxa"/>
            <w:vMerge/>
          </w:tcPr>
          <w:p w14:paraId="0FB9B977" w14:textId="77777777" w:rsidR="00D72F49" w:rsidRPr="00D2421C" w:rsidRDefault="00D72F49" w:rsidP="00796BDB">
            <w:pPr>
              <w:tabs>
                <w:tab w:val="left" w:pos="851"/>
              </w:tabs>
              <w:spacing w:line="240" w:lineRule="atLeast"/>
              <w:rPr>
                <w:b/>
              </w:rPr>
            </w:pPr>
          </w:p>
        </w:tc>
        <w:tc>
          <w:tcPr>
            <w:tcW w:w="5245" w:type="dxa"/>
          </w:tcPr>
          <w:p w14:paraId="630CD6F5" w14:textId="64C29EC6" w:rsidR="00D72F49" w:rsidRPr="00D2421C" w:rsidRDefault="005B2FD9" w:rsidP="00796BDB">
            <w:pPr>
              <w:tabs>
                <w:tab w:val="left" w:pos="851"/>
              </w:tabs>
              <w:spacing w:before="0"/>
              <w:jc w:val="right"/>
              <w:rPr>
                <w:b/>
              </w:rPr>
            </w:pPr>
            <w:r w:rsidRPr="00D2421C">
              <w:rPr>
                <w:b/>
                <w:bCs/>
                <w:color w:val="000000"/>
              </w:rPr>
              <w:t>14 avril 2026</w:t>
            </w:r>
          </w:p>
        </w:tc>
      </w:tr>
      <w:tr w:rsidR="00D72F49" w:rsidRPr="00D2421C" w14:paraId="60F0458F" w14:textId="77777777" w:rsidTr="00796BDB">
        <w:trPr>
          <w:cantSplit/>
          <w:trHeight w:val="23"/>
        </w:trPr>
        <w:tc>
          <w:tcPr>
            <w:tcW w:w="3969" w:type="dxa"/>
            <w:vMerge/>
          </w:tcPr>
          <w:p w14:paraId="40A08624" w14:textId="77777777" w:rsidR="00D72F49" w:rsidRPr="00D2421C" w:rsidRDefault="00D72F49" w:rsidP="00796BDB">
            <w:pPr>
              <w:tabs>
                <w:tab w:val="left" w:pos="851"/>
              </w:tabs>
              <w:spacing w:line="240" w:lineRule="atLeast"/>
              <w:rPr>
                <w:b/>
              </w:rPr>
            </w:pPr>
          </w:p>
        </w:tc>
        <w:tc>
          <w:tcPr>
            <w:tcW w:w="5245" w:type="dxa"/>
          </w:tcPr>
          <w:p w14:paraId="6946EC9E" w14:textId="77777777" w:rsidR="00D72F49" w:rsidRPr="00D2421C" w:rsidRDefault="00D72F49" w:rsidP="00796BDB">
            <w:pPr>
              <w:tabs>
                <w:tab w:val="left" w:pos="851"/>
              </w:tabs>
              <w:spacing w:before="0" w:line="240" w:lineRule="atLeast"/>
              <w:jc w:val="right"/>
              <w:rPr>
                <w:b/>
              </w:rPr>
            </w:pPr>
            <w:proofErr w:type="gramStart"/>
            <w:r w:rsidRPr="00D2421C">
              <w:rPr>
                <w:b/>
              </w:rPr>
              <w:t>Original:</w:t>
            </w:r>
            <w:proofErr w:type="gramEnd"/>
            <w:r w:rsidRPr="00D2421C">
              <w:rPr>
                <w:b/>
              </w:rPr>
              <w:t xml:space="preserve"> anglais</w:t>
            </w:r>
          </w:p>
        </w:tc>
      </w:tr>
      <w:tr w:rsidR="00D72F49" w:rsidRPr="00D2421C" w14:paraId="1CEAEA14" w14:textId="77777777" w:rsidTr="00796BDB">
        <w:trPr>
          <w:cantSplit/>
          <w:trHeight w:val="23"/>
        </w:trPr>
        <w:tc>
          <w:tcPr>
            <w:tcW w:w="3969" w:type="dxa"/>
          </w:tcPr>
          <w:p w14:paraId="7CA968D2" w14:textId="77777777" w:rsidR="00D72F49" w:rsidRPr="00D2421C" w:rsidRDefault="00D72F49" w:rsidP="00796BDB">
            <w:pPr>
              <w:tabs>
                <w:tab w:val="left" w:pos="851"/>
              </w:tabs>
              <w:spacing w:line="240" w:lineRule="atLeast"/>
              <w:rPr>
                <w:b/>
              </w:rPr>
            </w:pPr>
          </w:p>
        </w:tc>
        <w:tc>
          <w:tcPr>
            <w:tcW w:w="5245" w:type="dxa"/>
          </w:tcPr>
          <w:p w14:paraId="0A273362" w14:textId="77777777" w:rsidR="00D72F49" w:rsidRPr="00D2421C" w:rsidRDefault="00D72F49" w:rsidP="00796BDB">
            <w:pPr>
              <w:tabs>
                <w:tab w:val="left" w:pos="851"/>
              </w:tabs>
              <w:spacing w:before="0" w:line="240" w:lineRule="atLeast"/>
              <w:jc w:val="right"/>
              <w:rPr>
                <w:b/>
              </w:rPr>
            </w:pPr>
          </w:p>
        </w:tc>
      </w:tr>
      <w:tr w:rsidR="00D72F49" w:rsidRPr="00D2421C" w14:paraId="02031A95" w14:textId="77777777" w:rsidTr="00796BDB">
        <w:trPr>
          <w:cantSplit/>
        </w:trPr>
        <w:tc>
          <w:tcPr>
            <w:tcW w:w="9214" w:type="dxa"/>
            <w:gridSpan w:val="2"/>
            <w:tcMar>
              <w:left w:w="0" w:type="dxa"/>
            </w:tcMar>
          </w:tcPr>
          <w:p w14:paraId="7B22D2EF" w14:textId="4925BDF4" w:rsidR="00D72F49" w:rsidRPr="00D2421C" w:rsidRDefault="005B2FD9" w:rsidP="00D82CFB">
            <w:pPr>
              <w:pStyle w:val="Source"/>
              <w:ind w:right="-113"/>
              <w:jc w:val="left"/>
              <w:rPr>
                <w:sz w:val="34"/>
                <w:szCs w:val="34"/>
              </w:rPr>
            </w:pPr>
            <w:r w:rsidRPr="00D2421C">
              <w:rPr>
                <w:rFonts w:cstheme="minorHAnsi"/>
                <w:bCs/>
                <w:color w:val="000000"/>
                <w:sz w:val="34"/>
                <w:szCs w:val="34"/>
              </w:rPr>
              <w:t xml:space="preserve">Contribution du Kenya (République du), du Maroc (Royaume du), du Nigéria (République fédérale du) et </w:t>
            </w:r>
            <w:r w:rsidR="00090A5A">
              <w:rPr>
                <w:rFonts w:cstheme="minorHAnsi"/>
                <w:bCs/>
                <w:color w:val="000000"/>
                <w:sz w:val="34"/>
                <w:szCs w:val="34"/>
              </w:rPr>
              <w:br/>
            </w:r>
            <w:r w:rsidRPr="00D2421C">
              <w:rPr>
                <w:rFonts w:cstheme="minorHAnsi"/>
                <w:bCs/>
                <w:color w:val="000000"/>
                <w:sz w:val="34"/>
                <w:szCs w:val="34"/>
              </w:rPr>
              <w:t>de la République sudafricaine</w:t>
            </w:r>
          </w:p>
        </w:tc>
      </w:tr>
      <w:tr w:rsidR="00D72F49" w:rsidRPr="00D2421C" w14:paraId="6CCE54E6" w14:textId="77777777" w:rsidTr="00796BDB">
        <w:trPr>
          <w:cantSplit/>
        </w:trPr>
        <w:tc>
          <w:tcPr>
            <w:tcW w:w="9214" w:type="dxa"/>
            <w:gridSpan w:val="2"/>
            <w:tcMar>
              <w:left w:w="0" w:type="dxa"/>
            </w:tcMar>
          </w:tcPr>
          <w:p w14:paraId="4C1F6E11" w14:textId="2A1D418A" w:rsidR="00D72F49" w:rsidRPr="00D2421C" w:rsidRDefault="00090A5A" w:rsidP="00796BDB">
            <w:pPr>
              <w:pStyle w:val="Subtitle"/>
              <w:framePr w:hSpace="0" w:wrap="auto" w:hAnchor="text" w:xAlign="left" w:yAlign="inline"/>
              <w:rPr>
                <w:sz w:val="32"/>
                <w:szCs w:val="32"/>
                <w:lang w:val="fr-FR"/>
              </w:rPr>
            </w:pPr>
            <w:r w:rsidRPr="00D2421C">
              <w:rPr>
                <w:rFonts w:cstheme="minorHAnsi"/>
                <w:sz w:val="32"/>
                <w:szCs w:val="32"/>
                <w:lang w:val="fr-FR"/>
              </w:rPr>
              <w:t>ŒUVRER EN FAVEUR DE L'ÉQUITÉ RÉGIONALE ET CRÉER DES CONDITIONS PROPICES À UNE PARTICIPATION PLUS LARGE</w:t>
            </w:r>
            <w:r>
              <w:rPr>
                <w:rFonts w:cstheme="minorHAnsi"/>
                <w:sz w:val="32"/>
                <w:szCs w:val="32"/>
                <w:lang w:val="fr-FR"/>
              </w:rPr>
              <w:t xml:space="preserve"> </w:t>
            </w:r>
            <w:r w:rsidRPr="00D2421C">
              <w:rPr>
                <w:rFonts w:cstheme="minorHAnsi"/>
                <w:sz w:val="32"/>
                <w:szCs w:val="32"/>
                <w:lang w:val="fr-FR"/>
              </w:rPr>
              <w:t xml:space="preserve">POUR </w:t>
            </w:r>
            <w:r>
              <w:rPr>
                <w:rFonts w:cstheme="minorHAnsi"/>
                <w:sz w:val="32"/>
                <w:szCs w:val="32"/>
                <w:lang w:val="fr-FR"/>
              </w:rPr>
              <w:br/>
            </w:r>
            <w:r w:rsidRPr="00D2421C">
              <w:rPr>
                <w:rFonts w:cstheme="minorHAnsi"/>
                <w:sz w:val="32"/>
                <w:szCs w:val="32"/>
                <w:lang w:val="fr-FR"/>
              </w:rPr>
              <w:t>LA SÉLECTION DES PAYS HÔTES DES CONFÉRENCES</w:t>
            </w:r>
            <w:r>
              <w:rPr>
                <w:rFonts w:cstheme="minorHAnsi"/>
                <w:sz w:val="32"/>
                <w:szCs w:val="32"/>
                <w:lang w:val="fr-FR"/>
              </w:rPr>
              <w:t xml:space="preserve"> </w:t>
            </w:r>
            <w:r w:rsidRPr="00D2421C">
              <w:rPr>
                <w:rFonts w:cstheme="minorHAnsi"/>
                <w:sz w:val="32"/>
                <w:szCs w:val="32"/>
                <w:lang w:val="fr-FR"/>
              </w:rPr>
              <w:t>DE PLÉNIPOTENTIAIRES DE L'UIT</w:t>
            </w:r>
          </w:p>
        </w:tc>
      </w:tr>
      <w:tr w:rsidR="00D72F49" w:rsidRPr="00D2421C" w14:paraId="506B1A0E" w14:textId="77777777" w:rsidTr="00796BDB">
        <w:trPr>
          <w:cantSplit/>
        </w:trPr>
        <w:tc>
          <w:tcPr>
            <w:tcW w:w="9214" w:type="dxa"/>
            <w:gridSpan w:val="2"/>
            <w:tcBorders>
              <w:top w:val="single" w:sz="4" w:space="0" w:color="auto"/>
              <w:bottom w:val="single" w:sz="4" w:space="0" w:color="auto"/>
            </w:tcBorders>
            <w:tcMar>
              <w:left w:w="0" w:type="dxa"/>
            </w:tcMar>
          </w:tcPr>
          <w:p w14:paraId="429BDA6A" w14:textId="77777777" w:rsidR="00D72F49" w:rsidRPr="00D2421C" w:rsidRDefault="00F37FE5" w:rsidP="00796BDB">
            <w:pPr>
              <w:spacing w:before="160"/>
              <w:rPr>
                <w:b/>
                <w:bCs/>
                <w:sz w:val="26"/>
                <w:szCs w:val="26"/>
              </w:rPr>
            </w:pPr>
            <w:r w:rsidRPr="00D2421C">
              <w:rPr>
                <w:b/>
                <w:bCs/>
                <w:sz w:val="26"/>
                <w:szCs w:val="26"/>
              </w:rPr>
              <w:t>Objet</w:t>
            </w:r>
          </w:p>
          <w:p w14:paraId="7016ECD8" w14:textId="45FF2017" w:rsidR="00D72F49" w:rsidRPr="00D2421C" w:rsidRDefault="005B2FD9" w:rsidP="00090A5A">
            <w:pPr>
              <w:jc w:val="both"/>
            </w:pPr>
            <w:r w:rsidRPr="00D2421C">
              <w:t>La présente contribution vise à renforcer le processus proposé par le Secrétariat pour sélectionner les pays hôtes des conférences et assemblées de l</w:t>
            </w:r>
            <w:r w:rsidR="00764354" w:rsidRPr="00D2421C">
              <w:t>'</w:t>
            </w:r>
            <w:r w:rsidRPr="00D2421C">
              <w:t>UIT et à créer les conditions pratiques propices à une participation plus large des États Membres, en particulier des pays en développement, à ce processus comme l</w:t>
            </w:r>
            <w:r w:rsidR="00764354" w:rsidRPr="00D2421C">
              <w:t>'</w:t>
            </w:r>
            <w:r w:rsidRPr="00D2421C">
              <w:t>a demandé le Groupe de travail du Conseil sur les ressources financières et les ressources humaines en janvier 2026.</w:t>
            </w:r>
          </w:p>
          <w:p w14:paraId="3A892097" w14:textId="77777777" w:rsidR="00D72F49" w:rsidRPr="00D2421C" w:rsidRDefault="00D72F49" w:rsidP="00796BDB">
            <w:pPr>
              <w:spacing w:before="160"/>
              <w:rPr>
                <w:b/>
                <w:bCs/>
                <w:sz w:val="26"/>
                <w:szCs w:val="26"/>
              </w:rPr>
            </w:pPr>
            <w:proofErr w:type="gramStart"/>
            <w:r w:rsidRPr="00D2421C">
              <w:rPr>
                <w:b/>
                <w:bCs/>
                <w:sz w:val="26"/>
                <w:szCs w:val="26"/>
              </w:rPr>
              <w:t>Suite à</w:t>
            </w:r>
            <w:proofErr w:type="gramEnd"/>
            <w:r w:rsidRPr="00D2421C">
              <w:rPr>
                <w:b/>
                <w:bCs/>
                <w:sz w:val="26"/>
                <w:szCs w:val="26"/>
              </w:rPr>
              <w:t xml:space="preserve"> donner par le Conseil</w:t>
            </w:r>
          </w:p>
          <w:p w14:paraId="39B42017" w14:textId="36828AEE" w:rsidR="00D72F49" w:rsidRPr="00D2421C" w:rsidRDefault="005B2FD9" w:rsidP="00796BDB">
            <w:r w:rsidRPr="00D2421C">
              <w:t xml:space="preserve">Le Conseil est invité à </w:t>
            </w:r>
            <w:r w:rsidRPr="00D2421C">
              <w:rPr>
                <w:b/>
                <w:bCs/>
              </w:rPr>
              <w:t>examiner</w:t>
            </w:r>
            <w:r w:rsidRPr="00D2421C">
              <w:t xml:space="preserve"> le présent document.</w:t>
            </w:r>
          </w:p>
          <w:p w14:paraId="40723522" w14:textId="77777777" w:rsidR="00D72F49" w:rsidRPr="00D2421C" w:rsidRDefault="00D72F49" w:rsidP="00796BDB">
            <w:pPr>
              <w:spacing w:before="160"/>
              <w:rPr>
                <w:caps/>
                <w:sz w:val="22"/>
              </w:rPr>
            </w:pPr>
            <w:r w:rsidRPr="00D2421C">
              <w:rPr>
                <w:sz w:val="22"/>
              </w:rPr>
              <w:t>__________________</w:t>
            </w:r>
          </w:p>
          <w:p w14:paraId="786D2EB1" w14:textId="77777777" w:rsidR="00D72F49" w:rsidRPr="00D2421C" w:rsidRDefault="00D72F49" w:rsidP="00796BDB">
            <w:pPr>
              <w:spacing w:before="160"/>
              <w:rPr>
                <w:b/>
                <w:bCs/>
                <w:sz w:val="26"/>
                <w:szCs w:val="26"/>
              </w:rPr>
            </w:pPr>
            <w:r w:rsidRPr="00D2421C">
              <w:rPr>
                <w:b/>
                <w:bCs/>
                <w:sz w:val="26"/>
                <w:szCs w:val="26"/>
              </w:rPr>
              <w:t>Références</w:t>
            </w:r>
          </w:p>
          <w:p w14:paraId="0FA5383C" w14:textId="1C6310B8" w:rsidR="00D72F49" w:rsidRPr="00D2421C" w:rsidRDefault="005B2FD9" w:rsidP="00CE5172">
            <w:pPr>
              <w:pStyle w:val="Referencetext"/>
              <w:framePr w:hSpace="0" w:wrap="auto" w:vAnchor="margin" w:hAnchor="text" w:xAlign="left" w:yAlign="inline"/>
              <w:rPr>
                <w:sz w:val="24"/>
                <w:szCs w:val="24"/>
              </w:rPr>
            </w:pPr>
            <w:hyperlink r:id="rId7" w:history="1">
              <w:r w:rsidRPr="00D2421C">
                <w:rPr>
                  <w:rStyle w:val="Hyperlink"/>
                  <w:rFonts w:eastAsia="Times New Roman" w:cs="Times New Roman"/>
                  <w:sz w:val="24"/>
                  <w:szCs w:val="24"/>
                </w:rPr>
                <w:t xml:space="preserve">Documents </w:t>
              </w:r>
              <w:proofErr w:type="spellStart"/>
              <w:r w:rsidRPr="00D2421C">
                <w:rPr>
                  <w:rStyle w:val="Hyperlink"/>
                  <w:rFonts w:eastAsia="Times New Roman" w:cs="Times New Roman"/>
                  <w:sz w:val="24"/>
                  <w:szCs w:val="24"/>
                </w:rPr>
                <w:t>C26</w:t>
              </w:r>
              <w:proofErr w:type="spellEnd"/>
              <w:r w:rsidRPr="00D2421C">
                <w:rPr>
                  <w:rStyle w:val="Hyperlink"/>
                  <w:rFonts w:eastAsia="Times New Roman" w:cs="Times New Roman"/>
                  <w:sz w:val="24"/>
                  <w:szCs w:val="24"/>
                </w:rPr>
                <w:t>/70</w:t>
              </w:r>
            </w:hyperlink>
            <w:r w:rsidRPr="00D2421C">
              <w:rPr>
                <w:color w:val="000000"/>
                <w:sz w:val="24"/>
                <w:szCs w:val="24"/>
              </w:rPr>
              <w:t xml:space="preserve"> et </w:t>
            </w:r>
            <w:hyperlink r:id="rId8" w:history="1">
              <w:proofErr w:type="spellStart"/>
              <w:r w:rsidRPr="00D2421C">
                <w:rPr>
                  <w:rStyle w:val="Hyperlink"/>
                  <w:rFonts w:eastAsia="Times New Roman" w:cs="Times New Roman"/>
                  <w:sz w:val="24"/>
                  <w:szCs w:val="24"/>
                </w:rPr>
                <w:t>C26</w:t>
              </w:r>
              <w:proofErr w:type="spellEnd"/>
              <w:r w:rsidRPr="00D2421C">
                <w:rPr>
                  <w:rStyle w:val="Hyperlink"/>
                  <w:rFonts w:eastAsia="Times New Roman" w:cs="Times New Roman"/>
                  <w:sz w:val="24"/>
                  <w:szCs w:val="24"/>
                </w:rPr>
                <w:t>/50</w:t>
              </w:r>
            </w:hyperlink>
          </w:p>
        </w:tc>
      </w:tr>
    </w:tbl>
    <w:p w14:paraId="468E2A58" w14:textId="77777777" w:rsidR="00A51849" w:rsidRPr="00D2421C" w:rsidRDefault="00A51849">
      <w:pPr>
        <w:tabs>
          <w:tab w:val="clear" w:pos="567"/>
          <w:tab w:val="clear" w:pos="1134"/>
          <w:tab w:val="clear" w:pos="1701"/>
          <w:tab w:val="clear" w:pos="2268"/>
          <w:tab w:val="clear" w:pos="2835"/>
        </w:tabs>
        <w:overflowPunct/>
        <w:autoSpaceDE/>
        <w:autoSpaceDN/>
        <w:adjustRightInd/>
        <w:spacing w:before="0"/>
        <w:textAlignment w:val="auto"/>
      </w:pPr>
      <w:r w:rsidRPr="00D2421C">
        <w:br w:type="page"/>
      </w:r>
    </w:p>
    <w:p w14:paraId="27289060" w14:textId="77777777" w:rsidR="005B2FD9" w:rsidRPr="00D2421C" w:rsidRDefault="005B2FD9" w:rsidP="005B2FD9">
      <w:pPr>
        <w:pStyle w:val="Heading1"/>
      </w:pPr>
      <w:r w:rsidRPr="00D2421C">
        <w:rPr>
          <w:bCs/>
        </w:rPr>
        <w:lastRenderedPageBreak/>
        <w:t>1</w:t>
      </w:r>
      <w:r w:rsidRPr="00D2421C">
        <w:tab/>
      </w:r>
      <w:r w:rsidRPr="00D2421C">
        <w:rPr>
          <w:bCs/>
        </w:rPr>
        <w:t>Contexte</w:t>
      </w:r>
    </w:p>
    <w:p w14:paraId="5A378957" w14:textId="3BB18C32" w:rsidR="005B2FD9" w:rsidRPr="00D2421C" w:rsidRDefault="005B2FD9" w:rsidP="00090A5A">
      <w:pPr>
        <w:jc w:val="both"/>
      </w:pPr>
      <w:r w:rsidRPr="00D2421C">
        <w:t>1.1</w:t>
      </w:r>
      <w:r w:rsidRPr="00D2421C">
        <w:tab/>
        <w:t>Nous tenons à exprimer notre gratitude au Secrétariat pour sa proposition, qui vise à créer un processus normalisé et transparent de sélection des pays hôtes des conférences et assemblées de l</w:t>
      </w:r>
      <w:r w:rsidR="00764354" w:rsidRPr="00D2421C">
        <w:t>'</w:t>
      </w:r>
      <w:r w:rsidRPr="00D2421C">
        <w:t>UIT, conformément aux orientations et aux discussions antérieures du Conseil. Cette proposition définit un calendrier structuré commençant quatre ans à l</w:t>
      </w:r>
      <w:r w:rsidR="00764354" w:rsidRPr="00D2421C">
        <w:t>'</w:t>
      </w:r>
      <w:r w:rsidRPr="00D2421C">
        <w:t>avance par un appel à propositions officiel, suivi de soumissions d</w:t>
      </w:r>
      <w:r w:rsidR="00764354" w:rsidRPr="00D2421C">
        <w:t>'</w:t>
      </w:r>
      <w:r w:rsidRPr="00D2421C">
        <w:t>offres, d</w:t>
      </w:r>
      <w:r w:rsidR="00764354" w:rsidRPr="00D2421C">
        <w:t>'</w:t>
      </w:r>
      <w:r w:rsidRPr="00D2421C">
        <w:t xml:space="preserve">une procédure dirigée par le </w:t>
      </w:r>
      <w:r w:rsidR="007A01CC" w:rsidRPr="00D2421C">
        <w:t>S</w:t>
      </w:r>
      <w:r w:rsidRPr="00D2421C">
        <w:t>ecrétariat faisant preuve de diligence raisonnable et d</w:t>
      </w:r>
      <w:r w:rsidR="00764354" w:rsidRPr="00D2421C">
        <w:t>'</w:t>
      </w:r>
      <w:r w:rsidRPr="00D2421C">
        <w:t>un processus de sélection finale mené par le Conseil ou la Conférence de plénipotentiaires qui tienne compte d</w:t>
      </w:r>
      <w:r w:rsidR="00764354" w:rsidRPr="00D2421C">
        <w:t>'</w:t>
      </w:r>
      <w:r w:rsidRPr="00D2421C">
        <w:t>aspects liés à la conformité et qui respecte le principe de répartition géographique.</w:t>
      </w:r>
    </w:p>
    <w:p w14:paraId="1F9CBFF9" w14:textId="2539AF00" w:rsidR="005B2FD9" w:rsidRPr="00D2421C" w:rsidRDefault="005B2FD9" w:rsidP="00090A5A">
      <w:pPr>
        <w:jc w:val="both"/>
      </w:pPr>
      <w:r w:rsidRPr="00D2421C">
        <w:t>1.2</w:t>
      </w:r>
      <w:r w:rsidRPr="00D2421C">
        <w:tab/>
        <w:t>Nous tenons également à exprimer notre gratitude pour la création du portail web destiné aux candidatures des pays hôtes, sur lequel sont centralisées toutes les informations pertinentes et les candidatures. La proposition du Secrétariat indique également les coûts liés à l</w:t>
      </w:r>
      <w:r w:rsidR="00764354" w:rsidRPr="00D2421C">
        <w:t>'</w:t>
      </w:r>
      <w:r w:rsidRPr="00D2421C">
        <w:t>organisation des manifestations, y compris les dépenses nationales et les dépenses remboursables de l</w:t>
      </w:r>
      <w:r w:rsidR="00764354" w:rsidRPr="00D2421C">
        <w:t>'</w:t>
      </w:r>
      <w:r w:rsidRPr="00D2421C">
        <w:t>UIT, tout en mettant l</w:t>
      </w:r>
      <w:r w:rsidR="00764354" w:rsidRPr="00D2421C">
        <w:t>'</w:t>
      </w:r>
      <w:r w:rsidRPr="00D2421C">
        <w:t>accent sur les efforts visant à réduire les charges financières et à encourager une plus large participation. Le cadre défini proposé par le Secrétariat vise à favoriser l</w:t>
      </w:r>
      <w:r w:rsidR="00764354" w:rsidRPr="00D2421C">
        <w:t>'</w:t>
      </w:r>
      <w:r w:rsidRPr="00D2421C">
        <w:t>équité, la cohérence et la prévisibilité, et il est proposé de le mettre en œuvre pour les conférences à partir de 2031.</w:t>
      </w:r>
    </w:p>
    <w:p w14:paraId="5B7D867A" w14:textId="59950674" w:rsidR="005B2FD9" w:rsidRPr="00D2421C" w:rsidRDefault="005B2FD9" w:rsidP="00090A5A">
      <w:pPr>
        <w:jc w:val="both"/>
      </w:pPr>
      <w:r w:rsidRPr="00D2421C">
        <w:t>1.3</w:t>
      </w:r>
      <w:r w:rsidRPr="00D2421C">
        <w:tab/>
        <w:t>La Conférence de plénipotentiaires (PP) demeure l</w:t>
      </w:r>
      <w:r w:rsidR="00764354" w:rsidRPr="00D2421C">
        <w:t>'</w:t>
      </w:r>
      <w:r w:rsidRPr="00D2421C">
        <w:t>autorité suprême de l</w:t>
      </w:r>
      <w:r w:rsidR="00764354" w:rsidRPr="00D2421C">
        <w:t>'</w:t>
      </w:r>
      <w:r w:rsidRPr="00D2421C">
        <w:t>Union internationale des télécommunications (UIT) et définit les politiques générales de celle-ci, adopte ses plans stratégique et financier quadriennaux et élit ses hauts dirigeants. Depuis</w:t>
      </w:r>
      <w:r w:rsidR="007A01CC" w:rsidRPr="00D2421C">
        <w:t> </w:t>
      </w:r>
      <w:r w:rsidRPr="00D2421C">
        <w:t>1947, les PP constituent un jalon important dans l</w:t>
      </w:r>
      <w:r w:rsidR="00764354" w:rsidRPr="00D2421C">
        <w:t>'</w:t>
      </w:r>
      <w:r w:rsidRPr="00D2421C">
        <w:t>évolution de la gouvernance des télécommunications à l</w:t>
      </w:r>
      <w:r w:rsidR="00764354" w:rsidRPr="00D2421C">
        <w:t>'</w:t>
      </w:r>
      <w:r w:rsidRPr="00D2421C">
        <w:t>échelle mondiale.</w:t>
      </w:r>
    </w:p>
    <w:p w14:paraId="799CDA0C" w14:textId="45257285" w:rsidR="005B2FD9" w:rsidRPr="00D2421C" w:rsidRDefault="005B2FD9" w:rsidP="00090A5A">
      <w:pPr>
        <w:jc w:val="both"/>
      </w:pPr>
      <w:r w:rsidRPr="00D2421C">
        <w:t>1.4</w:t>
      </w:r>
      <w:r w:rsidRPr="00D2421C">
        <w:tab/>
        <w:t>Conformément au caractère international de l</w:t>
      </w:r>
      <w:r w:rsidR="00764354" w:rsidRPr="00D2421C">
        <w:t>'</w:t>
      </w:r>
      <w:r w:rsidRPr="00D2421C">
        <w:t>UIT, chaque conférence est accueillie par un État Membre. Cette tradition a permis à la Conférence de plénipotentiaires d</w:t>
      </w:r>
      <w:r w:rsidR="00764354" w:rsidRPr="00D2421C">
        <w:t>'</w:t>
      </w:r>
      <w:r w:rsidRPr="00D2421C">
        <w:t>incarner symboliquement et concrètement le mandat inclusif de l</w:t>
      </w:r>
      <w:r w:rsidR="00764354" w:rsidRPr="00D2421C">
        <w:t>'</w:t>
      </w:r>
      <w:r w:rsidRPr="00D2421C">
        <w:t>Union, tout en conférant au pays hôte prestige et visibilité stratégique.</w:t>
      </w:r>
    </w:p>
    <w:p w14:paraId="1165F580" w14:textId="5A03B9AE" w:rsidR="005B2FD9" w:rsidRPr="00D2421C" w:rsidRDefault="005B2FD9" w:rsidP="00090A5A">
      <w:pPr>
        <w:jc w:val="both"/>
      </w:pPr>
      <w:r w:rsidRPr="00D2421C">
        <w:t>1.5</w:t>
      </w:r>
      <w:r w:rsidRPr="00D2421C">
        <w:tab/>
        <w:t>La nécessité de veiller à ce que ce processus soit mené à bien en toute transparence et dans les délais a été expressément reconnue au plus haut niveau de l</w:t>
      </w:r>
      <w:r w:rsidR="00764354" w:rsidRPr="00D2421C">
        <w:t>'</w:t>
      </w:r>
      <w:r w:rsidRPr="00D2421C">
        <w:t>Union. À la session de</w:t>
      </w:r>
      <w:r w:rsidR="007A01CC" w:rsidRPr="00D2421C">
        <w:t> </w:t>
      </w:r>
      <w:r w:rsidRPr="00D2421C">
        <w:t>2025 du Conseil, lors des débats qui ont précédé le vote sur la tenue de la CMR-27, les États Membres ont demandé que des invitations ouvertes à tous et prévisibles soient envoyées concernant l</w:t>
      </w:r>
      <w:r w:rsidR="00764354" w:rsidRPr="00D2421C">
        <w:t>'</w:t>
      </w:r>
      <w:r w:rsidRPr="00D2421C">
        <w:t>accueil des conférences et des assemblées. Au fil du temps, les régions choisies pour accueillir les manifestations de l</w:t>
      </w:r>
      <w:r w:rsidR="00764354" w:rsidRPr="00D2421C">
        <w:t>'</w:t>
      </w:r>
      <w:r w:rsidRPr="00D2421C">
        <w:t>UIT se sont diversifiées, bien que cela se soit fait de manière informelle. On trouvera dans l</w:t>
      </w:r>
      <w:r w:rsidR="00764354" w:rsidRPr="00D2421C">
        <w:t>'</w:t>
      </w:r>
      <w:r w:rsidR="007A01CC" w:rsidRPr="00D2421C">
        <w:t>a</w:t>
      </w:r>
      <w:r w:rsidRPr="00D2421C">
        <w:t>nnexe la liste des pays hôtes précédents et futurs.</w:t>
      </w:r>
    </w:p>
    <w:p w14:paraId="0F87DBC9" w14:textId="5BF731B6" w:rsidR="005B2FD9" w:rsidRPr="00D2421C" w:rsidRDefault="005B2FD9" w:rsidP="005B2FD9">
      <w:pPr>
        <w:pStyle w:val="Headingb"/>
      </w:pPr>
      <w:r w:rsidRPr="00D2421C">
        <w:rPr>
          <w:bCs/>
        </w:rPr>
        <w:t xml:space="preserve">Sujets à </w:t>
      </w:r>
      <w:proofErr w:type="gramStart"/>
      <w:r w:rsidRPr="00D2421C">
        <w:rPr>
          <w:bCs/>
        </w:rPr>
        <w:t>examiner:</w:t>
      </w:r>
      <w:proofErr w:type="gramEnd"/>
      <w:r w:rsidRPr="00D2421C">
        <w:rPr>
          <w:bCs/>
        </w:rPr>
        <w:t xml:space="preserve"> transparence, équilibre régional et conditions propices à une participation plus large dans le choix des pays hôtes</w:t>
      </w:r>
    </w:p>
    <w:p w14:paraId="6A076EE8" w14:textId="648EE3D1" w:rsidR="005B2FD9" w:rsidRPr="00D2421C" w:rsidRDefault="005B2FD9" w:rsidP="00090A5A">
      <w:pPr>
        <w:jc w:val="both"/>
      </w:pPr>
      <w:r w:rsidRPr="00D2421C">
        <w:t>1.6</w:t>
      </w:r>
      <w:r w:rsidRPr="00D2421C">
        <w:tab/>
        <w:t>Si la pratique consistant à choisir un État Membre différent pour accueillir chaque Conférence de plénipotentiaires a été largement maintenue, les cycles précédents montrent qu</w:t>
      </w:r>
      <w:r w:rsidR="00764354" w:rsidRPr="00D2421C">
        <w:t>'</w:t>
      </w:r>
      <w:r w:rsidRPr="00D2421C">
        <w:t>il est nécessaire de mettre en place un processus plus structuré et transparent qui tienne dûment compte de l</w:t>
      </w:r>
      <w:r w:rsidR="00764354" w:rsidRPr="00D2421C">
        <w:t>'</w:t>
      </w:r>
      <w:r w:rsidRPr="00D2421C">
        <w:t>équilibre géographique et de l</w:t>
      </w:r>
      <w:r w:rsidR="00764354" w:rsidRPr="00D2421C">
        <w:t>'</w:t>
      </w:r>
      <w:r w:rsidRPr="00D2421C">
        <w:t>égalité des chances entre les régions.</w:t>
      </w:r>
    </w:p>
    <w:p w14:paraId="3A369FA9" w14:textId="77777777" w:rsidR="005B2FD9" w:rsidRPr="00D2421C" w:rsidRDefault="005B2FD9" w:rsidP="007A01CC">
      <w:pPr>
        <w:keepNext/>
        <w:keepLines/>
      </w:pPr>
      <w:r w:rsidRPr="00D2421C">
        <w:t>1.7</w:t>
      </w:r>
      <w:r w:rsidRPr="00D2421C">
        <w:tab/>
        <w:t xml:space="preserve">On </w:t>
      </w:r>
      <w:proofErr w:type="gramStart"/>
      <w:r w:rsidRPr="00D2421C">
        <w:t>constate:</w:t>
      </w:r>
      <w:proofErr w:type="gramEnd"/>
    </w:p>
    <w:p w14:paraId="5C97E704" w14:textId="477708BB" w:rsidR="005B2FD9" w:rsidRPr="00D2421C" w:rsidRDefault="005B2FD9" w:rsidP="00090A5A">
      <w:pPr>
        <w:pStyle w:val="enumlev1"/>
        <w:jc w:val="both"/>
      </w:pPr>
      <w:r w:rsidRPr="00D2421C">
        <w:tab/>
      </w:r>
      <w:proofErr w:type="gramStart"/>
      <w:r w:rsidRPr="00D2421C">
        <w:t>que</w:t>
      </w:r>
      <w:proofErr w:type="gramEnd"/>
      <w:r w:rsidRPr="00D2421C">
        <w:t xml:space="preserve"> le processus de sélection des pays hôte ne fait pas l</w:t>
      </w:r>
      <w:r w:rsidR="00764354" w:rsidRPr="00D2421C">
        <w:t>'</w:t>
      </w:r>
      <w:r w:rsidRPr="00D2421C">
        <w:t>objet d</w:t>
      </w:r>
      <w:r w:rsidR="00764354" w:rsidRPr="00D2421C">
        <w:t>'</w:t>
      </w:r>
      <w:r w:rsidRPr="00D2421C">
        <w:t>un appel de déclaration d</w:t>
      </w:r>
      <w:r w:rsidR="00764354" w:rsidRPr="00D2421C">
        <w:t>'</w:t>
      </w:r>
      <w:r w:rsidRPr="00D2421C">
        <w:t>intérêt ouvert et limité dans le temps, accessible à tous les États</w:t>
      </w:r>
      <w:r w:rsidR="007A01CC" w:rsidRPr="00D2421C">
        <w:t> </w:t>
      </w:r>
      <w:proofErr w:type="gramStart"/>
      <w:r w:rsidRPr="00D2421C">
        <w:t>Membres;</w:t>
      </w:r>
      <w:proofErr w:type="gramEnd"/>
    </w:p>
    <w:p w14:paraId="4A866F60" w14:textId="66D4DAE1" w:rsidR="005B2FD9" w:rsidRPr="00D2421C" w:rsidRDefault="005B2FD9" w:rsidP="00090A5A">
      <w:pPr>
        <w:pStyle w:val="enumlev1"/>
        <w:jc w:val="both"/>
      </w:pPr>
      <w:r w:rsidRPr="00D2421C">
        <w:lastRenderedPageBreak/>
        <w:tab/>
      </w:r>
      <w:proofErr w:type="gramStart"/>
      <w:r w:rsidRPr="00D2421C">
        <w:t>que</w:t>
      </w:r>
      <w:proofErr w:type="gramEnd"/>
      <w:r w:rsidRPr="00D2421C">
        <w:t xml:space="preserve"> les procédures de l</w:t>
      </w:r>
      <w:r w:rsidR="00764354" w:rsidRPr="00D2421C">
        <w:t>'</w:t>
      </w:r>
      <w:r w:rsidRPr="00D2421C">
        <w:t xml:space="preserve">Union ne prévoient pas de mécanisme formel garantissant un choix prévisible ou une représentation régionale équilibrée des pays hôtes, et que la proposition du Secrétariat vise à remédier à ce </w:t>
      </w:r>
      <w:proofErr w:type="gramStart"/>
      <w:r w:rsidRPr="00D2421C">
        <w:t>problème;</w:t>
      </w:r>
      <w:proofErr w:type="gramEnd"/>
    </w:p>
    <w:p w14:paraId="226B976F" w14:textId="38B4F09D" w:rsidR="005B2FD9" w:rsidRPr="00D2421C" w:rsidRDefault="005B2FD9" w:rsidP="00090A5A">
      <w:pPr>
        <w:pStyle w:val="enumlev1"/>
        <w:jc w:val="both"/>
      </w:pPr>
      <w:r w:rsidRPr="00D2421C">
        <w:tab/>
      </w:r>
      <w:proofErr w:type="gramStart"/>
      <w:r w:rsidRPr="00D2421C">
        <w:t>que</w:t>
      </w:r>
      <w:proofErr w:type="gramEnd"/>
      <w:r w:rsidRPr="00D2421C">
        <w:t xml:space="preserve"> l</w:t>
      </w:r>
      <w:r w:rsidR="00764354" w:rsidRPr="00D2421C">
        <w:t>'</w:t>
      </w:r>
      <w:r w:rsidRPr="00D2421C">
        <w:t>absence d</w:t>
      </w:r>
      <w:r w:rsidR="00764354" w:rsidRPr="00D2421C">
        <w:t>'</w:t>
      </w:r>
      <w:r w:rsidRPr="00D2421C">
        <w:t>une période d</w:t>
      </w:r>
      <w:r w:rsidR="00764354" w:rsidRPr="00D2421C">
        <w:t>'</w:t>
      </w:r>
      <w:r w:rsidRPr="00D2421C">
        <w:t>appel à candidatures claire et d</w:t>
      </w:r>
      <w:r w:rsidR="00764354" w:rsidRPr="00D2421C">
        <w:t>'</w:t>
      </w:r>
      <w:r w:rsidRPr="00D2421C">
        <w:t>un mécanisme d</w:t>
      </w:r>
      <w:r w:rsidR="00764354" w:rsidRPr="00D2421C">
        <w:t>'</w:t>
      </w:r>
      <w:r w:rsidRPr="00D2421C">
        <w:t xml:space="preserve">information destiné aux candidats non retenus peut réduire la prévisibilité et décourager une participation plus large à </w:t>
      </w:r>
      <w:proofErr w:type="gramStart"/>
      <w:r w:rsidRPr="00D2421C">
        <w:t>l</w:t>
      </w:r>
      <w:r w:rsidR="00764354" w:rsidRPr="00D2421C">
        <w:t>'</w:t>
      </w:r>
      <w:r w:rsidRPr="00D2421C">
        <w:t>avenir;</w:t>
      </w:r>
      <w:proofErr w:type="gramEnd"/>
    </w:p>
    <w:p w14:paraId="149D43D6" w14:textId="07B500C2" w:rsidR="005B2FD9" w:rsidRPr="00D2421C" w:rsidRDefault="005B2FD9" w:rsidP="00090A5A">
      <w:pPr>
        <w:pStyle w:val="enumlev1"/>
        <w:jc w:val="both"/>
      </w:pPr>
      <w:r w:rsidRPr="00D2421C">
        <w:tab/>
      </w:r>
      <w:proofErr w:type="gramStart"/>
      <w:r w:rsidRPr="00D2421C">
        <w:t>que</w:t>
      </w:r>
      <w:proofErr w:type="gramEnd"/>
      <w:r w:rsidRPr="00D2421C">
        <w:t xml:space="preserve"> certaines régions n</w:t>
      </w:r>
      <w:r w:rsidR="00764354" w:rsidRPr="00D2421C">
        <w:t>'</w:t>
      </w:r>
      <w:r w:rsidRPr="00D2421C">
        <w:t xml:space="preserve">ont pas accueilli la Conférence de plénipotentiaires depuis plus de vingt </w:t>
      </w:r>
      <w:proofErr w:type="gramStart"/>
      <w:r w:rsidRPr="00D2421C">
        <w:t>ans;</w:t>
      </w:r>
      <w:proofErr w:type="gramEnd"/>
    </w:p>
    <w:p w14:paraId="7040194B" w14:textId="630A67A8" w:rsidR="005B2FD9" w:rsidRPr="00D2421C" w:rsidRDefault="005B2FD9" w:rsidP="00090A5A">
      <w:pPr>
        <w:pStyle w:val="enumlev1"/>
        <w:jc w:val="both"/>
      </w:pPr>
      <w:r w:rsidRPr="00D2421C">
        <w:tab/>
      </w:r>
      <w:proofErr w:type="gramStart"/>
      <w:r w:rsidRPr="00D2421C">
        <w:t>que</w:t>
      </w:r>
      <w:proofErr w:type="gramEnd"/>
      <w:r w:rsidRPr="00D2421C">
        <w:t>, dans le cas de la région Afrique, par exemple, seules deux Conférences de plénipotentiaires ont eu lieu sur le continent, en 1982 (Nairobi) et en 2002 (Marrakech), alors que la région Europe l</w:t>
      </w:r>
      <w:r w:rsidR="00764354" w:rsidRPr="00D2421C">
        <w:t>'</w:t>
      </w:r>
      <w:r w:rsidRPr="00D2421C">
        <w:t>a accueillie à sept reprises et la région Amériques à quatre reprises depuis 1947. Comme la région Afrique, la région Asie-Pacifique et la région des États arabes ont chacun accueilli deux PP, la principale différence étant que d</w:t>
      </w:r>
      <w:r w:rsidR="00764354" w:rsidRPr="00D2421C">
        <w:t>'</w:t>
      </w:r>
      <w:r w:rsidRPr="00D2421C">
        <w:t>ici à la Conférence de 2026, qui doit se tenir à Doha (Qatar), vingt-quatre ans se seront écoulés depuis la dernière fois qu</w:t>
      </w:r>
      <w:r w:rsidR="00764354" w:rsidRPr="00D2421C">
        <w:t>'</w:t>
      </w:r>
      <w:r w:rsidRPr="00D2421C">
        <w:t>un pays africain a accueilli une conférence, alors que la région Afrique compte 54 États Membres de l</w:t>
      </w:r>
      <w:r w:rsidR="00764354" w:rsidRPr="00D2421C">
        <w:t>'</w:t>
      </w:r>
      <w:r w:rsidRPr="00D2421C">
        <w:t>UIT et occupe 13 sièges au Conseil.</w:t>
      </w:r>
    </w:p>
    <w:p w14:paraId="6617470F" w14:textId="4F9718BB" w:rsidR="005B2FD9" w:rsidRPr="00D2421C" w:rsidRDefault="005B2FD9" w:rsidP="00090A5A">
      <w:pPr>
        <w:jc w:val="both"/>
      </w:pPr>
      <w:r w:rsidRPr="00D2421C">
        <w:t>1.8</w:t>
      </w:r>
      <w:r w:rsidRPr="00D2421C">
        <w:tab/>
        <w:t>Il est admis que le choix des pays hôtes est fondé sur un certain nombre de considérations pratiques, notamment l</w:t>
      </w:r>
      <w:r w:rsidR="00764354" w:rsidRPr="00D2421C">
        <w:t>'</w:t>
      </w:r>
      <w:r w:rsidRPr="00D2421C">
        <w:t>infrastructure, les engagements financiers et les déclarations d</w:t>
      </w:r>
      <w:r w:rsidR="00764354" w:rsidRPr="00D2421C">
        <w:t>'</w:t>
      </w:r>
      <w:r w:rsidRPr="00D2421C">
        <w:t>intérêt des États Membres. Néanmoins, le fait de permettre une participation plus large en vue de la sélection des pays hôtes des réunions de haut niveau est conforme aux principes d</w:t>
      </w:r>
      <w:r w:rsidR="00764354" w:rsidRPr="00D2421C">
        <w:t>'</w:t>
      </w:r>
      <w:r w:rsidRPr="00D2421C">
        <w:t>équité, d</w:t>
      </w:r>
      <w:r w:rsidR="00764354" w:rsidRPr="00D2421C">
        <w:t>'</w:t>
      </w:r>
      <w:r w:rsidRPr="00D2421C">
        <w:t>inclusion et de participation à l</w:t>
      </w:r>
      <w:r w:rsidR="00764354" w:rsidRPr="00D2421C">
        <w:t>'</w:t>
      </w:r>
      <w:r w:rsidRPr="00D2421C">
        <w:t>échelle mondiale qui sous-tendent les travaux de l</w:t>
      </w:r>
      <w:r w:rsidR="00764354" w:rsidRPr="00D2421C">
        <w:t>'</w:t>
      </w:r>
      <w:r w:rsidRPr="00D2421C">
        <w:t>UIT.</w:t>
      </w:r>
    </w:p>
    <w:p w14:paraId="260DEB2F" w14:textId="77777777" w:rsidR="005B2FD9" w:rsidRPr="00D2421C" w:rsidRDefault="005B2FD9" w:rsidP="005B2FD9">
      <w:pPr>
        <w:pStyle w:val="Heading1"/>
      </w:pPr>
      <w:r w:rsidRPr="00D2421C">
        <w:rPr>
          <w:bCs/>
        </w:rPr>
        <w:t>2</w:t>
      </w:r>
      <w:r w:rsidRPr="00D2421C">
        <w:tab/>
      </w:r>
      <w:r w:rsidRPr="00D2421C">
        <w:rPr>
          <w:bCs/>
        </w:rPr>
        <w:t>Proposition</w:t>
      </w:r>
    </w:p>
    <w:p w14:paraId="7F0430A7" w14:textId="7B40E691" w:rsidR="005B2FD9" w:rsidRPr="00D2421C" w:rsidRDefault="005B2FD9" w:rsidP="00090A5A">
      <w:pPr>
        <w:jc w:val="both"/>
      </w:pPr>
      <w:r w:rsidRPr="00D2421C">
        <w:t>2.1</w:t>
      </w:r>
      <w:r w:rsidRPr="00D2421C">
        <w:tab/>
        <w:t>Compte tenu de ce qui précède, et sans jamais perdre de vue les prérogatives du Conseil de l</w:t>
      </w:r>
      <w:r w:rsidR="00764354" w:rsidRPr="00D2421C">
        <w:t>'</w:t>
      </w:r>
      <w:r w:rsidRPr="00D2421C">
        <w:t xml:space="preserve">UIT, il est proposé que le Conseil </w:t>
      </w:r>
      <w:proofErr w:type="gramStart"/>
      <w:r w:rsidRPr="00D2421C">
        <w:t>envisage:</w:t>
      </w:r>
      <w:proofErr w:type="gramEnd"/>
    </w:p>
    <w:p w14:paraId="5ECB7AEA" w14:textId="32636997" w:rsidR="005B2FD9" w:rsidRPr="00D2421C" w:rsidRDefault="005B2FD9" w:rsidP="00090A5A">
      <w:pPr>
        <w:pStyle w:val="enumlev1"/>
        <w:jc w:val="both"/>
      </w:pPr>
      <w:r w:rsidRPr="00D2421C">
        <w:t>2.1.1</w:t>
      </w:r>
      <w:r w:rsidRPr="00D2421C">
        <w:tab/>
        <w:t>de lancer des appels ouverts à tous et limités dans le temps durant lesquels les pays peuvent manifester leur intérêt en vue d</w:t>
      </w:r>
      <w:r w:rsidR="00764354" w:rsidRPr="00D2421C">
        <w:t>'</w:t>
      </w:r>
      <w:r w:rsidRPr="00D2421C">
        <w:t>accueillir la Conférence de plénipotentiaires et d</w:t>
      </w:r>
      <w:r w:rsidR="00764354" w:rsidRPr="00D2421C">
        <w:t>'</w:t>
      </w:r>
      <w:r w:rsidRPr="00D2421C">
        <w:t>autres réunions statutaires importantes, en communiquant suffisamment à l</w:t>
      </w:r>
      <w:r w:rsidR="00764354" w:rsidRPr="00D2421C">
        <w:t>'</w:t>
      </w:r>
      <w:r w:rsidRPr="00D2421C">
        <w:t>avance et clairement les délais et les critères à prendre en compte à tous les États</w:t>
      </w:r>
      <w:r w:rsidR="00CA1D6A" w:rsidRPr="00D2421C">
        <w:t> </w:t>
      </w:r>
      <w:r w:rsidRPr="00D2421C">
        <w:t>Membres pour qu</w:t>
      </w:r>
      <w:r w:rsidR="00764354" w:rsidRPr="00D2421C">
        <w:t>'</w:t>
      </w:r>
      <w:r w:rsidRPr="00D2421C">
        <w:t xml:space="preserve">ils puissent élaborer des propositions de candidature en fonction de leurs cycles de planification et budgétaires </w:t>
      </w:r>
      <w:proofErr w:type="gramStart"/>
      <w:r w:rsidRPr="00D2421C">
        <w:t>nationaux;</w:t>
      </w:r>
      <w:proofErr w:type="gramEnd"/>
    </w:p>
    <w:p w14:paraId="3F3753C6" w14:textId="042B4575" w:rsidR="005B2FD9" w:rsidRPr="00D2421C" w:rsidRDefault="005B2FD9" w:rsidP="00090A5A">
      <w:pPr>
        <w:pStyle w:val="enumlev1"/>
        <w:jc w:val="both"/>
      </w:pPr>
      <w:r w:rsidRPr="00D2421C">
        <w:t>2.1.2</w:t>
      </w:r>
      <w:r w:rsidRPr="00D2421C">
        <w:tab/>
        <w:t>de consacrer le principe de rotation régionale comme un élément central du processus de sélection des pays hôtes, systématiquement appliqué au cours des cycles successifs afin de garantir l</w:t>
      </w:r>
      <w:r w:rsidR="00764354" w:rsidRPr="00D2421C">
        <w:t>'</w:t>
      </w:r>
      <w:r w:rsidRPr="00D2421C">
        <w:t xml:space="preserve">égalité des chances de toutes les </w:t>
      </w:r>
      <w:proofErr w:type="gramStart"/>
      <w:r w:rsidRPr="00D2421C">
        <w:t>régions;</w:t>
      </w:r>
      <w:proofErr w:type="gramEnd"/>
    </w:p>
    <w:p w14:paraId="4895BAEE" w14:textId="4B9C99FF" w:rsidR="005B2FD9" w:rsidRPr="00D2421C" w:rsidRDefault="005B2FD9" w:rsidP="00090A5A">
      <w:pPr>
        <w:pStyle w:val="enumlev1"/>
        <w:jc w:val="both"/>
      </w:pPr>
      <w:r w:rsidRPr="00D2421C">
        <w:t>2.1.3</w:t>
      </w:r>
      <w:r w:rsidRPr="00D2421C">
        <w:tab/>
        <w:t>d</w:t>
      </w:r>
      <w:r w:rsidR="00764354" w:rsidRPr="00D2421C">
        <w:t>'</w:t>
      </w:r>
      <w:r w:rsidRPr="00D2421C">
        <w:t>encourager les candidatures de régions sous-représentées, conformément aux objectifs de développement de l</w:t>
      </w:r>
      <w:r w:rsidR="00764354" w:rsidRPr="00D2421C">
        <w:t>'</w:t>
      </w:r>
      <w:r w:rsidRPr="00D2421C">
        <w:t>Union, afin de promouvoir l</w:t>
      </w:r>
      <w:r w:rsidR="00764354" w:rsidRPr="00D2421C">
        <w:t>'</w:t>
      </w:r>
      <w:r w:rsidRPr="00D2421C">
        <w:t>équité et l</w:t>
      </w:r>
      <w:r w:rsidR="00764354" w:rsidRPr="00D2421C">
        <w:t>'</w:t>
      </w:r>
      <w:r w:rsidRPr="00D2421C">
        <w:t xml:space="preserve">inclusion institutionnelle dans le domaine des </w:t>
      </w:r>
      <w:proofErr w:type="gramStart"/>
      <w:r w:rsidRPr="00D2421C">
        <w:t>TIC;</w:t>
      </w:r>
      <w:proofErr w:type="gramEnd"/>
    </w:p>
    <w:p w14:paraId="33311ACC" w14:textId="78216F85" w:rsidR="005B2FD9" w:rsidRPr="00D2421C" w:rsidRDefault="005B2FD9" w:rsidP="00090A5A">
      <w:pPr>
        <w:pStyle w:val="enumlev1"/>
        <w:jc w:val="both"/>
      </w:pPr>
      <w:r w:rsidRPr="00D2421C">
        <w:t>2.1.4</w:t>
      </w:r>
      <w:r w:rsidRPr="00D2421C">
        <w:tab/>
        <w:t>d</w:t>
      </w:r>
      <w:r w:rsidR="00764354" w:rsidRPr="00D2421C">
        <w:t>'</w:t>
      </w:r>
      <w:r w:rsidRPr="00D2421C">
        <w:t>étudier notre position concertée selon laquelle l</w:t>
      </w:r>
      <w:r w:rsidR="00764354" w:rsidRPr="00D2421C">
        <w:t>'</w:t>
      </w:r>
      <w:r w:rsidRPr="00D2421C">
        <w:t>ensemble de ces mesures améliorerait la transparence, renforcerait la participation régionale et garantirait une répartition plus équitable des avantages liés à l</w:t>
      </w:r>
      <w:r w:rsidR="00764354" w:rsidRPr="00D2421C">
        <w:t>'</w:t>
      </w:r>
      <w:r w:rsidRPr="00D2421C">
        <w:t xml:space="preserve">accueil des manifestations de </w:t>
      </w:r>
      <w:proofErr w:type="gramStart"/>
      <w:r w:rsidRPr="00D2421C">
        <w:t>l</w:t>
      </w:r>
      <w:r w:rsidR="00764354" w:rsidRPr="00D2421C">
        <w:t>'</w:t>
      </w:r>
      <w:r w:rsidRPr="00D2421C">
        <w:t>UIT;</w:t>
      </w:r>
      <w:proofErr w:type="gramEnd"/>
    </w:p>
    <w:p w14:paraId="7DDDD1E2" w14:textId="208E0295" w:rsidR="005B2FD9" w:rsidRPr="00D2421C" w:rsidRDefault="005B2FD9" w:rsidP="00090A5A">
      <w:pPr>
        <w:pStyle w:val="enumlev1"/>
        <w:jc w:val="both"/>
      </w:pPr>
      <w:r w:rsidRPr="00D2421C">
        <w:t>2.1.5</w:t>
      </w:r>
      <w:r w:rsidRPr="00D2421C">
        <w:tab/>
        <w:t xml:space="preserve">de mettre à disposition sur le portail web toutes les informations pratiques pertinentes concernant les obligations des pays hôtes, les éléments génériques liés aux coûts, les </w:t>
      </w:r>
      <w:r w:rsidRPr="00D2421C">
        <w:lastRenderedPageBreak/>
        <w:t>invitations officielles reçues et d</w:t>
      </w:r>
      <w:r w:rsidR="00764354" w:rsidRPr="00D2421C">
        <w:t>'</w:t>
      </w:r>
      <w:r w:rsidRPr="00D2421C">
        <w:t xml:space="preserve">autres directives concernant la procédure, afin de renforcer la transparence et une participation </w:t>
      </w:r>
      <w:proofErr w:type="gramStart"/>
      <w:r w:rsidRPr="00D2421C">
        <w:t>éclairée;</w:t>
      </w:r>
      <w:proofErr w:type="gramEnd"/>
    </w:p>
    <w:p w14:paraId="41C9B9C5" w14:textId="6F6007B2" w:rsidR="005B2FD9" w:rsidRPr="00D2421C" w:rsidRDefault="005B2FD9" w:rsidP="00090A5A">
      <w:pPr>
        <w:pStyle w:val="enumlev1"/>
        <w:jc w:val="both"/>
      </w:pPr>
      <w:r w:rsidRPr="00D2421C">
        <w:t>2.1.6</w:t>
      </w:r>
      <w:r w:rsidRPr="00D2421C">
        <w:tab/>
        <w:t>de promouvoir l</w:t>
      </w:r>
      <w:r w:rsidR="00764354" w:rsidRPr="00D2421C">
        <w:t>'</w:t>
      </w:r>
      <w:r w:rsidRPr="00D2421C">
        <w:t>adoption de mesures visant à alléger la charge financière et opérationnelle qui pèse sur les pays hôtes, y compris, s</w:t>
      </w:r>
      <w:r w:rsidR="00764354" w:rsidRPr="00D2421C">
        <w:t>'</w:t>
      </w:r>
      <w:r w:rsidRPr="00D2421C">
        <w:t>il y a lieu, le recours à des professionnels locaux, à des outils de participation à distance et à des solutions numériques d</w:t>
      </w:r>
      <w:r w:rsidR="00764354" w:rsidRPr="00D2421C">
        <w:t>'</w:t>
      </w:r>
      <w:r w:rsidRPr="00D2421C">
        <w:t>inscription et d</w:t>
      </w:r>
      <w:r w:rsidR="00764354" w:rsidRPr="00D2421C">
        <w:t>'</w:t>
      </w:r>
      <w:r w:rsidRPr="00D2421C">
        <w:t>accréditation et la recherche sur place d</w:t>
      </w:r>
      <w:r w:rsidR="00764354" w:rsidRPr="00D2421C">
        <w:t>'</w:t>
      </w:r>
      <w:r w:rsidRPr="00D2421C">
        <w:t xml:space="preserve">infrastructures techniques </w:t>
      </w:r>
      <w:proofErr w:type="gramStart"/>
      <w:r w:rsidRPr="00D2421C">
        <w:t>adaptées;</w:t>
      </w:r>
      <w:proofErr w:type="gramEnd"/>
    </w:p>
    <w:p w14:paraId="72E89F58" w14:textId="016992EA" w:rsidR="005B2FD9" w:rsidRPr="00D2421C" w:rsidRDefault="005B2FD9" w:rsidP="00090A5A">
      <w:pPr>
        <w:pStyle w:val="enumlev1"/>
        <w:jc w:val="both"/>
      </w:pPr>
      <w:r w:rsidRPr="00D2421C">
        <w:t>2.1.7</w:t>
      </w:r>
      <w:r w:rsidRPr="00D2421C">
        <w:tab/>
        <w:t>de fournir des informations appropriées aux candidats non retenus, en vue d</w:t>
      </w:r>
      <w:r w:rsidR="00764354" w:rsidRPr="00D2421C">
        <w:t>'</w:t>
      </w:r>
      <w:r w:rsidRPr="00D2421C">
        <w:t>accroître les chances de réussite des futures candidatures et d</w:t>
      </w:r>
      <w:r w:rsidR="00764354" w:rsidRPr="00D2421C">
        <w:t>'</w:t>
      </w:r>
      <w:r w:rsidRPr="00D2421C">
        <w:t>encourager la participation continue des régions sous-représentées.</w:t>
      </w:r>
    </w:p>
    <w:p w14:paraId="6135D892" w14:textId="060F7BDC" w:rsidR="00CA1D6A" w:rsidRPr="00D2421C" w:rsidRDefault="005B2FD9" w:rsidP="005B2FD9">
      <w:pPr>
        <w:pStyle w:val="Normalaftertitle"/>
        <w:spacing w:before="1080"/>
      </w:pPr>
      <w:proofErr w:type="gramStart"/>
      <w:r w:rsidRPr="00D2421C">
        <w:rPr>
          <w:b/>
          <w:bCs/>
        </w:rPr>
        <w:t>Annexe</w:t>
      </w:r>
      <w:r w:rsidRPr="00D2421C">
        <w:t>:</w:t>
      </w:r>
      <w:proofErr w:type="gramEnd"/>
      <w:r w:rsidRPr="00D2421C">
        <w:t xml:space="preserve"> 1</w:t>
      </w:r>
      <w:r w:rsidR="00CA1D6A" w:rsidRPr="00D2421C">
        <w:br w:type="page"/>
      </w:r>
    </w:p>
    <w:p w14:paraId="69C23E91" w14:textId="77777777" w:rsidR="005B2FD9" w:rsidRPr="00D2421C" w:rsidRDefault="005B2FD9" w:rsidP="005B2FD9">
      <w:pPr>
        <w:pStyle w:val="AnnexNo"/>
      </w:pPr>
      <w:r w:rsidRPr="00D2421C">
        <w:lastRenderedPageBreak/>
        <w:t>Annexe</w:t>
      </w:r>
    </w:p>
    <w:p w14:paraId="5BE71F3C" w14:textId="77777777" w:rsidR="005B2FD9" w:rsidRPr="00D2421C" w:rsidRDefault="005B2FD9" w:rsidP="005B2FD9">
      <w:pPr>
        <w:pStyle w:val="Annextitle"/>
      </w:pPr>
      <w:r w:rsidRPr="00D2421C">
        <w:rPr>
          <w:bCs/>
        </w:rPr>
        <w:t>Liste des pays hôtes des Conférences de plénipotentiaires passées et futures</w:t>
      </w:r>
    </w:p>
    <w:tbl>
      <w:tblPr>
        <w:tblStyle w:val="TableGrid"/>
        <w:tblW w:w="5000" w:type="pct"/>
        <w:tblLayout w:type="fixed"/>
        <w:tblLook w:val="04A0" w:firstRow="1" w:lastRow="0" w:firstColumn="1" w:lastColumn="0" w:noHBand="0" w:noVBand="1"/>
      </w:tblPr>
      <w:tblGrid>
        <w:gridCol w:w="2122"/>
        <w:gridCol w:w="1861"/>
        <w:gridCol w:w="5078"/>
      </w:tblGrid>
      <w:tr w:rsidR="005B2FD9" w:rsidRPr="00D2421C" w14:paraId="37C110B6" w14:textId="77777777" w:rsidTr="00FE12EF">
        <w:trPr>
          <w:trHeight w:val="340"/>
        </w:trPr>
        <w:tc>
          <w:tcPr>
            <w:tcW w:w="1171" w:type="pct"/>
            <w:hideMark/>
          </w:tcPr>
          <w:p w14:paraId="4CA6237A" w14:textId="77777777" w:rsidR="005B2FD9" w:rsidRPr="00D2421C" w:rsidRDefault="005B2FD9" w:rsidP="00CA1D6A">
            <w:pPr>
              <w:pStyle w:val="Tablehead"/>
            </w:pPr>
            <w:r w:rsidRPr="00D2421C">
              <w:t>Région</w:t>
            </w:r>
          </w:p>
        </w:tc>
        <w:tc>
          <w:tcPr>
            <w:tcW w:w="1027" w:type="pct"/>
            <w:hideMark/>
          </w:tcPr>
          <w:p w14:paraId="1CABE1A1" w14:textId="77777777" w:rsidR="005B2FD9" w:rsidRPr="00D2421C" w:rsidRDefault="005B2FD9" w:rsidP="00CA1D6A">
            <w:pPr>
              <w:pStyle w:val="Tablehead"/>
            </w:pPr>
            <w:r w:rsidRPr="00D2421C">
              <w:t>Nombre de PP accueillies</w:t>
            </w:r>
          </w:p>
        </w:tc>
        <w:tc>
          <w:tcPr>
            <w:tcW w:w="2802" w:type="pct"/>
            <w:hideMark/>
          </w:tcPr>
          <w:p w14:paraId="08FB9CF5" w14:textId="77777777" w:rsidR="005B2FD9" w:rsidRPr="00D2421C" w:rsidRDefault="005B2FD9" w:rsidP="00CA1D6A">
            <w:pPr>
              <w:pStyle w:val="Tablehead"/>
            </w:pPr>
            <w:r w:rsidRPr="00D2421C">
              <w:t>Année et lieu</w:t>
            </w:r>
          </w:p>
        </w:tc>
      </w:tr>
      <w:tr w:rsidR="005B2FD9" w:rsidRPr="00D2421C" w14:paraId="05635630" w14:textId="77777777" w:rsidTr="00FE12EF">
        <w:trPr>
          <w:trHeight w:val="1700"/>
        </w:trPr>
        <w:tc>
          <w:tcPr>
            <w:tcW w:w="1171" w:type="pct"/>
            <w:hideMark/>
          </w:tcPr>
          <w:p w14:paraId="04AAE851" w14:textId="77777777" w:rsidR="005B2FD9" w:rsidRPr="00D2421C" w:rsidRDefault="005B2FD9" w:rsidP="00CA1D6A">
            <w:pPr>
              <w:pStyle w:val="Tabletext"/>
            </w:pPr>
            <w:r w:rsidRPr="00D2421C">
              <w:t>Europe (</w:t>
            </w:r>
            <w:proofErr w:type="spellStart"/>
            <w:r w:rsidRPr="00D2421C">
              <w:t>CEPT</w:t>
            </w:r>
            <w:proofErr w:type="spellEnd"/>
            <w:r w:rsidRPr="00D2421C">
              <w:t>)</w:t>
            </w:r>
          </w:p>
        </w:tc>
        <w:tc>
          <w:tcPr>
            <w:tcW w:w="1027" w:type="pct"/>
            <w:hideMark/>
          </w:tcPr>
          <w:p w14:paraId="2B9F28DE" w14:textId="77777777" w:rsidR="005B2FD9" w:rsidRPr="00D2421C" w:rsidRDefault="005B2FD9" w:rsidP="00CA1D6A">
            <w:pPr>
              <w:pStyle w:val="Tabletext"/>
              <w:jc w:val="center"/>
            </w:pPr>
            <w:r w:rsidRPr="00D2421C">
              <w:t>7</w:t>
            </w:r>
          </w:p>
        </w:tc>
        <w:tc>
          <w:tcPr>
            <w:tcW w:w="2802" w:type="pct"/>
            <w:hideMark/>
          </w:tcPr>
          <w:p w14:paraId="13EFA464" w14:textId="760F8659" w:rsidR="005B2FD9" w:rsidRPr="00D2421C" w:rsidRDefault="005B2FD9" w:rsidP="00CA1D6A">
            <w:pPr>
              <w:pStyle w:val="Tabletext"/>
            </w:pPr>
            <w:r w:rsidRPr="00D2421C">
              <w:t>1959 – Genève (Suisse)</w:t>
            </w:r>
          </w:p>
          <w:p w14:paraId="6B825EB3" w14:textId="4CA1FE17" w:rsidR="005B2FD9" w:rsidRPr="00D2421C" w:rsidRDefault="005B2FD9" w:rsidP="00CA1D6A">
            <w:pPr>
              <w:pStyle w:val="Tabletext"/>
            </w:pPr>
            <w:r w:rsidRPr="00D2421C">
              <w:t>1965 – Montreux (Suisse)</w:t>
            </w:r>
          </w:p>
          <w:p w14:paraId="0377F915" w14:textId="7D9D98A3" w:rsidR="005B2FD9" w:rsidRPr="00D2421C" w:rsidRDefault="005B2FD9" w:rsidP="00CA1D6A">
            <w:pPr>
              <w:pStyle w:val="Tabletext"/>
            </w:pPr>
            <w:r w:rsidRPr="00D2421C">
              <w:t>1973 – Málaga-</w:t>
            </w:r>
            <w:proofErr w:type="spellStart"/>
            <w:r w:rsidRPr="00D2421C">
              <w:t>Torremolinos</w:t>
            </w:r>
            <w:proofErr w:type="spellEnd"/>
            <w:r w:rsidRPr="00D2421C">
              <w:t xml:space="preserve"> (Espagne)</w:t>
            </w:r>
          </w:p>
          <w:p w14:paraId="2C9B5E71" w14:textId="21F58EB7" w:rsidR="005B2FD9" w:rsidRPr="00D2421C" w:rsidRDefault="005B2FD9" w:rsidP="00CA1D6A">
            <w:pPr>
              <w:pStyle w:val="Tabletext"/>
            </w:pPr>
            <w:r w:rsidRPr="00D2421C">
              <w:t>1989 – Nice (France)</w:t>
            </w:r>
          </w:p>
          <w:p w14:paraId="5F82D749" w14:textId="6470D2BA" w:rsidR="005B2FD9" w:rsidRPr="00D2421C" w:rsidRDefault="005B2FD9" w:rsidP="00CA1D6A">
            <w:pPr>
              <w:pStyle w:val="Tabletext"/>
            </w:pPr>
            <w:r w:rsidRPr="00D2421C">
              <w:t>1992 – Genève (</w:t>
            </w:r>
            <w:proofErr w:type="gramStart"/>
            <w:r w:rsidRPr="00D2421C">
              <w:t>Suisse;</w:t>
            </w:r>
            <w:proofErr w:type="gramEnd"/>
            <w:r w:rsidRPr="00D2421C">
              <w:t xml:space="preserve"> Conférence de plénipotentiaires extraordinaire)</w:t>
            </w:r>
          </w:p>
          <w:p w14:paraId="3989FB3D" w14:textId="57511803" w:rsidR="005B2FD9" w:rsidRPr="00D2421C" w:rsidRDefault="005B2FD9" w:rsidP="00CA1D6A">
            <w:pPr>
              <w:pStyle w:val="Tabletext"/>
            </w:pPr>
            <w:r w:rsidRPr="00D2421C">
              <w:t>2006 – Antalya (Türkiye)</w:t>
            </w:r>
          </w:p>
          <w:p w14:paraId="7D782654" w14:textId="77777777" w:rsidR="005B2FD9" w:rsidRPr="00D2421C" w:rsidRDefault="005B2FD9" w:rsidP="00CA1D6A">
            <w:pPr>
              <w:pStyle w:val="Tabletext"/>
            </w:pPr>
            <w:r w:rsidRPr="00D2421C">
              <w:t>2022 – Bucarest (Roumanie)</w:t>
            </w:r>
          </w:p>
        </w:tc>
      </w:tr>
      <w:tr w:rsidR="005B2FD9" w:rsidRPr="00D2421C" w14:paraId="645FED92" w14:textId="77777777" w:rsidTr="00FE12EF">
        <w:trPr>
          <w:trHeight w:val="680"/>
        </w:trPr>
        <w:tc>
          <w:tcPr>
            <w:tcW w:w="1171" w:type="pct"/>
            <w:hideMark/>
          </w:tcPr>
          <w:p w14:paraId="4EEE11AE" w14:textId="77777777" w:rsidR="005B2FD9" w:rsidRPr="00D2421C" w:rsidRDefault="005B2FD9" w:rsidP="00CA1D6A">
            <w:pPr>
              <w:pStyle w:val="Tabletext"/>
            </w:pPr>
            <w:r w:rsidRPr="00D2421C">
              <w:t>Amériques (CITEL)</w:t>
            </w:r>
          </w:p>
        </w:tc>
        <w:tc>
          <w:tcPr>
            <w:tcW w:w="1027" w:type="pct"/>
            <w:hideMark/>
          </w:tcPr>
          <w:p w14:paraId="1E291A6D" w14:textId="77777777" w:rsidR="005B2FD9" w:rsidRPr="00D2421C" w:rsidRDefault="005B2FD9" w:rsidP="00CA1D6A">
            <w:pPr>
              <w:pStyle w:val="Tabletext"/>
              <w:jc w:val="center"/>
            </w:pPr>
            <w:r w:rsidRPr="00D2421C">
              <w:t>4</w:t>
            </w:r>
          </w:p>
        </w:tc>
        <w:tc>
          <w:tcPr>
            <w:tcW w:w="2802" w:type="pct"/>
            <w:hideMark/>
          </w:tcPr>
          <w:p w14:paraId="29E795C0" w14:textId="0512FDB0" w:rsidR="005B2FD9" w:rsidRPr="00D2421C" w:rsidRDefault="005B2FD9" w:rsidP="00CA1D6A">
            <w:pPr>
              <w:pStyle w:val="Tabletext"/>
            </w:pPr>
            <w:r w:rsidRPr="00D2421C">
              <w:t>1947 – Atlantic City (États-Unis d</w:t>
            </w:r>
            <w:r w:rsidR="00764354" w:rsidRPr="00D2421C">
              <w:t>'</w:t>
            </w:r>
            <w:r w:rsidRPr="00D2421C">
              <w:t>Amérique)</w:t>
            </w:r>
          </w:p>
          <w:p w14:paraId="3468AB89" w14:textId="449AF898" w:rsidR="005B2FD9" w:rsidRPr="00D2421C" w:rsidRDefault="005B2FD9" w:rsidP="00CA1D6A">
            <w:pPr>
              <w:pStyle w:val="Tabletext"/>
            </w:pPr>
            <w:r w:rsidRPr="00D2421C">
              <w:t>1952 – Buenos Aires (Argentine)</w:t>
            </w:r>
          </w:p>
          <w:p w14:paraId="2E8976DF" w14:textId="083FA6C7" w:rsidR="005B2FD9" w:rsidRPr="00D2421C" w:rsidRDefault="005B2FD9" w:rsidP="00CA1D6A">
            <w:pPr>
              <w:pStyle w:val="Tabletext"/>
            </w:pPr>
            <w:r w:rsidRPr="00D2421C">
              <w:t>1998 – Minneapolis (États-Unis d</w:t>
            </w:r>
            <w:r w:rsidR="00764354" w:rsidRPr="00D2421C">
              <w:t>'</w:t>
            </w:r>
            <w:r w:rsidRPr="00D2421C">
              <w:t>Amérique)</w:t>
            </w:r>
          </w:p>
          <w:p w14:paraId="6AA20327" w14:textId="77777777" w:rsidR="005B2FD9" w:rsidRPr="00D2421C" w:rsidRDefault="005B2FD9" w:rsidP="00CA1D6A">
            <w:pPr>
              <w:pStyle w:val="Tabletext"/>
            </w:pPr>
            <w:r w:rsidRPr="00D2421C">
              <w:t>2010 – Guadalajara (Mexique)</w:t>
            </w:r>
          </w:p>
        </w:tc>
      </w:tr>
      <w:tr w:rsidR="005B2FD9" w:rsidRPr="00D2421C" w14:paraId="45F20E33" w14:textId="77777777" w:rsidTr="00FE12EF">
        <w:trPr>
          <w:trHeight w:val="340"/>
        </w:trPr>
        <w:tc>
          <w:tcPr>
            <w:tcW w:w="1171" w:type="pct"/>
            <w:hideMark/>
          </w:tcPr>
          <w:p w14:paraId="4F29E449" w14:textId="77777777" w:rsidR="005B2FD9" w:rsidRPr="00D2421C" w:rsidRDefault="005B2FD9" w:rsidP="00CA1D6A">
            <w:pPr>
              <w:pStyle w:val="Tabletext"/>
            </w:pPr>
            <w:r w:rsidRPr="00D2421C">
              <w:t>Afrique (UAT)</w:t>
            </w:r>
          </w:p>
        </w:tc>
        <w:tc>
          <w:tcPr>
            <w:tcW w:w="1027" w:type="pct"/>
            <w:hideMark/>
          </w:tcPr>
          <w:p w14:paraId="1527B417" w14:textId="77777777" w:rsidR="005B2FD9" w:rsidRPr="00D2421C" w:rsidRDefault="005B2FD9" w:rsidP="00CA1D6A">
            <w:pPr>
              <w:pStyle w:val="Tabletext"/>
              <w:jc w:val="center"/>
            </w:pPr>
            <w:r w:rsidRPr="00D2421C">
              <w:t>2</w:t>
            </w:r>
          </w:p>
        </w:tc>
        <w:tc>
          <w:tcPr>
            <w:tcW w:w="2802" w:type="pct"/>
            <w:hideMark/>
          </w:tcPr>
          <w:p w14:paraId="2F349B97" w14:textId="0CEDE5AE" w:rsidR="005B2FD9" w:rsidRPr="00D2421C" w:rsidRDefault="005B2FD9" w:rsidP="00CA1D6A">
            <w:pPr>
              <w:pStyle w:val="Tabletext"/>
            </w:pPr>
            <w:r w:rsidRPr="00D2421C">
              <w:t>1982 – Nairobi (Kenya)</w:t>
            </w:r>
          </w:p>
          <w:p w14:paraId="1041C367" w14:textId="77777777" w:rsidR="005B2FD9" w:rsidRPr="00D2421C" w:rsidRDefault="005B2FD9" w:rsidP="00CA1D6A">
            <w:pPr>
              <w:pStyle w:val="Tabletext"/>
            </w:pPr>
            <w:r w:rsidRPr="00D2421C">
              <w:t>2002 – Marrakech (Maroc)</w:t>
            </w:r>
          </w:p>
        </w:tc>
      </w:tr>
      <w:tr w:rsidR="005B2FD9" w:rsidRPr="00D2421C" w14:paraId="74CB4DCD" w14:textId="77777777" w:rsidTr="00FE12EF">
        <w:trPr>
          <w:trHeight w:val="680"/>
        </w:trPr>
        <w:tc>
          <w:tcPr>
            <w:tcW w:w="1171" w:type="pct"/>
            <w:hideMark/>
          </w:tcPr>
          <w:p w14:paraId="721794D0" w14:textId="77777777" w:rsidR="005B2FD9" w:rsidRPr="00D2421C" w:rsidRDefault="005B2FD9" w:rsidP="00CA1D6A">
            <w:pPr>
              <w:pStyle w:val="Tabletext"/>
            </w:pPr>
            <w:r w:rsidRPr="00D2421C">
              <w:t>Asie-Pacifique</w:t>
            </w:r>
          </w:p>
        </w:tc>
        <w:tc>
          <w:tcPr>
            <w:tcW w:w="1027" w:type="pct"/>
            <w:hideMark/>
          </w:tcPr>
          <w:p w14:paraId="0DB4EB0C" w14:textId="77777777" w:rsidR="005B2FD9" w:rsidRPr="00D2421C" w:rsidRDefault="005B2FD9" w:rsidP="00CA1D6A">
            <w:pPr>
              <w:pStyle w:val="Tabletext"/>
              <w:jc w:val="center"/>
            </w:pPr>
            <w:r w:rsidRPr="00D2421C">
              <w:t>2</w:t>
            </w:r>
          </w:p>
        </w:tc>
        <w:tc>
          <w:tcPr>
            <w:tcW w:w="2802" w:type="pct"/>
            <w:hideMark/>
          </w:tcPr>
          <w:p w14:paraId="70A9EC05" w14:textId="1D90FF55" w:rsidR="005B2FD9" w:rsidRPr="00D2421C" w:rsidRDefault="005B2FD9" w:rsidP="00CA1D6A">
            <w:pPr>
              <w:pStyle w:val="Tabletext"/>
            </w:pPr>
            <w:r w:rsidRPr="00D2421C">
              <w:t>1994 – Kyoto (Japon)</w:t>
            </w:r>
          </w:p>
          <w:p w14:paraId="41D072A7" w14:textId="5EA01F6B" w:rsidR="005B2FD9" w:rsidRPr="00D2421C" w:rsidRDefault="005B2FD9" w:rsidP="00CA1D6A">
            <w:pPr>
              <w:pStyle w:val="Tabletext"/>
            </w:pPr>
            <w:r w:rsidRPr="00D2421C">
              <w:t>2014 – Busan (République de Corée)</w:t>
            </w:r>
          </w:p>
        </w:tc>
      </w:tr>
      <w:tr w:rsidR="005B2FD9" w:rsidRPr="00D2421C" w14:paraId="66CF87A5" w14:textId="77777777" w:rsidTr="00FE12EF">
        <w:trPr>
          <w:trHeight w:val="340"/>
        </w:trPr>
        <w:tc>
          <w:tcPr>
            <w:tcW w:w="1171" w:type="pct"/>
            <w:hideMark/>
          </w:tcPr>
          <w:p w14:paraId="3674A936" w14:textId="77777777" w:rsidR="005B2FD9" w:rsidRPr="00D2421C" w:rsidRDefault="005B2FD9" w:rsidP="00CA1D6A">
            <w:pPr>
              <w:pStyle w:val="Tabletext"/>
            </w:pPr>
            <w:r w:rsidRPr="00D2421C">
              <w:t>États arabes (</w:t>
            </w:r>
            <w:proofErr w:type="spellStart"/>
            <w:r w:rsidRPr="00D2421C">
              <w:t>ASMG</w:t>
            </w:r>
            <w:proofErr w:type="spellEnd"/>
            <w:r w:rsidRPr="00D2421C">
              <w:t>)</w:t>
            </w:r>
          </w:p>
        </w:tc>
        <w:tc>
          <w:tcPr>
            <w:tcW w:w="1027" w:type="pct"/>
            <w:hideMark/>
          </w:tcPr>
          <w:p w14:paraId="348C3A49" w14:textId="5E4AD9B0" w:rsidR="005B2FD9" w:rsidRPr="00D2421C" w:rsidRDefault="005B2FD9" w:rsidP="00CA1D6A">
            <w:pPr>
              <w:pStyle w:val="Tabletext"/>
              <w:jc w:val="center"/>
            </w:pPr>
            <w:r w:rsidRPr="00D2421C">
              <w:t>2</w:t>
            </w:r>
            <w:r w:rsidR="00F94529" w:rsidRPr="00D2421C">
              <w:br/>
            </w:r>
            <w:r w:rsidRPr="00D2421C">
              <w:t>(</w:t>
            </w:r>
            <w:r w:rsidRPr="00D2421C">
              <w:rPr>
                <w:i/>
                <w:iCs/>
              </w:rPr>
              <w:t xml:space="preserve">y compris la </w:t>
            </w:r>
            <w:proofErr w:type="spellStart"/>
            <w:r w:rsidRPr="00D2421C">
              <w:rPr>
                <w:i/>
                <w:iCs/>
              </w:rPr>
              <w:t>PP</w:t>
            </w:r>
            <w:r w:rsidR="00F94529" w:rsidRPr="00D2421C">
              <w:rPr>
                <w:i/>
                <w:iCs/>
              </w:rPr>
              <w:noBreakHyphen/>
            </w:r>
            <w:r w:rsidRPr="00D2421C">
              <w:rPr>
                <w:i/>
                <w:iCs/>
              </w:rPr>
              <w:t>26</w:t>
            </w:r>
            <w:proofErr w:type="spellEnd"/>
            <w:r w:rsidRPr="00D2421C">
              <w:t>)</w:t>
            </w:r>
          </w:p>
        </w:tc>
        <w:tc>
          <w:tcPr>
            <w:tcW w:w="2802" w:type="pct"/>
            <w:hideMark/>
          </w:tcPr>
          <w:p w14:paraId="02A4C8CE" w14:textId="788E1511" w:rsidR="005B2FD9" w:rsidRPr="00D2421C" w:rsidRDefault="005B2FD9" w:rsidP="00CA1D6A">
            <w:pPr>
              <w:pStyle w:val="Tabletext"/>
            </w:pPr>
            <w:r w:rsidRPr="00D2421C">
              <w:t>2018 – Dubaï (Émirats arabes unis)</w:t>
            </w:r>
          </w:p>
          <w:p w14:paraId="06B848DA" w14:textId="77777777" w:rsidR="005B2FD9" w:rsidRPr="00D2421C" w:rsidRDefault="005B2FD9" w:rsidP="00CA1D6A">
            <w:pPr>
              <w:pStyle w:val="Tabletext"/>
            </w:pPr>
            <w:r w:rsidRPr="00D2421C">
              <w:t>2026 – Doha (Qatar)</w:t>
            </w:r>
          </w:p>
        </w:tc>
      </w:tr>
    </w:tbl>
    <w:p w14:paraId="58517DDA" w14:textId="77777777" w:rsidR="00897553" w:rsidRPr="00D2421C" w:rsidRDefault="006A11AE" w:rsidP="002D2336">
      <w:pPr>
        <w:jc w:val="center"/>
      </w:pPr>
      <w:r w:rsidRPr="00D2421C">
        <w:t>______________</w:t>
      </w:r>
    </w:p>
    <w:sectPr w:rsidR="00897553" w:rsidRPr="00D2421C"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66A8" w14:textId="77777777" w:rsidR="005B2FD9" w:rsidRDefault="005B2FD9">
      <w:r>
        <w:separator/>
      </w:r>
    </w:p>
  </w:endnote>
  <w:endnote w:type="continuationSeparator" w:id="0">
    <w:p w14:paraId="1F0FA830" w14:textId="77777777" w:rsidR="005B2FD9" w:rsidRDefault="005B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72E" w14:textId="394901B2" w:rsidR="00732045" w:rsidRPr="00CA1D6A" w:rsidRDefault="00271321">
    <w:pPr>
      <w:pStyle w:val="Footer"/>
      <w:rPr>
        <w:lang w:val="en-US"/>
      </w:rPr>
    </w:pPr>
    <w:r>
      <w:fldChar w:fldCharType="begin"/>
    </w:r>
    <w:r w:rsidRPr="00CA1D6A">
      <w:rPr>
        <w:lang w:val="en-US"/>
      </w:rPr>
      <w:instrText xml:space="preserve"> FILENAME \p \* MERGEFORMAT </w:instrText>
    </w:r>
    <w:r>
      <w:fldChar w:fldCharType="separate"/>
    </w:r>
    <w:r w:rsidR="00D2421C">
      <w:rPr>
        <w:lang w:val="en-US"/>
      </w:rPr>
      <w:t>P:\FRA\gDoc\SG\C26\2600991F.docx</w:t>
    </w:r>
    <w:r>
      <w:fldChar w:fldCharType="end"/>
    </w:r>
    <w:r w:rsidR="00732045" w:rsidRPr="00CA1D6A">
      <w:rPr>
        <w:lang w:val="en-US"/>
      </w:rPr>
      <w:tab/>
    </w:r>
    <w:r w:rsidR="002F1B76">
      <w:fldChar w:fldCharType="begin"/>
    </w:r>
    <w:r w:rsidR="00732045">
      <w:instrText xml:space="preserve"> savedate \@ dd.MM.yy </w:instrText>
    </w:r>
    <w:r w:rsidR="002F1B76">
      <w:fldChar w:fldCharType="separate"/>
    </w:r>
    <w:r w:rsidR="00175816">
      <w:t>23.04.26</w:t>
    </w:r>
    <w:r w:rsidR="002F1B76">
      <w:fldChar w:fldCharType="end"/>
    </w:r>
    <w:r w:rsidR="00732045" w:rsidRPr="00CA1D6A">
      <w:rPr>
        <w:lang w:val="en-US"/>
      </w:rPr>
      <w:tab/>
    </w:r>
    <w:r w:rsidR="002F1B76">
      <w:fldChar w:fldCharType="begin"/>
    </w:r>
    <w:r w:rsidR="00732045">
      <w:instrText xml:space="preserve"> printdate \@ dd.MM.yy </w:instrText>
    </w:r>
    <w:r w:rsidR="002F1B76">
      <w:fldChar w:fldCharType="separate"/>
    </w:r>
    <w:r w:rsidR="00D2421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847D434" w14:textId="77777777" w:rsidTr="00E31DCE">
      <w:trPr>
        <w:jc w:val="center"/>
      </w:trPr>
      <w:tc>
        <w:tcPr>
          <w:tcW w:w="1803" w:type="dxa"/>
          <w:vAlign w:val="center"/>
        </w:tcPr>
        <w:p w14:paraId="5D9B62F1" w14:textId="5F09298A" w:rsidR="00A51849" w:rsidRDefault="005B2FD9" w:rsidP="00A51849">
          <w:pPr>
            <w:pStyle w:val="Header"/>
            <w:jc w:val="left"/>
            <w:rPr>
              <w:noProof/>
            </w:rPr>
          </w:pPr>
          <w:r>
            <w:rPr>
              <w:noProof/>
            </w:rPr>
            <w:t>2600991</w:t>
          </w:r>
        </w:p>
      </w:tc>
      <w:tc>
        <w:tcPr>
          <w:tcW w:w="8261" w:type="dxa"/>
        </w:tcPr>
        <w:p w14:paraId="2D2FA7DF" w14:textId="4E8FF80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B2FD9">
            <w:rPr>
              <w:bCs/>
            </w:rPr>
            <w:t>102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6A49F9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42DFAA" w14:textId="77777777" w:rsidTr="00E31DCE">
      <w:trPr>
        <w:jc w:val="center"/>
      </w:trPr>
      <w:tc>
        <w:tcPr>
          <w:tcW w:w="1803" w:type="dxa"/>
          <w:vAlign w:val="center"/>
        </w:tcPr>
        <w:p w14:paraId="30DEA959"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69139B8A" w14:textId="7F3C1CB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B2FD9">
            <w:rPr>
              <w:bCs/>
            </w:rPr>
            <w:t>102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08B512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8860" w14:textId="77777777" w:rsidR="005B2FD9" w:rsidRDefault="005B2FD9">
      <w:r>
        <w:t>____________________</w:t>
      </w:r>
    </w:p>
  </w:footnote>
  <w:footnote w:type="continuationSeparator" w:id="0">
    <w:p w14:paraId="43716669" w14:textId="77777777" w:rsidR="005B2FD9" w:rsidRDefault="005B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CC5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4973A1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A00A"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D9"/>
    <w:rsid w:val="00005291"/>
    <w:rsid w:val="00076A2C"/>
    <w:rsid w:val="00090A5A"/>
    <w:rsid w:val="000D0D0A"/>
    <w:rsid w:val="00103163"/>
    <w:rsid w:val="00106B19"/>
    <w:rsid w:val="001133EF"/>
    <w:rsid w:val="00115D93"/>
    <w:rsid w:val="001247A8"/>
    <w:rsid w:val="001342E0"/>
    <w:rsid w:val="001370B2"/>
    <w:rsid w:val="001378C0"/>
    <w:rsid w:val="001658F9"/>
    <w:rsid w:val="00175816"/>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C37A9"/>
    <w:rsid w:val="004C4C94"/>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B2FD9"/>
    <w:rsid w:val="005C3890"/>
    <w:rsid w:val="005F7BFE"/>
    <w:rsid w:val="00600017"/>
    <w:rsid w:val="00602682"/>
    <w:rsid w:val="006235CA"/>
    <w:rsid w:val="0062366E"/>
    <w:rsid w:val="006643AB"/>
    <w:rsid w:val="006A11AE"/>
    <w:rsid w:val="006B224B"/>
    <w:rsid w:val="006F0A53"/>
    <w:rsid w:val="006F6CF6"/>
    <w:rsid w:val="0071402E"/>
    <w:rsid w:val="007210CD"/>
    <w:rsid w:val="00732045"/>
    <w:rsid w:val="0073275D"/>
    <w:rsid w:val="007369DB"/>
    <w:rsid w:val="00764354"/>
    <w:rsid w:val="0077110E"/>
    <w:rsid w:val="007956C2"/>
    <w:rsid w:val="00796BDB"/>
    <w:rsid w:val="007A01CC"/>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C1EFF"/>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A1D6A"/>
    <w:rsid w:val="00CC6EAA"/>
    <w:rsid w:val="00CE5172"/>
    <w:rsid w:val="00CF0534"/>
    <w:rsid w:val="00CF183B"/>
    <w:rsid w:val="00D2421C"/>
    <w:rsid w:val="00D375CD"/>
    <w:rsid w:val="00D37B53"/>
    <w:rsid w:val="00D553A2"/>
    <w:rsid w:val="00D72F49"/>
    <w:rsid w:val="00D774D3"/>
    <w:rsid w:val="00D82CFB"/>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94529"/>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D01E9"/>
  <w15:docId w15:val="{DB47073B-4C37-4664-980A-80478642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50/e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S26-CL-C-0070/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5</Pages>
  <Words>1368</Words>
  <Characters>7937</Characters>
  <Application>Microsoft Office Word</Application>
  <DocSecurity>0</DocSecurity>
  <Lines>136</Lines>
  <Paragraphs>41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9264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Oeuvrer en faveur de l'équité régionale et créer des conditions propices à une participation plus large pour la sélection des pays hôtes des conférences de plénipotentiaires de l'UIT</dc:title>
  <dc:subject>Conseil 2026 de l'UIT</dc:subject>
  <cp:keywords>C26; C2026; Council 2026; PP26</cp:keywords>
  <dc:description/>
  <cp:lastPrinted>2000-07-18T08:55:00Z</cp:lastPrinted>
  <dcterms:created xsi:type="dcterms:W3CDTF">2026-04-24T10:40:00Z</dcterms:created>
  <dcterms:modified xsi:type="dcterms:W3CDTF">2026-04-24T10:42:00Z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