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866C44" w:rsidRPr="00C80BCF" w14:paraId="43EBE99B" w14:textId="77777777" w:rsidTr="00930216">
        <w:trPr>
          <w:cantSplit/>
          <w:trHeight w:val="23"/>
        </w:trPr>
        <w:tc>
          <w:tcPr>
            <w:tcW w:w="3969" w:type="dxa"/>
            <w:vMerge w:val="restart"/>
            <w:tcMar>
              <w:left w:w="0" w:type="dxa"/>
            </w:tcMar>
          </w:tcPr>
          <w:p w14:paraId="0493ABD4" w14:textId="3C98CB00" w:rsidR="00866C44" w:rsidRPr="00C80BCF" w:rsidRDefault="00CA1285" w:rsidP="00866C44">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Pr>
                <w:b/>
              </w:rPr>
              <w:t>Agenda item: PL 3</w:t>
            </w:r>
          </w:p>
        </w:tc>
        <w:tc>
          <w:tcPr>
            <w:tcW w:w="5245" w:type="dxa"/>
          </w:tcPr>
          <w:p w14:paraId="303387C2" w14:textId="46527422" w:rsidR="00866C44" w:rsidRPr="00C80BCF" w:rsidRDefault="00866C44" w:rsidP="00866C44">
            <w:pPr>
              <w:tabs>
                <w:tab w:val="left" w:pos="851"/>
              </w:tabs>
              <w:spacing w:before="0" w:line="240" w:lineRule="atLeast"/>
              <w:jc w:val="right"/>
              <w:rPr>
                <w:b/>
              </w:rPr>
            </w:pPr>
            <w:r w:rsidRPr="00C80BCF">
              <w:rPr>
                <w:b/>
              </w:rPr>
              <w:t xml:space="preserve">Document </w:t>
            </w:r>
            <w:r w:rsidR="00A218E2">
              <w:rPr>
                <w:b/>
              </w:rPr>
              <w:t>C26</w:t>
            </w:r>
            <w:r w:rsidRPr="00C80BCF">
              <w:rPr>
                <w:b/>
              </w:rPr>
              <w:t>/</w:t>
            </w:r>
            <w:r w:rsidR="00A218E2">
              <w:rPr>
                <w:b/>
              </w:rPr>
              <w:t>102</w:t>
            </w:r>
          </w:p>
        </w:tc>
      </w:tr>
      <w:tr w:rsidR="00866C44" w:rsidRPr="00C80BCF" w14:paraId="4B360313" w14:textId="77777777" w:rsidTr="00930216">
        <w:trPr>
          <w:cantSplit/>
        </w:trPr>
        <w:tc>
          <w:tcPr>
            <w:tcW w:w="3969" w:type="dxa"/>
            <w:vMerge/>
          </w:tcPr>
          <w:p w14:paraId="4C6DA7C4" w14:textId="77777777" w:rsidR="00866C44" w:rsidRPr="00C80BCF" w:rsidRDefault="00866C44" w:rsidP="00866C44">
            <w:pPr>
              <w:tabs>
                <w:tab w:val="left" w:pos="851"/>
              </w:tabs>
              <w:spacing w:line="240" w:lineRule="atLeast"/>
              <w:rPr>
                <w:b/>
              </w:rPr>
            </w:pPr>
            <w:bookmarkStart w:id="6" w:name="ddate" w:colFirst="1" w:colLast="1"/>
            <w:bookmarkEnd w:id="0"/>
            <w:bookmarkEnd w:id="1"/>
          </w:p>
        </w:tc>
        <w:tc>
          <w:tcPr>
            <w:tcW w:w="5245" w:type="dxa"/>
          </w:tcPr>
          <w:p w14:paraId="25C9D67B" w14:textId="0F5B8752" w:rsidR="00866C44" w:rsidRPr="00C80BCF" w:rsidRDefault="00A218E2" w:rsidP="00866C44">
            <w:pPr>
              <w:tabs>
                <w:tab w:val="left" w:pos="851"/>
              </w:tabs>
              <w:spacing w:before="0"/>
              <w:jc w:val="right"/>
              <w:rPr>
                <w:b/>
              </w:rPr>
            </w:pPr>
            <w:r>
              <w:rPr>
                <w:b/>
              </w:rPr>
              <w:t>14 April 2026</w:t>
            </w:r>
          </w:p>
        </w:tc>
      </w:tr>
      <w:tr w:rsidR="00866C44" w:rsidRPr="00C80BCF" w14:paraId="140FA2F8" w14:textId="77777777" w:rsidTr="00930216">
        <w:trPr>
          <w:cantSplit/>
          <w:trHeight w:val="23"/>
        </w:trPr>
        <w:tc>
          <w:tcPr>
            <w:tcW w:w="3969" w:type="dxa"/>
            <w:vMerge/>
          </w:tcPr>
          <w:p w14:paraId="7220DA4C" w14:textId="77777777" w:rsidR="00866C44" w:rsidRPr="00C80BCF" w:rsidRDefault="00866C44" w:rsidP="00866C44">
            <w:pPr>
              <w:tabs>
                <w:tab w:val="left" w:pos="851"/>
              </w:tabs>
              <w:spacing w:line="240" w:lineRule="atLeast"/>
              <w:rPr>
                <w:b/>
              </w:rPr>
            </w:pPr>
            <w:bookmarkStart w:id="7" w:name="dorlang" w:colFirst="1" w:colLast="1"/>
            <w:bookmarkEnd w:id="6"/>
          </w:p>
        </w:tc>
        <w:tc>
          <w:tcPr>
            <w:tcW w:w="5245" w:type="dxa"/>
          </w:tcPr>
          <w:p w14:paraId="7163931D" w14:textId="71496411" w:rsidR="00866C44" w:rsidRPr="00C80BCF" w:rsidRDefault="00A218E2" w:rsidP="00866C44">
            <w:pPr>
              <w:tabs>
                <w:tab w:val="left" w:pos="851"/>
              </w:tabs>
              <w:spacing w:before="0" w:line="240" w:lineRule="atLeast"/>
              <w:jc w:val="right"/>
              <w:rPr>
                <w:b/>
              </w:rPr>
            </w:pPr>
            <w:r>
              <w:rPr>
                <w:b/>
              </w:rPr>
              <w:t xml:space="preserve">Original: </w:t>
            </w:r>
            <w:r w:rsidR="00866C44" w:rsidRPr="00C80BCF">
              <w:rPr>
                <w:b/>
              </w:rPr>
              <w:t>English</w:t>
            </w:r>
          </w:p>
        </w:tc>
      </w:tr>
      <w:tr w:rsidR="00866C44" w:rsidRPr="00C80BCF" w14:paraId="68DCBE51" w14:textId="77777777" w:rsidTr="00930216">
        <w:trPr>
          <w:cantSplit/>
          <w:trHeight w:val="23"/>
        </w:trPr>
        <w:tc>
          <w:tcPr>
            <w:tcW w:w="3969" w:type="dxa"/>
          </w:tcPr>
          <w:p w14:paraId="36EBB912" w14:textId="77777777" w:rsidR="00866C44" w:rsidRPr="00C80BCF" w:rsidRDefault="00866C44" w:rsidP="00866C44">
            <w:pPr>
              <w:tabs>
                <w:tab w:val="left" w:pos="851"/>
              </w:tabs>
              <w:spacing w:line="240" w:lineRule="atLeast"/>
              <w:rPr>
                <w:b/>
              </w:rPr>
            </w:pPr>
          </w:p>
        </w:tc>
        <w:tc>
          <w:tcPr>
            <w:tcW w:w="5245" w:type="dxa"/>
          </w:tcPr>
          <w:p w14:paraId="0C27AB21" w14:textId="77777777" w:rsidR="00866C44" w:rsidRPr="00C80BCF" w:rsidRDefault="00866C44" w:rsidP="00866C44">
            <w:pPr>
              <w:tabs>
                <w:tab w:val="left" w:pos="851"/>
              </w:tabs>
              <w:spacing w:before="0" w:line="240" w:lineRule="atLeast"/>
              <w:jc w:val="right"/>
              <w:rPr>
                <w:b/>
              </w:rPr>
            </w:pPr>
          </w:p>
        </w:tc>
      </w:tr>
      <w:tr w:rsidR="00866C44" w:rsidRPr="00C80BCF" w14:paraId="3D71BE46" w14:textId="77777777" w:rsidTr="00930216">
        <w:trPr>
          <w:cantSplit/>
        </w:trPr>
        <w:tc>
          <w:tcPr>
            <w:tcW w:w="9214" w:type="dxa"/>
            <w:gridSpan w:val="2"/>
            <w:tcMar>
              <w:left w:w="0" w:type="dxa"/>
            </w:tcMar>
          </w:tcPr>
          <w:p w14:paraId="777E2581" w14:textId="0105EF3D" w:rsidR="00866C44" w:rsidRPr="00A218E2" w:rsidRDefault="00C80BCF" w:rsidP="00A218E2">
            <w:pPr>
              <w:pStyle w:val="Source"/>
              <w:framePr w:hSpace="0" w:wrap="auto" w:vAnchor="margin" w:hAnchor="text" w:xAlign="left" w:yAlign="inline"/>
            </w:pPr>
            <w:bookmarkStart w:id="8" w:name="dsource" w:colFirst="0" w:colLast="0"/>
            <w:bookmarkEnd w:id="7"/>
            <w:r w:rsidRPr="00A218E2">
              <w:t>Contribution by South Africa (Republic of), Kenya (Republic of), Morocco (Kingdom of) and Nigeria (Federal Republic of)</w:t>
            </w:r>
          </w:p>
        </w:tc>
      </w:tr>
      <w:tr w:rsidR="00866C44" w:rsidRPr="00C80BCF" w14:paraId="627A7876" w14:textId="77777777" w:rsidTr="00930216">
        <w:trPr>
          <w:cantSplit/>
        </w:trPr>
        <w:tc>
          <w:tcPr>
            <w:tcW w:w="9214" w:type="dxa"/>
            <w:gridSpan w:val="2"/>
            <w:tcMar>
              <w:left w:w="0" w:type="dxa"/>
            </w:tcMar>
          </w:tcPr>
          <w:p w14:paraId="4F9D595F" w14:textId="35F3D80D" w:rsidR="00866C44" w:rsidRPr="00C80BCF" w:rsidRDefault="00C80BCF" w:rsidP="00A218E2">
            <w:pPr>
              <w:pStyle w:val="Subtitle"/>
              <w:framePr w:hSpace="0" w:wrap="auto" w:xAlign="left" w:yAlign="inline"/>
              <w:rPr>
                <w:highlight w:val="yellow"/>
              </w:rPr>
            </w:pPr>
            <w:bookmarkStart w:id="9" w:name="dtitle1" w:colFirst="0" w:colLast="0"/>
            <w:bookmarkEnd w:id="8"/>
            <w:r w:rsidRPr="00C80BCF">
              <w:t>THE CASE FOR REGIONAL EQUITY AND ENABLING CONDITIONS FOR BROADER PARTICIPATION IN THE HOSTING OF ITU PLENIPOTENTIARY CONFERENCES</w:t>
            </w:r>
          </w:p>
        </w:tc>
      </w:tr>
      <w:tr w:rsidR="00866C44" w:rsidRPr="00C80BCF" w14:paraId="2140F6D2" w14:textId="77777777" w:rsidTr="00930216">
        <w:trPr>
          <w:cantSplit/>
        </w:trPr>
        <w:tc>
          <w:tcPr>
            <w:tcW w:w="9214" w:type="dxa"/>
            <w:gridSpan w:val="2"/>
            <w:tcBorders>
              <w:top w:val="single" w:sz="4" w:space="0" w:color="auto"/>
              <w:bottom w:val="single" w:sz="4" w:space="0" w:color="auto"/>
            </w:tcBorders>
            <w:tcMar>
              <w:left w:w="0" w:type="dxa"/>
            </w:tcMar>
          </w:tcPr>
          <w:p w14:paraId="0F6C36BD" w14:textId="77777777" w:rsidR="00866C44" w:rsidRPr="00C80BCF" w:rsidRDefault="00866C44" w:rsidP="00866C44">
            <w:pPr>
              <w:spacing w:before="160"/>
              <w:rPr>
                <w:b/>
                <w:bCs/>
                <w:sz w:val="26"/>
                <w:szCs w:val="26"/>
              </w:rPr>
            </w:pPr>
            <w:r w:rsidRPr="00C80BCF">
              <w:rPr>
                <w:b/>
                <w:bCs/>
                <w:sz w:val="26"/>
                <w:szCs w:val="26"/>
              </w:rPr>
              <w:t>Purpose</w:t>
            </w:r>
          </w:p>
          <w:p w14:paraId="5AC877D7" w14:textId="37D6654B" w:rsidR="00866C44" w:rsidRPr="00C80BCF" w:rsidRDefault="00866C44" w:rsidP="00C80BCF">
            <w:pPr>
              <w:jc w:val="both"/>
            </w:pPr>
            <w:r w:rsidRPr="00C80BCF">
              <w:t xml:space="preserve">This contribution aims to strengthen the process proposed by the </w:t>
            </w:r>
            <w:r w:rsidR="00CA1285">
              <w:t>s</w:t>
            </w:r>
            <w:r w:rsidR="009F0C3D" w:rsidRPr="00C80BCF">
              <w:t>ecretariat</w:t>
            </w:r>
            <w:r w:rsidRPr="00C80BCF">
              <w:t xml:space="preserve"> for </w:t>
            </w:r>
            <w:r w:rsidR="00241390" w:rsidRPr="00C80BCF">
              <w:t xml:space="preserve">selecting host countries for ITU conferences and assemblies, and to establish </w:t>
            </w:r>
            <w:r w:rsidR="00F31226" w:rsidRPr="00C80BCF">
              <w:t>the practical enabling conditions necessary for broader participation by Member States, in particular developing countries</w:t>
            </w:r>
            <w:r w:rsidRPr="00C80BCF">
              <w:t>, as requested by the Council Working Group on financial and human resources in January 2026.</w:t>
            </w:r>
          </w:p>
          <w:p w14:paraId="57AA62BF" w14:textId="2FAF337C" w:rsidR="00866C44" w:rsidRPr="00C80BCF" w:rsidRDefault="0041409A" w:rsidP="0041409A">
            <w:pPr>
              <w:spacing w:before="160"/>
              <w:jc w:val="both"/>
              <w:rPr>
                <w:b/>
                <w:bCs/>
                <w:sz w:val="26"/>
                <w:szCs w:val="26"/>
              </w:rPr>
            </w:pPr>
            <w:r w:rsidRPr="0041409A">
              <w:rPr>
                <w:b/>
                <w:bCs/>
                <w:sz w:val="26"/>
                <w:szCs w:val="26"/>
              </w:rPr>
              <w:t>Action required by the Council</w:t>
            </w:r>
          </w:p>
          <w:p w14:paraId="3E9B2BF4" w14:textId="77777777" w:rsidR="00866C44" w:rsidRPr="00C80BCF" w:rsidRDefault="00866C44" w:rsidP="00866C44">
            <w:pPr>
              <w:spacing w:before="160"/>
            </w:pPr>
            <w:r w:rsidRPr="00C80BCF">
              <w:t xml:space="preserve">The Council is invited to </w:t>
            </w:r>
            <w:r w:rsidRPr="00C80BCF">
              <w:rPr>
                <w:b/>
                <w:bCs/>
              </w:rPr>
              <w:t>consider</w:t>
            </w:r>
            <w:r w:rsidRPr="00C80BCF">
              <w:t xml:space="preserve"> this document.</w:t>
            </w:r>
          </w:p>
          <w:p w14:paraId="61F1FF10" w14:textId="77777777" w:rsidR="00866C44" w:rsidRPr="00C80BCF" w:rsidRDefault="00866C44" w:rsidP="00866C44">
            <w:r w:rsidRPr="00C80BCF">
              <w:t>_______________</w:t>
            </w:r>
          </w:p>
          <w:p w14:paraId="1BD2F756" w14:textId="77777777" w:rsidR="00866C44" w:rsidRPr="00C80BCF" w:rsidRDefault="00866C44" w:rsidP="00866C44">
            <w:pPr>
              <w:spacing w:before="160"/>
              <w:rPr>
                <w:b/>
                <w:bCs/>
                <w:sz w:val="26"/>
                <w:szCs w:val="26"/>
              </w:rPr>
            </w:pPr>
            <w:r w:rsidRPr="00C80BCF">
              <w:rPr>
                <w:b/>
                <w:bCs/>
                <w:sz w:val="26"/>
                <w:szCs w:val="26"/>
              </w:rPr>
              <w:t xml:space="preserve">References </w:t>
            </w:r>
          </w:p>
          <w:p w14:paraId="07674EA6" w14:textId="00F49C30" w:rsidR="00866C44" w:rsidRPr="00337EB2" w:rsidRDefault="00C80BCF" w:rsidP="00866C44">
            <w:pPr>
              <w:spacing w:after="160"/>
              <w:rPr>
                <w:i/>
                <w:iCs/>
                <w:sz w:val="22"/>
                <w:szCs w:val="22"/>
              </w:rPr>
            </w:pPr>
            <w:r w:rsidRPr="00337EB2">
              <w:rPr>
                <w:i/>
                <w:iCs/>
                <w:sz w:val="22"/>
                <w:szCs w:val="22"/>
              </w:rPr>
              <w:t xml:space="preserve">Documents </w:t>
            </w:r>
            <w:hyperlink r:id="rId10" w:history="1">
              <w:r w:rsidR="00866C44" w:rsidRPr="00337EB2">
                <w:rPr>
                  <w:rStyle w:val="Hyperlink"/>
                  <w:i/>
                  <w:iCs/>
                  <w:sz w:val="22"/>
                  <w:szCs w:val="22"/>
                </w:rPr>
                <w:t>C26/70</w:t>
              </w:r>
            </w:hyperlink>
            <w:r w:rsidRPr="00337EB2">
              <w:rPr>
                <w:i/>
                <w:iCs/>
                <w:sz w:val="22"/>
                <w:szCs w:val="22"/>
              </w:rPr>
              <w:t xml:space="preserve"> and</w:t>
            </w:r>
            <w:r w:rsidR="00F31226" w:rsidRPr="00337EB2">
              <w:rPr>
                <w:i/>
                <w:iCs/>
                <w:sz w:val="22"/>
                <w:szCs w:val="22"/>
              </w:rPr>
              <w:t xml:space="preserve"> </w:t>
            </w:r>
            <w:hyperlink r:id="rId11" w:history="1">
              <w:r w:rsidR="00F31226" w:rsidRPr="00337EB2">
                <w:rPr>
                  <w:rStyle w:val="Hyperlink"/>
                  <w:i/>
                  <w:iCs/>
                  <w:sz w:val="22"/>
                  <w:szCs w:val="22"/>
                </w:rPr>
                <w:t>C26/50</w:t>
              </w:r>
            </w:hyperlink>
          </w:p>
        </w:tc>
      </w:tr>
    </w:tbl>
    <w:p w14:paraId="544998D3" w14:textId="77777777" w:rsidR="00866C44" w:rsidRPr="00C80BCF" w:rsidRDefault="00866C44" w:rsidP="00866C44">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2678BBE2" w14:textId="77777777" w:rsidR="00866C44" w:rsidRPr="00C80BCF" w:rsidRDefault="00866C44" w:rsidP="00866C44">
      <w:pPr>
        <w:tabs>
          <w:tab w:val="clear" w:pos="567"/>
          <w:tab w:val="clear" w:pos="1134"/>
          <w:tab w:val="clear" w:pos="1701"/>
          <w:tab w:val="clear" w:pos="2268"/>
          <w:tab w:val="clear" w:pos="2835"/>
        </w:tabs>
        <w:overflowPunct/>
        <w:autoSpaceDE/>
        <w:autoSpaceDN/>
        <w:adjustRightInd/>
        <w:spacing w:before="0"/>
        <w:textAlignment w:val="auto"/>
        <w:rPr>
          <w:b/>
        </w:rPr>
      </w:pPr>
      <w:r w:rsidRPr="00C80BCF">
        <w:br w:type="page"/>
      </w:r>
    </w:p>
    <w:bookmarkEnd w:id="5"/>
    <w:bookmarkEnd w:id="10"/>
    <w:p w14:paraId="00CC8FCB" w14:textId="76F66C1E" w:rsidR="00866C44" w:rsidRPr="00A218E2" w:rsidRDefault="00A218E2" w:rsidP="00A218E2">
      <w:pPr>
        <w:pStyle w:val="Heading1"/>
      </w:pPr>
      <w:r w:rsidRPr="00C80BCF">
        <w:lastRenderedPageBreak/>
        <w:t>1</w:t>
      </w:r>
      <w:r w:rsidRPr="00C80BCF">
        <w:tab/>
      </w:r>
      <w:r w:rsidR="00866C44" w:rsidRPr="00A218E2">
        <w:t>Background</w:t>
      </w:r>
    </w:p>
    <w:p w14:paraId="42B5052F" w14:textId="1C288EAF" w:rsidR="0043321D" w:rsidRPr="00C80BCF" w:rsidRDefault="00A218E2" w:rsidP="00A218E2">
      <w:pPr>
        <w:jc w:val="both"/>
      </w:pPr>
      <w:r w:rsidRPr="00C80BCF">
        <w:t>1.1</w:t>
      </w:r>
      <w:r w:rsidRPr="00C80BCF">
        <w:tab/>
      </w:r>
      <w:r w:rsidR="00866C44" w:rsidRPr="00C80BCF">
        <w:t xml:space="preserve">We would like to express our gratitude for the Secretariat's proposal, which proposes a standardised, transparent selection process for hosting ITU conferences and assemblies, developed in response to Council guidance and prior discussions. It introduces a structured timeline beginning four years in advance with a formal call for proposals, followed by bid submissions, secretariat-led due diligence, and final selection by the Council or Plenipotentiary based on compliance and geographical balance. </w:t>
      </w:r>
    </w:p>
    <w:p w14:paraId="3594BCE2" w14:textId="420A31E2" w:rsidR="0043321D" w:rsidRPr="00C80BCF" w:rsidRDefault="00A218E2" w:rsidP="00A218E2">
      <w:pPr>
        <w:jc w:val="both"/>
      </w:pPr>
      <w:r w:rsidRPr="00C80BCF">
        <w:t>1.2</w:t>
      </w:r>
      <w:r w:rsidRPr="00C80BCF">
        <w:tab/>
      </w:r>
      <w:r w:rsidR="00866C44" w:rsidRPr="00C80BCF">
        <w:t>We also want to express our appreciation of a new host country web portal centralising all relevant information and bids. It also clarifies hosting costs, including both national expenditures and reimbursable ITU expenses, while emphasising efforts to reduce financial burdens and encourage wider participation. The framework is intended to enhance fairness, consistency, and predictability, and is proposed for implementation for conferences from 2031 onward.</w:t>
      </w:r>
    </w:p>
    <w:p w14:paraId="261F031E" w14:textId="4C49B0A3" w:rsidR="0043321D" w:rsidRPr="00C80BCF" w:rsidRDefault="00A218E2" w:rsidP="00A218E2">
      <w:pPr>
        <w:jc w:val="both"/>
      </w:pPr>
      <w:r w:rsidRPr="00C80BCF">
        <w:t>1.3</w:t>
      </w:r>
      <w:r w:rsidRPr="00C80BCF">
        <w:tab/>
      </w:r>
      <w:r w:rsidR="00866C44" w:rsidRPr="00C80BCF">
        <w:t>The Plenipotentiary Conference (PP) remains the highest authority of the International Telecommunication Union (ITU), determining the general policies of the Union, adopting its four-year strategic and financial plans, and electing its senior leadership. Since 1947, PPs have served as key milestones in the evolution of global telecommunications governance.</w:t>
      </w:r>
    </w:p>
    <w:p w14:paraId="0EC767A6" w14:textId="10815294" w:rsidR="0043321D" w:rsidRPr="00C80BCF" w:rsidRDefault="00A218E2" w:rsidP="00A218E2">
      <w:pPr>
        <w:jc w:val="both"/>
      </w:pPr>
      <w:r w:rsidRPr="00C80BCF">
        <w:t>1.4</w:t>
      </w:r>
      <w:r w:rsidRPr="00C80BCF">
        <w:tab/>
      </w:r>
      <w:r w:rsidR="00866C44" w:rsidRPr="00C80BCF">
        <w:t xml:space="preserve">In keeping with the ITU’s international character, each conference is hosted by a Member State. This tradition has allowed the PP to symbolically and practically reflect the Union’s inclusive mandate, while also conferring prestige and strategic visibility to the host country. </w:t>
      </w:r>
    </w:p>
    <w:p w14:paraId="12E0054D" w14:textId="629530E3" w:rsidR="00866C44" w:rsidRPr="00C80BCF" w:rsidRDefault="00A218E2" w:rsidP="00A218E2">
      <w:pPr>
        <w:jc w:val="both"/>
      </w:pPr>
      <w:r w:rsidRPr="00C80BCF">
        <w:t>1.5</w:t>
      </w:r>
      <w:r w:rsidRPr="00C80BCF">
        <w:tab/>
      </w:r>
      <w:r w:rsidR="00866C44" w:rsidRPr="00C80BCF">
        <w:t>The need to ensure that this process is conducted in a transparent and timely manner has been explicitly recognized at the highest levels of the Union. At the 2025 Council meeting, during debates preceding the vote on the hosting of WRC-27, Member States called for open and predictable invitations for hosting conferences and assemblies. Over time, the venues have rotated across regions, albeit informally. A summary of previous and forthcoming hosts is provided in the Annex.</w:t>
      </w:r>
    </w:p>
    <w:p w14:paraId="7FF33C64" w14:textId="2683F5BC" w:rsidR="00866C44" w:rsidRPr="00C80BCF" w:rsidRDefault="00866C44" w:rsidP="00A218E2">
      <w:pPr>
        <w:pStyle w:val="Headingb"/>
      </w:pPr>
      <w:r w:rsidRPr="00C80BCF">
        <w:t xml:space="preserve">Matter for </w:t>
      </w:r>
      <w:r w:rsidR="00A218E2" w:rsidRPr="00C80BCF">
        <w:t>consideration: transparency and regional balance and enabling conditions for broader participation in the selection of host countries</w:t>
      </w:r>
    </w:p>
    <w:p w14:paraId="3160B726" w14:textId="5B5EE572" w:rsidR="0043321D" w:rsidRPr="00C80BCF" w:rsidRDefault="00A218E2" w:rsidP="00A218E2">
      <w:pPr>
        <w:jc w:val="both"/>
      </w:pPr>
      <w:r w:rsidRPr="00C80BCF">
        <w:t>1.6</w:t>
      </w:r>
      <w:r w:rsidRPr="00C80BCF">
        <w:tab/>
      </w:r>
      <w:r w:rsidR="00866C44" w:rsidRPr="00C80BCF">
        <w:t>While the practice of rotating the PP among Member States has been broadly upheld, recent cycles point to the need for a more structured and transparent process that gives due consideration to geographical balance and equal opportunity among regions.</w:t>
      </w:r>
    </w:p>
    <w:p w14:paraId="665EF928" w14:textId="4DFF6F55" w:rsidR="00866C44" w:rsidRPr="00C80BCF" w:rsidRDefault="00A218E2" w:rsidP="00A218E2">
      <w:pPr>
        <w:jc w:val="both"/>
      </w:pPr>
      <w:r w:rsidRPr="00C80BCF">
        <w:t>1.7</w:t>
      </w:r>
      <w:r w:rsidRPr="00C80BCF">
        <w:tab/>
      </w:r>
      <w:r w:rsidR="00866C44" w:rsidRPr="00C80BCF">
        <w:t>It is observed that:</w:t>
      </w:r>
    </w:p>
    <w:p w14:paraId="648950E4" w14:textId="293DC331" w:rsidR="00866C44" w:rsidRPr="00C80BCF" w:rsidRDefault="00A218E2" w:rsidP="00A218E2">
      <w:pPr>
        <w:pStyle w:val="enumlev1"/>
        <w:jc w:val="both"/>
      </w:pPr>
      <w:r>
        <w:tab/>
      </w:r>
      <w:r w:rsidR="00866C44" w:rsidRPr="00C80BCF">
        <w:t>The process for selecting the host country is not subject to an open and time-bound call for expressions of interest, accessible to all Member States.</w:t>
      </w:r>
    </w:p>
    <w:p w14:paraId="02F1211C" w14:textId="4175F71B" w:rsidR="00866C44" w:rsidRPr="00C80BCF" w:rsidRDefault="00A218E2" w:rsidP="00A218E2">
      <w:pPr>
        <w:pStyle w:val="enumlev1"/>
        <w:jc w:val="both"/>
      </w:pPr>
      <w:r>
        <w:tab/>
      </w:r>
      <w:r w:rsidR="00866C44" w:rsidRPr="00C80BCF">
        <w:t xml:space="preserve">There is no formal mechanism within the Union’s procedures that ensures a predictable or regionally equitable sequence of hosting and the </w:t>
      </w:r>
      <w:r w:rsidR="00E45086" w:rsidRPr="00C80BCF">
        <w:t>Secretariat</w:t>
      </w:r>
      <w:r w:rsidR="00866C44" w:rsidRPr="00C80BCF">
        <w:t xml:space="preserve"> proposal is </w:t>
      </w:r>
      <w:proofErr w:type="gramStart"/>
      <w:r w:rsidR="00866C44" w:rsidRPr="00C80BCF">
        <w:t>making an effort</w:t>
      </w:r>
      <w:proofErr w:type="gramEnd"/>
      <w:r w:rsidR="00866C44" w:rsidRPr="00C80BCF">
        <w:t xml:space="preserve"> to address that.</w:t>
      </w:r>
    </w:p>
    <w:p w14:paraId="778FE052" w14:textId="6595AB83" w:rsidR="002B15F0" w:rsidRPr="00C80BCF" w:rsidRDefault="00A218E2" w:rsidP="00A218E2">
      <w:pPr>
        <w:pStyle w:val="enumlev1"/>
        <w:jc w:val="both"/>
      </w:pPr>
      <w:r>
        <w:tab/>
      </w:r>
      <w:r w:rsidR="002B15F0" w:rsidRPr="00C80BCF">
        <w:t>The absence of a clear solicitation window and of a mechanism for feedback to unsuccessful candidates may reduce predictability and discourage broader future participation.</w:t>
      </w:r>
    </w:p>
    <w:p w14:paraId="659DAFFC" w14:textId="39E19F3A" w:rsidR="00866C44" w:rsidRPr="00C80BCF" w:rsidRDefault="00A218E2" w:rsidP="00A218E2">
      <w:pPr>
        <w:pStyle w:val="enumlev1"/>
        <w:jc w:val="both"/>
      </w:pPr>
      <w:r>
        <w:tab/>
      </w:r>
      <w:r w:rsidR="00866C44" w:rsidRPr="00C80BCF">
        <w:t>Some regions have not hosted the Plenipotentiary Conference in over two decades.</w:t>
      </w:r>
    </w:p>
    <w:p w14:paraId="6D75539A" w14:textId="1FA6375C" w:rsidR="00E45086" w:rsidRPr="00C80BCF" w:rsidRDefault="00A218E2" w:rsidP="00A218E2">
      <w:pPr>
        <w:pStyle w:val="enumlev1"/>
        <w:jc w:val="both"/>
      </w:pPr>
      <w:r>
        <w:lastRenderedPageBreak/>
        <w:tab/>
      </w:r>
      <w:r w:rsidR="00866C44" w:rsidRPr="00C80BCF">
        <w:t>In the case of the African region, for instance, only two Plenipotentiary Conferences have been held on the continent—in 1982 (Nairobi) and in 2002 (Marrakesh). On the other hand, since 1947, Europe has hosted the Conference seven times and the Americas four times. Like Africa, the Asia-Pacific and the Arab States have each hosted twice, with the major difference being that by the time of the 2026 Conference in Doha, twenty-four years will have elapsed since the last African host, despite Africa accounting for 54 ITU Member States and 13 Council seats.</w:t>
      </w:r>
    </w:p>
    <w:p w14:paraId="49151ADA" w14:textId="0F79C822" w:rsidR="00866C44" w:rsidRPr="00C80BCF" w:rsidRDefault="00A218E2" w:rsidP="00A218E2">
      <w:pPr>
        <w:jc w:val="both"/>
      </w:pPr>
      <w:r w:rsidRPr="00C80BCF">
        <w:t>1.8</w:t>
      </w:r>
      <w:r w:rsidRPr="00C80BCF">
        <w:tab/>
      </w:r>
      <w:r w:rsidR="00866C44" w:rsidRPr="00C80BCF">
        <w:t xml:space="preserve">It is recognised that the selection of host countries is based on </w:t>
      </w:r>
      <w:proofErr w:type="gramStart"/>
      <w:r w:rsidR="00866C44" w:rsidRPr="00C80BCF">
        <w:t>a number of</w:t>
      </w:r>
      <w:proofErr w:type="gramEnd"/>
      <w:r w:rsidR="00866C44" w:rsidRPr="00C80BCF">
        <w:t xml:space="preserve"> practical considerations, including infrastructure, financial commitments, and expressions of interest by Member States. Nevertheless, giving room for broader participation in the hosting of high-level meetings is consistent with the principles of fairness, inclusion, and global engagement that underpin the ITU’s work.</w:t>
      </w:r>
    </w:p>
    <w:p w14:paraId="54A40BF3" w14:textId="355088AB" w:rsidR="00866C44" w:rsidRPr="00A218E2" w:rsidRDefault="00A218E2" w:rsidP="00A218E2">
      <w:pPr>
        <w:pStyle w:val="Heading1"/>
      </w:pPr>
      <w:r w:rsidRPr="00C80BCF">
        <w:t>2</w:t>
      </w:r>
      <w:r w:rsidRPr="00C80BCF">
        <w:tab/>
      </w:r>
      <w:r w:rsidR="00866C44" w:rsidRPr="00A218E2">
        <w:t>Proposal</w:t>
      </w:r>
    </w:p>
    <w:p w14:paraId="131CFA83" w14:textId="11C59E39" w:rsidR="00866C44" w:rsidRPr="00A218E2" w:rsidRDefault="00A218E2" w:rsidP="00A218E2">
      <w:pPr>
        <w:jc w:val="both"/>
      </w:pPr>
      <w:r w:rsidRPr="00C80BCF">
        <w:t>2.1</w:t>
      </w:r>
      <w:r w:rsidRPr="00C80BCF">
        <w:tab/>
      </w:r>
      <w:r w:rsidR="00866C44" w:rsidRPr="00A218E2">
        <w:t>In light of the foregoing, and with full regard to the prerogatives of the ITU Council, it is proposed that the Council consider:</w:t>
      </w:r>
    </w:p>
    <w:p w14:paraId="59C32C62" w14:textId="563000D7" w:rsidR="00600CC0" w:rsidRPr="00A218E2" w:rsidRDefault="00A218E2" w:rsidP="00A218E2">
      <w:pPr>
        <w:pStyle w:val="enumlev1"/>
        <w:jc w:val="both"/>
      </w:pPr>
      <w:r w:rsidRPr="00C80BCF">
        <w:t>2.1.1</w:t>
      </w:r>
      <w:r w:rsidRPr="00C80BCF">
        <w:tab/>
      </w:r>
      <w:r w:rsidR="00782953" w:rsidRPr="00A218E2">
        <w:t xml:space="preserve">to </w:t>
      </w:r>
      <w:r w:rsidR="00337EB2" w:rsidRPr="00A218E2">
        <w:t xml:space="preserve">introduce </w:t>
      </w:r>
      <w:r w:rsidR="00866C44" w:rsidRPr="00A218E2">
        <w:t xml:space="preserve">open and time-bound calls for expressions of interest to host the Plenipotentiary Conference and other major statutory meetings, with timelines and criteria clearly communicated </w:t>
      </w:r>
      <w:r w:rsidR="00DB4232" w:rsidRPr="00A218E2">
        <w:t xml:space="preserve">sufficiently in advance </w:t>
      </w:r>
      <w:r w:rsidR="00866C44" w:rsidRPr="00A218E2">
        <w:t>to all Member States</w:t>
      </w:r>
      <w:r w:rsidR="00DB4232" w:rsidRPr="00A218E2">
        <w:t xml:space="preserve"> to prepare host country proposals in line with their national planning and budgetary </w:t>
      </w:r>
      <w:proofErr w:type="gramStart"/>
      <w:r w:rsidR="00DB4232" w:rsidRPr="00A218E2">
        <w:t>cycles</w:t>
      </w:r>
      <w:r w:rsidR="00866C44" w:rsidRPr="00A218E2">
        <w:t>;</w:t>
      </w:r>
      <w:proofErr w:type="gramEnd"/>
    </w:p>
    <w:p w14:paraId="741C2475" w14:textId="457BB175" w:rsidR="008F07A4" w:rsidRPr="00A218E2" w:rsidRDefault="00A218E2" w:rsidP="00A218E2">
      <w:pPr>
        <w:pStyle w:val="enumlev1"/>
        <w:jc w:val="both"/>
      </w:pPr>
      <w:r w:rsidRPr="00C80BCF">
        <w:t>2.1.2</w:t>
      </w:r>
      <w:r w:rsidRPr="00C80BCF">
        <w:tab/>
      </w:r>
      <w:r w:rsidR="00782953" w:rsidRPr="00A218E2">
        <w:t xml:space="preserve">to </w:t>
      </w:r>
      <w:r w:rsidR="00760B23" w:rsidRPr="00A218E2">
        <w:t>a</w:t>
      </w:r>
      <w:r w:rsidR="00866C44" w:rsidRPr="00A218E2">
        <w:t xml:space="preserve">ffirm regional rotation as a guiding consideration in host selection, applied consistently over successive cycles to allow equitable opportunities across </w:t>
      </w:r>
      <w:proofErr w:type="gramStart"/>
      <w:r w:rsidR="00866C44" w:rsidRPr="00A218E2">
        <w:t>regions;</w:t>
      </w:r>
      <w:proofErr w:type="gramEnd"/>
    </w:p>
    <w:p w14:paraId="469AC5DA" w14:textId="68719E02" w:rsidR="008F07A4" w:rsidRPr="00A218E2" w:rsidRDefault="00A218E2" w:rsidP="00A218E2">
      <w:pPr>
        <w:pStyle w:val="enumlev1"/>
        <w:jc w:val="both"/>
      </w:pPr>
      <w:r w:rsidRPr="00C80BCF">
        <w:t>2.1.3</w:t>
      </w:r>
      <w:r w:rsidRPr="00C80BCF">
        <w:tab/>
      </w:r>
      <w:r w:rsidR="00782953" w:rsidRPr="00A218E2">
        <w:t xml:space="preserve">to </w:t>
      </w:r>
      <w:r w:rsidR="00760B23" w:rsidRPr="00A218E2">
        <w:t>e</w:t>
      </w:r>
      <w:r w:rsidR="00866C44" w:rsidRPr="00A218E2">
        <w:t xml:space="preserve">ncourage bids from underrepresented regions in line with the Union’s development objectives, as a means of advancing broader ICT equity and institutional </w:t>
      </w:r>
      <w:proofErr w:type="gramStart"/>
      <w:r w:rsidR="00866C44" w:rsidRPr="00A218E2">
        <w:t>inclusion</w:t>
      </w:r>
      <w:r w:rsidR="00782953">
        <w:t>;</w:t>
      </w:r>
      <w:proofErr w:type="gramEnd"/>
    </w:p>
    <w:p w14:paraId="687F3DA2" w14:textId="37F9F0FE" w:rsidR="00866C44" w:rsidRPr="00A218E2" w:rsidRDefault="00A218E2" w:rsidP="00A218E2">
      <w:pPr>
        <w:pStyle w:val="enumlev1"/>
        <w:jc w:val="both"/>
      </w:pPr>
      <w:r w:rsidRPr="00C80BCF">
        <w:t>2.1.4</w:t>
      </w:r>
      <w:r w:rsidRPr="00C80BCF">
        <w:tab/>
      </w:r>
      <w:r w:rsidR="00866C44" w:rsidRPr="00A218E2">
        <w:t>our considered view that</w:t>
      </w:r>
      <w:r w:rsidR="00782953">
        <w:t>,</w:t>
      </w:r>
      <w:r w:rsidR="00866C44" w:rsidRPr="00A218E2">
        <w:t xml:space="preserve"> taken together, these measures would improve transparency, strengthen regional participation and ensure that the benefits of hosting are more evenly </w:t>
      </w:r>
      <w:proofErr w:type="gramStart"/>
      <w:r w:rsidR="00866C44" w:rsidRPr="00A218E2">
        <w:t>shared</w:t>
      </w:r>
      <w:r w:rsidR="00782953">
        <w:t>;</w:t>
      </w:r>
      <w:proofErr w:type="gramEnd"/>
    </w:p>
    <w:p w14:paraId="7A569154" w14:textId="287F3BCE" w:rsidR="00DB4232" w:rsidRPr="00A218E2" w:rsidRDefault="00A218E2" w:rsidP="00A218E2">
      <w:pPr>
        <w:pStyle w:val="enumlev1"/>
        <w:jc w:val="both"/>
      </w:pPr>
      <w:r w:rsidRPr="00C80BCF">
        <w:t>2.1.5</w:t>
      </w:r>
      <w:r w:rsidRPr="00C80BCF">
        <w:tab/>
      </w:r>
      <w:r w:rsidR="00782953" w:rsidRPr="00A218E2">
        <w:t xml:space="preserve">to </w:t>
      </w:r>
      <w:r w:rsidR="00760B23" w:rsidRPr="00A218E2">
        <w:t>m</w:t>
      </w:r>
      <w:r w:rsidR="00DB4232" w:rsidRPr="00A218E2">
        <w:t xml:space="preserve">ake available through the web portal all relevant practical information concerning host country obligations, generic cost components, formal invitations received, and other procedural guidance, </w:t>
      </w:r>
      <w:proofErr w:type="gramStart"/>
      <w:r w:rsidR="00DB4232" w:rsidRPr="00A218E2">
        <w:t>in order to</w:t>
      </w:r>
      <w:proofErr w:type="gramEnd"/>
      <w:r w:rsidR="00DB4232" w:rsidRPr="00A218E2">
        <w:t xml:space="preserve"> enhance transparency and informed participation</w:t>
      </w:r>
      <w:r w:rsidR="00760B23" w:rsidRPr="00A218E2">
        <w:t xml:space="preserve">. </w:t>
      </w:r>
    </w:p>
    <w:p w14:paraId="67942661" w14:textId="3451A61A" w:rsidR="00DB4232" w:rsidRPr="00A218E2" w:rsidRDefault="00A218E2" w:rsidP="00A218E2">
      <w:pPr>
        <w:pStyle w:val="enumlev1"/>
        <w:jc w:val="both"/>
      </w:pPr>
      <w:r w:rsidRPr="00C80BCF">
        <w:t>2.1.6</w:t>
      </w:r>
      <w:r w:rsidRPr="00C80BCF">
        <w:tab/>
      </w:r>
      <w:r w:rsidR="00782953" w:rsidRPr="00A218E2">
        <w:t xml:space="preserve">to </w:t>
      </w:r>
      <w:r w:rsidR="00760B23" w:rsidRPr="00A218E2">
        <w:t>p</w:t>
      </w:r>
      <w:r w:rsidR="00DB4232" w:rsidRPr="00A218E2">
        <w:t>romote measures to reduce the financial and operational burden on host countries, including where appropriate the use of local professional capacity, remote participation tools, digital registration and accreditation solutions, and local sourcing of compatible technical infrastructure</w:t>
      </w:r>
    </w:p>
    <w:p w14:paraId="4945FC03" w14:textId="20A0ED2B" w:rsidR="00866C44" w:rsidRDefault="00A218E2" w:rsidP="00E46753">
      <w:pPr>
        <w:pStyle w:val="enumlev1"/>
        <w:jc w:val="both"/>
      </w:pPr>
      <w:r w:rsidRPr="00C80BCF">
        <w:t>2.1.7</w:t>
      </w:r>
      <w:r w:rsidRPr="00C80BCF">
        <w:tab/>
      </w:r>
      <w:r w:rsidR="00782953" w:rsidRPr="00A218E2">
        <w:t xml:space="preserve">to </w:t>
      </w:r>
      <w:r w:rsidR="00DB4232" w:rsidRPr="00A218E2">
        <w:t>provide appropriate feedback to unsuccessful candidates, with a view to strengthening future bids and encouraging continued participation from underrepresented regions</w:t>
      </w:r>
      <w:r w:rsidR="00E46753">
        <w:t>.</w:t>
      </w:r>
    </w:p>
    <w:p w14:paraId="1CE1E226" w14:textId="58B76163" w:rsidR="00E46753" w:rsidRDefault="00E46753" w:rsidP="00782953">
      <w:pPr>
        <w:pStyle w:val="Normalaftertitle"/>
        <w:spacing w:before="1080"/>
        <w:rPr>
          <w:rFonts w:eastAsia="Calibri"/>
        </w:rPr>
      </w:pPr>
      <w:r w:rsidRPr="00782953">
        <w:rPr>
          <w:b/>
          <w:bCs/>
        </w:rPr>
        <w:t>Annex:</w:t>
      </w:r>
      <w:r w:rsidRPr="00E46753">
        <w:t xml:space="preserve"> </w:t>
      </w:r>
      <w:r>
        <w:t>1</w:t>
      </w:r>
      <w:r>
        <w:rPr>
          <w:rFonts w:eastAsia="Calibri"/>
        </w:rPr>
        <w:br w:type="page"/>
      </w:r>
    </w:p>
    <w:p w14:paraId="117BE231" w14:textId="77777777" w:rsidR="00E46753" w:rsidRDefault="00866C44" w:rsidP="00E46753">
      <w:pPr>
        <w:pStyle w:val="AnnexNo"/>
      </w:pPr>
      <w:r w:rsidRPr="00A218E2">
        <w:t>Annex</w:t>
      </w:r>
    </w:p>
    <w:p w14:paraId="3BB6764B" w14:textId="3C5041BD" w:rsidR="00866C44" w:rsidRPr="00A218E2" w:rsidRDefault="00866C44" w:rsidP="00E46753">
      <w:pPr>
        <w:pStyle w:val="Annextitle"/>
      </w:pPr>
      <w:r w:rsidRPr="00A218E2">
        <w:t>History of Hosting Plenipotentiary Conferences</w:t>
      </w:r>
    </w:p>
    <w:tbl>
      <w:tblPr>
        <w:tblStyle w:val="TableGrid"/>
        <w:tblW w:w="5000" w:type="pct"/>
        <w:tblLook w:val="04A0" w:firstRow="1" w:lastRow="0" w:firstColumn="1" w:lastColumn="0" w:noHBand="0" w:noVBand="1"/>
      </w:tblPr>
      <w:tblGrid>
        <w:gridCol w:w="2122"/>
        <w:gridCol w:w="1861"/>
        <w:gridCol w:w="5078"/>
      </w:tblGrid>
      <w:tr w:rsidR="00866C44" w:rsidRPr="00C80BCF" w14:paraId="7CC0EA7C" w14:textId="77777777" w:rsidTr="00E46753">
        <w:trPr>
          <w:trHeight w:val="340"/>
        </w:trPr>
        <w:tc>
          <w:tcPr>
            <w:tcW w:w="1171" w:type="pct"/>
            <w:hideMark/>
          </w:tcPr>
          <w:p w14:paraId="61E4F130" w14:textId="77777777" w:rsidR="00866C44" w:rsidRPr="00C80BCF" w:rsidRDefault="00866C44" w:rsidP="00E46753">
            <w:pPr>
              <w:pStyle w:val="Tablehead"/>
              <w:rPr>
                <w:lang w:eastAsia="en-GB"/>
              </w:rPr>
            </w:pPr>
            <w:r w:rsidRPr="00C80BCF">
              <w:rPr>
                <w:lang w:eastAsia="en-GB"/>
              </w:rPr>
              <w:t>Region</w:t>
            </w:r>
          </w:p>
        </w:tc>
        <w:tc>
          <w:tcPr>
            <w:tcW w:w="1027" w:type="pct"/>
            <w:hideMark/>
          </w:tcPr>
          <w:p w14:paraId="2705A564" w14:textId="228AE542" w:rsidR="00866C44" w:rsidRPr="00C80BCF" w:rsidRDefault="00866C44" w:rsidP="00E46753">
            <w:pPr>
              <w:pStyle w:val="Tablehead"/>
              <w:rPr>
                <w:lang w:eastAsia="en-GB"/>
              </w:rPr>
            </w:pPr>
            <w:r w:rsidRPr="00C80BCF">
              <w:rPr>
                <w:lang w:eastAsia="en-GB"/>
              </w:rPr>
              <w:t xml:space="preserve">Number of PPs </w:t>
            </w:r>
            <w:r w:rsidR="00E46753" w:rsidRPr="00C80BCF">
              <w:rPr>
                <w:lang w:eastAsia="en-GB"/>
              </w:rPr>
              <w:t>hosted</w:t>
            </w:r>
          </w:p>
        </w:tc>
        <w:tc>
          <w:tcPr>
            <w:tcW w:w="2802" w:type="pct"/>
            <w:hideMark/>
          </w:tcPr>
          <w:p w14:paraId="1EA6B6D6" w14:textId="343E8172" w:rsidR="00866C44" w:rsidRPr="00C80BCF" w:rsidRDefault="00866C44" w:rsidP="00E46753">
            <w:pPr>
              <w:pStyle w:val="Tablehead"/>
              <w:rPr>
                <w:lang w:eastAsia="en-GB"/>
              </w:rPr>
            </w:pPr>
            <w:r w:rsidRPr="00C80BCF">
              <w:rPr>
                <w:lang w:eastAsia="en-GB"/>
              </w:rPr>
              <w:t xml:space="preserve">Years </w:t>
            </w:r>
            <w:r w:rsidR="00E46753">
              <w:rPr>
                <w:lang w:eastAsia="en-GB"/>
              </w:rPr>
              <w:t>–</w:t>
            </w:r>
            <w:r w:rsidRPr="00C80BCF">
              <w:rPr>
                <w:lang w:eastAsia="en-GB"/>
              </w:rPr>
              <w:t xml:space="preserve"> </w:t>
            </w:r>
            <w:r w:rsidR="00E46753" w:rsidRPr="00C80BCF">
              <w:rPr>
                <w:lang w:eastAsia="en-GB"/>
              </w:rPr>
              <w:t>Locations</w:t>
            </w:r>
          </w:p>
        </w:tc>
      </w:tr>
      <w:tr w:rsidR="00866C44" w:rsidRPr="00C80BCF" w14:paraId="03804434" w14:textId="77777777" w:rsidTr="00E46753">
        <w:trPr>
          <w:trHeight w:val="1700"/>
        </w:trPr>
        <w:tc>
          <w:tcPr>
            <w:tcW w:w="1171" w:type="pct"/>
            <w:hideMark/>
          </w:tcPr>
          <w:p w14:paraId="0FF08079" w14:textId="77777777" w:rsidR="00866C44" w:rsidRPr="00C80BCF" w:rsidRDefault="00866C44" w:rsidP="00E46753">
            <w:pPr>
              <w:pStyle w:val="Tabletext"/>
              <w:rPr>
                <w:lang w:eastAsia="en-GB"/>
              </w:rPr>
            </w:pPr>
            <w:r w:rsidRPr="00C80BCF">
              <w:rPr>
                <w:lang w:eastAsia="en-GB"/>
              </w:rPr>
              <w:t>Europe (CEPT)</w:t>
            </w:r>
          </w:p>
        </w:tc>
        <w:tc>
          <w:tcPr>
            <w:tcW w:w="1027" w:type="pct"/>
            <w:hideMark/>
          </w:tcPr>
          <w:p w14:paraId="187D6B51" w14:textId="77777777" w:rsidR="00866C44" w:rsidRPr="00C80BCF" w:rsidRDefault="00866C44" w:rsidP="00E46753">
            <w:pPr>
              <w:pStyle w:val="Tabletext"/>
              <w:jc w:val="center"/>
              <w:rPr>
                <w:lang w:eastAsia="en-GB"/>
              </w:rPr>
            </w:pPr>
            <w:r w:rsidRPr="00C80BCF">
              <w:rPr>
                <w:lang w:eastAsia="en-GB"/>
              </w:rPr>
              <w:t>7</w:t>
            </w:r>
          </w:p>
        </w:tc>
        <w:tc>
          <w:tcPr>
            <w:tcW w:w="2802" w:type="pct"/>
            <w:hideMark/>
          </w:tcPr>
          <w:p w14:paraId="1E8AAF3C" w14:textId="77777777" w:rsidR="00866C44" w:rsidRPr="00C80BCF" w:rsidRDefault="00866C44" w:rsidP="00E46753">
            <w:pPr>
              <w:pStyle w:val="Tabletext"/>
              <w:rPr>
                <w:lang w:eastAsia="en-GB"/>
              </w:rPr>
            </w:pPr>
            <w:r w:rsidRPr="00C80BCF">
              <w:rPr>
                <w:lang w:eastAsia="en-GB"/>
              </w:rPr>
              <w:t xml:space="preserve">1959 – Geneva, Switzerland </w:t>
            </w:r>
          </w:p>
          <w:p w14:paraId="49715C19" w14:textId="77777777" w:rsidR="00866C44" w:rsidRPr="00C80BCF" w:rsidRDefault="00866C44" w:rsidP="00E46753">
            <w:pPr>
              <w:pStyle w:val="Tabletext"/>
              <w:rPr>
                <w:lang w:eastAsia="en-GB"/>
              </w:rPr>
            </w:pPr>
            <w:r w:rsidRPr="00C80BCF">
              <w:rPr>
                <w:lang w:eastAsia="en-GB"/>
              </w:rPr>
              <w:t xml:space="preserve">1965 – Montreux, Switzerland </w:t>
            </w:r>
          </w:p>
          <w:p w14:paraId="1CE719FA" w14:textId="77777777" w:rsidR="00866C44" w:rsidRPr="00C80BCF" w:rsidRDefault="00866C44" w:rsidP="00E46753">
            <w:pPr>
              <w:pStyle w:val="Tabletext"/>
              <w:rPr>
                <w:lang w:eastAsia="en-GB"/>
              </w:rPr>
            </w:pPr>
            <w:r w:rsidRPr="00C80BCF">
              <w:rPr>
                <w:lang w:eastAsia="en-GB"/>
              </w:rPr>
              <w:t xml:space="preserve">1973 – Málaga-Torremolinos, Spain </w:t>
            </w:r>
          </w:p>
          <w:p w14:paraId="68DC5F10" w14:textId="77777777" w:rsidR="00866C44" w:rsidRPr="00C80BCF" w:rsidRDefault="00866C44" w:rsidP="00E46753">
            <w:pPr>
              <w:pStyle w:val="Tabletext"/>
              <w:rPr>
                <w:lang w:eastAsia="en-GB"/>
              </w:rPr>
            </w:pPr>
            <w:r w:rsidRPr="00C80BCF">
              <w:rPr>
                <w:lang w:eastAsia="en-GB"/>
              </w:rPr>
              <w:t xml:space="preserve">1989 – Nice, France </w:t>
            </w:r>
          </w:p>
          <w:p w14:paraId="6937E172" w14:textId="77777777" w:rsidR="00866C44" w:rsidRPr="00C80BCF" w:rsidRDefault="00866C44" w:rsidP="00E46753">
            <w:pPr>
              <w:pStyle w:val="Tabletext"/>
              <w:rPr>
                <w:lang w:eastAsia="en-GB"/>
              </w:rPr>
            </w:pPr>
            <w:r w:rsidRPr="00C80BCF">
              <w:rPr>
                <w:lang w:eastAsia="en-GB"/>
              </w:rPr>
              <w:t xml:space="preserve">1992 – Geneva (Extraordinary PP) </w:t>
            </w:r>
          </w:p>
          <w:p w14:paraId="1FD0BD30" w14:textId="77777777" w:rsidR="00866C44" w:rsidRPr="00C80BCF" w:rsidRDefault="00866C44" w:rsidP="00E46753">
            <w:pPr>
              <w:pStyle w:val="Tabletext"/>
              <w:rPr>
                <w:lang w:eastAsia="en-GB"/>
              </w:rPr>
            </w:pPr>
            <w:r w:rsidRPr="00C80BCF">
              <w:rPr>
                <w:lang w:eastAsia="en-GB"/>
              </w:rPr>
              <w:t xml:space="preserve">2006 – Antalya, Turkey </w:t>
            </w:r>
          </w:p>
          <w:p w14:paraId="25F6AE0F" w14:textId="77777777" w:rsidR="00866C44" w:rsidRPr="00C80BCF" w:rsidRDefault="00866C44" w:rsidP="00E46753">
            <w:pPr>
              <w:pStyle w:val="Tabletext"/>
              <w:rPr>
                <w:lang w:eastAsia="en-GB"/>
              </w:rPr>
            </w:pPr>
            <w:r w:rsidRPr="00C80BCF">
              <w:rPr>
                <w:lang w:eastAsia="en-GB"/>
              </w:rPr>
              <w:t>2022 – Bucharest, Romania</w:t>
            </w:r>
          </w:p>
        </w:tc>
      </w:tr>
      <w:tr w:rsidR="00866C44" w:rsidRPr="0041409A" w14:paraId="5C7F6339" w14:textId="77777777" w:rsidTr="00E46753">
        <w:trPr>
          <w:trHeight w:val="680"/>
        </w:trPr>
        <w:tc>
          <w:tcPr>
            <w:tcW w:w="1171" w:type="pct"/>
            <w:hideMark/>
          </w:tcPr>
          <w:p w14:paraId="6AC52EB1" w14:textId="77777777" w:rsidR="00866C44" w:rsidRPr="00C80BCF" w:rsidRDefault="00866C44" w:rsidP="00E46753">
            <w:pPr>
              <w:pStyle w:val="Tabletext"/>
              <w:rPr>
                <w:lang w:eastAsia="en-GB"/>
              </w:rPr>
            </w:pPr>
            <w:r w:rsidRPr="00C80BCF">
              <w:rPr>
                <w:lang w:eastAsia="en-GB"/>
              </w:rPr>
              <w:t>Americas (CITEL)</w:t>
            </w:r>
          </w:p>
        </w:tc>
        <w:tc>
          <w:tcPr>
            <w:tcW w:w="1027" w:type="pct"/>
            <w:hideMark/>
          </w:tcPr>
          <w:p w14:paraId="299D3829" w14:textId="77777777" w:rsidR="00866C44" w:rsidRPr="00C80BCF" w:rsidRDefault="00866C44" w:rsidP="00E46753">
            <w:pPr>
              <w:pStyle w:val="Tabletext"/>
              <w:jc w:val="center"/>
              <w:rPr>
                <w:lang w:eastAsia="en-GB"/>
              </w:rPr>
            </w:pPr>
            <w:r w:rsidRPr="00C80BCF">
              <w:rPr>
                <w:lang w:eastAsia="en-GB"/>
              </w:rPr>
              <w:t>4</w:t>
            </w:r>
          </w:p>
        </w:tc>
        <w:tc>
          <w:tcPr>
            <w:tcW w:w="2802" w:type="pct"/>
            <w:hideMark/>
          </w:tcPr>
          <w:p w14:paraId="0F803A1D" w14:textId="77777777" w:rsidR="00866C44" w:rsidRPr="0041409A" w:rsidRDefault="00866C44" w:rsidP="00E46753">
            <w:pPr>
              <w:pStyle w:val="Tabletext"/>
              <w:rPr>
                <w:lang w:val="es-ES" w:eastAsia="en-GB"/>
              </w:rPr>
            </w:pPr>
            <w:r w:rsidRPr="0041409A">
              <w:rPr>
                <w:lang w:val="es-ES" w:eastAsia="en-GB"/>
              </w:rPr>
              <w:t xml:space="preserve">1947 – Atlantic City, USA </w:t>
            </w:r>
          </w:p>
          <w:p w14:paraId="45422D5F" w14:textId="77777777" w:rsidR="00866C44" w:rsidRPr="0041409A" w:rsidRDefault="00866C44" w:rsidP="00E46753">
            <w:pPr>
              <w:pStyle w:val="Tabletext"/>
              <w:rPr>
                <w:lang w:val="es-ES" w:eastAsia="en-GB"/>
              </w:rPr>
            </w:pPr>
            <w:r w:rsidRPr="0041409A">
              <w:rPr>
                <w:lang w:val="es-ES" w:eastAsia="en-GB"/>
              </w:rPr>
              <w:t xml:space="preserve">1952 – Buenos Aires, Argentina </w:t>
            </w:r>
          </w:p>
          <w:p w14:paraId="16D37041" w14:textId="77777777" w:rsidR="00866C44" w:rsidRPr="0041409A" w:rsidRDefault="00866C44" w:rsidP="00E46753">
            <w:pPr>
              <w:pStyle w:val="Tabletext"/>
              <w:rPr>
                <w:lang w:val="es-ES" w:eastAsia="en-GB"/>
              </w:rPr>
            </w:pPr>
            <w:r w:rsidRPr="0041409A">
              <w:rPr>
                <w:lang w:val="es-ES" w:eastAsia="en-GB"/>
              </w:rPr>
              <w:t xml:space="preserve">1998 – Minneapolis, USA </w:t>
            </w:r>
          </w:p>
          <w:p w14:paraId="48861FD1" w14:textId="77777777" w:rsidR="00866C44" w:rsidRPr="0041409A" w:rsidRDefault="00866C44" w:rsidP="00E46753">
            <w:pPr>
              <w:pStyle w:val="Tabletext"/>
              <w:rPr>
                <w:lang w:val="es-ES" w:eastAsia="en-GB"/>
              </w:rPr>
            </w:pPr>
            <w:r w:rsidRPr="0041409A">
              <w:rPr>
                <w:lang w:val="es-ES" w:eastAsia="en-GB"/>
              </w:rPr>
              <w:t>2010 – Guadalajara, Mexico</w:t>
            </w:r>
          </w:p>
        </w:tc>
      </w:tr>
      <w:tr w:rsidR="00866C44" w:rsidRPr="00C80BCF" w14:paraId="146130DE" w14:textId="77777777" w:rsidTr="00E46753">
        <w:trPr>
          <w:trHeight w:val="340"/>
        </w:trPr>
        <w:tc>
          <w:tcPr>
            <w:tcW w:w="1171" w:type="pct"/>
            <w:hideMark/>
          </w:tcPr>
          <w:p w14:paraId="1E0E7ACB" w14:textId="77777777" w:rsidR="00866C44" w:rsidRPr="00C80BCF" w:rsidRDefault="00866C44" w:rsidP="00E46753">
            <w:pPr>
              <w:pStyle w:val="Tabletext"/>
              <w:rPr>
                <w:lang w:eastAsia="en-GB"/>
              </w:rPr>
            </w:pPr>
            <w:r w:rsidRPr="00C80BCF">
              <w:rPr>
                <w:lang w:eastAsia="en-GB"/>
              </w:rPr>
              <w:t>Africa (ATU)</w:t>
            </w:r>
          </w:p>
        </w:tc>
        <w:tc>
          <w:tcPr>
            <w:tcW w:w="1027" w:type="pct"/>
            <w:hideMark/>
          </w:tcPr>
          <w:p w14:paraId="2C89859B" w14:textId="77777777" w:rsidR="00866C44" w:rsidRPr="00C80BCF" w:rsidRDefault="00866C44" w:rsidP="00E46753">
            <w:pPr>
              <w:pStyle w:val="Tabletext"/>
              <w:jc w:val="center"/>
              <w:rPr>
                <w:lang w:eastAsia="en-GB"/>
              </w:rPr>
            </w:pPr>
            <w:r w:rsidRPr="00C80BCF">
              <w:rPr>
                <w:lang w:eastAsia="en-GB"/>
              </w:rPr>
              <w:t>2</w:t>
            </w:r>
          </w:p>
        </w:tc>
        <w:tc>
          <w:tcPr>
            <w:tcW w:w="2802" w:type="pct"/>
            <w:hideMark/>
          </w:tcPr>
          <w:p w14:paraId="32D74634" w14:textId="77777777" w:rsidR="00866C44" w:rsidRPr="00C80BCF" w:rsidRDefault="00866C44" w:rsidP="00E46753">
            <w:pPr>
              <w:pStyle w:val="Tabletext"/>
              <w:rPr>
                <w:lang w:eastAsia="en-GB"/>
              </w:rPr>
            </w:pPr>
            <w:r w:rsidRPr="00C80BCF">
              <w:rPr>
                <w:lang w:eastAsia="en-GB"/>
              </w:rPr>
              <w:t xml:space="preserve">1982 – Nairobi, Kenya </w:t>
            </w:r>
          </w:p>
          <w:p w14:paraId="07AD09E4" w14:textId="77777777" w:rsidR="00866C44" w:rsidRPr="00C80BCF" w:rsidRDefault="00866C44" w:rsidP="00E46753">
            <w:pPr>
              <w:pStyle w:val="Tabletext"/>
              <w:rPr>
                <w:lang w:eastAsia="en-GB"/>
              </w:rPr>
            </w:pPr>
            <w:r w:rsidRPr="00C80BCF">
              <w:rPr>
                <w:lang w:eastAsia="en-GB"/>
              </w:rPr>
              <w:t>2002 – Marrakesh, Morocco</w:t>
            </w:r>
          </w:p>
        </w:tc>
      </w:tr>
      <w:tr w:rsidR="00866C44" w:rsidRPr="00C80BCF" w14:paraId="6B150E0F" w14:textId="77777777" w:rsidTr="00E46753">
        <w:trPr>
          <w:trHeight w:val="680"/>
        </w:trPr>
        <w:tc>
          <w:tcPr>
            <w:tcW w:w="1171" w:type="pct"/>
            <w:hideMark/>
          </w:tcPr>
          <w:p w14:paraId="6F9C8199" w14:textId="77777777" w:rsidR="00866C44" w:rsidRPr="00C80BCF" w:rsidRDefault="00866C44" w:rsidP="00E46753">
            <w:pPr>
              <w:pStyle w:val="Tabletext"/>
              <w:rPr>
                <w:lang w:eastAsia="en-GB"/>
              </w:rPr>
            </w:pPr>
            <w:r w:rsidRPr="00C80BCF">
              <w:rPr>
                <w:lang w:eastAsia="en-GB"/>
              </w:rPr>
              <w:t>Asia-Pacific (APT)</w:t>
            </w:r>
          </w:p>
        </w:tc>
        <w:tc>
          <w:tcPr>
            <w:tcW w:w="1027" w:type="pct"/>
            <w:hideMark/>
          </w:tcPr>
          <w:p w14:paraId="6224B953" w14:textId="77777777" w:rsidR="00866C44" w:rsidRPr="00C80BCF" w:rsidRDefault="00866C44" w:rsidP="00E46753">
            <w:pPr>
              <w:pStyle w:val="Tabletext"/>
              <w:jc w:val="center"/>
              <w:rPr>
                <w:lang w:eastAsia="en-GB"/>
              </w:rPr>
            </w:pPr>
            <w:r w:rsidRPr="00C80BCF">
              <w:rPr>
                <w:lang w:eastAsia="en-GB"/>
              </w:rPr>
              <w:t>2</w:t>
            </w:r>
          </w:p>
        </w:tc>
        <w:tc>
          <w:tcPr>
            <w:tcW w:w="2802" w:type="pct"/>
            <w:hideMark/>
          </w:tcPr>
          <w:p w14:paraId="35E690FA" w14:textId="77777777" w:rsidR="00866C44" w:rsidRPr="00C80BCF" w:rsidRDefault="00866C44" w:rsidP="00E46753">
            <w:pPr>
              <w:pStyle w:val="Tabletext"/>
              <w:rPr>
                <w:lang w:eastAsia="en-GB"/>
              </w:rPr>
            </w:pPr>
            <w:r w:rsidRPr="00C80BCF">
              <w:rPr>
                <w:lang w:eastAsia="en-GB"/>
              </w:rPr>
              <w:t xml:space="preserve">1994 – Kyoto, Japan </w:t>
            </w:r>
          </w:p>
          <w:p w14:paraId="695488E8" w14:textId="562BB781" w:rsidR="00866C44" w:rsidRPr="00C80BCF" w:rsidRDefault="00866C44" w:rsidP="00E46753">
            <w:pPr>
              <w:pStyle w:val="Tabletext"/>
              <w:rPr>
                <w:lang w:eastAsia="en-GB"/>
              </w:rPr>
            </w:pPr>
            <w:r w:rsidRPr="00C80BCF">
              <w:rPr>
                <w:lang w:eastAsia="en-GB"/>
              </w:rPr>
              <w:t>2014 – Busan</w:t>
            </w:r>
            <w:r w:rsidR="00637967">
              <w:rPr>
                <w:lang w:eastAsia="en-GB"/>
              </w:rPr>
              <w:t>,</w:t>
            </w:r>
            <w:r w:rsidRPr="00C80BCF">
              <w:rPr>
                <w:lang w:eastAsia="en-GB"/>
              </w:rPr>
              <w:t xml:space="preserve"> Republic of Korea </w:t>
            </w:r>
          </w:p>
        </w:tc>
      </w:tr>
      <w:tr w:rsidR="00866C44" w:rsidRPr="00C80BCF" w14:paraId="72BB17C9" w14:textId="77777777" w:rsidTr="00E46753">
        <w:trPr>
          <w:trHeight w:val="340"/>
        </w:trPr>
        <w:tc>
          <w:tcPr>
            <w:tcW w:w="1171" w:type="pct"/>
            <w:hideMark/>
          </w:tcPr>
          <w:p w14:paraId="21C9573A" w14:textId="77777777" w:rsidR="00866C44" w:rsidRPr="00C80BCF" w:rsidRDefault="00866C44" w:rsidP="00E46753">
            <w:pPr>
              <w:pStyle w:val="Tabletext"/>
              <w:rPr>
                <w:lang w:eastAsia="en-GB"/>
              </w:rPr>
            </w:pPr>
            <w:r w:rsidRPr="00C80BCF">
              <w:rPr>
                <w:lang w:eastAsia="en-GB"/>
              </w:rPr>
              <w:t>Arab States (ASMG)</w:t>
            </w:r>
          </w:p>
        </w:tc>
        <w:tc>
          <w:tcPr>
            <w:tcW w:w="1027" w:type="pct"/>
            <w:hideMark/>
          </w:tcPr>
          <w:p w14:paraId="442416A0" w14:textId="407FBF50" w:rsidR="00866C44" w:rsidRPr="00C80BCF" w:rsidRDefault="00866C44" w:rsidP="00E46753">
            <w:pPr>
              <w:pStyle w:val="Tabletext"/>
              <w:jc w:val="center"/>
              <w:rPr>
                <w:lang w:eastAsia="en-GB"/>
              </w:rPr>
            </w:pPr>
            <w:r w:rsidRPr="00C80BCF">
              <w:rPr>
                <w:lang w:eastAsia="en-GB"/>
              </w:rPr>
              <w:t xml:space="preserve">2 </w:t>
            </w:r>
            <w:r w:rsidR="00E46753">
              <w:rPr>
                <w:lang w:eastAsia="en-GB"/>
              </w:rPr>
              <w:br/>
            </w:r>
            <w:r w:rsidRPr="00C80BCF">
              <w:rPr>
                <w:i/>
                <w:iCs/>
                <w:lang w:eastAsia="en-GB"/>
              </w:rPr>
              <w:t>(including PP</w:t>
            </w:r>
            <w:r w:rsidR="00E46753">
              <w:rPr>
                <w:i/>
                <w:iCs/>
                <w:lang w:eastAsia="en-GB"/>
              </w:rPr>
              <w:t>-</w:t>
            </w:r>
            <w:r w:rsidRPr="00C80BCF">
              <w:rPr>
                <w:i/>
                <w:iCs/>
                <w:lang w:eastAsia="en-GB"/>
              </w:rPr>
              <w:t>26)</w:t>
            </w:r>
          </w:p>
        </w:tc>
        <w:tc>
          <w:tcPr>
            <w:tcW w:w="2802" w:type="pct"/>
            <w:hideMark/>
          </w:tcPr>
          <w:p w14:paraId="3784C7B3" w14:textId="77777777" w:rsidR="00866C44" w:rsidRPr="00C80BCF" w:rsidRDefault="00866C44" w:rsidP="00E46753">
            <w:pPr>
              <w:pStyle w:val="Tabletext"/>
              <w:rPr>
                <w:lang w:eastAsia="en-GB"/>
              </w:rPr>
            </w:pPr>
            <w:r w:rsidRPr="00C80BCF">
              <w:rPr>
                <w:lang w:eastAsia="en-GB"/>
              </w:rPr>
              <w:t xml:space="preserve">2018 – Dubai, UAE </w:t>
            </w:r>
          </w:p>
          <w:p w14:paraId="7BEDF41E" w14:textId="77777777" w:rsidR="00866C44" w:rsidRPr="00C80BCF" w:rsidRDefault="00866C44" w:rsidP="00E46753">
            <w:pPr>
              <w:pStyle w:val="Tabletext"/>
              <w:rPr>
                <w:lang w:eastAsia="en-GB"/>
              </w:rPr>
            </w:pPr>
            <w:r w:rsidRPr="00C80BCF">
              <w:rPr>
                <w:lang w:eastAsia="en-GB"/>
              </w:rPr>
              <w:t>2026 – Doha, Qatar</w:t>
            </w:r>
          </w:p>
        </w:tc>
      </w:tr>
    </w:tbl>
    <w:p w14:paraId="7BAECC5C" w14:textId="77777777" w:rsidR="00D2497C" w:rsidRDefault="00D2497C" w:rsidP="00866C44"/>
    <w:p w14:paraId="278E9727" w14:textId="77777777" w:rsidR="00E46753" w:rsidRDefault="00E46753">
      <w:pPr>
        <w:jc w:val="center"/>
      </w:pPr>
      <w:r>
        <w:t>______________</w:t>
      </w:r>
    </w:p>
    <w:sectPr w:rsidR="00E46753" w:rsidSect="00AD3606">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F3FFE" w14:textId="77777777" w:rsidR="008240E9" w:rsidRDefault="008240E9">
      <w:r>
        <w:separator/>
      </w:r>
    </w:p>
  </w:endnote>
  <w:endnote w:type="continuationSeparator" w:id="0">
    <w:p w14:paraId="46457BC7" w14:textId="77777777" w:rsidR="008240E9" w:rsidRDefault="00824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A218E2" w:rsidRPr="00784011" w14:paraId="2811F7C9" w14:textId="77777777" w:rsidTr="00510D39">
      <w:trPr>
        <w:jc w:val="center"/>
      </w:trPr>
      <w:tc>
        <w:tcPr>
          <w:tcW w:w="1803" w:type="dxa"/>
          <w:vAlign w:val="center"/>
        </w:tcPr>
        <w:p w14:paraId="6440F85D" w14:textId="265605D6" w:rsidR="00A218E2" w:rsidRPr="006B77F1" w:rsidRDefault="00A218E2" w:rsidP="00A218E2">
          <w:pPr>
            <w:pStyle w:val="Header"/>
            <w:jc w:val="left"/>
            <w:rPr>
              <w:noProof/>
            </w:rPr>
          </w:pPr>
        </w:p>
      </w:tc>
      <w:tc>
        <w:tcPr>
          <w:tcW w:w="8261" w:type="dxa"/>
        </w:tcPr>
        <w:p w14:paraId="2B84FE06" w14:textId="77777777" w:rsidR="00A218E2" w:rsidRPr="00E06FD5" w:rsidRDefault="00A218E2" w:rsidP="00A218E2">
          <w:pPr>
            <w:pStyle w:val="Header"/>
            <w:tabs>
              <w:tab w:val="left" w:pos="6731"/>
              <w:tab w:val="right" w:pos="8505"/>
              <w:tab w:val="right" w:pos="9639"/>
            </w:tabs>
            <w:jc w:val="left"/>
            <w:rPr>
              <w:rFonts w:ascii="Arial" w:hAnsi="Arial"/>
              <w:b/>
              <w:bCs/>
              <w:szCs w:val="18"/>
            </w:rPr>
          </w:pPr>
          <w:r>
            <w:rPr>
              <w:bCs/>
            </w:rPr>
            <w:tab/>
          </w:r>
          <w:r w:rsidRPr="00623AE3">
            <w:rPr>
              <w:bCs/>
            </w:rPr>
            <w:t>C</w:t>
          </w:r>
          <w:r>
            <w:rPr>
              <w:bCs/>
            </w:rPr>
            <w:t>26</w:t>
          </w:r>
          <w:r w:rsidRPr="00623AE3">
            <w:rPr>
              <w:bCs/>
            </w:rPr>
            <w:t>/</w:t>
          </w:r>
          <w:r>
            <w:rPr>
              <w:bCs/>
            </w:rPr>
            <w:t>102</w:t>
          </w:r>
          <w:r w:rsidRPr="00623AE3">
            <w:rPr>
              <w:bCs/>
            </w:rPr>
            <w:t>-E</w:t>
          </w:r>
          <w:r>
            <w:rPr>
              <w:bCs/>
            </w:rPr>
            <w:tab/>
          </w:r>
          <w:r>
            <w:fldChar w:fldCharType="begin"/>
          </w:r>
          <w:r>
            <w:instrText>PAGE</w:instrText>
          </w:r>
          <w:r>
            <w:fldChar w:fldCharType="separate"/>
          </w:r>
          <w:r>
            <w:t>1</w:t>
          </w:r>
          <w:r>
            <w:rPr>
              <w:noProof/>
            </w:rPr>
            <w:fldChar w:fldCharType="end"/>
          </w:r>
        </w:p>
      </w:tc>
    </w:tr>
  </w:tbl>
  <w:p w14:paraId="545B980F" w14:textId="77777777" w:rsidR="00A218E2" w:rsidRPr="00A218E2" w:rsidRDefault="00A218E2" w:rsidP="00A21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A218E2" w:rsidRPr="00784011" w14:paraId="4A26756C" w14:textId="77777777" w:rsidTr="00510D39">
      <w:trPr>
        <w:jc w:val="center"/>
      </w:trPr>
      <w:tc>
        <w:tcPr>
          <w:tcW w:w="1803" w:type="dxa"/>
          <w:vAlign w:val="center"/>
        </w:tcPr>
        <w:p w14:paraId="274F8CAE" w14:textId="77777777" w:rsidR="00A218E2" w:rsidRPr="006B77F1" w:rsidRDefault="00A218E2" w:rsidP="00A218E2">
          <w:pPr>
            <w:pStyle w:val="Header"/>
            <w:jc w:val="left"/>
            <w:rPr>
              <w:noProof/>
            </w:rPr>
          </w:pPr>
          <w:hyperlink r:id="rId1" w:history="1">
            <w:r>
              <w:rPr>
                <w:rStyle w:val="Hyperlink"/>
                <w:u w:val="none"/>
              </w:rPr>
              <w:t>council.itu.int/2026</w:t>
            </w:r>
          </w:hyperlink>
        </w:p>
      </w:tc>
      <w:tc>
        <w:tcPr>
          <w:tcW w:w="8261" w:type="dxa"/>
        </w:tcPr>
        <w:p w14:paraId="31D4C215" w14:textId="5086245C" w:rsidR="00A218E2" w:rsidRPr="00E06FD5" w:rsidRDefault="00A218E2" w:rsidP="00A218E2">
          <w:pPr>
            <w:pStyle w:val="Header"/>
            <w:tabs>
              <w:tab w:val="left" w:pos="6731"/>
              <w:tab w:val="right" w:pos="8505"/>
              <w:tab w:val="right" w:pos="9639"/>
            </w:tabs>
            <w:jc w:val="left"/>
            <w:rPr>
              <w:rFonts w:ascii="Arial" w:hAnsi="Arial"/>
              <w:b/>
              <w:bCs/>
              <w:szCs w:val="18"/>
            </w:rPr>
          </w:pPr>
          <w:r>
            <w:rPr>
              <w:bCs/>
            </w:rPr>
            <w:tab/>
          </w:r>
          <w:r w:rsidRPr="00623AE3">
            <w:rPr>
              <w:bCs/>
            </w:rPr>
            <w:t>C</w:t>
          </w:r>
          <w:r>
            <w:rPr>
              <w:bCs/>
            </w:rPr>
            <w:t>26</w:t>
          </w:r>
          <w:r w:rsidRPr="00623AE3">
            <w:rPr>
              <w:bCs/>
            </w:rPr>
            <w:t>/</w:t>
          </w:r>
          <w:r>
            <w:rPr>
              <w:bCs/>
            </w:rPr>
            <w:t>102</w:t>
          </w:r>
          <w:r w:rsidRPr="00623AE3">
            <w:rPr>
              <w:bCs/>
            </w:rPr>
            <w:t>-E</w:t>
          </w:r>
          <w:r>
            <w:rPr>
              <w:bCs/>
            </w:rPr>
            <w:tab/>
          </w:r>
          <w:r>
            <w:fldChar w:fldCharType="begin"/>
          </w:r>
          <w:r>
            <w:instrText>PAGE</w:instrText>
          </w:r>
          <w:r>
            <w:fldChar w:fldCharType="separate"/>
          </w:r>
          <w:r>
            <w:t>1</w:t>
          </w:r>
          <w:r>
            <w:rPr>
              <w:noProof/>
            </w:rPr>
            <w:fldChar w:fldCharType="end"/>
          </w:r>
        </w:p>
      </w:tc>
    </w:tr>
  </w:tbl>
  <w:p w14:paraId="07A0F21B" w14:textId="77777777" w:rsidR="00A514A4" w:rsidRPr="00A218E2" w:rsidRDefault="00A514A4" w:rsidP="00A21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1E3AA" w14:textId="77777777" w:rsidR="008240E9" w:rsidRDefault="008240E9">
      <w:r>
        <w:t>____________________</w:t>
      </w:r>
    </w:p>
  </w:footnote>
  <w:footnote w:type="continuationSeparator" w:id="0">
    <w:p w14:paraId="0CEDFA04" w14:textId="77777777" w:rsidR="008240E9" w:rsidRDefault="00824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0EED5" w14:textId="19589CD2" w:rsidR="00AD3606" w:rsidRPr="00512087" w:rsidRDefault="0028443C" w:rsidP="0049369C">
    <w:pPr>
      <w:pStyle w:val="Header"/>
    </w:pPr>
    <w:r w:rsidRPr="00CE5F2A">
      <w:rPr>
        <w:noProof/>
      </w:rPr>
      <w:drawing>
        <wp:inline distT="0" distB="0" distL="0" distR="0" wp14:anchorId="57A952EE" wp14:editId="0CAB0E84">
          <wp:extent cx="575945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3E835A"/>
    <w:multiLevelType w:val="hybridMultilevel"/>
    <w:tmpl w:val="A7ACDD70"/>
    <w:lvl w:ilvl="0" w:tplc="BB728556">
      <w:start w:val="1"/>
      <w:numFmt w:val="decimal"/>
      <w:lvlText w:val="%1)"/>
      <w:lvlJc w:val="left"/>
      <w:pPr>
        <w:ind w:left="1069" w:hanging="360"/>
      </w:pPr>
    </w:lvl>
    <w:lvl w:ilvl="1" w:tplc="C418880C">
      <w:start w:val="1"/>
      <w:numFmt w:val="lowerLetter"/>
      <w:lvlText w:val="%2."/>
      <w:lvlJc w:val="left"/>
      <w:pPr>
        <w:ind w:left="1789" w:hanging="360"/>
      </w:pPr>
    </w:lvl>
    <w:lvl w:ilvl="2" w:tplc="B7AE227C">
      <w:start w:val="1"/>
      <w:numFmt w:val="lowerRoman"/>
      <w:lvlText w:val="%3."/>
      <w:lvlJc w:val="right"/>
      <w:pPr>
        <w:ind w:left="2509" w:hanging="180"/>
      </w:pPr>
    </w:lvl>
    <w:lvl w:ilvl="3" w:tplc="7BF61022">
      <w:start w:val="1"/>
      <w:numFmt w:val="decimal"/>
      <w:lvlText w:val="%4."/>
      <w:lvlJc w:val="left"/>
      <w:pPr>
        <w:ind w:left="3229" w:hanging="360"/>
      </w:pPr>
    </w:lvl>
    <w:lvl w:ilvl="4" w:tplc="5684610C">
      <w:start w:val="1"/>
      <w:numFmt w:val="lowerLetter"/>
      <w:lvlText w:val="%5."/>
      <w:lvlJc w:val="left"/>
      <w:pPr>
        <w:ind w:left="3949" w:hanging="360"/>
      </w:pPr>
    </w:lvl>
    <w:lvl w:ilvl="5" w:tplc="8584BE36">
      <w:start w:val="1"/>
      <w:numFmt w:val="lowerRoman"/>
      <w:lvlText w:val="%6."/>
      <w:lvlJc w:val="right"/>
      <w:pPr>
        <w:ind w:left="4669" w:hanging="180"/>
      </w:pPr>
    </w:lvl>
    <w:lvl w:ilvl="6" w:tplc="D8FE03AE">
      <w:start w:val="1"/>
      <w:numFmt w:val="decimal"/>
      <w:lvlText w:val="%7."/>
      <w:lvlJc w:val="left"/>
      <w:pPr>
        <w:ind w:left="5389" w:hanging="360"/>
      </w:pPr>
    </w:lvl>
    <w:lvl w:ilvl="7" w:tplc="9412DE10">
      <w:start w:val="1"/>
      <w:numFmt w:val="lowerLetter"/>
      <w:lvlText w:val="%8."/>
      <w:lvlJc w:val="left"/>
      <w:pPr>
        <w:ind w:left="6109" w:hanging="360"/>
      </w:pPr>
    </w:lvl>
    <w:lvl w:ilvl="8" w:tplc="CA9EC0B4">
      <w:start w:val="1"/>
      <w:numFmt w:val="lowerRoman"/>
      <w:lvlText w:val="%9."/>
      <w:lvlJc w:val="right"/>
      <w:pPr>
        <w:ind w:left="6829" w:hanging="180"/>
      </w:pPr>
    </w:lvl>
  </w:abstractNum>
  <w:abstractNum w:abstractNumId="2" w15:restartNumberingAfterBreak="0">
    <w:nsid w:val="0D7F7332"/>
    <w:multiLevelType w:val="hybridMultilevel"/>
    <w:tmpl w:val="840431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A52566"/>
    <w:multiLevelType w:val="multilevel"/>
    <w:tmpl w:val="FFC0ED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0811AD"/>
    <w:multiLevelType w:val="multilevel"/>
    <w:tmpl w:val="4CE8B5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905682"/>
    <w:multiLevelType w:val="multilevel"/>
    <w:tmpl w:val="1556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8B7B69"/>
    <w:multiLevelType w:val="hybridMultilevel"/>
    <w:tmpl w:val="4C585C78"/>
    <w:lvl w:ilvl="0" w:tplc="73002ECA">
      <w:numFmt w:val="bullet"/>
      <w:lvlText w:val="•"/>
      <w:lvlJc w:val="left"/>
      <w:pPr>
        <w:ind w:left="930" w:hanging="570"/>
      </w:pPr>
      <w:rPr>
        <w:rFonts w:ascii="Calibri" w:eastAsia="Batang"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F30E63"/>
    <w:multiLevelType w:val="hybridMultilevel"/>
    <w:tmpl w:val="21E23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4CB7A9"/>
    <w:multiLevelType w:val="hybridMultilevel"/>
    <w:tmpl w:val="38BE3AAA"/>
    <w:lvl w:ilvl="0" w:tplc="048E2908">
      <w:start w:val="1"/>
      <w:numFmt w:val="decimal"/>
      <w:lvlText w:val="%1)"/>
      <w:lvlJc w:val="left"/>
      <w:pPr>
        <w:ind w:left="1069" w:hanging="360"/>
      </w:pPr>
    </w:lvl>
    <w:lvl w:ilvl="1" w:tplc="5B1CCCFA">
      <w:start w:val="1"/>
      <w:numFmt w:val="lowerLetter"/>
      <w:lvlText w:val="%2."/>
      <w:lvlJc w:val="left"/>
      <w:pPr>
        <w:ind w:left="1789" w:hanging="360"/>
      </w:pPr>
    </w:lvl>
    <w:lvl w:ilvl="2" w:tplc="47EEE230">
      <w:start w:val="1"/>
      <w:numFmt w:val="lowerRoman"/>
      <w:lvlText w:val="%3."/>
      <w:lvlJc w:val="right"/>
      <w:pPr>
        <w:ind w:left="2509" w:hanging="180"/>
      </w:pPr>
    </w:lvl>
    <w:lvl w:ilvl="3" w:tplc="D8141760">
      <w:start w:val="1"/>
      <w:numFmt w:val="decimal"/>
      <w:lvlText w:val="%4."/>
      <w:lvlJc w:val="left"/>
      <w:pPr>
        <w:ind w:left="3229" w:hanging="360"/>
      </w:pPr>
    </w:lvl>
    <w:lvl w:ilvl="4" w:tplc="11008412">
      <w:start w:val="1"/>
      <w:numFmt w:val="lowerLetter"/>
      <w:lvlText w:val="%5."/>
      <w:lvlJc w:val="left"/>
      <w:pPr>
        <w:ind w:left="3949" w:hanging="360"/>
      </w:pPr>
    </w:lvl>
    <w:lvl w:ilvl="5" w:tplc="19E81B9C">
      <w:start w:val="1"/>
      <w:numFmt w:val="lowerRoman"/>
      <w:lvlText w:val="%6."/>
      <w:lvlJc w:val="right"/>
      <w:pPr>
        <w:ind w:left="4669" w:hanging="180"/>
      </w:pPr>
    </w:lvl>
    <w:lvl w:ilvl="6" w:tplc="A5A2D6F0">
      <w:start w:val="1"/>
      <w:numFmt w:val="decimal"/>
      <w:lvlText w:val="%7."/>
      <w:lvlJc w:val="left"/>
      <w:pPr>
        <w:ind w:left="5389" w:hanging="360"/>
      </w:pPr>
    </w:lvl>
    <w:lvl w:ilvl="7" w:tplc="5BB4A0FC">
      <w:start w:val="1"/>
      <w:numFmt w:val="lowerLetter"/>
      <w:lvlText w:val="%8."/>
      <w:lvlJc w:val="left"/>
      <w:pPr>
        <w:ind w:left="6109" w:hanging="360"/>
      </w:pPr>
    </w:lvl>
    <w:lvl w:ilvl="8" w:tplc="7D72DA7A">
      <w:start w:val="1"/>
      <w:numFmt w:val="lowerRoman"/>
      <w:lvlText w:val="%9."/>
      <w:lvlJc w:val="right"/>
      <w:pPr>
        <w:ind w:left="6829" w:hanging="180"/>
      </w:pPr>
    </w:lvl>
  </w:abstractNum>
  <w:abstractNum w:abstractNumId="9" w15:restartNumberingAfterBreak="0">
    <w:nsid w:val="483F5CA1"/>
    <w:multiLevelType w:val="hybridMultilevel"/>
    <w:tmpl w:val="958A3BA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9F4607E"/>
    <w:multiLevelType w:val="multilevel"/>
    <w:tmpl w:val="15B8B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AF4FEB"/>
    <w:multiLevelType w:val="hybridMultilevel"/>
    <w:tmpl w:val="51FED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4E6FCD"/>
    <w:multiLevelType w:val="hybridMultilevel"/>
    <w:tmpl w:val="77DCA8E4"/>
    <w:lvl w:ilvl="0" w:tplc="08090011">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3" w15:restartNumberingAfterBreak="0">
    <w:nsid w:val="64E572CE"/>
    <w:multiLevelType w:val="hybridMultilevel"/>
    <w:tmpl w:val="1292B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1F6D46"/>
    <w:multiLevelType w:val="multilevel"/>
    <w:tmpl w:val="1512D8B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13A0AC6"/>
    <w:multiLevelType w:val="multilevel"/>
    <w:tmpl w:val="1512D8B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960869749">
    <w:abstractNumId w:val="1"/>
  </w:num>
  <w:num w:numId="2" w16cid:durableId="220482185">
    <w:abstractNumId w:val="8"/>
  </w:num>
  <w:num w:numId="3" w16cid:durableId="463544241">
    <w:abstractNumId w:val="7"/>
  </w:num>
  <w:num w:numId="4" w16cid:durableId="308024810">
    <w:abstractNumId w:val="3"/>
  </w:num>
  <w:num w:numId="5" w16cid:durableId="1576278580">
    <w:abstractNumId w:val="10"/>
  </w:num>
  <w:num w:numId="6" w16cid:durableId="48960499">
    <w:abstractNumId w:val="0"/>
  </w:num>
  <w:num w:numId="7" w16cid:durableId="151795963">
    <w:abstractNumId w:val="6"/>
  </w:num>
  <w:num w:numId="8" w16cid:durableId="1073308934">
    <w:abstractNumId w:val="12"/>
  </w:num>
  <w:num w:numId="9" w16cid:durableId="1943799299">
    <w:abstractNumId w:val="13"/>
  </w:num>
  <w:num w:numId="10" w16cid:durableId="1288389649">
    <w:abstractNumId w:val="4"/>
  </w:num>
  <w:num w:numId="11" w16cid:durableId="153960373">
    <w:abstractNumId w:val="11"/>
  </w:num>
  <w:num w:numId="12" w16cid:durableId="1131553677">
    <w:abstractNumId w:val="9"/>
  </w:num>
  <w:num w:numId="13" w16cid:durableId="531920736">
    <w:abstractNumId w:val="5"/>
  </w:num>
  <w:num w:numId="14" w16cid:durableId="1569875155">
    <w:abstractNumId w:val="14"/>
  </w:num>
  <w:num w:numId="15" w16cid:durableId="1274482849">
    <w:abstractNumId w:val="2"/>
  </w:num>
  <w:num w:numId="16" w16cid:durableId="7153560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8"/>
    <w:rsid w:val="000029F3"/>
    <w:rsid w:val="000210D4"/>
    <w:rsid w:val="0002265A"/>
    <w:rsid w:val="000264CF"/>
    <w:rsid w:val="0002650A"/>
    <w:rsid w:val="00027DB0"/>
    <w:rsid w:val="00027E18"/>
    <w:rsid w:val="000349E6"/>
    <w:rsid w:val="0004057F"/>
    <w:rsid w:val="00041006"/>
    <w:rsid w:val="000411FC"/>
    <w:rsid w:val="00042F8C"/>
    <w:rsid w:val="000457C7"/>
    <w:rsid w:val="00045925"/>
    <w:rsid w:val="00046C3D"/>
    <w:rsid w:val="0004786F"/>
    <w:rsid w:val="00047F9C"/>
    <w:rsid w:val="000557B7"/>
    <w:rsid w:val="00056BE4"/>
    <w:rsid w:val="00056C5E"/>
    <w:rsid w:val="00057038"/>
    <w:rsid w:val="00057CB6"/>
    <w:rsid w:val="0006007D"/>
    <w:rsid w:val="00062950"/>
    <w:rsid w:val="00063016"/>
    <w:rsid w:val="00066795"/>
    <w:rsid w:val="00067761"/>
    <w:rsid w:val="00073E8B"/>
    <w:rsid w:val="0007529F"/>
    <w:rsid w:val="00076AF6"/>
    <w:rsid w:val="000777BE"/>
    <w:rsid w:val="000800D7"/>
    <w:rsid w:val="00085CF2"/>
    <w:rsid w:val="000879A4"/>
    <w:rsid w:val="00094635"/>
    <w:rsid w:val="000A101B"/>
    <w:rsid w:val="000A122D"/>
    <w:rsid w:val="000A3F5B"/>
    <w:rsid w:val="000A564A"/>
    <w:rsid w:val="000A6FAC"/>
    <w:rsid w:val="000B14D5"/>
    <w:rsid w:val="000B1705"/>
    <w:rsid w:val="000B3842"/>
    <w:rsid w:val="000B3AF3"/>
    <w:rsid w:val="000B47B4"/>
    <w:rsid w:val="000C34CF"/>
    <w:rsid w:val="000C40D5"/>
    <w:rsid w:val="000D25FA"/>
    <w:rsid w:val="000D45E6"/>
    <w:rsid w:val="000D58BB"/>
    <w:rsid w:val="000D58EF"/>
    <w:rsid w:val="000D75B2"/>
    <w:rsid w:val="000E0C14"/>
    <w:rsid w:val="000E372C"/>
    <w:rsid w:val="000E6565"/>
    <w:rsid w:val="000E6FEB"/>
    <w:rsid w:val="000E7522"/>
    <w:rsid w:val="000F5DDB"/>
    <w:rsid w:val="000F6D3D"/>
    <w:rsid w:val="00101BE3"/>
    <w:rsid w:val="001027F7"/>
    <w:rsid w:val="00103190"/>
    <w:rsid w:val="00103639"/>
    <w:rsid w:val="00103EEC"/>
    <w:rsid w:val="001113A7"/>
    <w:rsid w:val="001121F5"/>
    <w:rsid w:val="00116EF0"/>
    <w:rsid w:val="00121DE2"/>
    <w:rsid w:val="001400DC"/>
    <w:rsid w:val="00140222"/>
    <w:rsid w:val="00140CE1"/>
    <w:rsid w:val="001414EC"/>
    <w:rsid w:val="00143A80"/>
    <w:rsid w:val="00145BFB"/>
    <w:rsid w:val="0015125B"/>
    <w:rsid w:val="0015189A"/>
    <w:rsid w:val="00152669"/>
    <w:rsid w:val="00154EB4"/>
    <w:rsid w:val="001574D9"/>
    <w:rsid w:val="001610A9"/>
    <w:rsid w:val="001638AF"/>
    <w:rsid w:val="00164862"/>
    <w:rsid w:val="0017539C"/>
    <w:rsid w:val="00175AC2"/>
    <w:rsid w:val="0017609F"/>
    <w:rsid w:val="00176F47"/>
    <w:rsid w:val="00184F84"/>
    <w:rsid w:val="00185D4A"/>
    <w:rsid w:val="00185E41"/>
    <w:rsid w:val="0019560E"/>
    <w:rsid w:val="001959AF"/>
    <w:rsid w:val="001A3154"/>
    <w:rsid w:val="001A598B"/>
    <w:rsid w:val="001A7D1D"/>
    <w:rsid w:val="001B1AFE"/>
    <w:rsid w:val="001B36A4"/>
    <w:rsid w:val="001B51DD"/>
    <w:rsid w:val="001B5889"/>
    <w:rsid w:val="001B7D2D"/>
    <w:rsid w:val="001C0B76"/>
    <w:rsid w:val="001C58EB"/>
    <w:rsid w:val="001C628E"/>
    <w:rsid w:val="001D1299"/>
    <w:rsid w:val="001E0F7B"/>
    <w:rsid w:val="001E2E38"/>
    <w:rsid w:val="001E7982"/>
    <w:rsid w:val="001F019B"/>
    <w:rsid w:val="001F1392"/>
    <w:rsid w:val="001F4B5C"/>
    <w:rsid w:val="001F5569"/>
    <w:rsid w:val="00201203"/>
    <w:rsid w:val="0020487B"/>
    <w:rsid w:val="002119FD"/>
    <w:rsid w:val="002130E0"/>
    <w:rsid w:val="0022174C"/>
    <w:rsid w:val="00221F46"/>
    <w:rsid w:val="00222A9E"/>
    <w:rsid w:val="002258D4"/>
    <w:rsid w:val="00226807"/>
    <w:rsid w:val="00226E36"/>
    <w:rsid w:val="00230C88"/>
    <w:rsid w:val="00232FFC"/>
    <w:rsid w:val="002365FE"/>
    <w:rsid w:val="00237A8F"/>
    <w:rsid w:val="00241390"/>
    <w:rsid w:val="00241B2C"/>
    <w:rsid w:val="00244E86"/>
    <w:rsid w:val="002462ED"/>
    <w:rsid w:val="00246E05"/>
    <w:rsid w:val="002478FF"/>
    <w:rsid w:val="00247C0D"/>
    <w:rsid w:val="002522B3"/>
    <w:rsid w:val="00252BBB"/>
    <w:rsid w:val="00263B8F"/>
    <w:rsid w:val="00264425"/>
    <w:rsid w:val="002653BB"/>
    <w:rsid w:val="00265875"/>
    <w:rsid w:val="0027303B"/>
    <w:rsid w:val="00276425"/>
    <w:rsid w:val="00276DEF"/>
    <w:rsid w:val="00277DEA"/>
    <w:rsid w:val="0028109B"/>
    <w:rsid w:val="00282E82"/>
    <w:rsid w:val="00283479"/>
    <w:rsid w:val="002840E5"/>
    <w:rsid w:val="0028443C"/>
    <w:rsid w:val="002916B4"/>
    <w:rsid w:val="002926E1"/>
    <w:rsid w:val="0029362D"/>
    <w:rsid w:val="00295E24"/>
    <w:rsid w:val="00296FDE"/>
    <w:rsid w:val="0029777E"/>
    <w:rsid w:val="002A0539"/>
    <w:rsid w:val="002A0615"/>
    <w:rsid w:val="002A133E"/>
    <w:rsid w:val="002A1C3B"/>
    <w:rsid w:val="002A2188"/>
    <w:rsid w:val="002A672B"/>
    <w:rsid w:val="002B156A"/>
    <w:rsid w:val="002B15F0"/>
    <w:rsid w:val="002B1F58"/>
    <w:rsid w:val="002B44C5"/>
    <w:rsid w:val="002B73AA"/>
    <w:rsid w:val="002C1C7A"/>
    <w:rsid w:val="002C3783"/>
    <w:rsid w:val="002C3F32"/>
    <w:rsid w:val="002C54E2"/>
    <w:rsid w:val="002D3BB2"/>
    <w:rsid w:val="002D53E5"/>
    <w:rsid w:val="002D59D5"/>
    <w:rsid w:val="002E0695"/>
    <w:rsid w:val="002E09E9"/>
    <w:rsid w:val="002E1F46"/>
    <w:rsid w:val="002E57B5"/>
    <w:rsid w:val="002E62F2"/>
    <w:rsid w:val="002E784D"/>
    <w:rsid w:val="002E7983"/>
    <w:rsid w:val="002F2882"/>
    <w:rsid w:val="0030160F"/>
    <w:rsid w:val="00305C89"/>
    <w:rsid w:val="0030633E"/>
    <w:rsid w:val="00310AB2"/>
    <w:rsid w:val="003125C2"/>
    <w:rsid w:val="00314B7D"/>
    <w:rsid w:val="00320223"/>
    <w:rsid w:val="00322D0D"/>
    <w:rsid w:val="0032505B"/>
    <w:rsid w:val="003253DF"/>
    <w:rsid w:val="00325881"/>
    <w:rsid w:val="00333E2B"/>
    <w:rsid w:val="00337EB2"/>
    <w:rsid w:val="00346EF5"/>
    <w:rsid w:val="003565C5"/>
    <w:rsid w:val="00356A1B"/>
    <w:rsid w:val="00360BCB"/>
    <w:rsid w:val="00361465"/>
    <w:rsid w:val="00362BC3"/>
    <w:rsid w:val="00363414"/>
    <w:rsid w:val="00363F7F"/>
    <w:rsid w:val="00366B50"/>
    <w:rsid w:val="00370C6A"/>
    <w:rsid w:val="00374E46"/>
    <w:rsid w:val="00376C71"/>
    <w:rsid w:val="003776B3"/>
    <w:rsid w:val="00382D11"/>
    <w:rsid w:val="00384A89"/>
    <w:rsid w:val="003877F5"/>
    <w:rsid w:val="0039082D"/>
    <w:rsid w:val="003936D3"/>
    <w:rsid w:val="003942D4"/>
    <w:rsid w:val="003958A8"/>
    <w:rsid w:val="003A4BB4"/>
    <w:rsid w:val="003A59A2"/>
    <w:rsid w:val="003A5BC6"/>
    <w:rsid w:val="003A63D4"/>
    <w:rsid w:val="003B1CE1"/>
    <w:rsid w:val="003B2508"/>
    <w:rsid w:val="003B29C2"/>
    <w:rsid w:val="003B3A2A"/>
    <w:rsid w:val="003B4FAF"/>
    <w:rsid w:val="003B55D1"/>
    <w:rsid w:val="003B76F5"/>
    <w:rsid w:val="003B7DA4"/>
    <w:rsid w:val="003B7F01"/>
    <w:rsid w:val="003C0604"/>
    <w:rsid w:val="003C1A78"/>
    <w:rsid w:val="003C2533"/>
    <w:rsid w:val="003C2830"/>
    <w:rsid w:val="003C2F5F"/>
    <w:rsid w:val="003D2868"/>
    <w:rsid w:val="003D53B2"/>
    <w:rsid w:val="003D5A7F"/>
    <w:rsid w:val="003E6C66"/>
    <w:rsid w:val="003E7E78"/>
    <w:rsid w:val="003F0228"/>
    <w:rsid w:val="003F3121"/>
    <w:rsid w:val="0040435A"/>
    <w:rsid w:val="0040473B"/>
    <w:rsid w:val="004054AF"/>
    <w:rsid w:val="0041409A"/>
    <w:rsid w:val="00416A24"/>
    <w:rsid w:val="00420ACC"/>
    <w:rsid w:val="0042C6BE"/>
    <w:rsid w:val="00430720"/>
    <w:rsid w:val="00430F0E"/>
    <w:rsid w:val="00431D9E"/>
    <w:rsid w:val="0043321D"/>
    <w:rsid w:val="00433CE8"/>
    <w:rsid w:val="00434A5C"/>
    <w:rsid w:val="004351F4"/>
    <w:rsid w:val="0043553C"/>
    <w:rsid w:val="0043775B"/>
    <w:rsid w:val="00441B74"/>
    <w:rsid w:val="00441E50"/>
    <w:rsid w:val="004428B2"/>
    <w:rsid w:val="00443149"/>
    <w:rsid w:val="00443D28"/>
    <w:rsid w:val="00450F2A"/>
    <w:rsid w:val="00450F77"/>
    <w:rsid w:val="00452380"/>
    <w:rsid w:val="004524E4"/>
    <w:rsid w:val="00453079"/>
    <w:rsid w:val="004531AE"/>
    <w:rsid w:val="00453E49"/>
    <w:rsid w:val="004544D9"/>
    <w:rsid w:val="004554AF"/>
    <w:rsid w:val="00456F99"/>
    <w:rsid w:val="00460D02"/>
    <w:rsid w:val="0046456E"/>
    <w:rsid w:val="00466618"/>
    <w:rsid w:val="00471327"/>
    <w:rsid w:val="00472B62"/>
    <w:rsid w:val="00472BAD"/>
    <w:rsid w:val="00474BF1"/>
    <w:rsid w:val="00484009"/>
    <w:rsid w:val="00486B35"/>
    <w:rsid w:val="00486C32"/>
    <w:rsid w:val="00490E72"/>
    <w:rsid w:val="00491157"/>
    <w:rsid w:val="00491BA9"/>
    <w:rsid w:val="004921C8"/>
    <w:rsid w:val="0049369C"/>
    <w:rsid w:val="00495615"/>
    <w:rsid w:val="00495B0B"/>
    <w:rsid w:val="00497AD0"/>
    <w:rsid w:val="004A0666"/>
    <w:rsid w:val="004A1B8B"/>
    <w:rsid w:val="004A7C1D"/>
    <w:rsid w:val="004B170B"/>
    <w:rsid w:val="004B3714"/>
    <w:rsid w:val="004B4997"/>
    <w:rsid w:val="004B4B54"/>
    <w:rsid w:val="004B57A2"/>
    <w:rsid w:val="004B7C40"/>
    <w:rsid w:val="004C453D"/>
    <w:rsid w:val="004C5CF4"/>
    <w:rsid w:val="004C5FDF"/>
    <w:rsid w:val="004D0B48"/>
    <w:rsid w:val="004D1851"/>
    <w:rsid w:val="004D4F0D"/>
    <w:rsid w:val="004D599D"/>
    <w:rsid w:val="004D7C87"/>
    <w:rsid w:val="004D7E4B"/>
    <w:rsid w:val="004E0A71"/>
    <w:rsid w:val="004E1C4C"/>
    <w:rsid w:val="004E2EA5"/>
    <w:rsid w:val="004E37BF"/>
    <w:rsid w:val="004E3AEB"/>
    <w:rsid w:val="004E3D6C"/>
    <w:rsid w:val="004E423E"/>
    <w:rsid w:val="004E64AA"/>
    <w:rsid w:val="004E6AC7"/>
    <w:rsid w:val="004F2213"/>
    <w:rsid w:val="004F223C"/>
    <w:rsid w:val="004F3AC0"/>
    <w:rsid w:val="004F7A06"/>
    <w:rsid w:val="0050223C"/>
    <w:rsid w:val="005042F2"/>
    <w:rsid w:val="00504ED6"/>
    <w:rsid w:val="0050523A"/>
    <w:rsid w:val="0050664B"/>
    <w:rsid w:val="00507505"/>
    <w:rsid w:val="00507AAD"/>
    <w:rsid w:val="0051163F"/>
    <w:rsid w:val="00512087"/>
    <w:rsid w:val="005163DA"/>
    <w:rsid w:val="005243FF"/>
    <w:rsid w:val="00532862"/>
    <w:rsid w:val="00534AF9"/>
    <w:rsid w:val="00537F24"/>
    <w:rsid w:val="005467C1"/>
    <w:rsid w:val="00550D23"/>
    <w:rsid w:val="00552B47"/>
    <w:rsid w:val="00554D74"/>
    <w:rsid w:val="00560646"/>
    <w:rsid w:val="00564FBC"/>
    <w:rsid w:val="00565603"/>
    <w:rsid w:val="0056563D"/>
    <w:rsid w:val="005735AE"/>
    <w:rsid w:val="00577A4B"/>
    <w:rsid w:val="00577CFF"/>
    <w:rsid w:val="005800BC"/>
    <w:rsid w:val="00582442"/>
    <w:rsid w:val="00582ED6"/>
    <w:rsid w:val="005840E9"/>
    <w:rsid w:val="005903DA"/>
    <w:rsid w:val="00591C4E"/>
    <w:rsid w:val="00592099"/>
    <w:rsid w:val="00592D71"/>
    <w:rsid w:val="00593850"/>
    <w:rsid w:val="005A0960"/>
    <w:rsid w:val="005A3F2D"/>
    <w:rsid w:val="005A7A76"/>
    <w:rsid w:val="005A7F03"/>
    <w:rsid w:val="005C01F2"/>
    <w:rsid w:val="005C0995"/>
    <w:rsid w:val="005C2F10"/>
    <w:rsid w:val="005C43F2"/>
    <w:rsid w:val="005C46B5"/>
    <w:rsid w:val="005C56D3"/>
    <w:rsid w:val="005C6AD5"/>
    <w:rsid w:val="005D6D92"/>
    <w:rsid w:val="005E387C"/>
    <w:rsid w:val="005E5B68"/>
    <w:rsid w:val="005E6F9D"/>
    <w:rsid w:val="005F0B6F"/>
    <w:rsid w:val="005F0CCC"/>
    <w:rsid w:val="005F2B34"/>
    <w:rsid w:val="005F3269"/>
    <w:rsid w:val="005F3816"/>
    <w:rsid w:val="005F5B17"/>
    <w:rsid w:val="00600CC0"/>
    <w:rsid w:val="0060377B"/>
    <w:rsid w:val="00605C90"/>
    <w:rsid w:val="0061071E"/>
    <w:rsid w:val="0061165B"/>
    <w:rsid w:val="00617511"/>
    <w:rsid w:val="00621BF5"/>
    <w:rsid w:val="00623AE3"/>
    <w:rsid w:val="00624577"/>
    <w:rsid w:val="00627CE9"/>
    <w:rsid w:val="006316DD"/>
    <w:rsid w:val="00633ECB"/>
    <w:rsid w:val="00637967"/>
    <w:rsid w:val="006447AA"/>
    <w:rsid w:val="0064737F"/>
    <w:rsid w:val="00651130"/>
    <w:rsid w:val="0065276B"/>
    <w:rsid w:val="006535F1"/>
    <w:rsid w:val="00654B92"/>
    <w:rsid w:val="0065557D"/>
    <w:rsid w:val="00660A85"/>
    <w:rsid w:val="00660D50"/>
    <w:rsid w:val="00662984"/>
    <w:rsid w:val="00662D2A"/>
    <w:rsid w:val="0066320B"/>
    <w:rsid w:val="00663B32"/>
    <w:rsid w:val="006716BB"/>
    <w:rsid w:val="00675318"/>
    <w:rsid w:val="00675325"/>
    <w:rsid w:val="00677D09"/>
    <w:rsid w:val="00684325"/>
    <w:rsid w:val="00692DDA"/>
    <w:rsid w:val="00694B9A"/>
    <w:rsid w:val="00696D45"/>
    <w:rsid w:val="006A0249"/>
    <w:rsid w:val="006A0BFC"/>
    <w:rsid w:val="006A12F2"/>
    <w:rsid w:val="006A2A15"/>
    <w:rsid w:val="006A2F4B"/>
    <w:rsid w:val="006A329D"/>
    <w:rsid w:val="006B1859"/>
    <w:rsid w:val="006B3C27"/>
    <w:rsid w:val="006B3CF9"/>
    <w:rsid w:val="006B4F1A"/>
    <w:rsid w:val="006B65BE"/>
    <w:rsid w:val="006B6680"/>
    <w:rsid w:val="006B6DCC"/>
    <w:rsid w:val="006B77F1"/>
    <w:rsid w:val="006B7EB0"/>
    <w:rsid w:val="006D242C"/>
    <w:rsid w:val="006D4782"/>
    <w:rsid w:val="006D4B14"/>
    <w:rsid w:val="006E7882"/>
    <w:rsid w:val="006F0851"/>
    <w:rsid w:val="006F19C0"/>
    <w:rsid w:val="006F1A83"/>
    <w:rsid w:val="006F384D"/>
    <w:rsid w:val="006F7158"/>
    <w:rsid w:val="007026BA"/>
    <w:rsid w:val="00702DEF"/>
    <w:rsid w:val="00705095"/>
    <w:rsid w:val="00706861"/>
    <w:rsid w:val="00722551"/>
    <w:rsid w:val="007252EE"/>
    <w:rsid w:val="0073481C"/>
    <w:rsid w:val="0073EFE1"/>
    <w:rsid w:val="00746172"/>
    <w:rsid w:val="0075051B"/>
    <w:rsid w:val="00751AFD"/>
    <w:rsid w:val="00755DAD"/>
    <w:rsid w:val="00755DF7"/>
    <w:rsid w:val="00760B23"/>
    <w:rsid w:val="00760F38"/>
    <w:rsid w:val="00765A0B"/>
    <w:rsid w:val="00765BFB"/>
    <w:rsid w:val="00765C89"/>
    <w:rsid w:val="007665FE"/>
    <w:rsid w:val="00766A5B"/>
    <w:rsid w:val="00767854"/>
    <w:rsid w:val="0077110E"/>
    <w:rsid w:val="00771890"/>
    <w:rsid w:val="00773C71"/>
    <w:rsid w:val="007768B9"/>
    <w:rsid w:val="00776E64"/>
    <w:rsid w:val="00781B71"/>
    <w:rsid w:val="00782953"/>
    <w:rsid w:val="00784B17"/>
    <w:rsid w:val="00785664"/>
    <w:rsid w:val="00786CE2"/>
    <w:rsid w:val="00787494"/>
    <w:rsid w:val="00790613"/>
    <w:rsid w:val="00793188"/>
    <w:rsid w:val="00794D34"/>
    <w:rsid w:val="0079681E"/>
    <w:rsid w:val="007A33AF"/>
    <w:rsid w:val="007A3FCD"/>
    <w:rsid w:val="007A4208"/>
    <w:rsid w:val="007B19CF"/>
    <w:rsid w:val="007B3BA8"/>
    <w:rsid w:val="007C0546"/>
    <w:rsid w:val="007C5668"/>
    <w:rsid w:val="007D01AF"/>
    <w:rsid w:val="007D0D67"/>
    <w:rsid w:val="007D10DA"/>
    <w:rsid w:val="007D34D8"/>
    <w:rsid w:val="007D6390"/>
    <w:rsid w:val="007D7281"/>
    <w:rsid w:val="007D7E1A"/>
    <w:rsid w:val="007E1A51"/>
    <w:rsid w:val="007E2F23"/>
    <w:rsid w:val="007E32DE"/>
    <w:rsid w:val="007E32E0"/>
    <w:rsid w:val="007E487A"/>
    <w:rsid w:val="007E6AF5"/>
    <w:rsid w:val="007F0408"/>
    <w:rsid w:val="007F0DC9"/>
    <w:rsid w:val="007F0F5E"/>
    <w:rsid w:val="007F2C90"/>
    <w:rsid w:val="007F37EA"/>
    <w:rsid w:val="007F5954"/>
    <w:rsid w:val="007F6483"/>
    <w:rsid w:val="007F7135"/>
    <w:rsid w:val="00804417"/>
    <w:rsid w:val="00806B31"/>
    <w:rsid w:val="00806E5D"/>
    <w:rsid w:val="00813E5E"/>
    <w:rsid w:val="008169A5"/>
    <w:rsid w:val="00820ED8"/>
    <w:rsid w:val="0082358A"/>
    <w:rsid w:val="008240E9"/>
    <w:rsid w:val="0082709E"/>
    <w:rsid w:val="00830122"/>
    <w:rsid w:val="00834F0F"/>
    <w:rsid w:val="0083581B"/>
    <w:rsid w:val="00837F82"/>
    <w:rsid w:val="00843EA6"/>
    <w:rsid w:val="00844D4E"/>
    <w:rsid w:val="0084546D"/>
    <w:rsid w:val="008514CF"/>
    <w:rsid w:val="00860238"/>
    <w:rsid w:val="00860BFD"/>
    <w:rsid w:val="00863874"/>
    <w:rsid w:val="00864AFF"/>
    <w:rsid w:val="0086549D"/>
    <w:rsid w:val="0086554B"/>
    <w:rsid w:val="00865925"/>
    <w:rsid w:val="00865F20"/>
    <w:rsid w:val="00866C44"/>
    <w:rsid w:val="0086725A"/>
    <w:rsid w:val="008744FC"/>
    <w:rsid w:val="008764AE"/>
    <w:rsid w:val="00877A4D"/>
    <w:rsid w:val="00880E44"/>
    <w:rsid w:val="00883CFC"/>
    <w:rsid w:val="00883F48"/>
    <w:rsid w:val="008947B9"/>
    <w:rsid w:val="008948D8"/>
    <w:rsid w:val="00895DE2"/>
    <w:rsid w:val="00896CC8"/>
    <w:rsid w:val="008A1046"/>
    <w:rsid w:val="008A2A1F"/>
    <w:rsid w:val="008A4B3E"/>
    <w:rsid w:val="008A6285"/>
    <w:rsid w:val="008B0E8C"/>
    <w:rsid w:val="008B4A6A"/>
    <w:rsid w:val="008B6DBE"/>
    <w:rsid w:val="008C04E5"/>
    <w:rsid w:val="008C1AD0"/>
    <w:rsid w:val="008C1CD3"/>
    <w:rsid w:val="008C4500"/>
    <w:rsid w:val="008C7E27"/>
    <w:rsid w:val="008D1930"/>
    <w:rsid w:val="008E01A0"/>
    <w:rsid w:val="008E39BB"/>
    <w:rsid w:val="008E6467"/>
    <w:rsid w:val="008F07A4"/>
    <w:rsid w:val="008F0B86"/>
    <w:rsid w:val="008F43E1"/>
    <w:rsid w:val="008F6ECF"/>
    <w:rsid w:val="008F7448"/>
    <w:rsid w:val="00900119"/>
    <w:rsid w:val="0090147A"/>
    <w:rsid w:val="00902607"/>
    <w:rsid w:val="00904301"/>
    <w:rsid w:val="0090569E"/>
    <w:rsid w:val="0090743E"/>
    <w:rsid w:val="00910CDB"/>
    <w:rsid w:val="0091111F"/>
    <w:rsid w:val="009143A5"/>
    <w:rsid w:val="00916871"/>
    <w:rsid w:val="009173EF"/>
    <w:rsid w:val="00925517"/>
    <w:rsid w:val="00930216"/>
    <w:rsid w:val="00932906"/>
    <w:rsid w:val="00933169"/>
    <w:rsid w:val="00933FF7"/>
    <w:rsid w:val="00934731"/>
    <w:rsid w:val="00936B02"/>
    <w:rsid w:val="0094031E"/>
    <w:rsid w:val="009412B3"/>
    <w:rsid w:val="00944542"/>
    <w:rsid w:val="00945034"/>
    <w:rsid w:val="009459F9"/>
    <w:rsid w:val="00946AE1"/>
    <w:rsid w:val="00952520"/>
    <w:rsid w:val="00953650"/>
    <w:rsid w:val="00953801"/>
    <w:rsid w:val="00953C34"/>
    <w:rsid w:val="00954C49"/>
    <w:rsid w:val="00954FC4"/>
    <w:rsid w:val="00955A7D"/>
    <w:rsid w:val="0096116C"/>
    <w:rsid w:val="00961B0B"/>
    <w:rsid w:val="00962D33"/>
    <w:rsid w:val="00963793"/>
    <w:rsid w:val="00980DA9"/>
    <w:rsid w:val="009810FE"/>
    <w:rsid w:val="009822D0"/>
    <w:rsid w:val="009842A1"/>
    <w:rsid w:val="009901B1"/>
    <w:rsid w:val="00994922"/>
    <w:rsid w:val="00994FE5"/>
    <w:rsid w:val="00997940"/>
    <w:rsid w:val="00997B40"/>
    <w:rsid w:val="009A30F2"/>
    <w:rsid w:val="009A5765"/>
    <w:rsid w:val="009A620B"/>
    <w:rsid w:val="009A76A8"/>
    <w:rsid w:val="009B165F"/>
    <w:rsid w:val="009B38C3"/>
    <w:rsid w:val="009B3C8A"/>
    <w:rsid w:val="009B4192"/>
    <w:rsid w:val="009C4E40"/>
    <w:rsid w:val="009D00D4"/>
    <w:rsid w:val="009E17BD"/>
    <w:rsid w:val="009E2829"/>
    <w:rsid w:val="009E377D"/>
    <w:rsid w:val="009E485A"/>
    <w:rsid w:val="009E5559"/>
    <w:rsid w:val="009E5B2B"/>
    <w:rsid w:val="009E7531"/>
    <w:rsid w:val="009E7670"/>
    <w:rsid w:val="009F0C3D"/>
    <w:rsid w:val="009F1F05"/>
    <w:rsid w:val="009F28C8"/>
    <w:rsid w:val="009F56AE"/>
    <w:rsid w:val="00A0098C"/>
    <w:rsid w:val="00A00CDD"/>
    <w:rsid w:val="00A02D5F"/>
    <w:rsid w:val="00A03721"/>
    <w:rsid w:val="00A04CEC"/>
    <w:rsid w:val="00A074AC"/>
    <w:rsid w:val="00A07977"/>
    <w:rsid w:val="00A109AF"/>
    <w:rsid w:val="00A16242"/>
    <w:rsid w:val="00A213DF"/>
    <w:rsid w:val="00A218E2"/>
    <w:rsid w:val="00A24BCF"/>
    <w:rsid w:val="00A27F92"/>
    <w:rsid w:val="00A30BE1"/>
    <w:rsid w:val="00A3131A"/>
    <w:rsid w:val="00A32257"/>
    <w:rsid w:val="00A32FF7"/>
    <w:rsid w:val="00A333CF"/>
    <w:rsid w:val="00A349ED"/>
    <w:rsid w:val="00A355DB"/>
    <w:rsid w:val="00A36B15"/>
    <w:rsid w:val="00A36D20"/>
    <w:rsid w:val="00A40619"/>
    <w:rsid w:val="00A422E0"/>
    <w:rsid w:val="00A45750"/>
    <w:rsid w:val="00A514A4"/>
    <w:rsid w:val="00A54445"/>
    <w:rsid w:val="00A55622"/>
    <w:rsid w:val="00A608C1"/>
    <w:rsid w:val="00A61A00"/>
    <w:rsid w:val="00A65DB0"/>
    <w:rsid w:val="00A67777"/>
    <w:rsid w:val="00A70E79"/>
    <w:rsid w:val="00A77469"/>
    <w:rsid w:val="00A777FF"/>
    <w:rsid w:val="00A8211C"/>
    <w:rsid w:val="00A82684"/>
    <w:rsid w:val="00A830EE"/>
    <w:rsid w:val="00A83502"/>
    <w:rsid w:val="00A8573D"/>
    <w:rsid w:val="00A948CE"/>
    <w:rsid w:val="00A94A1C"/>
    <w:rsid w:val="00A94BAB"/>
    <w:rsid w:val="00AA308F"/>
    <w:rsid w:val="00AA46AE"/>
    <w:rsid w:val="00AA536D"/>
    <w:rsid w:val="00AA5861"/>
    <w:rsid w:val="00AA5C83"/>
    <w:rsid w:val="00AA64BE"/>
    <w:rsid w:val="00AB2285"/>
    <w:rsid w:val="00AB5B3E"/>
    <w:rsid w:val="00AC6DD3"/>
    <w:rsid w:val="00AD062E"/>
    <w:rsid w:val="00AD15B3"/>
    <w:rsid w:val="00AD2FE5"/>
    <w:rsid w:val="00AD3606"/>
    <w:rsid w:val="00AD42D9"/>
    <w:rsid w:val="00AD442B"/>
    <w:rsid w:val="00AD4A3D"/>
    <w:rsid w:val="00AE3B38"/>
    <w:rsid w:val="00AE47A0"/>
    <w:rsid w:val="00AF0B31"/>
    <w:rsid w:val="00AF5B3D"/>
    <w:rsid w:val="00AF6E49"/>
    <w:rsid w:val="00B04A67"/>
    <w:rsid w:val="00B0583C"/>
    <w:rsid w:val="00B0757F"/>
    <w:rsid w:val="00B1118F"/>
    <w:rsid w:val="00B15816"/>
    <w:rsid w:val="00B23425"/>
    <w:rsid w:val="00B32BE1"/>
    <w:rsid w:val="00B37592"/>
    <w:rsid w:val="00B40A81"/>
    <w:rsid w:val="00B43C46"/>
    <w:rsid w:val="00B44910"/>
    <w:rsid w:val="00B50528"/>
    <w:rsid w:val="00B5560C"/>
    <w:rsid w:val="00B62FF7"/>
    <w:rsid w:val="00B64AC9"/>
    <w:rsid w:val="00B67193"/>
    <w:rsid w:val="00B70281"/>
    <w:rsid w:val="00B71827"/>
    <w:rsid w:val="00B72212"/>
    <w:rsid w:val="00B72267"/>
    <w:rsid w:val="00B727B8"/>
    <w:rsid w:val="00B76EB6"/>
    <w:rsid w:val="00B7737B"/>
    <w:rsid w:val="00B8118D"/>
    <w:rsid w:val="00B824C8"/>
    <w:rsid w:val="00B84B9D"/>
    <w:rsid w:val="00B90AA2"/>
    <w:rsid w:val="00B9131F"/>
    <w:rsid w:val="00B91B5B"/>
    <w:rsid w:val="00B9243A"/>
    <w:rsid w:val="00B93907"/>
    <w:rsid w:val="00B93F53"/>
    <w:rsid w:val="00BA5A0C"/>
    <w:rsid w:val="00BA7521"/>
    <w:rsid w:val="00BB0646"/>
    <w:rsid w:val="00BB321D"/>
    <w:rsid w:val="00BB521D"/>
    <w:rsid w:val="00BB53C8"/>
    <w:rsid w:val="00BB5E02"/>
    <w:rsid w:val="00BC0B12"/>
    <w:rsid w:val="00BC251A"/>
    <w:rsid w:val="00BC4296"/>
    <w:rsid w:val="00BC4711"/>
    <w:rsid w:val="00BC4A20"/>
    <w:rsid w:val="00BC561B"/>
    <w:rsid w:val="00BC7D3A"/>
    <w:rsid w:val="00BD032B"/>
    <w:rsid w:val="00BD07C4"/>
    <w:rsid w:val="00BE01C6"/>
    <w:rsid w:val="00BE0CFD"/>
    <w:rsid w:val="00BE2640"/>
    <w:rsid w:val="00BE48EF"/>
    <w:rsid w:val="00BF1FDE"/>
    <w:rsid w:val="00BF37B8"/>
    <w:rsid w:val="00BF66E1"/>
    <w:rsid w:val="00BF6F4E"/>
    <w:rsid w:val="00C005AB"/>
    <w:rsid w:val="00C01189"/>
    <w:rsid w:val="00C01369"/>
    <w:rsid w:val="00C02DA2"/>
    <w:rsid w:val="00C0458D"/>
    <w:rsid w:val="00C1079D"/>
    <w:rsid w:val="00C1279C"/>
    <w:rsid w:val="00C13D4D"/>
    <w:rsid w:val="00C1479B"/>
    <w:rsid w:val="00C161D3"/>
    <w:rsid w:val="00C21294"/>
    <w:rsid w:val="00C2162A"/>
    <w:rsid w:val="00C239BC"/>
    <w:rsid w:val="00C23FC6"/>
    <w:rsid w:val="00C24964"/>
    <w:rsid w:val="00C3145B"/>
    <w:rsid w:val="00C31BE8"/>
    <w:rsid w:val="00C32543"/>
    <w:rsid w:val="00C335AF"/>
    <w:rsid w:val="00C357DB"/>
    <w:rsid w:val="00C374DE"/>
    <w:rsid w:val="00C37B42"/>
    <w:rsid w:val="00C37B6E"/>
    <w:rsid w:val="00C46F1D"/>
    <w:rsid w:val="00C47AD4"/>
    <w:rsid w:val="00C5229B"/>
    <w:rsid w:val="00C52D81"/>
    <w:rsid w:val="00C55198"/>
    <w:rsid w:val="00C575C3"/>
    <w:rsid w:val="00C6520B"/>
    <w:rsid w:val="00C666D4"/>
    <w:rsid w:val="00C73F53"/>
    <w:rsid w:val="00C80BCF"/>
    <w:rsid w:val="00C81D55"/>
    <w:rsid w:val="00C8434B"/>
    <w:rsid w:val="00C87D21"/>
    <w:rsid w:val="00CA1285"/>
    <w:rsid w:val="00CA1443"/>
    <w:rsid w:val="00CA239F"/>
    <w:rsid w:val="00CA23E0"/>
    <w:rsid w:val="00CA4475"/>
    <w:rsid w:val="00CA4BD4"/>
    <w:rsid w:val="00CA6393"/>
    <w:rsid w:val="00CA6E4B"/>
    <w:rsid w:val="00CA7995"/>
    <w:rsid w:val="00CB018D"/>
    <w:rsid w:val="00CB18FF"/>
    <w:rsid w:val="00CB76DA"/>
    <w:rsid w:val="00CC185D"/>
    <w:rsid w:val="00CC2007"/>
    <w:rsid w:val="00CC5429"/>
    <w:rsid w:val="00CD04E8"/>
    <w:rsid w:val="00CD0C08"/>
    <w:rsid w:val="00CD4DFB"/>
    <w:rsid w:val="00CD69E7"/>
    <w:rsid w:val="00CE03FB"/>
    <w:rsid w:val="00CE1DF9"/>
    <w:rsid w:val="00CE433C"/>
    <w:rsid w:val="00CE6299"/>
    <w:rsid w:val="00CF0161"/>
    <w:rsid w:val="00CF12C3"/>
    <w:rsid w:val="00CF304D"/>
    <w:rsid w:val="00CF33F3"/>
    <w:rsid w:val="00CF4A2B"/>
    <w:rsid w:val="00CF4B2A"/>
    <w:rsid w:val="00D0041B"/>
    <w:rsid w:val="00D00CC8"/>
    <w:rsid w:val="00D024CA"/>
    <w:rsid w:val="00D03765"/>
    <w:rsid w:val="00D046DB"/>
    <w:rsid w:val="00D06183"/>
    <w:rsid w:val="00D07D21"/>
    <w:rsid w:val="00D11613"/>
    <w:rsid w:val="00D149D3"/>
    <w:rsid w:val="00D14B07"/>
    <w:rsid w:val="00D22635"/>
    <w:rsid w:val="00D229A8"/>
    <w:rsid w:val="00D22C42"/>
    <w:rsid w:val="00D23D74"/>
    <w:rsid w:val="00D2497C"/>
    <w:rsid w:val="00D266B5"/>
    <w:rsid w:val="00D40176"/>
    <w:rsid w:val="00D4351D"/>
    <w:rsid w:val="00D44DEE"/>
    <w:rsid w:val="00D45BED"/>
    <w:rsid w:val="00D468E2"/>
    <w:rsid w:val="00D508D9"/>
    <w:rsid w:val="00D5370D"/>
    <w:rsid w:val="00D5589B"/>
    <w:rsid w:val="00D56F45"/>
    <w:rsid w:val="00D62752"/>
    <w:rsid w:val="00D63949"/>
    <w:rsid w:val="00D65041"/>
    <w:rsid w:val="00D7776E"/>
    <w:rsid w:val="00D828B5"/>
    <w:rsid w:val="00D82D45"/>
    <w:rsid w:val="00D82D80"/>
    <w:rsid w:val="00D856D9"/>
    <w:rsid w:val="00D86FEE"/>
    <w:rsid w:val="00D919F6"/>
    <w:rsid w:val="00D94E29"/>
    <w:rsid w:val="00D97F69"/>
    <w:rsid w:val="00DA4D53"/>
    <w:rsid w:val="00DB0A88"/>
    <w:rsid w:val="00DB1936"/>
    <w:rsid w:val="00DB224C"/>
    <w:rsid w:val="00DB242D"/>
    <w:rsid w:val="00DB384B"/>
    <w:rsid w:val="00DB3E0A"/>
    <w:rsid w:val="00DB4232"/>
    <w:rsid w:val="00DC150C"/>
    <w:rsid w:val="00DC3CEA"/>
    <w:rsid w:val="00DC61C2"/>
    <w:rsid w:val="00DD009D"/>
    <w:rsid w:val="00DD0BD4"/>
    <w:rsid w:val="00DD20F7"/>
    <w:rsid w:val="00DD4A41"/>
    <w:rsid w:val="00DD6F1E"/>
    <w:rsid w:val="00DE355A"/>
    <w:rsid w:val="00DE3D34"/>
    <w:rsid w:val="00DE4346"/>
    <w:rsid w:val="00DE4B04"/>
    <w:rsid w:val="00DE532B"/>
    <w:rsid w:val="00DE6B2C"/>
    <w:rsid w:val="00DF0189"/>
    <w:rsid w:val="00DF4BFE"/>
    <w:rsid w:val="00DF5672"/>
    <w:rsid w:val="00DF7522"/>
    <w:rsid w:val="00E03079"/>
    <w:rsid w:val="00E03815"/>
    <w:rsid w:val="00E06FD5"/>
    <w:rsid w:val="00E10E80"/>
    <w:rsid w:val="00E11D80"/>
    <w:rsid w:val="00E124F0"/>
    <w:rsid w:val="00E14DB4"/>
    <w:rsid w:val="00E15689"/>
    <w:rsid w:val="00E227F3"/>
    <w:rsid w:val="00E23324"/>
    <w:rsid w:val="00E25029"/>
    <w:rsid w:val="00E2526C"/>
    <w:rsid w:val="00E26CA4"/>
    <w:rsid w:val="00E27E14"/>
    <w:rsid w:val="00E31E87"/>
    <w:rsid w:val="00E35283"/>
    <w:rsid w:val="00E37474"/>
    <w:rsid w:val="00E378EE"/>
    <w:rsid w:val="00E37BF4"/>
    <w:rsid w:val="00E40B37"/>
    <w:rsid w:val="00E41D76"/>
    <w:rsid w:val="00E45086"/>
    <w:rsid w:val="00E46753"/>
    <w:rsid w:val="00E52E20"/>
    <w:rsid w:val="00E53989"/>
    <w:rsid w:val="00E545C6"/>
    <w:rsid w:val="00E574FA"/>
    <w:rsid w:val="00E60F04"/>
    <w:rsid w:val="00E614FA"/>
    <w:rsid w:val="00E62A08"/>
    <w:rsid w:val="00E65B24"/>
    <w:rsid w:val="00E72DFE"/>
    <w:rsid w:val="00E77930"/>
    <w:rsid w:val="00E854E4"/>
    <w:rsid w:val="00E866B7"/>
    <w:rsid w:val="00E86DBF"/>
    <w:rsid w:val="00E92F72"/>
    <w:rsid w:val="00E931CC"/>
    <w:rsid w:val="00E9525D"/>
    <w:rsid w:val="00E969AF"/>
    <w:rsid w:val="00EA4634"/>
    <w:rsid w:val="00EA4A7E"/>
    <w:rsid w:val="00EA600B"/>
    <w:rsid w:val="00EA693C"/>
    <w:rsid w:val="00EB0382"/>
    <w:rsid w:val="00EB0D6F"/>
    <w:rsid w:val="00EB0E88"/>
    <w:rsid w:val="00EB1399"/>
    <w:rsid w:val="00EB2232"/>
    <w:rsid w:val="00EB55A2"/>
    <w:rsid w:val="00EB5B82"/>
    <w:rsid w:val="00EB66FC"/>
    <w:rsid w:val="00EB6ADE"/>
    <w:rsid w:val="00EB70B5"/>
    <w:rsid w:val="00EB7CF7"/>
    <w:rsid w:val="00EB7DEB"/>
    <w:rsid w:val="00EC1B05"/>
    <w:rsid w:val="00EC5337"/>
    <w:rsid w:val="00ED2C3D"/>
    <w:rsid w:val="00ED34F8"/>
    <w:rsid w:val="00ED35C5"/>
    <w:rsid w:val="00ED3CEA"/>
    <w:rsid w:val="00ED63CF"/>
    <w:rsid w:val="00ED6BAC"/>
    <w:rsid w:val="00ED7D80"/>
    <w:rsid w:val="00EE20B2"/>
    <w:rsid w:val="00EE4498"/>
    <w:rsid w:val="00EE49E8"/>
    <w:rsid w:val="00EE6B21"/>
    <w:rsid w:val="00EF262F"/>
    <w:rsid w:val="00EF6DAB"/>
    <w:rsid w:val="00F01BF1"/>
    <w:rsid w:val="00F02AFB"/>
    <w:rsid w:val="00F0305F"/>
    <w:rsid w:val="00F03276"/>
    <w:rsid w:val="00F04485"/>
    <w:rsid w:val="00F10D16"/>
    <w:rsid w:val="00F1514E"/>
    <w:rsid w:val="00F16BAB"/>
    <w:rsid w:val="00F17859"/>
    <w:rsid w:val="00F2150A"/>
    <w:rsid w:val="00F231D8"/>
    <w:rsid w:val="00F30641"/>
    <w:rsid w:val="00F31226"/>
    <w:rsid w:val="00F33FDB"/>
    <w:rsid w:val="00F3410A"/>
    <w:rsid w:val="00F35018"/>
    <w:rsid w:val="00F44C00"/>
    <w:rsid w:val="00F44F14"/>
    <w:rsid w:val="00F4526E"/>
    <w:rsid w:val="00F45D2C"/>
    <w:rsid w:val="00F46C5F"/>
    <w:rsid w:val="00F544F6"/>
    <w:rsid w:val="00F54A86"/>
    <w:rsid w:val="00F572CD"/>
    <w:rsid w:val="00F62A16"/>
    <w:rsid w:val="00F632C0"/>
    <w:rsid w:val="00F641E1"/>
    <w:rsid w:val="00F67D99"/>
    <w:rsid w:val="00F71C01"/>
    <w:rsid w:val="00F74908"/>
    <w:rsid w:val="00F74B76"/>
    <w:rsid w:val="00F74D56"/>
    <w:rsid w:val="00F75533"/>
    <w:rsid w:val="00F773F8"/>
    <w:rsid w:val="00F817AC"/>
    <w:rsid w:val="00F844A8"/>
    <w:rsid w:val="00F939C7"/>
    <w:rsid w:val="00F94A63"/>
    <w:rsid w:val="00F95E78"/>
    <w:rsid w:val="00F961E6"/>
    <w:rsid w:val="00F96974"/>
    <w:rsid w:val="00F97EC8"/>
    <w:rsid w:val="00FA1C28"/>
    <w:rsid w:val="00FA3FF4"/>
    <w:rsid w:val="00FA50A3"/>
    <w:rsid w:val="00FA7204"/>
    <w:rsid w:val="00FB019D"/>
    <w:rsid w:val="00FB1279"/>
    <w:rsid w:val="00FB4163"/>
    <w:rsid w:val="00FB6431"/>
    <w:rsid w:val="00FB6B76"/>
    <w:rsid w:val="00FB7596"/>
    <w:rsid w:val="00FD36F9"/>
    <w:rsid w:val="00FE4077"/>
    <w:rsid w:val="00FE500D"/>
    <w:rsid w:val="00FE77D2"/>
    <w:rsid w:val="00FE79BD"/>
    <w:rsid w:val="00FF00F7"/>
    <w:rsid w:val="00FF33C1"/>
    <w:rsid w:val="00FF39B1"/>
    <w:rsid w:val="00FF4D6E"/>
    <w:rsid w:val="00FF60B6"/>
    <w:rsid w:val="00FF66FF"/>
    <w:rsid w:val="00FF67EB"/>
    <w:rsid w:val="00FF7C04"/>
    <w:rsid w:val="01222545"/>
    <w:rsid w:val="01926A16"/>
    <w:rsid w:val="0197131C"/>
    <w:rsid w:val="01B189C6"/>
    <w:rsid w:val="0211A499"/>
    <w:rsid w:val="021E2AB4"/>
    <w:rsid w:val="025AAB15"/>
    <w:rsid w:val="026712A9"/>
    <w:rsid w:val="02AE0DC8"/>
    <w:rsid w:val="02B120B9"/>
    <w:rsid w:val="03C66699"/>
    <w:rsid w:val="042EBD68"/>
    <w:rsid w:val="045C2411"/>
    <w:rsid w:val="04DAFC1E"/>
    <w:rsid w:val="059CE5DE"/>
    <w:rsid w:val="05BDBB0B"/>
    <w:rsid w:val="05DF6754"/>
    <w:rsid w:val="0734C050"/>
    <w:rsid w:val="0769360C"/>
    <w:rsid w:val="078CC5F5"/>
    <w:rsid w:val="07C68B9B"/>
    <w:rsid w:val="080364AF"/>
    <w:rsid w:val="0B070499"/>
    <w:rsid w:val="0B2E85EF"/>
    <w:rsid w:val="0B6722DB"/>
    <w:rsid w:val="0BD2C1F7"/>
    <w:rsid w:val="0C63BD81"/>
    <w:rsid w:val="0C67C68C"/>
    <w:rsid w:val="0C8BC89D"/>
    <w:rsid w:val="0C9E81A7"/>
    <w:rsid w:val="0D66563B"/>
    <w:rsid w:val="0D731321"/>
    <w:rsid w:val="0E217C2F"/>
    <w:rsid w:val="0E84FC62"/>
    <w:rsid w:val="0E894336"/>
    <w:rsid w:val="0EFA3BE2"/>
    <w:rsid w:val="0F2DFB46"/>
    <w:rsid w:val="0F556F18"/>
    <w:rsid w:val="0F7C7651"/>
    <w:rsid w:val="0FC31BCD"/>
    <w:rsid w:val="0FE2EAE1"/>
    <w:rsid w:val="104182F4"/>
    <w:rsid w:val="107B3478"/>
    <w:rsid w:val="11A47E46"/>
    <w:rsid w:val="1232D42D"/>
    <w:rsid w:val="12EFA076"/>
    <w:rsid w:val="13E8F0D0"/>
    <w:rsid w:val="14251683"/>
    <w:rsid w:val="142937D4"/>
    <w:rsid w:val="14679B62"/>
    <w:rsid w:val="16537E02"/>
    <w:rsid w:val="16A1B697"/>
    <w:rsid w:val="16E2611E"/>
    <w:rsid w:val="16E5CE1C"/>
    <w:rsid w:val="1798DB0C"/>
    <w:rsid w:val="188CBA68"/>
    <w:rsid w:val="189E2145"/>
    <w:rsid w:val="18F22D5C"/>
    <w:rsid w:val="190CA791"/>
    <w:rsid w:val="191BD1D4"/>
    <w:rsid w:val="194727BB"/>
    <w:rsid w:val="1A410ACA"/>
    <w:rsid w:val="1A485B2B"/>
    <w:rsid w:val="1A4B7785"/>
    <w:rsid w:val="1AB0C5FD"/>
    <w:rsid w:val="1AF2689A"/>
    <w:rsid w:val="1B0B176E"/>
    <w:rsid w:val="1B9BA71A"/>
    <w:rsid w:val="1BF67145"/>
    <w:rsid w:val="1C1020C1"/>
    <w:rsid w:val="1C15B156"/>
    <w:rsid w:val="1C334707"/>
    <w:rsid w:val="1CC58C41"/>
    <w:rsid w:val="1D2052A2"/>
    <w:rsid w:val="1D647283"/>
    <w:rsid w:val="1DE51E83"/>
    <w:rsid w:val="1E54CEDB"/>
    <w:rsid w:val="1E7EDBD8"/>
    <w:rsid w:val="1F29D491"/>
    <w:rsid w:val="1F3F9286"/>
    <w:rsid w:val="20859C69"/>
    <w:rsid w:val="215B5572"/>
    <w:rsid w:val="227BB09A"/>
    <w:rsid w:val="22869388"/>
    <w:rsid w:val="22AEF034"/>
    <w:rsid w:val="22CFF756"/>
    <w:rsid w:val="22D7508F"/>
    <w:rsid w:val="22FF0CDD"/>
    <w:rsid w:val="233EC7D2"/>
    <w:rsid w:val="23661BA6"/>
    <w:rsid w:val="2372AF06"/>
    <w:rsid w:val="23BAEE19"/>
    <w:rsid w:val="240CC35A"/>
    <w:rsid w:val="247A5093"/>
    <w:rsid w:val="24AA09E8"/>
    <w:rsid w:val="25121811"/>
    <w:rsid w:val="251A67F2"/>
    <w:rsid w:val="25E4AEB0"/>
    <w:rsid w:val="26696ABA"/>
    <w:rsid w:val="268ECBD2"/>
    <w:rsid w:val="26DAB7D6"/>
    <w:rsid w:val="27996B32"/>
    <w:rsid w:val="288DA0EB"/>
    <w:rsid w:val="295BCEE2"/>
    <w:rsid w:val="29BA7B1F"/>
    <w:rsid w:val="2A808D78"/>
    <w:rsid w:val="2A8B47D6"/>
    <w:rsid w:val="2A949A4C"/>
    <w:rsid w:val="2ABFD377"/>
    <w:rsid w:val="2AEDA5A6"/>
    <w:rsid w:val="2BE530D1"/>
    <w:rsid w:val="2BF33A76"/>
    <w:rsid w:val="2C149CAA"/>
    <w:rsid w:val="2C6CE21E"/>
    <w:rsid w:val="2C6E1D0C"/>
    <w:rsid w:val="2D24F1E2"/>
    <w:rsid w:val="2DA889C2"/>
    <w:rsid w:val="2DAE0553"/>
    <w:rsid w:val="2DD0E45A"/>
    <w:rsid w:val="2DF0A9C4"/>
    <w:rsid w:val="2E5FDE88"/>
    <w:rsid w:val="2EB29E72"/>
    <w:rsid w:val="2F4B889D"/>
    <w:rsid w:val="30F3E7F3"/>
    <w:rsid w:val="31BD0B78"/>
    <w:rsid w:val="327950ED"/>
    <w:rsid w:val="337F5F52"/>
    <w:rsid w:val="34281948"/>
    <w:rsid w:val="342820FE"/>
    <w:rsid w:val="3488A6FC"/>
    <w:rsid w:val="34D39893"/>
    <w:rsid w:val="34E921B4"/>
    <w:rsid w:val="356A84FD"/>
    <w:rsid w:val="357D013A"/>
    <w:rsid w:val="35C5B726"/>
    <w:rsid w:val="35CE4A9A"/>
    <w:rsid w:val="3603DBCD"/>
    <w:rsid w:val="362D4470"/>
    <w:rsid w:val="3633C238"/>
    <w:rsid w:val="363CF6D7"/>
    <w:rsid w:val="3664C77C"/>
    <w:rsid w:val="3666AF0B"/>
    <w:rsid w:val="36785D9B"/>
    <w:rsid w:val="36C6ABFF"/>
    <w:rsid w:val="36E02978"/>
    <w:rsid w:val="3764590A"/>
    <w:rsid w:val="38E539F7"/>
    <w:rsid w:val="390477F5"/>
    <w:rsid w:val="394782DF"/>
    <w:rsid w:val="39748ED1"/>
    <w:rsid w:val="397FC2AE"/>
    <w:rsid w:val="39DF740E"/>
    <w:rsid w:val="39FF84F6"/>
    <w:rsid w:val="3A6F86CD"/>
    <w:rsid w:val="3A8C8BC8"/>
    <w:rsid w:val="3ACB7C97"/>
    <w:rsid w:val="3C6C5FEE"/>
    <w:rsid w:val="3C78D35B"/>
    <w:rsid w:val="3D9C38FF"/>
    <w:rsid w:val="3E570806"/>
    <w:rsid w:val="3E59945D"/>
    <w:rsid w:val="3E742E60"/>
    <w:rsid w:val="3FD40842"/>
    <w:rsid w:val="409BEF16"/>
    <w:rsid w:val="41D2733A"/>
    <w:rsid w:val="42286E5F"/>
    <w:rsid w:val="42C468A2"/>
    <w:rsid w:val="42E5BDE0"/>
    <w:rsid w:val="4331AE5D"/>
    <w:rsid w:val="434267D2"/>
    <w:rsid w:val="440650CF"/>
    <w:rsid w:val="4498D6A9"/>
    <w:rsid w:val="44C2A708"/>
    <w:rsid w:val="45D85E4A"/>
    <w:rsid w:val="4661E68B"/>
    <w:rsid w:val="46B71B78"/>
    <w:rsid w:val="4729238C"/>
    <w:rsid w:val="478BFDF7"/>
    <w:rsid w:val="47B2DABA"/>
    <w:rsid w:val="47B47085"/>
    <w:rsid w:val="48518B9B"/>
    <w:rsid w:val="48E70376"/>
    <w:rsid w:val="4911A432"/>
    <w:rsid w:val="499A4301"/>
    <w:rsid w:val="4A0A745D"/>
    <w:rsid w:val="4A33433D"/>
    <w:rsid w:val="4B0344B9"/>
    <w:rsid w:val="4B1D93CE"/>
    <w:rsid w:val="4B65994C"/>
    <w:rsid w:val="4B6F0C4E"/>
    <w:rsid w:val="4B9A1CEF"/>
    <w:rsid w:val="4BC0E820"/>
    <w:rsid w:val="4C233E21"/>
    <w:rsid w:val="4C2B85EC"/>
    <w:rsid w:val="4C488B34"/>
    <w:rsid w:val="4D330700"/>
    <w:rsid w:val="4DE1BF56"/>
    <w:rsid w:val="4DEFB649"/>
    <w:rsid w:val="4EE6C2F3"/>
    <w:rsid w:val="4F96CCAD"/>
    <w:rsid w:val="4FEBCD2A"/>
    <w:rsid w:val="5000E11B"/>
    <w:rsid w:val="50F92A8F"/>
    <w:rsid w:val="511F6C8E"/>
    <w:rsid w:val="520F13CD"/>
    <w:rsid w:val="522FADEE"/>
    <w:rsid w:val="524DF9ED"/>
    <w:rsid w:val="52D0AC5C"/>
    <w:rsid w:val="5438C9FE"/>
    <w:rsid w:val="543EA0A4"/>
    <w:rsid w:val="54AF0EAC"/>
    <w:rsid w:val="554289EB"/>
    <w:rsid w:val="55BDBB4C"/>
    <w:rsid w:val="56617329"/>
    <w:rsid w:val="566A51D9"/>
    <w:rsid w:val="56F78A4D"/>
    <w:rsid w:val="5742A3B0"/>
    <w:rsid w:val="57C08EDC"/>
    <w:rsid w:val="57D0608A"/>
    <w:rsid w:val="57F40B37"/>
    <w:rsid w:val="58114CD6"/>
    <w:rsid w:val="58C2DFFF"/>
    <w:rsid w:val="58D280D9"/>
    <w:rsid w:val="590B315A"/>
    <w:rsid w:val="593E9343"/>
    <w:rsid w:val="5950BF13"/>
    <w:rsid w:val="59C67FF6"/>
    <w:rsid w:val="5A2A8651"/>
    <w:rsid w:val="5ACB0257"/>
    <w:rsid w:val="5BD4F17C"/>
    <w:rsid w:val="5BD825A4"/>
    <w:rsid w:val="5C11F6B9"/>
    <w:rsid w:val="5C24733C"/>
    <w:rsid w:val="5D4F87FB"/>
    <w:rsid w:val="5D8010D3"/>
    <w:rsid w:val="5DC12B04"/>
    <w:rsid w:val="5E5E0A6D"/>
    <w:rsid w:val="5ECD84D3"/>
    <w:rsid w:val="5F6106D2"/>
    <w:rsid w:val="605D6182"/>
    <w:rsid w:val="60A65C6E"/>
    <w:rsid w:val="61CE89CB"/>
    <w:rsid w:val="6277B969"/>
    <w:rsid w:val="627E7B81"/>
    <w:rsid w:val="628FAB4F"/>
    <w:rsid w:val="63AB396C"/>
    <w:rsid w:val="63C54AEF"/>
    <w:rsid w:val="641BFCCE"/>
    <w:rsid w:val="6429A238"/>
    <w:rsid w:val="64757FFB"/>
    <w:rsid w:val="66088D1D"/>
    <w:rsid w:val="6619395F"/>
    <w:rsid w:val="665762C6"/>
    <w:rsid w:val="67B0FAC4"/>
    <w:rsid w:val="67B63F39"/>
    <w:rsid w:val="67BE20E9"/>
    <w:rsid w:val="67C120C7"/>
    <w:rsid w:val="67D71ECE"/>
    <w:rsid w:val="683B8945"/>
    <w:rsid w:val="68C0D731"/>
    <w:rsid w:val="693A9CDA"/>
    <w:rsid w:val="693FC5A4"/>
    <w:rsid w:val="69569309"/>
    <w:rsid w:val="6987D3C6"/>
    <w:rsid w:val="69B91318"/>
    <w:rsid w:val="69D41C33"/>
    <w:rsid w:val="6A0400E5"/>
    <w:rsid w:val="6AC8C7AC"/>
    <w:rsid w:val="6ACB81B6"/>
    <w:rsid w:val="6B381588"/>
    <w:rsid w:val="6B98FC14"/>
    <w:rsid w:val="6C593192"/>
    <w:rsid w:val="6C986C2C"/>
    <w:rsid w:val="6CA579CC"/>
    <w:rsid w:val="6D42CC8C"/>
    <w:rsid w:val="6D5EE325"/>
    <w:rsid w:val="6D772DF3"/>
    <w:rsid w:val="6D9ADEBD"/>
    <w:rsid w:val="6D9F36CF"/>
    <w:rsid w:val="6EC9B093"/>
    <w:rsid w:val="6EDDC732"/>
    <w:rsid w:val="6EEDA0A4"/>
    <w:rsid w:val="6F1C9DF8"/>
    <w:rsid w:val="6F3C08B9"/>
    <w:rsid w:val="703A0C94"/>
    <w:rsid w:val="7071A018"/>
    <w:rsid w:val="70A4C300"/>
    <w:rsid w:val="70D62F63"/>
    <w:rsid w:val="7108614F"/>
    <w:rsid w:val="7189E8D0"/>
    <w:rsid w:val="72A2666F"/>
    <w:rsid w:val="72A35E36"/>
    <w:rsid w:val="730042D9"/>
    <w:rsid w:val="734B9216"/>
    <w:rsid w:val="73952DB3"/>
    <w:rsid w:val="7432E2C4"/>
    <w:rsid w:val="7459C58A"/>
    <w:rsid w:val="745A2960"/>
    <w:rsid w:val="748B0E62"/>
    <w:rsid w:val="75B8E720"/>
    <w:rsid w:val="75DE3098"/>
    <w:rsid w:val="7605FCFC"/>
    <w:rsid w:val="7640D055"/>
    <w:rsid w:val="767C0035"/>
    <w:rsid w:val="76B73132"/>
    <w:rsid w:val="76C46970"/>
    <w:rsid w:val="76C8658F"/>
    <w:rsid w:val="76DBD92A"/>
    <w:rsid w:val="771814E4"/>
    <w:rsid w:val="781B67BB"/>
    <w:rsid w:val="78A4C6E3"/>
    <w:rsid w:val="78DADD1B"/>
    <w:rsid w:val="78F33BF5"/>
    <w:rsid w:val="799A5CE8"/>
    <w:rsid w:val="79EBF1A0"/>
    <w:rsid w:val="79FF92E0"/>
    <w:rsid w:val="7A179BFE"/>
    <w:rsid w:val="7B538913"/>
    <w:rsid w:val="7B641AB3"/>
    <w:rsid w:val="7B82A5FA"/>
    <w:rsid w:val="7BA20218"/>
    <w:rsid w:val="7BB81FD9"/>
    <w:rsid w:val="7BE62C08"/>
    <w:rsid w:val="7C6D8112"/>
    <w:rsid w:val="7C75C5C6"/>
    <w:rsid w:val="7CD5B797"/>
    <w:rsid w:val="7E49DB71"/>
    <w:rsid w:val="7E8475B7"/>
    <w:rsid w:val="7E8B6A15"/>
    <w:rsid w:val="7E9630A7"/>
    <w:rsid w:val="7E9F68C7"/>
    <w:rsid w:val="7EC17D1F"/>
    <w:rsid w:val="7F2058EC"/>
    <w:rsid w:val="7F2748EA"/>
    <w:rsid w:val="7F8ACD7F"/>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FE58C"/>
  <w15:docId w15:val="{8705E5CB-87A3-4EA8-AD21-2C672080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rsid w:val="00B9131F"/>
    <w:rPr>
      <w:rFonts w:ascii="Calibri" w:hAnsi="Calibr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sz w:val="18"/>
    </w:rPr>
  </w:style>
  <w:style w:type="character" w:styleId="FootnoteReference">
    <w:name w:val="footnote reference"/>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link w:val="Header"/>
    <w:uiPriority w:val="99"/>
    <w:rsid w:val="005800BC"/>
    <w:rPr>
      <w:rFonts w:ascii="Calibri" w:hAnsi="Calibri"/>
      <w:color w:val="7F7F7F"/>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A218E2"/>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9131F"/>
    <w:rPr>
      <w:color w:val="4F81BD"/>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text"/>
      <w:spacing w:before="120" w:after="120"/>
    </w:p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b w:val="0"/>
      <w:i/>
    </w:rPr>
  </w:style>
  <w:style w:type="character" w:styleId="PageNumber">
    <w:name w:val="page number"/>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uiPriority w:val="99"/>
    <w:semiHidden/>
    <w:unhideWhenUsed/>
    <w:rsid w:val="00BF1FDE"/>
    <w:rPr>
      <w:color w:val="605E5C"/>
      <w:shd w:val="clear" w:color="auto" w:fill="E1DFDD"/>
    </w:rPr>
  </w:style>
  <w:style w:type="character" w:styleId="PlaceholderText">
    <w:name w:val="Placeholder Tex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ListParagraph">
    <w:name w:val="List Paragraph"/>
    <w:basedOn w:val="Normal"/>
    <w:uiPriority w:val="34"/>
    <w:qFormat/>
    <w:rsid w:val="00D00CC8"/>
    <w:pPr>
      <w:ind w:left="720"/>
      <w:contextualSpacing/>
    </w:pPr>
  </w:style>
  <w:style w:type="paragraph" w:styleId="Revision">
    <w:name w:val="Revision"/>
    <w:hidden/>
    <w:uiPriority w:val="99"/>
    <w:semiHidden/>
    <w:rsid w:val="00C01369"/>
    <w:rPr>
      <w:rFonts w:ascii="Calibri" w:hAnsi="Calibri"/>
      <w:sz w:val="24"/>
      <w:lang w:val="en-GB" w:eastAsia="en-US"/>
    </w:rPr>
  </w:style>
  <w:style w:type="character" w:customStyle="1" w:styleId="normaltextrun">
    <w:name w:val="normaltextrun"/>
    <w:basedOn w:val="DefaultParagraphFont"/>
    <w:rsid w:val="00E31E87"/>
  </w:style>
  <w:style w:type="paragraph" w:styleId="CommentText">
    <w:name w:val="annotation text"/>
    <w:basedOn w:val="Normal"/>
    <w:link w:val="CommentTextChar"/>
    <w:unhideWhenUsed/>
    <w:rsid w:val="00B9243A"/>
    <w:rPr>
      <w:sz w:val="20"/>
    </w:rPr>
  </w:style>
  <w:style w:type="character" w:customStyle="1" w:styleId="CommentTextChar">
    <w:name w:val="Comment Text Char"/>
    <w:link w:val="CommentText"/>
    <w:rsid w:val="00B9243A"/>
    <w:rPr>
      <w:rFonts w:ascii="Calibri" w:hAnsi="Calibri"/>
      <w:lang w:val="en-GB" w:eastAsia="en-US"/>
    </w:rPr>
  </w:style>
  <w:style w:type="character" w:styleId="CommentReference">
    <w:name w:val="annotation reference"/>
    <w:semiHidden/>
    <w:unhideWhenUsed/>
    <w:rsid w:val="00B9243A"/>
    <w:rPr>
      <w:sz w:val="16"/>
      <w:szCs w:val="16"/>
    </w:rPr>
  </w:style>
  <w:style w:type="paragraph" w:styleId="CommentSubject">
    <w:name w:val="annotation subject"/>
    <w:basedOn w:val="CommentText"/>
    <w:next w:val="CommentText"/>
    <w:link w:val="CommentSubjectChar"/>
    <w:semiHidden/>
    <w:unhideWhenUsed/>
    <w:rsid w:val="00F10D16"/>
    <w:rPr>
      <w:b/>
      <w:bCs/>
    </w:rPr>
  </w:style>
  <w:style w:type="character" w:customStyle="1" w:styleId="CommentSubjectChar">
    <w:name w:val="Comment Subject Char"/>
    <w:link w:val="CommentSubject"/>
    <w:semiHidden/>
    <w:rsid w:val="00F10D16"/>
    <w:rPr>
      <w:rFonts w:ascii="Calibri" w:hAnsi="Calibri"/>
      <w:b/>
      <w:bCs/>
      <w:lang w:val="en-GB" w:eastAsia="en-US"/>
    </w:rPr>
  </w:style>
  <w:style w:type="character" w:styleId="Mention">
    <w:name w:val="Mention"/>
    <w:uiPriority w:val="99"/>
    <w:unhideWhenUsed/>
    <w:rsid w:val="00F10D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1"/>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md/S26-CL-C-0050/e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itu.int/md/S26-CL-C-0070/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bereviewedatCoCo xmlns="a4c22657-7647-457b-a399-8471255bb166">yes</TobereviewedatCoCo>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9be68409d3c2ab4dff34705b6aa0e722">
  <xsd:schema xmlns:xsd="http://www.w3.org/2001/XMLSchema" xmlns:xs="http://www.w3.org/2001/XMLSchema" xmlns:p="http://schemas.microsoft.com/office/2006/metadata/properties" xmlns:ns2="a4c22657-7647-457b-a399-8471255bb166" targetNamespace="http://schemas.microsoft.com/office/2006/metadata/properties" ma:root="true" ma:fieldsID="985c4305570bd1295e0dfd082e17e564"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obereviewedatCo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obereviewedatCoCo" ma:index="11" nillable="true" ma:displayName="CoCo" ma:format="Dropdown" ma:internalName="TobereviewedatCoC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EF3C22-0CC6-493E-BDD2-7EB076BFF083}">
  <ds:schemaRefs>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purl.org/dc/elements/1.1/"/>
    <ds:schemaRef ds:uri="http://www.w3.org/XML/1998/namespace"/>
    <ds:schemaRef ds:uri="http://schemas.microsoft.com/office/2006/documentManagement/types"/>
    <ds:schemaRef ds:uri="http://purl.org/dc/dcmitype/"/>
    <ds:schemaRef ds:uri="a4c22657-7647-457b-a399-8471255bb166"/>
  </ds:schemaRefs>
</ds:datastoreItem>
</file>

<file path=customXml/itemProps2.xml><?xml version="1.0" encoding="utf-8"?>
<ds:datastoreItem xmlns:ds="http://schemas.openxmlformats.org/officeDocument/2006/customXml" ds:itemID="{BEC9907F-7452-4FE9-B831-3F04F2067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98F23A-63A6-4386-A898-AEB0FE7779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1062</Words>
  <Characters>6455</Characters>
  <Application>Microsoft Office Word</Application>
  <DocSecurity>0</DocSecurity>
  <Lines>119</Lines>
  <Paragraphs>43</Paragraphs>
  <ScaleCrop>false</ScaleCrop>
  <HeadingPairs>
    <vt:vector size="2" baseType="variant">
      <vt:variant>
        <vt:lpstr>Title</vt:lpstr>
      </vt:variant>
      <vt:variant>
        <vt:i4>1</vt:i4>
      </vt:variant>
    </vt:vector>
  </HeadingPairs>
  <TitlesOfParts>
    <vt:vector size="1" baseType="lpstr">
      <vt:lpstr>The case for regional equity and enabling conditions for broader participation in the hosting of ITU plenipotentiary conferences</vt:lpstr>
    </vt:vector>
  </TitlesOfParts>
  <Manager>General Secretariat</Manager>
  <Company>International Telecommunication Union (ITU)</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case for regional equity and enabling conditions for broader participation in the hosting of ITU plenipotentiary conferences</dc:title>
  <dc:subject>ITU Council 2026</dc:subject>
  <dc:creator>Lerato Monareng</dc:creator>
  <cp:keywords>C26; C2026; Council 2026; PP26</cp:keywords>
  <dc:description/>
  <cp:lastModifiedBy>GBS</cp:lastModifiedBy>
  <cp:revision>7</cp:revision>
  <cp:lastPrinted>2000-07-21T04:30:00Z</cp:lastPrinted>
  <dcterms:created xsi:type="dcterms:W3CDTF">2026-04-14T18:33:00Z</dcterms:created>
  <dcterms:modified xsi:type="dcterms:W3CDTF">2026-04-16T21:56:00Z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y fmtid="{D5CDD505-2E9C-101B-9397-08002B2CF9AE}" pid="11" name="MediaServiceImageTags">
    <vt:lpwstr/>
  </property>
</Properties>
</file>