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4C6815FB" w14:textId="77777777" w:rsidTr="00555C29">
        <w:trPr>
          <w:cantSplit/>
          <w:trHeight w:val="23"/>
        </w:trPr>
        <w:tc>
          <w:tcPr>
            <w:tcW w:w="3969" w:type="dxa"/>
            <w:vMerge w:val="restart"/>
            <w:tcMar>
              <w:left w:w="0" w:type="dxa"/>
            </w:tcMar>
          </w:tcPr>
          <w:p w14:paraId="4A964784" w14:textId="1A2296C7"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875273">
              <w:rPr>
                <w:b/>
                <w:bCs/>
                <w:color w:val="000000"/>
                <w:lang w:val="zh-CN"/>
              </w:rPr>
              <w:t>PL-3</w:t>
            </w:r>
          </w:p>
        </w:tc>
        <w:tc>
          <w:tcPr>
            <w:tcW w:w="5245" w:type="dxa"/>
          </w:tcPr>
          <w:p w14:paraId="02428154" w14:textId="4B93E0A9"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875273">
              <w:rPr>
                <w:b/>
                <w:lang w:val="fr-CH"/>
              </w:rPr>
              <w:t>102</w:t>
            </w:r>
            <w:r w:rsidRPr="00E24D59">
              <w:rPr>
                <w:b/>
                <w:lang w:val="fr-CH"/>
              </w:rPr>
              <w:t>-C</w:t>
            </w:r>
          </w:p>
        </w:tc>
      </w:tr>
      <w:tr w:rsidR="00E24D59" w:rsidRPr="00813E5E" w14:paraId="54CDC8D4" w14:textId="77777777" w:rsidTr="00555C29">
        <w:trPr>
          <w:cantSplit/>
        </w:trPr>
        <w:tc>
          <w:tcPr>
            <w:tcW w:w="3969" w:type="dxa"/>
            <w:vMerge/>
          </w:tcPr>
          <w:p w14:paraId="50202D4E"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7D76E21F" w14:textId="7C0A5588" w:rsidR="00E24D59" w:rsidRPr="00E85629" w:rsidRDefault="00875273"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3B1F1A6C" w14:textId="77777777" w:rsidTr="00555C29">
        <w:trPr>
          <w:cantSplit/>
          <w:trHeight w:val="23"/>
        </w:trPr>
        <w:tc>
          <w:tcPr>
            <w:tcW w:w="3969" w:type="dxa"/>
            <w:vMerge/>
          </w:tcPr>
          <w:p w14:paraId="759E59BC"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56E570A4" w14:textId="4881278D"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875273">
              <w:rPr>
                <w:rFonts w:cstheme="minorHAnsi" w:hint="eastAsia"/>
                <w:b/>
                <w:bCs/>
                <w:lang w:val="ru-RU" w:eastAsia="zh-CN"/>
              </w:rPr>
              <w:t>英文</w:t>
            </w:r>
          </w:p>
        </w:tc>
      </w:tr>
      <w:tr w:rsidR="00E24D59" w:rsidRPr="00813E5E" w14:paraId="0C08DE95" w14:textId="77777777" w:rsidTr="00555C29">
        <w:trPr>
          <w:cantSplit/>
          <w:trHeight w:val="23"/>
        </w:trPr>
        <w:tc>
          <w:tcPr>
            <w:tcW w:w="3969" w:type="dxa"/>
          </w:tcPr>
          <w:p w14:paraId="334568B8" w14:textId="77777777" w:rsidR="00E24D59" w:rsidRPr="00813E5E" w:rsidRDefault="00E24D59" w:rsidP="00555C29">
            <w:pPr>
              <w:tabs>
                <w:tab w:val="left" w:pos="851"/>
              </w:tabs>
              <w:spacing w:line="240" w:lineRule="atLeast"/>
              <w:rPr>
                <w:b/>
              </w:rPr>
            </w:pPr>
          </w:p>
        </w:tc>
        <w:tc>
          <w:tcPr>
            <w:tcW w:w="5245" w:type="dxa"/>
          </w:tcPr>
          <w:p w14:paraId="08CF1943" w14:textId="77777777" w:rsidR="00E24D59" w:rsidRDefault="00E24D59" w:rsidP="00555C29">
            <w:pPr>
              <w:tabs>
                <w:tab w:val="left" w:pos="851"/>
              </w:tabs>
              <w:spacing w:before="0" w:line="240" w:lineRule="atLeast"/>
              <w:jc w:val="right"/>
              <w:rPr>
                <w:b/>
              </w:rPr>
            </w:pPr>
          </w:p>
        </w:tc>
      </w:tr>
      <w:tr w:rsidR="00E24D59" w:rsidRPr="00813E5E" w14:paraId="4C8450CE" w14:textId="77777777" w:rsidTr="00555C29">
        <w:trPr>
          <w:cantSplit/>
        </w:trPr>
        <w:tc>
          <w:tcPr>
            <w:tcW w:w="9214" w:type="dxa"/>
            <w:gridSpan w:val="2"/>
            <w:tcMar>
              <w:left w:w="0" w:type="dxa"/>
            </w:tcMar>
          </w:tcPr>
          <w:p w14:paraId="4B4FB94B" w14:textId="37CE4E46" w:rsidR="00E24D59" w:rsidRPr="00C24DAC" w:rsidRDefault="00875273" w:rsidP="00C24DAC">
            <w:pPr>
              <w:pStyle w:val="Source"/>
              <w:framePr w:hSpace="0" w:wrap="auto" w:vAnchor="margin" w:hAnchor="text" w:xAlign="left" w:yAlign="inline"/>
            </w:pPr>
            <w:bookmarkStart w:id="5" w:name="dsource" w:colFirst="0" w:colLast="0"/>
            <w:bookmarkEnd w:id="4"/>
            <w:r w:rsidRPr="00875273">
              <w:rPr>
                <w:rFonts w:hint="eastAsia"/>
              </w:rPr>
              <w:t>南非（共和国）、肯尼亚（共和国）、摩洛哥（王国）和</w:t>
            </w:r>
            <w:r>
              <w:br/>
            </w:r>
            <w:r w:rsidRPr="00875273">
              <w:rPr>
                <w:rFonts w:hint="eastAsia"/>
              </w:rPr>
              <w:t>尼日利亚（联邦共和国）的文稿</w:t>
            </w:r>
          </w:p>
        </w:tc>
      </w:tr>
      <w:tr w:rsidR="00E24D59" w:rsidRPr="00813E5E" w14:paraId="6B9E9742" w14:textId="77777777" w:rsidTr="00555C29">
        <w:trPr>
          <w:cantSplit/>
        </w:trPr>
        <w:tc>
          <w:tcPr>
            <w:tcW w:w="9214" w:type="dxa"/>
            <w:gridSpan w:val="2"/>
            <w:tcMar>
              <w:left w:w="0" w:type="dxa"/>
            </w:tcMar>
          </w:tcPr>
          <w:p w14:paraId="0B1CD185" w14:textId="34E106CA" w:rsidR="00E24D59" w:rsidRPr="00C24DAC" w:rsidRDefault="00875273" w:rsidP="00C24DAC">
            <w:pPr>
              <w:pStyle w:val="Subtitle"/>
              <w:framePr w:hSpace="0" w:wrap="auto" w:vAnchor="margin" w:hAnchor="text" w:xAlign="left" w:yAlign="inline"/>
            </w:pPr>
            <w:bookmarkStart w:id="6" w:name="dtitle1" w:colFirst="0" w:colLast="0"/>
            <w:bookmarkEnd w:id="5"/>
            <w:r w:rsidRPr="005A34DB">
              <w:rPr>
                <w:rFonts w:hint="eastAsia"/>
                <w:color w:val="000000"/>
                <w:lang w:val="zh-CN"/>
              </w:rPr>
              <w:t>区域公平性及促进更广泛参与主办国际电联全权代表大会的</w:t>
            </w:r>
            <w:r>
              <w:rPr>
                <w:rFonts w:hint="eastAsia"/>
                <w:color w:val="000000"/>
                <w:lang w:val="zh-CN"/>
              </w:rPr>
              <w:t>有利</w:t>
            </w:r>
            <w:r w:rsidRPr="005A34DB">
              <w:rPr>
                <w:rFonts w:hint="eastAsia"/>
                <w:color w:val="000000"/>
                <w:lang w:val="zh-CN"/>
              </w:rPr>
              <w:t>条件</w:t>
            </w:r>
          </w:p>
        </w:tc>
      </w:tr>
      <w:tr w:rsidR="00E24D59" w:rsidRPr="00813E5E" w14:paraId="4CBFCCA7" w14:textId="77777777" w:rsidTr="00555C29">
        <w:trPr>
          <w:cantSplit/>
        </w:trPr>
        <w:tc>
          <w:tcPr>
            <w:tcW w:w="9214" w:type="dxa"/>
            <w:gridSpan w:val="2"/>
            <w:tcBorders>
              <w:top w:val="single" w:sz="4" w:space="0" w:color="auto"/>
              <w:bottom w:val="single" w:sz="4" w:space="0" w:color="auto"/>
            </w:tcBorders>
            <w:tcMar>
              <w:left w:w="0" w:type="dxa"/>
            </w:tcMar>
          </w:tcPr>
          <w:p w14:paraId="3E1DA4CE" w14:textId="0ACDA905" w:rsidR="003F086E" w:rsidRPr="00477D57" w:rsidRDefault="003F086E" w:rsidP="00555C29">
            <w:pPr>
              <w:rPr>
                <w:b/>
                <w:bCs/>
                <w:lang w:eastAsia="zh-CN"/>
              </w:rPr>
            </w:pPr>
            <w:r w:rsidRPr="00477D57">
              <w:rPr>
                <w:b/>
                <w:bCs/>
                <w:lang w:eastAsia="zh-CN"/>
              </w:rPr>
              <w:t>目的</w:t>
            </w:r>
          </w:p>
          <w:p w14:paraId="124846FC" w14:textId="19B0A88E" w:rsidR="003F086E" w:rsidRPr="00477D57" w:rsidRDefault="00875273" w:rsidP="00875273">
            <w:pPr>
              <w:ind w:firstLineChars="200" w:firstLine="480"/>
              <w:rPr>
                <w:rFonts w:asciiTheme="majorEastAsia" w:eastAsiaTheme="majorEastAsia" w:hAnsiTheme="majorEastAsia"/>
                <w:lang w:eastAsia="zh-CN"/>
              </w:rPr>
            </w:pPr>
            <w:r>
              <w:rPr>
                <w:color w:val="000000"/>
                <w:lang w:val="zh-CN" w:eastAsia="zh-CN"/>
              </w:rPr>
              <w:t>本文稿旨在加强秘书处提议的遴选国际电联大会和全会东道国的程序，并按照理事会财务和人力资源工作组</w:t>
            </w:r>
            <w:r>
              <w:rPr>
                <w:color w:val="000000"/>
                <w:lang w:val="zh-CN" w:eastAsia="zh-CN"/>
              </w:rPr>
              <w:t>2026</w:t>
            </w:r>
            <w:r>
              <w:rPr>
                <w:color w:val="000000"/>
                <w:lang w:val="zh-CN" w:eastAsia="zh-CN"/>
              </w:rPr>
              <w:t>年</w:t>
            </w:r>
            <w:r>
              <w:rPr>
                <w:color w:val="000000"/>
                <w:lang w:val="zh-CN" w:eastAsia="zh-CN"/>
              </w:rPr>
              <w:t>1</w:t>
            </w:r>
            <w:r>
              <w:rPr>
                <w:color w:val="000000"/>
                <w:lang w:val="zh-CN" w:eastAsia="zh-CN"/>
              </w:rPr>
              <w:t>月的要求，为成员国，特别是发展中国家的更广泛参与创造必要的</w:t>
            </w:r>
            <w:r>
              <w:rPr>
                <w:rFonts w:hint="eastAsia"/>
                <w:color w:val="000000"/>
                <w:lang w:val="zh-CN" w:eastAsia="zh-CN"/>
              </w:rPr>
              <w:t>实用</w:t>
            </w:r>
            <w:r>
              <w:rPr>
                <w:color w:val="000000"/>
                <w:lang w:val="zh-CN" w:eastAsia="zh-CN"/>
              </w:rPr>
              <w:t>有利条件。</w:t>
            </w:r>
          </w:p>
          <w:p w14:paraId="79D7E458" w14:textId="77777777" w:rsidR="003F086E" w:rsidRPr="00477D57" w:rsidRDefault="003F086E" w:rsidP="00555C29">
            <w:pPr>
              <w:rPr>
                <w:b/>
                <w:bCs/>
                <w:lang w:eastAsia="zh-CN"/>
              </w:rPr>
            </w:pPr>
            <w:r w:rsidRPr="00477D57">
              <w:rPr>
                <w:b/>
                <w:bCs/>
                <w:lang w:eastAsia="zh-CN"/>
              </w:rPr>
              <w:t>理事会需采取的行动</w:t>
            </w:r>
          </w:p>
          <w:p w14:paraId="6A600A03" w14:textId="35ED1725" w:rsidR="003F086E" w:rsidRPr="00477D57" w:rsidRDefault="00875273" w:rsidP="00875273">
            <w:pPr>
              <w:ind w:firstLineChars="200" w:firstLine="480"/>
              <w:rPr>
                <w:rFonts w:asciiTheme="majorEastAsia" w:eastAsiaTheme="majorEastAsia" w:hAnsiTheme="majorEastAsia"/>
                <w:lang w:eastAsia="zh-CN"/>
              </w:rPr>
            </w:pPr>
            <w:r>
              <w:rPr>
                <w:color w:val="000000"/>
                <w:lang w:val="zh-CN" w:eastAsia="zh-CN"/>
              </w:rPr>
              <w:t>请理事会</w:t>
            </w:r>
            <w:r w:rsidRPr="005A34DB">
              <w:rPr>
                <w:b/>
                <w:bCs/>
                <w:color w:val="000000"/>
                <w:lang w:val="zh-CN" w:eastAsia="zh-CN"/>
              </w:rPr>
              <w:t>审议</w:t>
            </w:r>
            <w:r>
              <w:rPr>
                <w:color w:val="000000"/>
                <w:lang w:val="zh-CN" w:eastAsia="zh-CN"/>
              </w:rPr>
              <w:t>本文件。</w:t>
            </w:r>
          </w:p>
          <w:p w14:paraId="74B92805" w14:textId="77777777" w:rsidR="00E24D59" w:rsidRPr="00DA2D30" w:rsidRDefault="00DA2D30" w:rsidP="00DA2D30">
            <w:pPr>
              <w:rPr>
                <w:lang w:eastAsia="zh-CN"/>
              </w:rPr>
            </w:pPr>
            <w:r>
              <w:rPr>
                <w:lang w:eastAsia="zh-CN"/>
              </w:rPr>
              <w:t>_______________</w:t>
            </w:r>
          </w:p>
          <w:p w14:paraId="7E4148C4" w14:textId="77777777" w:rsidR="00E24D59" w:rsidRPr="00477D57" w:rsidRDefault="00E24D59" w:rsidP="00555C29">
            <w:pPr>
              <w:rPr>
                <w:b/>
                <w:bCs/>
                <w:lang w:eastAsia="zh-CN"/>
              </w:rPr>
            </w:pPr>
            <w:r w:rsidRPr="00477D57">
              <w:rPr>
                <w:rFonts w:hint="eastAsia"/>
                <w:b/>
                <w:bCs/>
                <w:lang w:eastAsia="zh-CN"/>
              </w:rPr>
              <w:t>参考文件</w:t>
            </w:r>
          </w:p>
          <w:p w14:paraId="29917846" w14:textId="4BFCD6F5" w:rsidR="00E24D59" w:rsidRPr="00690647" w:rsidRDefault="00E47E4C" w:rsidP="00690647">
            <w:pPr>
              <w:spacing w:after="120"/>
              <w:ind w:firstLineChars="200" w:firstLine="480"/>
              <w:rPr>
                <w:rFonts w:asciiTheme="majorEastAsia" w:eastAsiaTheme="majorEastAsia" w:hAnsiTheme="majorEastAsia"/>
                <w:i/>
                <w:iCs/>
                <w:szCs w:val="24"/>
                <w:lang w:eastAsia="zh-CN"/>
              </w:rPr>
            </w:pPr>
            <w:hyperlink r:id="rId8" w:history="1">
              <w:r w:rsidRPr="00690647">
                <w:rPr>
                  <w:rStyle w:val="Hyperlink"/>
                  <w:rFonts w:eastAsia="SimSun"/>
                  <w:i/>
                  <w:iCs/>
                  <w:szCs w:val="24"/>
                  <w:lang w:eastAsia="zh-CN"/>
                </w:rPr>
                <w:t>C26/70</w:t>
              </w:r>
            </w:hyperlink>
            <w:r w:rsidR="00875273" w:rsidRPr="00690647">
              <w:rPr>
                <w:color w:val="000000"/>
                <w:szCs w:val="24"/>
                <w:lang w:val="zh-CN" w:eastAsia="zh-CN"/>
              </w:rPr>
              <w:t>和</w:t>
            </w:r>
            <w:hyperlink r:id="rId9" w:history="1">
              <w:r w:rsidRPr="00690647">
                <w:rPr>
                  <w:rStyle w:val="Hyperlink"/>
                  <w:rFonts w:eastAsia="SimSun"/>
                  <w:i/>
                  <w:iCs/>
                  <w:szCs w:val="24"/>
                  <w:lang w:eastAsia="zh-CN"/>
                </w:rPr>
                <w:t>C26/50</w:t>
              </w:r>
            </w:hyperlink>
            <w:r w:rsidR="00875273" w:rsidRPr="00690647">
              <w:rPr>
                <w:color w:val="000000"/>
                <w:szCs w:val="24"/>
                <w:lang w:val="zh-CN" w:eastAsia="zh-CN"/>
              </w:rPr>
              <w:t>号文件</w:t>
            </w:r>
          </w:p>
        </w:tc>
      </w:tr>
      <w:bookmarkEnd w:id="2"/>
      <w:bookmarkEnd w:id="6"/>
    </w:tbl>
    <w:p w14:paraId="751AF77C"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2695419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3EF46681" w14:textId="77777777" w:rsidR="00875273" w:rsidRPr="00875273" w:rsidRDefault="00875273" w:rsidP="00875273">
      <w:pPr>
        <w:pStyle w:val="Heading1"/>
        <w:rPr>
          <w:lang w:val="en-US" w:eastAsia="zh-CN"/>
        </w:rPr>
      </w:pPr>
      <w:r w:rsidRPr="00875273">
        <w:rPr>
          <w:lang w:val="zh-CN" w:eastAsia="zh-CN"/>
        </w:rPr>
        <w:lastRenderedPageBreak/>
        <w:t>1</w:t>
      </w:r>
      <w:r w:rsidRPr="00875273">
        <w:rPr>
          <w:lang w:val="zh-CN" w:eastAsia="zh-CN"/>
        </w:rPr>
        <w:tab/>
      </w:r>
      <w:r w:rsidRPr="00875273">
        <w:rPr>
          <w:lang w:val="zh-CN" w:eastAsia="zh-CN"/>
        </w:rPr>
        <w:t>背景</w:t>
      </w:r>
    </w:p>
    <w:p w14:paraId="410D3882" w14:textId="77777777" w:rsidR="00875273" w:rsidRPr="00875273" w:rsidRDefault="00875273" w:rsidP="00875273">
      <w:pPr>
        <w:rPr>
          <w:lang w:val="en-US" w:eastAsia="zh-CN"/>
        </w:rPr>
      </w:pPr>
      <w:r w:rsidRPr="00875273">
        <w:rPr>
          <w:lang w:val="zh-CN" w:eastAsia="zh-CN"/>
        </w:rPr>
        <w:t>1.1</w:t>
      </w:r>
      <w:r w:rsidRPr="00875273">
        <w:rPr>
          <w:lang w:val="zh-CN" w:eastAsia="zh-CN"/>
        </w:rPr>
        <w:tab/>
      </w:r>
      <w:r w:rsidRPr="00875273">
        <w:rPr>
          <w:lang w:val="zh-CN" w:eastAsia="zh-CN"/>
        </w:rPr>
        <w:t>我们对秘书处</w:t>
      </w:r>
      <w:r w:rsidRPr="00875273">
        <w:rPr>
          <w:rFonts w:hint="eastAsia"/>
          <w:lang w:val="zh-CN" w:eastAsia="zh-CN"/>
        </w:rPr>
        <w:t>的提案</w:t>
      </w:r>
      <w:r w:rsidRPr="00875273">
        <w:rPr>
          <w:lang w:val="zh-CN" w:eastAsia="zh-CN"/>
        </w:rPr>
        <w:t>表示感谢，该</w:t>
      </w:r>
      <w:r w:rsidRPr="00875273">
        <w:rPr>
          <w:rFonts w:hint="eastAsia"/>
          <w:lang w:val="zh-CN" w:eastAsia="zh-CN"/>
        </w:rPr>
        <w:t>提案</w:t>
      </w:r>
      <w:r w:rsidRPr="00875273">
        <w:rPr>
          <w:lang w:val="zh-CN" w:eastAsia="zh-CN"/>
        </w:rPr>
        <w:t>为主办国际电联大会和全会提出了</w:t>
      </w:r>
      <w:r w:rsidRPr="00875273">
        <w:rPr>
          <w:rFonts w:hint="eastAsia"/>
          <w:lang w:val="zh-CN" w:eastAsia="zh-CN"/>
        </w:rPr>
        <w:t>一套规范、</w:t>
      </w:r>
      <w:r w:rsidRPr="00875273">
        <w:rPr>
          <w:lang w:val="zh-CN" w:eastAsia="zh-CN"/>
        </w:rPr>
        <w:t>透明的遴选流程，</w:t>
      </w:r>
      <w:r w:rsidRPr="00875273">
        <w:rPr>
          <w:rFonts w:hint="eastAsia"/>
          <w:lang w:val="zh-CN" w:eastAsia="zh-CN"/>
        </w:rPr>
        <w:t>系</w:t>
      </w:r>
      <w:r w:rsidRPr="00875273">
        <w:rPr>
          <w:lang w:val="zh-CN" w:eastAsia="zh-CN"/>
        </w:rPr>
        <w:t>根据理事会的指导意见和此前的讨论制定</w:t>
      </w:r>
      <w:r w:rsidRPr="00875273">
        <w:rPr>
          <w:rFonts w:hint="eastAsia"/>
          <w:lang w:val="zh-CN" w:eastAsia="zh-CN"/>
        </w:rPr>
        <w:t>而成</w:t>
      </w:r>
      <w:r w:rsidRPr="00875273">
        <w:rPr>
          <w:lang w:val="zh-CN" w:eastAsia="zh-CN"/>
        </w:rPr>
        <w:t>。它引入了一个结构化的时间表，</w:t>
      </w:r>
      <w:r w:rsidRPr="00875273">
        <w:rPr>
          <w:rFonts w:hint="eastAsia"/>
          <w:lang w:val="zh-CN" w:eastAsia="zh-CN"/>
        </w:rPr>
        <w:t>提前四年发布正式征集提案通知，随后进行</w:t>
      </w:r>
      <w:r w:rsidRPr="00875273">
        <w:rPr>
          <w:lang w:val="zh-CN" w:eastAsia="zh-CN"/>
        </w:rPr>
        <w:t>投标、秘书处牵头的尽职调查，</w:t>
      </w:r>
      <w:r w:rsidRPr="00875273">
        <w:rPr>
          <w:rFonts w:hint="eastAsia"/>
          <w:lang w:val="zh-CN" w:eastAsia="zh-CN"/>
        </w:rPr>
        <w:t>最后由</w:t>
      </w:r>
      <w:r w:rsidRPr="00875273">
        <w:rPr>
          <w:lang w:val="zh-CN" w:eastAsia="zh-CN"/>
        </w:rPr>
        <w:t>理事会或全权代表大会基于合规性和地域平衡</w:t>
      </w:r>
      <w:r w:rsidRPr="00875273">
        <w:rPr>
          <w:rFonts w:hint="eastAsia"/>
          <w:lang w:val="zh-CN" w:eastAsia="zh-CN"/>
        </w:rPr>
        <w:t>原则作出最终遴选。</w:t>
      </w:r>
    </w:p>
    <w:p w14:paraId="333D9E4E" w14:textId="77777777" w:rsidR="00875273" w:rsidRPr="00875273" w:rsidRDefault="00875273" w:rsidP="00875273">
      <w:pPr>
        <w:rPr>
          <w:lang w:val="en-US" w:eastAsia="zh-CN"/>
        </w:rPr>
      </w:pPr>
      <w:r w:rsidRPr="00875273">
        <w:rPr>
          <w:lang w:val="zh-CN" w:eastAsia="zh-CN"/>
        </w:rPr>
        <w:t>1.2</w:t>
      </w:r>
      <w:r w:rsidRPr="00875273">
        <w:rPr>
          <w:lang w:val="zh-CN" w:eastAsia="zh-CN"/>
        </w:rPr>
        <w:tab/>
      </w:r>
      <w:r w:rsidRPr="00875273">
        <w:rPr>
          <w:lang w:val="zh-CN" w:eastAsia="zh-CN"/>
        </w:rPr>
        <w:t>我们还对新</w:t>
      </w:r>
      <w:r w:rsidRPr="00875273">
        <w:rPr>
          <w:lang w:val="en-US" w:eastAsia="zh-CN"/>
        </w:rPr>
        <w:t>设立</w:t>
      </w:r>
      <w:r w:rsidRPr="00875273">
        <w:rPr>
          <w:lang w:val="zh-CN" w:eastAsia="zh-CN"/>
        </w:rPr>
        <w:t>的东道国门户网站表示赞赏，该门户网站集中了所有相关信息和</w:t>
      </w:r>
      <w:r w:rsidRPr="00875273">
        <w:rPr>
          <w:lang w:val="en-US" w:eastAsia="zh-CN"/>
        </w:rPr>
        <w:t>申办资料</w:t>
      </w:r>
      <w:r w:rsidRPr="00875273">
        <w:rPr>
          <w:lang w:val="zh-CN" w:eastAsia="zh-CN"/>
        </w:rPr>
        <w:t>。它还</w:t>
      </w:r>
      <w:r w:rsidRPr="00875273">
        <w:rPr>
          <w:lang w:val="en-US" w:eastAsia="zh-CN"/>
        </w:rPr>
        <w:t>明确</w:t>
      </w:r>
      <w:r w:rsidRPr="00875273">
        <w:rPr>
          <w:lang w:val="zh-CN" w:eastAsia="zh-CN"/>
        </w:rPr>
        <w:t>了主办费用，包括国家</w:t>
      </w:r>
      <w:r w:rsidRPr="00875273">
        <w:rPr>
          <w:lang w:val="en-US" w:eastAsia="zh-CN"/>
        </w:rPr>
        <w:t>支出</w:t>
      </w:r>
      <w:r w:rsidRPr="00875273">
        <w:rPr>
          <w:lang w:val="zh-CN" w:eastAsia="zh-CN"/>
        </w:rPr>
        <w:t>和可报销的国际电联费用，同时强调努力减少财务负担并鼓励更广泛的参与。该框架旨在增强公平性、一致性和可预测性，</w:t>
      </w:r>
      <w:r w:rsidRPr="00875273">
        <w:rPr>
          <w:lang w:val="en-US" w:eastAsia="zh-CN"/>
        </w:rPr>
        <w:t>拟</w:t>
      </w:r>
      <w:r w:rsidRPr="00875273">
        <w:rPr>
          <w:lang w:val="zh-CN" w:eastAsia="zh-CN"/>
        </w:rPr>
        <w:t>自</w:t>
      </w:r>
      <w:r w:rsidRPr="00875273">
        <w:rPr>
          <w:lang w:val="zh-CN" w:eastAsia="zh-CN"/>
        </w:rPr>
        <w:t>2031</w:t>
      </w:r>
      <w:r w:rsidRPr="00875273">
        <w:rPr>
          <w:lang w:val="zh-CN" w:eastAsia="zh-CN"/>
        </w:rPr>
        <w:t>年起在</w:t>
      </w:r>
      <w:r w:rsidRPr="00875273">
        <w:rPr>
          <w:lang w:val="en-US" w:eastAsia="zh-CN"/>
        </w:rPr>
        <w:t>各次</w:t>
      </w:r>
      <w:r w:rsidRPr="00875273">
        <w:rPr>
          <w:lang w:val="zh-CN" w:eastAsia="zh-CN"/>
        </w:rPr>
        <w:t>大会</w:t>
      </w:r>
      <w:r w:rsidRPr="00875273">
        <w:rPr>
          <w:rFonts w:hint="eastAsia"/>
          <w:lang w:val="zh-CN" w:eastAsia="zh-CN"/>
        </w:rPr>
        <w:t>中</w:t>
      </w:r>
      <w:r w:rsidRPr="00875273">
        <w:rPr>
          <w:lang w:val="zh-CN" w:eastAsia="zh-CN"/>
        </w:rPr>
        <w:t>实施。</w:t>
      </w:r>
    </w:p>
    <w:p w14:paraId="5DEEF053" w14:textId="77777777" w:rsidR="00875273" w:rsidRPr="00875273" w:rsidRDefault="00875273" w:rsidP="00875273">
      <w:pPr>
        <w:rPr>
          <w:lang w:val="en-US" w:eastAsia="zh-CN"/>
        </w:rPr>
      </w:pPr>
      <w:r w:rsidRPr="00875273">
        <w:rPr>
          <w:lang w:val="zh-CN" w:eastAsia="zh-CN"/>
        </w:rPr>
        <w:t>1.3</w:t>
      </w:r>
      <w:r w:rsidRPr="00875273">
        <w:rPr>
          <w:lang w:val="zh-CN" w:eastAsia="zh-CN"/>
        </w:rPr>
        <w:tab/>
      </w:r>
      <w:r w:rsidRPr="00875273">
        <w:rPr>
          <w:lang w:val="zh-CN" w:eastAsia="zh-CN"/>
        </w:rPr>
        <w:t>全权代表大会（</w:t>
      </w:r>
      <w:r w:rsidRPr="00875273">
        <w:rPr>
          <w:lang w:val="zh-CN" w:eastAsia="zh-CN"/>
        </w:rPr>
        <w:t>PP</w:t>
      </w:r>
      <w:r w:rsidRPr="00875273">
        <w:rPr>
          <w:lang w:val="zh-CN" w:eastAsia="zh-CN"/>
        </w:rPr>
        <w:t>）仍是国际电信联盟（</w:t>
      </w:r>
      <w:r w:rsidRPr="00875273">
        <w:rPr>
          <w:rFonts w:hint="eastAsia"/>
          <w:lang w:val="zh-CN" w:eastAsia="zh-CN"/>
        </w:rPr>
        <w:t>国际电联</w:t>
      </w:r>
      <w:r w:rsidRPr="00875273">
        <w:rPr>
          <w:lang w:val="zh-CN" w:eastAsia="zh-CN"/>
        </w:rPr>
        <w:t>）的最高权力机构，负责确定国际电联的总体政策，通过其四年期战略和财务规划，并选举其高级领导层。自</w:t>
      </w:r>
      <w:r w:rsidRPr="00875273">
        <w:rPr>
          <w:lang w:val="zh-CN" w:eastAsia="zh-CN"/>
        </w:rPr>
        <w:t>1947</w:t>
      </w:r>
      <w:r w:rsidRPr="00875273">
        <w:rPr>
          <w:lang w:val="zh-CN" w:eastAsia="zh-CN"/>
        </w:rPr>
        <w:t>年以来，全权代表大会已成为全球电信</w:t>
      </w:r>
      <w:r w:rsidRPr="00875273">
        <w:rPr>
          <w:rFonts w:hint="eastAsia"/>
          <w:lang w:val="zh-CN" w:eastAsia="zh-CN"/>
        </w:rPr>
        <w:t>治理</w:t>
      </w:r>
      <w:r w:rsidRPr="00875273">
        <w:rPr>
          <w:lang w:val="zh-CN" w:eastAsia="zh-CN"/>
        </w:rPr>
        <w:t>演变过程中的重要里程碑。</w:t>
      </w:r>
    </w:p>
    <w:p w14:paraId="32867FC3" w14:textId="77777777" w:rsidR="00875273" w:rsidRPr="00875273" w:rsidRDefault="00875273" w:rsidP="00875273">
      <w:pPr>
        <w:rPr>
          <w:lang w:val="en-US" w:eastAsia="zh-CN"/>
        </w:rPr>
      </w:pPr>
      <w:r w:rsidRPr="00875273">
        <w:rPr>
          <w:lang w:val="zh-CN" w:eastAsia="zh-CN"/>
        </w:rPr>
        <w:t>1.4</w:t>
      </w:r>
      <w:r w:rsidRPr="00875273">
        <w:rPr>
          <w:lang w:val="zh-CN" w:eastAsia="zh-CN"/>
        </w:rPr>
        <w:tab/>
      </w:r>
      <w:r w:rsidRPr="00875273">
        <w:rPr>
          <w:lang w:val="zh-CN" w:eastAsia="zh-CN"/>
        </w:rPr>
        <w:t>为了与国际电联的国际特性保持一致，每届大会都由一个成员国承办。这一传统使全权代表大会</w:t>
      </w:r>
      <w:r w:rsidRPr="00875273">
        <w:rPr>
          <w:lang w:val="en-US" w:eastAsia="zh-CN"/>
        </w:rPr>
        <w:t>既能在象征意义上也能在实际层面上</w:t>
      </w:r>
      <w:r w:rsidRPr="00875273">
        <w:rPr>
          <w:lang w:val="zh-CN" w:eastAsia="zh-CN"/>
        </w:rPr>
        <w:t>体现国际电联的包容性职责，同时也赋予东道国声望和战略知名度。</w:t>
      </w:r>
    </w:p>
    <w:p w14:paraId="6CE02CFC" w14:textId="77777777" w:rsidR="00875273" w:rsidRPr="00875273" w:rsidRDefault="00875273" w:rsidP="00875273">
      <w:pPr>
        <w:rPr>
          <w:lang w:val="en-US" w:eastAsia="zh-CN"/>
        </w:rPr>
      </w:pPr>
      <w:r w:rsidRPr="00875273">
        <w:rPr>
          <w:lang w:val="zh-CN" w:eastAsia="zh-CN"/>
        </w:rPr>
        <w:t>1.5</w:t>
      </w:r>
      <w:r w:rsidRPr="00875273">
        <w:rPr>
          <w:lang w:val="zh-CN" w:eastAsia="zh-CN"/>
        </w:rPr>
        <w:tab/>
      </w:r>
      <w:r w:rsidRPr="00875273">
        <w:rPr>
          <w:lang w:val="zh-CN" w:eastAsia="zh-CN"/>
        </w:rPr>
        <w:t>国际电联最高层已明确认识到，需要确保以透明和及时的方式实施这一过程。在理事会</w:t>
      </w:r>
      <w:r w:rsidRPr="00875273">
        <w:rPr>
          <w:lang w:val="zh-CN" w:eastAsia="zh-CN"/>
        </w:rPr>
        <w:t>2025</w:t>
      </w:r>
      <w:r w:rsidRPr="00875273">
        <w:rPr>
          <w:lang w:val="zh-CN" w:eastAsia="zh-CN"/>
        </w:rPr>
        <w:t>年会议上，关于</w:t>
      </w:r>
      <w:r w:rsidRPr="00875273">
        <w:rPr>
          <w:lang w:val="zh-CN" w:eastAsia="zh-CN"/>
        </w:rPr>
        <w:t>WRC-27</w:t>
      </w:r>
      <w:r w:rsidRPr="00875273">
        <w:rPr>
          <w:lang w:val="zh-CN" w:eastAsia="zh-CN"/>
        </w:rPr>
        <w:t>主办</w:t>
      </w:r>
      <w:r w:rsidRPr="00875273">
        <w:rPr>
          <w:lang w:val="en-US" w:eastAsia="zh-CN"/>
        </w:rPr>
        <w:t>权</w:t>
      </w:r>
      <w:r w:rsidRPr="00875273">
        <w:rPr>
          <w:lang w:val="zh-CN" w:eastAsia="zh-CN"/>
        </w:rPr>
        <w:t>的投票</w:t>
      </w:r>
      <w:r w:rsidRPr="00875273">
        <w:rPr>
          <w:lang w:val="en-US" w:eastAsia="zh-CN"/>
        </w:rPr>
        <w:t>表决</w:t>
      </w:r>
      <w:r w:rsidRPr="00875273">
        <w:rPr>
          <w:lang w:val="zh-CN" w:eastAsia="zh-CN"/>
        </w:rPr>
        <w:t>前的辩论中，成员国呼吁</w:t>
      </w:r>
      <w:r w:rsidRPr="00875273">
        <w:rPr>
          <w:lang w:val="en-US" w:eastAsia="zh-CN"/>
        </w:rPr>
        <w:t>以</w:t>
      </w:r>
      <w:r w:rsidRPr="00875273">
        <w:rPr>
          <w:lang w:val="zh-CN" w:eastAsia="zh-CN"/>
        </w:rPr>
        <w:t>公开和可预见</w:t>
      </w:r>
      <w:r w:rsidRPr="00875273">
        <w:rPr>
          <w:lang w:val="en-US" w:eastAsia="zh-CN"/>
        </w:rPr>
        <w:t>的方式发出</w:t>
      </w:r>
      <w:r w:rsidRPr="00875273">
        <w:rPr>
          <w:lang w:val="zh-CN" w:eastAsia="zh-CN"/>
        </w:rPr>
        <w:t>主办大会和全会</w:t>
      </w:r>
      <w:r w:rsidRPr="00875273">
        <w:rPr>
          <w:rFonts w:hint="eastAsia"/>
          <w:lang w:val="zh-CN" w:eastAsia="zh-CN"/>
        </w:rPr>
        <w:t>的</w:t>
      </w:r>
      <w:r w:rsidRPr="00875273">
        <w:rPr>
          <w:lang w:val="zh-CN" w:eastAsia="zh-CN"/>
        </w:rPr>
        <w:t>邀请。</w:t>
      </w:r>
      <w:r w:rsidRPr="00875273">
        <w:rPr>
          <w:lang w:val="en-US" w:eastAsia="zh-CN"/>
        </w:rPr>
        <w:t>长期以来，尽管并非正式安排，但会议地点一直在各区域之间</w:t>
      </w:r>
      <w:r w:rsidRPr="00875273">
        <w:rPr>
          <w:lang w:val="zh-CN" w:eastAsia="zh-CN"/>
        </w:rPr>
        <w:t>轮换</w:t>
      </w:r>
      <w:r w:rsidRPr="00875273">
        <w:rPr>
          <w:lang w:val="en-US" w:eastAsia="zh-CN"/>
        </w:rPr>
        <w:t>。附件中提供了以往及未来主办国的概况</w:t>
      </w:r>
      <w:r w:rsidRPr="00875273">
        <w:rPr>
          <w:rFonts w:ascii="SimSun" w:hAnsi="SimSun" w:cs="SimSun" w:hint="eastAsia"/>
          <w:lang w:val="en-US" w:eastAsia="zh-CN"/>
        </w:rPr>
        <w:t>。</w:t>
      </w:r>
    </w:p>
    <w:p w14:paraId="6F2AB4E2" w14:textId="77777777" w:rsidR="00875273" w:rsidRPr="00875273" w:rsidRDefault="00875273" w:rsidP="00875273">
      <w:pPr>
        <w:pStyle w:val="Headingb"/>
        <w:rPr>
          <w:lang w:val="en-US" w:eastAsia="zh-CN"/>
        </w:rPr>
      </w:pPr>
      <w:r w:rsidRPr="00875273">
        <w:rPr>
          <w:lang w:val="zh-CN" w:eastAsia="zh-CN"/>
        </w:rPr>
        <w:t>供考虑的问题：透明度和区域平衡以及为更广泛参与东道国</w:t>
      </w:r>
      <w:r w:rsidRPr="00875273">
        <w:rPr>
          <w:rFonts w:hint="eastAsia"/>
          <w:lang w:val="zh-CN" w:eastAsia="zh-CN"/>
        </w:rPr>
        <w:t>遴选</w:t>
      </w:r>
      <w:r w:rsidRPr="00875273">
        <w:rPr>
          <w:lang w:val="zh-CN" w:eastAsia="zh-CN"/>
        </w:rPr>
        <w:t>创造</w:t>
      </w:r>
      <w:r w:rsidRPr="00875273">
        <w:rPr>
          <w:rFonts w:hint="eastAsia"/>
          <w:lang w:val="zh-CN" w:eastAsia="zh-CN"/>
        </w:rPr>
        <w:t>有利</w:t>
      </w:r>
      <w:r w:rsidRPr="00875273">
        <w:rPr>
          <w:lang w:val="zh-CN" w:eastAsia="zh-CN"/>
        </w:rPr>
        <w:t>条件</w:t>
      </w:r>
    </w:p>
    <w:p w14:paraId="546A2D53" w14:textId="77777777" w:rsidR="00875273" w:rsidRPr="00875273" w:rsidRDefault="00875273" w:rsidP="00875273">
      <w:pPr>
        <w:rPr>
          <w:lang w:val="en-US" w:eastAsia="zh-CN"/>
        </w:rPr>
      </w:pPr>
      <w:r w:rsidRPr="00875273">
        <w:rPr>
          <w:lang w:val="zh-CN" w:eastAsia="zh-CN"/>
        </w:rPr>
        <w:t>1.6</w:t>
      </w:r>
      <w:r w:rsidRPr="00875273">
        <w:rPr>
          <w:lang w:val="zh-CN" w:eastAsia="zh-CN"/>
        </w:rPr>
        <w:tab/>
      </w:r>
      <w:r w:rsidRPr="00875273">
        <w:rPr>
          <w:lang w:val="zh-CN" w:eastAsia="zh-CN"/>
        </w:rPr>
        <w:t>虽然成员国之间轮流</w:t>
      </w:r>
      <w:r w:rsidRPr="00875273">
        <w:rPr>
          <w:rFonts w:hint="eastAsia"/>
          <w:lang w:val="zh-CN" w:eastAsia="zh-CN"/>
        </w:rPr>
        <w:t>主办</w:t>
      </w:r>
      <w:r w:rsidRPr="00875273">
        <w:rPr>
          <w:lang w:val="zh-CN" w:eastAsia="zh-CN"/>
        </w:rPr>
        <w:t>全权代表大会的做法</w:t>
      </w:r>
      <w:r w:rsidRPr="00875273">
        <w:rPr>
          <w:lang w:val="en-US" w:eastAsia="zh-CN"/>
        </w:rPr>
        <w:t>总体上得到了维持</w:t>
      </w:r>
      <w:r w:rsidRPr="00875273">
        <w:rPr>
          <w:lang w:val="zh-CN" w:eastAsia="zh-CN"/>
        </w:rPr>
        <w:t>，但最近</w:t>
      </w:r>
      <w:r w:rsidRPr="00875273">
        <w:rPr>
          <w:lang w:val="en-US" w:eastAsia="zh-CN"/>
        </w:rPr>
        <w:t>几个</w:t>
      </w:r>
      <w:r w:rsidRPr="00875273">
        <w:rPr>
          <w:lang w:val="zh-CN" w:eastAsia="zh-CN"/>
        </w:rPr>
        <w:t>周期表明，</w:t>
      </w:r>
      <w:r w:rsidRPr="00875273">
        <w:rPr>
          <w:lang w:val="en-US" w:eastAsia="zh-CN"/>
        </w:rPr>
        <w:t>有必要建立一个更加规范且透明的程序，充分考虑到</w:t>
      </w:r>
      <w:r w:rsidRPr="00875273">
        <w:rPr>
          <w:lang w:val="zh-CN" w:eastAsia="zh-CN"/>
        </w:rPr>
        <w:t>地域平衡和各区域之间的平等机会。</w:t>
      </w:r>
    </w:p>
    <w:p w14:paraId="0859A04C" w14:textId="77777777" w:rsidR="00875273" w:rsidRPr="00875273" w:rsidRDefault="00875273" w:rsidP="00875273">
      <w:pPr>
        <w:rPr>
          <w:lang w:val="en-US" w:eastAsia="zh-CN"/>
        </w:rPr>
      </w:pPr>
      <w:r w:rsidRPr="00875273">
        <w:rPr>
          <w:lang w:val="zh-CN" w:eastAsia="zh-CN"/>
        </w:rPr>
        <w:t>1.7</w:t>
      </w:r>
      <w:r w:rsidRPr="00875273">
        <w:rPr>
          <w:lang w:val="zh-CN" w:eastAsia="zh-CN"/>
        </w:rPr>
        <w:tab/>
      </w:r>
      <w:r w:rsidRPr="00875273">
        <w:rPr>
          <w:rFonts w:hint="eastAsia"/>
          <w:lang w:val="zh-CN" w:eastAsia="zh-CN"/>
        </w:rPr>
        <w:t>据观察：</w:t>
      </w:r>
    </w:p>
    <w:p w14:paraId="71674099" w14:textId="77777777" w:rsidR="00875273" w:rsidRPr="00875273" w:rsidRDefault="00875273" w:rsidP="00875273">
      <w:pPr>
        <w:pStyle w:val="enumlev1"/>
        <w:rPr>
          <w:lang w:val="en-US" w:eastAsia="zh-CN"/>
        </w:rPr>
      </w:pPr>
      <w:r w:rsidRPr="00875273">
        <w:rPr>
          <w:lang w:val="zh-CN" w:eastAsia="zh-CN"/>
        </w:rPr>
        <w:tab/>
      </w:r>
      <w:r w:rsidRPr="00875273">
        <w:rPr>
          <w:lang w:val="zh-CN" w:eastAsia="zh-CN"/>
        </w:rPr>
        <w:t>遴选东道国的程序</w:t>
      </w:r>
      <w:r w:rsidRPr="00875273">
        <w:rPr>
          <w:rFonts w:hint="eastAsia"/>
          <w:lang w:val="zh-CN" w:eastAsia="zh-CN"/>
        </w:rPr>
        <w:t>并未通过所有成员国均可获取、公开且有时间限制的意向征集方式进行</w:t>
      </w:r>
      <w:r w:rsidRPr="00875273">
        <w:rPr>
          <w:lang w:val="zh-CN" w:eastAsia="zh-CN"/>
        </w:rPr>
        <w:t>。</w:t>
      </w:r>
    </w:p>
    <w:p w14:paraId="2126283E" w14:textId="77777777" w:rsidR="00875273" w:rsidRPr="00875273" w:rsidRDefault="00875273" w:rsidP="00875273">
      <w:pPr>
        <w:pStyle w:val="enumlev1"/>
        <w:rPr>
          <w:lang w:val="en-US" w:eastAsia="zh-CN"/>
        </w:rPr>
      </w:pPr>
      <w:r w:rsidRPr="00875273">
        <w:rPr>
          <w:lang w:val="zh-CN" w:eastAsia="zh-CN"/>
        </w:rPr>
        <w:tab/>
      </w:r>
      <w:r w:rsidRPr="00875273">
        <w:rPr>
          <w:lang w:val="zh-CN" w:eastAsia="zh-CN"/>
        </w:rPr>
        <w:t>国际电联的程序</w:t>
      </w:r>
      <w:r w:rsidRPr="00875273">
        <w:rPr>
          <w:rFonts w:hint="eastAsia"/>
          <w:lang w:val="zh-CN" w:eastAsia="zh-CN"/>
        </w:rPr>
        <w:t>中缺乏确保主办顺序可预测且符合区域公平原则的正式机制，而秘书处的提案正致力于解决这一问题。</w:t>
      </w:r>
    </w:p>
    <w:p w14:paraId="4FE29356" w14:textId="77777777" w:rsidR="00875273" w:rsidRPr="00875273" w:rsidRDefault="00875273" w:rsidP="00875273">
      <w:pPr>
        <w:pStyle w:val="enumlev1"/>
        <w:rPr>
          <w:lang w:val="en-US" w:eastAsia="zh-CN"/>
        </w:rPr>
      </w:pPr>
      <w:r w:rsidRPr="00875273">
        <w:rPr>
          <w:lang w:val="zh-CN" w:eastAsia="zh-CN"/>
        </w:rPr>
        <w:tab/>
      </w:r>
      <w:r w:rsidRPr="00875273">
        <w:rPr>
          <w:lang w:val="zh-CN" w:eastAsia="zh-CN"/>
        </w:rPr>
        <w:t>缺乏明确的征集窗口和向落选候选</w:t>
      </w:r>
      <w:r w:rsidRPr="00875273">
        <w:rPr>
          <w:rFonts w:hint="eastAsia"/>
          <w:lang w:val="zh-CN" w:eastAsia="zh-CN"/>
        </w:rPr>
        <w:t>方提供</w:t>
      </w:r>
      <w:r w:rsidRPr="00875273">
        <w:rPr>
          <w:lang w:val="zh-CN" w:eastAsia="zh-CN"/>
        </w:rPr>
        <w:t>反馈的机制</w:t>
      </w:r>
      <w:r w:rsidRPr="00875273">
        <w:rPr>
          <w:rFonts w:hint="eastAsia"/>
          <w:lang w:val="zh-CN" w:eastAsia="zh-CN"/>
        </w:rPr>
        <w:t>，</w:t>
      </w:r>
      <w:r w:rsidRPr="00875273">
        <w:rPr>
          <w:lang w:val="zh-CN" w:eastAsia="zh-CN"/>
        </w:rPr>
        <w:t>可能会降低可预测性并阻碍未来更广泛的参与。</w:t>
      </w:r>
    </w:p>
    <w:p w14:paraId="423B28A7" w14:textId="77777777" w:rsidR="00875273" w:rsidRPr="00875273" w:rsidRDefault="00875273" w:rsidP="00875273">
      <w:pPr>
        <w:pStyle w:val="enumlev1"/>
        <w:rPr>
          <w:lang w:val="en-US" w:eastAsia="zh-CN"/>
        </w:rPr>
      </w:pPr>
      <w:r w:rsidRPr="00875273">
        <w:rPr>
          <w:lang w:val="zh-CN" w:eastAsia="zh-CN"/>
        </w:rPr>
        <w:tab/>
      </w:r>
      <w:r w:rsidRPr="00875273">
        <w:rPr>
          <w:lang w:val="zh-CN" w:eastAsia="zh-CN"/>
        </w:rPr>
        <w:t>一些区域已有二十多年</w:t>
      </w:r>
      <w:r w:rsidRPr="00875273">
        <w:rPr>
          <w:rFonts w:hint="eastAsia"/>
          <w:lang w:val="zh-CN" w:eastAsia="zh-CN"/>
        </w:rPr>
        <w:t>未曾主</w:t>
      </w:r>
      <w:r w:rsidRPr="00875273">
        <w:rPr>
          <w:lang w:val="zh-CN" w:eastAsia="zh-CN"/>
        </w:rPr>
        <w:t>办过全权代表大会。</w:t>
      </w:r>
    </w:p>
    <w:p w14:paraId="72936369" w14:textId="77777777" w:rsidR="00875273" w:rsidRPr="00875273" w:rsidRDefault="00875273" w:rsidP="00875273">
      <w:pPr>
        <w:pStyle w:val="enumlev1"/>
        <w:rPr>
          <w:lang w:val="en-US" w:eastAsia="zh-CN"/>
        </w:rPr>
      </w:pPr>
      <w:r w:rsidRPr="00875273">
        <w:rPr>
          <w:lang w:val="zh-CN" w:eastAsia="zh-CN"/>
        </w:rPr>
        <w:tab/>
      </w:r>
      <w:r w:rsidRPr="00875273">
        <w:rPr>
          <w:lang w:val="zh-CN" w:eastAsia="zh-CN"/>
        </w:rPr>
        <w:t>例如，在非洲</w:t>
      </w:r>
      <w:r w:rsidRPr="00875273">
        <w:rPr>
          <w:rFonts w:hint="eastAsia"/>
          <w:lang w:val="zh-CN" w:eastAsia="zh-CN"/>
        </w:rPr>
        <w:t>区域</w:t>
      </w:r>
      <w:r w:rsidRPr="00875273">
        <w:rPr>
          <w:lang w:val="zh-CN" w:eastAsia="zh-CN"/>
        </w:rPr>
        <w:t>，非洲大陆只举</w:t>
      </w:r>
      <w:r w:rsidRPr="00875273">
        <w:rPr>
          <w:rFonts w:hint="eastAsia"/>
          <w:lang w:val="zh-CN" w:eastAsia="zh-CN"/>
        </w:rPr>
        <w:t>办</w:t>
      </w:r>
      <w:r w:rsidRPr="00875273">
        <w:rPr>
          <w:lang w:val="zh-CN" w:eastAsia="zh-CN"/>
        </w:rPr>
        <w:t>过两次全权代表大会，分别是</w:t>
      </w:r>
      <w:r w:rsidRPr="00875273">
        <w:rPr>
          <w:lang w:val="zh-CN" w:eastAsia="zh-CN"/>
        </w:rPr>
        <w:t>1982</w:t>
      </w:r>
      <w:r w:rsidRPr="00875273">
        <w:rPr>
          <w:lang w:val="zh-CN" w:eastAsia="zh-CN"/>
        </w:rPr>
        <w:t>年（内罗毕）和</w:t>
      </w:r>
      <w:r w:rsidRPr="00875273">
        <w:rPr>
          <w:lang w:val="zh-CN" w:eastAsia="zh-CN"/>
        </w:rPr>
        <w:t>2002</w:t>
      </w:r>
      <w:r w:rsidRPr="00875273">
        <w:rPr>
          <w:lang w:val="zh-CN" w:eastAsia="zh-CN"/>
        </w:rPr>
        <w:t>年（马拉喀什）。另一方面，自</w:t>
      </w:r>
      <w:r w:rsidRPr="00875273">
        <w:rPr>
          <w:lang w:val="zh-CN" w:eastAsia="zh-CN"/>
        </w:rPr>
        <w:t>1947</w:t>
      </w:r>
      <w:r w:rsidRPr="00875273">
        <w:rPr>
          <w:lang w:val="zh-CN" w:eastAsia="zh-CN"/>
        </w:rPr>
        <w:t>年以来，欧洲主办了七次大会，美洲主办了四次。与非洲一样，亚太和阿拉伯国家也分别主办了两次，主要区别在于，到</w:t>
      </w:r>
      <w:r w:rsidRPr="00875273">
        <w:rPr>
          <w:lang w:val="zh-CN" w:eastAsia="zh-CN"/>
        </w:rPr>
        <w:t>2026</w:t>
      </w:r>
      <w:r w:rsidRPr="00875273">
        <w:rPr>
          <w:lang w:val="zh-CN" w:eastAsia="zh-CN"/>
        </w:rPr>
        <w:t>年在多哈</w:t>
      </w:r>
      <w:r w:rsidRPr="00875273">
        <w:rPr>
          <w:rFonts w:hint="eastAsia"/>
          <w:lang w:val="zh-CN" w:eastAsia="zh-CN"/>
        </w:rPr>
        <w:t>举办</w:t>
      </w:r>
      <w:r w:rsidRPr="00875273">
        <w:rPr>
          <w:lang w:val="zh-CN" w:eastAsia="zh-CN"/>
        </w:rPr>
        <w:t>大会时，距离上一次非洲</w:t>
      </w:r>
      <w:r w:rsidRPr="00875273">
        <w:rPr>
          <w:rFonts w:hint="eastAsia"/>
          <w:lang w:val="zh-CN" w:eastAsia="zh-CN"/>
        </w:rPr>
        <w:t>作为</w:t>
      </w:r>
      <w:r w:rsidRPr="00875273">
        <w:rPr>
          <w:lang w:val="zh-CN" w:eastAsia="zh-CN"/>
        </w:rPr>
        <w:t>东道国已经过去了</w:t>
      </w:r>
      <w:r w:rsidRPr="00875273">
        <w:rPr>
          <w:rFonts w:hint="eastAsia"/>
          <w:lang w:val="zh-CN" w:eastAsia="zh-CN"/>
        </w:rPr>
        <w:t>二十四</w:t>
      </w:r>
      <w:r w:rsidRPr="00875273">
        <w:rPr>
          <w:lang w:val="zh-CN" w:eastAsia="zh-CN"/>
        </w:rPr>
        <w:t>年，尽管非洲拥有</w:t>
      </w:r>
      <w:r w:rsidRPr="00875273">
        <w:rPr>
          <w:lang w:val="zh-CN" w:eastAsia="zh-CN"/>
        </w:rPr>
        <w:t>54</w:t>
      </w:r>
      <w:r w:rsidRPr="00875273">
        <w:rPr>
          <w:lang w:val="zh-CN" w:eastAsia="zh-CN"/>
        </w:rPr>
        <w:t>个国际电联成员国和</w:t>
      </w:r>
      <w:r w:rsidRPr="00875273">
        <w:rPr>
          <w:lang w:val="zh-CN" w:eastAsia="zh-CN"/>
        </w:rPr>
        <w:t>13</w:t>
      </w:r>
      <w:r w:rsidRPr="00875273">
        <w:rPr>
          <w:lang w:val="zh-CN" w:eastAsia="zh-CN"/>
        </w:rPr>
        <w:t>个理事会席位。</w:t>
      </w:r>
    </w:p>
    <w:p w14:paraId="1B599DB2" w14:textId="77777777" w:rsidR="00875273" w:rsidRPr="00875273" w:rsidRDefault="00875273" w:rsidP="00875273">
      <w:pPr>
        <w:rPr>
          <w:lang w:val="en-US" w:eastAsia="zh-CN"/>
        </w:rPr>
      </w:pPr>
      <w:r w:rsidRPr="00875273">
        <w:rPr>
          <w:lang w:val="zh-CN" w:eastAsia="zh-CN"/>
        </w:rPr>
        <w:lastRenderedPageBreak/>
        <w:t>1.8</w:t>
      </w:r>
      <w:r w:rsidRPr="00875273">
        <w:rPr>
          <w:lang w:val="zh-CN" w:eastAsia="zh-CN"/>
        </w:rPr>
        <w:tab/>
      </w:r>
      <w:r w:rsidRPr="00875273">
        <w:rPr>
          <w:lang w:val="en-US" w:eastAsia="zh-CN"/>
        </w:rPr>
        <w:t>普遍认为，</w:t>
      </w:r>
      <w:r w:rsidRPr="00875273">
        <w:rPr>
          <w:lang w:val="zh-CN" w:eastAsia="zh-CN"/>
        </w:rPr>
        <w:t>东道国的</w:t>
      </w:r>
      <w:r w:rsidRPr="00875273">
        <w:rPr>
          <w:lang w:val="en-US" w:eastAsia="zh-CN"/>
        </w:rPr>
        <w:t>遴</w:t>
      </w:r>
      <w:r w:rsidRPr="00875273">
        <w:rPr>
          <w:lang w:val="zh-CN" w:eastAsia="zh-CN"/>
        </w:rPr>
        <w:t>选基于</w:t>
      </w:r>
      <w:r w:rsidRPr="00875273">
        <w:rPr>
          <w:lang w:val="en-US" w:eastAsia="zh-CN"/>
        </w:rPr>
        <w:t>多项实际考量</w:t>
      </w:r>
      <w:r w:rsidRPr="00875273">
        <w:rPr>
          <w:lang w:val="zh-CN" w:eastAsia="zh-CN"/>
        </w:rPr>
        <w:t>，包括基础设施、财务承诺和成员国</w:t>
      </w:r>
      <w:r w:rsidRPr="00875273">
        <w:rPr>
          <w:lang w:val="en-US" w:eastAsia="zh-CN"/>
        </w:rPr>
        <w:t>的意向表达</w:t>
      </w:r>
      <w:r w:rsidRPr="00875273">
        <w:rPr>
          <w:lang w:val="zh-CN" w:eastAsia="zh-CN"/>
        </w:rPr>
        <w:t>。尽管如此，</w:t>
      </w:r>
      <w:r w:rsidRPr="00875273">
        <w:rPr>
          <w:lang w:val="en-US" w:eastAsia="zh-CN"/>
        </w:rPr>
        <w:t>为更多国家参与主办高级别会议提供空间，</w:t>
      </w:r>
      <w:r w:rsidRPr="00875273">
        <w:rPr>
          <w:lang w:val="zh-CN" w:eastAsia="zh-CN"/>
        </w:rPr>
        <w:t>符合作为国际电联工作基础的公平、包容和全球参与原则。</w:t>
      </w:r>
    </w:p>
    <w:p w14:paraId="58037487" w14:textId="77777777" w:rsidR="00875273" w:rsidRPr="00875273" w:rsidRDefault="00875273" w:rsidP="00875273">
      <w:pPr>
        <w:pStyle w:val="Heading1"/>
        <w:rPr>
          <w:lang w:val="zh-CN" w:eastAsia="zh-CN"/>
        </w:rPr>
      </w:pPr>
      <w:r w:rsidRPr="00875273">
        <w:rPr>
          <w:lang w:val="zh-CN" w:eastAsia="zh-CN"/>
        </w:rPr>
        <w:t>2</w:t>
      </w:r>
      <w:r w:rsidRPr="00875273">
        <w:rPr>
          <w:lang w:val="zh-CN" w:eastAsia="zh-CN"/>
        </w:rPr>
        <w:tab/>
      </w:r>
      <w:r w:rsidRPr="00875273">
        <w:rPr>
          <w:lang w:val="zh-CN" w:eastAsia="zh-CN"/>
        </w:rPr>
        <w:t>提案</w:t>
      </w:r>
    </w:p>
    <w:p w14:paraId="179A4818" w14:textId="77777777" w:rsidR="00875273" w:rsidRPr="00875273" w:rsidRDefault="00875273" w:rsidP="00875273">
      <w:pPr>
        <w:rPr>
          <w:lang w:val="en-US" w:eastAsia="zh-CN"/>
        </w:rPr>
      </w:pPr>
      <w:r w:rsidRPr="00875273">
        <w:rPr>
          <w:lang w:val="zh-CN" w:eastAsia="zh-CN"/>
        </w:rPr>
        <w:t>2.1</w:t>
      </w:r>
      <w:r w:rsidRPr="00875273">
        <w:rPr>
          <w:lang w:val="zh-CN" w:eastAsia="zh-CN"/>
        </w:rPr>
        <w:tab/>
      </w:r>
      <w:r w:rsidRPr="00875273">
        <w:rPr>
          <w:lang w:val="zh-CN" w:eastAsia="zh-CN"/>
        </w:rPr>
        <w:t>鉴于上述情况，并充分考虑到国际电联理事会的特权，建议理事会</w:t>
      </w:r>
      <w:r w:rsidRPr="00875273">
        <w:rPr>
          <w:rFonts w:hint="eastAsia"/>
          <w:lang w:val="zh-CN" w:eastAsia="zh-CN"/>
        </w:rPr>
        <w:t>考虑</w:t>
      </w:r>
      <w:r w:rsidRPr="00875273">
        <w:rPr>
          <w:lang w:val="zh-CN" w:eastAsia="zh-CN"/>
        </w:rPr>
        <w:t>：</w:t>
      </w:r>
    </w:p>
    <w:p w14:paraId="14CC8D86" w14:textId="77777777" w:rsidR="00875273" w:rsidRPr="00875273" w:rsidRDefault="00875273" w:rsidP="00875273">
      <w:pPr>
        <w:rPr>
          <w:lang w:val="en-US" w:eastAsia="zh-CN"/>
        </w:rPr>
      </w:pPr>
      <w:r w:rsidRPr="00875273">
        <w:rPr>
          <w:lang w:val="zh-CN" w:eastAsia="zh-CN"/>
        </w:rPr>
        <w:t>2.1.1</w:t>
      </w:r>
      <w:r w:rsidRPr="00875273">
        <w:rPr>
          <w:lang w:val="zh-CN" w:eastAsia="zh-CN"/>
        </w:rPr>
        <w:tab/>
      </w:r>
      <w:r w:rsidRPr="00875273">
        <w:rPr>
          <w:lang w:val="zh-CN" w:eastAsia="zh-CN"/>
        </w:rPr>
        <w:t>公开且有时限地征求承办全权代表大会和其他重要法定会议的意向，并提前足够时间向所有成员国明确通报时间表和标准，以便</w:t>
      </w:r>
      <w:r w:rsidRPr="00875273">
        <w:rPr>
          <w:rFonts w:hint="eastAsia"/>
          <w:lang w:val="zh-CN" w:eastAsia="zh-CN"/>
        </w:rPr>
        <w:t>各成员国</w:t>
      </w:r>
      <w:r w:rsidRPr="00875273">
        <w:rPr>
          <w:lang w:val="zh-CN" w:eastAsia="zh-CN"/>
        </w:rPr>
        <w:t>根据其国家规划和预算周期制定东道国提案</w:t>
      </w:r>
      <w:r w:rsidRPr="00875273">
        <w:rPr>
          <w:rFonts w:hint="eastAsia"/>
          <w:lang w:val="zh-CN" w:eastAsia="zh-CN"/>
        </w:rPr>
        <w:t>；</w:t>
      </w:r>
    </w:p>
    <w:p w14:paraId="065E0821" w14:textId="77777777" w:rsidR="00875273" w:rsidRPr="00875273" w:rsidRDefault="00875273" w:rsidP="00875273">
      <w:pPr>
        <w:rPr>
          <w:lang w:val="en-US" w:eastAsia="zh-CN"/>
        </w:rPr>
      </w:pPr>
      <w:r w:rsidRPr="00875273">
        <w:rPr>
          <w:lang w:val="zh-CN" w:eastAsia="zh-CN"/>
        </w:rPr>
        <w:t>2.1.2</w:t>
      </w:r>
      <w:r w:rsidRPr="00875273">
        <w:rPr>
          <w:lang w:val="zh-CN" w:eastAsia="zh-CN"/>
        </w:rPr>
        <w:tab/>
      </w:r>
      <w:r w:rsidRPr="00875273">
        <w:rPr>
          <w:lang w:val="zh-CN" w:eastAsia="zh-CN"/>
        </w:rPr>
        <w:t>确认区域轮换是</w:t>
      </w:r>
      <w:r w:rsidRPr="00875273">
        <w:rPr>
          <w:rFonts w:hint="eastAsia"/>
          <w:lang w:val="zh-CN" w:eastAsia="zh-CN"/>
        </w:rPr>
        <w:t>遴选</w:t>
      </w:r>
      <w:r w:rsidRPr="00875273">
        <w:rPr>
          <w:lang w:val="zh-CN" w:eastAsia="zh-CN"/>
        </w:rPr>
        <w:t>东道国的指导性考虑因素，并在连续</w:t>
      </w:r>
      <w:r w:rsidRPr="00875273">
        <w:rPr>
          <w:rFonts w:hint="eastAsia"/>
          <w:lang w:val="zh-CN" w:eastAsia="zh-CN"/>
        </w:rPr>
        <w:t>多个</w:t>
      </w:r>
      <w:r w:rsidRPr="00875273">
        <w:rPr>
          <w:lang w:val="zh-CN" w:eastAsia="zh-CN"/>
        </w:rPr>
        <w:t>周期中始终如一地适用，</w:t>
      </w:r>
      <w:r w:rsidRPr="00875273">
        <w:rPr>
          <w:rFonts w:hint="eastAsia"/>
          <w:lang w:val="zh-CN" w:eastAsia="zh-CN"/>
        </w:rPr>
        <w:t>以确保各区域获得公平的机会；</w:t>
      </w:r>
    </w:p>
    <w:p w14:paraId="606A812D" w14:textId="77777777" w:rsidR="00875273" w:rsidRPr="00875273" w:rsidRDefault="00875273" w:rsidP="00875273">
      <w:pPr>
        <w:rPr>
          <w:lang w:val="en-US" w:eastAsia="zh-CN"/>
        </w:rPr>
      </w:pPr>
      <w:r w:rsidRPr="00875273">
        <w:rPr>
          <w:lang w:val="zh-CN" w:eastAsia="zh-CN"/>
        </w:rPr>
        <w:t>2.1.3</w:t>
      </w:r>
      <w:r w:rsidRPr="00875273">
        <w:rPr>
          <w:lang w:val="zh-CN" w:eastAsia="zh-CN"/>
        </w:rPr>
        <w:tab/>
      </w:r>
      <w:r w:rsidRPr="00875273">
        <w:rPr>
          <w:lang w:val="zh-CN" w:eastAsia="zh-CN"/>
        </w:rPr>
        <w:t>根据国际电联的发展目标，</w:t>
      </w:r>
      <w:r w:rsidRPr="00875273">
        <w:rPr>
          <w:rFonts w:hint="eastAsia"/>
          <w:lang w:val="zh-CN" w:eastAsia="zh-CN"/>
        </w:rPr>
        <w:t>鼓励代表性不足的区域提出申办，</w:t>
      </w:r>
      <w:r w:rsidRPr="00875273">
        <w:rPr>
          <w:lang w:val="zh-CN" w:eastAsia="zh-CN"/>
        </w:rPr>
        <w:t>以此作为进一步扩大</w:t>
      </w:r>
      <w:r w:rsidRPr="00875273">
        <w:rPr>
          <w:lang w:val="zh-CN" w:eastAsia="zh-CN"/>
        </w:rPr>
        <w:t>ICT</w:t>
      </w:r>
      <w:r w:rsidRPr="00875273">
        <w:rPr>
          <w:lang w:val="zh-CN" w:eastAsia="zh-CN"/>
        </w:rPr>
        <w:t>公平和机构包容性的手段</w:t>
      </w:r>
      <w:r w:rsidRPr="00875273">
        <w:rPr>
          <w:rFonts w:hint="eastAsia"/>
          <w:lang w:val="zh-CN" w:eastAsia="zh-CN"/>
        </w:rPr>
        <w:t>；</w:t>
      </w:r>
    </w:p>
    <w:p w14:paraId="70EA751C" w14:textId="77777777" w:rsidR="00875273" w:rsidRPr="00875273" w:rsidRDefault="00875273" w:rsidP="00875273">
      <w:pPr>
        <w:rPr>
          <w:lang w:val="en-US" w:eastAsia="zh-CN"/>
        </w:rPr>
      </w:pPr>
      <w:r w:rsidRPr="00875273">
        <w:rPr>
          <w:lang w:val="zh-CN" w:eastAsia="zh-CN"/>
        </w:rPr>
        <w:t>2.1.4</w:t>
      </w:r>
      <w:r w:rsidRPr="00875273">
        <w:rPr>
          <w:lang w:val="zh-CN" w:eastAsia="zh-CN"/>
        </w:rPr>
        <w:tab/>
      </w:r>
      <w:r w:rsidRPr="00875273">
        <w:rPr>
          <w:rFonts w:hint="eastAsia"/>
          <w:lang w:val="zh-CN" w:eastAsia="zh-CN"/>
        </w:rPr>
        <w:t>我们审慎认为，综合来看，这些措施将提高透明度，加强区域参与，</w:t>
      </w:r>
      <w:r w:rsidRPr="00875273">
        <w:rPr>
          <w:lang w:val="zh-CN" w:eastAsia="zh-CN"/>
        </w:rPr>
        <w:t>并确保主办活动的益处得到更</w:t>
      </w:r>
      <w:r w:rsidRPr="00875273">
        <w:rPr>
          <w:rFonts w:hint="eastAsia"/>
          <w:lang w:val="zh-CN" w:eastAsia="zh-CN"/>
        </w:rPr>
        <w:t>均衡</w:t>
      </w:r>
      <w:r w:rsidRPr="00875273">
        <w:rPr>
          <w:lang w:val="zh-CN" w:eastAsia="zh-CN"/>
        </w:rPr>
        <w:t>的分享</w:t>
      </w:r>
      <w:r w:rsidRPr="00875273">
        <w:rPr>
          <w:rFonts w:hint="eastAsia"/>
          <w:lang w:val="zh-CN" w:eastAsia="zh-CN"/>
        </w:rPr>
        <w:t>；</w:t>
      </w:r>
    </w:p>
    <w:p w14:paraId="6D9BA43C" w14:textId="77777777" w:rsidR="00875273" w:rsidRPr="00875273" w:rsidRDefault="00875273" w:rsidP="00875273">
      <w:pPr>
        <w:rPr>
          <w:lang w:val="en-US" w:eastAsia="zh-CN"/>
        </w:rPr>
      </w:pPr>
      <w:r w:rsidRPr="00875273">
        <w:rPr>
          <w:lang w:val="zh-CN" w:eastAsia="zh-CN"/>
        </w:rPr>
        <w:t>2.1.5</w:t>
      </w:r>
      <w:r w:rsidRPr="00875273">
        <w:rPr>
          <w:lang w:val="zh-CN" w:eastAsia="zh-CN"/>
        </w:rPr>
        <w:tab/>
      </w:r>
      <w:r w:rsidRPr="00875273">
        <w:rPr>
          <w:lang w:val="zh-CN" w:eastAsia="zh-CN"/>
        </w:rPr>
        <w:t>通过网络门户提供有关东道国义务、一般成本构成、收到的正式邀请和其他程序指导的所有实用信息，以提高透明度</w:t>
      </w:r>
      <w:r w:rsidRPr="00875273">
        <w:rPr>
          <w:rFonts w:hint="eastAsia"/>
          <w:lang w:val="zh-CN" w:eastAsia="zh-CN"/>
        </w:rPr>
        <w:t>并促进</w:t>
      </w:r>
      <w:r w:rsidRPr="00875273">
        <w:rPr>
          <w:lang w:val="zh-CN" w:eastAsia="zh-CN"/>
        </w:rPr>
        <w:t>知情参与</w:t>
      </w:r>
      <w:r w:rsidRPr="00875273">
        <w:rPr>
          <w:rFonts w:hint="eastAsia"/>
          <w:lang w:val="zh-CN" w:eastAsia="zh-CN"/>
        </w:rPr>
        <w:t>；</w:t>
      </w:r>
    </w:p>
    <w:p w14:paraId="06F895C0" w14:textId="77777777" w:rsidR="00875273" w:rsidRPr="00875273" w:rsidRDefault="00875273" w:rsidP="00875273">
      <w:pPr>
        <w:rPr>
          <w:lang w:val="en-US" w:eastAsia="zh-CN"/>
        </w:rPr>
      </w:pPr>
      <w:r w:rsidRPr="00875273">
        <w:rPr>
          <w:lang w:val="zh-CN" w:eastAsia="zh-CN"/>
        </w:rPr>
        <w:t>2.1.6</w:t>
      </w:r>
      <w:r w:rsidRPr="00875273">
        <w:rPr>
          <w:lang w:val="zh-CN" w:eastAsia="zh-CN"/>
        </w:rPr>
        <w:tab/>
      </w:r>
      <w:r w:rsidRPr="00875273">
        <w:rPr>
          <w:lang w:val="zh-CN" w:eastAsia="zh-CN"/>
        </w:rPr>
        <w:t>促进采取措施减轻东道国的财务和运营负担，包括酌情利用当地的专业人才、远程参会工具、数字注册和资格认定解决方案以及</w:t>
      </w:r>
      <w:r w:rsidRPr="00875273">
        <w:rPr>
          <w:rFonts w:hint="eastAsia"/>
          <w:lang w:val="zh-CN" w:eastAsia="zh-CN"/>
        </w:rPr>
        <w:t>从</w:t>
      </w:r>
      <w:r w:rsidRPr="00875273">
        <w:rPr>
          <w:lang w:val="zh-CN" w:eastAsia="zh-CN"/>
        </w:rPr>
        <w:t>本地采购兼容的技术基础设施</w:t>
      </w:r>
      <w:r w:rsidRPr="00875273">
        <w:rPr>
          <w:rFonts w:hint="eastAsia"/>
          <w:lang w:val="zh-CN" w:eastAsia="zh-CN"/>
        </w:rPr>
        <w:t>；</w:t>
      </w:r>
    </w:p>
    <w:p w14:paraId="09959549" w14:textId="77777777" w:rsidR="00875273" w:rsidRPr="00875273" w:rsidRDefault="00875273" w:rsidP="00875273">
      <w:pPr>
        <w:rPr>
          <w:lang w:val="zh-CN" w:eastAsia="zh-CN"/>
        </w:rPr>
      </w:pPr>
      <w:r w:rsidRPr="00875273">
        <w:rPr>
          <w:lang w:val="zh-CN" w:eastAsia="zh-CN"/>
        </w:rPr>
        <w:t>2.1.7</w:t>
      </w:r>
      <w:r w:rsidRPr="00875273">
        <w:rPr>
          <w:lang w:val="zh-CN" w:eastAsia="zh-CN"/>
        </w:rPr>
        <w:tab/>
      </w:r>
      <w:r w:rsidRPr="00875273">
        <w:rPr>
          <w:lang w:val="zh-CN" w:eastAsia="zh-CN"/>
        </w:rPr>
        <w:t>向落选的候选</w:t>
      </w:r>
      <w:r w:rsidRPr="00875273">
        <w:rPr>
          <w:rFonts w:hint="eastAsia"/>
          <w:lang w:val="zh-CN" w:eastAsia="zh-CN"/>
        </w:rPr>
        <w:t>方</w:t>
      </w:r>
      <w:r w:rsidRPr="00875273">
        <w:rPr>
          <w:lang w:val="zh-CN" w:eastAsia="zh-CN"/>
        </w:rPr>
        <w:t>提供适当的反馈，</w:t>
      </w:r>
      <w:r w:rsidRPr="00875273">
        <w:rPr>
          <w:rFonts w:hint="eastAsia"/>
          <w:lang w:val="zh-CN" w:eastAsia="zh-CN"/>
        </w:rPr>
        <w:t>以期加强未来的申办工作，并鼓励代表性不足的</w:t>
      </w:r>
      <w:r w:rsidRPr="00875273">
        <w:rPr>
          <w:lang w:val="zh-CN" w:eastAsia="zh-CN"/>
        </w:rPr>
        <w:t>区域继续参与。</w:t>
      </w:r>
    </w:p>
    <w:p w14:paraId="4A62CF00" w14:textId="4A8CBD47" w:rsidR="00E323D0" w:rsidRDefault="00875273" w:rsidP="00875273">
      <w:pPr>
        <w:spacing w:before="720"/>
        <w:rPr>
          <w:lang w:val="zh-CN" w:eastAsia="zh-CN"/>
        </w:rPr>
      </w:pPr>
      <w:r w:rsidRPr="00875273">
        <w:rPr>
          <w:b/>
          <w:bCs/>
          <w:lang w:val="zh-CN" w:eastAsia="zh-CN"/>
        </w:rPr>
        <w:t>附件</w:t>
      </w:r>
      <w:r w:rsidRPr="00875273">
        <w:rPr>
          <w:lang w:val="zh-CN" w:eastAsia="zh-CN"/>
        </w:rPr>
        <w:t>：</w:t>
      </w:r>
      <w:r w:rsidRPr="00875273">
        <w:rPr>
          <w:lang w:val="zh-CN" w:eastAsia="zh-CN"/>
        </w:rPr>
        <w:t>1</w:t>
      </w:r>
      <w:r w:rsidRPr="00875273">
        <w:rPr>
          <w:lang w:val="zh-CN" w:eastAsia="zh-CN"/>
        </w:rPr>
        <w:t>件</w:t>
      </w:r>
    </w:p>
    <w:p w14:paraId="6E3B8B6F" w14:textId="7D611B87" w:rsidR="00875273" w:rsidRDefault="00875273">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8DC66C0" w14:textId="77777777" w:rsidR="00875273" w:rsidRPr="00875273" w:rsidRDefault="00875273" w:rsidP="00875273">
      <w:pPr>
        <w:pStyle w:val="AnnexNo"/>
        <w:rPr>
          <w:lang w:val="en-US" w:eastAsia="zh-CN"/>
        </w:rPr>
      </w:pPr>
      <w:r w:rsidRPr="00875273">
        <w:rPr>
          <w:lang w:val="zh-CN" w:eastAsia="zh-CN"/>
        </w:rPr>
        <w:lastRenderedPageBreak/>
        <w:t>附件</w:t>
      </w:r>
    </w:p>
    <w:p w14:paraId="3A5EBB87" w14:textId="77777777" w:rsidR="00875273" w:rsidRPr="00875273" w:rsidRDefault="00875273" w:rsidP="00875273">
      <w:pPr>
        <w:pStyle w:val="Annextitle"/>
        <w:rPr>
          <w:lang w:val="en-US" w:eastAsia="zh-CN"/>
        </w:rPr>
      </w:pPr>
      <w:r w:rsidRPr="00875273">
        <w:rPr>
          <w:rFonts w:hint="eastAsia"/>
          <w:lang w:val="zh-CN" w:eastAsia="zh-CN"/>
        </w:rPr>
        <w:t>承办全权代表大会的历史</w:t>
      </w:r>
    </w:p>
    <w:tbl>
      <w:tblPr>
        <w:tblStyle w:val="TableGrid2"/>
        <w:tblW w:w="5000" w:type="pct"/>
        <w:tblLayout w:type="fixed"/>
        <w:tblLook w:val="04A0" w:firstRow="1" w:lastRow="0" w:firstColumn="1" w:lastColumn="0" w:noHBand="0" w:noVBand="1"/>
      </w:tblPr>
      <w:tblGrid>
        <w:gridCol w:w="2404"/>
        <w:gridCol w:w="1702"/>
        <w:gridCol w:w="4955"/>
      </w:tblGrid>
      <w:tr w:rsidR="00875273" w:rsidRPr="00875273" w14:paraId="5A0092CF" w14:textId="77777777" w:rsidTr="0093708F">
        <w:trPr>
          <w:trHeight w:val="340"/>
        </w:trPr>
        <w:tc>
          <w:tcPr>
            <w:tcW w:w="1327" w:type="pct"/>
            <w:hideMark/>
          </w:tcPr>
          <w:p w14:paraId="5F4CF38C" w14:textId="77777777" w:rsidR="00875273" w:rsidRPr="00875273" w:rsidRDefault="00875273" w:rsidP="00875273">
            <w:pPr>
              <w:pStyle w:val="Tablehead"/>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区域</w:t>
            </w:r>
          </w:p>
        </w:tc>
        <w:tc>
          <w:tcPr>
            <w:tcW w:w="939" w:type="pct"/>
            <w:hideMark/>
          </w:tcPr>
          <w:p w14:paraId="262822F8" w14:textId="640E595D" w:rsidR="00875273" w:rsidRPr="00875273" w:rsidRDefault="00875273" w:rsidP="00875273">
            <w:pPr>
              <w:pStyle w:val="Tablehead"/>
              <w:rPr>
                <w:rFonts w:asciiTheme="minorHAnsi" w:eastAsiaTheme="minorEastAsia" w:hAnsiTheme="minorHAnsi" w:cstheme="minorHAnsi"/>
                <w:lang w:eastAsia="zh-CN"/>
              </w:rPr>
            </w:pPr>
            <w:r w:rsidRPr="00875273">
              <w:rPr>
                <w:rFonts w:asciiTheme="minorHAnsi" w:eastAsiaTheme="minorEastAsia" w:hAnsiTheme="minorHAnsi" w:cstheme="minorHAnsi"/>
                <w:lang w:val="zh-CN" w:eastAsia="zh-CN"/>
              </w:rPr>
              <w:t>承办全权代表</w:t>
            </w:r>
            <w:r w:rsidR="0093708F">
              <w:rPr>
                <w:rFonts w:asciiTheme="minorHAnsi" w:eastAsiaTheme="minorEastAsia" w:hAnsiTheme="minorHAnsi" w:cstheme="minorHAnsi"/>
                <w:lang w:val="en-US" w:eastAsia="zh-CN"/>
              </w:rPr>
              <w:br/>
            </w:r>
            <w:r w:rsidRPr="00875273">
              <w:rPr>
                <w:rFonts w:asciiTheme="minorHAnsi" w:eastAsiaTheme="minorEastAsia" w:hAnsiTheme="minorHAnsi" w:cstheme="minorHAnsi"/>
                <w:lang w:val="zh-CN" w:eastAsia="zh-CN"/>
              </w:rPr>
              <w:t>大会的次数</w:t>
            </w:r>
          </w:p>
        </w:tc>
        <w:tc>
          <w:tcPr>
            <w:tcW w:w="2734" w:type="pct"/>
            <w:hideMark/>
          </w:tcPr>
          <w:p w14:paraId="6CD24727" w14:textId="77777777" w:rsidR="00875273" w:rsidRPr="00875273" w:rsidRDefault="00875273" w:rsidP="00875273">
            <w:pPr>
              <w:pStyle w:val="Tablehead"/>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年份</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地点</w:t>
            </w:r>
          </w:p>
        </w:tc>
      </w:tr>
      <w:tr w:rsidR="00875273" w:rsidRPr="00875273" w14:paraId="3BC53C78" w14:textId="77777777" w:rsidTr="0093708F">
        <w:trPr>
          <w:trHeight w:val="1700"/>
        </w:trPr>
        <w:tc>
          <w:tcPr>
            <w:tcW w:w="1327" w:type="pct"/>
            <w:hideMark/>
          </w:tcPr>
          <w:p w14:paraId="630D01EA"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欧洲（</w:t>
            </w:r>
            <w:r w:rsidRPr="00875273">
              <w:rPr>
                <w:rFonts w:asciiTheme="minorHAnsi" w:eastAsiaTheme="minorEastAsia" w:hAnsiTheme="minorHAnsi" w:cstheme="minorHAnsi"/>
                <w:lang w:val="zh-CN" w:eastAsia="zh-CN"/>
              </w:rPr>
              <w:t>CEPT</w:t>
            </w:r>
            <w:r w:rsidRPr="00875273">
              <w:rPr>
                <w:rFonts w:asciiTheme="minorHAnsi" w:eastAsiaTheme="minorEastAsia" w:hAnsiTheme="minorHAnsi" w:cstheme="minorHAnsi"/>
                <w:lang w:val="zh-CN" w:eastAsia="zh-CN"/>
              </w:rPr>
              <w:t>）</w:t>
            </w:r>
          </w:p>
        </w:tc>
        <w:tc>
          <w:tcPr>
            <w:tcW w:w="939" w:type="pct"/>
            <w:hideMark/>
          </w:tcPr>
          <w:p w14:paraId="050F4B5F" w14:textId="77777777" w:rsidR="00875273" w:rsidRPr="00875273" w:rsidRDefault="00875273" w:rsidP="00694FF2">
            <w:pPr>
              <w:pStyle w:val="Tabletext"/>
              <w:jc w:val="center"/>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7</w:t>
            </w:r>
          </w:p>
        </w:tc>
        <w:tc>
          <w:tcPr>
            <w:tcW w:w="2734" w:type="pct"/>
            <w:hideMark/>
          </w:tcPr>
          <w:p w14:paraId="36CB3B6D" w14:textId="4AC94A26"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1959</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瑞士日内瓦</w:t>
            </w:r>
          </w:p>
          <w:p w14:paraId="2DB39C1E"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1965</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瑞士蒙特勒</w:t>
            </w:r>
          </w:p>
          <w:p w14:paraId="5E78E45E" w14:textId="341AC003"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1973</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西班牙马拉加</w:t>
            </w:r>
            <w:r w:rsidR="00694FF2">
              <w:rPr>
                <w:rFonts w:asciiTheme="minorHAnsi" w:eastAsiaTheme="minorEastAsia" w:hAnsiTheme="minorHAnsi" w:cstheme="minorHAnsi"/>
                <w:lang w:val="en-US" w:eastAsia="zh-CN"/>
              </w:rPr>
              <w:t xml:space="preserve"> </w:t>
            </w:r>
            <w:r w:rsidR="00694FF2" w:rsidRPr="00875273">
              <w:rPr>
                <w:rFonts w:asciiTheme="minorHAnsi" w:eastAsiaTheme="minorEastAsia" w:hAnsiTheme="minorHAnsi" w:cstheme="minorHAnsi"/>
                <w:lang w:val="zh-CN" w:eastAsia="zh-CN"/>
              </w:rPr>
              <w:t>–</w:t>
            </w:r>
            <w:r w:rsidR="00694FF2">
              <w:rPr>
                <w:rFonts w:asciiTheme="minorHAnsi" w:eastAsiaTheme="minorEastAsia" w:hAnsiTheme="minorHAnsi" w:cstheme="minorHAnsi"/>
                <w:lang w:val="en-US" w:eastAsia="zh-CN"/>
              </w:rPr>
              <w:t xml:space="preserve"> </w:t>
            </w:r>
            <w:r w:rsidRPr="00875273">
              <w:rPr>
                <w:rFonts w:asciiTheme="minorHAnsi" w:eastAsiaTheme="minorEastAsia" w:hAnsiTheme="minorHAnsi" w:cstheme="minorHAnsi"/>
                <w:lang w:val="zh-CN" w:eastAsia="zh-CN"/>
              </w:rPr>
              <w:t>托雷莫利诺斯</w:t>
            </w:r>
          </w:p>
          <w:p w14:paraId="5EDDD033"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1989</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法国尼斯</w:t>
            </w:r>
          </w:p>
          <w:p w14:paraId="7E891D80"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1992</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日内瓦（非常全权代表大会）</w:t>
            </w:r>
          </w:p>
          <w:p w14:paraId="6D3DA3B2"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2006</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土耳其安塔利亚</w:t>
            </w:r>
          </w:p>
          <w:p w14:paraId="70BDC897" w14:textId="3DEE850F"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2022</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罗马尼亚布加勒斯特</w:t>
            </w:r>
          </w:p>
        </w:tc>
      </w:tr>
      <w:tr w:rsidR="00875273" w:rsidRPr="00875273" w14:paraId="49F611B6" w14:textId="77777777" w:rsidTr="0093708F">
        <w:trPr>
          <w:trHeight w:val="680"/>
        </w:trPr>
        <w:tc>
          <w:tcPr>
            <w:tcW w:w="1327" w:type="pct"/>
            <w:hideMark/>
          </w:tcPr>
          <w:p w14:paraId="18ADABED"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美洲（</w:t>
            </w:r>
            <w:r w:rsidRPr="00875273">
              <w:rPr>
                <w:rFonts w:asciiTheme="minorHAnsi" w:eastAsiaTheme="minorEastAsia" w:hAnsiTheme="minorHAnsi" w:cstheme="minorHAnsi"/>
                <w:lang w:val="zh-CN" w:eastAsia="zh-CN"/>
              </w:rPr>
              <w:t>CITEL</w:t>
            </w:r>
            <w:r w:rsidRPr="00875273">
              <w:rPr>
                <w:rFonts w:asciiTheme="minorHAnsi" w:eastAsiaTheme="minorEastAsia" w:hAnsiTheme="minorHAnsi" w:cstheme="minorHAnsi"/>
                <w:lang w:val="zh-CN" w:eastAsia="zh-CN"/>
              </w:rPr>
              <w:t>）</w:t>
            </w:r>
          </w:p>
        </w:tc>
        <w:tc>
          <w:tcPr>
            <w:tcW w:w="939" w:type="pct"/>
            <w:hideMark/>
          </w:tcPr>
          <w:p w14:paraId="59A95EE4" w14:textId="77777777" w:rsidR="00875273" w:rsidRPr="00875273" w:rsidRDefault="00875273" w:rsidP="00694FF2">
            <w:pPr>
              <w:pStyle w:val="Tabletext"/>
              <w:jc w:val="center"/>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4</w:t>
            </w:r>
          </w:p>
        </w:tc>
        <w:tc>
          <w:tcPr>
            <w:tcW w:w="2734" w:type="pct"/>
            <w:hideMark/>
          </w:tcPr>
          <w:p w14:paraId="51AA28B8"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1947</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美国大西洋城</w:t>
            </w:r>
          </w:p>
          <w:p w14:paraId="07E8F729" w14:textId="1F79B94D"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1952</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en-US" w:eastAsia="zh-CN"/>
              </w:rPr>
              <w:t>阿根廷布宜诺斯艾利斯</w:t>
            </w:r>
          </w:p>
          <w:p w14:paraId="0F5E8AFB"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1998</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美国明尼阿波利斯</w:t>
            </w:r>
          </w:p>
          <w:p w14:paraId="390683AB"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2010</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墨西哥瓜达拉哈拉</w:t>
            </w:r>
          </w:p>
        </w:tc>
      </w:tr>
      <w:tr w:rsidR="00875273" w:rsidRPr="00875273" w14:paraId="5DDC1646" w14:textId="77777777" w:rsidTr="0093708F">
        <w:trPr>
          <w:trHeight w:val="340"/>
        </w:trPr>
        <w:tc>
          <w:tcPr>
            <w:tcW w:w="1327" w:type="pct"/>
            <w:hideMark/>
          </w:tcPr>
          <w:p w14:paraId="00123DC0"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非洲（</w:t>
            </w:r>
            <w:r w:rsidRPr="00875273">
              <w:rPr>
                <w:rFonts w:asciiTheme="minorHAnsi" w:eastAsiaTheme="minorEastAsia" w:hAnsiTheme="minorHAnsi" w:cstheme="minorHAnsi"/>
                <w:lang w:val="zh-CN" w:eastAsia="zh-CN"/>
              </w:rPr>
              <w:t>ATU</w:t>
            </w:r>
            <w:r w:rsidRPr="00875273">
              <w:rPr>
                <w:rFonts w:asciiTheme="minorHAnsi" w:eastAsiaTheme="minorEastAsia" w:hAnsiTheme="minorHAnsi" w:cstheme="minorHAnsi"/>
                <w:lang w:val="zh-CN" w:eastAsia="zh-CN"/>
              </w:rPr>
              <w:t>）</w:t>
            </w:r>
          </w:p>
        </w:tc>
        <w:tc>
          <w:tcPr>
            <w:tcW w:w="939" w:type="pct"/>
            <w:hideMark/>
          </w:tcPr>
          <w:p w14:paraId="56D79EEE" w14:textId="77777777" w:rsidR="00875273" w:rsidRPr="00875273" w:rsidRDefault="00875273" w:rsidP="00694FF2">
            <w:pPr>
              <w:pStyle w:val="Tabletext"/>
              <w:jc w:val="center"/>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w:t>
            </w:r>
          </w:p>
        </w:tc>
        <w:tc>
          <w:tcPr>
            <w:tcW w:w="2734" w:type="pct"/>
            <w:hideMark/>
          </w:tcPr>
          <w:p w14:paraId="28F8E270" w14:textId="287A7EEF"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1982</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肯尼亚内罗毕</w:t>
            </w:r>
          </w:p>
          <w:p w14:paraId="6F1398DC" w14:textId="6D76E49C"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2002</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摩洛哥马拉喀什</w:t>
            </w:r>
          </w:p>
        </w:tc>
      </w:tr>
      <w:tr w:rsidR="00875273" w:rsidRPr="00875273" w14:paraId="46BD9DA6" w14:textId="77777777" w:rsidTr="0093708F">
        <w:trPr>
          <w:trHeight w:val="680"/>
        </w:trPr>
        <w:tc>
          <w:tcPr>
            <w:tcW w:w="1327" w:type="pct"/>
            <w:hideMark/>
          </w:tcPr>
          <w:p w14:paraId="5F4F5A10"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亚太（</w:t>
            </w:r>
            <w:r w:rsidRPr="00875273">
              <w:rPr>
                <w:rFonts w:asciiTheme="minorHAnsi" w:eastAsiaTheme="minorEastAsia" w:hAnsiTheme="minorHAnsi" w:cstheme="minorHAnsi"/>
                <w:lang w:val="zh-CN" w:eastAsia="zh-CN"/>
              </w:rPr>
              <w:t>APT</w:t>
            </w:r>
            <w:r w:rsidRPr="00875273">
              <w:rPr>
                <w:rFonts w:asciiTheme="minorHAnsi" w:eastAsiaTheme="minorEastAsia" w:hAnsiTheme="minorHAnsi" w:cstheme="minorHAnsi"/>
                <w:lang w:val="zh-CN" w:eastAsia="zh-CN"/>
              </w:rPr>
              <w:t>）</w:t>
            </w:r>
          </w:p>
        </w:tc>
        <w:tc>
          <w:tcPr>
            <w:tcW w:w="939" w:type="pct"/>
            <w:hideMark/>
          </w:tcPr>
          <w:p w14:paraId="023F0177" w14:textId="77777777" w:rsidR="00875273" w:rsidRPr="00875273" w:rsidRDefault="00875273" w:rsidP="00694FF2">
            <w:pPr>
              <w:pStyle w:val="Tabletext"/>
              <w:jc w:val="center"/>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w:t>
            </w:r>
          </w:p>
        </w:tc>
        <w:tc>
          <w:tcPr>
            <w:tcW w:w="2734" w:type="pct"/>
            <w:hideMark/>
          </w:tcPr>
          <w:p w14:paraId="4627EA0D"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1994</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日本京都</w:t>
            </w:r>
          </w:p>
          <w:p w14:paraId="044ADAEE" w14:textId="301EE079"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2014</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韩国釜山</w:t>
            </w:r>
          </w:p>
        </w:tc>
      </w:tr>
      <w:tr w:rsidR="00875273" w:rsidRPr="00875273" w14:paraId="1CCE72F4" w14:textId="77777777" w:rsidTr="0093708F">
        <w:trPr>
          <w:trHeight w:val="340"/>
        </w:trPr>
        <w:tc>
          <w:tcPr>
            <w:tcW w:w="1327" w:type="pct"/>
            <w:hideMark/>
          </w:tcPr>
          <w:p w14:paraId="7355C431"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阿拉伯国家（</w:t>
            </w:r>
            <w:r w:rsidRPr="00875273">
              <w:rPr>
                <w:rFonts w:asciiTheme="minorHAnsi" w:eastAsiaTheme="minorEastAsia" w:hAnsiTheme="minorHAnsi" w:cstheme="minorHAnsi"/>
                <w:lang w:val="zh-CN" w:eastAsia="zh-CN"/>
              </w:rPr>
              <w:t>ASMG</w:t>
            </w:r>
            <w:r w:rsidRPr="00875273">
              <w:rPr>
                <w:rFonts w:asciiTheme="minorHAnsi" w:eastAsiaTheme="minorEastAsia" w:hAnsiTheme="minorHAnsi" w:cstheme="minorHAnsi"/>
                <w:lang w:val="zh-CN" w:eastAsia="zh-CN"/>
              </w:rPr>
              <w:t>）</w:t>
            </w:r>
          </w:p>
        </w:tc>
        <w:tc>
          <w:tcPr>
            <w:tcW w:w="939" w:type="pct"/>
            <w:hideMark/>
          </w:tcPr>
          <w:p w14:paraId="0EB1E066" w14:textId="20FEB4FB" w:rsidR="00875273" w:rsidRPr="00875273" w:rsidRDefault="00875273" w:rsidP="00694FF2">
            <w:pPr>
              <w:pStyle w:val="Tabletext"/>
              <w:jc w:val="center"/>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w:t>
            </w:r>
            <w:r w:rsidR="00694FF2">
              <w:rPr>
                <w:rFonts w:asciiTheme="minorHAnsi" w:eastAsiaTheme="minorEastAsia" w:hAnsiTheme="minorHAnsi" w:cstheme="minorHAnsi"/>
                <w:lang w:val="zh-CN" w:eastAsia="zh-CN"/>
              </w:rPr>
              <w:br/>
            </w:r>
            <w:r w:rsidRPr="00875273">
              <w:rPr>
                <w:rFonts w:asciiTheme="minorHAnsi" w:eastAsiaTheme="minorEastAsia" w:hAnsiTheme="minorHAnsi" w:cstheme="minorHAnsi"/>
                <w:lang w:val="zh-CN" w:eastAsia="zh-CN"/>
              </w:rPr>
              <w:t>（</w:t>
            </w:r>
            <w:r w:rsidRPr="00694FF2">
              <w:rPr>
                <w:rFonts w:ascii="STKaiti" w:eastAsia="STKaiti" w:hAnsi="STKaiti" w:cstheme="minorHAnsi"/>
                <w:lang w:val="zh-CN" w:eastAsia="zh-CN"/>
              </w:rPr>
              <w:t>包括</w:t>
            </w:r>
            <w:r w:rsidRPr="00875273">
              <w:rPr>
                <w:rFonts w:asciiTheme="minorHAnsi" w:eastAsiaTheme="minorEastAsia" w:hAnsiTheme="minorHAnsi" w:cstheme="minorHAnsi"/>
                <w:lang w:val="zh-CN" w:eastAsia="zh-CN"/>
              </w:rPr>
              <w:t>PP-26</w:t>
            </w:r>
            <w:r w:rsidRPr="00875273">
              <w:rPr>
                <w:rFonts w:asciiTheme="minorHAnsi" w:eastAsiaTheme="minorEastAsia" w:hAnsiTheme="minorHAnsi" w:cstheme="minorHAnsi"/>
                <w:lang w:val="zh-CN" w:eastAsia="zh-CN"/>
              </w:rPr>
              <w:t>）</w:t>
            </w:r>
          </w:p>
        </w:tc>
        <w:tc>
          <w:tcPr>
            <w:tcW w:w="2734" w:type="pct"/>
            <w:hideMark/>
          </w:tcPr>
          <w:p w14:paraId="58FA5629"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2018</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阿联酋迪拜</w:t>
            </w:r>
          </w:p>
          <w:p w14:paraId="16C84A13" w14:textId="77777777" w:rsidR="00875273" w:rsidRPr="00875273" w:rsidRDefault="00875273" w:rsidP="00875273">
            <w:pPr>
              <w:pStyle w:val="Tabletext"/>
              <w:rPr>
                <w:rFonts w:asciiTheme="minorHAnsi" w:eastAsiaTheme="minorEastAsia" w:hAnsiTheme="minorHAnsi" w:cstheme="minorHAnsi"/>
                <w:lang w:val="en-US" w:eastAsia="zh-CN"/>
              </w:rPr>
            </w:pPr>
            <w:r w:rsidRPr="00875273">
              <w:rPr>
                <w:rFonts w:asciiTheme="minorHAnsi" w:eastAsiaTheme="minorEastAsia" w:hAnsiTheme="minorHAnsi" w:cstheme="minorHAnsi"/>
                <w:lang w:val="zh-CN" w:eastAsia="zh-CN"/>
              </w:rPr>
              <w:t>2026</w:t>
            </w:r>
            <w:r w:rsidRPr="00875273">
              <w:rPr>
                <w:rFonts w:asciiTheme="minorHAnsi" w:eastAsiaTheme="minorEastAsia" w:hAnsiTheme="minorHAnsi" w:cstheme="minorHAnsi"/>
                <w:lang w:val="zh-CN" w:eastAsia="zh-CN"/>
              </w:rPr>
              <w:t>年</w:t>
            </w:r>
            <w:r w:rsidRPr="00875273">
              <w:rPr>
                <w:rFonts w:asciiTheme="minorHAnsi" w:eastAsiaTheme="minorEastAsia" w:hAnsiTheme="minorHAnsi" w:cstheme="minorHAnsi"/>
                <w:lang w:val="zh-CN" w:eastAsia="zh-CN"/>
              </w:rPr>
              <w:t xml:space="preserve"> – </w:t>
            </w:r>
            <w:r w:rsidRPr="00875273">
              <w:rPr>
                <w:rFonts w:asciiTheme="minorHAnsi" w:eastAsiaTheme="minorEastAsia" w:hAnsiTheme="minorHAnsi" w:cstheme="minorHAnsi"/>
                <w:lang w:val="zh-CN" w:eastAsia="zh-CN"/>
              </w:rPr>
              <w:t>卡塔尔多哈</w:t>
            </w:r>
          </w:p>
        </w:tc>
      </w:tr>
    </w:tbl>
    <w:p w14:paraId="116A1424" w14:textId="77777777" w:rsidR="00875273" w:rsidRPr="00875273" w:rsidRDefault="00875273" w:rsidP="00875273">
      <w:pPr>
        <w:pStyle w:val="Reasons"/>
        <w:rPr>
          <w:lang w:val="en-US" w:eastAsia="zh-CN"/>
        </w:rPr>
      </w:pPr>
    </w:p>
    <w:p w14:paraId="4BABFED4" w14:textId="77777777" w:rsidR="00E323D0" w:rsidRPr="00E323D0" w:rsidRDefault="00E323D0" w:rsidP="00E323D0">
      <w:pPr>
        <w:jc w:val="center"/>
      </w:pPr>
      <w:r>
        <w:t>______________</w:t>
      </w:r>
    </w:p>
    <w:sectPr w:rsidR="00E323D0" w:rsidRPr="00E323D0" w:rsidSect="00E24D59">
      <w:footerReference w:type="default" r:id="rId10"/>
      <w:headerReference w:type="first" r:id="rId11"/>
      <w:footerReference w:type="first" r:id="rId12"/>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2E631" w14:textId="77777777" w:rsidR="00875273" w:rsidRDefault="00875273">
      <w:r>
        <w:separator/>
      </w:r>
    </w:p>
  </w:endnote>
  <w:endnote w:type="continuationSeparator" w:id="0">
    <w:p w14:paraId="5C2AF4E8" w14:textId="77777777" w:rsidR="00875273" w:rsidRDefault="008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5607A02" w14:textId="77777777" w:rsidTr="00E31DCE">
      <w:trPr>
        <w:jc w:val="center"/>
      </w:trPr>
      <w:tc>
        <w:tcPr>
          <w:tcW w:w="1803" w:type="dxa"/>
          <w:vAlign w:val="center"/>
        </w:tcPr>
        <w:p w14:paraId="6E24A365" w14:textId="20A01106" w:rsidR="00E24D59" w:rsidRPr="00875273"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875273">
            <w:rPr>
              <w:rFonts w:eastAsiaTheme="minorEastAsia" w:hint="eastAsia"/>
              <w:noProof/>
              <w:color w:val="808080" w:themeColor="background1" w:themeShade="80"/>
              <w:lang w:eastAsia="zh-CN"/>
            </w:rPr>
            <w:t xml:space="preserve"> 26</w:t>
          </w:r>
          <w:r w:rsidR="00690647">
            <w:rPr>
              <w:rFonts w:eastAsiaTheme="minorEastAsia" w:hint="eastAsia"/>
              <w:noProof/>
              <w:color w:val="808080" w:themeColor="background1" w:themeShade="80"/>
              <w:lang w:eastAsia="zh-CN"/>
            </w:rPr>
            <w:t>0</w:t>
          </w:r>
          <w:r w:rsidR="00875273">
            <w:rPr>
              <w:rFonts w:eastAsiaTheme="minorEastAsia" w:hint="eastAsia"/>
              <w:noProof/>
              <w:color w:val="808080" w:themeColor="background1" w:themeShade="80"/>
              <w:lang w:eastAsia="zh-CN"/>
            </w:rPr>
            <w:t>0991</w:t>
          </w:r>
        </w:p>
      </w:tc>
      <w:tc>
        <w:tcPr>
          <w:tcW w:w="8261" w:type="dxa"/>
        </w:tcPr>
        <w:p w14:paraId="0E9D58B3" w14:textId="08F46A6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875273">
            <w:rPr>
              <w:rFonts w:eastAsiaTheme="minorEastAsia" w:hint="eastAsia"/>
              <w:bCs/>
              <w:color w:val="808080" w:themeColor="background1" w:themeShade="80"/>
              <w:lang w:eastAsia="zh-CN"/>
            </w:rPr>
            <w:t>102</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2135744C"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23B7D59B" w14:textId="77777777" w:rsidTr="00E31DCE">
      <w:trPr>
        <w:jc w:val="center"/>
      </w:trPr>
      <w:tc>
        <w:tcPr>
          <w:tcW w:w="1803" w:type="dxa"/>
          <w:vAlign w:val="center"/>
        </w:tcPr>
        <w:p w14:paraId="394E200B"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5302994" w14:textId="28F314CB"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875273">
            <w:rPr>
              <w:rFonts w:eastAsiaTheme="minorEastAsia" w:hint="eastAsia"/>
              <w:bCs/>
              <w:color w:val="808080" w:themeColor="background1" w:themeShade="80"/>
              <w:lang w:eastAsia="zh-CN"/>
            </w:rPr>
            <w:t>102</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5E8A4FA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0320" w14:textId="77777777" w:rsidR="00875273" w:rsidRDefault="00875273">
      <w:r>
        <w:t>____________________</w:t>
      </w:r>
    </w:p>
  </w:footnote>
  <w:footnote w:type="continuationSeparator" w:id="0">
    <w:p w14:paraId="77D7F94B" w14:textId="77777777" w:rsidR="00875273" w:rsidRDefault="00875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4AFF5"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73"/>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5333E"/>
    <w:rsid w:val="00157773"/>
    <w:rsid w:val="00177C43"/>
    <w:rsid w:val="0018251A"/>
    <w:rsid w:val="00190272"/>
    <w:rsid w:val="00193244"/>
    <w:rsid w:val="00195C6C"/>
    <w:rsid w:val="00195FED"/>
    <w:rsid w:val="001A4BD6"/>
    <w:rsid w:val="001B6E2B"/>
    <w:rsid w:val="001D5A18"/>
    <w:rsid w:val="00215132"/>
    <w:rsid w:val="00220C45"/>
    <w:rsid w:val="00224449"/>
    <w:rsid w:val="00277DEA"/>
    <w:rsid w:val="00280EB8"/>
    <w:rsid w:val="002916B4"/>
    <w:rsid w:val="002A1D39"/>
    <w:rsid w:val="002A6670"/>
    <w:rsid w:val="002C3F32"/>
    <w:rsid w:val="00303502"/>
    <w:rsid w:val="00325C25"/>
    <w:rsid w:val="00372C8F"/>
    <w:rsid w:val="00380ECE"/>
    <w:rsid w:val="00393DDF"/>
    <w:rsid w:val="00397F55"/>
    <w:rsid w:val="003B4454"/>
    <w:rsid w:val="003C2E37"/>
    <w:rsid w:val="003F086E"/>
    <w:rsid w:val="003F1415"/>
    <w:rsid w:val="0040144C"/>
    <w:rsid w:val="00403EB7"/>
    <w:rsid w:val="004178E6"/>
    <w:rsid w:val="00430BF0"/>
    <w:rsid w:val="00465C35"/>
    <w:rsid w:val="004672E6"/>
    <w:rsid w:val="00474ED1"/>
    <w:rsid w:val="00477D57"/>
    <w:rsid w:val="00491BA9"/>
    <w:rsid w:val="00493085"/>
    <w:rsid w:val="004A36EC"/>
    <w:rsid w:val="004C4C94"/>
    <w:rsid w:val="004D163F"/>
    <w:rsid w:val="004E4BFF"/>
    <w:rsid w:val="004F2598"/>
    <w:rsid w:val="005403F7"/>
    <w:rsid w:val="00540632"/>
    <w:rsid w:val="00541CF4"/>
    <w:rsid w:val="005451E8"/>
    <w:rsid w:val="005507F2"/>
    <w:rsid w:val="00555C29"/>
    <w:rsid w:val="005759CC"/>
    <w:rsid w:val="00576C08"/>
    <w:rsid w:val="005A72E1"/>
    <w:rsid w:val="005C6632"/>
    <w:rsid w:val="005D1C9E"/>
    <w:rsid w:val="00602842"/>
    <w:rsid w:val="00630DD5"/>
    <w:rsid w:val="00637584"/>
    <w:rsid w:val="00654257"/>
    <w:rsid w:val="0065435A"/>
    <w:rsid w:val="00670D8A"/>
    <w:rsid w:val="00690647"/>
    <w:rsid w:val="00694FF2"/>
    <w:rsid w:val="006A2DD3"/>
    <w:rsid w:val="006A5113"/>
    <w:rsid w:val="006A5AF8"/>
    <w:rsid w:val="006C36CD"/>
    <w:rsid w:val="00700D1F"/>
    <w:rsid w:val="007205CB"/>
    <w:rsid w:val="0072138B"/>
    <w:rsid w:val="00726073"/>
    <w:rsid w:val="00734FE8"/>
    <w:rsid w:val="007360CE"/>
    <w:rsid w:val="0077110E"/>
    <w:rsid w:val="00772315"/>
    <w:rsid w:val="00775157"/>
    <w:rsid w:val="007813AE"/>
    <w:rsid w:val="007A37DB"/>
    <w:rsid w:val="007E189D"/>
    <w:rsid w:val="007F0210"/>
    <w:rsid w:val="00806E3F"/>
    <w:rsid w:val="00811259"/>
    <w:rsid w:val="00813AA2"/>
    <w:rsid w:val="008173A3"/>
    <w:rsid w:val="008418F5"/>
    <w:rsid w:val="0084546D"/>
    <w:rsid w:val="0086059C"/>
    <w:rsid w:val="00864589"/>
    <w:rsid w:val="00874C82"/>
    <w:rsid w:val="00875273"/>
    <w:rsid w:val="00890AFB"/>
    <w:rsid w:val="00890FC4"/>
    <w:rsid w:val="00895905"/>
    <w:rsid w:val="008F64AD"/>
    <w:rsid w:val="00911230"/>
    <w:rsid w:val="00911867"/>
    <w:rsid w:val="009164A9"/>
    <w:rsid w:val="009258CB"/>
    <w:rsid w:val="0093362E"/>
    <w:rsid w:val="0093708F"/>
    <w:rsid w:val="00944563"/>
    <w:rsid w:val="00951B87"/>
    <w:rsid w:val="00953160"/>
    <w:rsid w:val="009625D8"/>
    <w:rsid w:val="00983878"/>
    <w:rsid w:val="0098459B"/>
    <w:rsid w:val="00997185"/>
    <w:rsid w:val="009A3456"/>
    <w:rsid w:val="009A76A8"/>
    <w:rsid w:val="009C2458"/>
    <w:rsid w:val="009C4A7B"/>
    <w:rsid w:val="009C6123"/>
    <w:rsid w:val="009F1E3E"/>
    <w:rsid w:val="00A01F4F"/>
    <w:rsid w:val="00A109AF"/>
    <w:rsid w:val="00A1213C"/>
    <w:rsid w:val="00A13406"/>
    <w:rsid w:val="00A272FF"/>
    <w:rsid w:val="00A5354B"/>
    <w:rsid w:val="00A71B57"/>
    <w:rsid w:val="00AA2E08"/>
    <w:rsid w:val="00AB42C1"/>
    <w:rsid w:val="00AC516F"/>
    <w:rsid w:val="00AE195F"/>
    <w:rsid w:val="00AE2926"/>
    <w:rsid w:val="00B0184B"/>
    <w:rsid w:val="00B035CD"/>
    <w:rsid w:val="00B0769D"/>
    <w:rsid w:val="00B217F8"/>
    <w:rsid w:val="00B326AA"/>
    <w:rsid w:val="00B332EA"/>
    <w:rsid w:val="00B40A53"/>
    <w:rsid w:val="00B45365"/>
    <w:rsid w:val="00B46A65"/>
    <w:rsid w:val="00B60184"/>
    <w:rsid w:val="00B62D20"/>
    <w:rsid w:val="00B81E75"/>
    <w:rsid w:val="00B91673"/>
    <w:rsid w:val="00B93453"/>
    <w:rsid w:val="00B9445B"/>
    <w:rsid w:val="00BD0954"/>
    <w:rsid w:val="00BD1A5A"/>
    <w:rsid w:val="00BD7A9B"/>
    <w:rsid w:val="00BD7BE1"/>
    <w:rsid w:val="00BF416B"/>
    <w:rsid w:val="00C24DAC"/>
    <w:rsid w:val="00C45EB2"/>
    <w:rsid w:val="00C471F4"/>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666BC"/>
    <w:rsid w:val="00D83542"/>
    <w:rsid w:val="00D87C3A"/>
    <w:rsid w:val="00D92F45"/>
    <w:rsid w:val="00D94637"/>
    <w:rsid w:val="00D9725C"/>
    <w:rsid w:val="00DA0E66"/>
    <w:rsid w:val="00DA2D30"/>
    <w:rsid w:val="00DA371C"/>
    <w:rsid w:val="00DA7006"/>
    <w:rsid w:val="00DB3621"/>
    <w:rsid w:val="00DC6427"/>
    <w:rsid w:val="00DD62F5"/>
    <w:rsid w:val="00DD66A1"/>
    <w:rsid w:val="00DE196D"/>
    <w:rsid w:val="00DF6B49"/>
    <w:rsid w:val="00E067C5"/>
    <w:rsid w:val="00E24D59"/>
    <w:rsid w:val="00E265BF"/>
    <w:rsid w:val="00E323D0"/>
    <w:rsid w:val="00E34C96"/>
    <w:rsid w:val="00E378D8"/>
    <w:rsid w:val="00E43A12"/>
    <w:rsid w:val="00E47E4C"/>
    <w:rsid w:val="00E67C67"/>
    <w:rsid w:val="00E77476"/>
    <w:rsid w:val="00E8228B"/>
    <w:rsid w:val="00EE5706"/>
    <w:rsid w:val="00EF373D"/>
    <w:rsid w:val="00F11595"/>
    <w:rsid w:val="00F13BC9"/>
    <w:rsid w:val="00F357B2"/>
    <w:rsid w:val="00F36556"/>
    <w:rsid w:val="00F6736A"/>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E7818"/>
  <w15:docId w15:val="{C90A024A-5DC9-4310-BD9D-BDCEBF4C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 w:type="table" w:customStyle="1" w:styleId="TableGrid1">
    <w:name w:val="Table Grid1"/>
    <w:basedOn w:val="TableNormal"/>
    <w:next w:val="TableGrid"/>
    <w:uiPriority w:val="39"/>
    <w:rsid w:val="0087527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7527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70/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26-CL-C-0050/e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ng\AppData\Roaming\Microsoft\Templates\POOL%20C%20-%20ITU\GS\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5</TotalTime>
  <Pages>4</Pages>
  <Words>2014</Words>
  <Characters>489</Characters>
  <Application>Microsoft Office Word</Application>
  <DocSecurity>0</DocSecurity>
  <Lines>8</Lines>
  <Paragraphs>10</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2493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case for regional equity and enabling conditions for broader participation in the hosting of ITU Plenipotentiary Conferences</dc:title>
  <dc:subject>ITU Council 2026</dc:subject>
  <cp:keywords>C26; C2026; Council 2026; PP26</cp:keywords>
  <dc:description/>
  <cp:lastPrinted>2015-02-24T13:23:00Z</cp:lastPrinted>
  <dcterms:created xsi:type="dcterms:W3CDTF">2026-04-24T09:14:00Z</dcterms:created>
  <dcterms:modified xsi:type="dcterms:W3CDTF">2026-04-24T09:19:00Z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