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464033BE" w14:textId="77777777" w:rsidTr="00F363FE">
        <w:tc>
          <w:tcPr>
            <w:tcW w:w="6512" w:type="dxa"/>
          </w:tcPr>
          <w:p w14:paraId="0942BDAE" w14:textId="1F308D5E"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D912ED">
              <w:rPr>
                <w:rFonts w:hint="cs"/>
                <w:b/>
                <w:bCs/>
                <w:rtl/>
                <w:lang w:bidi="ar-EG"/>
              </w:rPr>
              <w:t xml:space="preserve"> </w:t>
            </w:r>
            <w:r w:rsidR="00D912ED">
              <w:rPr>
                <w:b/>
                <w:bCs/>
                <w:lang w:bidi="ar-EG"/>
              </w:rPr>
              <w:t>PL-3</w:t>
            </w:r>
          </w:p>
        </w:tc>
        <w:tc>
          <w:tcPr>
            <w:tcW w:w="3117" w:type="dxa"/>
          </w:tcPr>
          <w:p w14:paraId="607366EB" w14:textId="40DED29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proofErr w:type="spellStart"/>
            <w:r w:rsidRPr="007B0AA0">
              <w:rPr>
                <w:b/>
                <w:bCs/>
                <w:lang w:bidi="ar-EG"/>
              </w:rPr>
              <w:t>C2</w:t>
            </w:r>
            <w:r w:rsidR="000116AF">
              <w:rPr>
                <w:b/>
                <w:bCs/>
                <w:lang w:bidi="ar-EG"/>
              </w:rPr>
              <w:t>6</w:t>
            </w:r>
            <w:proofErr w:type="spellEnd"/>
            <w:r w:rsidRPr="007B0AA0">
              <w:rPr>
                <w:b/>
                <w:bCs/>
                <w:lang w:bidi="ar-EG"/>
              </w:rPr>
              <w:t>/</w:t>
            </w:r>
            <w:r w:rsidR="00D912ED">
              <w:rPr>
                <w:b/>
                <w:bCs/>
                <w:lang w:bidi="ar-EG"/>
              </w:rPr>
              <w:t>102</w:t>
            </w:r>
            <w:r w:rsidRPr="007B0AA0">
              <w:rPr>
                <w:b/>
                <w:bCs/>
                <w:lang w:bidi="ar-EG"/>
              </w:rPr>
              <w:t>-A</w:t>
            </w:r>
          </w:p>
        </w:tc>
      </w:tr>
      <w:tr w:rsidR="007B0AA0" w14:paraId="16FFDF37" w14:textId="77777777" w:rsidTr="00F363FE">
        <w:tc>
          <w:tcPr>
            <w:tcW w:w="6512" w:type="dxa"/>
          </w:tcPr>
          <w:p w14:paraId="280DC8DB" w14:textId="77777777" w:rsidR="007B0AA0" w:rsidRPr="007B0AA0" w:rsidRDefault="007B0AA0" w:rsidP="00F363FE">
            <w:pPr>
              <w:spacing w:before="60" w:after="60" w:line="260" w:lineRule="exact"/>
              <w:rPr>
                <w:b/>
                <w:bCs/>
                <w:rtl/>
                <w:lang w:bidi="ar-EG"/>
              </w:rPr>
            </w:pPr>
          </w:p>
        </w:tc>
        <w:tc>
          <w:tcPr>
            <w:tcW w:w="3117" w:type="dxa"/>
          </w:tcPr>
          <w:p w14:paraId="33DF4251" w14:textId="62C1FEF8" w:rsidR="007B0AA0" w:rsidRPr="007B0AA0" w:rsidRDefault="00D912ED" w:rsidP="00F363FE">
            <w:pPr>
              <w:spacing w:before="60" w:after="60" w:line="260" w:lineRule="exact"/>
              <w:rPr>
                <w:b/>
                <w:bCs/>
                <w:rtl/>
                <w:lang w:bidi="ar-EG"/>
              </w:rPr>
            </w:pPr>
            <w:r>
              <w:rPr>
                <w:b/>
                <w:bCs/>
                <w:lang w:bidi="ar-EG"/>
              </w:rPr>
              <w:t>14</w:t>
            </w:r>
            <w:r>
              <w:rPr>
                <w:rFonts w:hint="cs"/>
                <w:b/>
                <w:bCs/>
                <w:rtl/>
                <w:lang w:bidi="ar-EG"/>
              </w:rPr>
              <w:t xml:space="preserve"> أبريل </w:t>
            </w:r>
            <w:r>
              <w:rPr>
                <w:b/>
                <w:bCs/>
                <w:lang w:bidi="ar-EG"/>
              </w:rPr>
              <w:t>2026</w:t>
            </w:r>
          </w:p>
        </w:tc>
      </w:tr>
      <w:tr w:rsidR="007B0AA0" w14:paraId="1CB59ED8" w14:textId="77777777" w:rsidTr="00F363FE">
        <w:tc>
          <w:tcPr>
            <w:tcW w:w="6512" w:type="dxa"/>
          </w:tcPr>
          <w:p w14:paraId="712306E3" w14:textId="77777777" w:rsidR="007B0AA0" w:rsidRPr="007B0AA0" w:rsidRDefault="007B0AA0" w:rsidP="00F363FE">
            <w:pPr>
              <w:spacing w:before="60" w:after="60" w:line="260" w:lineRule="exact"/>
              <w:rPr>
                <w:b/>
                <w:bCs/>
                <w:rtl/>
                <w:lang w:bidi="ar-EG"/>
              </w:rPr>
            </w:pPr>
          </w:p>
        </w:tc>
        <w:tc>
          <w:tcPr>
            <w:tcW w:w="3117" w:type="dxa"/>
          </w:tcPr>
          <w:p w14:paraId="67CC1E5C"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5087C62" w14:textId="77777777" w:rsidTr="00F363FE">
        <w:tc>
          <w:tcPr>
            <w:tcW w:w="6512" w:type="dxa"/>
          </w:tcPr>
          <w:p w14:paraId="7E9B7BC3" w14:textId="77777777" w:rsidR="007B0AA0" w:rsidRDefault="007B0AA0" w:rsidP="00F363FE">
            <w:pPr>
              <w:spacing w:before="60" w:after="60" w:line="260" w:lineRule="exact"/>
              <w:rPr>
                <w:lang w:bidi="ar-EG"/>
              </w:rPr>
            </w:pPr>
          </w:p>
        </w:tc>
        <w:tc>
          <w:tcPr>
            <w:tcW w:w="3117" w:type="dxa"/>
          </w:tcPr>
          <w:p w14:paraId="2DE7E9FE" w14:textId="77777777" w:rsidR="007B0AA0" w:rsidRDefault="007B0AA0" w:rsidP="00F363FE">
            <w:pPr>
              <w:spacing w:before="60" w:after="60" w:line="260" w:lineRule="exact"/>
              <w:rPr>
                <w:rtl/>
                <w:lang w:bidi="ar-EG"/>
              </w:rPr>
            </w:pPr>
          </w:p>
        </w:tc>
      </w:tr>
      <w:tr w:rsidR="007B0AA0" w14:paraId="7214EAFA" w14:textId="77777777" w:rsidTr="00EE7446">
        <w:tc>
          <w:tcPr>
            <w:tcW w:w="9629" w:type="dxa"/>
            <w:gridSpan w:val="2"/>
          </w:tcPr>
          <w:p w14:paraId="21987D8A" w14:textId="6023ED38" w:rsidR="007B0AA0" w:rsidRDefault="00D912ED" w:rsidP="00D912ED">
            <w:pPr>
              <w:pStyle w:val="Source"/>
              <w:jc w:val="left"/>
              <w:rPr>
                <w:lang w:bidi="ar-EG"/>
              </w:rPr>
            </w:pPr>
            <w:r w:rsidRPr="00D912ED">
              <w:rPr>
                <w:rtl/>
              </w:rPr>
              <w:t>مساهمة مقدمة من جمهورية جنوب إفريقيا وجمهورية كينيا والمملكة</w:t>
            </w:r>
            <w:r>
              <w:rPr>
                <w:rFonts w:hint="cs"/>
                <w:rtl/>
              </w:rPr>
              <w:t> </w:t>
            </w:r>
            <w:r w:rsidRPr="00D912ED">
              <w:rPr>
                <w:rtl/>
              </w:rPr>
              <w:t>المغربية وجمهورية نيجيريا الاتحادية</w:t>
            </w:r>
          </w:p>
        </w:tc>
      </w:tr>
      <w:tr w:rsidR="007B0AA0" w14:paraId="0EF37E47" w14:textId="77777777" w:rsidTr="007B0AA0">
        <w:tc>
          <w:tcPr>
            <w:tcW w:w="9629" w:type="dxa"/>
            <w:gridSpan w:val="2"/>
            <w:tcBorders>
              <w:bottom w:val="single" w:sz="4" w:space="0" w:color="auto"/>
            </w:tcBorders>
          </w:tcPr>
          <w:p w14:paraId="27875C7A" w14:textId="7D3736B1" w:rsidR="007B0AA0" w:rsidRPr="00E53C3A" w:rsidRDefault="00E53C3A" w:rsidP="00E53C3A">
            <w:pPr>
              <w:pStyle w:val="Subtitle0"/>
              <w:rPr>
                <w:sz w:val="32"/>
                <w:szCs w:val="32"/>
                <w:lang w:val="en-GB"/>
              </w:rPr>
            </w:pPr>
            <w:r w:rsidRPr="00E53C3A">
              <w:rPr>
                <w:sz w:val="32"/>
                <w:szCs w:val="32"/>
                <w:rtl/>
              </w:rPr>
              <w:t>المسوغات المؤيدة للإنصاف على الصعيد الإقليمي والظروف المؤاتية لمشاركة أوسع في استضافة مؤتمرات المندوبين المفوضين للاتحاد</w:t>
            </w:r>
          </w:p>
        </w:tc>
      </w:tr>
      <w:tr w:rsidR="007B0AA0" w14:paraId="26D509B2" w14:textId="77777777" w:rsidTr="007B0AA0">
        <w:tc>
          <w:tcPr>
            <w:tcW w:w="9629" w:type="dxa"/>
            <w:gridSpan w:val="2"/>
            <w:tcBorders>
              <w:top w:val="single" w:sz="4" w:space="0" w:color="auto"/>
              <w:bottom w:val="single" w:sz="4" w:space="0" w:color="auto"/>
            </w:tcBorders>
          </w:tcPr>
          <w:p w14:paraId="2E4027FC" w14:textId="77777777" w:rsidR="007B0AA0" w:rsidRPr="007B0AA0" w:rsidRDefault="007B0AA0" w:rsidP="007B0AA0">
            <w:pPr>
              <w:rPr>
                <w:b/>
                <w:bCs/>
                <w:rtl/>
              </w:rPr>
            </w:pPr>
            <w:r w:rsidRPr="00494119">
              <w:rPr>
                <w:rFonts w:hint="cs"/>
                <w:b/>
                <w:bCs/>
                <w:rtl/>
              </w:rPr>
              <w:t>الغرض</w:t>
            </w:r>
          </w:p>
          <w:p w14:paraId="6E4ABF3E" w14:textId="36A8AB38" w:rsidR="007B0AA0" w:rsidRDefault="00D912ED" w:rsidP="00D912ED">
            <w:pPr>
              <w:rPr>
                <w:rtl/>
              </w:rPr>
            </w:pPr>
            <w:r w:rsidRPr="00D912ED">
              <w:rPr>
                <w:rtl/>
              </w:rPr>
              <w:t>تهدف هذه المساهمة إلى تعزيز العملية التي تقترحها الأمانة لاختيار البلدان المضيفة لمؤتمرات الاتحاد وجمعياته، وتهيئة الظروف التمكينية العملية اللازمة لمشاركة أوسع من جانب الدول الأعضاء، ولا سيما البلدان النامية، بناء على طلب فريق العمل التابع للمجلس والمعني بالموارد المالية والبشرية في يناير 2026.</w:t>
            </w:r>
          </w:p>
          <w:p w14:paraId="44979F6A" w14:textId="77777777" w:rsidR="007B0AA0" w:rsidRPr="007B0AA0" w:rsidRDefault="007B0AA0" w:rsidP="007B0AA0">
            <w:pPr>
              <w:rPr>
                <w:b/>
                <w:bCs/>
                <w:rtl/>
              </w:rPr>
            </w:pPr>
            <w:r w:rsidRPr="007B0AA0">
              <w:rPr>
                <w:rFonts w:hint="cs"/>
                <w:b/>
                <w:bCs/>
                <w:rtl/>
              </w:rPr>
              <w:t>الإجراء المطلوب من المجلس</w:t>
            </w:r>
          </w:p>
          <w:p w14:paraId="07CB82F2" w14:textId="7FBD5F94" w:rsidR="007B0AA0" w:rsidRDefault="00D912ED" w:rsidP="00D912ED">
            <w:pPr>
              <w:rPr>
                <w:rtl/>
              </w:rPr>
            </w:pPr>
            <w:r w:rsidRPr="00D912ED">
              <w:rPr>
                <w:rtl/>
              </w:rPr>
              <w:t xml:space="preserve">يُدعى المجلس إلى </w:t>
            </w:r>
            <w:r w:rsidRPr="00D912ED">
              <w:rPr>
                <w:b/>
                <w:bCs/>
                <w:rtl/>
              </w:rPr>
              <w:t>النظر</w:t>
            </w:r>
            <w:r w:rsidRPr="00D912ED">
              <w:rPr>
                <w:rtl/>
              </w:rPr>
              <w:t xml:space="preserve"> في هذه الوثيقة.</w:t>
            </w:r>
          </w:p>
          <w:p w14:paraId="40F0C1E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F4BCF59" w14:textId="77777777" w:rsidR="007B0AA0" w:rsidRPr="007B0AA0" w:rsidRDefault="007B0AA0" w:rsidP="007B0AA0">
            <w:pPr>
              <w:rPr>
                <w:b/>
                <w:bCs/>
                <w:rtl/>
              </w:rPr>
            </w:pPr>
            <w:r w:rsidRPr="007B0AA0">
              <w:rPr>
                <w:rFonts w:hint="cs"/>
                <w:b/>
                <w:bCs/>
                <w:rtl/>
              </w:rPr>
              <w:t>المراجع</w:t>
            </w:r>
          </w:p>
          <w:p w14:paraId="4A5E8304" w14:textId="1591F14B" w:rsidR="007B0AA0" w:rsidRPr="005546CF" w:rsidRDefault="00D912ED" w:rsidP="00D912ED">
            <w:pPr>
              <w:rPr>
                <w:i/>
                <w:iCs/>
                <w:rtl/>
                <w:lang w:bidi="ar-EG"/>
              </w:rPr>
            </w:pPr>
            <w:r w:rsidRPr="00D912ED">
              <w:rPr>
                <w:i/>
                <w:iCs/>
                <w:rtl/>
              </w:rPr>
              <w:t xml:space="preserve">الوثيقتان </w:t>
            </w:r>
            <w:hyperlink r:id="rId8" w:history="1">
              <w:proofErr w:type="spellStart"/>
              <w:r w:rsidRPr="00D912ED">
                <w:rPr>
                  <w:rStyle w:val="Hyperlink"/>
                  <w:i/>
                  <w:iCs/>
                  <w:noProof w:val="0"/>
                  <w:lang w:eastAsia="zh-CN"/>
                </w:rPr>
                <w:t>C26</w:t>
              </w:r>
              <w:proofErr w:type="spellEnd"/>
              <w:r w:rsidRPr="00D912ED">
                <w:rPr>
                  <w:rStyle w:val="Hyperlink"/>
                  <w:i/>
                  <w:iCs/>
                  <w:noProof w:val="0"/>
                  <w:lang w:eastAsia="zh-CN"/>
                </w:rPr>
                <w:t>/70</w:t>
              </w:r>
            </w:hyperlink>
            <w:r>
              <w:rPr>
                <w:rFonts w:hint="cs"/>
                <w:i/>
                <w:iCs/>
                <w:rtl/>
                <w:lang w:val="en-GB"/>
              </w:rPr>
              <w:t xml:space="preserve"> و</w:t>
            </w:r>
            <w:r>
              <w:fldChar w:fldCharType="begin"/>
            </w:r>
            <w:r>
              <w:instrText>HYPERLINK "https://www.itu.int/md/S26-CL-C-0050/en"</w:instrText>
            </w:r>
            <w:r>
              <w:fldChar w:fldCharType="separate"/>
            </w:r>
            <w:proofErr w:type="spellStart"/>
            <w:r w:rsidRPr="00D912ED">
              <w:rPr>
                <w:rStyle w:val="Hyperlink"/>
                <w:i/>
                <w:iCs/>
                <w:noProof w:val="0"/>
                <w:lang w:eastAsia="zh-CN"/>
              </w:rPr>
              <w:t>C26</w:t>
            </w:r>
            <w:proofErr w:type="spellEnd"/>
            <w:r w:rsidRPr="00D912ED">
              <w:rPr>
                <w:rStyle w:val="Hyperlink"/>
                <w:i/>
                <w:iCs/>
                <w:noProof w:val="0"/>
                <w:lang w:eastAsia="zh-CN"/>
              </w:rPr>
              <w:t>/50</w:t>
            </w:r>
            <w:r>
              <w:fldChar w:fldCharType="end"/>
            </w:r>
          </w:p>
        </w:tc>
      </w:tr>
    </w:tbl>
    <w:p w14:paraId="55E1B1F4" w14:textId="77777777" w:rsidR="00E61BE8" w:rsidRDefault="00E61BE8" w:rsidP="00E61BE8">
      <w:pPr>
        <w:rPr>
          <w:rtl/>
          <w:lang w:bidi="ar-EG"/>
        </w:rPr>
      </w:pPr>
    </w:p>
    <w:p w14:paraId="4E74B1A2" w14:textId="77777777" w:rsidR="00F50E3F" w:rsidRDefault="00F50E3F" w:rsidP="0043260A">
      <w:pPr>
        <w:rPr>
          <w:rtl/>
          <w:lang w:bidi="ar-EG"/>
        </w:rPr>
      </w:pPr>
      <w:r>
        <w:rPr>
          <w:rtl/>
          <w:lang w:bidi="ar-EG"/>
        </w:rPr>
        <w:br w:type="page"/>
      </w:r>
    </w:p>
    <w:p w14:paraId="44FD9B26" w14:textId="77777777" w:rsidR="00D912ED" w:rsidRPr="00D912ED" w:rsidRDefault="00D912ED" w:rsidP="00D912ED">
      <w:pPr>
        <w:pStyle w:val="Heading1"/>
        <w:rPr>
          <w:lang w:val="ar-SA" w:bidi="ar-EG"/>
        </w:rPr>
      </w:pPr>
      <w:r w:rsidRPr="00D912ED">
        <w:rPr>
          <w:rtl/>
        </w:rPr>
        <w:lastRenderedPageBreak/>
        <w:t>1</w:t>
      </w:r>
      <w:r w:rsidRPr="00D912ED">
        <w:rPr>
          <w:rtl/>
        </w:rPr>
        <w:tab/>
        <w:t>معلومات أساسية</w:t>
      </w:r>
    </w:p>
    <w:p w14:paraId="5035D8B2" w14:textId="18287069" w:rsidR="00D912ED" w:rsidRPr="00D912ED" w:rsidRDefault="001C1576" w:rsidP="00D912ED">
      <w:pPr>
        <w:rPr>
          <w:lang w:val="ar-SA" w:bidi="ar-EG"/>
        </w:rPr>
      </w:pPr>
      <w:r>
        <w:t>1.1</w:t>
      </w:r>
      <w:r w:rsidR="00D912ED" w:rsidRPr="00D912ED">
        <w:rPr>
          <w:rtl/>
        </w:rPr>
        <w:tab/>
        <w:t xml:space="preserve">نود أن نعرب عن امتناننا لمقترح الأمانة الذي يقترح عملية اختيار موحدة وشفافة لاستضافة مؤتمرات الاتحاد وجمعياته، والتي وضعت استجابة لتوجيهات المجلس ومناقشاته السابقة. ويقدم </w:t>
      </w:r>
      <w:r w:rsidRPr="00D912ED">
        <w:rPr>
          <w:rFonts w:hint="cs"/>
          <w:rtl/>
        </w:rPr>
        <w:t>المقترح</w:t>
      </w:r>
      <w:r w:rsidR="00D912ED" w:rsidRPr="00D912ED">
        <w:rPr>
          <w:rtl/>
        </w:rPr>
        <w:t xml:space="preserve"> جدولاً زمنياً منظماً يبدأ قبل أربع سنوات من موعد المؤتمر، بدعوة رسمية لتقديم المقترحات، تليه عروض تقدم، والعناية الواجبة التي تقودها الأمانة، والاختيار النهائي من جانب المجلس أو مؤتمر المندوبين المفوضين على أساس الامتثال والتوازن الجغرافي.</w:t>
      </w:r>
    </w:p>
    <w:p w14:paraId="3CC700FA" w14:textId="5DDFC8F6" w:rsidR="00D912ED" w:rsidRPr="00D912ED" w:rsidRDefault="001C1576" w:rsidP="00D912ED">
      <w:pPr>
        <w:rPr>
          <w:lang w:val="ar-SA" w:bidi="ar-EG"/>
        </w:rPr>
      </w:pPr>
      <w:r>
        <w:t>2.1</w:t>
      </w:r>
      <w:r w:rsidR="00D912ED" w:rsidRPr="00D912ED">
        <w:rPr>
          <w:rtl/>
        </w:rPr>
        <w:tab/>
        <w:t>كما نود أن نعرب عن تقديرنا لبوابة إلكترونية جديدة للبلد المضيف تركز فيها جميع المعلومات والعطاءات ذات الصلة. وتوضح الوثيقة أيضاً تكاليف الاستضافة، بما في ذلك النفقات الوطنية ونفقات الاتحاد القابلة للسداد، مع التأكيد على الجهود المبذولة لتخفيف الأعباء المالية وتشجيع المشاركة على نطاق أوسع. ويهدف الإطار إلى تعزيز العدالة والاتساق والقدرة على التنبؤ، وهو مقترح لتنفيذه في المؤتمرات اعتباراً من عام 2031 فصاعداً.</w:t>
      </w:r>
    </w:p>
    <w:p w14:paraId="397D4845" w14:textId="5A429FC1" w:rsidR="00D912ED" w:rsidRPr="00D912ED" w:rsidRDefault="001C1576" w:rsidP="00D912ED">
      <w:pPr>
        <w:rPr>
          <w:lang w:val="ar-SA" w:bidi="ar-EG"/>
        </w:rPr>
      </w:pPr>
      <w:r>
        <w:t>3.1</w:t>
      </w:r>
      <w:r w:rsidR="00D912ED" w:rsidRPr="00D912ED">
        <w:rPr>
          <w:rtl/>
        </w:rPr>
        <w:tab/>
        <w:t>يظل مؤتمر المندوبين المفوضين</w:t>
      </w:r>
      <w:r w:rsidR="00A80FB8">
        <w:rPr>
          <w:rFonts w:hint="cs"/>
          <w:rtl/>
        </w:rPr>
        <w:t> </w:t>
      </w:r>
      <w:r w:rsidR="00A80FB8">
        <w:t>(PP)</w:t>
      </w:r>
      <w:r w:rsidR="00D912ED" w:rsidRPr="00D912ED">
        <w:rPr>
          <w:rtl/>
        </w:rPr>
        <w:t xml:space="preserve"> أعلى سلطة في الاتحاد الدولي للاتصالات</w:t>
      </w:r>
      <w:r w:rsidR="00A80FB8">
        <w:rPr>
          <w:rFonts w:hint="cs"/>
          <w:rtl/>
        </w:rPr>
        <w:t> </w:t>
      </w:r>
      <w:r w:rsidR="00A80FB8">
        <w:t>(ITU)</w:t>
      </w:r>
      <w:r w:rsidR="00D912ED" w:rsidRPr="00D912ED">
        <w:rPr>
          <w:rtl/>
        </w:rPr>
        <w:t xml:space="preserve"> يحدد السياسات العامة للاتحاد ويعتمد خططه الاستراتيجية والمالية لأربع سنوات وينتخب قيادته العليا. ومنذ عام 1947، كانت مؤتمرات المندوبين المفوضين بمثابة معالم رئيسية في تطور حوكمة الاتصالات العالمية.</w:t>
      </w:r>
    </w:p>
    <w:p w14:paraId="164A438E" w14:textId="115CD1AD" w:rsidR="00D912ED" w:rsidRPr="00D912ED" w:rsidRDefault="001C1576" w:rsidP="00D912ED">
      <w:pPr>
        <w:rPr>
          <w:lang w:val="ar-SA" w:bidi="ar-EG"/>
        </w:rPr>
      </w:pPr>
      <w:r>
        <w:t>4.1</w:t>
      </w:r>
      <w:r w:rsidR="00D912ED" w:rsidRPr="00D912ED">
        <w:rPr>
          <w:rtl/>
        </w:rPr>
        <w:tab/>
        <w:t>وتم</w:t>
      </w:r>
      <w:r>
        <w:rPr>
          <w:rFonts w:hint="cs"/>
          <w:rtl/>
          <w:lang w:bidi="ar-EG"/>
        </w:rPr>
        <w:t>ا</w:t>
      </w:r>
      <w:r w:rsidR="00D912ED" w:rsidRPr="00D912ED">
        <w:rPr>
          <w:rtl/>
        </w:rPr>
        <w:t>شياً مع الطابع الدولي للاتحاد، تستضيف كل مؤتمر دولة عضو. وقد سمح هذا التقليد لمؤتمر المندوبين المفوضين بأن يعكس بشكل رمزي وعملي الولاية الشاملة للاتحاد، مع منح البلد المضيف مكانة ورؤية استراتيجية.</w:t>
      </w:r>
    </w:p>
    <w:p w14:paraId="3A0E52D0" w14:textId="3000508A" w:rsidR="00D912ED" w:rsidRPr="00D912ED" w:rsidRDefault="001C1576" w:rsidP="00D912ED">
      <w:pPr>
        <w:rPr>
          <w:lang w:val="ar-SA" w:bidi="ar-EG"/>
        </w:rPr>
      </w:pPr>
      <w:r>
        <w:t>5.1</w:t>
      </w:r>
      <w:r w:rsidR="00D912ED" w:rsidRPr="00D912ED">
        <w:rPr>
          <w:rtl/>
        </w:rPr>
        <w:tab/>
        <w:t>وقد تم الاعتراف صراحة على أعلى المستويات في الاتحاد بالحاجة إلى ضمان إجراء هذه العملية بطريقة شفافة وفي الوقت المناسب. وفي اجتماع المجلس لعام 2025، خلال المناقشات التي سبقت التصويت على استضافة المؤتمر العالمي للاتصالات الراديوية WRC-27، دعت الدول الأعضاء إلى دعوات مفتوحة ويمكن التنبؤ بها لاستضافة المؤتمرات والجمعيات. وبمرور الوقت، تناوبت الأماكن عبر المناطق، وإن كان ذلك بشكل غير رسمي. ويرد في الملحق ملخص عن المضيفين السابقين والقادمين.</w:t>
      </w:r>
    </w:p>
    <w:p w14:paraId="528BC031" w14:textId="77777777" w:rsidR="00D912ED" w:rsidRPr="00D912ED" w:rsidRDefault="00D912ED" w:rsidP="00A80FB8">
      <w:pPr>
        <w:pStyle w:val="Headingb"/>
        <w:ind w:left="0" w:firstLine="0"/>
        <w:rPr>
          <w:lang w:val="ar-SA" w:bidi="ar-EG"/>
        </w:rPr>
      </w:pPr>
      <w:r w:rsidRPr="00D912ED">
        <w:rPr>
          <w:rtl/>
        </w:rPr>
        <w:t>مسألة معروضة للنظر فيها: الشفافية والتوازن الإقليمي والظروف المؤاتية لمشاركة أوسع في اختيار البلدان المضيفة</w:t>
      </w:r>
    </w:p>
    <w:p w14:paraId="5658EE58" w14:textId="2D161490" w:rsidR="00D912ED" w:rsidRPr="00D912ED" w:rsidRDefault="001C1576" w:rsidP="00D912ED">
      <w:pPr>
        <w:rPr>
          <w:lang w:val="ar-SA" w:bidi="ar-EG"/>
        </w:rPr>
      </w:pPr>
      <w:r>
        <w:t>6.1</w:t>
      </w:r>
      <w:r w:rsidR="00D912ED" w:rsidRPr="00D912ED">
        <w:rPr>
          <w:rtl/>
        </w:rPr>
        <w:tab/>
        <w:t>وفي حين حظيت ممارسة تناوب مؤتمر المندوبين المفوضين بين الدول الأعضاء على نطاق واسع، تشير الدورات الأخيرة إلى الحاجة إلى عملية أكثر تنظيماً وشفافية تراعي التوازن الجغرافي وتكافؤ الفرص بين المناطق.</w:t>
      </w:r>
    </w:p>
    <w:p w14:paraId="2CBC77F1" w14:textId="4A0EAFEB" w:rsidR="00D912ED" w:rsidRPr="00D912ED" w:rsidRDefault="001C1576" w:rsidP="00D912ED">
      <w:pPr>
        <w:rPr>
          <w:lang w:val="ar-SA" w:bidi="ar-EG"/>
        </w:rPr>
      </w:pPr>
      <w:r>
        <w:t>7.1</w:t>
      </w:r>
      <w:r w:rsidR="00D912ED" w:rsidRPr="00D912ED">
        <w:rPr>
          <w:rtl/>
        </w:rPr>
        <w:tab/>
        <w:t>وجرى ملاحظة ما يلي:</w:t>
      </w:r>
    </w:p>
    <w:p w14:paraId="55522773" w14:textId="77777777" w:rsidR="00D912ED" w:rsidRPr="00D912ED" w:rsidRDefault="00D912ED" w:rsidP="00A80FB8">
      <w:pPr>
        <w:pStyle w:val="enumlev1"/>
        <w:rPr>
          <w:lang w:val="ar-SA" w:bidi="ar-EG"/>
        </w:rPr>
      </w:pPr>
      <w:r w:rsidRPr="00D912ED">
        <w:rPr>
          <w:rtl/>
        </w:rPr>
        <w:tab/>
        <w:t>لا تخضع عملية اختيار البلد المضيف لدعوة مفتوحة ومحددة زمنياً لإبداء الاهتمام، وتكون في متناول جميع الدول الأعضاء.</w:t>
      </w:r>
    </w:p>
    <w:p w14:paraId="4BC04AE2" w14:textId="6EF2CDA0" w:rsidR="00D912ED" w:rsidRPr="00D912ED" w:rsidRDefault="00D912ED" w:rsidP="00A80FB8">
      <w:pPr>
        <w:pStyle w:val="enumlev1"/>
        <w:rPr>
          <w:lang w:val="ar-SA" w:bidi="ar-EG"/>
        </w:rPr>
      </w:pPr>
      <w:r w:rsidRPr="00D912ED">
        <w:rPr>
          <w:rtl/>
        </w:rPr>
        <w:tab/>
        <w:t>ولا توجد آلية رسمية ضمن إجراءات الاتحاد تضمن تسلسلاً للاستضافة يمكن التنبؤ به أو منصف</w:t>
      </w:r>
      <w:r w:rsidR="00A80FB8">
        <w:rPr>
          <w:rFonts w:hint="cs"/>
          <w:rtl/>
        </w:rPr>
        <w:t>اً</w:t>
      </w:r>
      <w:r w:rsidRPr="00D912ED">
        <w:rPr>
          <w:rtl/>
        </w:rPr>
        <w:t xml:space="preserve"> إقليمياً، ويقترح أن تبذل الأمانة جهداً لمعالجة ذلك.</w:t>
      </w:r>
    </w:p>
    <w:p w14:paraId="2B058D5B" w14:textId="77777777" w:rsidR="00D912ED" w:rsidRPr="00D912ED" w:rsidRDefault="00D912ED" w:rsidP="00A80FB8">
      <w:pPr>
        <w:pStyle w:val="enumlev1"/>
        <w:rPr>
          <w:lang w:val="ar-SA" w:bidi="ar-EG"/>
        </w:rPr>
      </w:pPr>
      <w:r w:rsidRPr="00D912ED">
        <w:rPr>
          <w:rtl/>
        </w:rPr>
        <w:tab/>
        <w:t>وقد يؤدي غياب نافذة واضحة لتقديم الالتماس وآلية لتقديم تعليقات إلى المرشحين غير الناجحين إلى الحد من إمكانية التنبؤ وتثبيط المشاركة المستقبلية الأوسع نطاقاً.</w:t>
      </w:r>
    </w:p>
    <w:p w14:paraId="0F0C99F4" w14:textId="73C773B3" w:rsidR="00D912ED" w:rsidRPr="00D912ED" w:rsidRDefault="00D912ED" w:rsidP="00A80FB8">
      <w:pPr>
        <w:pStyle w:val="enumlev1"/>
        <w:rPr>
          <w:lang w:val="ar-SA" w:bidi="ar-EG"/>
        </w:rPr>
      </w:pPr>
      <w:r w:rsidRPr="00D912ED">
        <w:rPr>
          <w:rtl/>
        </w:rPr>
        <w:tab/>
        <w:t>ولم تستضف بعض المناطق مؤتمر المندوبين المفوضين منذ أكثر من عقدين.</w:t>
      </w:r>
    </w:p>
    <w:p w14:paraId="717ADA76" w14:textId="77777777" w:rsidR="00D912ED" w:rsidRPr="00D912ED" w:rsidRDefault="00D912ED" w:rsidP="00A80FB8">
      <w:pPr>
        <w:pStyle w:val="enumlev1"/>
        <w:rPr>
          <w:lang w:val="ar-SA" w:bidi="ar-EG"/>
        </w:rPr>
      </w:pPr>
      <w:r w:rsidRPr="00D912ED">
        <w:rPr>
          <w:rtl/>
        </w:rPr>
        <w:tab/>
        <w:t>وفي حالة المنطقة الإفريقية مثلاً، لم يعقد في القارة سوى مؤتمرين للمندوبين المفوضين، في عام 1982 (نيروبي) وعام 2002 (مراكش). ومن ناحية أخرى، استضافت أوروبا المؤتمر منذ عام 1947 سبع مرات واستضافته الأمريكتين أربع مرات. وعلى غرار إفريقيا، استضافت كل من آسيا والمحيط الهادئ والدول العربية المؤتمر مرتين، والفرق الرئيسي هو أنه بحلول موعد انعقاد مؤتمر عام 2026 في الدوحة، ستكون قد مرت أربع وعشرون سنة منذ استضافة آخر بلد إفريقي، على الرغم من أن إفريقيا تمثلها 54 دولة عضواً في الاتحاد و13 مقعداً في المجلس.</w:t>
      </w:r>
    </w:p>
    <w:p w14:paraId="111BE33F" w14:textId="194D0079" w:rsidR="00D912ED" w:rsidRPr="00D912ED" w:rsidRDefault="001C1576" w:rsidP="00D912ED">
      <w:pPr>
        <w:rPr>
          <w:lang w:val="ar-SA" w:bidi="ar-EG"/>
        </w:rPr>
      </w:pPr>
      <w:r>
        <w:t>8.1</w:t>
      </w:r>
      <w:r w:rsidR="00D912ED" w:rsidRPr="00D912ED">
        <w:rPr>
          <w:rtl/>
        </w:rPr>
        <w:tab/>
        <w:t>ومن المسلم به أن اختيار البلدان المضيفة يستند إلى عدد من الاعتبارات العملية، بما في ذلك البنية التحتية والالتزامات المالية وإبداء الدول الأعضاء اهتمامها. ومع ذلك، فإن إفساح المجال لمشاركة أوسع في استضافة الاجتماعات رفيعة المستوى يتسق مع مبادئ الإنصاف والشمول والمشاركة العالمية التي يقوم عليها عمل الاتحاد.</w:t>
      </w:r>
    </w:p>
    <w:p w14:paraId="75E99D75" w14:textId="77777777" w:rsidR="00D912ED" w:rsidRPr="00D912ED" w:rsidRDefault="00D912ED" w:rsidP="00D912ED">
      <w:pPr>
        <w:pStyle w:val="Heading1"/>
        <w:rPr>
          <w:lang w:val="ar-SA" w:bidi="ar-EG"/>
        </w:rPr>
      </w:pPr>
      <w:r w:rsidRPr="00D912ED">
        <w:rPr>
          <w:rtl/>
        </w:rPr>
        <w:lastRenderedPageBreak/>
        <w:t>2</w:t>
      </w:r>
      <w:r w:rsidRPr="00D912ED">
        <w:rPr>
          <w:rtl/>
        </w:rPr>
        <w:tab/>
        <w:t>المقترح</w:t>
      </w:r>
    </w:p>
    <w:p w14:paraId="1E4A8CD7" w14:textId="75C47377" w:rsidR="00D912ED" w:rsidRPr="00D912ED" w:rsidRDefault="001C1576" w:rsidP="00D912ED">
      <w:pPr>
        <w:rPr>
          <w:lang w:val="ar-SA" w:bidi="ar-EG"/>
        </w:rPr>
      </w:pPr>
      <w:r>
        <w:t>1.2</w:t>
      </w:r>
      <w:r w:rsidR="00D912ED" w:rsidRPr="00D912ED">
        <w:rPr>
          <w:rtl/>
        </w:rPr>
        <w:tab/>
        <w:t>في ضوء ما سبق، ومع المراعاة الكاملة لصلاحيات مجلس الاتحاد، يقترح أن ينظر المجلس فيما يلي:</w:t>
      </w:r>
    </w:p>
    <w:p w14:paraId="2D09C6FC" w14:textId="6370E709" w:rsidR="00D912ED" w:rsidRPr="00D912ED" w:rsidRDefault="001C1576" w:rsidP="00D912ED">
      <w:pPr>
        <w:rPr>
          <w:lang w:val="ar-SA" w:bidi="ar-EG"/>
        </w:rPr>
      </w:pPr>
      <w:r>
        <w:t>1.1.2</w:t>
      </w:r>
      <w:r w:rsidR="00D912ED" w:rsidRPr="00D912ED">
        <w:rPr>
          <w:rtl/>
        </w:rPr>
        <w:tab/>
        <w:t>أن يطرح دعوات مفتوحة ومحددة زمنياً للإعراب عن الاهتمام باستضافة مؤتمر المندوبين المفوضين وغيره من الاجتماعات النظامية الرئيسية، على أن تبلغ جميع الدول الأعضاء بجداول زمنية ومعايير بوضوح في وقت مبكر بما فيه الكفاية لإعداد مقترحات البلدان المضيفة تماشياً مع دورات التخطيط والميزانية الوطنية لديها؛</w:t>
      </w:r>
    </w:p>
    <w:p w14:paraId="6B2371D5" w14:textId="79836A82" w:rsidR="00D912ED" w:rsidRPr="00D912ED" w:rsidRDefault="001C1576" w:rsidP="00D912ED">
      <w:pPr>
        <w:rPr>
          <w:lang w:val="ar-SA" w:bidi="ar-EG"/>
        </w:rPr>
      </w:pPr>
      <w:r>
        <w:t>2.1.2</w:t>
      </w:r>
      <w:r w:rsidR="00D912ED" w:rsidRPr="00D912ED">
        <w:rPr>
          <w:rtl/>
        </w:rPr>
        <w:tab/>
        <w:t>التأكيد على التناوب الإقليمي كأحد الاعتبارات الاسترشادية في اختيار المضيف، ويطبق باستمرار على مدى دورات متتالية لإتاحة فرص متكافئة عبر المناطق؛</w:t>
      </w:r>
    </w:p>
    <w:p w14:paraId="49D2F2BD" w14:textId="2EA66050" w:rsidR="00D912ED" w:rsidRPr="00D912ED" w:rsidRDefault="001C1576" w:rsidP="00D912ED">
      <w:pPr>
        <w:rPr>
          <w:lang w:val="ar-SA" w:bidi="ar-EG"/>
        </w:rPr>
      </w:pPr>
      <w:r>
        <w:t>3.1.2</w:t>
      </w:r>
      <w:r w:rsidR="00D912ED" w:rsidRPr="00D912ED">
        <w:rPr>
          <w:rtl/>
        </w:rPr>
        <w:tab/>
        <w:t>تشجيع تقديم عطاءات من المناطق الممثلة تمثيلاً ضعيفاً تماشياً مع الأهداف الإنمائية للاتحاد، كوسيلة للنهوض بالإنصاف والشمول المؤسسي على نطاق أوسع في مجال تكنولوجيا المعلومات والاتصالات؛</w:t>
      </w:r>
    </w:p>
    <w:p w14:paraId="3CB707F7" w14:textId="0B37CD1B" w:rsidR="00D912ED" w:rsidRPr="00D912ED" w:rsidRDefault="001C1576" w:rsidP="00D912ED">
      <w:pPr>
        <w:rPr>
          <w:lang w:val="ar-SA" w:bidi="ar-EG"/>
        </w:rPr>
      </w:pPr>
      <w:r>
        <w:t>4.1.2</w:t>
      </w:r>
      <w:r w:rsidR="00D912ED" w:rsidRPr="00D912ED">
        <w:rPr>
          <w:rtl/>
        </w:rPr>
        <w:tab/>
        <w:t>رأينا المدروس بأن هذه التدابير مجتمعة من شأنها أن تحسن الشفافية وتعزز المشاركة الإقليمية وتضمن تقاسم فوائد الاستضافة بشكل أكثر مساواة؛</w:t>
      </w:r>
    </w:p>
    <w:p w14:paraId="54B95743" w14:textId="1072B32A" w:rsidR="00D912ED" w:rsidRPr="00D912ED" w:rsidRDefault="001C1576" w:rsidP="00D912ED">
      <w:pPr>
        <w:rPr>
          <w:lang w:val="ar-SA" w:bidi="ar-EG"/>
        </w:rPr>
      </w:pPr>
      <w:r>
        <w:t>5.1.2</w:t>
      </w:r>
      <w:r w:rsidR="00D912ED" w:rsidRPr="00D912ED">
        <w:rPr>
          <w:rtl/>
        </w:rPr>
        <w:tab/>
        <w:t xml:space="preserve">أن يتاح من خلال البوابة الإلكترونية جميع المعلومات العملية ذات الصلة المتعلقة بالتزامات البلد المضيف ومكونات التكلفة العامة والدعوات الرسمية الواردة وغيرها من الإرشادات الإجرائية لتعزيز الشفافية والمشاركة المستنيرة. </w:t>
      </w:r>
    </w:p>
    <w:p w14:paraId="65557895" w14:textId="1B179158" w:rsidR="00D912ED" w:rsidRPr="00D912ED" w:rsidRDefault="001C1576" w:rsidP="00D912ED">
      <w:pPr>
        <w:rPr>
          <w:lang w:val="ar-SA" w:bidi="ar-EG"/>
        </w:rPr>
      </w:pPr>
      <w:r>
        <w:t>6.1.2</w:t>
      </w:r>
      <w:r w:rsidR="00D912ED" w:rsidRPr="00D912ED">
        <w:rPr>
          <w:rtl/>
        </w:rPr>
        <w:tab/>
        <w:t>تعزيز التدابير الرامية إلى تخفيف العبء المالي والتشغيلي على البلدان المضيفة، بما في ذلك استخدام القدرات المهنية المحلية، وأدوات المشاركة عن بعد، عند الاقتضاء، وحلول التسجيل والاعتماد الرقميين، والمصادر المحلية للبنية التحتية التقنية المتوافقة؛</w:t>
      </w:r>
    </w:p>
    <w:p w14:paraId="1AFFE4C4" w14:textId="42B08A65" w:rsidR="00D912ED" w:rsidRPr="00D912ED" w:rsidRDefault="001C1576" w:rsidP="00D912ED">
      <w:pPr>
        <w:rPr>
          <w:lang w:val="ar-SA" w:bidi="ar-EG"/>
        </w:rPr>
      </w:pPr>
      <w:r>
        <w:t>7.1.2</w:t>
      </w:r>
      <w:r w:rsidR="00D912ED" w:rsidRPr="00D912ED">
        <w:rPr>
          <w:rtl/>
        </w:rPr>
        <w:tab/>
        <w:t>تقديم تعليقات مناسبة إلى المرشحين غير الناجحين، بهدف تعزيز العروض المستقبلية وتشجيع المشاركة المتواصلة من المناطق الممثلة تمثيلاً ضئيلاً.</w:t>
      </w:r>
    </w:p>
    <w:p w14:paraId="65F7F79C" w14:textId="6416A3CE" w:rsidR="00D912ED" w:rsidRPr="00D912ED" w:rsidRDefault="00D912ED" w:rsidP="00A80FB8">
      <w:pPr>
        <w:tabs>
          <w:tab w:val="clear" w:pos="794"/>
          <w:tab w:val="left" w:pos="1133"/>
        </w:tabs>
        <w:spacing w:before="600"/>
        <w:rPr>
          <w:lang w:val="ar-SA" w:bidi="ar-EG"/>
        </w:rPr>
      </w:pPr>
      <w:r w:rsidRPr="00D912ED">
        <w:rPr>
          <w:b/>
          <w:bCs/>
          <w:rtl/>
        </w:rPr>
        <w:t>الملحق</w:t>
      </w:r>
      <w:r w:rsidR="00A80FB8" w:rsidRPr="00A80FB8">
        <w:rPr>
          <w:rFonts w:hint="cs"/>
          <w:b/>
          <w:bCs/>
          <w:rtl/>
        </w:rPr>
        <w:t>ات</w:t>
      </w:r>
      <w:r w:rsidR="00A80FB8">
        <w:rPr>
          <w:rFonts w:hint="cs"/>
          <w:rtl/>
          <w:lang w:val="en-ZA" w:bidi="ar-EG"/>
        </w:rPr>
        <w:t>:</w:t>
      </w:r>
      <w:r w:rsidR="00A80FB8">
        <w:rPr>
          <w:rtl/>
        </w:rPr>
        <w:tab/>
      </w:r>
      <w:r w:rsidRPr="00D912ED">
        <w:rPr>
          <w:rtl/>
        </w:rPr>
        <w:t>1</w:t>
      </w:r>
    </w:p>
    <w:p w14:paraId="4F9902B6" w14:textId="77777777" w:rsidR="00A80FB8" w:rsidRDefault="00A80FB8" w:rsidP="00A80FB8">
      <w:pPr>
        <w:rPr>
          <w:rtl/>
        </w:rPr>
      </w:pPr>
      <w:r>
        <w:rPr>
          <w:rtl/>
        </w:rPr>
        <w:br w:type="page"/>
      </w:r>
    </w:p>
    <w:p w14:paraId="74E315A7" w14:textId="26A97FCF" w:rsidR="00D912ED" w:rsidRPr="00D912ED" w:rsidRDefault="00D912ED" w:rsidP="00A80FB8">
      <w:pPr>
        <w:pStyle w:val="AnnexNo"/>
        <w:rPr>
          <w:lang w:val="ar-SA" w:bidi="ar-EG"/>
        </w:rPr>
      </w:pPr>
      <w:r w:rsidRPr="00D912ED">
        <w:rPr>
          <w:rtl/>
        </w:rPr>
        <w:lastRenderedPageBreak/>
        <w:t>الملحق</w:t>
      </w:r>
    </w:p>
    <w:p w14:paraId="46C29CC8" w14:textId="77777777" w:rsidR="00D912ED" w:rsidRPr="00D912ED" w:rsidRDefault="00D912ED" w:rsidP="00A80FB8">
      <w:pPr>
        <w:pStyle w:val="Annextitle"/>
        <w:rPr>
          <w:lang w:val="ar-SA" w:bidi="ar-EG"/>
        </w:rPr>
      </w:pPr>
      <w:r w:rsidRPr="00D912ED">
        <w:rPr>
          <w:rtl/>
        </w:rPr>
        <w:t>تاريخ استضافة مؤتمرات المندوبين المفوضين</w:t>
      </w:r>
    </w:p>
    <w:tbl>
      <w:tblPr>
        <w:tblStyle w:val="TableGrid"/>
        <w:bidiVisual/>
        <w:tblW w:w="5000" w:type="pct"/>
        <w:tblLayout w:type="fixed"/>
        <w:tblLook w:val="04A0" w:firstRow="1" w:lastRow="0" w:firstColumn="1" w:lastColumn="0" w:noHBand="0" w:noVBand="1"/>
      </w:tblPr>
      <w:tblGrid>
        <w:gridCol w:w="2122"/>
        <w:gridCol w:w="1861"/>
        <w:gridCol w:w="5078"/>
      </w:tblGrid>
      <w:tr w:rsidR="00D912ED" w:rsidRPr="00D912ED" w14:paraId="3879E26C" w14:textId="77777777" w:rsidTr="00C84AB7">
        <w:trPr>
          <w:trHeight w:val="340"/>
        </w:trPr>
        <w:tc>
          <w:tcPr>
            <w:tcW w:w="1171" w:type="pct"/>
            <w:hideMark/>
          </w:tcPr>
          <w:p w14:paraId="33057AE6" w14:textId="77777777" w:rsidR="00D912ED" w:rsidRPr="00D912ED" w:rsidRDefault="00D912ED" w:rsidP="00A80FB8">
            <w:pPr>
              <w:pStyle w:val="Tablehead"/>
              <w:rPr>
                <w:lang w:val="ar-SA" w:bidi="ar-EG"/>
              </w:rPr>
            </w:pPr>
            <w:r w:rsidRPr="00D912ED">
              <w:rPr>
                <w:rtl/>
              </w:rPr>
              <w:t>المنطقة</w:t>
            </w:r>
          </w:p>
        </w:tc>
        <w:tc>
          <w:tcPr>
            <w:tcW w:w="1027" w:type="pct"/>
            <w:hideMark/>
          </w:tcPr>
          <w:p w14:paraId="7448A603" w14:textId="77777777" w:rsidR="00D912ED" w:rsidRPr="00D912ED" w:rsidRDefault="00D912ED" w:rsidP="00A80FB8">
            <w:pPr>
              <w:pStyle w:val="Tablehead"/>
              <w:rPr>
                <w:lang w:val="ar-SA" w:bidi="ar-EG"/>
              </w:rPr>
            </w:pPr>
            <w:r w:rsidRPr="00D912ED">
              <w:rPr>
                <w:rtl/>
              </w:rPr>
              <w:t>عدد مؤتمرات المندوبين المفوضين المستضافة</w:t>
            </w:r>
          </w:p>
        </w:tc>
        <w:tc>
          <w:tcPr>
            <w:tcW w:w="2802" w:type="pct"/>
            <w:hideMark/>
          </w:tcPr>
          <w:p w14:paraId="2215C6D7" w14:textId="77777777" w:rsidR="00D912ED" w:rsidRPr="00D912ED" w:rsidRDefault="00D912ED" w:rsidP="00A80FB8">
            <w:pPr>
              <w:pStyle w:val="Tablehead"/>
              <w:rPr>
                <w:lang w:val="ar-SA" w:bidi="ar-EG"/>
              </w:rPr>
            </w:pPr>
            <w:r w:rsidRPr="00D912ED">
              <w:rPr>
                <w:rtl/>
              </w:rPr>
              <w:t>السنوات - المواقع</w:t>
            </w:r>
          </w:p>
        </w:tc>
      </w:tr>
      <w:tr w:rsidR="00D912ED" w:rsidRPr="00D912ED" w14:paraId="3DAF4195" w14:textId="77777777" w:rsidTr="00C84AB7">
        <w:trPr>
          <w:trHeight w:val="1700"/>
        </w:trPr>
        <w:tc>
          <w:tcPr>
            <w:tcW w:w="1171" w:type="pct"/>
            <w:hideMark/>
          </w:tcPr>
          <w:p w14:paraId="36F02B8B" w14:textId="75525BC9" w:rsidR="00D912ED" w:rsidRPr="00D912ED" w:rsidRDefault="00D912ED" w:rsidP="00A80FB8">
            <w:pPr>
              <w:pStyle w:val="Tabletexte"/>
              <w:jc w:val="left"/>
              <w:rPr>
                <w:lang w:val="ar-SA" w:bidi="ar-EG"/>
              </w:rPr>
            </w:pPr>
            <w:r w:rsidRPr="00D912ED">
              <w:rPr>
                <w:rtl/>
              </w:rPr>
              <w:t xml:space="preserve">أوروبا </w:t>
            </w:r>
            <w:r w:rsidR="00A80FB8">
              <w:rPr>
                <w:rFonts w:hint="cs"/>
                <w:rtl/>
              </w:rPr>
              <w:t xml:space="preserve">(المؤتمر الأوروبي لإدارات البريد والاتصالات) </w:t>
            </w:r>
            <w:r w:rsidR="00A80FB8">
              <w:rPr>
                <w:rtl/>
              </w:rPr>
              <w:br/>
            </w:r>
            <w:r w:rsidRPr="00D912ED">
              <w:rPr>
                <w:lang w:val="en-ZA" w:bidi="ar-EG"/>
              </w:rPr>
              <w:t>(CEPT)</w:t>
            </w:r>
            <w:r w:rsidR="00A80FB8">
              <w:rPr>
                <w:rFonts w:hint="cs"/>
                <w:rtl/>
                <w:lang w:val="en-ZA" w:bidi="ar-EG"/>
              </w:rPr>
              <w:t>)</w:t>
            </w:r>
          </w:p>
        </w:tc>
        <w:tc>
          <w:tcPr>
            <w:tcW w:w="1027" w:type="pct"/>
            <w:hideMark/>
          </w:tcPr>
          <w:p w14:paraId="36C332F6" w14:textId="77777777" w:rsidR="00D912ED" w:rsidRPr="00D912ED" w:rsidRDefault="00D912ED" w:rsidP="00A80FB8">
            <w:pPr>
              <w:pStyle w:val="Tabletexte"/>
              <w:jc w:val="center"/>
              <w:rPr>
                <w:lang w:val="ar-SA" w:bidi="ar-EG"/>
              </w:rPr>
            </w:pPr>
            <w:r w:rsidRPr="00D912ED">
              <w:rPr>
                <w:rtl/>
              </w:rPr>
              <w:t>7</w:t>
            </w:r>
          </w:p>
        </w:tc>
        <w:tc>
          <w:tcPr>
            <w:tcW w:w="2802" w:type="pct"/>
            <w:hideMark/>
          </w:tcPr>
          <w:p w14:paraId="7986DB6F" w14:textId="02251095" w:rsidR="00D912ED" w:rsidRPr="00D912ED" w:rsidRDefault="00D912ED" w:rsidP="00A80FB8">
            <w:pPr>
              <w:pStyle w:val="Tabletexte"/>
              <w:rPr>
                <w:lang w:val="ar-SA" w:bidi="ar-EG"/>
              </w:rPr>
            </w:pPr>
            <w:r w:rsidRPr="00D912ED">
              <w:rPr>
                <w:rtl/>
              </w:rPr>
              <w:t>1959 جنيف، سويسرا</w:t>
            </w:r>
          </w:p>
          <w:p w14:paraId="459D29E2" w14:textId="62F9D0EF" w:rsidR="00D912ED" w:rsidRPr="00D912ED" w:rsidRDefault="00D912ED" w:rsidP="00A80FB8">
            <w:pPr>
              <w:pStyle w:val="Tabletexte"/>
              <w:rPr>
                <w:lang w:val="ar-SA" w:bidi="ar-EG"/>
              </w:rPr>
            </w:pPr>
            <w:r w:rsidRPr="00D912ED">
              <w:rPr>
                <w:rtl/>
              </w:rPr>
              <w:t>1965 - مونترو، سويسرا</w:t>
            </w:r>
          </w:p>
          <w:p w14:paraId="395CA6FB" w14:textId="24D1527F" w:rsidR="00D912ED" w:rsidRPr="00D912ED" w:rsidRDefault="00D912ED" w:rsidP="00A80FB8">
            <w:pPr>
              <w:pStyle w:val="Tabletexte"/>
              <w:rPr>
                <w:lang w:val="ar-SA" w:bidi="ar-EG"/>
              </w:rPr>
            </w:pPr>
            <w:r w:rsidRPr="00D912ED">
              <w:rPr>
                <w:rtl/>
              </w:rPr>
              <w:t>1973 - مالقة-طورمولينوس، إسبانيا</w:t>
            </w:r>
          </w:p>
          <w:p w14:paraId="327EC9E5" w14:textId="0D568B4F" w:rsidR="00D912ED" w:rsidRPr="00D912ED" w:rsidRDefault="00D912ED" w:rsidP="00A80FB8">
            <w:pPr>
              <w:pStyle w:val="Tabletexte"/>
              <w:rPr>
                <w:lang w:val="ar-SA" w:bidi="ar-EG"/>
              </w:rPr>
            </w:pPr>
            <w:r w:rsidRPr="00D912ED">
              <w:rPr>
                <w:rtl/>
              </w:rPr>
              <w:t>1989 - نيس، فرنسا</w:t>
            </w:r>
          </w:p>
          <w:p w14:paraId="45142072" w14:textId="62F79222" w:rsidR="00D912ED" w:rsidRPr="00D912ED" w:rsidRDefault="00D912ED" w:rsidP="00A80FB8">
            <w:pPr>
              <w:pStyle w:val="Tabletexte"/>
              <w:rPr>
                <w:lang w:val="ar-SA" w:bidi="ar-EG"/>
              </w:rPr>
            </w:pPr>
            <w:r w:rsidRPr="00D912ED">
              <w:rPr>
                <w:rtl/>
              </w:rPr>
              <w:t xml:space="preserve">1992 </w:t>
            </w:r>
            <w:r w:rsidR="00A80FB8">
              <w:rPr>
                <w:rFonts w:hint="cs"/>
                <w:rtl/>
              </w:rPr>
              <w:t xml:space="preserve">- </w:t>
            </w:r>
            <w:r w:rsidRPr="00D912ED">
              <w:rPr>
                <w:rtl/>
              </w:rPr>
              <w:t>جنيف (</w:t>
            </w:r>
            <w:r w:rsidR="00A80FB8" w:rsidRPr="00A80FB8">
              <w:rPr>
                <w:rtl/>
                <w:lang w:bidi="ar-SA"/>
              </w:rPr>
              <w:t>مؤتمر المندوبين المفوضين الاستثنائي</w:t>
            </w:r>
            <w:r w:rsidRPr="00D912ED">
              <w:rPr>
                <w:rtl/>
              </w:rPr>
              <w:t>)</w:t>
            </w:r>
          </w:p>
          <w:p w14:paraId="302D8F7B" w14:textId="2D72CDD6" w:rsidR="00D912ED" w:rsidRPr="00D912ED" w:rsidRDefault="00D912ED" w:rsidP="00A80FB8">
            <w:pPr>
              <w:pStyle w:val="Tabletexte"/>
              <w:rPr>
                <w:lang w:val="ar-SA" w:bidi="ar-EG"/>
              </w:rPr>
            </w:pPr>
            <w:r w:rsidRPr="00D912ED">
              <w:rPr>
                <w:rtl/>
              </w:rPr>
              <w:t>2006 - أنطاليا، تركيا</w:t>
            </w:r>
          </w:p>
          <w:p w14:paraId="5EE621E5" w14:textId="77777777" w:rsidR="00D912ED" w:rsidRPr="00D912ED" w:rsidRDefault="00D912ED" w:rsidP="00A80FB8">
            <w:pPr>
              <w:pStyle w:val="Tabletexte"/>
              <w:rPr>
                <w:lang w:val="ar-SA" w:bidi="ar-EG"/>
              </w:rPr>
            </w:pPr>
            <w:r w:rsidRPr="00D912ED">
              <w:rPr>
                <w:rtl/>
              </w:rPr>
              <w:t>2022 - بوخارست، رومانيا</w:t>
            </w:r>
          </w:p>
        </w:tc>
      </w:tr>
      <w:tr w:rsidR="00D912ED" w:rsidRPr="00D912ED" w14:paraId="41D6950B" w14:textId="77777777" w:rsidTr="00C84AB7">
        <w:trPr>
          <w:trHeight w:val="680"/>
        </w:trPr>
        <w:tc>
          <w:tcPr>
            <w:tcW w:w="1171" w:type="pct"/>
            <w:hideMark/>
          </w:tcPr>
          <w:p w14:paraId="0773C07B" w14:textId="6DB9C258" w:rsidR="00D912ED" w:rsidRPr="00D912ED" w:rsidRDefault="00D912ED" w:rsidP="00A80FB8">
            <w:pPr>
              <w:pStyle w:val="Tabletexte"/>
              <w:jc w:val="left"/>
              <w:rPr>
                <w:lang w:val="ar-SA" w:bidi="ar-EG"/>
              </w:rPr>
            </w:pPr>
            <w:r w:rsidRPr="00D912ED">
              <w:rPr>
                <w:rtl/>
              </w:rPr>
              <w:t xml:space="preserve">الأمريكتان </w:t>
            </w:r>
            <w:r w:rsidR="00A80FB8">
              <w:rPr>
                <w:rtl/>
              </w:rPr>
              <w:br/>
            </w:r>
            <w:r w:rsidR="00A80FB8">
              <w:rPr>
                <w:rFonts w:hint="cs"/>
                <w:rtl/>
              </w:rPr>
              <w:t xml:space="preserve">(لجنة البلدان الأمريكية للاتصالات </w:t>
            </w:r>
            <w:r w:rsidRPr="00D912ED">
              <w:rPr>
                <w:lang w:val="en-ZA" w:bidi="ar-EG"/>
              </w:rPr>
              <w:t>(CITEL)</w:t>
            </w:r>
            <w:r w:rsidR="00A80FB8">
              <w:rPr>
                <w:rFonts w:hint="cs"/>
                <w:rtl/>
                <w:lang w:val="en-ZA" w:bidi="ar-EG"/>
              </w:rPr>
              <w:t>)</w:t>
            </w:r>
          </w:p>
        </w:tc>
        <w:tc>
          <w:tcPr>
            <w:tcW w:w="1027" w:type="pct"/>
            <w:hideMark/>
          </w:tcPr>
          <w:p w14:paraId="7EABEFDE" w14:textId="77777777" w:rsidR="00D912ED" w:rsidRPr="00D912ED" w:rsidRDefault="00D912ED" w:rsidP="00A80FB8">
            <w:pPr>
              <w:pStyle w:val="Tabletexte"/>
              <w:jc w:val="center"/>
              <w:rPr>
                <w:lang w:val="ar-SA" w:bidi="ar-EG"/>
              </w:rPr>
            </w:pPr>
            <w:r w:rsidRPr="00D912ED">
              <w:rPr>
                <w:rtl/>
              </w:rPr>
              <w:t>4</w:t>
            </w:r>
          </w:p>
        </w:tc>
        <w:tc>
          <w:tcPr>
            <w:tcW w:w="2802" w:type="pct"/>
            <w:hideMark/>
          </w:tcPr>
          <w:p w14:paraId="251E18E7" w14:textId="74B597C6" w:rsidR="00D912ED" w:rsidRPr="00D912ED" w:rsidRDefault="00D912ED" w:rsidP="00A80FB8">
            <w:pPr>
              <w:pStyle w:val="Tabletexte"/>
              <w:rPr>
                <w:lang w:val="ar-SA" w:bidi="ar-EG"/>
              </w:rPr>
            </w:pPr>
            <w:r w:rsidRPr="00D912ED">
              <w:rPr>
                <w:rtl/>
              </w:rPr>
              <w:t>1947 - أتلانتيك سيتي، الولايات المتحدة</w:t>
            </w:r>
            <w:r w:rsidR="00A80FB8">
              <w:rPr>
                <w:rFonts w:hint="cs"/>
                <w:rtl/>
              </w:rPr>
              <w:t xml:space="preserve"> الأمريكية</w:t>
            </w:r>
          </w:p>
          <w:p w14:paraId="0EAE1623" w14:textId="6CA6D03D" w:rsidR="00D912ED" w:rsidRPr="00D912ED" w:rsidRDefault="00D912ED" w:rsidP="00A80FB8">
            <w:pPr>
              <w:pStyle w:val="Tabletexte"/>
              <w:rPr>
                <w:lang w:val="ar-SA" w:bidi="ar-EG"/>
              </w:rPr>
            </w:pPr>
            <w:r w:rsidRPr="00D912ED">
              <w:rPr>
                <w:rtl/>
              </w:rPr>
              <w:t>1952 - بوينس آيرس، الأرجنتين</w:t>
            </w:r>
          </w:p>
          <w:p w14:paraId="4793E361" w14:textId="37B0824C" w:rsidR="00D912ED" w:rsidRPr="00D912ED" w:rsidRDefault="00D912ED" w:rsidP="00A80FB8">
            <w:pPr>
              <w:pStyle w:val="Tabletexte"/>
              <w:rPr>
                <w:lang w:val="ar-SA" w:bidi="ar-EG"/>
              </w:rPr>
            </w:pPr>
            <w:r w:rsidRPr="00D912ED">
              <w:rPr>
                <w:rtl/>
              </w:rPr>
              <w:t>1998 - مينيابوليس، الولايات المتحدة</w:t>
            </w:r>
            <w:r w:rsidR="00A80FB8">
              <w:rPr>
                <w:rFonts w:hint="cs"/>
                <w:rtl/>
              </w:rPr>
              <w:t xml:space="preserve"> الأمريكية</w:t>
            </w:r>
          </w:p>
          <w:p w14:paraId="0F86CF97" w14:textId="77777777" w:rsidR="00D912ED" w:rsidRPr="00D912ED" w:rsidRDefault="00D912ED" w:rsidP="00A80FB8">
            <w:pPr>
              <w:pStyle w:val="Tabletexte"/>
              <w:rPr>
                <w:lang w:val="ar-SA" w:bidi="ar-EG"/>
              </w:rPr>
            </w:pPr>
            <w:r w:rsidRPr="00D912ED">
              <w:rPr>
                <w:rtl/>
              </w:rPr>
              <w:t>2010 - غوادالاخارا، المكسيك</w:t>
            </w:r>
          </w:p>
        </w:tc>
      </w:tr>
      <w:tr w:rsidR="00D912ED" w:rsidRPr="00D912ED" w14:paraId="2E397E93" w14:textId="77777777" w:rsidTr="00C84AB7">
        <w:trPr>
          <w:trHeight w:val="340"/>
        </w:trPr>
        <w:tc>
          <w:tcPr>
            <w:tcW w:w="1171" w:type="pct"/>
            <w:hideMark/>
          </w:tcPr>
          <w:p w14:paraId="6020A1E2" w14:textId="0A619D5D" w:rsidR="00D912ED" w:rsidRPr="00D912ED" w:rsidRDefault="00D912ED" w:rsidP="00A80FB8">
            <w:pPr>
              <w:pStyle w:val="Tabletexte"/>
              <w:jc w:val="left"/>
              <w:rPr>
                <w:lang w:val="ar-SA" w:bidi="ar-EG"/>
              </w:rPr>
            </w:pPr>
            <w:r w:rsidRPr="00D912ED">
              <w:rPr>
                <w:rtl/>
              </w:rPr>
              <w:t xml:space="preserve">إفريقيا </w:t>
            </w:r>
            <w:r w:rsidR="00A80FB8">
              <w:rPr>
                <w:rtl/>
              </w:rPr>
              <w:br/>
            </w:r>
            <w:r w:rsidR="00A80FB8">
              <w:rPr>
                <w:rFonts w:hint="cs"/>
                <w:rtl/>
              </w:rPr>
              <w:t xml:space="preserve">(الاتحاد الإفريقي للاتصالات </w:t>
            </w:r>
            <w:r w:rsidRPr="00D912ED">
              <w:rPr>
                <w:lang w:val="en-ZA" w:bidi="ar-EG"/>
              </w:rPr>
              <w:t>(ATU)</w:t>
            </w:r>
            <w:r w:rsidR="00A80FB8">
              <w:rPr>
                <w:rFonts w:hint="cs"/>
                <w:rtl/>
                <w:lang w:val="en-ZA" w:bidi="ar-EG"/>
              </w:rPr>
              <w:t>)</w:t>
            </w:r>
          </w:p>
        </w:tc>
        <w:tc>
          <w:tcPr>
            <w:tcW w:w="1027" w:type="pct"/>
            <w:hideMark/>
          </w:tcPr>
          <w:p w14:paraId="5EEF419A" w14:textId="77777777" w:rsidR="00D912ED" w:rsidRPr="00D912ED" w:rsidRDefault="00D912ED" w:rsidP="00A80FB8">
            <w:pPr>
              <w:pStyle w:val="Tabletexte"/>
              <w:jc w:val="center"/>
              <w:rPr>
                <w:lang w:val="ar-SA" w:bidi="ar-EG"/>
              </w:rPr>
            </w:pPr>
            <w:r w:rsidRPr="00D912ED">
              <w:rPr>
                <w:rtl/>
              </w:rPr>
              <w:t>2</w:t>
            </w:r>
          </w:p>
        </w:tc>
        <w:tc>
          <w:tcPr>
            <w:tcW w:w="2802" w:type="pct"/>
            <w:hideMark/>
          </w:tcPr>
          <w:p w14:paraId="1BB49D5E" w14:textId="2A4E7EEE" w:rsidR="00D912ED" w:rsidRPr="00D912ED" w:rsidRDefault="00D912ED" w:rsidP="00A80FB8">
            <w:pPr>
              <w:pStyle w:val="Tabletexte"/>
              <w:rPr>
                <w:lang w:val="ar-SA" w:bidi="ar-EG"/>
              </w:rPr>
            </w:pPr>
            <w:r w:rsidRPr="00D912ED">
              <w:rPr>
                <w:rtl/>
              </w:rPr>
              <w:t xml:space="preserve">1982 </w:t>
            </w:r>
            <w:r w:rsidR="00A80FB8">
              <w:rPr>
                <w:rFonts w:hint="cs"/>
                <w:rtl/>
              </w:rPr>
              <w:t xml:space="preserve">- </w:t>
            </w:r>
            <w:r w:rsidRPr="00D912ED">
              <w:rPr>
                <w:rtl/>
              </w:rPr>
              <w:t>نيروبي، كينيا</w:t>
            </w:r>
          </w:p>
          <w:p w14:paraId="7B05F29E" w14:textId="77777777" w:rsidR="00D912ED" w:rsidRPr="00D912ED" w:rsidRDefault="00D912ED" w:rsidP="00A80FB8">
            <w:pPr>
              <w:pStyle w:val="Tabletexte"/>
              <w:rPr>
                <w:lang w:val="ar-SA" w:bidi="ar-EG"/>
              </w:rPr>
            </w:pPr>
            <w:r w:rsidRPr="00D912ED">
              <w:rPr>
                <w:rtl/>
              </w:rPr>
              <w:t>2002 - مراكش، المغرب</w:t>
            </w:r>
          </w:p>
        </w:tc>
      </w:tr>
      <w:tr w:rsidR="00D912ED" w:rsidRPr="00D912ED" w14:paraId="29E3F332" w14:textId="77777777" w:rsidTr="00C84AB7">
        <w:trPr>
          <w:trHeight w:val="680"/>
        </w:trPr>
        <w:tc>
          <w:tcPr>
            <w:tcW w:w="1171" w:type="pct"/>
            <w:hideMark/>
          </w:tcPr>
          <w:p w14:paraId="6EB9ABE2" w14:textId="5DDEA1C5" w:rsidR="00D912ED" w:rsidRPr="00D912ED" w:rsidRDefault="00D912ED" w:rsidP="00A80FB8">
            <w:pPr>
              <w:pStyle w:val="Tabletexte"/>
              <w:jc w:val="left"/>
              <w:rPr>
                <w:lang w:val="ar-SA" w:bidi="ar-EG"/>
              </w:rPr>
            </w:pPr>
            <w:r w:rsidRPr="00D912ED">
              <w:rPr>
                <w:rtl/>
              </w:rPr>
              <w:t xml:space="preserve">دول آسيا والمحيط الهادئ </w:t>
            </w:r>
            <w:r w:rsidR="00A80FB8">
              <w:rPr>
                <w:rtl/>
              </w:rPr>
              <w:br/>
            </w:r>
            <w:r w:rsidR="00A80FB8">
              <w:rPr>
                <w:rFonts w:hint="cs"/>
                <w:rtl/>
              </w:rPr>
              <w:t xml:space="preserve">(جماعة آسيا والمحيط الهادئ للاتصالات </w:t>
            </w:r>
            <w:r w:rsidRPr="00D912ED">
              <w:rPr>
                <w:lang w:val="en-ZA" w:bidi="ar-EG"/>
              </w:rPr>
              <w:t>(APT)</w:t>
            </w:r>
            <w:r w:rsidR="00A80FB8">
              <w:rPr>
                <w:rFonts w:hint="cs"/>
                <w:rtl/>
                <w:lang w:val="en-ZA" w:bidi="ar-EG"/>
              </w:rPr>
              <w:t>)</w:t>
            </w:r>
          </w:p>
        </w:tc>
        <w:tc>
          <w:tcPr>
            <w:tcW w:w="1027" w:type="pct"/>
            <w:hideMark/>
          </w:tcPr>
          <w:p w14:paraId="6403FF2D" w14:textId="77777777" w:rsidR="00D912ED" w:rsidRPr="00D912ED" w:rsidRDefault="00D912ED" w:rsidP="00A80FB8">
            <w:pPr>
              <w:pStyle w:val="Tabletexte"/>
              <w:jc w:val="center"/>
              <w:rPr>
                <w:lang w:val="ar-SA" w:bidi="ar-EG"/>
              </w:rPr>
            </w:pPr>
            <w:r w:rsidRPr="00D912ED">
              <w:rPr>
                <w:rtl/>
              </w:rPr>
              <w:t>2</w:t>
            </w:r>
          </w:p>
        </w:tc>
        <w:tc>
          <w:tcPr>
            <w:tcW w:w="2802" w:type="pct"/>
            <w:hideMark/>
          </w:tcPr>
          <w:p w14:paraId="086147C7" w14:textId="045D5CAC" w:rsidR="00D912ED" w:rsidRPr="00D912ED" w:rsidRDefault="00D912ED" w:rsidP="00A80FB8">
            <w:pPr>
              <w:pStyle w:val="Tabletexte"/>
              <w:rPr>
                <w:lang w:val="ar-SA" w:bidi="ar-EG"/>
              </w:rPr>
            </w:pPr>
            <w:r w:rsidRPr="00D912ED">
              <w:rPr>
                <w:rtl/>
              </w:rPr>
              <w:t>1994 - كيوتو، اليابان</w:t>
            </w:r>
          </w:p>
          <w:p w14:paraId="170B5C63" w14:textId="0CB8E85C" w:rsidR="00D912ED" w:rsidRPr="00D912ED" w:rsidRDefault="00D912ED" w:rsidP="00A80FB8">
            <w:pPr>
              <w:pStyle w:val="Tabletexte"/>
              <w:rPr>
                <w:lang w:val="ar-SA" w:bidi="ar-EG"/>
              </w:rPr>
            </w:pPr>
            <w:r w:rsidRPr="00D912ED">
              <w:rPr>
                <w:rtl/>
              </w:rPr>
              <w:t>2014 - بوسان، جمهورية كوريا</w:t>
            </w:r>
          </w:p>
        </w:tc>
      </w:tr>
      <w:tr w:rsidR="00D912ED" w:rsidRPr="00D912ED" w14:paraId="157D133E" w14:textId="77777777" w:rsidTr="00C84AB7">
        <w:trPr>
          <w:trHeight w:val="340"/>
        </w:trPr>
        <w:tc>
          <w:tcPr>
            <w:tcW w:w="1171" w:type="pct"/>
            <w:hideMark/>
          </w:tcPr>
          <w:p w14:paraId="28F5859B" w14:textId="40F0EA1E" w:rsidR="00D912ED" w:rsidRPr="00D912ED" w:rsidRDefault="00D912ED" w:rsidP="00A80FB8">
            <w:pPr>
              <w:pStyle w:val="Tabletexte"/>
              <w:jc w:val="left"/>
              <w:rPr>
                <w:lang w:val="ar-SA" w:bidi="ar-EG"/>
              </w:rPr>
            </w:pPr>
            <w:r w:rsidRPr="00D912ED">
              <w:rPr>
                <w:rtl/>
              </w:rPr>
              <w:t xml:space="preserve">الدول العربية </w:t>
            </w:r>
            <w:r w:rsidR="00A80FB8">
              <w:rPr>
                <w:rtl/>
              </w:rPr>
              <w:br/>
            </w:r>
            <w:r w:rsidR="00A80FB8">
              <w:rPr>
                <w:rFonts w:hint="cs"/>
                <w:rtl/>
              </w:rPr>
              <w:t>(فريق إدارة الطيف في البلدان العربية</w:t>
            </w:r>
            <w:r w:rsidR="00A80FB8">
              <w:rPr>
                <w:rFonts w:hint="eastAsia"/>
                <w:rtl/>
              </w:rPr>
              <w:t> </w:t>
            </w:r>
            <w:r w:rsidRPr="00D912ED">
              <w:rPr>
                <w:lang w:val="en-ZA" w:bidi="ar-EG"/>
              </w:rPr>
              <w:t>(</w:t>
            </w:r>
            <w:proofErr w:type="spellStart"/>
            <w:r w:rsidRPr="00D912ED">
              <w:rPr>
                <w:lang w:val="en-ZA" w:bidi="ar-EG"/>
              </w:rPr>
              <w:t>ASMG</w:t>
            </w:r>
            <w:proofErr w:type="spellEnd"/>
            <w:r w:rsidRPr="00D912ED">
              <w:rPr>
                <w:lang w:val="en-ZA" w:bidi="ar-EG"/>
              </w:rPr>
              <w:t>)</w:t>
            </w:r>
            <w:r w:rsidR="00A80FB8">
              <w:rPr>
                <w:rFonts w:hint="cs"/>
                <w:rtl/>
                <w:lang w:val="en-ZA" w:bidi="ar-EG"/>
              </w:rPr>
              <w:t>)</w:t>
            </w:r>
          </w:p>
        </w:tc>
        <w:tc>
          <w:tcPr>
            <w:tcW w:w="1027" w:type="pct"/>
            <w:hideMark/>
          </w:tcPr>
          <w:p w14:paraId="6E1346E0" w14:textId="28AE3E35" w:rsidR="00D912ED" w:rsidRPr="00D912ED" w:rsidRDefault="00A80FB8" w:rsidP="00A80FB8">
            <w:pPr>
              <w:pStyle w:val="Tabletexte"/>
              <w:jc w:val="center"/>
              <w:rPr>
                <w:lang w:val="ar-SA" w:bidi="ar-EG"/>
              </w:rPr>
            </w:pPr>
            <w:r>
              <w:rPr>
                <w:rFonts w:hint="cs"/>
                <w:rtl/>
              </w:rPr>
              <w:t>2</w:t>
            </w:r>
            <w:r>
              <w:rPr>
                <w:rtl/>
              </w:rPr>
              <w:br/>
            </w:r>
            <w:r w:rsidR="00D912ED" w:rsidRPr="00A80FB8">
              <w:rPr>
                <w:i/>
                <w:iCs/>
                <w:rtl/>
              </w:rPr>
              <w:t>(بما في ذلك مؤتمر المندوبين المفوضين لعام 2026</w:t>
            </w:r>
            <w:r w:rsidRPr="00A80FB8">
              <w:rPr>
                <w:rFonts w:hint="cs"/>
                <w:i/>
                <w:iCs/>
                <w:rtl/>
              </w:rPr>
              <w:t>)</w:t>
            </w:r>
          </w:p>
        </w:tc>
        <w:tc>
          <w:tcPr>
            <w:tcW w:w="2802" w:type="pct"/>
            <w:hideMark/>
          </w:tcPr>
          <w:p w14:paraId="7492E8B9" w14:textId="2CB6DBE7" w:rsidR="00D912ED" w:rsidRPr="00D912ED" w:rsidRDefault="00D912ED" w:rsidP="00A80FB8">
            <w:pPr>
              <w:pStyle w:val="Tabletexte"/>
              <w:rPr>
                <w:lang w:val="ar-SA" w:bidi="ar-EG"/>
              </w:rPr>
            </w:pPr>
            <w:r w:rsidRPr="00D912ED">
              <w:rPr>
                <w:rtl/>
              </w:rPr>
              <w:t>2018 – دبي، الإمارات العربية المتحدة</w:t>
            </w:r>
          </w:p>
          <w:p w14:paraId="42F6EA08" w14:textId="77777777" w:rsidR="00D912ED" w:rsidRPr="00D912ED" w:rsidRDefault="00D912ED" w:rsidP="00A80FB8">
            <w:pPr>
              <w:pStyle w:val="Tabletexte"/>
              <w:rPr>
                <w:lang w:val="ar-SA" w:bidi="ar-EG"/>
              </w:rPr>
            </w:pPr>
            <w:r w:rsidRPr="00D912ED">
              <w:rPr>
                <w:rtl/>
              </w:rPr>
              <w:t>2026 - الدوحة، قطر</w:t>
            </w:r>
          </w:p>
        </w:tc>
      </w:tr>
    </w:tbl>
    <w:p w14:paraId="5351D834"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66CF" w14:textId="77777777" w:rsidR="00D912ED" w:rsidRDefault="00D912ED" w:rsidP="006C3242">
      <w:pPr>
        <w:spacing w:before="0" w:line="240" w:lineRule="auto"/>
      </w:pPr>
      <w:r>
        <w:separator/>
      </w:r>
    </w:p>
  </w:endnote>
  <w:endnote w:type="continuationSeparator" w:id="0">
    <w:p w14:paraId="16E0682F" w14:textId="77777777" w:rsidR="00D912ED" w:rsidRDefault="00D912E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D66" w14:textId="77777777" w:rsidR="00A04433" w:rsidRDefault="00A04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09E8EA8C" w14:textId="77777777" w:rsidTr="00A67F05">
      <w:trPr>
        <w:jc w:val="center"/>
      </w:trPr>
      <w:tc>
        <w:tcPr>
          <w:tcW w:w="868" w:type="pct"/>
          <w:vAlign w:val="center"/>
        </w:tcPr>
        <w:p w14:paraId="19594DF6" w14:textId="3D68D301" w:rsidR="00F50E3F" w:rsidRPr="00D912ED" w:rsidRDefault="00D912ED" w:rsidP="00A04433">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D912ED">
            <w:rPr>
              <w:rFonts w:ascii="Calibri" w:hAnsi="Calibri" w:cs="Arial"/>
              <w:sz w:val="18"/>
              <w:szCs w:val="14"/>
              <w:lang w:val="en-US"/>
            </w:rPr>
            <w:t>2600991</w:t>
          </w:r>
        </w:p>
      </w:tc>
      <w:tc>
        <w:tcPr>
          <w:tcW w:w="3912" w:type="pct"/>
        </w:tcPr>
        <w:p w14:paraId="121083A1" w14:textId="68084E2E" w:rsidR="00F50E3F" w:rsidRPr="007B0AA0" w:rsidRDefault="00F50E3F" w:rsidP="00A0443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912ED">
            <w:rPr>
              <w:rFonts w:ascii="Calibri" w:hAnsi="Calibri" w:cs="Arial"/>
              <w:bCs/>
              <w:color w:val="7F7F7F"/>
              <w:sz w:val="18"/>
            </w:rPr>
            <w:t>102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E965FE1" w14:textId="77777777" w:rsidR="00F50E3F" w:rsidRPr="007B0AA0" w:rsidRDefault="00F50E3F" w:rsidP="00A0443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77AABFD"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2DE0100" w14:textId="77777777" w:rsidTr="00A67F05">
      <w:trPr>
        <w:jc w:val="center"/>
      </w:trPr>
      <w:tc>
        <w:tcPr>
          <w:tcW w:w="1013" w:type="pct"/>
          <w:vAlign w:val="center"/>
        </w:tcPr>
        <w:p w14:paraId="1DC01382" w14:textId="77777777" w:rsidR="007B0AA0" w:rsidRPr="000116AF" w:rsidRDefault="000116AF" w:rsidP="00A04433">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6CB9340C" w14:textId="2F51E36B" w:rsidR="007B0AA0" w:rsidRPr="007B0AA0" w:rsidRDefault="007B0AA0" w:rsidP="00A0443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912ED">
            <w:rPr>
              <w:rFonts w:ascii="Calibri" w:hAnsi="Calibri" w:cs="Arial"/>
              <w:bCs/>
              <w:color w:val="7F7F7F"/>
              <w:sz w:val="18"/>
            </w:rPr>
            <w:t>102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80E97B0" w14:textId="77777777" w:rsidR="007B0AA0" w:rsidRPr="007B0AA0" w:rsidRDefault="00F50E3F" w:rsidP="00A0443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9D90A1C"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2D11" w14:textId="77777777" w:rsidR="00D912ED" w:rsidRDefault="00D912ED" w:rsidP="006C3242">
      <w:pPr>
        <w:spacing w:before="0" w:line="240" w:lineRule="auto"/>
      </w:pPr>
      <w:r>
        <w:separator/>
      </w:r>
    </w:p>
  </w:footnote>
  <w:footnote w:type="continuationSeparator" w:id="0">
    <w:p w14:paraId="667C56DC" w14:textId="77777777" w:rsidR="00D912ED" w:rsidRDefault="00D912E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858" w14:textId="77777777" w:rsidR="00A04433" w:rsidRDefault="00A04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7200" w14:textId="77777777" w:rsidR="00A04433" w:rsidRDefault="00A04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0BD" w14:textId="77777777" w:rsidR="001A3E13" w:rsidRPr="00057769" w:rsidRDefault="001A3E13" w:rsidP="001A3E13">
    <w:pPr>
      <w:pStyle w:val="Header"/>
    </w:pPr>
    <w:r>
      <w:rPr>
        <w:noProof/>
      </w:rPr>
      <w:drawing>
        <wp:inline distT="0" distB="0" distL="0" distR="0" wp14:anchorId="23F3B50C" wp14:editId="57755284">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ED"/>
    <w:rsid w:val="000116AF"/>
    <w:rsid w:val="0006468A"/>
    <w:rsid w:val="00077A58"/>
    <w:rsid w:val="00090574"/>
    <w:rsid w:val="000C1C0E"/>
    <w:rsid w:val="000C548A"/>
    <w:rsid w:val="00191059"/>
    <w:rsid w:val="001A3E13"/>
    <w:rsid w:val="001B6E2B"/>
    <w:rsid w:val="001C0169"/>
    <w:rsid w:val="001C0C21"/>
    <w:rsid w:val="001C1576"/>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25B53"/>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04433"/>
    <w:rsid w:val="00A47A5A"/>
    <w:rsid w:val="00A63AE6"/>
    <w:rsid w:val="00A6683B"/>
    <w:rsid w:val="00A67F05"/>
    <w:rsid w:val="00A80FB8"/>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1F5A"/>
    <w:rsid w:val="00CE2EE1"/>
    <w:rsid w:val="00CE2FCB"/>
    <w:rsid w:val="00CE3349"/>
    <w:rsid w:val="00CE36E5"/>
    <w:rsid w:val="00CE4360"/>
    <w:rsid w:val="00CF27F5"/>
    <w:rsid w:val="00CF3FFD"/>
    <w:rsid w:val="00D10CCF"/>
    <w:rsid w:val="00D13941"/>
    <w:rsid w:val="00D23F5F"/>
    <w:rsid w:val="00D37B35"/>
    <w:rsid w:val="00D43F7D"/>
    <w:rsid w:val="00D63735"/>
    <w:rsid w:val="00D77D0F"/>
    <w:rsid w:val="00D912ED"/>
    <w:rsid w:val="00DA1CF0"/>
    <w:rsid w:val="00DA6A30"/>
    <w:rsid w:val="00DC1E02"/>
    <w:rsid w:val="00DC24B4"/>
    <w:rsid w:val="00DC5FB0"/>
    <w:rsid w:val="00DF16DC"/>
    <w:rsid w:val="00E45211"/>
    <w:rsid w:val="00E473C5"/>
    <w:rsid w:val="00E53C3A"/>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 w:val="00FF0F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1118"/>
  <w15:chartTrackingRefBased/>
  <w15:docId w15:val="{E861FAD2-FE39-4703-AE7D-B24C400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6280">
      <w:bodyDiv w:val="1"/>
      <w:marLeft w:val="0"/>
      <w:marRight w:val="0"/>
      <w:marTop w:val="0"/>
      <w:marBottom w:val="0"/>
      <w:divBdr>
        <w:top w:val="none" w:sz="0" w:space="0" w:color="auto"/>
        <w:left w:val="none" w:sz="0" w:space="0" w:color="auto"/>
        <w:bottom w:val="none" w:sz="0" w:space="0" w:color="auto"/>
        <w:right w:val="none" w:sz="0" w:space="0" w:color="auto"/>
      </w:divBdr>
      <w:divsChild>
        <w:div w:id="1332173785">
          <w:marLeft w:val="0"/>
          <w:marRight w:val="0"/>
          <w:marTop w:val="0"/>
          <w:marBottom w:val="0"/>
          <w:divBdr>
            <w:top w:val="none" w:sz="0" w:space="0" w:color="auto"/>
            <w:left w:val="none" w:sz="0" w:space="0" w:color="auto"/>
            <w:bottom w:val="none" w:sz="0" w:space="0" w:color="auto"/>
            <w:right w:val="none" w:sz="0" w:space="0" w:color="auto"/>
          </w:divBdr>
        </w:div>
      </w:divsChild>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70/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4</Pages>
  <Words>1006</Words>
  <Characters>5804</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case for regional equity and enabling conditions for broader participation in the hosting of ITU Plenipotentiary Conferences</dc:title>
  <dc:subject>ITU Council 2026</dc:subject>
  <cp:keywords>C26; C2026; Council 2026; PP26</cp:keywords>
  <dc:description/>
  <dcterms:created xsi:type="dcterms:W3CDTF">2026-04-30T15:24:00Z</dcterms:created>
  <dcterms:modified xsi:type="dcterms:W3CDTF">2026-04-30T15:29:00Z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