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9421071" w14:textId="77777777" w:rsidTr="00F363FE">
        <w:tc>
          <w:tcPr>
            <w:tcW w:w="6512" w:type="dxa"/>
          </w:tcPr>
          <w:p w14:paraId="7CD5DD5C" w14:textId="58D4EFAC" w:rsidR="007B0AA0" w:rsidRPr="001B2DA5" w:rsidRDefault="007B0AA0" w:rsidP="00F363FE">
            <w:pPr>
              <w:spacing w:before="60" w:after="60" w:line="260" w:lineRule="exact"/>
              <w:rPr>
                <w:b/>
                <w:bCs/>
                <w:lang w:val="en-GB"/>
              </w:rPr>
            </w:pPr>
            <w:r w:rsidRPr="007B0AA0">
              <w:rPr>
                <w:rFonts w:hint="cs"/>
                <w:b/>
                <w:bCs/>
                <w:rtl/>
                <w:lang w:bidi="ar-EG"/>
              </w:rPr>
              <w:t>بند جدول الأعمال:</w:t>
            </w:r>
            <w:r w:rsidR="001B2DA5">
              <w:rPr>
                <w:rFonts w:hint="cs"/>
                <w:b/>
                <w:bCs/>
                <w:rtl/>
              </w:rPr>
              <w:t xml:space="preserve"> </w:t>
            </w:r>
            <w:r w:rsidR="001B2DA5">
              <w:rPr>
                <w:b/>
                <w:bCs/>
              </w:rPr>
              <w:t>PL 2</w:t>
            </w:r>
          </w:p>
        </w:tc>
        <w:tc>
          <w:tcPr>
            <w:tcW w:w="3117" w:type="dxa"/>
          </w:tcPr>
          <w:p w14:paraId="339A15C6" w14:textId="6AE83E90" w:rsidR="007B0AA0" w:rsidRPr="007B0AA0" w:rsidRDefault="001B2DA5" w:rsidP="001B2DA5">
            <w:pPr>
              <w:spacing w:before="60" w:after="60" w:line="260" w:lineRule="exact"/>
              <w:jc w:val="left"/>
              <w:rPr>
                <w:b/>
                <w:bCs/>
                <w:lang w:bidi="ar-EG"/>
              </w:rPr>
            </w:pPr>
            <w:r>
              <w:rPr>
                <w:rFonts w:hint="cs"/>
                <w:b/>
                <w:bCs/>
                <w:rtl/>
                <w:lang w:bidi="ar-EG"/>
              </w:rPr>
              <w:t>المراجعة 1</w:t>
            </w:r>
            <w:r>
              <w:rPr>
                <w:b/>
                <w:bCs/>
                <w:rtl/>
                <w:lang w:bidi="ar-EG"/>
              </w:rPr>
              <w:br/>
            </w:r>
            <w:r>
              <w:rPr>
                <w:rFonts w:hint="cs"/>
                <w:b/>
                <w:bCs/>
                <w:rtl/>
                <w:lang w:bidi="ar-EG"/>
              </w:rPr>
              <w:t>ل</w:t>
            </w:r>
            <w:r w:rsidR="007B0AA0" w:rsidRPr="007B0AA0">
              <w:rPr>
                <w:rFonts w:hint="cs"/>
                <w:b/>
                <w:bCs/>
                <w:rtl/>
                <w:lang w:bidi="ar-EG"/>
              </w:rPr>
              <w:t xml:space="preserve">لوثيقة </w:t>
            </w:r>
            <w:r w:rsidR="007B0AA0" w:rsidRPr="007B0AA0">
              <w:rPr>
                <w:b/>
                <w:bCs/>
                <w:lang w:bidi="ar-EG"/>
              </w:rPr>
              <w:t>C2</w:t>
            </w:r>
            <w:r w:rsidR="000116AF">
              <w:rPr>
                <w:b/>
                <w:bCs/>
                <w:lang w:bidi="ar-EG"/>
              </w:rPr>
              <w:t>6</w:t>
            </w:r>
            <w:r w:rsidR="007B0AA0" w:rsidRPr="007B0AA0">
              <w:rPr>
                <w:b/>
                <w:bCs/>
                <w:lang w:bidi="ar-EG"/>
              </w:rPr>
              <w:t>/</w:t>
            </w:r>
            <w:r>
              <w:rPr>
                <w:b/>
                <w:bCs/>
                <w:lang w:bidi="ar-EG"/>
              </w:rPr>
              <w:t>101</w:t>
            </w:r>
            <w:r w:rsidR="007B0AA0"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1EAAA63E" w:rsidR="007B0AA0" w:rsidRPr="001B2DA5" w:rsidRDefault="001B2DA5" w:rsidP="00F363FE">
            <w:pPr>
              <w:spacing w:before="60" w:after="60" w:line="260" w:lineRule="exact"/>
              <w:rPr>
                <w:b/>
                <w:bCs/>
                <w:lang w:val="en-GB"/>
              </w:rPr>
            </w:pPr>
            <w:r>
              <w:rPr>
                <w:b/>
                <w:bCs/>
                <w:lang w:bidi="ar-EG"/>
              </w:rPr>
              <w:t>27</w:t>
            </w:r>
            <w:r>
              <w:rPr>
                <w:rFonts w:hint="cs"/>
                <w:b/>
                <w:bCs/>
                <w:rtl/>
              </w:rPr>
              <w:t xml:space="preserve"> أبريل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7FDA43A0" w:rsidR="007B0AA0" w:rsidRDefault="001B2DA5" w:rsidP="007B0AA0">
            <w:pPr>
              <w:pStyle w:val="Source"/>
              <w:jc w:val="left"/>
              <w:rPr>
                <w:lang w:bidi="ar-EG"/>
              </w:rPr>
            </w:pPr>
            <w:r w:rsidRPr="001B2DA5">
              <w:rPr>
                <w:rtl/>
                <w:lang w:bidi="ar-EG"/>
              </w:rPr>
              <w:t xml:space="preserve">مساهمة مقدمة من جمهورية جنوب إفريقيا والمملكة العربية السعودية </w:t>
            </w:r>
            <w:r>
              <w:rPr>
                <w:rFonts w:hint="cs"/>
                <w:rtl/>
              </w:rPr>
              <w:t xml:space="preserve">وجمهورية مصر العربية، </w:t>
            </w:r>
            <w:r w:rsidRPr="001B2DA5">
              <w:rPr>
                <w:rtl/>
                <w:lang w:bidi="ar-EG"/>
              </w:rPr>
              <w:t>وجمهورية نيجيريا الاتحادية والمملكة المغربية وجمهورية تنزانيا المتحدة</w:t>
            </w:r>
          </w:p>
        </w:tc>
      </w:tr>
      <w:tr w:rsidR="007B0AA0" w14:paraId="07BBDF5C" w14:textId="77777777" w:rsidTr="007B0AA0">
        <w:tc>
          <w:tcPr>
            <w:tcW w:w="9629" w:type="dxa"/>
            <w:gridSpan w:val="2"/>
            <w:tcBorders>
              <w:bottom w:val="single" w:sz="4" w:space="0" w:color="auto"/>
            </w:tcBorders>
          </w:tcPr>
          <w:p w14:paraId="4CEEFF10" w14:textId="2AFA8222" w:rsidR="007B0AA0" w:rsidRPr="005546CF" w:rsidRDefault="001B2DA5" w:rsidP="007B0AA0">
            <w:pPr>
              <w:pStyle w:val="Subtitle0"/>
              <w:rPr>
                <w:sz w:val="32"/>
                <w:szCs w:val="32"/>
              </w:rPr>
            </w:pPr>
            <w:r w:rsidRPr="001B2DA5">
              <w:rPr>
                <w:sz w:val="32"/>
                <w:szCs w:val="32"/>
                <w:rtl/>
              </w:rPr>
              <w:t>تعزيز فعالية فريق العمل التابع للمجلس والمعني بقضايا السياسات العامة الدولية المتعلقة بالإنترنت والتصدي للمخاطر التي تتعرض لها موارد الإنترنت</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57CCC61A" w:rsidR="007B0AA0" w:rsidRDefault="001B2DA5" w:rsidP="007B0AA0">
            <w:pPr>
              <w:rPr>
                <w:rtl/>
              </w:rPr>
            </w:pPr>
            <w:r w:rsidRPr="001B2DA5">
              <w:rPr>
                <w:rtl/>
              </w:rPr>
              <w:t>تهدف هذه المساهمة إلى دعم فريق العمل التابع للمجلس والمعني بقضايا السياسات العامة الدولية المتعلقة بالإنترنت في تعزيز استمرارية عمله وفعاليته وصلته السياساتية، مع الاحترام الكامل لولايته الحكومية الدولية الموجهة نحو السياسات وأدوار أصحاب المصلحة الآخرين ذوي الصلة.</w:t>
            </w:r>
          </w:p>
          <w:p w14:paraId="587257F0" w14:textId="77777777" w:rsidR="007B0AA0" w:rsidRPr="007B0AA0" w:rsidRDefault="007B0AA0" w:rsidP="007B0AA0">
            <w:pPr>
              <w:rPr>
                <w:b/>
                <w:bCs/>
                <w:rtl/>
              </w:rPr>
            </w:pPr>
            <w:r w:rsidRPr="007B0AA0">
              <w:rPr>
                <w:rFonts w:hint="cs"/>
                <w:b/>
                <w:bCs/>
                <w:rtl/>
              </w:rPr>
              <w:t>الإجراء المطلوب من المجلس</w:t>
            </w:r>
          </w:p>
          <w:p w14:paraId="2788B859" w14:textId="540FCB59" w:rsidR="006F363C" w:rsidRPr="005546CF" w:rsidRDefault="001B2DA5" w:rsidP="001B2DA5">
            <w:pPr>
              <w:rPr>
                <w:rtl/>
              </w:rPr>
            </w:pPr>
            <w:r w:rsidRPr="001B2DA5">
              <w:rPr>
                <w:rtl/>
              </w:rPr>
              <w:t xml:space="preserve">يُدعى المجلس إلى </w:t>
            </w:r>
            <w:r w:rsidRPr="001B2DA5">
              <w:rPr>
                <w:b/>
                <w:bCs/>
                <w:rtl/>
              </w:rPr>
              <w:t>النظر</w:t>
            </w:r>
            <w:r w:rsidRPr="001B2DA5">
              <w:rPr>
                <w:rtl/>
              </w:rPr>
              <w:t xml:space="preserve"> في هذه الوثيقة.</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7AD8EB9C" w:rsidR="007B0AA0" w:rsidRPr="005546CF" w:rsidRDefault="001B2DA5" w:rsidP="007B0AA0">
            <w:pPr>
              <w:rPr>
                <w:i/>
                <w:iCs/>
                <w:rtl/>
              </w:rPr>
            </w:pPr>
            <w:hyperlink r:id="rId8" w:anchor="/ar" w:history="1">
              <w:r>
                <w:rPr>
                  <w:rStyle w:val="Hyperlink"/>
                  <w:rFonts w:hint="cs"/>
                  <w:i/>
                  <w:iCs/>
                  <w:noProof w:val="0"/>
                  <w:rtl/>
                  <w:lang w:val="en-US" w:eastAsia="zh-CN"/>
                </w:rPr>
                <w:t>ا</w:t>
              </w:r>
              <w:r>
                <w:rPr>
                  <w:rStyle w:val="Hyperlink"/>
                  <w:rFonts w:hint="cs"/>
                  <w:i/>
                  <w:iCs/>
                  <w:rtl/>
                </w:rPr>
                <w:t>لموقع الإلكتروني لفريق العمل التابع للمجلس والمعني بقضايا السياسات العامة الدولية المتعلقة بالإنترنت</w:t>
              </w:r>
              <w:r>
                <w:rPr>
                  <w:rStyle w:val="Hyperlink"/>
                  <w:rFonts w:hint="eastAsia"/>
                  <w:i/>
                  <w:iCs/>
                  <w:rtl/>
                </w:rPr>
                <w:t> </w:t>
              </w:r>
              <w:r>
                <w:rPr>
                  <w:rStyle w:val="Hyperlink"/>
                  <w:i/>
                  <w:iCs/>
                  <w:lang w:val="en-US"/>
                </w:rPr>
                <w:t>(CWG</w:t>
              </w:r>
              <w:r>
                <w:rPr>
                  <w:rStyle w:val="Hyperlink"/>
                  <w:i/>
                  <w:iCs/>
                  <w:lang w:val="en-US"/>
                </w:rPr>
                <w:noBreakHyphen/>
                <w:t>Internet)</w:t>
              </w:r>
            </w:hyperlink>
            <w:r>
              <w:rPr>
                <w:rFonts w:hint="cs"/>
                <w:i/>
                <w:iCs/>
                <w:rtl/>
              </w:rPr>
              <w:t>؛</w:t>
            </w:r>
            <w:r>
              <w:rPr>
                <w:rFonts w:hint="cs"/>
                <w:rtl/>
              </w:rPr>
              <w:t xml:space="preserve"> </w:t>
            </w:r>
            <w:r w:rsidR="00B4615E">
              <w:rPr>
                <w:rFonts w:hint="cs"/>
                <w:i/>
                <w:iCs/>
                <w:rtl/>
              </w:rPr>
              <w:t>الوثيقتان</w:t>
            </w:r>
            <w:r>
              <w:rPr>
                <w:rFonts w:hint="cs"/>
                <w:rtl/>
              </w:rPr>
              <w:t xml:space="preserve"> </w:t>
            </w:r>
            <w:hyperlink r:id="rId9" w:history="1">
              <w:r w:rsidRPr="00D06FCA">
                <w:rPr>
                  <w:rStyle w:val="Hyperlink"/>
                  <w:i/>
                  <w:iCs/>
                  <w:noProof w:val="0"/>
                  <w:lang w:eastAsia="zh-CN"/>
                </w:rPr>
                <w:t>CWG-Internet-23/6</w:t>
              </w:r>
            </w:hyperlink>
            <w:r>
              <w:rPr>
                <w:rFonts w:hint="cs"/>
                <w:rtl/>
              </w:rPr>
              <w:t xml:space="preserve"> </w:t>
            </w:r>
            <w:r w:rsidR="00B4615E" w:rsidRPr="00B4615E">
              <w:rPr>
                <w:rFonts w:hint="cs"/>
                <w:i/>
                <w:iCs/>
                <w:rtl/>
              </w:rPr>
              <w:t>و</w:t>
            </w:r>
            <w:hyperlink r:id="rId10" w:history="1">
              <w:r w:rsidRPr="00362AE8">
                <w:rPr>
                  <w:rStyle w:val="Hyperlink"/>
                  <w:i/>
                  <w:iCs/>
                </w:rPr>
                <w:t>CWG-Internet-23/4</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564D3C79" w14:textId="77777777" w:rsidR="001B2DA5" w:rsidRPr="001B2DA5" w:rsidRDefault="001B2DA5" w:rsidP="001B2DA5">
      <w:pPr>
        <w:pStyle w:val="Heading1"/>
      </w:pPr>
      <w:r w:rsidRPr="001B2DA5">
        <w:rPr>
          <w:rtl/>
        </w:rPr>
        <w:lastRenderedPageBreak/>
        <w:t>1</w:t>
      </w:r>
      <w:r w:rsidRPr="001B2DA5">
        <w:rPr>
          <w:rtl/>
        </w:rPr>
        <w:tab/>
        <w:t>مقدمة</w:t>
      </w:r>
    </w:p>
    <w:p w14:paraId="6C15C8B1" w14:textId="308B8214" w:rsidR="001B2DA5" w:rsidRPr="001B2DA5" w:rsidRDefault="001B2DA5" w:rsidP="001B2DA5">
      <w:r w:rsidRPr="001B2DA5">
        <w:t>1.1</w:t>
      </w:r>
      <w:r w:rsidRPr="001B2DA5">
        <w:rPr>
          <w:rtl/>
        </w:rPr>
        <w:tab/>
        <w:t>أجرى فريق العمل التابع للمجلس المعني بقضايا السياسات العامة الدولية المتعلقة بالإنترنت</w:t>
      </w:r>
      <w:r w:rsidRPr="001B2DA5">
        <w:rPr>
          <w:rFonts w:hint="cs"/>
          <w:rtl/>
        </w:rPr>
        <w:t> </w:t>
      </w:r>
      <w:r w:rsidRPr="001B2DA5">
        <w:t>(CWG</w:t>
      </w:r>
      <w:r w:rsidRPr="001B2DA5">
        <w:noBreakHyphen/>
        <w:t>Internet)</w:t>
      </w:r>
      <w:r w:rsidRPr="001B2DA5">
        <w:rPr>
          <w:rtl/>
        </w:rPr>
        <w:t>، في اجتماعه الثاني والعشرين، مناقشات موضوعية بشأن نتائج المشاورة المفتوحة، والمقترحات المقدمة من الدول الأعضاء، والتطورات الناشئة المتعلقة بقضايا السياسات العامة الدولية المتعلقة</w:t>
      </w:r>
      <w:r>
        <w:rPr>
          <w:rFonts w:hint="cs"/>
          <w:rtl/>
        </w:rPr>
        <w:t> </w:t>
      </w:r>
      <w:r w:rsidRPr="001B2DA5">
        <w:rPr>
          <w:rtl/>
        </w:rPr>
        <w:t>بالإنترنت.</w:t>
      </w:r>
    </w:p>
    <w:p w14:paraId="1AC12D3B" w14:textId="77777777" w:rsidR="001B2DA5" w:rsidRPr="001B2DA5" w:rsidRDefault="001B2DA5" w:rsidP="001B2DA5">
      <w:r w:rsidRPr="001B2DA5">
        <w:t>2.1</w:t>
      </w:r>
      <w:r w:rsidRPr="001B2DA5">
        <w:rPr>
          <w:rtl/>
        </w:rPr>
        <w:tab/>
        <w:t>وأبرزت هذه المناقشات بعض التحديات المتكررة، بما في ذلك الحاجة إلى تعزيز الاستمرارية والفعالية في عمل الفريق، والصعوبات في التوصل إلى توافق في الآراء بشأن مواضيع المشاورات المفتوحة، والشواغل المتنامية المتعلقة باستقرار ومرونة موارد الإنترنت الحرجة.</w:t>
      </w:r>
    </w:p>
    <w:p w14:paraId="7FF0FEE1" w14:textId="77777777" w:rsidR="001B2DA5" w:rsidRPr="001B2DA5" w:rsidRDefault="001B2DA5" w:rsidP="001B2DA5">
      <w:pPr>
        <w:rPr>
          <w:lang w:val="ar-SA" w:bidi="ar-EG"/>
        </w:rPr>
      </w:pPr>
      <w:r w:rsidRPr="001B2DA5">
        <w:t>3.1</w:t>
      </w:r>
      <w:r w:rsidRPr="001B2DA5">
        <w:rPr>
          <w:rtl/>
        </w:rPr>
        <w:tab/>
        <w:t>وتهدف هذه المساهمة إلى اقتراح نهج عملي ومتسق مع الولاية لمعالجة هذه القضايا، مع الحفاظ على طابع الفريق الحكومي الدولي والمنحى نحو السياسات دون المساس بالترتيبات المؤسسية القائمة أو الولايات أو الأدوار للمنظمات الأخرى ذات الصلة.</w:t>
      </w:r>
    </w:p>
    <w:p w14:paraId="5B6F04C2" w14:textId="00432386" w:rsidR="001B2DA5" w:rsidRPr="001B2DA5" w:rsidRDefault="001B2DA5" w:rsidP="001B2DA5">
      <w:pPr>
        <w:rPr>
          <w:lang w:val="ar-SA" w:bidi="ar-EG"/>
        </w:rPr>
      </w:pPr>
      <w:r w:rsidRPr="001B2DA5">
        <w:t>4.1</w:t>
      </w:r>
      <w:r w:rsidRPr="001B2DA5">
        <w:rPr>
          <w:rtl/>
        </w:rPr>
        <w:tab/>
        <w:t xml:space="preserve">شاركت المجموعة بنشاط في أعمال فريق العمل التابع للمجلس والمعني بقضايا السياسات العامة الدولية المتعلقة بالإنترنت </w:t>
      </w:r>
      <w:r w:rsidRPr="001B2DA5">
        <w:rPr>
          <w:lang w:val="en-GB" w:bidi="ar-EG"/>
        </w:rPr>
        <w:t>(CWG-Internet)</w:t>
      </w:r>
      <w:r w:rsidRPr="001B2DA5">
        <w:rPr>
          <w:rtl/>
        </w:rPr>
        <w:t xml:space="preserve"> منذ مؤتمر المندوبين المفوضين في بوخارست. ونلاحظ بارتياح التقدم المحرز خلال دورة 2022-2026، بما في ذلك اعتماد مشاورات بشأن الجوانب الإنمائية، وتعدد اللغات، والبلدان النامية غير الساحلية</w:t>
      </w:r>
      <w:r w:rsidR="00E419C9">
        <w:rPr>
          <w:rFonts w:hint="cs"/>
          <w:rtl/>
        </w:rPr>
        <w:t> </w:t>
      </w:r>
      <w:r w:rsidRPr="001B2DA5">
        <w:rPr>
          <w:lang w:val="en-GB" w:bidi="ar-EG"/>
        </w:rPr>
        <w:t>(LLDC)</w:t>
      </w:r>
      <w:r w:rsidRPr="001B2DA5">
        <w:rPr>
          <w:rtl/>
        </w:rPr>
        <w:t>.</w:t>
      </w:r>
    </w:p>
    <w:p w14:paraId="4D166C9A" w14:textId="2AB68DFE" w:rsidR="001B2DA5" w:rsidRPr="00E419C9" w:rsidRDefault="001B2DA5" w:rsidP="00E419C9">
      <w:pPr>
        <w:pStyle w:val="Heading1"/>
        <w:rPr>
          <w:lang w:bidi="ar-EG"/>
        </w:rPr>
      </w:pPr>
      <w:r w:rsidRPr="00E419C9">
        <w:rPr>
          <w:rtl/>
        </w:rPr>
        <w:t>2</w:t>
      </w:r>
      <w:r w:rsidRPr="00E419C9">
        <w:rPr>
          <w:rtl/>
        </w:rPr>
        <w:tab/>
        <w:t>إقرار الوثيقتين CWG-Internet-23/6 و</w:t>
      </w:r>
      <w:r w:rsidRPr="00E419C9">
        <w:t>CWG-Internet-23/4</w:t>
      </w:r>
    </w:p>
    <w:p w14:paraId="70513FE3" w14:textId="344DE144" w:rsidR="001B2DA5" w:rsidRPr="00E419C9" w:rsidRDefault="00B4615E" w:rsidP="00E419C9">
      <w:pPr>
        <w:rPr>
          <w:lang w:val="ar-SA" w:bidi="ar-EG"/>
        </w:rPr>
      </w:pPr>
      <w:r>
        <w:rPr>
          <w:rFonts w:hint="cs"/>
          <w:rtl/>
        </w:rPr>
        <w:t>ت</w:t>
      </w:r>
      <w:r w:rsidR="001B2DA5" w:rsidRPr="00E419C9">
        <w:rPr>
          <w:rtl/>
        </w:rPr>
        <w:t xml:space="preserve">ؤكد </w:t>
      </w:r>
      <w:r>
        <w:rPr>
          <w:rFonts w:hint="cs"/>
          <w:rtl/>
        </w:rPr>
        <w:t xml:space="preserve">المجموعة </w:t>
      </w:r>
      <w:r w:rsidR="001B2DA5" w:rsidRPr="00E419C9">
        <w:rPr>
          <w:rtl/>
        </w:rPr>
        <w:t>مجدداً موقفه</w:t>
      </w:r>
      <w:r>
        <w:rPr>
          <w:rFonts w:hint="cs"/>
          <w:rtl/>
        </w:rPr>
        <w:t>ا</w:t>
      </w:r>
      <w:r w:rsidR="001B2DA5" w:rsidRPr="00E419C9">
        <w:rPr>
          <w:rtl/>
        </w:rPr>
        <w:t xml:space="preserve"> على النحو المبين في الوثيقتين CWG-Internet-23/6 </w:t>
      </w:r>
      <w:r>
        <w:rPr>
          <w:rFonts w:hint="cs"/>
          <w:rtl/>
        </w:rPr>
        <w:t>(</w:t>
      </w:r>
      <w:r w:rsidR="001B2DA5" w:rsidRPr="00E419C9">
        <w:rPr>
          <w:rtl/>
        </w:rPr>
        <w:t>التي اشترك في إعدادها رواندا وأوغندا وتنزانيا ونيجيريا وجنوب إفريقيا</w:t>
      </w:r>
      <w:r>
        <w:rPr>
          <w:rFonts w:hint="cs"/>
          <w:rtl/>
        </w:rPr>
        <w:t>)</w:t>
      </w:r>
      <w:r w:rsidR="001B2DA5" w:rsidRPr="00E419C9">
        <w:rPr>
          <w:rtl/>
        </w:rPr>
        <w:t xml:space="preserve"> </w:t>
      </w:r>
      <w:proofErr w:type="gramStart"/>
      <w:r w:rsidR="001B2DA5" w:rsidRPr="00E419C9">
        <w:rPr>
          <w:rtl/>
        </w:rPr>
        <w:t>و</w:t>
      </w:r>
      <w:r w:rsidR="001B2DA5" w:rsidRPr="00E419C9">
        <w:t xml:space="preserve"> CWG</w:t>
      </w:r>
      <w:proofErr w:type="gramEnd"/>
      <w:r w:rsidR="001B2DA5" w:rsidRPr="00E419C9">
        <w:t>-Internet-23/4</w:t>
      </w:r>
      <w:r>
        <w:rPr>
          <w:rFonts w:hint="cs"/>
          <w:rtl/>
        </w:rPr>
        <w:t>(</w:t>
      </w:r>
      <w:r w:rsidR="001B2DA5" w:rsidRPr="00E419C9">
        <w:rPr>
          <w:rtl/>
        </w:rPr>
        <w:t>التي اشترك في إعدادها المملكة العربية السعودية والمملكة المغربية</w:t>
      </w:r>
      <w:r>
        <w:rPr>
          <w:rFonts w:hint="cs"/>
          <w:rtl/>
        </w:rPr>
        <w:t>)</w:t>
      </w:r>
      <w:r w:rsidR="001B2DA5" w:rsidRPr="00E419C9">
        <w:rPr>
          <w:rtl/>
        </w:rPr>
        <w:t>. ونؤيد المبادئ التالية:</w:t>
      </w:r>
    </w:p>
    <w:p w14:paraId="780CCF8A" w14:textId="10B5D374" w:rsidR="001B2DA5" w:rsidRPr="00D06FCA" w:rsidRDefault="001B2DA5" w:rsidP="001B2DA5">
      <w:pPr>
        <w:pStyle w:val="enumlev1"/>
        <w:rPr>
          <w:lang w:val="ar-SA" w:bidi="ar-EG"/>
        </w:rPr>
      </w:pPr>
      <w:r>
        <w:rPr>
          <w:rFonts w:hint="eastAsia"/>
          <w:b/>
          <w:bCs/>
          <w:rtl/>
          <w:lang w:bidi="ar-EG"/>
        </w:rPr>
        <w:t> </w:t>
      </w:r>
      <w:r w:rsidRPr="00D06FCA">
        <w:rPr>
          <w:b/>
          <w:bCs/>
          <w:rtl/>
        </w:rPr>
        <w:t>أ</w:t>
      </w:r>
      <w:r w:rsidR="00E419C9">
        <w:rPr>
          <w:rFonts w:hint="cs"/>
          <w:b/>
          <w:bCs/>
          <w:rtl/>
        </w:rPr>
        <w:t> </w:t>
      </w:r>
      <w:r w:rsidRPr="00D06FCA">
        <w:rPr>
          <w:b/>
          <w:bCs/>
          <w:rtl/>
        </w:rPr>
        <w:t>)</w:t>
      </w:r>
      <w:r w:rsidRPr="00D06FCA">
        <w:rPr>
          <w:rtl/>
        </w:rPr>
        <w:tab/>
      </w:r>
      <w:r w:rsidRPr="00D06FCA">
        <w:rPr>
          <w:b/>
          <w:bCs/>
          <w:rtl/>
        </w:rPr>
        <w:t>إطار مواضيعي غير ملزم</w:t>
      </w:r>
      <w:r w:rsidRPr="00D06FCA">
        <w:rPr>
          <w:rtl/>
        </w:rPr>
        <w:t>: ينبغي للفريق أن يعتمد إطاراً مواضيعياً مرناً وغير ملزم يوفر التوجيه لعمله دون فرض خطط عمل جامدة أو توصيات ملزمة. ويحافظ هذا النهج على دور الفريق كمنتدى للحوار مع ضمان تركيز المناقشات حول المواضيع ذات الأولوية.</w:t>
      </w:r>
    </w:p>
    <w:p w14:paraId="1E82C683" w14:textId="0856D491" w:rsidR="001B2DA5" w:rsidRPr="00D06FCA" w:rsidRDefault="001B2DA5" w:rsidP="001B2DA5">
      <w:pPr>
        <w:pStyle w:val="enumlev1"/>
        <w:rPr>
          <w:lang w:val="ar-SA" w:bidi="ar-EG"/>
        </w:rPr>
      </w:pPr>
      <w:r w:rsidRPr="00D06FCA">
        <w:rPr>
          <w:b/>
          <w:bCs/>
          <w:rtl/>
        </w:rPr>
        <w:t>ب)</w:t>
      </w:r>
      <w:r w:rsidRPr="00D06FCA">
        <w:rPr>
          <w:rtl/>
        </w:rPr>
        <w:tab/>
      </w:r>
      <w:r w:rsidRPr="00D06FCA">
        <w:rPr>
          <w:b/>
          <w:bCs/>
          <w:rtl/>
        </w:rPr>
        <w:t>الطابع الحكومي الدولي ذي المدخلات المعززة</w:t>
      </w:r>
      <w:r w:rsidRPr="00D06FCA">
        <w:rPr>
          <w:rtl/>
        </w:rPr>
        <w:t xml:space="preserve">: </w:t>
      </w:r>
      <w:r w:rsidR="00B4615E">
        <w:rPr>
          <w:rFonts w:hint="cs"/>
          <w:rtl/>
        </w:rPr>
        <w:t>ت</w:t>
      </w:r>
      <w:r w:rsidRPr="00D06FCA">
        <w:rPr>
          <w:rtl/>
        </w:rPr>
        <w:t xml:space="preserve">عترف </w:t>
      </w:r>
      <w:r w:rsidR="00B4615E">
        <w:rPr>
          <w:rFonts w:hint="cs"/>
          <w:rtl/>
        </w:rPr>
        <w:t xml:space="preserve">المجموعة </w:t>
      </w:r>
      <w:r w:rsidRPr="00D06FCA">
        <w:rPr>
          <w:rtl/>
        </w:rPr>
        <w:t>بأن مناقشات السياسات العامة هي من اختصاص الدول الأعضاء. ونؤيد الحفاظ على الطابع الحكومي الدولي لاجتماعات الفريق مع البقاء منفتحين أمام آليات مدخلات معززة من أصحاب المصلحة غير الحكوميين، بما في ذلك من خلال المشاورات المفتوحة.</w:t>
      </w:r>
    </w:p>
    <w:p w14:paraId="1A06604A" w14:textId="77777777" w:rsidR="001B2DA5" w:rsidRPr="00D06FCA" w:rsidRDefault="001B2DA5" w:rsidP="001B2DA5">
      <w:pPr>
        <w:pStyle w:val="enumlev1"/>
        <w:rPr>
          <w:lang w:val="ar-SA" w:bidi="ar-EG"/>
        </w:rPr>
      </w:pPr>
      <w:r w:rsidRPr="00D06FCA">
        <w:rPr>
          <w:b/>
          <w:bCs/>
          <w:rtl/>
        </w:rPr>
        <w:t>ج)</w:t>
      </w:r>
      <w:r w:rsidRPr="00D06FCA">
        <w:rPr>
          <w:rtl/>
        </w:rPr>
        <w:tab/>
      </w:r>
      <w:r w:rsidRPr="00D06FCA">
        <w:rPr>
          <w:b/>
          <w:bCs/>
          <w:rtl/>
        </w:rPr>
        <w:t>التفكير على مستوى السياسات بشأن موارد الإنترنت الحرجة</w:t>
      </w:r>
      <w:r w:rsidRPr="00D06FCA">
        <w:rPr>
          <w:rtl/>
        </w:rPr>
        <w:t xml:space="preserve">: إن استقرار ومرونة موارد الإنترنت الحرجة، بما في ذلك سجلات الإنترنت الإقليمية </w:t>
      </w:r>
      <w:r w:rsidRPr="00D06FCA">
        <w:rPr>
          <w:lang w:val="en-GB" w:bidi="ar-EG"/>
        </w:rPr>
        <w:t>(RIR)</w:t>
      </w:r>
      <w:r w:rsidRPr="00D06FCA">
        <w:rPr>
          <w:rtl/>
        </w:rPr>
        <w:t xml:space="preserve">، مسألة ذات صلة مشروعة بالسياسات العامة. وتؤيد المجموعة التفكير على مستوى السياسات بشأن هذه القضايا، بطبيعتها غير التشغيلية تماماً وغير المعيارية، باستخدام تجربة </w:t>
      </w:r>
      <w:r w:rsidRPr="00D06FCA">
        <w:rPr>
          <w:lang w:val="en-GB" w:bidi="ar-EG"/>
        </w:rPr>
        <w:t>AFRINIC</w:t>
      </w:r>
      <w:r w:rsidRPr="00D06FCA">
        <w:rPr>
          <w:rtl/>
        </w:rPr>
        <w:t xml:space="preserve"> كدراسة حالة.</w:t>
      </w:r>
    </w:p>
    <w:p w14:paraId="01A8C26A" w14:textId="4CB25305" w:rsidR="001B2DA5" w:rsidRPr="00D06FCA" w:rsidRDefault="001B2DA5" w:rsidP="001B2DA5">
      <w:pPr>
        <w:pStyle w:val="enumlev1"/>
        <w:rPr>
          <w:lang w:val="ar-SA" w:bidi="ar-EG"/>
        </w:rPr>
      </w:pPr>
      <w:r w:rsidRPr="00D06FCA">
        <w:rPr>
          <w:b/>
          <w:bCs/>
          <w:rtl/>
        </w:rPr>
        <w:t>د</w:t>
      </w:r>
      <w:r w:rsidR="00E419C9">
        <w:rPr>
          <w:rFonts w:hint="cs"/>
          <w:b/>
          <w:bCs/>
          <w:rtl/>
        </w:rPr>
        <w:t> </w:t>
      </w:r>
      <w:r w:rsidRPr="00D06FCA">
        <w:rPr>
          <w:b/>
          <w:bCs/>
          <w:rtl/>
        </w:rPr>
        <w:t>)</w:t>
      </w:r>
      <w:r w:rsidRPr="00D06FCA">
        <w:rPr>
          <w:rtl/>
        </w:rPr>
        <w:tab/>
      </w:r>
      <w:r w:rsidRPr="00D06FCA">
        <w:rPr>
          <w:b/>
          <w:bCs/>
          <w:rtl/>
        </w:rPr>
        <w:t xml:space="preserve">البلدان النامية </w:t>
      </w:r>
      <w:r>
        <w:rPr>
          <w:rFonts w:hint="cs"/>
          <w:b/>
          <w:bCs/>
          <w:rtl/>
        </w:rPr>
        <w:t xml:space="preserve">والبلدان </w:t>
      </w:r>
      <w:r w:rsidR="00B4615E">
        <w:rPr>
          <w:rFonts w:hint="cs"/>
          <w:b/>
          <w:bCs/>
          <w:rtl/>
        </w:rPr>
        <w:t xml:space="preserve">النامية </w:t>
      </w:r>
      <w:r w:rsidRPr="00D06FCA">
        <w:rPr>
          <w:b/>
          <w:bCs/>
          <w:rtl/>
        </w:rPr>
        <w:t>غير الساحلية بوصفها قضية محورية</w:t>
      </w:r>
      <w:r w:rsidRPr="00D06FCA">
        <w:rPr>
          <w:rtl/>
        </w:rPr>
        <w:t xml:space="preserve">: ترحب المجموعة بالختام الناجح للمشاورات بشأن </w:t>
      </w:r>
      <w:r w:rsidR="00E419C9">
        <w:rPr>
          <w:rFonts w:hint="cs"/>
          <w:rtl/>
        </w:rPr>
        <w:t>"</w:t>
      </w:r>
      <w:r w:rsidRPr="00D06FCA">
        <w:rPr>
          <w:rtl/>
        </w:rPr>
        <w:t xml:space="preserve">ضمان التوصيلية الهادفة بالإنترنت للبلدان النامية غير الساحلية </w:t>
      </w:r>
      <w:r w:rsidRPr="00D06FCA">
        <w:rPr>
          <w:lang w:val="en-GB" w:bidi="ar-EG"/>
        </w:rPr>
        <w:t>(LLDC)</w:t>
      </w:r>
      <w:r w:rsidRPr="00D06FCA">
        <w:rPr>
          <w:rtl/>
        </w:rPr>
        <w:t xml:space="preserve">." ونقترح أن تظل البلدان النامية </w:t>
      </w:r>
      <w:r>
        <w:rPr>
          <w:rFonts w:hint="cs"/>
          <w:rtl/>
        </w:rPr>
        <w:t xml:space="preserve">والبلدان </w:t>
      </w:r>
      <w:r w:rsidR="00B4615E">
        <w:rPr>
          <w:rFonts w:hint="cs"/>
          <w:rtl/>
        </w:rPr>
        <w:t xml:space="preserve">النامية </w:t>
      </w:r>
      <w:r w:rsidRPr="00D06FCA">
        <w:rPr>
          <w:rtl/>
        </w:rPr>
        <w:t xml:space="preserve">غير الساحلية موضع تركيز ذي أولوية للفريق، نظراً لأن </w:t>
      </w:r>
      <w:r w:rsidR="00E419C9">
        <w:rPr>
          <w:lang w:val="en-GB"/>
        </w:rPr>
        <w:t>%39</w:t>
      </w:r>
      <w:r w:rsidRPr="00D06FCA">
        <w:rPr>
          <w:rtl/>
        </w:rPr>
        <w:t xml:space="preserve"> فقط من السكان في البلدان النامية غير الساحلية موصولون بالإنترنت.</w:t>
      </w:r>
    </w:p>
    <w:p w14:paraId="42371395" w14:textId="77777777" w:rsidR="001B2DA5" w:rsidRPr="00E419C9" w:rsidRDefault="001B2DA5" w:rsidP="00E419C9">
      <w:pPr>
        <w:pStyle w:val="Heading1"/>
        <w:rPr>
          <w:rtl/>
          <w:lang w:val="ar-SA" w:bidi="ar-EG"/>
        </w:rPr>
      </w:pPr>
      <w:r w:rsidRPr="00E419C9">
        <w:rPr>
          <w:rtl/>
        </w:rPr>
        <w:t>3</w:t>
      </w:r>
      <w:r w:rsidRPr="00E419C9">
        <w:rPr>
          <w:rtl/>
        </w:rPr>
        <w:tab/>
        <w:t xml:space="preserve">السبيل المقترح للمضي قدماً للفترة </w:t>
      </w:r>
      <w:r w:rsidRPr="00E419C9">
        <w:t>2030-2026</w:t>
      </w:r>
    </w:p>
    <w:p w14:paraId="55F70203" w14:textId="3546E5A5" w:rsidR="001B2DA5" w:rsidRPr="00E419C9" w:rsidRDefault="00B4615E" w:rsidP="00E419C9">
      <w:pPr>
        <w:rPr>
          <w:lang w:val="ar-SA" w:bidi="ar-EG"/>
        </w:rPr>
      </w:pPr>
      <w:r>
        <w:rPr>
          <w:rFonts w:hint="cs"/>
          <w:rtl/>
          <w:lang w:bidi="ar-EG"/>
        </w:rPr>
        <w:t>ت</w:t>
      </w:r>
      <w:r w:rsidR="001B2DA5" w:rsidRPr="00E419C9">
        <w:rPr>
          <w:rtl/>
        </w:rPr>
        <w:t xml:space="preserve">وصي </w:t>
      </w:r>
      <w:r>
        <w:rPr>
          <w:rFonts w:hint="cs"/>
          <w:rtl/>
        </w:rPr>
        <w:t xml:space="preserve">المجموعة </w:t>
      </w:r>
      <w:r w:rsidR="001B2DA5" w:rsidRPr="00E419C9">
        <w:rPr>
          <w:rtl/>
        </w:rPr>
        <w:t>بأن يقوم المجلس بما يلي:</w:t>
      </w:r>
    </w:p>
    <w:p w14:paraId="00150BF4" w14:textId="438E07D4" w:rsidR="001B2DA5" w:rsidRPr="00E419C9" w:rsidRDefault="001B2DA5" w:rsidP="00E419C9">
      <w:pPr>
        <w:pStyle w:val="enumlev1"/>
        <w:rPr>
          <w:lang w:val="ar-SA" w:bidi="ar-EG"/>
        </w:rPr>
      </w:pPr>
      <w:r w:rsidRPr="00E419C9">
        <w:rPr>
          <w:rtl/>
        </w:rPr>
        <w:t> أ</w:t>
      </w:r>
      <w:r w:rsidR="00E419C9">
        <w:t> </w:t>
      </w:r>
      <w:r w:rsidRPr="00E419C9">
        <w:rPr>
          <w:rtl/>
        </w:rPr>
        <w:t>)</w:t>
      </w:r>
      <w:r w:rsidRPr="00E419C9">
        <w:rPr>
          <w:rtl/>
        </w:rPr>
        <w:tab/>
      </w:r>
      <w:r w:rsidRPr="00E419C9">
        <w:rPr>
          <w:b/>
          <w:bCs/>
          <w:rtl/>
        </w:rPr>
        <w:t>الإحاطة علماً</w:t>
      </w:r>
      <w:r w:rsidRPr="00E419C9">
        <w:rPr>
          <w:rtl/>
        </w:rPr>
        <w:t xml:space="preserve"> بالوثيقتين CWG-Internet-23/6 و</w:t>
      </w:r>
      <w:r w:rsidRPr="00E419C9">
        <w:t>CWG-Internet-23/4</w:t>
      </w:r>
      <w:r w:rsidR="00E419C9">
        <w:rPr>
          <w:rFonts w:hint="cs"/>
          <w:rtl/>
        </w:rPr>
        <w:t xml:space="preserve"> </w:t>
      </w:r>
      <w:r w:rsidRPr="00E419C9">
        <w:rPr>
          <w:rtl/>
        </w:rPr>
        <w:t>وإقرار المبادئ الواردة فيها كأساس لعمل الفريق في الدورة المقبلة؛</w:t>
      </w:r>
    </w:p>
    <w:p w14:paraId="42784178" w14:textId="77777777" w:rsidR="001B2DA5" w:rsidRPr="00E419C9" w:rsidRDefault="001B2DA5" w:rsidP="00E419C9">
      <w:pPr>
        <w:pStyle w:val="enumlev1"/>
        <w:rPr>
          <w:lang w:val="ar-SA" w:bidi="ar-EG"/>
        </w:rPr>
      </w:pPr>
      <w:r w:rsidRPr="00E419C9">
        <w:rPr>
          <w:rtl/>
        </w:rPr>
        <w:t>ب)</w:t>
      </w:r>
      <w:r w:rsidRPr="00E419C9">
        <w:rPr>
          <w:rtl/>
        </w:rPr>
        <w:tab/>
      </w:r>
      <w:r w:rsidRPr="00E419C9">
        <w:rPr>
          <w:b/>
          <w:bCs/>
          <w:rtl/>
        </w:rPr>
        <w:t>وتكليف</w:t>
      </w:r>
      <w:r w:rsidRPr="00E419C9">
        <w:rPr>
          <w:rtl/>
        </w:rPr>
        <w:t xml:space="preserve"> فريق العمل بوضع إطار مواضيعي غير ملزم لعمله في الفترة </w:t>
      </w:r>
      <w:r w:rsidRPr="00E419C9">
        <w:t>2030-2026</w:t>
      </w:r>
      <w:r w:rsidRPr="00E419C9">
        <w:rPr>
          <w:rtl/>
        </w:rPr>
        <w:t>، لعرضه على المجلس في عام 2027؛</w:t>
      </w:r>
    </w:p>
    <w:p w14:paraId="1A746A6B" w14:textId="77777777" w:rsidR="001B2DA5" w:rsidRPr="00E419C9" w:rsidRDefault="001B2DA5" w:rsidP="00E419C9">
      <w:pPr>
        <w:pStyle w:val="enumlev1"/>
        <w:rPr>
          <w:lang w:val="ar-SA" w:bidi="ar-EG"/>
        </w:rPr>
      </w:pPr>
      <w:r w:rsidRPr="00E419C9">
        <w:rPr>
          <w:rtl/>
        </w:rPr>
        <w:lastRenderedPageBreak/>
        <w:t>ج)</w:t>
      </w:r>
      <w:r w:rsidRPr="00E419C9">
        <w:rPr>
          <w:rtl/>
        </w:rPr>
        <w:tab/>
      </w:r>
      <w:r w:rsidRPr="00E419C9">
        <w:rPr>
          <w:b/>
          <w:bCs/>
          <w:rtl/>
        </w:rPr>
        <w:t>ومطالبة</w:t>
      </w:r>
      <w:r w:rsidRPr="00E419C9">
        <w:rPr>
          <w:rtl/>
        </w:rPr>
        <w:t xml:space="preserve"> الفريق بمواصلة تركيزه على البلدان النامية والبلدان غير الساحلية، والنظر في مواضيع إضافية مثل مشاركة الشباب والثقة الرقمية والتوصيلية الشاملة؛</w:t>
      </w:r>
    </w:p>
    <w:p w14:paraId="7F235978" w14:textId="42B59A99" w:rsidR="001B2DA5" w:rsidRPr="00E419C9" w:rsidRDefault="001B2DA5" w:rsidP="00E419C9">
      <w:pPr>
        <w:pStyle w:val="enumlev1"/>
        <w:rPr>
          <w:lang w:val="ar-SA" w:bidi="ar-EG"/>
        </w:rPr>
      </w:pPr>
      <w:r w:rsidRPr="00E419C9">
        <w:rPr>
          <w:rtl/>
        </w:rPr>
        <w:t>د</w:t>
      </w:r>
      <w:r w:rsidR="00E419C9">
        <w:rPr>
          <w:rFonts w:hint="cs"/>
          <w:rtl/>
        </w:rPr>
        <w:t> </w:t>
      </w:r>
      <w:r w:rsidRPr="00E419C9">
        <w:rPr>
          <w:rtl/>
        </w:rPr>
        <w:t>)</w:t>
      </w:r>
      <w:r w:rsidRPr="00E419C9">
        <w:rPr>
          <w:rtl/>
        </w:rPr>
        <w:tab/>
      </w:r>
      <w:r w:rsidRPr="00E419C9">
        <w:rPr>
          <w:b/>
          <w:bCs/>
          <w:rtl/>
        </w:rPr>
        <w:t>وتشجيع</w:t>
      </w:r>
      <w:r w:rsidRPr="00E419C9">
        <w:rPr>
          <w:rtl/>
        </w:rPr>
        <w:t xml:space="preserve"> الفريق على الانخراط بشكل بن</w:t>
      </w:r>
      <w:r w:rsidR="00E419C9">
        <w:rPr>
          <w:rFonts w:hint="cs"/>
          <w:rtl/>
        </w:rPr>
        <w:t>ّ</w:t>
      </w:r>
      <w:r w:rsidRPr="00E419C9">
        <w:rPr>
          <w:rtl/>
        </w:rPr>
        <w:t>اء مع أفرقة العمل الأخرى، ولا</w:t>
      </w:r>
      <w:r w:rsidR="00E419C9">
        <w:rPr>
          <w:rFonts w:hint="cs"/>
          <w:rtl/>
        </w:rPr>
        <w:t> </w:t>
      </w:r>
      <w:r w:rsidRPr="00E419C9">
        <w:rPr>
          <w:rtl/>
        </w:rPr>
        <w:t>سيما فريق العمل التابع للمجلس والمعني بالقمة العالمية لمجتمع المعلومات وأهداف التنمية المستدامة، لضمان الاتساق في عمل الاتحاد بشأن المسائل المتعلقة بالإنترنت.</w:t>
      </w:r>
    </w:p>
    <w:p w14:paraId="0A2C3F31" w14:textId="77777777" w:rsidR="001B2DA5" w:rsidRPr="00E419C9" w:rsidRDefault="001B2DA5" w:rsidP="00E419C9">
      <w:pPr>
        <w:pStyle w:val="Heading1"/>
        <w:rPr>
          <w:lang w:val="ar-SA" w:bidi="ar-EG"/>
        </w:rPr>
      </w:pPr>
      <w:r w:rsidRPr="00D06FCA">
        <w:rPr>
          <w:rtl/>
        </w:rPr>
        <w:t>4</w:t>
      </w:r>
      <w:r w:rsidRPr="00E419C9">
        <w:rPr>
          <w:rtl/>
        </w:rPr>
        <w:tab/>
        <w:t>الخلاصة</w:t>
      </w:r>
    </w:p>
    <w:p w14:paraId="5E80F22C" w14:textId="7BE4B5B7" w:rsidR="001B2DA5" w:rsidRPr="00E419C9" w:rsidRDefault="001B2DA5" w:rsidP="00E419C9">
      <w:pPr>
        <w:rPr>
          <w:lang w:val="ar-SA" w:bidi="ar-EG"/>
        </w:rPr>
      </w:pPr>
      <w:r w:rsidRPr="00E419C9">
        <w:rPr>
          <w:rtl/>
        </w:rPr>
        <w:t>وترى المجموعة أن الفريق يؤدي دوراً قيماً في تيسير الحوار بين الدول الأعضاء بشأن قضايا السياسة العامة المتصلة بالإنترنت. ونحن ملتزمون بالمشاركة البن</w:t>
      </w:r>
      <w:r w:rsidR="00E419C9">
        <w:rPr>
          <w:rFonts w:hint="cs"/>
          <w:rtl/>
        </w:rPr>
        <w:t>ّ</w:t>
      </w:r>
      <w:r w:rsidRPr="00E419C9">
        <w:rPr>
          <w:rtl/>
        </w:rPr>
        <w:t xml:space="preserve">اءة ونتطلع إلى المساهمة في عمل فريق العمل التابع للمجلس والمعني بقضايا السياسات العامة الدولية المتعلقة بالإنترنت في الدورة </w:t>
      </w:r>
      <w:r w:rsidRPr="00E419C9">
        <w:t>2030-2026</w:t>
      </w:r>
      <w:r w:rsidRPr="00E419C9">
        <w:rPr>
          <w:rtl/>
        </w:rPr>
        <w:t>.</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AECC" w14:textId="77777777" w:rsidR="00624081" w:rsidRDefault="00624081" w:rsidP="006C3242">
      <w:pPr>
        <w:spacing w:before="0" w:line="240" w:lineRule="auto"/>
      </w:pPr>
      <w:r>
        <w:separator/>
      </w:r>
    </w:p>
  </w:endnote>
  <w:endnote w:type="continuationSeparator" w:id="0">
    <w:p w14:paraId="59F6069A" w14:textId="77777777" w:rsidR="00624081" w:rsidRDefault="0062408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3A8B6B53" w:rsidR="00F50E3F" w:rsidRPr="007B0AA0" w:rsidRDefault="001B2DA5"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2601100</w:t>
          </w:r>
        </w:p>
      </w:tc>
      <w:tc>
        <w:tcPr>
          <w:tcW w:w="3912" w:type="pct"/>
        </w:tcPr>
        <w:p w14:paraId="62EE8B15" w14:textId="4095F4C4"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1B2DA5">
            <w:rPr>
              <w:rFonts w:ascii="Calibri" w:hAnsi="Calibri" w:cs="Arial"/>
              <w:bCs/>
              <w:color w:val="7F7F7F"/>
              <w:sz w:val="18"/>
            </w:rPr>
            <w:t>101(Rev.1)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E019171" w14:textId="5CEF9F88"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1B2DA5">
            <w:rPr>
              <w:rFonts w:ascii="Calibri" w:hAnsi="Calibri" w:cs="Arial"/>
              <w:bCs/>
              <w:color w:val="7F7F7F"/>
              <w:sz w:val="18"/>
            </w:rPr>
            <w:t>101(Rev.1)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3724" w14:textId="77777777" w:rsidR="00624081" w:rsidRDefault="00624081" w:rsidP="006C3242">
      <w:pPr>
        <w:spacing w:before="0" w:line="240" w:lineRule="auto"/>
      </w:pPr>
      <w:r>
        <w:separator/>
      </w:r>
    </w:p>
  </w:footnote>
  <w:footnote w:type="continuationSeparator" w:id="0">
    <w:p w14:paraId="3F1F2F19" w14:textId="77777777" w:rsidR="00624081" w:rsidRDefault="0062408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7462741">
    <w:abstractNumId w:val="9"/>
  </w:num>
  <w:num w:numId="2" w16cid:durableId="186140658">
    <w:abstractNumId w:val="7"/>
  </w:num>
  <w:num w:numId="3" w16cid:durableId="965695335">
    <w:abstractNumId w:val="6"/>
  </w:num>
  <w:num w:numId="4" w16cid:durableId="666174932">
    <w:abstractNumId w:val="5"/>
  </w:num>
  <w:num w:numId="5" w16cid:durableId="167452785">
    <w:abstractNumId w:val="4"/>
  </w:num>
  <w:num w:numId="6" w16cid:durableId="1930964829">
    <w:abstractNumId w:val="8"/>
  </w:num>
  <w:num w:numId="7" w16cid:durableId="682980645">
    <w:abstractNumId w:val="3"/>
  </w:num>
  <w:num w:numId="8" w16cid:durableId="1688676573">
    <w:abstractNumId w:val="2"/>
  </w:num>
  <w:num w:numId="9" w16cid:durableId="2043557248">
    <w:abstractNumId w:val="1"/>
  </w:num>
  <w:num w:numId="10" w16cid:durableId="152456018">
    <w:abstractNumId w:val="0"/>
  </w:num>
  <w:num w:numId="11" w16cid:durableId="709038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2DA5"/>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349B2"/>
    <w:rsid w:val="005409AC"/>
    <w:rsid w:val="005434E0"/>
    <w:rsid w:val="005546CF"/>
    <w:rsid w:val="0055516A"/>
    <w:rsid w:val="0058491B"/>
    <w:rsid w:val="00592EA5"/>
    <w:rsid w:val="005A3170"/>
    <w:rsid w:val="00624081"/>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9D7755"/>
    <w:rsid w:val="00A47A5A"/>
    <w:rsid w:val="00A63AE6"/>
    <w:rsid w:val="00A6683B"/>
    <w:rsid w:val="00A67F05"/>
    <w:rsid w:val="00A97F94"/>
    <w:rsid w:val="00AA7EA2"/>
    <w:rsid w:val="00AB5A56"/>
    <w:rsid w:val="00B03099"/>
    <w:rsid w:val="00B05BC8"/>
    <w:rsid w:val="00B30F5E"/>
    <w:rsid w:val="00B461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19C9"/>
    <w:rsid w:val="00E45211"/>
    <w:rsid w:val="00E473C5"/>
    <w:rsid w:val="00E61BE8"/>
    <w:rsid w:val="00E83FF1"/>
    <w:rsid w:val="00E92863"/>
    <w:rsid w:val="00E979B2"/>
    <w:rsid w:val="00EB796D"/>
    <w:rsid w:val="00F058DC"/>
    <w:rsid w:val="00F24FC4"/>
    <w:rsid w:val="00F2676C"/>
    <w:rsid w:val="00F363FE"/>
    <w:rsid w:val="00F50E3F"/>
    <w:rsid w:val="00F52486"/>
    <w:rsid w:val="00F84366"/>
    <w:rsid w:val="00F8469F"/>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1B2DA5"/>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internet/Pages/defaul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6-RCLINTPOL23-C-0004/en" TargetMode="External"/><Relationship Id="rId4" Type="http://schemas.openxmlformats.org/officeDocument/2006/relationships/settings" Target="settings.xml"/><Relationship Id="rId9" Type="http://schemas.openxmlformats.org/officeDocument/2006/relationships/hyperlink" Target="https://www.itu.int/md/S26-RCLINTPOL23-C-0006/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3959</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Enhancing the effectiveness of the Council Working Group on international Internet-related public policy issues and addressing risks to Internet resources</dc:title>
  <dc:subject>ITU Council 2026</dc:subject>
  <dc:creator>GBS</dc:creator>
  <cp:keywords>C26; C2026; Council 2026; PP26</cp:keywords>
  <dc:description/>
  <cp:lastModifiedBy>GBS</cp:lastModifiedBy>
  <cp:revision>3</cp:revision>
  <dcterms:created xsi:type="dcterms:W3CDTF">2026-04-28T19:34:00Z</dcterms:created>
  <dcterms:modified xsi:type="dcterms:W3CDTF">2026-04-28T19:34:00Z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