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1A12DB48" w14:textId="77777777" w:rsidTr="00555C29">
        <w:trPr>
          <w:cantSplit/>
          <w:trHeight w:val="23"/>
        </w:trPr>
        <w:tc>
          <w:tcPr>
            <w:tcW w:w="3969" w:type="dxa"/>
            <w:vMerge w:val="restart"/>
            <w:tcMar>
              <w:left w:w="0" w:type="dxa"/>
            </w:tcMar>
          </w:tcPr>
          <w:p w14:paraId="7D68AE61" w14:textId="7633D61D"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F67149">
              <w:rPr>
                <w:b/>
              </w:rPr>
              <w:t>PL</w:t>
            </w:r>
            <w:r w:rsidR="00B14BC7">
              <w:rPr>
                <w:rFonts w:hint="eastAsia"/>
                <w:b/>
                <w:lang w:eastAsia="zh-CN"/>
              </w:rPr>
              <w:t xml:space="preserve"> </w:t>
            </w:r>
            <w:r w:rsidR="00F67149">
              <w:rPr>
                <w:b/>
              </w:rPr>
              <w:t>2</w:t>
            </w:r>
          </w:p>
        </w:tc>
        <w:tc>
          <w:tcPr>
            <w:tcW w:w="5245" w:type="dxa"/>
          </w:tcPr>
          <w:p w14:paraId="33F6B1E1" w14:textId="638AE943"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F67149">
              <w:rPr>
                <w:rFonts w:hint="eastAsia"/>
                <w:b/>
                <w:lang w:val="fr-CH" w:eastAsia="zh-CN"/>
              </w:rPr>
              <w:t>10</w:t>
            </w:r>
            <w:r w:rsidR="008F1856">
              <w:rPr>
                <w:b/>
                <w:lang w:val="fr-CH" w:eastAsia="zh-CN"/>
              </w:rPr>
              <w:t>1</w:t>
            </w:r>
          </w:p>
        </w:tc>
      </w:tr>
      <w:tr w:rsidR="00E24D59" w:rsidRPr="00813E5E" w14:paraId="694D6B91" w14:textId="77777777" w:rsidTr="00555C29">
        <w:trPr>
          <w:cantSplit/>
        </w:trPr>
        <w:tc>
          <w:tcPr>
            <w:tcW w:w="3969" w:type="dxa"/>
            <w:vMerge/>
          </w:tcPr>
          <w:p w14:paraId="60732B20"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3D4A5FE3" w14:textId="65E514C9" w:rsidR="00E24D59" w:rsidRPr="00E85629" w:rsidRDefault="00F67149"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w:t>
            </w:r>
            <w:r w:rsidR="008F1856">
              <w:rPr>
                <w:b/>
                <w:lang w:eastAsia="zh-CN"/>
              </w:rPr>
              <w:t>4</w:t>
            </w:r>
            <w:r>
              <w:rPr>
                <w:rFonts w:hint="eastAsia"/>
                <w:b/>
                <w:lang w:eastAsia="zh-CN"/>
              </w:rPr>
              <w:t>日</w:t>
            </w:r>
          </w:p>
        </w:tc>
      </w:tr>
      <w:tr w:rsidR="00E24D59" w:rsidRPr="00813E5E" w14:paraId="77D5FDE6" w14:textId="77777777" w:rsidTr="00555C29">
        <w:trPr>
          <w:cantSplit/>
          <w:trHeight w:val="23"/>
        </w:trPr>
        <w:tc>
          <w:tcPr>
            <w:tcW w:w="3969" w:type="dxa"/>
            <w:vMerge/>
          </w:tcPr>
          <w:p w14:paraId="5A248D4A"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474D3423" w14:textId="06DA1944"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F67149">
              <w:rPr>
                <w:rFonts w:cstheme="minorHAnsi" w:hint="eastAsia"/>
                <w:b/>
                <w:bCs/>
                <w:lang w:val="ru-RU" w:eastAsia="zh-CN"/>
              </w:rPr>
              <w:t>英文</w:t>
            </w:r>
          </w:p>
        </w:tc>
      </w:tr>
      <w:tr w:rsidR="00E24D59" w:rsidRPr="00813E5E" w14:paraId="6711BE05" w14:textId="77777777" w:rsidTr="00555C29">
        <w:trPr>
          <w:cantSplit/>
          <w:trHeight w:val="23"/>
        </w:trPr>
        <w:tc>
          <w:tcPr>
            <w:tcW w:w="3969" w:type="dxa"/>
          </w:tcPr>
          <w:p w14:paraId="677A62EE" w14:textId="77777777" w:rsidR="00E24D59" w:rsidRPr="00813E5E" w:rsidRDefault="00E24D59" w:rsidP="00555C29">
            <w:pPr>
              <w:tabs>
                <w:tab w:val="left" w:pos="851"/>
              </w:tabs>
              <w:spacing w:line="240" w:lineRule="atLeast"/>
              <w:rPr>
                <w:b/>
              </w:rPr>
            </w:pPr>
          </w:p>
        </w:tc>
        <w:tc>
          <w:tcPr>
            <w:tcW w:w="5245" w:type="dxa"/>
          </w:tcPr>
          <w:p w14:paraId="5D322066" w14:textId="77777777" w:rsidR="00E24D59" w:rsidRDefault="00E24D59" w:rsidP="00555C29">
            <w:pPr>
              <w:tabs>
                <w:tab w:val="left" w:pos="851"/>
              </w:tabs>
              <w:spacing w:before="0" w:line="240" w:lineRule="atLeast"/>
              <w:jc w:val="right"/>
              <w:rPr>
                <w:b/>
              </w:rPr>
            </w:pPr>
          </w:p>
        </w:tc>
      </w:tr>
      <w:tr w:rsidR="00E24D59" w:rsidRPr="00813E5E" w14:paraId="41A3C0C8" w14:textId="77777777" w:rsidTr="00555C29">
        <w:trPr>
          <w:cantSplit/>
        </w:trPr>
        <w:tc>
          <w:tcPr>
            <w:tcW w:w="9214" w:type="dxa"/>
            <w:gridSpan w:val="2"/>
            <w:tcMar>
              <w:left w:w="0" w:type="dxa"/>
            </w:tcMar>
          </w:tcPr>
          <w:p w14:paraId="2EB3C545" w14:textId="1117F25C" w:rsidR="00E24D59" w:rsidRPr="00C24DAC" w:rsidRDefault="008F1856" w:rsidP="00C24DAC">
            <w:pPr>
              <w:pStyle w:val="Source"/>
              <w:framePr w:hSpace="0" w:wrap="auto" w:vAnchor="margin" w:hAnchor="text" w:xAlign="left" w:yAlign="inline"/>
            </w:pPr>
            <w:bookmarkStart w:id="5" w:name="dsource" w:colFirst="0" w:colLast="0"/>
            <w:bookmarkEnd w:id="4"/>
            <w:r w:rsidRPr="008F1856">
              <w:rPr>
                <w:rFonts w:hint="eastAsia"/>
              </w:rPr>
              <w:t>南非（共和国）、尼日利亚（联邦共和国）、摩洛哥</w:t>
            </w:r>
            <w:r>
              <w:br/>
            </w:r>
            <w:r w:rsidRPr="008F1856">
              <w:rPr>
                <w:rFonts w:hint="eastAsia"/>
              </w:rPr>
              <w:t>（王国）和坦桑尼亚（联合共和国）的文稿</w:t>
            </w:r>
          </w:p>
        </w:tc>
      </w:tr>
      <w:tr w:rsidR="00E24D59" w:rsidRPr="00813E5E" w14:paraId="0387DFAD" w14:textId="77777777" w:rsidTr="00555C29">
        <w:trPr>
          <w:cantSplit/>
        </w:trPr>
        <w:tc>
          <w:tcPr>
            <w:tcW w:w="9214" w:type="dxa"/>
            <w:gridSpan w:val="2"/>
            <w:tcMar>
              <w:left w:w="0" w:type="dxa"/>
            </w:tcMar>
          </w:tcPr>
          <w:p w14:paraId="422794E5" w14:textId="2D7363D5" w:rsidR="00E24D59" w:rsidRPr="00C24DAC" w:rsidRDefault="008F1856" w:rsidP="00C24DAC">
            <w:pPr>
              <w:pStyle w:val="Subtitle"/>
              <w:framePr w:hSpace="0" w:wrap="auto" w:vAnchor="margin" w:hAnchor="text" w:xAlign="left" w:yAlign="inline"/>
            </w:pPr>
            <w:bookmarkStart w:id="6" w:name="dtitle1" w:colFirst="0" w:colLast="0"/>
            <w:bookmarkEnd w:id="5"/>
            <w:r w:rsidRPr="008F1856">
              <w:rPr>
                <w:rFonts w:hint="eastAsia"/>
              </w:rPr>
              <w:t>加强理事会国际互联网相关公共政策问题工作组的有效性并应对互联网资源风险</w:t>
            </w:r>
          </w:p>
        </w:tc>
      </w:tr>
      <w:tr w:rsidR="00E24D59" w:rsidRPr="00813E5E" w14:paraId="2B4EAFBF" w14:textId="77777777" w:rsidTr="00555C29">
        <w:trPr>
          <w:cantSplit/>
        </w:trPr>
        <w:tc>
          <w:tcPr>
            <w:tcW w:w="9214" w:type="dxa"/>
            <w:gridSpan w:val="2"/>
            <w:tcBorders>
              <w:top w:val="single" w:sz="4" w:space="0" w:color="auto"/>
              <w:bottom w:val="single" w:sz="4" w:space="0" w:color="auto"/>
            </w:tcBorders>
            <w:tcMar>
              <w:left w:w="0" w:type="dxa"/>
            </w:tcMar>
          </w:tcPr>
          <w:p w14:paraId="0E9C9218" w14:textId="30D17717" w:rsidR="003F086E" w:rsidRPr="001B3DD7" w:rsidRDefault="003F086E" w:rsidP="00555C29">
            <w:pPr>
              <w:rPr>
                <w:rFonts w:cs="Calibri"/>
                <w:b/>
                <w:bCs/>
                <w:lang w:eastAsia="zh-CN"/>
              </w:rPr>
            </w:pPr>
            <w:r w:rsidRPr="001B3DD7">
              <w:rPr>
                <w:rFonts w:cs="Calibri"/>
                <w:b/>
                <w:bCs/>
                <w:lang w:eastAsia="zh-CN"/>
              </w:rPr>
              <w:t>目的</w:t>
            </w:r>
          </w:p>
          <w:p w14:paraId="279D5692" w14:textId="3DAA0594" w:rsidR="003F086E" w:rsidRPr="00837F5F" w:rsidRDefault="008F1856" w:rsidP="000D0273">
            <w:pPr>
              <w:ind w:firstLineChars="200" w:firstLine="480"/>
              <w:rPr>
                <w:rFonts w:cs="Calibri"/>
                <w:lang w:eastAsia="zh-CN"/>
              </w:rPr>
            </w:pPr>
            <w:r w:rsidRPr="00837F5F">
              <w:rPr>
                <w:rFonts w:cs="Calibri" w:hint="eastAsia"/>
                <w:lang w:eastAsia="zh-CN"/>
              </w:rPr>
              <w:t>本文稿旨在支持国际电联理事会国际互联网相关公共政策问题工作组（</w:t>
            </w:r>
            <w:r w:rsidRPr="00837F5F">
              <w:rPr>
                <w:rFonts w:cs="Calibri" w:hint="eastAsia"/>
                <w:lang w:eastAsia="zh-CN"/>
              </w:rPr>
              <w:t>CWG-Internet</w:t>
            </w:r>
            <w:r w:rsidRPr="00837F5F">
              <w:rPr>
                <w:rFonts w:cs="Calibri" w:hint="eastAsia"/>
                <w:lang w:eastAsia="zh-CN"/>
              </w:rPr>
              <w:t>）加强其工作的连续性、有效性和政策相关性，同时充分尊重其以政策为导向的政府间职责和其他相关利益攸关方的作用。</w:t>
            </w:r>
          </w:p>
          <w:p w14:paraId="5A0EED30" w14:textId="77777777" w:rsidR="003F086E" w:rsidRPr="00837F5F" w:rsidRDefault="003F086E" w:rsidP="00555C29">
            <w:pPr>
              <w:rPr>
                <w:rFonts w:cs="Calibri"/>
                <w:b/>
                <w:bCs/>
                <w:lang w:eastAsia="zh-CN"/>
              </w:rPr>
            </w:pPr>
            <w:r w:rsidRPr="00837F5F">
              <w:rPr>
                <w:rFonts w:cs="Calibri"/>
                <w:b/>
                <w:bCs/>
                <w:lang w:eastAsia="zh-CN"/>
              </w:rPr>
              <w:t>理事会需采取的行动</w:t>
            </w:r>
          </w:p>
          <w:p w14:paraId="679AD3F9" w14:textId="5888077B" w:rsidR="008F64AD" w:rsidRPr="00837F5F" w:rsidRDefault="008F1856" w:rsidP="001B3DD7">
            <w:pPr>
              <w:ind w:firstLineChars="200" w:firstLine="480"/>
              <w:rPr>
                <w:rFonts w:cs="Calibri"/>
                <w:lang w:eastAsia="zh-CN"/>
              </w:rPr>
            </w:pPr>
            <w:r w:rsidRPr="00837F5F">
              <w:rPr>
                <w:rFonts w:cs="Calibri" w:hint="eastAsia"/>
                <w:lang w:eastAsia="zh-CN"/>
              </w:rPr>
              <w:t>请理事会</w:t>
            </w:r>
            <w:r w:rsidRPr="00837F5F">
              <w:rPr>
                <w:rFonts w:cs="Calibri" w:hint="eastAsia"/>
                <w:b/>
                <w:bCs/>
                <w:lang w:eastAsia="zh-CN"/>
              </w:rPr>
              <w:t>审议</w:t>
            </w:r>
            <w:r w:rsidRPr="00837F5F">
              <w:rPr>
                <w:rFonts w:cs="Calibri" w:hint="eastAsia"/>
                <w:lang w:eastAsia="zh-CN"/>
              </w:rPr>
              <w:t>本文件。</w:t>
            </w:r>
          </w:p>
          <w:p w14:paraId="39C2EDFF" w14:textId="77777777" w:rsidR="00E24D59" w:rsidRPr="00DA2D30" w:rsidRDefault="00DA2D30" w:rsidP="00DA2D30">
            <w:pPr>
              <w:rPr>
                <w:lang w:eastAsia="zh-CN"/>
              </w:rPr>
            </w:pPr>
            <w:r w:rsidRPr="00837F5F">
              <w:rPr>
                <w:rFonts w:cs="Calibri"/>
                <w:lang w:eastAsia="zh-CN"/>
              </w:rPr>
              <w:t>_______________</w:t>
            </w:r>
          </w:p>
          <w:p w14:paraId="063110C1" w14:textId="77777777" w:rsidR="00E24D59" w:rsidRDefault="00E24D59" w:rsidP="00555C29">
            <w:pPr>
              <w:rPr>
                <w:b/>
                <w:bCs/>
                <w:lang w:eastAsia="zh-CN"/>
              </w:rPr>
            </w:pPr>
            <w:r w:rsidRPr="00477D57">
              <w:rPr>
                <w:rFonts w:hint="eastAsia"/>
                <w:b/>
                <w:bCs/>
                <w:lang w:eastAsia="zh-CN"/>
              </w:rPr>
              <w:t>参考文件</w:t>
            </w:r>
          </w:p>
          <w:p w14:paraId="20AA419E" w14:textId="1B3F76C9" w:rsidR="008F1856" w:rsidRPr="003F271C" w:rsidRDefault="008F1856" w:rsidP="008F1856">
            <w:pPr>
              <w:ind w:firstLineChars="200" w:firstLine="480"/>
              <w:rPr>
                <w:rFonts w:eastAsia="STKaiti" w:cs="Calibri"/>
                <w:u w:val="single"/>
                <w:lang w:eastAsia="zh-CN"/>
              </w:rPr>
            </w:pPr>
            <w:hyperlink r:id="rId8" w:anchor="/zh" w:history="1">
              <w:r w:rsidRPr="00B14BC7">
                <w:rPr>
                  <w:rStyle w:val="Hyperlink"/>
                  <w:rFonts w:eastAsia="STKaiti" w:cs="Calibri"/>
                  <w:noProof w:val="0"/>
                </w:rPr>
                <w:t>CWG-Internet</w:t>
              </w:r>
              <w:proofErr w:type="spellStart"/>
              <w:r w:rsidRPr="00B14BC7">
                <w:rPr>
                  <w:rStyle w:val="Hyperlink"/>
                  <w:rFonts w:eastAsia="STKaiti" w:cs="Calibri"/>
                  <w:noProof w:val="0"/>
                </w:rPr>
                <w:t>网站</w:t>
              </w:r>
              <w:proofErr w:type="spellEnd"/>
            </w:hyperlink>
            <w:r w:rsidRPr="003F271C">
              <w:rPr>
                <w:rFonts w:eastAsia="STKaiti" w:cs="Calibri"/>
                <w:lang w:eastAsia="zh-CN"/>
              </w:rPr>
              <w:t>、</w:t>
            </w:r>
            <w:r w:rsidRPr="00B14BC7">
              <w:fldChar w:fldCharType="begin"/>
            </w:r>
            <w:r w:rsidRPr="00B14BC7">
              <w:instrText>HYPERLINK "https://ituint-my.sharepoint.com/personal/zhengqi_jie_itu_int/Documents/Microsoft%20Teams%20Chat%20Files/T25-SG15-COL-0002!!MSW-C.docx?web=1"</w:instrText>
            </w:r>
            <w:r w:rsidRPr="00B14BC7">
              <w:fldChar w:fldCharType="separate"/>
            </w:r>
            <w:r w:rsidRPr="00B14BC7">
              <w:rPr>
                <w:rStyle w:val="Hyperlink"/>
                <w:rFonts w:eastAsia="STKaiti" w:cs="Calibri"/>
                <w:noProof w:val="0"/>
              </w:rPr>
              <w:t>CWG-Internet-23/6</w:t>
            </w:r>
            <w:r w:rsidRPr="00B14BC7">
              <w:fldChar w:fldCharType="end"/>
            </w:r>
            <w:proofErr w:type="spellStart"/>
            <w:r w:rsidRPr="003F271C">
              <w:rPr>
                <w:rFonts w:eastAsia="STKaiti" w:cs="Calibri"/>
              </w:rPr>
              <w:t>号文件</w:t>
            </w:r>
            <w:proofErr w:type="spellEnd"/>
          </w:p>
          <w:p w14:paraId="235C69AC" w14:textId="77777777" w:rsidR="00E24D59" w:rsidRPr="00477D57" w:rsidRDefault="00E24D59" w:rsidP="00555C29">
            <w:pPr>
              <w:spacing w:after="120"/>
              <w:rPr>
                <w:rFonts w:asciiTheme="majorEastAsia" w:eastAsiaTheme="majorEastAsia" w:hAnsiTheme="majorEastAsia"/>
                <w:i/>
                <w:iCs/>
                <w:sz w:val="22"/>
                <w:szCs w:val="22"/>
                <w:lang w:eastAsia="zh-CN"/>
              </w:rPr>
            </w:pPr>
          </w:p>
        </w:tc>
      </w:tr>
      <w:bookmarkEnd w:id="2"/>
      <w:bookmarkEnd w:id="6"/>
    </w:tbl>
    <w:p w14:paraId="04B8F813"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53F58230" w14:textId="292D8AC4" w:rsidR="00E323D0" w:rsidRPr="002523D5" w:rsidRDefault="00E24D59" w:rsidP="002523D5">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C9051CB" w14:textId="2A02FCD0" w:rsidR="00E323D0" w:rsidRPr="00837F5F" w:rsidRDefault="008F1856" w:rsidP="001B3DD7">
      <w:pPr>
        <w:pStyle w:val="Heading1"/>
        <w:rPr>
          <w:rFonts w:cs="Calibri"/>
          <w:lang w:eastAsia="zh-CN"/>
        </w:rPr>
      </w:pPr>
      <w:r w:rsidRPr="00837F5F">
        <w:rPr>
          <w:rFonts w:cs="Calibri" w:hint="eastAsia"/>
          <w:lang w:eastAsia="zh-CN"/>
        </w:rPr>
        <w:lastRenderedPageBreak/>
        <w:t>1</w:t>
      </w:r>
      <w:r w:rsidRPr="00837F5F">
        <w:rPr>
          <w:rFonts w:cs="Calibri" w:hint="eastAsia"/>
          <w:lang w:eastAsia="zh-CN"/>
        </w:rPr>
        <w:tab/>
      </w:r>
      <w:r w:rsidRPr="00837F5F">
        <w:rPr>
          <w:rFonts w:cs="Calibri" w:hint="eastAsia"/>
          <w:lang w:eastAsia="zh-CN"/>
        </w:rPr>
        <w:t>引言</w:t>
      </w:r>
    </w:p>
    <w:p w14:paraId="187E87F9" w14:textId="358EF89E" w:rsidR="008F1856" w:rsidRPr="00837F5F" w:rsidRDefault="008F1856" w:rsidP="008F1856">
      <w:pPr>
        <w:pStyle w:val="Reasons"/>
        <w:rPr>
          <w:rFonts w:cs="Calibri"/>
          <w:lang w:eastAsia="zh-CN"/>
        </w:rPr>
      </w:pPr>
      <w:r w:rsidRPr="00837F5F">
        <w:rPr>
          <w:rFonts w:cs="Calibri" w:hint="eastAsia"/>
          <w:lang w:eastAsia="zh-CN"/>
        </w:rPr>
        <w:t>1.1</w:t>
      </w:r>
      <w:r w:rsidRPr="00837F5F">
        <w:rPr>
          <w:rFonts w:cs="Calibri" w:hint="eastAsia"/>
          <w:lang w:eastAsia="zh-CN"/>
        </w:rPr>
        <w:tab/>
      </w:r>
      <w:r w:rsidRPr="00837F5F">
        <w:rPr>
          <w:rFonts w:cs="Calibri" w:hint="eastAsia"/>
          <w:lang w:eastAsia="zh-CN"/>
        </w:rPr>
        <w:t>理事会国际互联网相关公共政策问题工作组（</w:t>
      </w:r>
      <w:r w:rsidRPr="00837F5F">
        <w:rPr>
          <w:rFonts w:cs="Calibri" w:hint="eastAsia"/>
          <w:lang w:eastAsia="zh-CN"/>
        </w:rPr>
        <w:t>CWG-Internet</w:t>
      </w:r>
      <w:r w:rsidRPr="00837F5F">
        <w:rPr>
          <w:rFonts w:cs="Calibri" w:hint="eastAsia"/>
          <w:lang w:eastAsia="zh-CN"/>
        </w:rPr>
        <w:t>）在第二十二（第</w:t>
      </w:r>
      <w:r w:rsidRPr="00837F5F">
        <w:rPr>
          <w:rFonts w:cs="Calibri" w:hint="eastAsia"/>
          <w:lang w:eastAsia="zh-CN"/>
        </w:rPr>
        <w:t>22</w:t>
      </w:r>
      <w:r w:rsidRPr="00837F5F">
        <w:rPr>
          <w:rFonts w:cs="Calibri" w:hint="eastAsia"/>
          <w:lang w:eastAsia="zh-CN"/>
        </w:rPr>
        <w:t>次）会议上就公开磋商的结果、成员国的提案和国际互联网相关公共政策问题的新进展进行了实质性讨论。</w:t>
      </w:r>
    </w:p>
    <w:p w14:paraId="49330D5C" w14:textId="77777777" w:rsidR="008F1856" w:rsidRPr="00837F5F" w:rsidRDefault="008F1856" w:rsidP="008F1856">
      <w:pPr>
        <w:pStyle w:val="Reasons"/>
        <w:rPr>
          <w:rFonts w:cs="Calibri"/>
          <w:lang w:eastAsia="zh-CN"/>
        </w:rPr>
      </w:pPr>
      <w:r w:rsidRPr="00837F5F">
        <w:rPr>
          <w:rFonts w:cs="Calibri" w:hint="eastAsia"/>
          <w:lang w:eastAsia="zh-CN"/>
        </w:rPr>
        <w:t>1.2</w:t>
      </w:r>
      <w:r w:rsidRPr="00837F5F">
        <w:rPr>
          <w:rFonts w:cs="Calibri" w:hint="eastAsia"/>
          <w:lang w:eastAsia="zh-CN"/>
        </w:rPr>
        <w:tab/>
      </w:r>
      <w:r w:rsidRPr="00837F5F">
        <w:rPr>
          <w:rFonts w:cs="Calibri" w:hint="eastAsia"/>
          <w:lang w:eastAsia="zh-CN"/>
        </w:rPr>
        <w:t>这些讨论强调了一些反复出现的挑战，包括有必要增强</w:t>
      </w:r>
      <w:r w:rsidRPr="00837F5F">
        <w:rPr>
          <w:rFonts w:cs="Calibri" w:hint="eastAsia"/>
          <w:lang w:eastAsia="zh-CN"/>
        </w:rPr>
        <w:t>CWG-Internet</w:t>
      </w:r>
      <w:r w:rsidRPr="00837F5F">
        <w:rPr>
          <w:rFonts w:cs="Calibri" w:hint="eastAsia"/>
          <w:lang w:eastAsia="zh-CN"/>
        </w:rPr>
        <w:t>工作的连续性和有效性、在就公开磋商议题达成协商一致方面存在困难，以及对关键互联网资源稳定性和韧性日益增加的关切。</w:t>
      </w:r>
    </w:p>
    <w:p w14:paraId="46945B36" w14:textId="48E4A010" w:rsidR="008F1856" w:rsidRPr="00837F5F" w:rsidRDefault="008F1856" w:rsidP="008F1856">
      <w:pPr>
        <w:pStyle w:val="Reasons"/>
        <w:rPr>
          <w:rFonts w:cs="Calibri"/>
          <w:lang w:eastAsia="zh-CN"/>
        </w:rPr>
      </w:pPr>
      <w:r w:rsidRPr="00837F5F">
        <w:rPr>
          <w:rFonts w:cs="Calibri" w:hint="eastAsia"/>
          <w:lang w:eastAsia="zh-CN"/>
        </w:rPr>
        <w:t>1.3</w:t>
      </w:r>
      <w:r w:rsidRPr="00837F5F">
        <w:rPr>
          <w:rFonts w:cs="Calibri" w:hint="eastAsia"/>
          <w:lang w:eastAsia="zh-CN"/>
        </w:rPr>
        <w:tab/>
      </w:r>
      <w:r w:rsidRPr="00837F5F">
        <w:rPr>
          <w:rFonts w:cs="Calibri" w:hint="eastAsia"/>
          <w:lang w:eastAsia="zh-CN"/>
        </w:rPr>
        <w:t>本文稿旨在提出一种务实且职权一致的方法来解决这些问题，同时保持</w:t>
      </w:r>
      <w:r w:rsidRPr="00837F5F">
        <w:rPr>
          <w:rFonts w:cs="Calibri" w:hint="eastAsia"/>
          <w:lang w:eastAsia="zh-CN"/>
        </w:rPr>
        <w:t>CWG-Internet</w:t>
      </w:r>
      <w:r w:rsidRPr="00837F5F">
        <w:rPr>
          <w:rFonts w:cs="Calibri" w:hint="eastAsia"/>
          <w:lang w:eastAsia="zh-CN"/>
        </w:rPr>
        <w:t>的政府间和政策导向性质，且不损害其他相关组织的现有制度安排、职权或作用。</w:t>
      </w:r>
    </w:p>
    <w:p w14:paraId="583C57A0" w14:textId="05DD576A" w:rsidR="00F8546F" w:rsidRPr="00837F5F" w:rsidRDefault="008F1856" w:rsidP="008F1856">
      <w:pPr>
        <w:pStyle w:val="Reasons"/>
        <w:rPr>
          <w:rFonts w:cs="Calibri"/>
          <w:lang w:eastAsia="zh-CN"/>
        </w:rPr>
      </w:pPr>
      <w:r w:rsidRPr="00837F5F">
        <w:rPr>
          <w:rFonts w:cs="Calibri" w:hint="eastAsia"/>
          <w:lang w:eastAsia="zh-CN"/>
        </w:rPr>
        <w:t>1.4</w:t>
      </w:r>
      <w:r w:rsidRPr="00837F5F">
        <w:rPr>
          <w:rFonts w:cs="Calibri" w:hint="eastAsia"/>
          <w:lang w:eastAsia="zh-CN"/>
        </w:rPr>
        <w:tab/>
      </w:r>
      <w:r w:rsidRPr="00837F5F">
        <w:rPr>
          <w:rFonts w:cs="Calibri" w:hint="eastAsia"/>
          <w:lang w:eastAsia="zh-CN"/>
        </w:rPr>
        <w:t>非洲集团自布加勒斯特全权代表大会以来一直积极参与理事会国际互联网相关公共政策问题工作组（</w:t>
      </w:r>
      <w:r w:rsidRPr="00837F5F">
        <w:rPr>
          <w:rFonts w:cs="Calibri" w:hint="eastAsia"/>
          <w:lang w:eastAsia="zh-CN"/>
        </w:rPr>
        <w:t>CWG-Internet</w:t>
      </w:r>
      <w:r w:rsidRPr="00837F5F">
        <w:rPr>
          <w:rFonts w:cs="Calibri" w:hint="eastAsia"/>
          <w:lang w:eastAsia="zh-CN"/>
        </w:rPr>
        <w:t>）的工作。我们满意地注意到</w:t>
      </w:r>
      <w:r w:rsidRPr="00837F5F">
        <w:rPr>
          <w:rFonts w:cs="Calibri" w:hint="eastAsia"/>
          <w:lang w:eastAsia="zh-CN"/>
        </w:rPr>
        <w:t>2022-2026</w:t>
      </w:r>
      <w:r w:rsidRPr="00837F5F">
        <w:rPr>
          <w:rFonts w:cs="Calibri" w:hint="eastAsia"/>
          <w:lang w:eastAsia="zh-CN"/>
        </w:rPr>
        <w:t>年周期取得的进展，包括通过了关于发展方面、多语言化和内陆发展中国家（</w:t>
      </w:r>
      <w:r w:rsidRPr="00837F5F">
        <w:rPr>
          <w:rFonts w:cs="Calibri" w:hint="eastAsia"/>
          <w:lang w:eastAsia="zh-CN"/>
        </w:rPr>
        <w:t>LLDC</w:t>
      </w:r>
      <w:r w:rsidRPr="00837F5F">
        <w:rPr>
          <w:rFonts w:cs="Calibri" w:hint="eastAsia"/>
          <w:lang w:eastAsia="zh-CN"/>
        </w:rPr>
        <w:t>）的磋商。</w:t>
      </w:r>
    </w:p>
    <w:p w14:paraId="64C6B061" w14:textId="10B640AD" w:rsidR="00497012" w:rsidRPr="00837F5F" w:rsidRDefault="008F1856" w:rsidP="001B3DD7">
      <w:pPr>
        <w:pStyle w:val="Heading1"/>
        <w:rPr>
          <w:rFonts w:cs="Calibri"/>
          <w:lang w:eastAsia="zh-CN"/>
        </w:rPr>
      </w:pPr>
      <w:r w:rsidRPr="00837F5F">
        <w:rPr>
          <w:rFonts w:cs="Calibri" w:hint="eastAsia"/>
          <w:lang w:eastAsia="zh-CN"/>
        </w:rPr>
        <w:t>2</w:t>
      </w:r>
      <w:r w:rsidRPr="00837F5F">
        <w:rPr>
          <w:rFonts w:cs="Calibri" w:hint="eastAsia"/>
          <w:lang w:eastAsia="zh-CN"/>
        </w:rPr>
        <w:tab/>
      </w:r>
      <w:r w:rsidRPr="00837F5F">
        <w:rPr>
          <w:rFonts w:cs="Calibri" w:hint="eastAsia"/>
          <w:lang w:eastAsia="zh-CN"/>
        </w:rPr>
        <w:t>对</w:t>
      </w:r>
      <w:r w:rsidRPr="00837F5F">
        <w:rPr>
          <w:rFonts w:cs="Calibri" w:hint="eastAsia"/>
          <w:lang w:eastAsia="zh-CN"/>
        </w:rPr>
        <w:t>CWG-Internet-23/6</w:t>
      </w:r>
      <w:r w:rsidRPr="00837F5F">
        <w:rPr>
          <w:rFonts w:cs="Calibri" w:hint="eastAsia"/>
          <w:lang w:eastAsia="zh-CN"/>
        </w:rPr>
        <w:t>号文件的赞同</w:t>
      </w:r>
    </w:p>
    <w:p w14:paraId="65CF0178" w14:textId="176F2992" w:rsidR="008F1856" w:rsidRPr="00296CCD" w:rsidRDefault="008F1856" w:rsidP="008F1856">
      <w:pPr>
        <w:ind w:firstLineChars="200" w:firstLine="496"/>
        <w:rPr>
          <w:rFonts w:cs="Calibri"/>
          <w:spacing w:val="4"/>
          <w:lang w:eastAsia="zh-CN"/>
        </w:rPr>
      </w:pPr>
      <w:r w:rsidRPr="00296CCD">
        <w:rPr>
          <w:rFonts w:cs="Calibri" w:hint="eastAsia"/>
          <w:spacing w:val="4"/>
          <w:lang w:eastAsia="zh-CN"/>
        </w:rPr>
        <w:t>非洲集团重申其在卢旺达、乌干达、坦桑尼亚、尼日利亚和南非共同撰写的</w:t>
      </w:r>
      <w:r w:rsidRPr="00296CCD">
        <w:rPr>
          <w:rFonts w:cs="Calibri" w:hint="eastAsia"/>
          <w:spacing w:val="4"/>
          <w:lang w:eastAsia="zh-CN"/>
        </w:rPr>
        <w:t>CWG-Internet-23/6</w:t>
      </w:r>
      <w:r w:rsidRPr="00296CCD">
        <w:rPr>
          <w:rFonts w:cs="Calibri" w:hint="eastAsia"/>
          <w:spacing w:val="4"/>
          <w:lang w:eastAsia="zh-CN"/>
        </w:rPr>
        <w:t>号文件中阐述的立场。我们赞同以下原则：</w:t>
      </w:r>
    </w:p>
    <w:p w14:paraId="51783D4C" w14:textId="77777777" w:rsidR="008F1856" w:rsidRPr="00837F5F" w:rsidRDefault="008F1856" w:rsidP="008F1856">
      <w:pPr>
        <w:pStyle w:val="enumlev1"/>
        <w:rPr>
          <w:rFonts w:cs="Calibri"/>
          <w:lang w:eastAsia="zh-CN"/>
        </w:rPr>
      </w:pPr>
      <w:r w:rsidRPr="00837F5F">
        <w:rPr>
          <w:rFonts w:cs="Calibri" w:hint="eastAsia"/>
          <w:lang w:eastAsia="zh-CN"/>
        </w:rPr>
        <w:t>a)</w:t>
      </w:r>
      <w:r w:rsidRPr="00837F5F">
        <w:rPr>
          <w:rFonts w:cs="Calibri" w:hint="eastAsia"/>
          <w:lang w:eastAsia="zh-CN"/>
        </w:rPr>
        <w:tab/>
      </w:r>
      <w:r w:rsidRPr="00837F5F">
        <w:rPr>
          <w:rFonts w:cs="Calibri" w:hint="eastAsia"/>
          <w:b/>
          <w:bCs/>
          <w:lang w:eastAsia="zh-CN"/>
        </w:rPr>
        <w:t>非约束性的主题框架：</w:t>
      </w:r>
      <w:r w:rsidRPr="00837F5F">
        <w:rPr>
          <w:rFonts w:cs="Calibri" w:hint="eastAsia"/>
          <w:lang w:eastAsia="zh-CN"/>
        </w:rPr>
        <w:t>CWG-Internet</w:t>
      </w:r>
      <w:r w:rsidRPr="00837F5F">
        <w:rPr>
          <w:rFonts w:cs="Calibri" w:hint="eastAsia"/>
          <w:lang w:eastAsia="zh-CN"/>
        </w:rPr>
        <w:t>应通过一个灵活、非约束性的主题框架，为其工作提供指导，而不强加死板的工作计划或约束性的建议。这种方法保持了该工作组作为对话论坛的作用，同时确保关于优先议题的集中讨论。</w:t>
      </w:r>
    </w:p>
    <w:p w14:paraId="0CD46B3F" w14:textId="77777777" w:rsidR="008F1856" w:rsidRPr="00837F5F" w:rsidRDefault="008F1856" w:rsidP="008F1856">
      <w:pPr>
        <w:pStyle w:val="enumlev1"/>
        <w:rPr>
          <w:rFonts w:cs="Calibri"/>
          <w:lang w:eastAsia="zh-CN"/>
        </w:rPr>
      </w:pPr>
      <w:r w:rsidRPr="00837F5F">
        <w:rPr>
          <w:rFonts w:cs="Calibri" w:hint="eastAsia"/>
          <w:lang w:eastAsia="zh-CN"/>
        </w:rPr>
        <w:t>b)</w:t>
      </w:r>
      <w:r w:rsidRPr="00837F5F">
        <w:rPr>
          <w:rFonts w:cs="Calibri" w:hint="eastAsia"/>
          <w:lang w:eastAsia="zh-CN"/>
        </w:rPr>
        <w:tab/>
      </w:r>
      <w:r w:rsidRPr="00837F5F">
        <w:rPr>
          <w:rFonts w:cs="Calibri" w:hint="eastAsia"/>
          <w:b/>
          <w:bCs/>
          <w:lang w:eastAsia="zh-CN"/>
        </w:rPr>
        <w:t>在加强意见输入的同时保持政府间性质：</w:t>
      </w:r>
      <w:r w:rsidRPr="00837F5F">
        <w:rPr>
          <w:rFonts w:cs="Calibri" w:hint="eastAsia"/>
          <w:lang w:eastAsia="zh-CN"/>
        </w:rPr>
        <w:t>非洲集团认识到，公共政策讨论是成员国的特权。我们支持保持</w:t>
      </w:r>
      <w:r w:rsidRPr="00837F5F">
        <w:rPr>
          <w:rFonts w:cs="Calibri" w:hint="eastAsia"/>
          <w:lang w:eastAsia="zh-CN"/>
        </w:rPr>
        <w:t>CWG-Internet</w:t>
      </w:r>
      <w:r w:rsidRPr="00837F5F">
        <w:rPr>
          <w:rFonts w:cs="Calibri" w:hint="eastAsia"/>
          <w:lang w:eastAsia="zh-CN"/>
        </w:rPr>
        <w:t>会议的政府间性质，同时对来自非政府利益攸关方的强化输入机制（包括通过公开磋商）持开放态度。</w:t>
      </w:r>
    </w:p>
    <w:p w14:paraId="4C23132C" w14:textId="77777777" w:rsidR="008F1856" w:rsidRPr="00837F5F" w:rsidRDefault="008F1856" w:rsidP="008F1856">
      <w:pPr>
        <w:pStyle w:val="enumlev1"/>
        <w:rPr>
          <w:rFonts w:cs="Calibri"/>
          <w:lang w:eastAsia="zh-CN"/>
        </w:rPr>
      </w:pPr>
      <w:r w:rsidRPr="00837F5F">
        <w:rPr>
          <w:rFonts w:cs="Calibri" w:hint="eastAsia"/>
          <w:lang w:eastAsia="zh-CN"/>
        </w:rPr>
        <w:t>c)</w:t>
      </w:r>
      <w:r w:rsidRPr="00837F5F">
        <w:rPr>
          <w:rFonts w:cs="Calibri" w:hint="eastAsia"/>
          <w:lang w:eastAsia="zh-CN"/>
        </w:rPr>
        <w:tab/>
      </w:r>
      <w:r w:rsidRPr="00837F5F">
        <w:rPr>
          <w:rFonts w:cs="Calibri" w:hint="eastAsia"/>
          <w:b/>
          <w:bCs/>
          <w:lang w:eastAsia="zh-CN"/>
        </w:rPr>
        <w:t>关于关键互联网资源的政策层面交流：</w:t>
      </w:r>
      <w:r w:rsidRPr="00837F5F">
        <w:rPr>
          <w:rFonts w:cs="Calibri" w:hint="eastAsia"/>
          <w:lang w:eastAsia="zh-CN"/>
        </w:rPr>
        <w:t>包括区域性互联网注册管理机构（</w:t>
      </w:r>
      <w:r w:rsidRPr="00837F5F">
        <w:rPr>
          <w:rFonts w:cs="Calibri" w:hint="eastAsia"/>
          <w:lang w:eastAsia="zh-CN"/>
        </w:rPr>
        <w:t>RIR</w:t>
      </w:r>
      <w:r w:rsidRPr="00837F5F">
        <w:rPr>
          <w:rFonts w:cs="Calibri" w:hint="eastAsia"/>
          <w:lang w:eastAsia="zh-CN"/>
        </w:rPr>
        <w:t>）在内的关键互联网资源的稳定性和韧性是公共政策的正当关切。非洲集团支持以非洲网络信息中心的经验作为案例研究，对这些问题开展政策层面的交流；此类交流严格限于非运营性和非规范性层面。</w:t>
      </w:r>
    </w:p>
    <w:p w14:paraId="4C0FCF45" w14:textId="78A35D2B" w:rsidR="00497012" w:rsidRPr="00837F5F" w:rsidRDefault="008F1856" w:rsidP="008F1856">
      <w:pPr>
        <w:pStyle w:val="enumlev1"/>
        <w:rPr>
          <w:rFonts w:cs="Calibri"/>
          <w:lang w:eastAsia="zh-CN"/>
        </w:rPr>
      </w:pPr>
      <w:r w:rsidRPr="00837F5F">
        <w:rPr>
          <w:rFonts w:cs="Calibri" w:hint="eastAsia"/>
          <w:lang w:eastAsia="zh-CN"/>
        </w:rPr>
        <w:t>d)</w:t>
      </w:r>
      <w:r w:rsidRPr="00837F5F">
        <w:rPr>
          <w:rFonts w:cs="Calibri" w:hint="eastAsia"/>
          <w:lang w:eastAsia="zh-CN"/>
        </w:rPr>
        <w:tab/>
      </w:r>
      <w:r w:rsidRPr="00837F5F">
        <w:rPr>
          <w:rFonts w:cs="Calibri" w:hint="eastAsia"/>
          <w:b/>
          <w:bCs/>
          <w:lang w:eastAsia="zh-CN"/>
        </w:rPr>
        <w:t>内陆发展中国家作为标志性问题：</w:t>
      </w:r>
      <w:r w:rsidRPr="00837F5F">
        <w:rPr>
          <w:rFonts w:cs="Calibri" w:hint="eastAsia"/>
          <w:lang w:eastAsia="zh-CN"/>
        </w:rPr>
        <w:t>非洲集团欢迎关于“确保内陆发展中国家（</w:t>
      </w:r>
      <w:r w:rsidRPr="00837F5F">
        <w:rPr>
          <w:rFonts w:cs="Calibri" w:hint="eastAsia"/>
          <w:lang w:eastAsia="zh-CN"/>
        </w:rPr>
        <w:t>LLDC</w:t>
      </w:r>
      <w:r w:rsidRPr="00837F5F">
        <w:rPr>
          <w:rFonts w:cs="Calibri" w:hint="eastAsia"/>
          <w:lang w:eastAsia="zh-CN"/>
        </w:rPr>
        <w:t>）有意义的互联网连接”磋商的圆满完成。鉴于内陆发展中国家只有</w:t>
      </w:r>
      <w:r w:rsidRPr="00837F5F">
        <w:rPr>
          <w:rFonts w:cs="Calibri" w:hint="eastAsia"/>
          <w:lang w:eastAsia="zh-CN"/>
        </w:rPr>
        <w:t>39%</w:t>
      </w:r>
      <w:r w:rsidRPr="00837F5F">
        <w:rPr>
          <w:rFonts w:cs="Calibri" w:hint="eastAsia"/>
          <w:lang w:eastAsia="zh-CN"/>
        </w:rPr>
        <w:t>的人口上网，我们建议内陆发展中国家继续作为</w:t>
      </w:r>
      <w:r w:rsidRPr="00837F5F">
        <w:rPr>
          <w:rFonts w:cs="Calibri" w:hint="eastAsia"/>
          <w:lang w:eastAsia="zh-CN"/>
        </w:rPr>
        <w:t>CWG-Internet</w:t>
      </w:r>
      <w:r w:rsidRPr="00837F5F">
        <w:rPr>
          <w:rFonts w:cs="Calibri" w:hint="eastAsia"/>
          <w:lang w:eastAsia="zh-CN"/>
        </w:rPr>
        <w:t>的重点工作。</w:t>
      </w:r>
    </w:p>
    <w:p w14:paraId="15E8DB39" w14:textId="1B33C9B8" w:rsidR="00497012" w:rsidRPr="00837F5F" w:rsidRDefault="00497012" w:rsidP="001B3DD7">
      <w:pPr>
        <w:pStyle w:val="Heading1"/>
        <w:rPr>
          <w:rFonts w:cs="Calibri"/>
          <w:lang w:eastAsia="zh-CN"/>
        </w:rPr>
      </w:pPr>
      <w:r w:rsidRPr="00837F5F">
        <w:rPr>
          <w:rFonts w:cs="Calibri" w:hint="eastAsia"/>
          <w:lang w:eastAsia="zh-CN"/>
        </w:rPr>
        <w:t>3</w:t>
      </w:r>
      <w:r w:rsidRPr="00837F5F">
        <w:rPr>
          <w:rFonts w:cs="Calibri"/>
          <w:lang w:eastAsia="zh-CN"/>
        </w:rPr>
        <w:tab/>
      </w:r>
      <w:r w:rsidR="008F1856" w:rsidRPr="00837F5F">
        <w:rPr>
          <w:rFonts w:cs="Calibri" w:hint="eastAsia"/>
          <w:lang w:eastAsia="zh-CN"/>
        </w:rPr>
        <w:t>2026-2030</w:t>
      </w:r>
      <w:r w:rsidR="008F1856" w:rsidRPr="00837F5F">
        <w:rPr>
          <w:rFonts w:cs="Calibri" w:hint="eastAsia"/>
          <w:lang w:eastAsia="zh-CN"/>
        </w:rPr>
        <w:t>年的拟议未来方向</w:t>
      </w:r>
    </w:p>
    <w:p w14:paraId="6ECB8DAE" w14:textId="723F07AB" w:rsidR="008F1856" w:rsidRPr="00837F5F" w:rsidRDefault="008F1856" w:rsidP="008F1856">
      <w:pPr>
        <w:ind w:firstLineChars="200" w:firstLine="480"/>
        <w:rPr>
          <w:rFonts w:cs="Calibri"/>
          <w:lang w:val="en-US" w:eastAsia="zh-CN"/>
        </w:rPr>
      </w:pPr>
      <w:r w:rsidRPr="00837F5F">
        <w:rPr>
          <w:rFonts w:cs="Calibri" w:hint="eastAsia"/>
          <w:lang w:val="en-US" w:eastAsia="zh-CN"/>
        </w:rPr>
        <w:t>非洲集团建议理事会：</w:t>
      </w:r>
    </w:p>
    <w:p w14:paraId="120733B1" w14:textId="77777777" w:rsidR="008F1856" w:rsidRPr="00837F5F" w:rsidRDefault="008F1856" w:rsidP="008F1856">
      <w:pPr>
        <w:pStyle w:val="enumlev1"/>
        <w:rPr>
          <w:rFonts w:cs="Calibri"/>
          <w:lang w:val="en-US" w:eastAsia="zh-CN"/>
        </w:rPr>
      </w:pPr>
      <w:r w:rsidRPr="00837F5F">
        <w:rPr>
          <w:rFonts w:cs="Calibri" w:hint="eastAsia"/>
          <w:lang w:val="en-US" w:eastAsia="zh-CN"/>
        </w:rPr>
        <w:t>a</w:t>
      </w:r>
      <w:proofErr w:type="gramStart"/>
      <w:r w:rsidRPr="00837F5F">
        <w:rPr>
          <w:rFonts w:cs="Calibri" w:hint="eastAsia"/>
          <w:lang w:val="en-US" w:eastAsia="zh-CN"/>
        </w:rPr>
        <w:t>)</w:t>
      </w:r>
      <w:r w:rsidRPr="00837F5F">
        <w:rPr>
          <w:rFonts w:cs="Calibri" w:hint="eastAsia"/>
          <w:lang w:val="en-US" w:eastAsia="zh-CN"/>
        </w:rPr>
        <w:tab/>
      </w:r>
      <w:r w:rsidRPr="00837F5F">
        <w:rPr>
          <w:rFonts w:cs="Calibri" w:hint="eastAsia"/>
          <w:lang w:val="en-US" w:eastAsia="zh-CN"/>
        </w:rPr>
        <w:t>将</w:t>
      </w:r>
      <w:proofErr w:type="gramEnd"/>
      <w:r w:rsidRPr="00837F5F">
        <w:rPr>
          <w:rFonts w:cs="Calibri" w:hint="eastAsia"/>
          <w:lang w:val="en-US" w:eastAsia="zh-CN"/>
        </w:rPr>
        <w:t>CWG-Internet-23/6</w:t>
      </w:r>
      <w:r w:rsidRPr="00837F5F">
        <w:rPr>
          <w:rFonts w:cs="Calibri" w:hint="eastAsia"/>
          <w:lang w:val="en-US" w:eastAsia="zh-CN"/>
        </w:rPr>
        <w:t>号文件</w:t>
      </w:r>
      <w:r w:rsidRPr="00837F5F">
        <w:rPr>
          <w:rFonts w:cs="Calibri" w:hint="eastAsia"/>
          <w:b/>
          <w:bCs/>
          <w:lang w:val="en-US" w:eastAsia="zh-CN"/>
        </w:rPr>
        <w:t>记录在案</w:t>
      </w:r>
      <w:r w:rsidRPr="00837F5F">
        <w:rPr>
          <w:rFonts w:cs="Calibri" w:hint="eastAsia"/>
          <w:lang w:val="en-US" w:eastAsia="zh-CN"/>
        </w:rPr>
        <w:t>，并赞同其中所含的原则，</w:t>
      </w:r>
      <w:proofErr w:type="gramStart"/>
      <w:r w:rsidRPr="00837F5F">
        <w:rPr>
          <w:rFonts w:cs="Calibri" w:hint="eastAsia"/>
          <w:lang w:val="en-US" w:eastAsia="zh-CN"/>
        </w:rPr>
        <w:t>作为工作组下一周期工作的基础；</w:t>
      </w:r>
      <w:proofErr w:type="gramEnd"/>
    </w:p>
    <w:p w14:paraId="3956BAEF" w14:textId="77777777" w:rsidR="008F1856" w:rsidRPr="00837F5F" w:rsidRDefault="008F1856" w:rsidP="008F1856">
      <w:pPr>
        <w:pStyle w:val="enumlev1"/>
        <w:rPr>
          <w:rFonts w:cs="Calibri"/>
          <w:lang w:val="en-US" w:eastAsia="zh-CN"/>
        </w:rPr>
      </w:pPr>
      <w:r w:rsidRPr="00837F5F">
        <w:rPr>
          <w:rFonts w:cs="Calibri" w:hint="eastAsia"/>
          <w:lang w:val="en-US" w:eastAsia="zh-CN"/>
        </w:rPr>
        <w:t>b)</w:t>
      </w:r>
      <w:r w:rsidRPr="00837F5F">
        <w:rPr>
          <w:rFonts w:cs="Calibri" w:hint="eastAsia"/>
          <w:lang w:val="en-US" w:eastAsia="zh-CN"/>
        </w:rPr>
        <w:tab/>
      </w:r>
      <w:r w:rsidRPr="00837F5F">
        <w:rPr>
          <w:rFonts w:cs="Calibri" w:hint="eastAsia"/>
          <w:b/>
          <w:bCs/>
          <w:lang w:val="en-US" w:eastAsia="zh-CN"/>
        </w:rPr>
        <w:t>责成</w:t>
      </w:r>
      <w:r w:rsidRPr="00837F5F">
        <w:rPr>
          <w:rFonts w:cs="Calibri" w:hint="eastAsia"/>
          <w:lang w:val="en-US" w:eastAsia="zh-CN"/>
        </w:rPr>
        <w:t>CWG-Internet</w:t>
      </w:r>
      <w:r w:rsidRPr="00837F5F">
        <w:rPr>
          <w:rFonts w:cs="Calibri" w:hint="eastAsia"/>
          <w:lang w:val="en-US" w:eastAsia="zh-CN"/>
        </w:rPr>
        <w:t>为其</w:t>
      </w:r>
      <w:r w:rsidRPr="00837F5F">
        <w:rPr>
          <w:rFonts w:cs="Calibri" w:hint="eastAsia"/>
          <w:lang w:val="en-US" w:eastAsia="zh-CN"/>
        </w:rPr>
        <w:t>2026-2030</w:t>
      </w:r>
      <w:r w:rsidRPr="00837F5F">
        <w:rPr>
          <w:rFonts w:cs="Calibri" w:hint="eastAsia"/>
          <w:lang w:val="en-US" w:eastAsia="zh-CN"/>
        </w:rPr>
        <w:t>年的工作制定一个非约束性的主题框架，</w:t>
      </w:r>
      <w:proofErr w:type="gramStart"/>
      <w:r w:rsidRPr="00837F5F">
        <w:rPr>
          <w:rFonts w:cs="Calibri" w:hint="eastAsia"/>
          <w:lang w:val="en-US" w:eastAsia="zh-CN"/>
        </w:rPr>
        <w:t>并提交理事会</w:t>
      </w:r>
      <w:r w:rsidRPr="00837F5F">
        <w:rPr>
          <w:rFonts w:cs="Calibri" w:hint="eastAsia"/>
          <w:lang w:val="en-US" w:eastAsia="zh-CN"/>
        </w:rPr>
        <w:t>2027</w:t>
      </w:r>
      <w:r w:rsidRPr="00837F5F">
        <w:rPr>
          <w:rFonts w:cs="Calibri" w:hint="eastAsia"/>
          <w:lang w:val="en-US" w:eastAsia="zh-CN"/>
        </w:rPr>
        <w:t>年会议；</w:t>
      </w:r>
      <w:proofErr w:type="gramEnd"/>
    </w:p>
    <w:p w14:paraId="4F4E2E0D" w14:textId="77777777" w:rsidR="008F1856" w:rsidRPr="00837F5F" w:rsidRDefault="008F1856" w:rsidP="00B14BC7">
      <w:pPr>
        <w:pStyle w:val="enumlev1"/>
        <w:keepNext/>
        <w:keepLines/>
        <w:rPr>
          <w:rFonts w:cs="Calibri"/>
          <w:lang w:val="en-US" w:eastAsia="zh-CN"/>
        </w:rPr>
      </w:pPr>
      <w:r w:rsidRPr="00837F5F">
        <w:rPr>
          <w:rFonts w:cs="Calibri" w:hint="eastAsia"/>
          <w:lang w:val="en-US" w:eastAsia="zh-CN"/>
        </w:rPr>
        <w:lastRenderedPageBreak/>
        <w:t>c)</w:t>
      </w:r>
      <w:r w:rsidRPr="00837F5F">
        <w:rPr>
          <w:rFonts w:cs="Calibri" w:hint="eastAsia"/>
          <w:lang w:val="en-US" w:eastAsia="zh-CN"/>
        </w:rPr>
        <w:tab/>
      </w:r>
      <w:r w:rsidRPr="00837F5F">
        <w:rPr>
          <w:rFonts w:cs="Calibri" w:hint="eastAsia"/>
          <w:b/>
          <w:bCs/>
          <w:lang w:val="en-US" w:eastAsia="zh-CN"/>
        </w:rPr>
        <w:t>请求</w:t>
      </w:r>
      <w:r w:rsidRPr="00837F5F">
        <w:rPr>
          <w:rFonts w:cs="Calibri" w:hint="eastAsia"/>
          <w:lang w:val="en-US" w:eastAsia="zh-CN"/>
        </w:rPr>
        <w:t>CWG-Internet</w:t>
      </w:r>
      <w:r w:rsidRPr="00837F5F">
        <w:rPr>
          <w:rFonts w:cs="Calibri" w:hint="eastAsia"/>
          <w:lang w:val="en-US" w:eastAsia="zh-CN"/>
        </w:rPr>
        <w:t>继续将重点放在</w:t>
      </w:r>
      <w:r w:rsidRPr="00837F5F">
        <w:rPr>
          <w:rFonts w:cs="Calibri" w:hint="eastAsia"/>
          <w:lang w:val="en-US" w:eastAsia="zh-CN"/>
        </w:rPr>
        <w:t>LLDC</w:t>
      </w:r>
      <w:r w:rsidRPr="00837F5F">
        <w:rPr>
          <w:rFonts w:cs="Calibri" w:hint="eastAsia"/>
          <w:lang w:val="en-US" w:eastAsia="zh-CN"/>
        </w:rPr>
        <w:t>上，并考虑青年参与、数字信任和包容性连通等其他议题；和</w:t>
      </w:r>
    </w:p>
    <w:p w14:paraId="5E4BA3F8" w14:textId="054990A7" w:rsidR="008F1856" w:rsidRPr="00837F5F" w:rsidRDefault="008F1856" w:rsidP="008F1856">
      <w:pPr>
        <w:pStyle w:val="enumlev1"/>
        <w:rPr>
          <w:rFonts w:cs="Calibri"/>
          <w:lang w:val="en-US" w:eastAsia="zh-CN"/>
        </w:rPr>
      </w:pPr>
      <w:r w:rsidRPr="00837F5F">
        <w:rPr>
          <w:rFonts w:cs="Calibri" w:hint="eastAsia"/>
          <w:lang w:val="en-US" w:eastAsia="zh-CN"/>
        </w:rPr>
        <w:t>d)</w:t>
      </w:r>
      <w:r w:rsidRPr="00837F5F">
        <w:rPr>
          <w:rFonts w:cs="Calibri" w:hint="eastAsia"/>
          <w:lang w:val="en-US" w:eastAsia="zh-CN"/>
        </w:rPr>
        <w:tab/>
      </w:r>
      <w:r w:rsidRPr="00837F5F">
        <w:rPr>
          <w:rFonts w:cs="Calibri" w:hint="eastAsia"/>
          <w:b/>
          <w:bCs/>
          <w:lang w:val="en-US" w:eastAsia="zh-CN"/>
        </w:rPr>
        <w:t>鼓励</w:t>
      </w:r>
      <w:r w:rsidRPr="00837F5F">
        <w:rPr>
          <w:rFonts w:cs="Calibri" w:hint="eastAsia"/>
          <w:lang w:val="en-US" w:eastAsia="zh-CN"/>
        </w:rPr>
        <w:t>CWG-Internet</w:t>
      </w:r>
      <w:r w:rsidRPr="00837F5F">
        <w:rPr>
          <w:rFonts w:cs="Calibri" w:hint="eastAsia"/>
          <w:lang w:val="en-US" w:eastAsia="zh-CN"/>
        </w:rPr>
        <w:t>与其他工作组，特别是理事会信息社会世界峰会和可持续发展目标工作组进行建设性接触，以确保国际电联在互联网相关问题方面的工作的一致性。</w:t>
      </w:r>
    </w:p>
    <w:p w14:paraId="61764E26" w14:textId="3DE9DCEB" w:rsidR="008F1856" w:rsidRPr="00837F5F" w:rsidRDefault="008F1856" w:rsidP="008F1856">
      <w:pPr>
        <w:pStyle w:val="Heading1"/>
        <w:rPr>
          <w:rFonts w:cs="Calibri"/>
          <w:lang w:val="en-US" w:eastAsia="zh-CN"/>
        </w:rPr>
      </w:pPr>
      <w:r w:rsidRPr="00837F5F">
        <w:rPr>
          <w:rFonts w:cs="Calibri"/>
          <w:lang w:val="en-US" w:eastAsia="zh-CN"/>
        </w:rPr>
        <w:t>4</w:t>
      </w:r>
      <w:r w:rsidRPr="00837F5F">
        <w:rPr>
          <w:rFonts w:cs="Calibri"/>
          <w:lang w:val="en-US" w:eastAsia="zh-CN"/>
        </w:rPr>
        <w:tab/>
      </w:r>
      <w:r w:rsidRPr="00837F5F">
        <w:rPr>
          <w:rFonts w:cs="Calibri" w:hint="eastAsia"/>
          <w:lang w:val="en-US" w:eastAsia="zh-CN"/>
        </w:rPr>
        <w:t>总结</w:t>
      </w:r>
    </w:p>
    <w:p w14:paraId="32A71FD8" w14:textId="340BFA2A" w:rsidR="008F1856" w:rsidRDefault="008F1856" w:rsidP="008F1856">
      <w:pPr>
        <w:ind w:firstLineChars="200" w:firstLine="480"/>
        <w:rPr>
          <w:rFonts w:cs="Calibri"/>
          <w:lang w:val="en-US" w:eastAsia="zh-CN"/>
        </w:rPr>
      </w:pPr>
      <w:r w:rsidRPr="00837F5F">
        <w:rPr>
          <w:rFonts w:cs="Calibri" w:hint="eastAsia"/>
          <w:lang w:val="en-US" w:eastAsia="zh-CN"/>
        </w:rPr>
        <w:t>非洲集团认为，</w:t>
      </w:r>
      <w:r w:rsidRPr="00837F5F">
        <w:rPr>
          <w:rFonts w:cs="Calibri" w:hint="eastAsia"/>
          <w:lang w:val="en-US" w:eastAsia="zh-CN"/>
        </w:rPr>
        <w:t>CWG-Internet</w:t>
      </w:r>
      <w:r w:rsidRPr="00837F5F">
        <w:rPr>
          <w:rFonts w:cs="Calibri" w:hint="eastAsia"/>
          <w:lang w:val="en-US" w:eastAsia="zh-CN"/>
        </w:rPr>
        <w:t>在促进成员国之间就互联网相关公共政策问题开展对话方面发挥着宝贵的作用。我们致力于建设性的参与，并期待在</w:t>
      </w:r>
      <w:r w:rsidRPr="00837F5F">
        <w:rPr>
          <w:rFonts w:cs="Calibri" w:hint="eastAsia"/>
          <w:lang w:val="en-US" w:eastAsia="zh-CN"/>
        </w:rPr>
        <w:t>2026-2030</w:t>
      </w:r>
      <w:r w:rsidRPr="00837F5F">
        <w:rPr>
          <w:rFonts w:cs="Calibri" w:hint="eastAsia"/>
          <w:lang w:val="en-US" w:eastAsia="zh-CN"/>
        </w:rPr>
        <w:t>年周期为</w:t>
      </w:r>
      <w:r w:rsidRPr="00837F5F">
        <w:rPr>
          <w:rFonts w:cs="Calibri" w:hint="eastAsia"/>
          <w:lang w:val="en-US" w:eastAsia="zh-CN"/>
        </w:rPr>
        <w:t>CWG-Internet</w:t>
      </w:r>
      <w:r w:rsidRPr="00837F5F">
        <w:rPr>
          <w:rFonts w:cs="Calibri" w:hint="eastAsia"/>
          <w:lang w:val="en-US" w:eastAsia="zh-CN"/>
        </w:rPr>
        <w:t>的工作做出贡献。</w:t>
      </w:r>
    </w:p>
    <w:p w14:paraId="5090474B" w14:textId="77777777" w:rsidR="00B14BC7" w:rsidRPr="00B14BC7" w:rsidRDefault="00B14BC7" w:rsidP="00B14BC7">
      <w:pPr>
        <w:rPr>
          <w:lang w:eastAsia="zh-CN"/>
        </w:rPr>
      </w:pPr>
    </w:p>
    <w:p w14:paraId="179E90DF" w14:textId="5711018A" w:rsidR="00E323D0" w:rsidRPr="00E323D0" w:rsidRDefault="00E323D0" w:rsidP="00E323D0">
      <w:pPr>
        <w:jc w:val="center"/>
        <w:rPr>
          <w:lang w:eastAsia="zh-CN"/>
        </w:rPr>
      </w:pPr>
      <w:r w:rsidRPr="009F2AB6">
        <w:rPr>
          <w:rFonts w:eastAsiaTheme="minorEastAsia" w:cs="Calibri"/>
          <w:lang w:eastAsia="zh-CN"/>
        </w:rPr>
        <w:t>______________</w:t>
      </w:r>
    </w:p>
    <w:sectPr w:rsidR="00E323D0" w:rsidRPr="00E323D0" w:rsidSect="00E24D59">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128A" w14:textId="77777777" w:rsidR="006F2F39" w:rsidRDefault="006F2F39">
      <w:r>
        <w:separator/>
      </w:r>
    </w:p>
  </w:endnote>
  <w:endnote w:type="continuationSeparator" w:id="0">
    <w:p w14:paraId="1FE710E3" w14:textId="77777777" w:rsidR="006F2F39" w:rsidRDefault="006F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9C02100" w14:textId="77777777" w:rsidTr="00E31DCE">
      <w:trPr>
        <w:jc w:val="center"/>
      </w:trPr>
      <w:tc>
        <w:tcPr>
          <w:tcW w:w="1803" w:type="dxa"/>
          <w:vAlign w:val="center"/>
        </w:tcPr>
        <w:p w14:paraId="7A338A8D" w14:textId="78EADA1C" w:rsidR="00E24D59" w:rsidRPr="001B3DD7" w:rsidRDefault="00BE3482"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R</w:t>
          </w:r>
          <w:r w:rsidR="001B3DD7">
            <w:rPr>
              <w:rFonts w:eastAsiaTheme="minorEastAsia" w:hint="eastAsia"/>
              <w:noProof/>
              <w:color w:val="808080" w:themeColor="background1" w:themeShade="80"/>
              <w:lang w:eastAsia="zh-CN"/>
            </w:rPr>
            <w:t>26009</w:t>
          </w:r>
          <w:r w:rsidR="008F1856">
            <w:rPr>
              <w:rFonts w:eastAsiaTheme="minorEastAsia" w:hint="eastAsia"/>
              <w:noProof/>
              <w:color w:val="808080" w:themeColor="background1" w:themeShade="80"/>
              <w:lang w:eastAsia="zh-CN"/>
            </w:rPr>
            <w:t>89</w:t>
          </w:r>
        </w:p>
      </w:tc>
      <w:tc>
        <w:tcPr>
          <w:tcW w:w="8261" w:type="dxa"/>
        </w:tcPr>
        <w:p w14:paraId="26572F59" w14:textId="369DE546"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1B3DD7">
            <w:rPr>
              <w:rFonts w:eastAsiaTheme="minorEastAsia" w:hint="eastAsia"/>
              <w:bCs/>
              <w:color w:val="808080" w:themeColor="background1" w:themeShade="80"/>
              <w:lang w:eastAsia="zh-CN"/>
            </w:rPr>
            <w:t>10</w:t>
          </w:r>
          <w:r w:rsidR="008F1856">
            <w:rPr>
              <w:rFonts w:eastAsiaTheme="minorEastAsia" w:hint="eastAsia"/>
              <w:bCs/>
              <w:color w:val="808080" w:themeColor="background1" w:themeShade="80"/>
              <w:lang w:eastAsia="zh-CN"/>
            </w:rPr>
            <w:t>1</w:t>
          </w:r>
          <w:r w:rsidR="00837F5F">
            <w:rPr>
              <w:rFonts w:eastAsiaTheme="minorEastAsia" w:hint="eastAsia"/>
              <w:bCs/>
              <w:color w:val="808080" w:themeColor="background1" w:themeShade="80"/>
              <w:lang w:eastAsia="zh-CN"/>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ABEFBA1"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F2FCF31" w14:textId="77777777" w:rsidTr="00E31DCE">
      <w:trPr>
        <w:jc w:val="center"/>
      </w:trPr>
      <w:tc>
        <w:tcPr>
          <w:tcW w:w="1803" w:type="dxa"/>
          <w:vAlign w:val="center"/>
        </w:tcPr>
        <w:p w14:paraId="2A0DA7A0"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68E4737F" w14:textId="7DE7BCD2"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1B3DD7">
            <w:rPr>
              <w:rFonts w:eastAsiaTheme="minorEastAsia" w:hint="eastAsia"/>
              <w:bCs/>
              <w:color w:val="808080" w:themeColor="background1" w:themeShade="80"/>
              <w:lang w:eastAsia="zh-CN"/>
            </w:rPr>
            <w:t>10</w:t>
          </w:r>
          <w:r w:rsidR="008F1856">
            <w:rPr>
              <w:rFonts w:eastAsiaTheme="minorEastAsia" w:hint="eastAsia"/>
              <w:bCs/>
              <w:color w:val="808080" w:themeColor="background1" w:themeShade="80"/>
              <w:lang w:eastAsia="zh-CN"/>
            </w:rPr>
            <w:t>1</w:t>
          </w:r>
          <w:r w:rsidR="00837F5F">
            <w:rPr>
              <w:rFonts w:eastAsiaTheme="minorEastAsia" w:hint="eastAsia"/>
              <w:bCs/>
              <w:color w:val="808080" w:themeColor="background1" w:themeShade="80"/>
              <w:lang w:eastAsia="zh-CN"/>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82C4E8A"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0519" w14:textId="77777777" w:rsidR="006F2F39" w:rsidRDefault="006F2F39">
      <w:r>
        <w:t>____________________</w:t>
      </w:r>
    </w:p>
  </w:footnote>
  <w:footnote w:type="continuationSeparator" w:id="0">
    <w:p w14:paraId="3B795265" w14:textId="77777777" w:rsidR="006F2F39" w:rsidRDefault="006F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CEBC"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AC"/>
    <w:rsid w:val="00001B77"/>
    <w:rsid w:val="0000517A"/>
    <w:rsid w:val="0000538F"/>
    <w:rsid w:val="00031E72"/>
    <w:rsid w:val="000404D2"/>
    <w:rsid w:val="000646BD"/>
    <w:rsid w:val="000853C0"/>
    <w:rsid w:val="00093DD9"/>
    <w:rsid w:val="0009409E"/>
    <w:rsid w:val="000A1C21"/>
    <w:rsid w:val="000C0BC5"/>
    <w:rsid w:val="000D0273"/>
    <w:rsid w:val="000D15EA"/>
    <w:rsid w:val="000D7012"/>
    <w:rsid w:val="00100D84"/>
    <w:rsid w:val="00124C9D"/>
    <w:rsid w:val="001305DE"/>
    <w:rsid w:val="0015333E"/>
    <w:rsid w:val="00157773"/>
    <w:rsid w:val="0018251A"/>
    <w:rsid w:val="00190272"/>
    <w:rsid w:val="00193244"/>
    <w:rsid w:val="00195C6C"/>
    <w:rsid w:val="00195FED"/>
    <w:rsid w:val="001A4BD6"/>
    <w:rsid w:val="001B3DD7"/>
    <w:rsid w:val="001B6E2B"/>
    <w:rsid w:val="001D5A18"/>
    <w:rsid w:val="00215132"/>
    <w:rsid w:val="00220C45"/>
    <w:rsid w:val="00224449"/>
    <w:rsid w:val="002523D5"/>
    <w:rsid w:val="00277DEA"/>
    <w:rsid w:val="00280EB8"/>
    <w:rsid w:val="002916B4"/>
    <w:rsid w:val="00296CCD"/>
    <w:rsid w:val="002A1D39"/>
    <w:rsid w:val="002A6670"/>
    <w:rsid w:val="002C3F32"/>
    <w:rsid w:val="00303502"/>
    <w:rsid w:val="00325C25"/>
    <w:rsid w:val="00372C8F"/>
    <w:rsid w:val="00380ECE"/>
    <w:rsid w:val="00393DDF"/>
    <w:rsid w:val="00397F55"/>
    <w:rsid w:val="003A4B69"/>
    <w:rsid w:val="003B12BE"/>
    <w:rsid w:val="003B4454"/>
    <w:rsid w:val="003C2E37"/>
    <w:rsid w:val="003E3E1B"/>
    <w:rsid w:val="003F086E"/>
    <w:rsid w:val="003F1415"/>
    <w:rsid w:val="0040144C"/>
    <w:rsid w:val="00403EB7"/>
    <w:rsid w:val="004106F3"/>
    <w:rsid w:val="004178E6"/>
    <w:rsid w:val="00430BF0"/>
    <w:rsid w:val="004366AA"/>
    <w:rsid w:val="00465C35"/>
    <w:rsid w:val="004672E6"/>
    <w:rsid w:val="00474ED1"/>
    <w:rsid w:val="00477D57"/>
    <w:rsid w:val="00491BA9"/>
    <w:rsid w:val="00493085"/>
    <w:rsid w:val="00497012"/>
    <w:rsid w:val="004A36EC"/>
    <w:rsid w:val="004D163F"/>
    <w:rsid w:val="004D3BAC"/>
    <w:rsid w:val="004E4BFF"/>
    <w:rsid w:val="004E6114"/>
    <w:rsid w:val="004F2598"/>
    <w:rsid w:val="005403F7"/>
    <w:rsid w:val="00540632"/>
    <w:rsid w:val="00541CF4"/>
    <w:rsid w:val="005451E8"/>
    <w:rsid w:val="005507F2"/>
    <w:rsid w:val="00554F38"/>
    <w:rsid w:val="00555C29"/>
    <w:rsid w:val="005759CC"/>
    <w:rsid w:val="00576C08"/>
    <w:rsid w:val="005A72E1"/>
    <w:rsid w:val="005C6632"/>
    <w:rsid w:val="005D1C9E"/>
    <w:rsid w:val="00602842"/>
    <w:rsid w:val="00617134"/>
    <w:rsid w:val="00630DD5"/>
    <w:rsid w:val="00637584"/>
    <w:rsid w:val="00654257"/>
    <w:rsid w:val="0065435A"/>
    <w:rsid w:val="00670D8A"/>
    <w:rsid w:val="006A2DD3"/>
    <w:rsid w:val="006A5113"/>
    <w:rsid w:val="006A5AF8"/>
    <w:rsid w:val="006C1E8F"/>
    <w:rsid w:val="006C36CD"/>
    <w:rsid w:val="006F2F39"/>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37F5F"/>
    <w:rsid w:val="008418F5"/>
    <w:rsid w:val="0084546D"/>
    <w:rsid w:val="0086059C"/>
    <w:rsid w:val="00864589"/>
    <w:rsid w:val="00874C82"/>
    <w:rsid w:val="00890AFB"/>
    <w:rsid w:val="00890FC4"/>
    <w:rsid w:val="00895905"/>
    <w:rsid w:val="008F1856"/>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9F2AB6"/>
    <w:rsid w:val="00A01F4F"/>
    <w:rsid w:val="00A109AF"/>
    <w:rsid w:val="00A1213C"/>
    <w:rsid w:val="00A13406"/>
    <w:rsid w:val="00A272FF"/>
    <w:rsid w:val="00A5354B"/>
    <w:rsid w:val="00A5729F"/>
    <w:rsid w:val="00A71B57"/>
    <w:rsid w:val="00AA1308"/>
    <w:rsid w:val="00AA2E08"/>
    <w:rsid w:val="00AB42C1"/>
    <w:rsid w:val="00AC516F"/>
    <w:rsid w:val="00AE195F"/>
    <w:rsid w:val="00AE2926"/>
    <w:rsid w:val="00B0184B"/>
    <w:rsid w:val="00B035CD"/>
    <w:rsid w:val="00B0769D"/>
    <w:rsid w:val="00B14BC7"/>
    <w:rsid w:val="00B217F8"/>
    <w:rsid w:val="00B249DD"/>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E3482"/>
    <w:rsid w:val="00BF416B"/>
    <w:rsid w:val="00C24DAC"/>
    <w:rsid w:val="00C45EB2"/>
    <w:rsid w:val="00C63BAC"/>
    <w:rsid w:val="00C64E4E"/>
    <w:rsid w:val="00C651D1"/>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ED5"/>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9332E"/>
    <w:rsid w:val="00EE5706"/>
    <w:rsid w:val="00EF2469"/>
    <w:rsid w:val="00EF373D"/>
    <w:rsid w:val="00F11595"/>
    <w:rsid w:val="00F13BC9"/>
    <w:rsid w:val="00F357B2"/>
    <w:rsid w:val="00F36556"/>
    <w:rsid w:val="00F67149"/>
    <w:rsid w:val="00F6736A"/>
    <w:rsid w:val="00F705DF"/>
    <w:rsid w:val="00F70622"/>
    <w:rsid w:val="00F8546F"/>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846BC"/>
  <w15:docId w15:val="{6B74836B-7A1D-45F4-A1C0-82635166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6C1E8F"/>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internet/Pages/defaul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3</Pages>
  <Words>1294</Words>
  <Characters>632</Characters>
  <Application>Microsoft Office Word</Application>
  <DocSecurity>0</DocSecurity>
  <Lines>11</Lines>
  <Paragraphs>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1916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the effectiveness of the Council Working Group on international Internet-related public policy issues and addressing risks to Internet resources</dc:title>
  <dc:subject>ITU Council 2026</dc:subject>
  <cp:keywords>C26; C2026; Council 2026; PP26</cp:keywords>
  <dc:description/>
  <cp:lastPrinted>2015-02-24T13:23:00Z</cp:lastPrinted>
  <dcterms:created xsi:type="dcterms:W3CDTF">2026-04-22T17:00:00Z</dcterms:created>
  <dcterms:modified xsi:type="dcterms:W3CDTF">2026-04-22T17:01:00Z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