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34B89" w14:paraId="49F55907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FA95304" w14:textId="658EFDC5" w:rsidR="00796BD3" w:rsidRPr="00334B89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334B89">
              <w:rPr>
                <w:b/>
                <w:lang w:val="ru-RU"/>
              </w:rPr>
              <w:t>Пункт повестки дня:</w:t>
            </w:r>
            <w:r w:rsidR="00334B89" w:rsidRPr="00334B89">
              <w:rPr>
                <w:lang w:val="ru-RU"/>
              </w:rPr>
              <w:t xml:space="preserve"> </w:t>
            </w:r>
            <w:r w:rsidR="00334B89" w:rsidRPr="00334B89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0DE29EDE" w14:textId="6F90130C" w:rsidR="00796BD3" w:rsidRPr="00334B8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34B89">
              <w:rPr>
                <w:b/>
                <w:lang w:val="ru-RU"/>
              </w:rPr>
              <w:t xml:space="preserve">Документ </w:t>
            </w:r>
            <w:r w:rsidR="00796BD3" w:rsidRPr="00334B89">
              <w:rPr>
                <w:b/>
                <w:lang w:val="ru-RU"/>
              </w:rPr>
              <w:t>C2</w:t>
            </w:r>
            <w:r w:rsidR="00BE00DD" w:rsidRPr="00334B89">
              <w:rPr>
                <w:b/>
                <w:lang w:val="ru-RU"/>
              </w:rPr>
              <w:t>6</w:t>
            </w:r>
            <w:r w:rsidR="00796BD3" w:rsidRPr="00334B89">
              <w:rPr>
                <w:b/>
                <w:lang w:val="ru-RU"/>
              </w:rPr>
              <w:t>/</w:t>
            </w:r>
            <w:r w:rsidR="00334B89" w:rsidRPr="00334B89">
              <w:rPr>
                <w:b/>
                <w:lang w:val="ru-RU"/>
              </w:rPr>
              <w:t>100</w:t>
            </w:r>
            <w:r w:rsidR="00796BD3" w:rsidRPr="00334B89">
              <w:rPr>
                <w:b/>
                <w:lang w:val="ru-RU"/>
              </w:rPr>
              <w:t>-R</w:t>
            </w:r>
          </w:p>
        </w:tc>
      </w:tr>
      <w:tr w:rsidR="00796BD3" w:rsidRPr="00334B89" w14:paraId="2D9BC470" w14:textId="77777777" w:rsidTr="00D17718">
        <w:trPr>
          <w:cantSplit/>
        </w:trPr>
        <w:tc>
          <w:tcPr>
            <w:tcW w:w="3969" w:type="dxa"/>
            <w:vMerge/>
          </w:tcPr>
          <w:p w14:paraId="64654C17" w14:textId="77777777" w:rsidR="00796BD3" w:rsidRPr="00334B8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D24F370" w14:textId="4D2C02C4" w:rsidR="00796BD3" w:rsidRPr="00334B89" w:rsidRDefault="00334B89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34B89">
              <w:rPr>
                <w:b/>
                <w:lang w:val="ru-RU"/>
              </w:rPr>
              <w:t>14 апреля 2026 года</w:t>
            </w:r>
          </w:p>
        </w:tc>
      </w:tr>
      <w:tr w:rsidR="00796BD3" w:rsidRPr="00334B89" w14:paraId="76602EDD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BCBD1BB" w14:textId="77777777" w:rsidR="00796BD3" w:rsidRPr="00334B8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539D2FD" w14:textId="77777777" w:rsidR="00796BD3" w:rsidRPr="00334B8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34B89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334B89" w14:paraId="37CDF9F9" w14:textId="77777777" w:rsidTr="00D17718">
        <w:trPr>
          <w:cantSplit/>
          <w:trHeight w:val="23"/>
        </w:trPr>
        <w:tc>
          <w:tcPr>
            <w:tcW w:w="3969" w:type="dxa"/>
          </w:tcPr>
          <w:p w14:paraId="62F2D742" w14:textId="77777777" w:rsidR="00796BD3" w:rsidRPr="00334B8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938EC4D" w14:textId="77777777" w:rsidR="00796BD3" w:rsidRPr="00334B89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B1702" w14:paraId="17713467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3FBA18B" w14:textId="0ABC97FD" w:rsidR="00796BD3" w:rsidRPr="00334B89" w:rsidRDefault="00334B89" w:rsidP="009F7E30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334B89">
              <w:t>Вклад Южно-Африканской Республики, Марокко (Королевства), Нигерии (Федеративной Республики), Сенегала (Республики) и Танзании (Объединенной Республики)</w:t>
            </w:r>
          </w:p>
        </w:tc>
      </w:tr>
      <w:tr w:rsidR="00796BD3" w:rsidRPr="005B1702" w14:paraId="6D201E2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CF42443" w14:textId="26421C01" w:rsidR="00796BD3" w:rsidRPr="00334B89" w:rsidRDefault="00334B89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334B89">
              <w:rPr>
                <w:sz w:val="32"/>
              </w:rPr>
              <w:t>МЕТОДИКА РАССМОТРЕНИЯ И ПЕРЕСМОТРА ЕДИНИЦЫ ВЗНОСОВ</w:t>
            </w:r>
          </w:p>
        </w:tc>
      </w:tr>
      <w:tr w:rsidR="00796BD3" w:rsidRPr="00334B89" w14:paraId="7CA4853E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4322CF8" w14:textId="77777777" w:rsidR="00796BD3" w:rsidRPr="00334B89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34B89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13F3D560" w14:textId="79E3BA6D" w:rsidR="00796BD3" w:rsidRPr="00334B89" w:rsidRDefault="00334B89" w:rsidP="009F7E30">
            <w:pPr>
              <w:jc w:val="both"/>
              <w:rPr>
                <w:szCs w:val="22"/>
                <w:lang w:val="ru-RU"/>
              </w:rPr>
            </w:pPr>
            <w:r w:rsidRPr="00334B89">
              <w:rPr>
                <w:szCs w:val="22"/>
                <w:lang w:val="ru-RU"/>
              </w:rPr>
              <w:t>Настоящий вклад имеет целью совершенствование методики рассмотрения и пересмотра единицы взносов.</w:t>
            </w:r>
          </w:p>
          <w:p w14:paraId="0C4D8EF5" w14:textId="77777777" w:rsidR="00796BD3" w:rsidRPr="00334B89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34B89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167200A2" w14:textId="0B4D7355" w:rsidR="00796BD3" w:rsidRPr="00334B89" w:rsidRDefault="00334B89" w:rsidP="00D17718">
            <w:pPr>
              <w:rPr>
                <w:szCs w:val="22"/>
                <w:lang w:val="ru-RU"/>
              </w:rPr>
            </w:pPr>
            <w:r w:rsidRPr="00334B89">
              <w:rPr>
                <w:szCs w:val="22"/>
                <w:lang w:val="ru-RU"/>
              </w:rPr>
              <w:t xml:space="preserve">Совету предлагается </w:t>
            </w:r>
            <w:r w:rsidRPr="00334B89">
              <w:rPr>
                <w:b/>
                <w:bCs/>
                <w:szCs w:val="22"/>
                <w:lang w:val="ru-RU"/>
              </w:rPr>
              <w:t>рассмотреть</w:t>
            </w:r>
            <w:r w:rsidRPr="00334B89">
              <w:rPr>
                <w:szCs w:val="22"/>
                <w:lang w:val="ru-RU"/>
              </w:rPr>
              <w:t xml:space="preserve"> настоящий документ.</w:t>
            </w:r>
          </w:p>
          <w:p w14:paraId="7CA740AF" w14:textId="77777777" w:rsidR="00796BD3" w:rsidRPr="00334B89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334B89">
              <w:rPr>
                <w:szCs w:val="22"/>
                <w:lang w:val="ru-RU"/>
              </w:rPr>
              <w:t>__________________</w:t>
            </w:r>
          </w:p>
          <w:p w14:paraId="37698491" w14:textId="77777777" w:rsidR="00796BD3" w:rsidRPr="00334B89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34B89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660F866A" w14:textId="495A7B08" w:rsidR="00796BD3" w:rsidRPr="00334B89" w:rsidRDefault="00334B89" w:rsidP="00D17718">
            <w:pPr>
              <w:spacing w:after="160"/>
              <w:rPr>
                <w:i/>
                <w:iCs/>
                <w:lang w:val="ru-RU"/>
              </w:rPr>
            </w:pPr>
            <w:r w:rsidRPr="00334B89">
              <w:rPr>
                <w:i/>
                <w:iCs/>
                <w:szCs w:val="22"/>
                <w:lang w:val="ru-RU"/>
              </w:rPr>
              <w:t xml:space="preserve">Документ </w:t>
            </w:r>
            <w:hyperlink r:id="rId7" w:history="1">
              <w:r w:rsidRPr="00334B89">
                <w:rPr>
                  <w:rStyle w:val="Hyperlink"/>
                  <w:i/>
                  <w:iCs/>
                  <w:szCs w:val="22"/>
                  <w:lang w:val="ru-RU"/>
                </w:rPr>
                <w:t>C26/72</w:t>
              </w:r>
            </w:hyperlink>
          </w:p>
        </w:tc>
      </w:tr>
      <w:bookmarkEnd w:id="2"/>
      <w:bookmarkEnd w:id="6"/>
    </w:tbl>
    <w:p w14:paraId="4E989B93" w14:textId="77777777" w:rsidR="00796BD3" w:rsidRPr="00334B89" w:rsidRDefault="00796BD3" w:rsidP="00796BD3">
      <w:pPr>
        <w:rPr>
          <w:lang w:val="ru-RU"/>
        </w:rPr>
      </w:pPr>
    </w:p>
    <w:p w14:paraId="4F954093" w14:textId="77777777" w:rsidR="00D17718" w:rsidRPr="00334B89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BDB3001" w14:textId="77777777" w:rsidR="00165D06" w:rsidRPr="00334B89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34B89">
        <w:rPr>
          <w:lang w:val="ru-RU"/>
        </w:rPr>
        <w:br w:type="page"/>
      </w:r>
    </w:p>
    <w:p w14:paraId="62386ADC" w14:textId="77777777" w:rsidR="00334B89" w:rsidRPr="00334B89" w:rsidRDefault="00334B89" w:rsidP="00334B89">
      <w:pPr>
        <w:pStyle w:val="Heading1"/>
        <w:rPr>
          <w:lang w:val="ru-RU"/>
        </w:rPr>
      </w:pPr>
      <w:r w:rsidRPr="00334B89">
        <w:rPr>
          <w:lang w:val="ru-RU"/>
        </w:rPr>
        <w:lastRenderedPageBreak/>
        <w:t>1</w:t>
      </w:r>
      <w:r w:rsidRPr="00334B89">
        <w:rPr>
          <w:lang w:val="ru-RU"/>
        </w:rPr>
        <w:tab/>
        <w:t>Базовая информация</w:t>
      </w:r>
    </w:p>
    <w:p w14:paraId="29687482" w14:textId="77777777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1.1</w:t>
      </w:r>
      <w:r w:rsidRPr="00334B89">
        <w:rPr>
          <w:lang w:val="ru-RU"/>
        </w:rPr>
        <w:tab/>
        <w:t xml:space="preserve">Мы хотели бы выразить признательность Секретариату за предложение сохранить статус-кво в краткосрочной перспективе и отложить структурные решения на более поздний этап. Сохранение размера единицы взносов на уровне 318 000 швейцарских франков и подтверждение того, что на ПК-26 не будет предложено увеличить его, свидетельствует о том, что финансовые ограничения, с которыми приходится иметь дело Государствам-Членам, должным образом учитываются, и о стремлении сохранить предсказуемость. </w:t>
      </w:r>
    </w:p>
    <w:p w14:paraId="274A5900" w14:textId="77777777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1.2</w:t>
      </w:r>
      <w:r w:rsidRPr="00334B89">
        <w:rPr>
          <w:lang w:val="ru-RU"/>
        </w:rPr>
        <w:tab/>
        <w:t xml:space="preserve">Мы также хотели бы поблагодарить Секретариат за то, что он уделяет особое внимание внутренним мерам, в частности направленным на поддержание финансовой дисциплины, повышение эффективности и лучшее согласование доходов и расходов. Эти усилия помогают нам продолжать действовать в рамках предела, ограничивающего размер расходов бюджета, что фактически снижает зависимость от взносов Государств-Членов за счет повышения эффективности работы организации, и это заслуживает высокой оценки. </w:t>
      </w:r>
    </w:p>
    <w:p w14:paraId="6A450A32" w14:textId="77777777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1.3</w:t>
      </w:r>
      <w:r w:rsidRPr="00334B89">
        <w:rPr>
          <w:lang w:val="ru-RU"/>
        </w:rPr>
        <w:tab/>
        <w:t>В преддверии ПК-30 Секретариат продолжит работу в области методики расчета размера единицы взносов (с учетом инфляции, показателей, новых полномочий) и рассмотрит возможность корректировок в будущем, основанных на фактических данных, вместо того чтобы увеличивать размер взносов немедленно, что мы также приветствуем.</w:t>
      </w:r>
    </w:p>
    <w:p w14:paraId="75A51F04" w14:textId="77777777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1.4</w:t>
      </w:r>
      <w:r w:rsidRPr="00334B89">
        <w:rPr>
          <w:lang w:val="ru-RU"/>
        </w:rPr>
        <w:tab/>
        <w:t>Предложение Секретариата обеспечивает финансовую предсказуемость для Государств-Членов, демонстрирует бюджетную дисциплину и подотчетность в рамках Секретариата и дает время для разработки более надежной и прозрачной методики расчета размера единицы взносов. В то же время оно позволяет избежать поспешного увеличения ее размера без достижения консенсуса.</w:t>
      </w:r>
    </w:p>
    <w:p w14:paraId="5AA3CA26" w14:textId="2DA8AD98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1.5</w:t>
      </w:r>
      <w:r w:rsidRPr="00334B89">
        <w:rPr>
          <w:lang w:val="ru-RU"/>
        </w:rPr>
        <w:tab/>
        <w:t>Есть несколько важных моментов в связи с подходом Секретариата, которые следует учитывать. Во-первых, полагаться исключительно на повышение эффективности может оказаться недостаточным в случае расширения полномочий или структурного роста расходов. Кроме того, признание того факта, что "некоторые инициативы могут не быть профинансированы, указывает на риск невыполнения показателей или недостатки в расстановке приоритетов. И, наконец, перенос корректировки размера единицы взносов на 2032 год может обернуться значительным шоком, связанным с корректировкой, в будущем, если давление будет нарастать.</w:t>
      </w:r>
    </w:p>
    <w:p w14:paraId="588EEAA5" w14:textId="3B1874AA" w:rsidR="00334B89" w:rsidRPr="00334B89" w:rsidRDefault="00334B89" w:rsidP="00334B89">
      <w:pPr>
        <w:pStyle w:val="Heading1"/>
        <w:rPr>
          <w:lang w:val="ru-RU"/>
        </w:rPr>
      </w:pPr>
      <w:r w:rsidRPr="00334B89">
        <w:rPr>
          <w:lang w:val="ru-RU"/>
        </w:rPr>
        <w:t>2</w:t>
      </w:r>
      <w:r w:rsidRPr="00334B89">
        <w:rPr>
          <w:lang w:val="ru-RU"/>
        </w:rPr>
        <w:tab/>
        <w:t>Предложение</w:t>
      </w:r>
    </w:p>
    <w:p w14:paraId="7DCCA9C8" w14:textId="3587544C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2.1</w:t>
      </w:r>
      <w:r w:rsidRPr="00334B89">
        <w:rPr>
          <w:lang w:val="ru-RU"/>
        </w:rPr>
        <w:tab/>
        <w:t>Южно-Африканская Республика предлагает Секретариату установить четкий ориентир для определения того, при каких условиях возникает необходимость пересмотра единицы взносов.</w:t>
      </w:r>
    </w:p>
    <w:p w14:paraId="2F9A68CD" w14:textId="068EF630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2.2</w:t>
      </w:r>
      <w:r w:rsidRPr="00334B89">
        <w:rPr>
          <w:lang w:val="ru-RU"/>
        </w:rPr>
        <w:tab/>
        <w:t>Секретариату следует установить заранее определенные пороговые значения, при которых будет автоматически инициирован пересмотр единицы взносов, при этом примерами факторов, приводящих к пересмотру, могут послужить, например постоянный дефицит бюджета на протяжении двух лет подряд, снижение резервов до уровня ниже согласованного минимального уровня, гарантирующего безопасность, значительное увеличение не обеспеченных средствами полномочий по расходам и инфляция, превышающая установленный пороговый уровень. Это помогло бы избежать внезапного шока в 2032 году, а корректировки были бы основанными на правилах и предсказуемыми для Государств-Членов.</w:t>
      </w:r>
    </w:p>
    <w:p w14:paraId="51B33FC9" w14:textId="5AB57414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2.3</w:t>
      </w:r>
      <w:r w:rsidRPr="00334B89">
        <w:rPr>
          <w:lang w:val="ru-RU"/>
        </w:rPr>
        <w:tab/>
        <w:t xml:space="preserve">Секретариату также следует рассмотреть возможность проведения ежегодного мониторинга и представить скользящий финансовый прогноз на ближайшие три−шесть лет, включающий следующее: прогнозы доходов в сравнении с тенденциями расходов, финансовые последствия новых полномочий по расходам и анализ сценариев (базовый/стресс/рост). Это </w:t>
      </w:r>
      <w:r w:rsidRPr="00334B89">
        <w:rPr>
          <w:lang w:val="ru-RU"/>
        </w:rPr>
        <w:lastRenderedPageBreak/>
        <w:t>помогает государствам-членам вовремя распознать сигналы, предупреждающие об опасности, вместо того чтобы реагировать с опозданием.</w:t>
      </w:r>
    </w:p>
    <w:p w14:paraId="64A2EE84" w14:textId="77777777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2.4</w:t>
      </w:r>
      <w:r w:rsidRPr="00334B89">
        <w:rPr>
          <w:lang w:val="ru-RU"/>
        </w:rPr>
        <w:tab/>
        <w:t>Чтобы устранить неопределенность в отношении эффективности, о которой идет речь, мы предлагаем установить определенные количественно целевые показатели, такие как процентное сокращение административных расходов с течением времени, показатели соотношения затрат и результатов (например, затрат на проект, собрание или конечный результат), и целевые показатели экономии за счет цифровизации, в результате чего эффективность станет не просто чем-то, к чему нужно стремиться, а тем, что выражено в конкретных показателях, которые можно проверить.</w:t>
      </w:r>
    </w:p>
    <w:p w14:paraId="59A51864" w14:textId="23B9BEAE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2.5</w:t>
      </w:r>
      <w:r w:rsidRPr="00334B89">
        <w:rPr>
          <w:lang w:val="ru-RU"/>
        </w:rPr>
        <w:tab/>
        <w:t>Необходима более структурированная отчетность перед Советом с помощью ежегодно составляемой "информационной панели достаточности единицы взносов", которая включает показатели финансовой стабильности, достижения результатов в сравнении с полномочиями, показатели повышения эффективности и в которой четко указаны преимущества и недостатки, что не финансируется и по какой причине, поскольку впоследствии это позволит Государствам-Членам принимать более обоснованные решения.</w:t>
      </w:r>
    </w:p>
    <w:p w14:paraId="2DA59763" w14:textId="77777777" w:rsidR="00334B89" w:rsidRPr="00334B89" w:rsidRDefault="00334B89" w:rsidP="009F7E30">
      <w:pPr>
        <w:jc w:val="both"/>
        <w:rPr>
          <w:lang w:val="ru-RU"/>
        </w:rPr>
      </w:pPr>
      <w:r w:rsidRPr="00334B89">
        <w:rPr>
          <w:lang w:val="ru-RU"/>
        </w:rPr>
        <w:t>2.6</w:t>
      </w:r>
      <w:r w:rsidRPr="00334B89">
        <w:rPr>
          <w:lang w:val="ru-RU"/>
        </w:rPr>
        <w:tab/>
        <w:t>В заключение следует отметить, что подход Секретариата представляется разумным, но для обеспечения устойчивости он должен дополняться четким указанием факторов, приводящих к пересмотру, перспективным планированием, поддающимися измерению целевыми показателями эффективности и структурированной расстановкой приоритетов. Без этого существует риск отложенного финансового давления, снижения эффективности и потенциально внезапной необходимости корректировки в будущем.</w:t>
      </w:r>
    </w:p>
    <w:p w14:paraId="3B4109C2" w14:textId="77777777" w:rsidR="00796BD3" w:rsidRPr="00334B89" w:rsidRDefault="00C462C5" w:rsidP="009F7E30">
      <w:pPr>
        <w:spacing w:before="720"/>
        <w:jc w:val="center"/>
        <w:rPr>
          <w:lang w:val="ru-RU"/>
        </w:rPr>
      </w:pPr>
      <w:r w:rsidRPr="00334B89">
        <w:rPr>
          <w:lang w:val="ru-RU"/>
        </w:rPr>
        <w:t>______________</w:t>
      </w:r>
    </w:p>
    <w:sectPr w:rsidR="00796BD3" w:rsidRPr="00334B89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89D4" w14:textId="77777777" w:rsidR="00742286" w:rsidRDefault="00742286">
      <w:r>
        <w:separator/>
      </w:r>
    </w:p>
  </w:endnote>
  <w:endnote w:type="continuationSeparator" w:id="0">
    <w:p w14:paraId="11C655D6" w14:textId="77777777" w:rsidR="00742286" w:rsidRDefault="0074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5C177E2" w14:textId="77777777" w:rsidTr="00E31DCE">
      <w:trPr>
        <w:jc w:val="center"/>
      </w:trPr>
      <w:tc>
        <w:tcPr>
          <w:tcW w:w="1803" w:type="dxa"/>
          <w:vAlign w:val="center"/>
        </w:tcPr>
        <w:p w14:paraId="7DD6ACF7" w14:textId="2D8028D0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334B89" w:rsidRPr="00334B89">
            <w:rPr>
              <w:noProof/>
            </w:rPr>
            <w:t>2600988</w:t>
          </w:r>
        </w:p>
      </w:tc>
      <w:tc>
        <w:tcPr>
          <w:tcW w:w="8261" w:type="dxa"/>
        </w:tcPr>
        <w:p w14:paraId="2FB6755F" w14:textId="23893CB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334B89">
            <w:rPr>
              <w:bCs/>
              <w:lang w:val="ru-RU"/>
            </w:rPr>
            <w:t>100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A20DFAF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1CEAA17" w14:textId="77777777" w:rsidTr="00E31DCE">
      <w:trPr>
        <w:jc w:val="center"/>
      </w:trPr>
      <w:tc>
        <w:tcPr>
          <w:tcW w:w="1803" w:type="dxa"/>
          <w:vAlign w:val="center"/>
        </w:tcPr>
        <w:p w14:paraId="4E21669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726AAF29" w14:textId="0A950E6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334B89">
            <w:rPr>
              <w:bCs/>
              <w:lang w:val="ru-RU"/>
            </w:rPr>
            <w:t>100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05FE0E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2015" w14:textId="77777777" w:rsidR="00742286" w:rsidRDefault="00742286">
      <w:r>
        <w:t>____________________</w:t>
      </w:r>
    </w:p>
  </w:footnote>
  <w:footnote w:type="continuationSeparator" w:id="0">
    <w:p w14:paraId="51AFEF9E" w14:textId="77777777" w:rsidR="00742286" w:rsidRDefault="0074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EB3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59C2B046" wp14:editId="1CF146F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86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34B89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1702"/>
    <w:rsid w:val="005B3DEC"/>
    <w:rsid w:val="00601994"/>
    <w:rsid w:val="00660449"/>
    <w:rsid w:val="00672F8A"/>
    <w:rsid w:val="006E2D42"/>
    <w:rsid w:val="00703676"/>
    <w:rsid w:val="00707304"/>
    <w:rsid w:val="00732269"/>
    <w:rsid w:val="00742286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9F7E30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0599D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4CB7C"/>
  <w15:docId w15:val="{8E901045-5C5F-4E3D-B799-65596302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72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3</Pages>
  <Words>671</Words>
  <Characters>5048</Characters>
  <Application>Microsoft Office Word</Application>
  <DocSecurity>0</DocSecurity>
  <Lines>93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5689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Methodology for review and revision of the contributory unit</dc:title>
  <dc:subject>ITU Council 2026</dc:subject>
  <cp:keywords>C26; C2026; Council 2026; PP26</cp:keywords>
  <dc:description/>
  <cp:lastPrinted>2006-03-28T16:12:00Z</cp:lastPrinted>
  <dcterms:created xsi:type="dcterms:W3CDTF">2026-04-29T14:07:00Z</dcterms:created>
  <dcterms:modified xsi:type="dcterms:W3CDTF">2026-04-29T14:10:00Z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