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D72F49" w:rsidRPr="00BC02A4" w14:paraId="6E7E4BE3" w14:textId="77777777" w:rsidTr="00796BDB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468198A3" w14:textId="25AE496A" w:rsidR="00D72F49" w:rsidRPr="00BC02A4" w:rsidRDefault="00D72F49" w:rsidP="00796BDB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r w:rsidRPr="00BC02A4">
              <w:rPr>
                <w:b/>
              </w:rPr>
              <w:t xml:space="preserve">Point de l'ordre du </w:t>
            </w:r>
            <w:proofErr w:type="gramStart"/>
            <w:r w:rsidRPr="00BC02A4">
              <w:rPr>
                <w:b/>
              </w:rPr>
              <w:t>jour:</w:t>
            </w:r>
            <w:proofErr w:type="gramEnd"/>
            <w:r w:rsidR="004F5587" w:rsidRPr="00BC02A4">
              <w:rPr>
                <w:b/>
              </w:rPr>
              <w:t xml:space="preserve"> ADM 1</w:t>
            </w:r>
          </w:p>
        </w:tc>
        <w:tc>
          <w:tcPr>
            <w:tcW w:w="5245" w:type="dxa"/>
          </w:tcPr>
          <w:p w14:paraId="74C96D98" w14:textId="4F7B1F28" w:rsidR="00D72F49" w:rsidRPr="00BC02A4" w:rsidRDefault="00D72F49" w:rsidP="00796BDB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BC02A4">
              <w:rPr>
                <w:b/>
              </w:rPr>
              <w:t>Document C2</w:t>
            </w:r>
            <w:r w:rsidR="00E4448E" w:rsidRPr="00BC02A4">
              <w:rPr>
                <w:b/>
              </w:rPr>
              <w:t>6</w:t>
            </w:r>
            <w:r w:rsidRPr="00BC02A4">
              <w:rPr>
                <w:b/>
              </w:rPr>
              <w:t>/</w:t>
            </w:r>
            <w:r w:rsidR="004F5587" w:rsidRPr="00BC02A4">
              <w:rPr>
                <w:b/>
              </w:rPr>
              <w:t>100</w:t>
            </w:r>
            <w:r w:rsidRPr="00BC02A4">
              <w:rPr>
                <w:b/>
              </w:rPr>
              <w:t>-F</w:t>
            </w:r>
          </w:p>
        </w:tc>
      </w:tr>
      <w:tr w:rsidR="00D72F49" w:rsidRPr="00BC02A4" w14:paraId="2998EFFD" w14:textId="77777777" w:rsidTr="00796BDB">
        <w:trPr>
          <w:cantSplit/>
        </w:trPr>
        <w:tc>
          <w:tcPr>
            <w:tcW w:w="3969" w:type="dxa"/>
            <w:vMerge/>
          </w:tcPr>
          <w:p w14:paraId="7E32446A" w14:textId="77777777" w:rsidR="00D72F49" w:rsidRPr="00BC02A4" w:rsidRDefault="00D72F49" w:rsidP="00796BDB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69778793" w14:textId="02754AD6" w:rsidR="00D72F49" w:rsidRPr="00BC02A4" w:rsidRDefault="004F5587" w:rsidP="00796BDB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 w:rsidRPr="00BC02A4">
              <w:rPr>
                <w:b/>
              </w:rPr>
              <w:t>14 avril 2026</w:t>
            </w:r>
          </w:p>
        </w:tc>
      </w:tr>
      <w:tr w:rsidR="00D72F49" w:rsidRPr="00BC02A4" w14:paraId="62BBF306" w14:textId="77777777" w:rsidTr="00796BDB">
        <w:trPr>
          <w:cantSplit/>
          <w:trHeight w:val="23"/>
        </w:trPr>
        <w:tc>
          <w:tcPr>
            <w:tcW w:w="3969" w:type="dxa"/>
            <w:vMerge/>
          </w:tcPr>
          <w:p w14:paraId="6B3B91BA" w14:textId="77777777" w:rsidR="00D72F49" w:rsidRPr="00BC02A4" w:rsidRDefault="00D72F49" w:rsidP="00796BDB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67527E16" w14:textId="77777777" w:rsidR="00D72F49" w:rsidRPr="00BC02A4" w:rsidRDefault="00D72F49" w:rsidP="00796BDB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proofErr w:type="gramStart"/>
            <w:r w:rsidRPr="00BC02A4">
              <w:rPr>
                <w:b/>
              </w:rPr>
              <w:t>Original:</w:t>
            </w:r>
            <w:proofErr w:type="gramEnd"/>
            <w:r w:rsidRPr="00BC02A4">
              <w:rPr>
                <w:b/>
              </w:rPr>
              <w:t xml:space="preserve"> anglais</w:t>
            </w:r>
          </w:p>
        </w:tc>
      </w:tr>
      <w:tr w:rsidR="00D72F49" w:rsidRPr="00BC02A4" w14:paraId="2D44523A" w14:textId="77777777" w:rsidTr="00796BDB">
        <w:trPr>
          <w:cantSplit/>
          <w:trHeight w:val="23"/>
        </w:trPr>
        <w:tc>
          <w:tcPr>
            <w:tcW w:w="3969" w:type="dxa"/>
          </w:tcPr>
          <w:p w14:paraId="5F670FA2" w14:textId="77777777" w:rsidR="00D72F49" w:rsidRPr="00BC02A4" w:rsidRDefault="00D72F49" w:rsidP="00796BDB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0FCFAD9E" w14:textId="77777777" w:rsidR="00D72F49" w:rsidRPr="00BC02A4" w:rsidRDefault="00D72F49" w:rsidP="00796BDB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D72F49" w:rsidRPr="00BC02A4" w14:paraId="4CA4CC37" w14:textId="77777777" w:rsidTr="00796BDB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31134E04" w14:textId="7C5706BE" w:rsidR="00D72F49" w:rsidRPr="00C46FC4" w:rsidRDefault="004F5587" w:rsidP="00C46FC4">
            <w:pPr>
              <w:pStyle w:val="Source"/>
              <w:framePr w:hSpace="0" w:wrap="auto" w:vAnchor="margin" w:hAnchor="text" w:xAlign="left" w:yAlign="inline"/>
            </w:pPr>
            <w:r w:rsidRPr="00C46FC4">
              <w:t>Contribution de la République sudafricaine, du Maroc (Royaume</w:t>
            </w:r>
            <w:r w:rsidR="00E15871" w:rsidRPr="00C46FC4">
              <w:t> </w:t>
            </w:r>
            <w:r w:rsidRPr="00C46FC4">
              <w:t>du), du Nigéria (République du), du Sénégal (République du) et de la Tanzanie (République-Unie de)</w:t>
            </w:r>
          </w:p>
        </w:tc>
      </w:tr>
      <w:tr w:rsidR="00D72F49" w:rsidRPr="00BC02A4" w14:paraId="1E821980" w14:textId="77777777" w:rsidTr="00796BDB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693B2EDF" w14:textId="418136AA" w:rsidR="00D72F49" w:rsidRPr="00BC02A4" w:rsidRDefault="00C46FC4" w:rsidP="004F5587">
            <w:pPr>
              <w:pStyle w:val="Subtitle"/>
              <w:framePr w:hSpace="0" w:wrap="auto" w:hAnchor="text" w:xAlign="left" w:yAlign="inline"/>
              <w:rPr>
                <w:sz w:val="32"/>
                <w:szCs w:val="32"/>
                <w:lang w:val="fr-FR"/>
              </w:rPr>
            </w:pPr>
            <w:r w:rsidRPr="00BC02A4">
              <w:rPr>
                <w:rFonts w:cstheme="minorHAnsi"/>
                <w:sz w:val="32"/>
                <w:szCs w:val="32"/>
                <w:lang w:val="fr-FR"/>
              </w:rPr>
              <w:t>MÉTHODE DE RÉEXAMEN ET DE RÉVISION DU MONTANT</w:t>
            </w:r>
            <w:r>
              <w:rPr>
                <w:rFonts w:cstheme="minorHAnsi"/>
                <w:sz w:val="32"/>
                <w:szCs w:val="32"/>
                <w:lang w:val="fr-FR"/>
              </w:rPr>
              <w:t xml:space="preserve"> </w:t>
            </w:r>
            <w:r w:rsidRPr="00BC02A4">
              <w:rPr>
                <w:rFonts w:cstheme="minorHAnsi"/>
                <w:sz w:val="32"/>
                <w:szCs w:val="32"/>
                <w:lang w:val="fr-FR"/>
              </w:rPr>
              <w:t>DE L'UNITÉ CONTRIBUTIVE</w:t>
            </w:r>
          </w:p>
        </w:tc>
      </w:tr>
      <w:tr w:rsidR="00D72F49" w:rsidRPr="00BC02A4" w14:paraId="78798760" w14:textId="77777777" w:rsidTr="00796BDB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0018F9FA" w14:textId="2C28ED35" w:rsidR="00D72F49" w:rsidRPr="00BC02A4" w:rsidRDefault="00F37FE5" w:rsidP="00796BDB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BC02A4">
              <w:rPr>
                <w:b/>
                <w:bCs/>
                <w:sz w:val="26"/>
                <w:szCs w:val="26"/>
              </w:rPr>
              <w:t>Objet</w:t>
            </w:r>
          </w:p>
          <w:p w14:paraId="593AA151" w14:textId="52D3C8A9" w:rsidR="00D72F49" w:rsidRPr="00BC02A4" w:rsidRDefault="00D7485F" w:rsidP="00796BDB">
            <w:r w:rsidRPr="00BC02A4">
              <w:t>La présente contribution vise à améliorer la méthode de réexamen et de révision du montant de l'unité contributive.</w:t>
            </w:r>
          </w:p>
          <w:p w14:paraId="394B94CB" w14:textId="77777777" w:rsidR="00D72F49" w:rsidRPr="00BC02A4" w:rsidRDefault="00D72F49" w:rsidP="00796BDB">
            <w:pPr>
              <w:spacing w:before="160"/>
              <w:rPr>
                <w:b/>
                <w:bCs/>
                <w:sz w:val="26"/>
                <w:szCs w:val="26"/>
              </w:rPr>
            </w:pPr>
            <w:proofErr w:type="gramStart"/>
            <w:r w:rsidRPr="00BC02A4">
              <w:rPr>
                <w:b/>
                <w:bCs/>
                <w:sz w:val="26"/>
                <w:szCs w:val="26"/>
              </w:rPr>
              <w:t>Suite à</w:t>
            </w:r>
            <w:proofErr w:type="gramEnd"/>
            <w:r w:rsidRPr="00BC02A4">
              <w:rPr>
                <w:b/>
                <w:bCs/>
                <w:sz w:val="26"/>
                <w:szCs w:val="26"/>
              </w:rPr>
              <w:t xml:space="preserve"> donner par le Conseil</w:t>
            </w:r>
          </w:p>
          <w:p w14:paraId="2397F43C" w14:textId="696736E9" w:rsidR="00D72F49" w:rsidRPr="00BC02A4" w:rsidRDefault="00D7485F" w:rsidP="00796BDB">
            <w:r w:rsidRPr="00BC02A4">
              <w:t xml:space="preserve">Le Conseil est invité à </w:t>
            </w:r>
            <w:r w:rsidRPr="00BC02A4">
              <w:rPr>
                <w:b/>
                <w:bCs/>
              </w:rPr>
              <w:t xml:space="preserve">examiner </w:t>
            </w:r>
            <w:r w:rsidRPr="00BC02A4">
              <w:t>le présent document.</w:t>
            </w:r>
          </w:p>
          <w:p w14:paraId="78428088" w14:textId="77777777" w:rsidR="00D72F49" w:rsidRPr="00BC02A4" w:rsidRDefault="00D72F49" w:rsidP="00796BDB">
            <w:pPr>
              <w:spacing w:before="160"/>
              <w:rPr>
                <w:caps/>
                <w:sz w:val="22"/>
              </w:rPr>
            </w:pPr>
            <w:r w:rsidRPr="00BC02A4">
              <w:rPr>
                <w:sz w:val="22"/>
              </w:rPr>
              <w:t>__________________</w:t>
            </w:r>
          </w:p>
          <w:p w14:paraId="2A49EBE0" w14:textId="77777777" w:rsidR="00D72F49" w:rsidRPr="00BC02A4" w:rsidRDefault="00D72F49" w:rsidP="00796BDB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BC02A4">
              <w:rPr>
                <w:b/>
                <w:bCs/>
                <w:sz w:val="26"/>
                <w:szCs w:val="26"/>
              </w:rPr>
              <w:t>Références</w:t>
            </w:r>
          </w:p>
          <w:p w14:paraId="70EABDA0" w14:textId="4ABA3523" w:rsidR="00D72F49" w:rsidRPr="00C46FC4" w:rsidRDefault="00E15871" w:rsidP="00CE5172">
            <w:pPr>
              <w:pStyle w:val="Referencetext"/>
              <w:framePr w:hSpace="0" w:wrap="auto" w:vAnchor="margin" w:hAnchor="text" w:xAlign="left" w:yAlign="inline"/>
            </w:pPr>
            <w:hyperlink r:id="rId7" w:history="1">
              <w:r w:rsidRPr="00C46FC4">
                <w:rPr>
                  <w:rStyle w:val="Hyperlink"/>
                  <w:rFonts w:eastAsia="Times New Roman" w:cs="Times New Roman"/>
                </w:rPr>
                <w:t>Document C26/72</w:t>
              </w:r>
            </w:hyperlink>
          </w:p>
        </w:tc>
      </w:tr>
    </w:tbl>
    <w:p w14:paraId="0E04446E" w14:textId="77777777" w:rsidR="00A51849" w:rsidRPr="00BC02A4" w:rsidRDefault="00A51849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  <w:r w:rsidRPr="00BC02A4">
        <w:br w:type="page"/>
      </w:r>
    </w:p>
    <w:p w14:paraId="65F6DC95" w14:textId="107138EA" w:rsidR="00D7485F" w:rsidRPr="00BC02A4" w:rsidRDefault="00D7485F" w:rsidP="00D7485F">
      <w:pPr>
        <w:pStyle w:val="Heading1"/>
      </w:pPr>
      <w:r w:rsidRPr="00BC02A4">
        <w:lastRenderedPageBreak/>
        <w:t>1</w:t>
      </w:r>
      <w:r w:rsidRPr="00BC02A4">
        <w:tab/>
      </w:r>
      <w:r w:rsidR="00BC02A4">
        <w:t>Rappel</w:t>
      </w:r>
    </w:p>
    <w:p w14:paraId="4A793312" w14:textId="04A9F36E" w:rsidR="00D7485F" w:rsidRPr="00BC02A4" w:rsidRDefault="00D7485F" w:rsidP="00C46FC4">
      <w:pPr>
        <w:jc w:val="both"/>
      </w:pPr>
      <w:r w:rsidRPr="00BC02A4">
        <w:t>1.1</w:t>
      </w:r>
      <w:r w:rsidRPr="00BC02A4">
        <w:tab/>
      </w:r>
      <w:r w:rsidR="00BC02A4">
        <w:t>Nous tenons à adresser nos remerciements au Secrétariat pour sa proposition de maintenir</w:t>
      </w:r>
      <w:r w:rsidR="0079739B">
        <w:t>, à court terme,</w:t>
      </w:r>
      <w:r w:rsidR="00BC02A4">
        <w:t xml:space="preserve"> </w:t>
      </w:r>
      <w:r w:rsidR="00A61895">
        <w:t>la situation en l'état</w:t>
      </w:r>
      <w:r w:rsidR="00BC02A4">
        <w:t xml:space="preserve"> et de repousser des décisions structurelles à un stade ultérieur. En </w:t>
      </w:r>
      <w:r w:rsidR="0079739B">
        <w:t>maintenant</w:t>
      </w:r>
      <w:r w:rsidR="00BC02A4">
        <w:t xml:space="preserve"> le montant de l'unité contributive à 318 000 CHF et en confirmant qu'aucune augmentation ne sera proposée à la PP-26, le Secrétariat montre qu'il est sensible aux contraintes financières qui pèsent sur les États Membres et </w:t>
      </w:r>
      <w:r w:rsidR="0079739B">
        <w:t xml:space="preserve">qu'il </w:t>
      </w:r>
      <w:r w:rsidR="00BC02A4">
        <w:t>souhaite préserver la prévisibilité.</w:t>
      </w:r>
    </w:p>
    <w:p w14:paraId="3BEDB471" w14:textId="06EC843A" w:rsidR="00BC02A4" w:rsidRDefault="00D7485F" w:rsidP="00C46FC4">
      <w:pPr>
        <w:jc w:val="both"/>
      </w:pPr>
      <w:r w:rsidRPr="00BC02A4">
        <w:t>1.2</w:t>
      </w:r>
      <w:r w:rsidRPr="00BC02A4">
        <w:tab/>
      </w:r>
      <w:r w:rsidR="00BC02A4">
        <w:t xml:space="preserve">Nous aimerions également remercier le Secrétariat de </w:t>
      </w:r>
      <w:r w:rsidR="0079739B">
        <w:t>se concentrer</w:t>
      </w:r>
      <w:r w:rsidR="00BC02A4">
        <w:t xml:space="preserve"> sur des mesures internes, telles que l'exercice d'une discipline sur le plan financier, les gains d'efficacité et </w:t>
      </w:r>
      <w:r w:rsidR="0079739B">
        <w:t>l'alignement plus rigoureux des produits et des charges. Ces efforts aident à faire en sorte que le plafond budgétaire existant ne soit pas dépassé</w:t>
      </w:r>
      <w:r w:rsidR="00A61895">
        <w:t>, ce qui</w:t>
      </w:r>
      <w:r w:rsidR="0079739B">
        <w:t xml:space="preserve"> permet, dans la pratique, de </w:t>
      </w:r>
      <w:r w:rsidR="00A61895">
        <w:t>se concentrer sur</w:t>
      </w:r>
      <w:r w:rsidR="0079739B">
        <w:t xml:space="preserve"> améliorer l'efficacité organisationnelle au lieu de compter uniquement sur les contributions des États Membres, ce qui est </w:t>
      </w:r>
      <w:r w:rsidR="00A61895">
        <w:t>très</w:t>
      </w:r>
      <w:r w:rsidR="0079739B">
        <w:t xml:space="preserve"> apprécié.</w:t>
      </w:r>
    </w:p>
    <w:p w14:paraId="615E4AF3" w14:textId="1E33405E" w:rsidR="0079739B" w:rsidRDefault="00D7485F" w:rsidP="00C46FC4">
      <w:pPr>
        <w:jc w:val="both"/>
      </w:pPr>
      <w:r w:rsidRPr="00BC02A4">
        <w:t>1.3</w:t>
      </w:r>
      <w:r w:rsidRPr="00BC02A4">
        <w:tab/>
      </w:r>
      <w:r w:rsidR="0079739B">
        <w:t xml:space="preserve">Dans l'optique de la PP-30, le Secrétariat continuera de travailler sur la méthode de </w:t>
      </w:r>
      <w:r w:rsidR="00A61895">
        <w:t>détermination</w:t>
      </w:r>
      <w:r w:rsidR="0079739B">
        <w:t xml:space="preserve"> du montant de l'unité contributive (prise en compte de l'inflation, de l'efficacité, des nouveaux mandats) et </w:t>
      </w:r>
      <w:r w:rsidR="00A61895">
        <w:t xml:space="preserve">examinera </w:t>
      </w:r>
      <w:r w:rsidR="00993BDF">
        <w:t xml:space="preserve">de futurs ajustements en se fondant sur des éléments concrets plutôt </w:t>
      </w:r>
      <w:r w:rsidR="00E30BBE">
        <w:t>que</w:t>
      </w:r>
      <w:r w:rsidR="00993BDF">
        <w:t xml:space="preserve"> </w:t>
      </w:r>
      <w:r w:rsidR="00A61895">
        <w:t>de décider d'</w:t>
      </w:r>
      <w:r w:rsidR="00993BDF">
        <w:t>augmentations immédiates, ce qui est également très apprécié.</w:t>
      </w:r>
    </w:p>
    <w:p w14:paraId="698D3128" w14:textId="291A56B2" w:rsidR="00E30BBE" w:rsidRDefault="00D7485F" w:rsidP="00C46FC4">
      <w:pPr>
        <w:jc w:val="both"/>
      </w:pPr>
      <w:r w:rsidRPr="00BC02A4">
        <w:t>1.4</w:t>
      </w:r>
      <w:r w:rsidRPr="00BC02A4">
        <w:tab/>
      </w:r>
      <w:r w:rsidR="00E30BBE">
        <w:t>La proposition du Secrétariat assure une prévisibilité financière pour les États</w:t>
      </w:r>
      <w:r w:rsidR="008D1046">
        <w:t> </w:t>
      </w:r>
      <w:r w:rsidR="00E30BBE">
        <w:t xml:space="preserve">Membres, montre que le Secrétariat fait preuve d'une certaine discipline sur le plan budgétaire et </w:t>
      </w:r>
      <w:r w:rsidR="00A61895">
        <w:t>se sent comptable de ses décisions</w:t>
      </w:r>
      <w:r w:rsidR="00E30BBE">
        <w:t xml:space="preserve">, et laisse </w:t>
      </w:r>
      <w:r w:rsidR="00A61895">
        <w:t>un délai</w:t>
      </w:r>
      <w:r w:rsidR="00E30BBE">
        <w:t xml:space="preserve"> pour élaborer une méthode plus robuste et transparente </w:t>
      </w:r>
      <w:r w:rsidR="00A61895">
        <w:t>afin de</w:t>
      </w:r>
      <w:r w:rsidR="00E30BBE">
        <w:t xml:space="preserve"> déterminer le montant de l'unité contributive. Parallèlement, cette proposition permet d'éviter des hausses prématurées sans consensus.</w:t>
      </w:r>
    </w:p>
    <w:p w14:paraId="36655C19" w14:textId="61781048" w:rsidR="00E30BBE" w:rsidRDefault="00D7485F" w:rsidP="00C46FC4">
      <w:pPr>
        <w:jc w:val="both"/>
      </w:pPr>
      <w:r w:rsidRPr="00BC02A4">
        <w:t>1.5</w:t>
      </w:r>
      <w:r w:rsidRPr="00BC02A4">
        <w:tab/>
      </w:r>
      <w:r w:rsidR="00E30BBE">
        <w:t xml:space="preserve">Plusieurs points importants doivent être examinés </w:t>
      </w:r>
      <w:r w:rsidR="00A61895">
        <w:t>dans</w:t>
      </w:r>
      <w:r w:rsidR="00E30BBE">
        <w:t xml:space="preserve"> l'approche du Secrétariat. Tout d'abord, </w:t>
      </w:r>
      <w:r w:rsidR="00A61895">
        <w:t>la recherche de</w:t>
      </w:r>
      <w:r w:rsidR="00E30BBE">
        <w:t xml:space="preserve"> gains d'efficacité</w:t>
      </w:r>
      <w:r w:rsidR="00A61895">
        <w:t xml:space="preserve"> à elle seule pourrait ne pas suffire</w:t>
      </w:r>
      <w:r w:rsidR="00E30BBE">
        <w:t xml:space="preserve"> si les mandats sont élargis ou si l'on se trouve face à une hausse structurelle des coûts. De plus, le fait de reconnaître que "certaines initiatives pourraient ne pas être financées" indique qu'il existe un risque de sous-exécution ou des décalages dans la définition des priorités. Enfin, le report de l'ajustement du montant de l'unité contributive jusqu'en 2032 pourrait se traduire par </w:t>
      </w:r>
      <w:r w:rsidR="00570224">
        <w:t xml:space="preserve">un ajustement </w:t>
      </w:r>
      <w:r w:rsidR="00A61895">
        <w:t>important et brutal</w:t>
      </w:r>
      <w:r w:rsidR="00570224">
        <w:t xml:space="preserve"> dans l'avenir si </w:t>
      </w:r>
      <w:r w:rsidR="00770102">
        <w:t>la pression venait à s'accentuer.</w:t>
      </w:r>
    </w:p>
    <w:p w14:paraId="1AECAD42" w14:textId="75255CFB" w:rsidR="00D7485F" w:rsidRPr="00BC02A4" w:rsidRDefault="00D7485F" w:rsidP="00D7485F">
      <w:pPr>
        <w:pStyle w:val="Heading1"/>
      </w:pPr>
      <w:r w:rsidRPr="00BC02A4">
        <w:t>2</w:t>
      </w:r>
      <w:r w:rsidRPr="00BC02A4">
        <w:tab/>
        <w:t>Propos</w:t>
      </w:r>
      <w:r w:rsidR="00770102">
        <w:t>ition</w:t>
      </w:r>
    </w:p>
    <w:p w14:paraId="3BBDCD39" w14:textId="472EF5BC" w:rsidR="00770102" w:rsidRDefault="00D7485F" w:rsidP="00C46FC4">
      <w:pPr>
        <w:jc w:val="both"/>
      </w:pPr>
      <w:r w:rsidRPr="00BC02A4">
        <w:t>2.1</w:t>
      </w:r>
      <w:r w:rsidRPr="00BC02A4">
        <w:tab/>
      </w:r>
      <w:r w:rsidR="00770102">
        <w:t xml:space="preserve">La République sudafricaine propose que le Secrétariat établisse un ensemble de critères clairs qui </w:t>
      </w:r>
      <w:r w:rsidR="00A61895">
        <w:t>déclencheraient</w:t>
      </w:r>
      <w:r w:rsidR="00770102">
        <w:t xml:space="preserve"> une révision du montant de l'unité contributive.</w:t>
      </w:r>
    </w:p>
    <w:p w14:paraId="4E70AE94" w14:textId="5F54BCB6" w:rsidR="00770102" w:rsidRDefault="00D7485F" w:rsidP="00C46FC4">
      <w:pPr>
        <w:jc w:val="both"/>
      </w:pPr>
      <w:r w:rsidRPr="00BC02A4">
        <w:t>2.2</w:t>
      </w:r>
      <w:r w:rsidRPr="00BC02A4">
        <w:tab/>
      </w:r>
      <w:r w:rsidR="00770102">
        <w:t xml:space="preserve">Le Secrétariat devrait mettre en place des seuils prédéfinis qui entraînerait automatiquement un réexamen du montant de l'unité contributive, par exemple les éléments </w:t>
      </w:r>
      <w:proofErr w:type="gramStart"/>
      <w:r w:rsidR="00770102">
        <w:t>suivants:</w:t>
      </w:r>
      <w:proofErr w:type="gramEnd"/>
      <w:r w:rsidR="00770102">
        <w:t xml:space="preserve"> déficits budgétaires persistant sur deux années consécutives, diminution du solde des fonds de réserve au-dessous d'un niveau de sécurité convenu, augmentation significative du nombre de mandats non financés et inflation dépassant un seuil cumulé défini. Cette manière de procéder aiderait à éviter une hausse brutale en 2032 et </w:t>
      </w:r>
      <w:r w:rsidR="00A61895">
        <w:t>ferait que les</w:t>
      </w:r>
      <w:r w:rsidR="00770102">
        <w:t xml:space="preserve"> ajustements </w:t>
      </w:r>
      <w:r w:rsidR="00A61895">
        <w:t xml:space="preserve">sont </w:t>
      </w:r>
      <w:r w:rsidR="00770102">
        <w:t>prévisibles pour les États Membres</w:t>
      </w:r>
      <w:r w:rsidR="00770102" w:rsidRPr="00770102">
        <w:t xml:space="preserve"> </w:t>
      </w:r>
      <w:r w:rsidR="00770102">
        <w:t>et fondés sur des règles.</w:t>
      </w:r>
    </w:p>
    <w:p w14:paraId="1410B197" w14:textId="681F2C2C" w:rsidR="007E2B23" w:rsidRDefault="00D7485F" w:rsidP="00C46FC4">
      <w:pPr>
        <w:keepNext/>
        <w:keepLines/>
        <w:jc w:val="both"/>
      </w:pPr>
      <w:r w:rsidRPr="00BC02A4">
        <w:lastRenderedPageBreak/>
        <w:t>2.3</w:t>
      </w:r>
      <w:r w:rsidRPr="00BC02A4">
        <w:tab/>
      </w:r>
      <w:r w:rsidR="007E2B23">
        <w:t xml:space="preserve">Le Secrétariat devrait en outre envisager d'effectuer un travail de suivi annuel et présenter un aperçu glissant de la situation financière sur 3 à 6 ans, qui comprendrait une comparaison entre les produits prévus et les tendances en matière de charges, les incidences </w:t>
      </w:r>
      <w:r w:rsidR="00A61895">
        <w:t xml:space="preserve">des nouveaux mandats </w:t>
      </w:r>
      <w:r w:rsidR="007E2B23">
        <w:t xml:space="preserve">en termes de coûts et une analyse de différents scénarios (normal/restriction/progression). Les États Membres seraient ainsi </w:t>
      </w:r>
      <w:r w:rsidR="00C7751A">
        <w:t xml:space="preserve">davantage </w:t>
      </w:r>
      <w:r w:rsidR="007E2B23">
        <w:t xml:space="preserve">en mesure d'anticiper </w:t>
      </w:r>
      <w:r w:rsidR="00C7751A">
        <w:t>au lieu</w:t>
      </w:r>
      <w:r w:rsidR="007E2B23">
        <w:t xml:space="preserve"> de réagir trop tard.</w:t>
      </w:r>
    </w:p>
    <w:p w14:paraId="3E8DCE70" w14:textId="1D0E7DDE" w:rsidR="00C7751A" w:rsidRDefault="00D7485F" w:rsidP="00C46FC4">
      <w:pPr>
        <w:jc w:val="both"/>
      </w:pPr>
      <w:r w:rsidRPr="00BC02A4">
        <w:t>2.4</w:t>
      </w:r>
      <w:r w:rsidRPr="00BC02A4">
        <w:tab/>
      </w:r>
      <w:r w:rsidR="00184400">
        <w:t xml:space="preserve">Afin de préciser la notion </w:t>
      </w:r>
      <w:r w:rsidR="00C7751A">
        <w:t xml:space="preserve">vague </w:t>
      </w:r>
      <w:r w:rsidR="00184400">
        <w:t xml:space="preserve">d'efficacité à laquelle il est fait référence, nous proposons des cibles quantifiées, telles qu'un pourcentage (%) de réduction des coûts administratifs dans le temps, des indicateurs pour le coût par produit (par exemple, par projet, par réunion ou par produit élaboré) et des cibles pour les économies à réaliser grâce au passage au numérique, </w:t>
      </w:r>
      <w:r w:rsidR="00C7751A">
        <w:t xml:space="preserve">l'efficacité </w:t>
      </w:r>
      <w:r w:rsidR="00B54E00">
        <w:t>n'étant ainsi plus un but recherché mais un élément vérifiable.</w:t>
      </w:r>
    </w:p>
    <w:p w14:paraId="1EF2D3F3" w14:textId="3610143F" w:rsidR="00525A50" w:rsidRDefault="00D7485F" w:rsidP="00C46FC4">
      <w:pPr>
        <w:jc w:val="both"/>
      </w:pPr>
      <w:r w:rsidRPr="00BC02A4">
        <w:t>2.5</w:t>
      </w:r>
      <w:r w:rsidRPr="00BC02A4">
        <w:tab/>
      </w:r>
      <w:r w:rsidR="00525A50">
        <w:t xml:space="preserve">Des rapports plus structurés devraient être </w:t>
      </w:r>
      <w:r w:rsidR="00B54E00">
        <w:t>soumis</w:t>
      </w:r>
      <w:r w:rsidR="00525A50">
        <w:t xml:space="preserve"> au Conseil par l'intermédiaire d'un </w:t>
      </w:r>
      <w:r w:rsidR="00B54E00">
        <w:t>"</w:t>
      </w:r>
      <w:r w:rsidR="00525A50">
        <w:t xml:space="preserve">tableau de bord annuel sur l'adéquation de l'unité contributive" </w:t>
      </w:r>
      <w:r w:rsidR="00B54E00">
        <w:t>présentant</w:t>
      </w:r>
      <w:r w:rsidR="00525A50">
        <w:t xml:space="preserve"> des indicateurs relatifs à la santé financière, </w:t>
      </w:r>
      <w:r w:rsidR="00B54E00">
        <w:t>le niveau d</w:t>
      </w:r>
      <w:r w:rsidR="00525A50">
        <w:t xml:space="preserve">'exécution par rapport aux mandats, les gains d'efficacité réalisés et une indication claire des arbitrages, avec </w:t>
      </w:r>
      <w:r w:rsidR="00B54E00">
        <w:t>les éléments</w:t>
      </w:r>
      <w:r w:rsidR="00525A50">
        <w:t xml:space="preserve"> qui </w:t>
      </w:r>
      <w:r w:rsidR="00B54E00">
        <w:t>ne sont</w:t>
      </w:r>
      <w:r w:rsidR="00525A50">
        <w:t xml:space="preserve"> pas financé</w:t>
      </w:r>
      <w:r w:rsidR="00B54E00">
        <w:t>s</w:t>
      </w:r>
      <w:r w:rsidR="00525A50">
        <w:t xml:space="preserve"> et pourquoi, ce qui permettra aux États Membres de prendre des décisions plus informées par la suite.</w:t>
      </w:r>
    </w:p>
    <w:p w14:paraId="2CBE0161" w14:textId="04EC37CD" w:rsidR="00525A50" w:rsidRDefault="00D7485F" w:rsidP="00C46FC4">
      <w:pPr>
        <w:jc w:val="both"/>
      </w:pPr>
      <w:r w:rsidRPr="00BC02A4">
        <w:t>2.6</w:t>
      </w:r>
      <w:r w:rsidRPr="00BC02A4">
        <w:tab/>
      </w:r>
      <w:r w:rsidR="00525A50">
        <w:t xml:space="preserve">En conclusion, l'approche du Secrétariat est prudente, mais pour assurer la pérennité, elle devrait être complété par des éléments déclencheurs clairs, une planification </w:t>
      </w:r>
      <w:r w:rsidR="00FA1AC8">
        <w:t>clairvoyante, des cibles mesurables en matière d'efficacité et la définition de priorités structurées, sans quoi nous courons le risque d'être confrontés à une pression financière différée, à une baisse de l'exécution et, possiblement, à un besoin soudain d'ajustement dans l'avenir.</w:t>
      </w:r>
    </w:p>
    <w:p w14:paraId="3E3CD1E2" w14:textId="77777777" w:rsidR="00C46FC4" w:rsidRDefault="00C46FC4" w:rsidP="00C46FC4">
      <w:pPr>
        <w:jc w:val="both"/>
      </w:pPr>
    </w:p>
    <w:p w14:paraId="24905C9C" w14:textId="77777777" w:rsidR="00897553" w:rsidRPr="00BC02A4" w:rsidRDefault="006A11AE" w:rsidP="002D2336">
      <w:pPr>
        <w:jc w:val="center"/>
      </w:pPr>
      <w:r w:rsidRPr="00BC02A4">
        <w:t>______________</w:t>
      </w:r>
    </w:p>
    <w:sectPr w:rsidR="00897553" w:rsidRPr="00BC02A4" w:rsidSect="00D72F49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B5177" w14:textId="77777777" w:rsidR="0082623B" w:rsidRDefault="0082623B">
      <w:r>
        <w:separator/>
      </w:r>
    </w:p>
  </w:endnote>
  <w:endnote w:type="continuationSeparator" w:id="0">
    <w:p w14:paraId="2743202D" w14:textId="77777777" w:rsidR="0082623B" w:rsidRDefault="00826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8789B" w14:textId="67FF97EF" w:rsidR="00732045" w:rsidRPr="009A3C3C" w:rsidRDefault="004F5587">
    <w:pPr>
      <w:pStyle w:val="Footer"/>
      <w:rPr>
        <w:lang w:val="en-US"/>
      </w:rPr>
    </w:pPr>
    <w:r>
      <w:fldChar w:fldCharType="begin"/>
    </w:r>
    <w:r w:rsidRPr="009A3C3C">
      <w:rPr>
        <w:lang w:val="en-US"/>
      </w:rPr>
      <w:instrText xml:space="preserve"> FILENAME \p \* MERGEFORMAT </w:instrText>
    </w:r>
    <w:r>
      <w:fldChar w:fldCharType="separate"/>
    </w:r>
    <w:r w:rsidR="009A3C3C" w:rsidRPr="009A3C3C">
      <w:rPr>
        <w:lang w:val="en-US"/>
      </w:rPr>
      <w:t>P:\FRA\gDoc\SG\C26\2600988F.docx</w:t>
    </w:r>
    <w:r>
      <w:fldChar w:fldCharType="end"/>
    </w:r>
    <w:r w:rsidR="00732045" w:rsidRPr="009A3C3C">
      <w:rPr>
        <w:lang w:val="en-US"/>
      </w:rPr>
      <w:tab/>
    </w:r>
    <w:r w:rsidR="002F1B76">
      <w:fldChar w:fldCharType="begin"/>
    </w:r>
    <w:r w:rsidR="00732045">
      <w:instrText xml:space="preserve"> savedate \@ dd.MM.yy </w:instrText>
    </w:r>
    <w:r w:rsidR="002F1B76">
      <w:fldChar w:fldCharType="separate"/>
    </w:r>
    <w:r w:rsidR="00A31724">
      <w:t>20.04.26</w:t>
    </w:r>
    <w:r w:rsidR="002F1B76">
      <w:fldChar w:fldCharType="end"/>
    </w:r>
    <w:r w:rsidR="00732045" w:rsidRPr="009A3C3C">
      <w:rPr>
        <w:lang w:val="en-US"/>
      </w:rPr>
      <w:tab/>
    </w:r>
    <w:r w:rsidR="002F1B76">
      <w:fldChar w:fldCharType="begin"/>
    </w:r>
    <w:r w:rsidR="00732045">
      <w:instrText xml:space="preserve"> printdate \@ dd.MM.yy </w:instrText>
    </w:r>
    <w:r w:rsidR="002F1B76">
      <w:fldChar w:fldCharType="separate"/>
    </w:r>
    <w:r w:rsidR="009A3C3C">
      <w:t>18.07.00</w:t>
    </w:r>
    <w:r w:rsidR="002F1B76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A51849" w:rsidRPr="00784011" w14:paraId="65E572EB" w14:textId="77777777" w:rsidTr="00E31DCE">
      <w:trPr>
        <w:jc w:val="center"/>
      </w:trPr>
      <w:tc>
        <w:tcPr>
          <w:tcW w:w="1803" w:type="dxa"/>
          <w:vAlign w:val="center"/>
        </w:tcPr>
        <w:p w14:paraId="4C1CB5CB" w14:textId="5866F588" w:rsidR="00A51849" w:rsidRDefault="00E15871" w:rsidP="00A51849">
          <w:pPr>
            <w:pStyle w:val="Header"/>
            <w:jc w:val="left"/>
            <w:rPr>
              <w:noProof/>
            </w:rPr>
          </w:pPr>
          <w:r>
            <w:rPr>
              <w:noProof/>
            </w:rPr>
            <w:t>2600988</w:t>
          </w:r>
        </w:p>
      </w:tc>
      <w:tc>
        <w:tcPr>
          <w:tcW w:w="8261" w:type="dxa"/>
        </w:tcPr>
        <w:p w14:paraId="04770AC9" w14:textId="6C6CB0CE" w:rsidR="00A51849" w:rsidRPr="00E06FD5" w:rsidRDefault="00A51849" w:rsidP="00C049D7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E4448E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E15871">
            <w:rPr>
              <w:bCs/>
            </w:rPr>
            <w:t>100</w:t>
          </w:r>
          <w:r w:rsidRPr="00623AE3">
            <w:rPr>
              <w:bCs/>
            </w:rPr>
            <w:t>-</w:t>
          </w:r>
          <w:r w:rsidR="00973F53">
            <w:rPr>
              <w:bCs/>
            </w:rPr>
            <w:t>F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2E76A087" w14:textId="77777777" w:rsidR="00732045" w:rsidRPr="00A51849" w:rsidRDefault="00732045" w:rsidP="00FC6D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A51849" w:rsidRPr="00784011" w14:paraId="72ECBD70" w14:textId="77777777" w:rsidTr="00E31DCE">
      <w:trPr>
        <w:jc w:val="center"/>
      </w:trPr>
      <w:tc>
        <w:tcPr>
          <w:tcW w:w="1803" w:type="dxa"/>
          <w:vAlign w:val="center"/>
        </w:tcPr>
        <w:p w14:paraId="3144958B" w14:textId="77777777" w:rsidR="00A51849" w:rsidRPr="00FC6D7D" w:rsidRDefault="00E4448E" w:rsidP="00A51849">
          <w:pPr>
            <w:pStyle w:val="Header"/>
            <w:jc w:val="left"/>
            <w:rPr>
              <w:noProof/>
              <w:color w:val="0563C1"/>
            </w:rPr>
          </w:pPr>
          <w:hyperlink r:id="rId1" w:anchor="/fr" w:history="1">
            <w:proofErr w:type="spellStart"/>
            <w:r>
              <w:rPr>
                <w:rStyle w:val="Hyperlink"/>
              </w:rPr>
              <w:t>council.itu.int</w:t>
            </w:r>
            <w:proofErr w:type="spellEnd"/>
            <w:r>
              <w:rPr>
                <w:rStyle w:val="Hyperlink"/>
              </w:rPr>
              <w:t>/2026</w:t>
            </w:r>
          </w:hyperlink>
        </w:p>
      </w:tc>
      <w:tc>
        <w:tcPr>
          <w:tcW w:w="8261" w:type="dxa"/>
        </w:tcPr>
        <w:p w14:paraId="2F29D568" w14:textId="794FF033" w:rsidR="00A51849" w:rsidRPr="00E06FD5" w:rsidRDefault="00A51849" w:rsidP="00C049D7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E4448E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E15871">
            <w:rPr>
              <w:bCs/>
            </w:rPr>
            <w:t>100</w:t>
          </w:r>
          <w:r w:rsidRPr="00623AE3">
            <w:rPr>
              <w:bCs/>
            </w:rPr>
            <w:t>-</w:t>
          </w:r>
          <w:r w:rsidR="00D72F49">
            <w:rPr>
              <w:bCs/>
            </w:rPr>
            <w:t>F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7F2C568A" w14:textId="77777777" w:rsidR="00732045" w:rsidRPr="00A51849" w:rsidRDefault="00732045" w:rsidP="00FC6D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00C04" w14:textId="77777777" w:rsidR="0082623B" w:rsidRDefault="0082623B">
      <w:r>
        <w:t>____________________</w:t>
      </w:r>
    </w:p>
  </w:footnote>
  <w:footnote w:type="continuationSeparator" w:id="0">
    <w:p w14:paraId="2DF34B3B" w14:textId="77777777" w:rsidR="0082623B" w:rsidRDefault="00826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05806" w14:textId="77777777" w:rsidR="00732045" w:rsidRDefault="00732045">
    <w:pPr>
      <w:pStyle w:val="Header"/>
    </w:pPr>
    <w:r>
      <w:t xml:space="preserve">- </w:t>
    </w:r>
    <w:r w:rsidR="00C27A7C">
      <w:fldChar w:fldCharType="begin"/>
    </w:r>
    <w:r w:rsidR="00C27A7C">
      <w:instrText>PAGE</w:instrText>
    </w:r>
    <w:r w:rsidR="00C27A7C">
      <w:fldChar w:fldCharType="separate"/>
    </w:r>
    <w:r>
      <w:rPr>
        <w:noProof/>
      </w:rPr>
      <w:t>2</w:t>
    </w:r>
    <w:r w:rsidR="00C27A7C">
      <w:rPr>
        <w:noProof/>
      </w:rPr>
      <w:fldChar w:fldCharType="end"/>
    </w:r>
    <w:r>
      <w:t xml:space="preserve"> -</w:t>
    </w:r>
  </w:p>
  <w:p w14:paraId="2A8DA789" w14:textId="77777777" w:rsidR="00732045" w:rsidRDefault="00732045">
    <w:pPr>
      <w:pStyle w:val="Header"/>
    </w:pPr>
    <w:proofErr w:type="spellStart"/>
    <w:r>
      <w:t>C2001</w:t>
    </w:r>
    <w:proofErr w:type="spellEnd"/>
    <w:r>
      <w:t>/#-F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625D2" w14:textId="77777777" w:rsidR="00A51849" w:rsidRPr="001342E0" w:rsidRDefault="001342E0" w:rsidP="001342E0">
    <w:pPr>
      <w:pStyle w:val="Header"/>
    </w:pPr>
    <w:r>
      <w:rPr>
        <w:noProof/>
      </w:rPr>
      <w:drawing>
        <wp:inline distT="0" distB="0" distL="0" distR="0" wp14:anchorId="42B2EEB2" wp14:editId="657BFE73">
          <wp:extent cx="5760085" cy="840740"/>
          <wp:effectExtent l="0" t="0" r="0" b="0"/>
          <wp:docPr id="32288940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889409" name="Picture 3228894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40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8364A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FC17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52E2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3324F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BEA3A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3050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D0D2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22DA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4A9B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22D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4144983">
    <w:abstractNumId w:val="9"/>
  </w:num>
  <w:num w:numId="2" w16cid:durableId="1042679003">
    <w:abstractNumId w:val="7"/>
  </w:num>
  <w:num w:numId="3" w16cid:durableId="1710033290">
    <w:abstractNumId w:val="6"/>
  </w:num>
  <w:num w:numId="4" w16cid:durableId="1466967443">
    <w:abstractNumId w:val="5"/>
  </w:num>
  <w:num w:numId="5" w16cid:durableId="1019041869">
    <w:abstractNumId w:val="4"/>
  </w:num>
  <w:num w:numId="6" w16cid:durableId="1994942309">
    <w:abstractNumId w:val="8"/>
  </w:num>
  <w:num w:numId="7" w16cid:durableId="1943762712">
    <w:abstractNumId w:val="3"/>
  </w:num>
  <w:num w:numId="8" w16cid:durableId="1210023807">
    <w:abstractNumId w:val="2"/>
  </w:num>
  <w:num w:numId="9" w16cid:durableId="976300499">
    <w:abstractNumId w:val="1"/>
  </w:num>
  <w:num w:numId="10" w16cid:durableId="153841235">
    <w:abstractNumId w:val="0"/>
  </w:num>
  <w:num w:numId="11" w16cid:durableId="401220439">
    <w:abstractNumId w:val="8"/>
  </w:num>
  <w:num w:numId="12" w16cid:durableId="1266042031">
    <w:abstractNumId w:val="3"/>
  </w:num>
  <w:num w:numId="13" w16cid:durableId="1286500294">
    <w:abstractNumId w:val="2"/>
  </w:num>
  <w:num w:numId="14" w16cid:durableId="1804274698">
    <w:abstractNumId w:val="1"/>
  </w:num>
  <w:num w:numId="15" w16cid:durableId="232618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587"/>
    <w:rsid w:val="00076A2C"/>
    <w:rsid w:val="000D0D0A"/>
    <w:rsid w:val="00103163"/>
    <w:rsid w:val="00106B19"/>
    <w:rsid w:val="001133EF"/>
    <w:rsid w:val="00115D93"/>
    <w:rsid w:val="001247A8"/>
    <w:rsid w:val="001342E0"/>
    <w:rsid w:val="001370B2"/>
    <w:rsid w:val="001378C0"/>
    <w:rsid w:val="001658F9"/>
    <w:rsid w:val="00184400"/>
    <w:rsid w:val="0018694A"/>
    <w:rsid w:val="0019129B"/>
    <w:rsid w:val="001A3287"/>
    <w:rsid w:val="001A6508"/>
    <w:rsid w:val="001D4C31"/>
    <w:rsid w:val="001E4D21"/>
    <w:rsid w:val="00207CD1"/>
    <w:rsid w:val="00226657"/>
    <w:rsid w:val="002477A2"/>
    <w:rsid w:val="00263024"/>
    <w:rsid w:val="00263A51"/>
    <w:rsid w:val="00267E02"/>
    <w:rsid w:val="00271321"/>
    <w:rsid w:val="00277DEA"/>
    <w:rsid w:val="002A5D44"/>
    <w:rsid w:val="002C3F32"/>
    <w:rsid w:val="002C4E3D"/>
    <w:rsid w:val="002D2336"/>
    <w:rsid w:val="002D499B"/>
    <w:rsid w:val="002E0BC4"/>
    <w:rsid w:val="002F1B76"/>
    <w:rsid w:val="0033568E"/>
    <w:rsid w:val="00355FF5"/>
    <w:rsid w:val="00361350"/>
    <w:rsid w:val="003C3FAE"/>
    <w:rsid w:val="004038CB"/>
    <w:rsid w:val="0040546F"/>
    <w:rsid w:val="004177BD"/>
    <w:rsid w:val="0042404A"/>
    <w:rsid w:val="0044618F"/>
    <w:rsid w:val="00465C35"/>
    <w:rsid w:val="0046769A"/>
    <w:rsid w:val="00475FB3"/>
    <w:rsid w:val="004C37A9"/>
    <w:rsid w:val="004D1D50"/>
    <w:rsid w:val="004F259E"/>
    <w:rsid w:val="004F5587"/>
    <w:rsid w:val="004F633A"/>
    <w:rsid w:val="00504C7F"/>
    <w:rsid w:val="00511F1D"/>
    <w:rsid w:val="00520F36"/>
    <w:rsid w:val="00524E8D"/>
    <w:rsid w:val="00525A50"/>
    <w:rsid w:val="00534E13"/>
    <w:rsid w:val="00540615"/>
    <w:rsid w:val="00540A6D"/>
    <w:rsid w:val="00553536"/>
    <w:rsid w:val="00566679"/>
    <w:rsid w:val="00570224"/>
    <w:rsid w:val="00571EEA"/>
    <w:rsid w:val="00575417"/>
    <w:rsid w:val="005768E1"/>
    <w:rsid w:val="005B1938"/>
    <w:rsid w:val="005C3890"/>
    <w:rsid w:val="005F7BFE"/>
    <w:rsid w:val="00600017"/>
    <w:rsid w:val="00602682"/>
    <w:rsid w:val="006235CA"/>
    <w:rsid w:val="0062366E"/>
    <w:rsid w:val="006643AB"/>
    <w:rsid w:val="006A11AE"/>
    <w:rsid w:val="006B224B"/>
    <w:rsid w:val="006B6152"/>
    <w:rsid w:val="006F0A53"/>
    <w:rsid w:val="006F6624"/>
    <w:rsid w:val="0071402E"/>
    <w:rsid w:val="007210CD"/>
    <w:rsid w:val="00732045"/>
    <w:rsid w:val="0073275D"/>
    <w:rsid w:val="007369DB"/>
    <w:rsid w:val="00770102"/>
    <w:rsid w:val="0077110E"/>
    <w:rsid w:val="007956C2"/>
    <w:rsid w:val="00796BDB"/>
    <w:rsid w:val="0079739B"/>
    <w:rsid w:val="007A187E"/>
    <w:rsid w:val="007C72C2"/>
    <w:rsid w:val="007D4436"/>
    <w:rsid w:val="007E2B23"/>
    <w:rsid w:val="007F257A"/>
    <w:rsid w:val="007F3665"/>
    <w:rsid w:val="00800037"/>
    <w:rsid w:val="0082299A"/>
    <w:rsid w:val="0082623B"/>
    <w:rsid w:val="0083391C"/>
    <w:rsid w:val="0084546D"/>
    <w:rsid w:val="00861D73"/>
    <w:rsid w:val="00882919"/>
    <w:rsid w:val="00897553"/>
    <w:rsid w:val="008A4E87"/>
    <w:rsid w:val="008D1046"/>
    <w:rsid w:val="008D76E6"/>
    <w:rsid w:val="0092392D"/>
    <w:rsid w:val="0093234A"/>
    <w:rsid w:val="00956A78"/>
    <w:rsid w:val="0097363B"/>
    <w:rsid w:val="00973F53"/>
    <w:rsid w:val="0098348E"/>
    <w:rsid w:val="00993BDF"/>
    <w:rsid w:val="009A3C3C"/>
    <w:rsid w:val="009A6BAA"/>
    <w:rsid w:val="009A76A8"/>
    <w:rsid w:val="009C307F"/>
    <w:rsid w:val="009C353C"/>
    <w:rsid w:val="009D5955"/>
    <w:rsid w:val="009F0FB8"/>
    <w:rsid w:val="00A01F4F"/>
    <w:rsid w:val="00A109AF"/>
    <w:rsid w:val="00A125FB"/>
    <w:rsid w:val="00A2113E"/>
    <w:rsid w:val="00A23A51"/>
    <w:rsid w:val="00A24607"/>
    <w:rsid w:val="00A25CD3"/>
    <w:rsid w:val="00A31724"/>
    <w:rsid w:val="00A51849"/>
    <w:rsid w:val="00A61895"/>
    <w:rsid w:val="00A709FE"/>
    <w:rsid w:val="00A73C60"/>
    <w:rsid w:val="00A82767"/>
    <w:rsid w:val="00AA332F"/>
    <w:rsid w:val="00AA7BBB"/>
    <w:rsid w:val="00AB64A8"/>
    <w:rsid w:val="00AC0266"/>
    <w:rsid w:val="00AC0F1D"/>
    <w:rsid w:val="00AD24EC"/>
    <w:rsid w:val="00AE781F"/>
    <w:rsid w:val="00B27B00"/>
    <w:rsid w:val="00B309F9"/>
    <w:rsid w:val="00B32B60"/>
    <w:rsid w:val="00B51005"/>
    <w:rsid w:val="00B54E00"/>
    <w:rsid w:val="00B61619"/>
    <w:rsid w:val="00BB38C1"/>
    <w:rsid w:val="00BB4545"/>
    <w:rsid w:val="00BC02A4"/>
    <w:rsid w:val="00BD5873"/>
    <w:rsid w:val="00BF4B60"/>
    <w:rsid w:val="00C049D7"/>
    <w:rsid w:val="00C04BE3"/>
    <w:rsid w:val="00C25D29"/>
    <w:rsid w:val="00C2625E"/>
    <w:rsid w:val="00C27A7C"/>
    <w:rsid w:val="00C42437"/>
    <w:rsid w:val="00C46FC4"/>
    <w:rsid w:val="00C7751A"/>
    <w:rsid w:val="00CA08ED"/>
    <w:rsid w:val="00CC6EAA"/>
    <w:rsid w:val="00CE5172"/>
    <w:rsid w:val="00CF0534"/>
    <w:rsid w:val="00CF183B"/>
    <w:rsid w:val="00D375CD"/>
    <w:rsid w:val="00D37B53"/>
    <w:rsid w:val="00D553A2"/>
    <w:rsid w:val="00D72F49"/>
    <w:rsid w:val="00D7485F"/>
    <w:rsid w:val="00D774D3"/>
    <w:rsid w:val="00D904E8"/>
    <w:rsid w:val="00DA08C3"/>
    <w:rsid w:val="00DB5A3E"/>
    <w:rsid w:val="00DC22AA"/>
    <w:rsid w:val="00DD1A99"/>
    <w:rsid w:val="00DE62C6"/>
    <w:rsid w:val="00DF3046"/>
    <w:rsid w:val="00DF74DD"/>
    <w:rsid w:val="00E15871"/>
    <w:rsid w:val="00E25AD0"/>
    <w:rsid w:val="00E30BBE"/>
    <w:rsid w:val="00E4428F"/>
    <w:rsid w:val="00E4448E"/>
    <w:rsid w:val="00E47427"/>
    <w:rsid w:val="00E673A6"/>
    <w:rsid w:val="00E93668"/>
    <w:rsid w:val="00E95647"/>
    <w:rsid w:val="00EB6350"/>
    <w:rsid w:val="00ED799B"/>
    <w:rsid w:val="00F15B57"/>
    <w:rsid w:val="00F35EF4"/>
    <w:rsid w:val="00F37FE5"/>
    <w:rsid w:val="00F427DB"/>
    <w:rsid w:val="00FA1AC8"/>
    <w:rsid w:val="00FA2D7B"/>
    <w:rsid w:val="00FA5EB1"/>
    <w:rsid w:val="00FA7439"/>
    <w:rsid w:val="00FC4EC0"/>
    <w:rsid w:val="00FC6D7D"/>
    <w:rsid w:val="00FF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FECC51"/>
  <w15:docId w15:val="{750D815E-4295-4230-A2DC-872CC10AC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366E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ED799B"/>
    <w:pPr>
      <w:keepNext/>
      <w:keepLines/>
      <w:spacing w:before="36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D799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D799B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732045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732045"/>
    <w:pPr>
      <w:outlineLvl w:val="4"/>
    </w:pPr>
  </w:style>
  <w:style w:type="paragraph" w:styleId="Heading6">
    <w:name w:val="heading 6"/>
    <w:basedOn w:val="Heading4"/>
    <w:next w:val="Normal"/>
    <w:qFormat/>
    <w:rsid w:val="00732045"/>
    <w:pPr>
      <w:outlineLvl w:val="5"/>
    </w:pPr>
  </w:style>
  <w:style w:type="paragraph" w:styleId="Heading7">
    <w:name w:val="heading 7"/>
    <w:basedOn w:val="Heading4"/>
    <w:next w:val="Normal"/>
    <w:qFormat/>
    <w:rsid w:val="00732045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732045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732045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19129B"/>
  </w:style>
  <w:style w:type="paragraph" w:styleId="TOC3">
    <w:name w:val="toc 3"/>
    <w:basedOn w:val="TOC1"/>
    <w:next w:val="Normal"/>
    <w:rsid w:val="001658F9"/>
  </w:style>
  <w:style w:type="paragraph" w:styleId="TOC2">
    <w:name w:val="toc 2"/>
    <w:basedOn w:val="TOC1"/>
    <w:next w:val="Normal"/>
    <w:rsid w:val="001658F9"/>
    <w:pPr>
      <w:spacing w:before="160"/>
    </w:pPr>
  </w:style>
  <w:style w:type="paragraph" w:styleId="TOC1">
    <w:name w:val="toc 1"/>
    <w:basedOn w:val="Normal"/>
    <w:rsid w:val="001658F9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7938"/>
        <w:tab w:val="right" w:pos="9072"/>
      </w:tabs>
      <w:spacing w:before="200"/>
      <w:ind w:left="964" w:hanging="964"/>
    </w:pPr>
  </w:style>
  <w:style w:type="paragraph" w:styleId="TOC7">
    <w:name w:val="toc 7"/>
    <w:basedOn w:val="TOC6"/>
    <w:next w:val="Normal"/>
    <w:rsid w:val="0019129B"/>
  </w:style>
  <w:style w:type="paragraph" w:styleId="TOC6">
    <w:name w:val="toc 6"/>
    <w:basedOn w:val="TOC5"/>
    <w:next w:val="Normal"/>
    <w:rsid w:val="0019129B"/>
  </w:style>
  <w:style w:type="paragraph" w:styleId="TOC5">
    <w:name w:val="toc 5"/>
    <w:basedOn w:val="TOC4"/>
    <w:next w:val="Normal"/>
    <w:rsid w:val="0019129B"/>
    <w:rPr>
      <w:lang w:val="fr-CH"/>
    </w:rPr>
  </w:style>
  <w:style w:type="paragraph" w:styleId="TOC4">
    <w:name w:val="toc 4"/>
    <w:basedOn w:val="TOC1"/>
    <w:next w:val="Normal"/>
    <w:rsid w:val="0019129B"/>
  </w:style>
  <w:style w:type="paragraph" w:styleId="Index7">
    <w:name w:val="index 7"/>
    <w:basedOn w:val="Normal"/>
    <w:next w:val="Normal"/>
    <w:rsid w:val="005C3890"/>
    <w:pPr>
      <w:ind w:left="1698"/>
    </w:pPr>
  </w:style>
  <w:style w:type="paragraph" w:styleId="Index6">
    <w:name w:val="index 6"/>
    <w:basedOn w:val="Normal"/>
    <w:next w:val="Normal"/>
    <w:rsid w:val="005C3890"/>
    <w:pPr>
      <w:ind w:left="1415"/>
    </w:pPr>
  </w:style>
  <w:style w:type="paragraph" w:styleId="Index5">
    <w:name w:val="index 5"/>
    <w:basedOn w:val="Normal"/>
    <w:next w:val="Normal"/>
    <w:rsid w:val="005C3890"/>
    <w:pPr>
      <w:ind w:left="1132"/>
    </w:pPr>
  </w:style>
  <w:style w:type="paragraph" w:styleId="Index4">
    <w:name w:val="index 4"/>
    <w:basedOn w:val="Normal"/>
    <w:next w:val="Normal"/>
    <w:rsid w:val="005C3890"/>
    <w:pPr>
      <w:ind w:left="849"/>
    </w:pPr>
  </w:style>
  <w:style w:type="paragraph" w:styleId="Index3">
    <w:name w:val="index 3"/>
    <w:basedOn w:val="Normal"/>
    <w:next w:val="Normal"/>
    <w:rsid w:val="005C3890"/>
    <w:pPr>
      <w:ind w:left="566"/>
    </w:pPr>
  </w:style>
  <w:style w:type="paragraph" w:styleId="Index2">
    <w:name w:val="index 2"/>
    <w:basedOn w:val="Normal"/>
    <w:next w:val="Normal"/>
    <w:rsid w:val="005C3890"/>
    <w:pPr>
      <w:ind w:left="283"/>
    </w:pPr>
  </w:style>
  <w:style w:type="paragraph" w:styleId="Index1">
    <w:name w:val="index 1"/>
    <w:basedOn w:val="Normal"/>
    <w:next w:val="Normal"/>
    <w:rsid w:val="005C3890"/>
  </w:style>
  <w:style w:type="character" w:styleId="LineNumber">
    <w:name w:val="line number"/>
    <w:basedOn w:val="DefaultParagraphFont"/>
    <w:rsid w:val="005C3890"/>
  </w:style>
  <w:style w:type="paragraph" w:styleId="IndexHeading">
    <w:name w:val="index heading"/>
    <w:basedOn w:val="Normal"/>
    <w:next w:val="Index1"/>
    <w:rsid w:val="005C3890"/>
  </w:style>
  <w:style w:type="paragraph" w:styleId="Footer">
    <w:name w:val="foot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732045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ED799B"/>
    <w:pPr>
      <w:keepLines/>
      <w:tabs>
        <w:tab w:val="left" w:pos="256"/>
      </w:tabs>
      <w:ind w:left="256" w:hanging="256"/>
    </w:pPr>
    <w:rPr>
      <w:sz w:val="22"/>
    </w:rPr>
  </w:style>
  <w:style w:type="paragraph" w:styleId="NormalIndent">
    <w:name w:val="Normal Indent"/>
    <w:basedOn w:val="Normal"/>
    <w:rsid w:val="00732045"/>
    <w:pPr>
      <w:ind w:left="567"/>
    </w:pPr>
  </w:style>
  <w:style w:type="paragraph" w:customStyle="1" w:styleId="enumlev1">
    <w:name w:val="enumlev1"/>
    <w:basedOn w:val="Normal"/>
    <w:rsid w:val="009D5955"/>
    <w:pPr>
      <w:spacing w:before="80"/>
      <w:ind w:left="567" w:hanging="567"/>
    </w:pPr>
  </w:style>
  <w:style w:type="paragraph" w:customStyle="1" w:styleId="enumlev2">
    <w:name w:val="enumlev2"/>
    <w:basedOn w:val="enumlev1"/>
    <w:rsid w:val="00732045"/>
    <w:pPr>
      <w:ind w:left="1134"/>
    </w:pPr>
  </w:style>
  <w:style w:type="paragraph" w:customStyle="1" w:styleId="enumlev3">
    <w:name w:val="enumlev3"/>
    <w:basedOn w:val="enumlev2"/>
    <w:rsid w:val="009D5955"/>
    <w:pPr>
      <w:ind w:left="1701"/>
    </w:pPr>
  </w:style>
  <w:style w:type="paragraph" w:customStyle="1" w:styleId="Equation">
    <w:name w:val="Equation"/>
    <w:basedOn w:val="Normal"/>
    <w:rsid w:val="005C3890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5C389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Normalaftertitle">
    <w:name w:val="Normal after title"/>
    <w:basedOn w:val="Normal"/>
    <w:next w:val="Normal"/>
    <w:rsid w:val="00732045"/>
    <w:pPr>
      <w:spacing w:before="240"/>
    </w:pPr>
  </w:style>
  <w:style w:type="paragraph" w:customStyle="1" w:styleId="Call">
    <w:name w:val="Call"/>
    <w:basedOn w:val="Normal"/>
    <w:next w:val="Normal"/>
    <w:rsid w:val="00732045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toc0">
    <w:name w:val="toc 0"/>
    <w:basedOn w:val="Normal"/>
    <w:next w:val="TOC1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5C3890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rsid w:val="005C3890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Reasons">
    <w:name w:val="Reasons"/>
    <w:basedOn w:val="Normal"/>
    <w:qFormat/>
    <w:rsid w:val="00732045"/>
  </w:style>
  <w:style w:type="paragraph" w:customStyle="1" w:styleId="meeting">
    <w:name w:val="meeting"/>
    <w:basedOn w:val="Head"/>
    <w:next w:val="Head"/>
    <w:rsid w:val="005C389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5C3890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C46FC4"/>
    <w:pPr>
      <w:framePr w:hSpace="181" w:wrap="around" w:vAnchor="page" w:hAnchor="page" w:x="1589" w:y="2314"/>
      <w:spacing w:before="840"/>
      <w:ind w:right="-57"/>
    </w:pPr>
    <w:rPr>
      <w:rFonts w:cstheme="minorHAnsi"/>
      <w:b/>
      <w:color w:val="000000"/>
      <w:sz w:val="32"/>
      <w:szCs w:val="32"/>
    </w:rPr>
  </w:style>
  <w:style w:type="paragraph" w:customStyle="1" w:styleId="Object">
    <w:name w:val="Object"/>
    <w:basedOn w:val="Subject"/>
    <w:next w:val="Subject"/>
    <w:rsid w:val="005C3890"/>
  </w:style>
  <w:style w:type="paragraph" w:customStyle="1" w:styleId="Data">
    <w:name w:val="Data"/>
    <w:basedOn w:val="Subject"/>
    <w:next w:val="Subject"/>
    <w:rsid w:val="005C3890"/>
  </w:style>
  <w:style w:type="paragraph" w:customStyle="1" w:styleId="Headingb">
    <w:name w:val="Heading_b"/>
    <w:basedOn w:val="Heading3"/>
    <w:next w:val="Normal"/>
    <w:rsid w:val="00ED799B"/>
    <w:pPr>
      <w:spacing w:before="160"/>
      <w:ind w:left="0" w:firstLine="0"/>
      <w:outlineLvl w:val="0"/>
    </w:pPr>
  </w:style>
  <w:style w:type="paragraph" w:customStyle="1" w:styleId="Title1">
    <w:name w:val="Title 1"/>
    <w:basedOn w:val="Normal"/>
    <w:next w:val="Normalaftertitle"/>
    <w:rsid w:val="0071402E"/>
    <w:pPr>
      <w:spacing w:before="360"/>
      <w:jc w:val="center"/>
    </w:pPr>
    <w:rPr>
      <w:caps/>
    </w:rPr>
  </w:style>
  <w:style w:type="paragraph" w:customStyle="1" w:styleId="dnum">
    <w:name w:val="dnum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FirstFooter">
    <w:name w:val="FirstFooter"/>
    <w:basedOn w:val="Footer"/>
    <w:rsid w:val="00732045"/>
    <w:rPr>
      <w:caps w:val="0"/>
    </w:rPr>
  </w:style>
  <w:style w:type="paragraph" w:customStyle="1" w:styleId="Note">
    <w:name w:val="Note"/>
    <w:basedOn w:val="Normal"/>
    <w:rsid w:val="0071402E"/>
    <w:pPr>
      <w:spacing w:before="80"/>
    </w:pPr>
    <w:rPr>
      <w:sz w:val="22"/>
    </w:rPr>
  </w:style>
  <w:style w:type="paragraph" w:styleId="TOC9">
    <w:name w:val="toc 9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leader="dot" w:pos="9645"/>
      </w:tabs>
      <w:ind w:left="1920"/>
    </w:pPr>
  </w:style>
  <w:style w:type="paragraph" w:customStyle="1" w:styleId="ddate">
    <w:name w:val="ddate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character" w:styleId="Hyperlink">
    <w:name w:val="Hyperlink"/>
    <w:basedOn w:val="DefaultParagraphFont"/>
    <w:rsid w:val="00FC6D7D"/>
    <w:rPr>
      <w:rFonts w:eastAsiaTheme="minorHAnsi" w:cstheme="minorBidi"/>
      <w:color w:val="4F81BD" w:themeColor="accent1"/>
      <w:szCs w:val="22"/>
    </w:rPr>
  </w:style>
  <w:style w:type="character" w:styleId="FollowedHyperlink">
    <w:name w:val="FollowedHyperlink"/>
    <w:basedOn w:val="DefaultParagraphFont"/>
    <w:rsid w:val="005C3890"/>
    <w:rPr>
      <w:color w:val="800080"/>
      <w:u w:val="single"/>
    </w:rPr>
  </w:style>
  <w:style w:type="paragraph" w:customStyle="1" w:styleId="AnnexNo">
    <w:name w:val="Annex_No"/>
    <w:basedOn w:val="Normal"/>
    <w:next w:val="Annexref"/>
    <w:rsid w:val="00BB38C1"/>
    <w:pPr>
      <w:keepNext/>
      <w:keepLines/>
      <w:spacing w:before="72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BB38C1"/>
    <w:pPr>
      <w:keepNext/>
      <w:keepLines/>
      <w:jc w:val="center"/>
    </w:pPr>
    <w:rPr>
      <w:sz w:val="28"/>
    </w:rPr>
  </w:style>
  <w:style w:type="paragraph" w:customStyle="1" w:styleId="Annextitle">
    <w:name w:val="Annex_title"/>
    <w:basedOn w:val="Normal"/>
    <w:next w:val="Normalaftertitle"/>
    <w:rsid w:val="00BB38C1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ppendixref"/>
    <w:rsid w:val="00BB38C1"/>
  </w:style>
  <w:style w:type="paragraph" w:customStyle="1" w:styleId="Appendixref">
    <w:name w:val="Appendix_ref"/>
    <w:basedOn w:val="Annexref"/>
    <w:next w:val="Appendixtitle"/>
    <w:rsid w:val="00732045"/>
  </w:style>
  <w:style w:type="paragraph" w:customStyle="1" w:styleId="Appendixtitle">
    <w:name w:val="Appendix_title"/>
    <w:basedOn w:val="Annextitle"/>
    <w:next w:val="Normalaftertitle"/>
    <w:rsid w:val="00BB38C1"/>
  </w:style>
  <w:style w:type="paragraph" w:customStyle="1" w:styleId="Artheading">
    <w:name w:val="Art_heading"/>
    <w:basedOn w:val="Normal"/>
    <w:next w:val="Normalaftertitle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BB38C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B38C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732045"/>
  </w:style>
  <w:style w:type="paragraph" w:customStyle="1" w:styleId="Chaptitle">
    <w:name w:val="Chap_title"/>
    <w:basedOn w:val="Arttitle"/>
    <w:next w:val="Normalaftertitle"/>
    <w:rsid w:val="00732045"/>
  </w:style>
  <w:style w:type="paragraph" w:customStyle="1" w:styleId="Equationlegend">
    <w:name w:val="Equation_legend"/>
    <w:basedOn w:val="NormalIndent"/>
    <w:rsid w:val="005C3890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Normal"/>
    <w:rsid w:val="009D5955"/>
    <w:pPr>
      <w:spacing w:after="240"/>
      <w:jc w:val="center"/>
    </w:pPr>
  </w:style>
  <w:style w:type="paragraph" w:customStyle="1" w:styleId="Figurelegend">
    <w:name w:val="Figure_legend"/>
    <w:basedOn w:val="Normal"/>
    <w:next w:val="Normal"/>
    <w:rsid w:val="009D5955"/>
    <w:pPr>
      <w:spacing w:before="20" w:after="240"/>
    </w:pPr>
    <w:rPr>
      <w:sz w:val="18"/>
    </w:rPr>
  </w:style>
  <w:style w:type="paragraph" w:customStyle="1" w:styleId="TableNo">
    <w:name w:val="Table_No"/>
    <w:basedOn w:val="Normal"/>
    <w:next w:val="Tabletitle"/>
    <w:rsid w:val="0071402E"/>
    <w:pPr>
      <w:keepNext/>
      <w:keepLines/>
      <w:spacing w:before="480" w:after="120"/>
      <w:jc w:val="center"/>
    </w:pPr>
    <w:rPr>
      <w:caps/>
    </w:rPr>
  </w:style>
  <w:style w:type="paragraph" w:customStyle="1" w:styleId="Tabletitle">
    <w:name w:val="Table_title"/>
    <w:basedOn w:val="TableNo"/>
    <w:next w:val="Tabletext"/>
    <w:rsid w:val="0071402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Figuretitle">
    <w:name w:val="Figure_title"/>
    <w:basedOn w:val="Tabletitle"/>
    <w:next w:val="Normalaftertitle"/>
    <w:rsid w:val="009D5955"/>
    <w:pPr>
      <w:spacing w:before="120" w:after="0"/>
    </w:pPr>
  </w:style>
  <w:style w:type="paragraph" w:customStyle="1" w:styleId="Figurewithouttitle">
    <w:name w:val="Figure_without_title"/>
    <w:basedOn w:val="Figure"/>
    <w:next w:val="Normal"/>
    <w:rsid w:val="00ED799B"/>
  </w:style>
  <w:style w:type="paragraph" w:customStyle="1" w:styleId="Headingi">
    <w:name w:val="Heading_i"/>
    <w:basedOn w:val="Heading3"/>
    <w:next w:val="Normal"/>
    <w:rsid w:val="00ED799B"/>
    <w:pPr>
      <w:spacing w:before="160"/>
      <w:ind w:left="0" w:firstLine="0"/>
      <w:outlineLvl w:val="0"/>
    </w:pPr>
    <w:rPr>
      <w:b w:val="0"/>
      <w:i/>
    </w:rPr>
  </w:style>
  <w:style w:type="character" w:styleId="PageNumber">
    <w:name w:val="page number"/>
    <w:basedOn w:val="DefaultParagraphFont"/>
    <w:rsid w:val="00732045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5C3890"/>
  </w:style>
  <w:style w:type="paragraph" w:customStyle="1" w:styleId="Partref">
    <w:name w:val="Part_ref"/>
    <w:basedOn w:val="Annexref"/>
    <w:next w:val="Normalaftertitle"/>
    <w:rsid w:val="005C3890"/>
  </w:style>
  <w:style w:type="paragraph" w:customStyle="1" w:styleId="Parttitle">
    <w:name w:val="Part_title"/>
    <w:basedOn w:val="Annextitle"/>
    <w:next w:val="Partref"/>
    <w:rsid w:val="005C3890"/>
  </w:style>
  <w:style w:type="paragraph" w:customStyle="1" w:styleId="RecNo">
    <w:name w:val="Rec_No"/>
    <w:basedOn w:val="Normal"/>
    <w:next w:val="Rectitle"/>
    <w:rsid w:val="0071402E"/>
    <w:pPr>
      <w:keepNext/>
      <w:keepLines/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71402E"/>
    <w:pPr>
      <w:keepNext/>
      <w:keepLines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5C3890"/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5C389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71402E"/>
  </w:style>
  <w:style w:type="paragraph" w:customStyle="1" w:styleId="QuestionNo">
    <w:name w:val="Question_No"/>
    <w:basedOn w:val="RecNo"/>
    <w:next w:val="Questiontitle"/>
    <w:rsid w:val="0071402E"/>
  </w:style>
  <w:style w:type="paragraph" w:customStyle="1" w:styleId="Questionref">
    <w:name w:val="Question_ref"/>
    <w:basedOn w:val="Recref"/>
    <w:next w:val="Questiondate"/>
    <w:rsid w:val="005C3890"/>
  </w:style>
  <w:style w:type="paragraph" w:customStyle="1" w:styleId="Questiontitle">
    <w:name w:val="Question_title"/>
    <w:basedOn w:val="Rectitle"/>
    <w:next w:val="Questionref"/>
    <w:rsid w:val="005C3890"/>
  </w:style>
  <w:style w:type="paragraph" w:customStyle="1" w:styleId="Reftext">
    <w:name w:val="Ref_text"/>
    <w:basedOn w:val="Normal"/>
    <w:rsid w:val="00732045"/>
    <w:pPr>
      <w:ind w:left="567" w:hanging="567"/>
    </w:pPr>
  </w:style>
  <w:style w:type="paragraph" w:customStyle="1" w:styleId="Reftitle">
    <w:name w:val="Ref_title"/>
    <w:basedOn w:val="Normal"/>
    <w:next w:val="Reftext"/>
    <w:rsid w:val="00732045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5C3890"/>
  </w:style>
  <w:style w:type="paragraph" w:customStyle="1" w:styleId="RepNo">
    <w:name w:val="Rep_No"/>
    <w:basedOn w:val="RecNo"/>
    <w:next w:val="Reptitle"/>
    <w:rsid w:val="0071402E"/>
  </w:style>
  <w:style w:type="paragraph" w:customStyle="1" w:styleId="Repref">
    <w:name w:val="Rep_ref"/>
    <w:basedOn w:val="Recref"/>
    <w:next w:val="Repdate"/>
    <w:rsid w:val="005C3890"/>
  </w:style>
  <w:style w:type="paragraph" w:customStyle="1" w:styleId="Reptitle">
    <w:name w:val="Rep_title"/>
    <w:basedOn w:val="Rectitle"/>
    <w:next w:val="Repref"/>
    <w:rsid w:val="005C3890"/>
  </w:style>
  <w:style w:type="paragraph" w:customStyle="1" w:styleId="Resdate">
    <w:name w:val="Res_date"/>
    <w:basedOn w:val="Recdate"/>
    <w:next w:val="Normalaftertitle"/>
    <w:rsid w:val="005C3890"/>
  </w:style>
  <w:style w:type="paragraph" w:customStyle="1" w:styleId="ResNo">
    <w:name w:val="Res_No"/>
    <w:basedOn w:val="AnnexNo"/>
    <w:next w:val="Restitle"/>
    <w:rsid w:val="0071402E"/>
  </w:style>
  <w:style w:type="paragraph" w:customStyle="1" w:styleId="Resref">
    <w:name w:val="Res_ref"/>
    <w:basedOn w:val="Recref"/>
    <w:next w:val="Resdate"/>
    <w:rsid w:val="005C3890"/>
  </w:style>
  <w:style w:type="paragraph" w:customStyle="1" w:styleId="Restitle">
    <w:name w:val="Res_title"/>
    <w:basedOn w:val="Annextitle"/>
    <w:next w:val="Normal"/>
    <w:rsid w:val="00732045"/>
  </w:style>
  <w:style w:type="paragraph" w:customStyle="1" w:styleId="SectionNo">
    <w:name w:val="Section_No"/>
    <w:basedOn w:val="AnnexNo"/>
    <w:next w:val="Sectiontitle"/>
    <w:rsid w:val="0071402E"/>
  </w:style>
  <w:style w:type="paragraph" w:customStyle="1" w:styleId="Sectiontitle">
    <w:name w:val="Section_title"/>
    <w:basedOn w:val="Normal"/>
    <w:next w:val="Normalaftertitle"/>
    <w:rsid w:val="005C3890"/>
    <w:rPr>
      <w:sz w:val="28"/>
    </w:rPr>
  </w:style>
  <w:style w:type="paragraph" w:customStyle="1" w:styleId="SpecialFooter">
    <w:name w:val="Special Footer"/>
    <w:basedOn w:val="Footer"/>
    <w:rsid w:val="005C389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text">
    <w:name w:val="Table_text"/>
    <w:basedOn w:val="Normal"/>
    <w:rsid w:val="0071402E"/>
    <w:pPr>
      <w:tabs>
        <w:tab w:val="clear" w:pos="1134"/>
        <w:tab w:val="clear" w:pos="1701"/>
        <w:tab w:val="clear" w:pos="2268"/>
        <w:tab w:val="clear" w:pos="2835"/>
        <w:tab w:val="left" w:pos="284"/>
        <w:tab w:val="left" w:pos="851"/>
      </w:tabs>
      <w:spacing w:before="40" w:after="40"/>
    </w:pPr>
    <w:rPr>
      <w:sz w:val="22"/>
    </w:rPr>
  </w:style>
  <w:style w:type="paragraph" w:customStyle="1" w:styleId="Tablehead">
    <w:name w:val="Table_head"/>
    <w:basedOn w:val="Tabletext"/>
    <w:rsid w:val="0071402E"/>
    <w:pPr>
      <w:keepNext/>
      <w:keepLines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71402E"/>
    <w:pPr>
      <w:ind w:left="284" w:hanging="284"/>
    </w:pPr>
    <w:rPr>
      <w:sz w:val="20"/>
    </w:rPr>
  </w:style>
  <w:style w:type="paragraph" w:customStyle="1" w:styleId="Tableref">
    <w:name w:val="Table_ref"/>
    <w:basedOn w:val="Normal"/>
    <w:next w:val="Tabletitle"/>
    <w:rsid w:val="0071402E"/>
    <w:pPr>
      <w:keepNext/>
      <w:keepLines/>
      <w:jc w:val="center"/>
    </w:pPr>
    <w:rPr>
      <w:sz w:val="20"/>
    </w:rPr>
  </w:style>
  <w:style w:type="paragraph" w:customStyle="1" w:styleId="Title2">
    <w:name w:val="Title 2"/>
    <w:basedOn w:val="Title1"/>
    <w:next w:val="Normalaftertitle"/>
    <w:rsid w:val="006B224B"/>
    <w:pPr>
      <w:keepNext/>
      <w:keepLines/>
      <w:spacing w:before="240"/>
    </w:pPr>
    <w:rPr>
      <w:b/>
      <w:caps w:val="0"/>
    </w:rPr>
  </w:style>
  <w:style w:type="paragraph" w:customStyle="1" w:styleId="Title3">
    <w:name w:val="Title 3"/>
    <w:basedOn w:val="Title2"/>
    <w:next w:val="Normalaftertitle"/>
    <w:rsid w:val="006B224B"/>
    <w:rPr>
      <w:b w:val="0"/>
      <w:caps/>
    </w:rPr>
  </w:style>
  <w:style w:type="paragraph" w:customStyle="1" w:styleId="Title4">
    <w:name w:val="Title 4"/>
    <w:basedOn w:val="Annextitle"/>
    <w:next w:val="Normal"/>
    <w:rsid w:val="00CE5172"/>
    <w:pPr>
      <w:spacing w:after="120"/>
    </w:pPr>
    <w:rPr>
      <w:b w:val="0"/>
    </w:rPr>
  </w:style>
  <w:style w:type="paragraph" w:customStyle="1" w:styleId="FigureNo">
    <w:name w:val="Figure_No"/>
    <w:basedOn w:val="Normal"/>
    <w:next w:val="Figuretitle"/>
    <w:rsid w:val="009D5955"/>
    <w:pPr>
      <w:keepNext/>
      <w:keepLines/>
      <w:spacing w:before="480" w:after="120"/>
      <w:jc w:val="center"/>
    </w:pPr>
    <w:rPr>
      <w:caps/>
    </w:rPr>
  </w:style>
  <w:style w:type="paragraph" w:customStyle="1" w:styleId="firstfooter0">
    <w:name w:val="firstfoot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Subtitle">
    <w:name w:val="Sub_title"/>
    <w:basedOn w:val="Normal"/>
    <w:qFormat/>
    <w:rsid w:val="00A51849"/>
    <w:pPr>
      <w:framePr w:hSpace="180" w:wrap="around" w:hAnchor="page" w:x="1821" w:y="2317"/>
      <w:spacing w:after="160"/>
    </w:pPr>
    <w:rPr>
      <w:sz w:val="3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A51849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A51849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95647"/>
    <w:rPr>
      <w:rFonts w:ascii="Calibri" w:hAnsi="Calibri"/>
      <w:sz w:val="24"/>
      <w:lang w:val="fr-FR" w:eastAsia="en-US"/>
    </w:rPr>
  </w:style>
  <w:style w:type="character" w:styleId="PlaceholderText">
    <w:name w:val="Placeholder Text"/>
    <w:basedOn w:val="DefaultParagraphFont"/>
    <w:uiPriority w:val="99"/>
    <w:semiHidden/>
    <w:rsid w:val="00FC6D7D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FC6D7D"/>
    <w:rPr>
      <w:color w:val="605E5C"/>
      <w:shd w:val="clear" w:color="auto" w:fill="E1DFDD"/>
    </w:rPr>
  </w:style>
  <w:style w:type="paragraph" w:customStyle="1" w:styleId="Referencetext">
    <w:name w:val="Reference_text"/>
    <w:basedOn w:val="Normal"/>
    <w:rsid w:val="00CE5172"/>
    <w:pPr>
      <w:framePr w:hSpace="181" w:wrap="around" w:vAnchor="page" w:hAnchor="page" w:x="1589" w:y="2314"/>
      <w:spacing w:after="160"/>
    </w:pPr>
    <w:rPr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tu.int/md/S26-CL-C-0072/fr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F%20-%20ITU\SG\PF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PF_Council26.dotx</Template>
  <TotalTime>2</TotalTime>
  <Pages>3</Pages>
  <Words>855</Words>
  <Characters>4930</Characters>
  <Application>Microsoft Office Word</Application>
  <DocSecurity>0</DocSecurity>
  <Lines>109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Secrétariat général - Pool</Manager>
  <Company>Union internationale des télécommunications (UIT)</Company>
  <LinksUpToDate>false</LinksUpToDate>
  <CharactersWithSpaces>5733</CharactersWithSpaces>
  <SharedDoc>false</SharedDoc>
  <HLinks>
    <vt:vector size="6" baseType="variant">
      <vt:variant>
        <vt:i4>3342371</vt:i4>
      </vt:variant>
      <vt:variant>
        <vt:i4>24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Méthode de réexamen et de révision du montant de l'unité contributive</dc:title>
  <dc:subject>Conseil 2026 de l'UIT</dc:subject>
  <cp:keywords>C26; C2026; Council 2026; PP26</cp:keywords>
  <dc:description/>
  <cp:lastPrinted>2000-07-18T08:55:00Z</cp:lastPrinted>
  <dcterms:created xsi:type="dcterms:W3CDTF">2026-04-21T16:19:00Z</dcterms:created>
  <dcterms:modified xsi:type="dcterms:W3CDTF">2026-04-21T16:21:00Z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C17/-F</vt:lpwstr>
  </property>
  <property fmtid="{D5CDD505-2E9C-101B-9397-08002B2CF9AE}" pid="3" name="Docdate">
    <vt:lpwstr>janvier 2017</vt:lpwstr>
  </property>
  <property fmtid="{D5CDD505-2E9C-101B-9397-08002B2CF9AE}" pid="4" name="Docorlang">
    <vt:lpwstr>Original: anglais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GrammarlyDocumentId">
    <vt:lpwstr>3b117b70c20e9b2783321a6b7cab6c2f080bb257cb74c6787543e88ec12dc3bd</vt:lpwstr>
  </property>
</Properties>
</file>