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39A32977" w14:textId="77777777" w:rsidTr="00F363FE">
        <w:tc>
          <w:tcPr>
            <w:tcW w:w="6512" w:type="dxa"/>
          </w:tcPr>
          <w:p w14:paraId="033DB45A" w14:textId="7D7ADE34"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A0290C">
              <w:rPr>
                <w:rFonts w:hint="cs"/>
                <w:b/>
                <w:bCs/>
                <w:rtl/>
                <w:lang w:bidi="ar-EG"/>
              </w:rPr>
              <w:t xml:space="preserve"> </w:t>
            </w:r>
            <w:r w:rsidR="00A0290C">
              <w:rPr>
                <w:b/>
                <w:bCs/>
                <w:lang w:bidi="ar-EG"/>
              </w:rPr>
              <w:t>ADM 1</w:t>
            </w:r>
          </w:p>
        </w:tc>
        <w:tc>
          <w:tcPr>
            <w:tcW w:w="3117" w:type="dxa"/>
          </w:tcPr>
          <w:p w14:paraId="713C840F" w14:textId="5A02B22C"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proofErr w:type="spellStart"/>
            <w:r w:rsidRPr="007B0AA0">
              <w:rPr>
                <w:b/>
                <w:bCs/>
                <w:lang w:bidi="ar-EG"/>
              </w:rPr>
              <w:t>C2</w:t>
            </w:r>
            <w:r w:rsidR="000116AF">
              <w:rPr>
                <w:b/>
                <w:bCs/>
                <w:lang w:bidi="ar-EG"/>
              </w:rPr>
              <w:t>6</w:t>
            </w:r>
            <w:proofErr w:type="spellEnd"/>
            <w:r w:rsidRPr="007B0AA0">
              <w:rPr>
                <w:b/>
                <w:bCs/>
                <w:lang w:bidi="ar-EG"/>
              </w:rPr>
              <w:t>/</w:t>
            </w:r>
            <w:r w:rsidR="00A0290C">
              <w:rPr>
                <w:b/>
                <w:bCs/>
                <w:lang w:bidi="ar-EG"/>
              </w:rPr>
              <w:t>100</w:t>
            </w:r>
            <w:r w:rsidRPr="007B0AA0">
              <w:rPr>
                <w:b/>
                <w:bCs/>
                <w:lang w:bidi="ar-EG"/>
              </w:rPr>
              <w:t>-A</w:t>
            </w:r>
          </w:p>
        </w:tc>
      </w:tr>
      <w:tr w:rsidR="007B0AA0" w14:paraId="5B4316B8" w14:textId="77777777" w:rsidTr="00F363FE">
        <w:tc>
          <w:tcPr>
            <w:tcW w:w="6512" w:type="dxa"/>
          </w:tcPr>
          <w:p w14:paraId="437A87EE" w14:textId="77777777" w:rsidR="007B0AA0" w:rsidRPr="007B0AA0" w:rsidRDefault="007B0AA0" w:rsidP="00F363FE">
            <w:pPr>
              <w:spacing w:before="60" w:after="60" w:line="260" w:lineRule="exact"/>
              <w:rPr>
                <w:b/>
                <w:bCs/>
                <w:rtl/>
                <w:lang w:bidi="ar-EG"/>
              </w:rPr>
            </w:pPr>
          </w:p>
        </w:tc>
        <w:tc>
          <w:tcPr>
            <w:tcW w:w="3117" w:type="dxa"/>
          </w:tcPr>
          <w:p w14:paraId="4EBD9D29" w14:textId="0FF6BA42" w:rsidR="007B0AA0" w:rsidRPr="007B0AA0" w:rsidRDefault="00A0290C" w:rsidP="00F363FE">
            <w:pPr>
              <w:spacing w:before="60" w:after="60" w:line="260" w:lineRule="exact"/>
              <w:rPr>
                <w:b/>
                <w:bCs/>
                <w:lang w:bidi="ar-EG"/>
              </w:rPr>
            </w:pPr>
            <w:r>
              <w:rPr>
                <w:rFonts w:hint="cs"/>
                <w:b/>
                <w:bCs/>
                <w:rtl/>
                <w:lang w:bidi="ar-EG"/>
              </w:rPr>
              <w:t xml:space="preserve">14 أبريل </w:t>
            </w:r>
            <w:r>
              <w:rPr>
                <w:b/>
                <w:bCs/>
                <w:lang w:bidi="ar-EG"/>
              </w:rPr>
              <w:t>2026</w:t>
            </w:r>
          </w:p>
        </w:tc>
      </w:tr>
      <w:tr w:rsidR="007B0AA0" w14:paraId="4019EAD3" w14:textId="77777777" w:rsidTr="00F363FE">
        <w:tc>
          <w:tcPr>
            <w:tcW w:w="6512" w:type="dxa"/>
          </w:tcPr>
          <w:p w14:paraId="37CB6F1B" w14:textId="77777777" w:rsidR="007B0AA0" w:rsidRPr="007B0AA0" w:rsidRDefault="007B0AA0" w:rsidP="00F363FE">
            <w:pPr>
              <w:spacing w:before="60" w:after="60" w:line="260" w:lineRule="exact"/>
              <w:rPr>
                <w:b/>
                <w:bCs/>
                <w:rtl/>
                <w:lang w:bidi="ar-EG"/>
              </w:rPr>
            </w:pPr>
          </w:p>
        </w:tc>
        <w:tc>
          <w:tcPr>
            <w:tcW w:w="3117" w:type="dxa"/>
          </w:tcPr>
          <w:p w14:paraId="1272259E"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0889A880" w14:textId="77777777" w:rsidTr="00F363FE">
        <w:tc>
          <w:tcPr>
            <w:tcW w:w="6512" w:type="dxa"/>
          </w:tcPr>
          <w:p w14:paraId="3D5284FB" w14:textId="77777777" w:rsidR="007B0AA0" w:rsidRDefault="007B0AA0" w:rsidP="00F363FE">
            <w:pPr>
              <w:spacing w:before="60" w:after="60" w:line="260" w:lineRule="exact"/>
              <w:rPr>
                <w:lang w:bidi="ar-EG"/>
              </w:rPr>
            </w:pPr>
          </w:p>
        </w:tc>
        <w:tc>
          <w:tcPr>
            <w:tcW w:w="3117" w:type="dxa"/>
          </w:tcPr>
          <w:p w14:paraId="21C47358" w14:textId="77777777" w:rsidR="007B0AA0" w:rsidRDefault="007B0AA0" w:rsidP="00F363FE">
            <w:pPr>
              <w:spacing w:before="60" w:after="60" w:line="260" w:lineRule="exact"/>
              <w:rPr>
                <w:rtl/>
                <w:lang w:bidi="ar-EG"/>
              </w:rPr>
            </w:pPr>
          </w:p>
        </w:tc>
      </w:tr>
      <w:tr w:rsidR="007B0AA0" w14:paraId="5EA8C939" w14:textId="77777777" w:rsidTr="00EE7446">
        <w:tc>
          <w:tcPr>
            <w:tcW w:w="9629" w:type="dxa"/>
            <w:gridSpan w:val="2"/>
          </w:tcPr>
          <w:p w14:paraId="2411EC73" w14:textId="53A91AAF" w:rsidR="007B0AA0" w:rsidRDefault="00A0290C" w:rsidP="00A0290C">
            <w:pPr>
              <w:pStyle w:val="Source"/>
              <w:jc w:val="left"/>
              <w:rPr>
                <w:lang w:bidi="ar-EG"/>
              </w:rPr>
            </w:pPr>
            <w:r w:rsidRPr="00A0290C">
              <w:rPr>
                <w:rtl/>
              </w:rPr>
              <w:t>مساهمة مقدمة من جمهورية جنوب إفريقيا والمملكة المغربية وجمهورية نيجيريا الاتحادية وجمهورية السنغال وجمهورية تنزانيا المتحدة</w:t>
            </w:r>
          </w:p>
        </w:tc>
      </w:tr>
      <w:tr w:rsidR="007B0AA0" w14:paraId="0736742E" w14:textId="77777777" w:rsidTr="007B0AA0">
        <w:tc>
          <w:tcPr>
            <w:tcW w:w="9629" w:type="dxa"/>
            <w:gridSpan w:val="2"/>
            <w:tcBorders>
              <w:bottom w:val="single" w:sz="4" w:space="0" w:color="auto"/>
            </w:tcBorders>
          </w:tcPr>
          <w:p w14:paraId="0C3C7A8F" w14:textId="5FFC660E" w:rsidR="007B0AA0" w:rsidRPr="005546CF" w:rsidRDefault="00A0290C" w:rsidP="00A0290C">
            <w:pPr>
              <w:pStyle w:val="Subtitle0"/>
              <w:rPr>
                <w:sz w:val="32"/>
                <w:szCs w:val="32"/>
              </w:rPr>
            </w:pPr>
            <w:r w:rsidRPr="00A0290C">
              <w:rPr>
                <w:sz w:val="32"/>
                <w:szCs w:val="32"/>
                <w:rtl/>
                <w:lang w:bidi="ar-SA"/>
              </w:rPr>
              <w:t>منهجية استعراض ومراجعة وحدة المساهمة</w:t>
            </w:r>
          </w:p>
        </w:tc>
      </w:tr>
      <w:tr w:rsidR="007B0AA0" w14:paraId="469D9DCA" w14:textId="77777777" w:rsidTr="007B0AA0">
        <w:tc>
          <w:tcPr>
            <w:tcW w:w="9629" w:type="dxa"/>
            <w:gridSpan w:val="2"/>
            <w:tcBorders>
              <w:top w:val="single" w:sz="4" w:space="0" w:color="auto"/>
              <w:bottom w:val="single" w:sz="4" w:space="0" w:color="auto"/>
            </w:tcBorders>
          </w:tcPr>
          <w:p w14:paraId="4F13ACFA" w14:textId="77777777" w:rsidR="007B0AA0" w:rsidRPr="007B0AA0" w:rsidRDefault="007B0AA0" w:rsidP="007B0AA0">
            <w:pPr>
              <w:rPr>
                <w:b/>
                <w:bCs/>
                <w:rtl/>
              </w:rPr>
            </w:pPr>
            <w:r w:rsidRPr="00494119">
              <w:rPr>
                <w:rFonts w:hint="cs"/>
                <w:b/>
                <w:bCs/>
                <w:rtl/>
              </w:rPr>
              <w:t>الغرض</w:t>
            </w:r>
          </w:p>
          <w:p w14:paraId="40DFC95D" w14:textId="64AB6473" w:rsidR="007B0AA0" w:rsidRDefault="00A0290C" w:rsidP="00A0290C">
            <w:pPr>
              <w:rPr>
                <w:rtl/>
              </w:rPr>
            </w:pPr>
            <w:r w:rsidRPr="00A0290C">
              <w:rPr>
                <w:rtl/>
              </w:rPr>
              <w:t xml:space="preserve">تهدف هذه المساهمة إلى تعزيز المنهجية القائمة على استعراض وحدة المساهمة </w:t>
            </w:r>
            <w:r w:rsidRPr="00A0290C">
              <w:rPr>
                <w:lang w:val="en-ZA"/>
              </w:rPr>
              <w:t>(CU)</w:t>
            </w:r>
            <w:r w:rsidRPr="00A0290C">
              <w:rPr>
                <w:rtl/>
              </w:rPr>
              <w:t xml:space="preserve"> ومراجعتها.</w:t>
            </w:r>
          </w:p>
          <w:p w14:paraId="643CC6C1" w14:textId="77777777" w:rsidR="007B0AA0" w:rsidRPr="007B0AA0" w:rsidRDefault="007B0AA0" w:rsidP="007B0AA0">
            <w:pPr>
              <w:rPr>
                <w:b/>
                <w:bCs/>
                <w:rtl/>
              </w:rPr>
            </w:pPr>
            <w:r w:rsidRPr="007B0AA0">
              <w:rPr>
                <w:rFonts w:hint="cs"/>
                <w:b/>
                <w:bCs/>
                <w:rtl/>
              </w:rPr>
              <w:t>الإجراء المطلوب من المجلس</w:t>
            </w:r>
          </w:p>
          <w:p w14:paraId="0AA1CF61" w14:textId="1CDCA810" w:rsidR="007B0AA0" w:rsidRDefault="00A0290C" w:rsidP="00A0290C">
            <w:pPr>
              <w:rPr>
                <w:rtl/>
              </w:rPr>
            </w:pPr>
            <w:r w:rsidRPr="00A0290C">
              <w:rPr>
                <w:rtl/>
              </w:rPr>
              <w:t xml:space="preserve">يُدعى المجلس </w:t>
            </w:r>
            <w:r w:rsidRPr="00A0290C">
              <w:rPr>
                <w:b/>
                <w:bCs/>
                <w:rtl/>
              </w:rPr>
              <w:t>إلى</w:t>
            </w:r>
            <w:r w:rsidRPr="00A0290C">
              <w:rPr>
                <w:rtl/>
              </w:rPr>
              <w:t xml:space="preserve"> </w:t>
            </w:r>
            <w:r w:rsidRPr="00A0290C">
              <w:rPr>
                <w:b/>
                <w:bCs/>
                <w:rtl/>
              </w:rPr>
              <w:t>النظر</w:t>
            </w:r>
            <w:r w:rsidRPr="00A0290C">
              <w:rPr>
                <w:rtl/>
              </w:rPr>
              <w:t xml:space="preserve"> في هذه الوثيقة.</w:t>
            </w:r>
          </w:p>
          <w:p w14:paraId="2988CF8C"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008EE3D0" w14:textId="77777777" w:rsidR="007B0AA0" w:rsidRPr="007B0AA0" w:rsidRDefault="007B0AA0" w:rsidP="007B0AA0">
            <w:pPr>
              <w:rPr>
                <w:b/>
                <w:bCs/>
                <w:rtl/>
              </w:rPr>
            </w:pPr>
            <w:r w:rsidRPr="007B0AA0">
              <w:rPr>
                <w:rFonts w:hint="cs"/>
                <w:b/>
                <w:bCs/>
                <w:rtl/>
              </w:rPr>
              <w:t>المراجع</w:t>
            </w:r>
          </w:p>
          <w:p w14:paraId="04C64DA6" w14:textId="0E550411" w:rsidR="007B0AA0" w:rsidRPr="005546CF" w:rsidRDefault="00A0290C" w:rsidP="00A0290C">
            <w:pPr>
              <w:rPr>
                <w:i/>
                <w:iCs/>
                <w:rtl/>
              </w:rPr>
            </w:pPr>
            <w:r w:rsidRPr="00A0290C">
              <w:rPr>
                <w:i/>
                <w:iCs/>
                <w:rtl/>
              </w:rPr>
              <w:t xml:space="preserve">الوثيقة </w:t>
            </w:r>
            <w:hyperlink w:history="1">
              <w:proofErr w:type="spellStart"/>
              <w:r w:rsidRPr="00A0290C">
                <w:rPr>
                  <w:rStyle w:val="Hyperlink"/>
                  <w:i/>
                  <w:iCs/>
                  <w:noProof w:val="0"/>
                  <w:lang w:eastAsia="zh-CN"/>
                </w:rPr>
                <w:t>C26</w:t>
              </w:r>
              <w:proofErr w:type="spellEnd"/>
              <w:r w:rsidRPr="00A0290C">
                <w:rPr>
                  <w:rStyle w:val="Hyperlink"/>
                  <w:i/>
                  <w:iCs/>
                  <w:noProof w:val="0"/>
                  <w:lang w:eastAsia="zh-CN"/>
                </w:rPr>
                <w:t>/72</w:t>
              </w:r>
            </w:hyperlink>
            <w:r w:rsidRPr="00A0290C">
              <w:rPr>
                <w:i/>
                <w:iCs/>
                <w:rtl/>
              </w:rPr>
              <w:t>.</w:t>
            </w:r>
          </w:p>
        </w:tc>
      </w:tr>
    </w:tbl>
    <w:p w14:paraId="27BB3478" w14:textId="77777777" w:rsidR="00E61BE8" w:rsidRDefault="00E61BE8" w:rsidP="00E61BE8">
      <w:pPr>
        <w:rPr>
          <w:rtl/>
          <w:lang w:bidi="ar-EG"/>
        </w:rPr>
      </w:pPr>
    </w:p>
    <w:p w14:paraId="53D8B144" w14:textId="77777777" w:rsidR="00F50E3F" w:rsidRDefault="00F50E3F" w:rsidP="0043260A">
      <w:pPr>
        <w:rPr>
          <w:rtl/>
          <w:lang w:bidi="ar-EG"/>
        </w:rPr>
      </w:pPr>
      <w:r>
        <w:rPr>
          <w:rtl/>
          <w:lang w:bidi="ar-EG"/>
        </w:rPr>
        <w:br w:type="page"/>
      </w:r>
    </w:p>
    <w:p w14:paraId="18AE34A9" w14:textId="77777777" w:rsidR="00A0290C" w:rsidRPr="00A0290C" w:rsidRDefault="00A0290C" w:rsidP="00A0290C">
      <w:pPr>
        <w:pStyle w:val="Heading1"/>
        <w:rPr>
          <w:lang w:val="ar-SA" w:bidi="ar-EG"/>
        </w:rPr>
      </w:pPr>
      <w:r w:rsidRPr="00A0290C">
        <w:rPr>
          <w:rtl/>
        </w:rPr>
        <w:lastRenderedPageBreak/>
        <w:t>1</w:t>
      </w:r>
      <w:r w:rsidRPr="00A0290C">
        <w:rPr>
          <w:rtl/>
        </w:rPr>
        <w:tab/>
        <w:t>معلومات أساسية</w:t>
      </w:r>
    </w:p>
    <w:p w14:paraId="6E26EE2A" w14:textId="7EAD9D75" w:rsidR="00A0290C" w:rsidRPr="00A0290C" w:rsidRDefault="00A0290C" w:rsidP="00A0290C">
      <w:pPr>
        <w:rPr>
          <w:lang w:val="ar-SA" w:bidi="ar-EG"/>
        </w:rPr>
      </w:pPr>
      <w:r>
        <w:t>1.1</w:t>
      </w:r>
      <w:r w:rsidRPr="00A0290C">
        <w:rPr>
          <w:rtl/>
        </w:rPr>
        <w:tab/>
        <w:t xml:space="preserve">نود أن نعرب عن امتناننا لمقترح أمانة الاتحاد بالإبقاء على الوضع الراهن في الأجل القصير مع إرجاء اتخاذ القرارات الهيكلية إلى مرحلة لاحقة. إن إبقاء وحدة المساهمة </w:t>
      </w:r>
      <w:r w:rsidRPr="00A0290C">
        <w:rPr>
          <w:lang w:val="en-ZA" w:bidi="ar-EG"/>
        </w:rPr>
        <w:t>(CU)</w:t>
      </w:r>
      <w:r w:rsidRPr="00A0290C">
        <w:rPr>
          <w:rtl/>
        </w:rPr>
        <w:t xml:space="preserve"> عند </w:t>
      </w:r>
      <w:r>
        <w:t>318 000</w:t>
      </w:r>
      <w:r w:rsidRPr="00A0290C">
        <w:rPr>
          <w:rtl/>
        </w:rPr>
        <w:t xml:space="preserve"> فرنك سويسري وتأكيد عدم اقتراح أي زيادة في مؤتمر المندوبين المفوضين لعام 2026، يعكس الحساسية بالقيود المالية للدول الأعضاء والرغبة في الحفاظ على إمكانية التنبؤ. </w:t>
      </w:r>
    </w:p>
    <w:p w14:paraId="668BB8FE" w14:textId="0181259E" w:rsidR="00A0290C" w:rsidRPr="00A0290C" w:rsidRDefault="00A0290C" w:rsidP="00A0290C">
      <w:pPr>
        <w:rPr>
          <w:lang w:val="ar-SA" w:bidi="ar-EG"/>
        </w:rPr>
      </w:pPr>
      <w:r>
        <w:t>2.1</w:t>
      </w:r>
      <w:r w:rsidRPr="00A0290C">
        <w:rPr>
          <w:rtl/>
        </w:rPr>
        <w:tab/>
        <w:t xml:space="preserve">ونود أيضاً أن نشكر الأمانة على تركيزها على التدابير الداخلية مثل الانضباط المالي ومكاسب الكفاءة وتحسين مواءمة الإيرادات والنفقات. وتساعد هذه الجهود على ضمان بقائنا ضمن الحد الأقصى الحالي للميزانية، ما ينقل فعلياً العبء عن مساهمات الدول الأعضاء لتعزيز الكفاءة التنظيمية، وهي خطوة تحظى بتقدير كبير. </w:t>
      </w:r>
    </w:p>
    <w:p w14:paraId="1944CC4E" w14:textId="31A5A54D" w:rsidR="00A0290C" w:rsidRPr="00A0290C" w:rsidRDefault="00A0290C" w:rsidP="00A0290C">
      <w:pPr>
        <w:rPr>
          <w:lang w:val="ar-SA" w:bidi="ar-EG"/>
        </w:rPr>
      </w:pPr>
      <w:r>
        <w:t>3.1</w:t>
      </w:r>
      <w:r w:rsidRPr="00A0290C">
        <w:rPr>
          <w:rtl/>
        </w:rPr>
        <w:tab/>
        <w:t>وفي الفترة التي تسبق مؤتمر المندوبين المفوضين لعام 2030، ستواصل الأمانة العمل المنهجي بشأن وحدة المساهمة (التضخم والأداء والولايات الجديدة) وستنظر في التعديلات المستقبلية على أساس الأدلة بدلاً من الزيادات الفورية، وهو ما نقدره كذلك.</w:t>
      </w:r>
    </w:p>
    <w:p w14:paraId="7F5E929D" w14:textId="63637E5F" w:rsidR="00A0290C" w:rsidRPr="00A0290C" w:rsidRDefault="00A0290C" w:rsidP="00A0290C">
      <w:pPr>
        <w:rPr>
          <w:lang w:val="ar-SA" w:bidi="ar-EG"/>
        </w:rPr>
      </w:pPr>
      <w:r>
        <w:t>4.1</w:t>
      </w:r>
      <w:r w:rsidRPr="00A0290C">
        <w:rPr>
          <w:rtl/>
        </w:rPr>
        <w:tab/>
        <w:t>ويوفر المقترح المقدم من الأمانة إمكانية التنبؤ المالي للدول الأعضاء، ويبين انضباط الميزانية والمساءلة داخل الأمانة، ويتيح الوقت لوضع منهجية وحدة تنسيق أكثر قوة وشفافية. وفي الوقت نفسه، فهو يتجنب حدوث الزيادات السابقة لأوانها دون توافق في الآراء.</w:t>
      </w:r>
    </w:p>
    <w:p w14:paraId="6A2B9FC5" w14:textId="61B7457D" w:rsidR="00A0290C" w:rsidRPr="00A0290C" w:rsidRDefault="00A0290C" w:rsidP="00A0290C">
      <w:pPr>
        <w:rPr>
          <w:lang w:val="ar-SA" w:bidi="ar-EG"/>
        </w:rPr>
      </w:pPr>
      <w:r>
        <w:t>5.1</w:t>
      </w:r>
      <w:r w:rsidRPr="00A0290C">
        <w:rPr>
          <w:rtl/>
        </w:rPr>
        <w:tab/>
        <w:t xml:space="preserve">وهناك العديد من النقاط المهمة التي ينبغي مراعاتها في إطار نهج الأمانة. أولاً، قد لا يكون الاعتماد على مكاسب الكفاءة فقط كافياً إذا توسعت الولايات أو ارتفعت التكاليف هيكلياً. وبالإضافة إلى ذلك، فإن الإقرار بأن "بعض المبادرات قد لا تمول" يخاطر بنقص التنفيذ أو وجود فجوات في تحديد الأولويات. وأخيراً، يمكن أن يؤدي تأجيل تعديلات وحدة المساهمة حتى عام 2032 إلى صدمة تكيف كبيرة في المستقبل إذا تراكمت الضغوط. </w:t>
      </w:r>
    </w:p>
    <w:p w14:paraId="269D49D2" w14:textId="77777777" w:rsidR="00A0290C" w:rsidRPr="00A0290C" w:rsidRDefault="00A0290C" w:rsidP="00A0290C">
      <w:pPr>
        <w:pStyle w:val="Heading1"/>
        <w:rPr>
          <w:lang w:val="ar-SA" w:bidi="ar-EG"/>
        </w:rPr>
      </w:pPr>
      <w:r w:rsidRPr="00A0290C">
        <w:rPr>
          <w:rtl/>
        </w:rPr>
        <w:t>2</w:t>
      </w:r>
      <w:r w:rsidRPr="00A0290C">
        <w:rPr>
          <w:rtl/>
        </w:rPr>
        <w:tab/>
        <w:t xml:space="preserve">المقترح </w:t>
      </w:r>
    </w:p>
    <w:p w14:paraId="7B25BD6D" w14:textId="657E9201" w:rsidR="00A0290C" w:rsidRPr="00A0290C" w:rsidRDefault="00A0290C" w:rsidP="00A0290C">
      <w:pPr>
        <w:rPr>
          <w:lang w:val="ar-SA" w:bidi="ar-EG"/>
        </w:rPr>
      </w:pPr>
      <w:r>
        <w:t>1.2</w:t>
      </w:r>
      <w:r w:rsidRPr="00A0290C">
        <w:rPr>
          <w:rtl/>
        </w:rPr>
        <w:tab/>
        <w:t xml:space="preserve">تقترح جنوب إفريقيا أن تضع الأمانة معياراً واضحاً لما يمكن أن يؤدي إلى مراجعة وحدة المساهمة. </w:t>
      </w:r>
    </w:p>
    <w:p w14:paraId="71E0EB04" w14:textId="37B0165A" w:rsidR="00A0290C" w:rsidRPr="00A0290C" w:rsidRDefault="00A0290C" w:rsidP="00A0290C">
      <w:pPr>
        <w:rPr>
          <w:lang w:val="ar-SA" w:bidi="ar-EG"/>
        </w:rPr>
      </w:pPr>
      <w:r>
        <w:t>2.2</w:t>
      </w:r>
      <w:r w:rsidRPr="00A0290C">
        <w:rPr>
          <w:rtl/>
        </w:rPr>
        <w:tab/>
        <w:t>وينبغي للأمانة أن تضع عتبات محددة سلفاً تستدعي تلقائياً إعادة النظر في وحدة المساهمة والعتبات على سبيل المثال التالي: عجز مستمر في الميزانية على مدى سنتين متتاليتين، وانخفاض الاحتياطيات إلى ما دون مستوى أمان متفق عليه، وزيادة كبيرة في الولايات غير الممولة، وتجاوز التضخم عتبة تراكمية محددة. ومن شأن ذلك أن يساعد على تجنب حدوث صدمة مفاجئة في عام 2032 وجعل التعديلات قابلة للتنبؤ وتستند إلى القواعد بالنسبة للدول الأعضاء.</w:t>
      </w:r>
    </w:p>
    <w:p w14:paraId="5CA4F25C" w14:textId="15E980F4" w:rsidR="00A0290C" w:rsidRPr="00A0290C" w:rsidRDefault="00A0290C" w:rsidP="00A0290C">
      <w:pPr>
        <w:rPr>
          <w:lang w:val="ar-SA" w:bidi="ar-EG"/>
        </w:rPr>
      </w:pPr>
      <w:r>
        <w:t>3.2</w:t>
      </w:r>
      <w:r w:rsidRPr="00A0290C">
        <w:rPr>
          <w:rtl/>
        </w:rPr>
        <w:tab/>
        <w:t>على الأمانة أن تنظر أيضاً في استكمال الرصد السنوي وتقديم توقعات مالية متجددة على مدى 3 إلى 6 سنوات تشمل توقعات الإيرادات مقابل اتجاهات الإنفاق والآثار المترتبة على الولايات الجديدة من حيث التكلفة وتحليل السيناريوهات (خط الأساس/الإجهاد/النمو). وهذا يساعد الدول الأعضاء على رؤية علامات الإنذار المبكر بدلاً من الرد عليها في وقت متأخر.</w:t>
      </w:r>
    </w:p>
    <w:p w14:paraId="3EF2A1A4" w14:textId="30420F19" w:rsidR="00A0290C" w:rsidRPr="00A0290C" w:rsidRDefault="00A0290C" w:rsidP="00A0290C">
      <w:pPr>
        <w:rPr>
          <w:lang w:val="ar-SA" w:bidi="ar-EG"/>
        </w:rPr>
      </w:pPr>
      <w:r>
        <w:t>4.2</w:t>
      </w:r>
      <w:r w:rsidRPr="00A0290C">
        <w:rPr>
          <w:rtl/>
        </w:rPr>
        <w:tab/>
        <w:t xml:space="preserve">ولمعالجة غموض الكفاءة المشار إليه، نقترح أهدافاً كمية، مثل النسبة المئوية لتخفيض التكاليف الإدارية بمرور الوقت، ومؤشرات التكلفة لكل مخرج (على سبيل المثال، لكل مشروع أو اجتماع أو منجز) وأهداف وفورات الرقمنة، لأن ذلك سيجعل الكفاءة قابلة للتحقق وليست مجرد طموح. </w:t>
      </w:r>
    </w:p>
    <w:p w14:paraId="7D2FF1D5" w14:textId="193E73DB" w:rsidR="00A0290C" w:rsidRPr="00A0290C" w:rsidRDefault="00A0290C" w:rsidP="00A0290C">
      <w:pPr>
        <w:rPr>
          <w:lang w:val="ar-SA" w:bidi="ar-EG"/>
        </w:rPr>
      </w:pPr>
      <w:r>
        <w:t>5.2</w:t>
      </w:r>
      <w:r w:rsidRPr="00A0290C">
        <w:rPr>
          <w:rtl/>
        </w:rPr>
        <w:tab/>
        <w:t xml:space="preserve">تقديم تقارير أكثر تنظيماً إلى المجلس من خلال "لوحة معلومات كفاية وحدة المساهمة" السنوية بما في ذلك مؤشرات الصحة المالية، والإنجاز مقابل الولايات، ومكاسب الكفاءة المحققة، وبيان واضح بالمقايضات، وما الذي لا يجري تمويله ولماذا، لأن ذلك سيسمح للدول الأعضاء باتخاذ قرارات مستنيرة في وقت لاحق. </w:t>
      </w:r>
    </w:p>
    <w:p w14:paraId="6D466CAA" w14:textId="01F2CCE8" w:rsidR="00F50E3F" w:rsidRDefault="00A0290C" w:rsidP="00A0290C">
      <w:pPr>
        <w:rPr>
          <w:lang w:bidi="ar-EG"/>
        </w:rPr>
      </w:pPr>
      <w:r>
        <w:t>6.2</w:t>
      </w:r>
      <w:r w:rsidRPr="00A0290C">
        <w:rPr>
          <w:rtl/>
        </w:rPr>
        <w:tab/>
        <w:t>وفي الختام، فإن الأمانة تتبع نهجاً حكيماً، ولكن لضمان الاستدامة، ينبغي استكماله بمحفزات واضحة وتخطيط استشرافي وأهداف كفاءة قابلة للقياس وترتيب منظم للأولويات. وبدون هذه الخطوات، هناك خطر تأجيل الضغط المالي، ونقص التن</w:t>
      </w:r>
      <w:r>
        <w:rPr>
          <w:rFonts w:hint="cs"/>
          <w:rtl/>
        </w:rPr>
        <w:t>ف</w:t>
      </w:r>
      <w:r w:rsidRPr="00A0290C">
        <w:rPr>
          <w:rtl/>
        </w:rPr>
        <w:t>يذ، واحتمال الحاجة المفاجئة إلى التعديل في المستقبل.</w:t>
      </w:r>
    </w:p>
    <w:p w14:paraId="41C3A819"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8"/>
      <w:headerReference w:type="first" r:id="rId9"/>
      <w:footerReference w:type="first" r:id="rId1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66CB" w14:textId="77777777" w:rsidR="003D4B6F" w:rsidRDefault="003D4B6F" w:rsidP="006C3242">
      <w:pPr>
        <w:spacing w:before="0" w:line="240" w:lineRule="auto"/>
      </w:pPr>
      <w:r>
        <w:separator/>
      </w:r>
    </w:p>
  </w:endnote>
  <w:endnote w:type="continuationSeparator" w:id="0">
    <w:p w14:paraId="3EB3CA3B" w14:textId="77777777" w:rsidR="003D4B6F" w:rsidRDefault="003D4B6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1A456E2D" w14:textId="77777777" w:rsidTr="00A67F05">
      <w:trPr>
        <w:jc w:val="center"/>
      </w:trPr>
      <w:tc>
        <w:tcPr>
          <w:tcW w:w="868" w:type="pct"/>
          <w:vAlign w:val="center"/>
        </w:tcPr>
        <w:p w14:paraId="58CC279E" w14:textId="3FE7D80A" w:rsidR="00F50E3F" w:rsidRPr="007B0AA0" w:rsidRDefault="00A0290C"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2600988</w:t>
          </w:r>
        </w:p>
      </w:tc>
      <w:tc>
        <w:tcPr>
          <w:tcW w:w="3912" w:type="pct"/>
        </w:tcPr>
        <w:p w14:paraId="2B18B097" w14:textId="5393B59B"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A0290C">
            <w:rPr>
              <w:rFonts w:ascii="Calibri" w:hAnsi="Calibri" w:cs="Arial"/>
              <w:bCs/>
              <w:color w:val="7F7F7F"/>
              <w:sz w:val="18"/>
            </w:rPr>
            <w:t>100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D3B62AD"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4A07A67"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79ED988" w14:textId="77777777" w:rsidTr="00A67F05">
      <w:trPr>
        <w:jc w:val="center"/>
      </w:trPr>
      <w:tc>
        <w:tcPr>
          <w:tcW w:w="1013" w:type="pct"/>
          <w:vAlign w:val="center"/>
        </w:tcPr>
        <w:p w14:paraId="554C6E40"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702E788B" w14:textId="6242E046"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A0290C">
            <w:rPr>
              <w:rFonts w:ascii="Calibri" w:hAnsi="Calibri" w:cs="Arial"/>
              <w:bCs/>
              <w:color w:val="7F7F7F"/>
              <w:sz w:val="18"/>
            </w:rPr>
            <w:t>100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1D370E5"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40C162A"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A81E" w14:textId="77777777" w:rsidR="003D4B6F" w:rsidRDefault="003D4B6F" w:rsidP="006C3242">
      <w:pPr>
        <w:spacing w:before="0" w:line="240" w:lineRule="auto"/>
      </w:pPr>
      <w:r>
        <w:separator/>
      </w:r>
    </w:p>
  </w:footnote>
  <w:footnote w:type="continuationSeparator" w:id="0">
    <w:p w14:paraId="0150D7AE" w14:textId="77777777" w:rsidR="003D4B6F" w:rsidRDefault="003D4B6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6D94" w14:textId="77777777" w:rsidR="001A3E13" w:rsidRPr="00057769" w:rsidRDefault="001A3E13" w:rsidP="001A3E13">
    <w:pPr>
      <w:pStyle w:val="Header"/>
    </w:pPr>
    <w:r>
      <w:rPr>
        <w:noProof/>
      </w:rPr>
      <w:drawing>
        <wp:inline distT="0" distB="0" distL="0" distR="0" wp14:anchorId="439484D9" wp14:editId="33B96148">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6F"/>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1038"/>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D4B6F"/>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2635B"/>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0290C"/>
    <w:rsid w:val="00A47A5A"/>
    <w:rsid w:val="00A63AE6"/>
    <w:rsid w:val="00A6683B"/>
    <w:rsid w:val="00A67F05"/>
    <w:rsid w:val="00A97F94"/>
    <w:rsid w:val="00AA7EA2"/>
    <w:rsid w:val="00AB5A56"/>
    <w:rsid w:val="00B03099"/>
    <w:rsid w:val="00B05BC8"/>
    <w:rsid w:val="00B30F5E"/>
    <w:rsid w:val="00B46D76"/>
    <w:rsid w:val="00B64B47"/>
    <w:rsid w:val="00B95654"/>
    <w:rsid w:val="00B97F32"/>
    <w:rsid w:val="00BA04B2"/>
    <w:rsid w:val="00C002DE"/>
    <w:rsid w:val="00C0599D"/>
    <w:rsid w:val="00C0602B"/>
    <w:rsid w:val="00C224DA"/>
    <w:rsid w:val="00C53BF8"/>
    <w:rsid w:val="00C66157"/>
    <w:rsid w:val="00C674FE"/>
    <w:rsid w:val="00C67501"/>
    <w:rsid w:val="00C75633"/>
    <w:rsid w:val="00CB7D9A"/>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B3B7F"/>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61A99"/>
  <w15:chartTrackingRefBased/>
  <w15:docId w15:val="{FB491E20-8D88-4BBD-88EF-C222629D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2</Pages>
  <Words>589</Words>
  <Characters>3221</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for review and revision of the contributory unit</dc:title>
  <dc:subject>ITU Council 2026</dc:subject>
  <cp:keywords>C26; C2026; Council 2026; PP26</cp:keywords>
  <dc:description/>
  <dcterms:created xsi:type="dcterms:W3CDTF">2026-04-29T14:07:00Z</dcterms:created>
  <dcterms:modified xsi:type="dcterms:W3CDTF">2026-04-29T14:08:00Z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