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7C5F8A" w14:paraId="05A90AD5" w14:textId="77777777" w:rsidTr="00796BDB">
        <w:trPr>
          <w:cantSplit/>
          <w:trHeight w:val="23"/>
        </w:trPr>
        <w:tc>
          <w:tcPr>
            <w:tcW w:w="3969" w:type="dxa"/>
            <w:vMerge w:val="restart"/>
            <w:tcMar>
              <w:left w:w="0" w:type="dxa"/>
            </w:tcMar>
          </w:tcPr>
          <w:p w14:paraId="782A5E55" w14:textId="57A49F1E" w:rsidR="00D72F49" w:rsidRPr="007C5F8A" w:rsidRDefault="00D72F49" w:rsidP="00796BDB">
            <w:pPr>
              <w:tabs>
                <w:tab w:val="left" w:pos="851"/>
              </w:tabs>
              <w:spacing w:before="0" w:line="240" w:lineRule="atLeast"/>
              <w:rPr>
                <w:b/>
              </w:rPr>
            </w:pPr>
            <w:r w:rsidRPr="007C5F8A">
              <w:rPr>
                <w:b/>
              </w:rPr>
              <w:t xml:space="preserve">Point de l'ordre du </w:t>
            </w:r>
            <w:proofErr w:type="gramStart"/>
            <w:r w:rsidRPr="007C5F8A">
              <w:rPr>
                <w:b/>
              </w:rPr>
              <w:t>jour:</w:t>
            </w:r>
            <w:proofErr w:type="gramEnd"/>
            <w:r w:rsidR="004B45DD" w:rsidRPr="007C5F8A">
              <w:rPr>
                <w:b/>
              </w:rPr>
              <w:t xml:space="preserve"> </w:t>
            </w:r>
            <w:proofErr w:type="spellStart"/>
            <w:r w:rsidR="004B45DD" w:rsidRPr="007C5F8A">
              <w:rPr>
                <w:b/>
              </w:rPr>
              <w:t>PL</w:t>
            </w:r>
            <w:r w:rsidR="00600601">
              <w:rPr>
                <w:b/>
              </w:rPr>
              <w:t>-</w:t>
            </w:r>
            <w:r w:rsidR="004B45DD" w:rsidRPr="007C5F8A">
              <w:rPr>
                <w:b/>
              </w:rPr>
              <w:t>2</w:t>
            </w:r>
            <w:proofErr w:type="spellEnd"/>
          </w:p>
        </w:tc>
        <w:tc>
          <w:tcPr>
            <w:tcW w:w="5245" w:type="dxa"/>
          </w:tcPr>
          <w:p w14:paraId="0C71D29A" w14:textId="5BBCD0C1" w:rsidR="00D72F49" w:rsidRPr="007C5F8A" w:rsidRDefault="00D72F49" w:rsidP="00796BDB">
            <w:pPr>
              <w:tabs>
                <w:tab w:val="left" w:pos="851"/>
              </w:tabs>
              <w:spacing w:before="0" w:line="240" w:lineRule="atLeast"/>
              <w:jc w:val="right"/>
              <w:rPr>
                <w:b/>
              </w:rPr>
            </w:pPr>
            <w:r w:rsidRPr="007C5F8A">
              <w:rPr>
                <w:b/>
              </w:rPr>
              <w:t>Document C2</w:t>
            </w:r>
            <w:r w:rsidR="00E4448E" w:rsidRPr="007C5F8A">
              <w:rPr>
                <w:b/>
              </w:rPr>
              <w:t>6</w:t>
            </w:r>
            <w:r w:rsidRPr="007C5F8A">
              <w:rPr>
                <w:b/>
              </w:rPr>
              <w:t>/</w:t>
            </w:r>
            <w:r w:rsidR="004B45DD" w:rsidRPr="007C5F8A">
              <w:rPr>
                <w:b/>
              </w:rPr>
              <w:t>99</w:t>
            </w:r>
            <w:r w:rsidRPr="007C5F8A">
              <w:rPr>
                <w:b/>
              </w:rPr>
              <w:t>-F</w:t>
            </w:r>
          </w:p>
        </w:tc>
      </w:tr>
      <w:tr w:rsidR="00D72F49" w:rsidRPr="007C5F8A" w14:paraId="51DF60DE" w14:textId="77777777" w:rsidTr="00796BDB">
        <w:trPr>
          <w:cantSplit/>
        </w:trPr>
        <w:tc>
          <w:tcPr>
            <w:tcW w:w="3969" w:type="dxa"/>
            <w:vMerge/>
          </w:tcPr>
          <w:p w14:paraId="4111394A" w14:textId="77777777" w:rsidR="00D72F49" w:rsidRPr="007C5F8A" w:rsidRDefault="00D72F49" w:rsidP="00796BDB">
            <w:pPr>
              <w:tabs>
                <w:tab w:val="left" w:pos="851"/>
              </w:tabs>
              <w:spacing w:line="240" w:lineRule="atLeast"/>
              <w:rPr>
                <w:b/>
              </w:rPr>
            </w:pPr>
          </w:p>
        </w:tc>
        <w:tc>
          <w:tcPr>
            <w:tcW w:w="5245" w:type="dxa"/>
          </w:tcPr>
          <w:p w14:paraId="4CCF904B" w14:textId="0EB8ABD3" w:rsidR="00D72F49" w:rsidRPr="007C5F8A" w:rsidRDefault="004B45DD" w:rsidP="00796BDB">
            <w:pPr>
              <w:tabs>
                <w:tab w:val="left" w:pos="851"/>
              </w:tabs>
              <w:spacing w:before="0"/>
              <w:jc w:val="right"/>
              <w:rPr>
                <w:b/>
              </w:rPr>
            </w:pPr>
            <w:r w:rsidRPr="007C5F8A">
              <w:rPr>
                <w:b/>
              </w:rPr>
              <w:t>14 avril 2026</w:t>
            </w:r>
          </w:p>
        </w:tc>
      </w:tr>
      <w:tr w:rsidR="00D72F49" w:rsidRPr="007C5F8A" w14:paraId="65776E33" w14:textId="77777777" w:rsidTr="00796BDB">
        <w:trPr>
          <w:cantSplit/>
          <w:trHeight w:val="23"/>
        </w:trPr>
        <w:tc>
          <w:tcPr>
            <w:tcW w:w="3969" w:type="dxa"/>
            <w:vMerge/>
          </w:tcPr>
          <w:p w14:paraId="0193F367" w14:textId="77777777" w:rsidR="00D72F49" w:rsidRPr="007C5F8A" w:rsidRDefault="00D72F49" w:rsidP="00796BDB">
            <w:pPr>
              <w:tabs>
                <w:tab w:val="left" w:pos="851"/>
              </w:tabs>
              <w:spacing w:line="240" w:lineRule="atLeast"/>
              <w:rPr>
                <w:b/>
              </w:rPr>
            </w:pPr>
          </w:p>
        </w:tc>
        <w:tc>
          <w:tcPr>
            <w:tcW w:w="5245" w:type="dxa"/>
          </w:tcPr>
          <w:p w14:paraId="23ED6639" w14:textId="77777777" w:rsidR="00D72F49" w:rsidRPr="007C5F8A" w:rsidRDefault="00D72F49" w:rsidP="00796BDB">
            <w:pPr>
              <w:tabs>
                <w:tab w:val="left" w:pos="851"/>
              </w:tabs>
              <w:spacing w:before="0" w:line="240" w:lineRule="atLeast"/>
              <w:jc w:val="right"/>
              <w:rPr>
                <w:b/>
              </w:rPr>
            </w:pPr>
            <w:r w:rsidRPr="007C5F8A">
              <w:rPr>
                <w:b/>
              </w:rPr>
              <w:t>Original: anglais</w:t>
            </w:r>
          </w:p>
        </w:tc>
      </w:tr>
      <w:tr w:rsidR="00D72F49" w:rsidRPr="007C5F8A" w14:paraId="7C50BADA" w14:textId="77777777" w:rsidTr="00796BDB">
        <w:trPr>
          <w:cantSplit/>
          <w:trHeight w:val="23"/>
        </w:trPr>
        <w:tc>
          <w:tcPr>
            <w:tcW w:w="3969" w:type="dxa"/>
          </w:tcPr>
          <w:p w14:paraId="31CB8989" w14:textId="77777777" w:rsidR="00D72F49" w:rsidRPr="007C5F8A" w:rsidRDefault="00D72F49" w:rsidP="00796BDB">
            <w:pPr>
              <w:tabs>
                <w:tab w:val="left" w:pos="851"/>
              </w:tabs>
              <w:spacing w:line="240" w:lineRule="atLeast"/>
              <w:rPr>
                <w:b/>
              </w:rPr>
            </w:pPr>
          </w:p>
        </w:tc>
        <w:tc>
          <w:tcPr>
            <w:tcW w:w="5245" w:type="dxa"/>
          </w:tcPr>
          <w:p w14:paraId="6868173F" w14:textId="77777777" w:rsidR="00D72F49" w:rsidRPr="007C5F8A" w:rsidRDefault="00D72F49" w:rsidP="00796BDB">
            <w:pPr>
              <w:tabs>
                <w:tab w:val="left" w:pos="851"/>
              </w:tabs>
              <w:spacing w:before="0" w:line="240" w:lineRule="atLeast"/>
              <w:jc w:val="right"/>
              <w:rPr>
                <w:b/>
              </w:rPr>
            </w:pPr>
          </w:p>
        </w:tc>
      </w:tr>
      <w:tr w:rsidR="004B45DD" w:rsidRPr="007C5F8A" w14:paraId="3CD7A315" w14:textId="77777777" w:rsidTr="00796BDB">
        <w:trPr>
          <w:cantSplit/>
        </w:trPr>
        <w:tc>
          <w:tcPr>
            <w:tcW w:w="9214" w:type="dxa"/>
            <w:gridSpan w:val="2"/>
            <w:tcMar>
              <w:left w:w="0" w:type="dxa"/>
            </w:tcMar>
          </w:tcPr>
          <w:p w14:paraId="401D3DC6" w14:textId="078B744A" w:rsidR="004B45DD" w:rsidRPr="00600601" w:rsidRDefault="004B45DD" w:rsidP="00600601">
            <w:pPr>
              <w:pStyle w:val="Source"/>
              <w:framePr w:hSpace="0" w:wrap="auto" w:vAnchor="margin" w:hAnchor="text" w:xAlign="left" w:yAlign="inline"/>
            </w:pPr>
            <w:r w:rsidRPr="00600601">
              <w:t>Contribution de l'Arabie Saoudite (Royaume d')</w:t>
            </w:r>
            <w:r w:rsidR="00203E86" w:rsidRPr="00600601">
              <w:t xml:space="preserve">, </w:t>
            </w:r>
            <w:r w:rsidR="00615996" w:rsidRPr="00600601">
              <w:br/>
            </w:r>
            <w:r w:rsidR="005F092D" w:rsidRPr="00600601">
              <w:t>Maroc (Royaume du)</w:t>
            </w:r>
            <w:r w:rsidR="00203E86" w:rsidRPr="00600601">
              <w:t xml:space="preserve"> et </w:t>
            </w:r>
            <w:r w:rsidR="005F092D" w:rsidRPr="00600601">
              <w:t>Sudafricaine (République)</w:t>
            </w:r>
          </w:p>
        </w:tc>
      </w:tr>
      <w:tr w:rsidR="004B45DD" w:rsidRPr="007C5F8A" w14:paraId="6246AF9B" w14:textId="77777777" w:rsidTr="00796BDB">
        <w:trPr>
          <w:cantSplit/>
        </w:trPr>
        <w:tc>
          <w:tcPr>
            <w:tcW w:w="9214" w:type="dxa"/>
            <w:gridSpan w:val="2"/>
            <w:tcMar>
              <w:left w:w="0" w:type="dxa"/>
            </w:tcMar>
          </w:tcPr>
          <w:p w14:paraId="3798216A" w14:textId="75AE7030" w:rsidR="004B45DD" w:rsidRPr="007C5F8A" w:rsidRDefault="005B1A25" w:rsidP="004B45DD">
            <w:pPr>
              <w:pStyle w:val="Subtitle"/>
              <w:framePr w:hSpace="0" w:wrap="auto" w:hAnchor="text" w:xAlign="left" w:yAlign="inline"/>
              <w:rPr>
                <w:sz w:val="32"/>
                <w:szCs w:val="32"/>
                <w:lang w:val="fr-FR"/>
              </w:rPr>
            </w:pPr>
            <w:r w:rsidRPr="007C5F8A">
              <w:rPr>
                <w:rFonts w:cstheme="minorHAnsi"/>
                <w:sz w:val="32"/>
                <w:szCs w:val="32"/>
                <w:lang w:val="fr-FR"/>
              </w:rPr>
              <w:t>AMÉLIORATION DE L'EFFICACITÉ DU GROUPE DE TRAVAIL DU CONSEIL SUR LES QUESTIONS DE POLITIQUES PUBLIQUES INTERNATIONALES RELATIVES À L'INTERNET</w:t>
            </w:r>
          </w:p>
        </w:tc>
      </w:tr>
      <w:tr w:rsidR="004B45DD" w:rsidRPr="007C5F8A" w14:paraId="2E94A1D2" w14:textId="77777777" w:rsidTr="00796BDB">
        <w:trPr>
          <w:cantSplit/>
        </w:trPr>
        <w:tc>
          <w:tcPr>
            <w:tcW w:w="9214" w:type="dxa"/>
            <w:gridSpan w:val="2"/>
            <w:tcBorders>
              <w:top w:val="single" w:sz="4" w:space="0" w:color="auto"/>
              <w:bottom w:val="single" w:sz="4" w:space="0" w:color="auto"/>
            </w:tcBorders>
            <w:tcMar>
              <w:left w:w="0" w:type="dxa"/>
            </w:tcMar>
          </w:tcPr>
          <w:p w14:paraId="4CCBADD1" w14:textId="77777777" w:rsidR="004B45DD" w:rsidRPr="007C5F8A" w:rsidRDefault="004B45DD" w:rsidP="004B45DD">
            <w:pPr>
              <w:spacing w:before="160"/>
              <w:rPr>
                <w:b/>
                <w:bCs/>
                <w:sz w:val="26"/>
                <w:szCs w:val="26"/>
              </w:rPr>
            </w:pPr>
            <w:r w:rsidRPr="007C5F8A">
              <w:rPr>
                <w:b/>
                <w:bCs/>
                <w:sz w:val="26"/>
                <w:szCs w:val="26"/>
              </w:rPr>
              <w:t>Objet</w:t>
            </w:r>
          </w:p>
          <w:p w14:paraId="3CD802F8" w14:textId="1DE57FF5" w:rsidR="004B45DD" w:rsidRPr="007C5F8A" w:rsidRDefault="004B45DD" w:rsidP="00600601">
            <w:pPr>
              <w:jc w:val="both"/>
            </w:pPr>
            <w:r w:rsidRPr="007C5F8A">
              <w:t>La présente contribution vise à mettre en lumière la nécessité d'aligner davantage les travaux du Groupe de travail du Conseil sur les questions de politiques publiques internationales relatives à l'Internet (GTC-Internet) sur son mandat, notamment en ce qui concerne l'élaboration de produits concrets traitant des questions de politiques publiques internationales relatives à l'Internet.</w:t>
            </w:r>
          </w:p>
          <w:p w14:paraId="45F6A7FB" w14:textId="77777777" w:rsidR="004B45DD" w:rsidRPr="007C5F8A" w:rsidRDefault="004B45DD" w:rsidP="004B45DD">
            <w:pPr>
              <w:spacing w:before="160"/>
              <w:rPr>
                <w:b/>
                <w:bCs/>
                <w:sz w:val="26"/>
                <w:szCs w:val="26"/>
              </w:rPr>
            </w:pPr>
            <w:r w:rsidRPr="007C5F8A">
              <w:rPr>
                <w:b/>
                <w:bCs/>
                <w:sz w:val="26"/>
                <w:szCs w:val="26"/>
              </w:rPr>
              <w:t>Suite à donner par le Conseil</w:t>
            </w:r>
          </w:p>
          <w:p w14:paraId="22971164" w14:textId="46792DFB" w:rsidR="004B45DD" w:rsidRPr="007C5F8A" w:rsidRDefault="004B45DD" w:rsidP="00600601">
            <w:pPr>
              <w:jc w:val="both"/>
            </w:pPr>
            <w:r w:rsidRPr="007C5F8A">
              <w:t xml:space="preserve">Le Conseil est invité </w:t>
            </w:r>
            <w:r w:rsidRPr="007C5F8A">
              <w:rPr>
                <w:b/>
                <w:bCs/>
              </w:rPr>
              <w:t>à examiner</w:t>
            </w:r>
            <w:r w:rsidRPr="007C5F8A">
              <w:t xml:space="preserve"> la présente contribution et </w:t>
            </w:r>
            <w:r w:rsidRPr="007C5F8A">
              <w:rPr>
                <w:b/>
                <w:bCs/>
              </w:rPr>
              <w:t>à fournir des orientations</w:t>
            </w:r>
            <w:r w:rsidRPr="007C5F8A">
              <w:t xml:space="preserve"> sur l'amélioration de l'efficacité du GTC-Internet, notamment sa capacité à produire des résultats de fond conformément à son mandat.</w:t>
            </w:r>
          </w:p>
          <w:p w14:paraId="3DAE9712" w14:textId="77777777" w:rsidR="004B45DD" w:rsidRPr="007C5F8A" w:rsidRDefault="004B45DD" w:rsidP="004B45DD">
            <w:pPr>
              <w:spacing w:before="160"/>
              <w:rPr>
                <w:caps/>
                <w:sz w:val="22"/>
              </w:rPr>
            </w:pPr>
            <w:r w:rsidRPr="007C5F8A">
              <w:rPr>
                <w:sz w:val="22"/>
              </w:rPr>
              <w:t>__________________</w:t>
            </w:r>
          </w:p>
          <w:p w14:paraId="6DE66C52" w14:textId="77777777" w:rsidR="004B45DD" w:rsidRPr="007C5F8A" w:rsidRDefault="004B45DD" w:rsidP="004B45DD">
            <w:pPr>
              <w:spacing w:before="160"/>
              <w:rPr>
                <w:b/>
                <w:bCs/>
                <w:sz w:val="26"/>
                <w:szCs w:val="26"/>
              </w:rPr>
            </w:pPr>
            <w:r w:rsidRPr="007C5F8A">
              <w:rPr>
                <w:b/>
                <w:bCs/>
                <w:sz w:val="26"/>
                <w:szCs w:val="26"/>
              </w:rPr>
              <w:t>Références</w:t>
            </w:r>
          </w:p>
          <w:p w14:paraId="3BD67D60" w14:textId="4A00C97F" w:rsidR="004B45DD" w:rsidRPr="00600601" w:rsidRDefault="007C5F8A" w:rsidP="004B45DD">
            <w:pPr>
              <w:pStyle w:val="Referencetext"/>
              <w:framePr w:hSpace="0" w:wrap="auto" w:vAnchor="margin" w:hAnchor="text" w:xAlign="left" w:yAlign="inline"/>
            </w:pPr>
            <w:hyperlink r:id="rId7" w:history="1">
              <w:r w:rsidRPr="00600601">
                <w:rPr>
                  <w:rStyle w:val="Hyperlink"/>
                  <w:rFonts w:eastAsia="Times New Roman" w:cs="Times New Roman"/>
                </w:rPr>
                <w:t>Document C26/52</w:t>
              </w:r>
            </w:hyperlink>
            <w:r w:rsidRPr="00600601">
              <w:rPr>
                <w:rStyle w:val="Hyperlink"/>
                <w:rFonts w:eastAsia="Times New Roman" w:cs="Times New Roman"/>
                <w:color w:val="auto"/>
              </w:rPr>
              <w:t xml:space="preserve"> du Conseil</w:t>
            </w:r>
          </w:p>
        </w:tc>
      </w:tr>
    </w:tbl>
    <w:p w14:paraId="771E423D" w14:textId="77777777" w:rsidR="00A51849" w:rsidRPr="007C5F8A" w:rsidRDefault="00A51849">
      <w:pPr>
        <w:tabs>
          <w:tab w:val="clear" w:pos="567"/>
          <w:tab w:val="clear" w:pos="1134"/>
          <w:tab w:val="clear" w:pos="1701"/>
          <w:tab w:val="clear" w:pos="2268"/>
          <w:tab w:val="clear" w:pos="2835"/>
        </w:tabs>
        <w:overflowPunct/>
        <w:autoSpaceDE/>
        <w:autoSpaceDN/>
        <w:adjustRightInd/>
        <w:spacing w:before="0"/>
        <w:textAlignment w:val="auto"/>
      </w:pPr>
      <w:r w:rsidRPr="007C5F8A">
        <w:br w:type="page"/>
      </w:r>
    </w:p>
    <w:p w14:paraId="6702EBBF" w14:textId="77777777" w:rsidR="004B45DD" w:rsidRPr="007C5F8A" w:rsidRDefault="004B45DD" w:rsidP="005B1A25">
      <w:pPr>
        <w:pStyle w:val="Headingb"/>
      </w:pPr>
      <w:r w:rsidRPr="007C5F8A">
        <w:lastRenderedPageBreak/>
        <w:t>Introduction</w:t>
      </w:r>
    </w:p>
    <w:p w14:paraId="761AFB37" w14:textId="4B8DAD65" w:rsidR="004B45DD" w:rsidRPr="005B1A25" w:rsidRDefault="004B45DD" w:rsidP="005B1A25">
      <w:pPr>
        <w:spacing w:before="80"/>
        <w:jc w:val="both"/>
        <w:rPr>
          <w:spacing w:val="-2"/>
        </w:rPr>
      </w:pPr>
      <w:r w:rsidRPr="005B1A25">
        <w:rPr>
          <w:spacing w:val="-2"/>
        </w:rPr>
        <w:t>Nous tenons à remercier le Président, les Vice-Présidents, le Secrétariat général et tous les États Membres de l'UIT pour leur précieuse contribution aux travaux du Groupe de travail du Conseil sur les questions de politiques publiques internationales relatives à l'Internet (GTC</w:t>
      </w:r>
      <w:r w:rsidRPr="005B1A25">
        <w:rPr>
          <w:spacing w:val="-2"/>
        </w:rPr>
        <w:noBreakHyphen/>
        <w:t>Internet).</w:t>
      </w:r>
    </w:p>
    <w:p w14:paraId="04245E5A" w14:textId="77777777" w:rsidR="004B45DD" w:rsidRPr="007C5F8A" w:rsidRDefault="004B45DD" w:rsidP="005B1A25">
      <w:pPr>
        <w:spacing w:before="80"/>
        <w:jc w:val="both"/>
      </w:pPr>
      <w:r w:rsidRPr="007C5F8A">
        <w:t>Le GTC-Internet a été créé en application de la Résolution 1336 (Mod. 2019) du Conseil, et a pour mandat d'examiner les questions de politiques publiques internationales relatives à l'Internet dans le cadre défini par la Résolution 1305 (Mod. 2019) du Conseil.</w:t>
      </w:r>
    </w:p>
    <w:p w14:paraId="02444F6E" w14:textId="50EAA59F" w:rsidR="004B45DD" w:rsidRPr="007C5F8A" w:rsidRDefault="004B45DD" w:rsidP="005B1A25">
      <w:pPr>
        <w:spacing w:before="80"/>
        <w:jc w:val="both"/>
      </w:pPr>
      <w:r w:rsidRPr="007C5F8A">
        <w:t>Ces quatre dernières années, le GTC-Internet a poursuivi ses travaux en tenant des réunions régulières et des consultations ouvertes. Dans ce contexte, le rapport quadriennal soumis au Conseil de l'UIT à sa session de 2026 (</w:t>
      </w:r>
      <w:hyperlink r:id="rId8" w:history="1">
        <w:r w:rsidRPr="007C5F8A">
          <w:rPr>
            <w:rStyle w:val="Hyperlink"/>
            <w:rFonts w:eastAsia="Times New Roman" w:cs="Times New Roman"/>
            <w:szCs w:val="20"/>
          </w:rPr>
          <w:t>C26/52</w:t>
        </w:r>
      </w:hyperlink>
      <w:r w:rsidRPr="007C5F8A">
        <w:t>) donne un aperçu clair des activités du Groupe, notamment en ce qui concerne l'organisation des consultations ouvertes successives.</w:t>
      </w:r>
    </w:p>
    <w:p w14:paraId="11A7F34C" w14:textId="77777777" w:rsidR="004B45DD" w:rsidRPr="007C5F8A" w:rsidRDefault="004B45DD" w:rsidP="005B1A25">
      <w:pPr>
        <w:spacing w:before="80"/>
        <w:jc w:val="both"/>
      </w:pPr>
      <w:r w:rsidRPr="007C5F8A">
        <w:t>Bien que ces consultations représentent un aspect important et précieux des travaux du Groupe, elles ne constituent qu'un élément de son mandat global.</w:t>
      </w:r>
    </w:p>
    <w:p w14:paraId="732D7743" w14:textId="77777777" w:rsidR="004B45DD" w:rsidRPr="007C5F8A" w:rsidRDefault="004B45DD" w:rsidP="005B1A25">
      <w:pPr>
        <w:pStyle w:val="Headingb"/>
        <w:spacing w:before="160"/>
      </w:pPr>
      <w:r w:rsidRPr="007C5F8A">
        <w:t>Examen</w:t>
      </w:r>
    </w:p>
    <w:p w14:paraId="32452F37" w14:textId="77777777" w:rsidR="004B45DD" w:rsidRPr="007C5F8A" w:rsidRDefault="004B45DD" w:rsidP="005B1A25">
      <w:pPr>
        <w:spacing w:before="80"/>
        <w:jc w:val="both"/>
      </w:pPr>
      <w:r w:rsidRPr="007C5F8A">
        <w:t xml:space="preserve">Le mandat du </w:t>
      </w:r>
      <w:proofErr w:type="spellStart"/>
      <w:r w:rsidRPr="007C5F8A">
        <w:t>GTC</w:t>
      </w:r>
      <w:proofErr w:type="spellEnd"/>
      <w:r w:rsidRPr="007C5F8A">
        <w:t>-Internet définit le rôle détaillé du Groupe, indiquant qu'il est notamment chargé d'identifier, d'étudier et d'approfondir les thèmes liés aux questions de politiques publiques internationales relatives à l'Internet.</w:t>
      </w:r>
    </w:p>
    <w:p w14:paraId="23311DC9" w14:textId="77777777" w:rsidR="004B45DD" w:rsidRPr="007C5F8A" w:rsidRDefault="004B45DD" w:rsidP="005B1A25">
      <w:pPr>
        <w:spacing w:before="80"/>
        <w:jc w:val="both"/>
      </w:pPr>
      <w:r w:rsidRPr="007C5F8A">
        <w:t>Dans la pratique, les activités menés par le GTC-Internet ces quatre dernières années semblent avoir été principalement axées sur la conduite de consultations ouvertes et sur les processus connexes. Ces consultations ont fourni un cadre utile pour la participation des parties prenantes et l'échange de vues.</w:t>
      </w:r>
    </w:p>
    <w:p w14:paraId="2E506277" w14:textId="586A3F1C" w:rsidR="004B45DD" w:rsidRPr="007C5F8A" w:rsidRDefault="004B45DD" w:rsidP="005B1A25">
      <w:pPr>
        <w:spacing w:before="80"/>
        <w:jc w:val="both"/>
      </w:pPr>
      <w:r w:rsidRPr="007C5F8A">
        <w:t>Parallèlement, on peut observer que les résultats de ces travaux se sont limités pour l'essentiel à des produits liés aux consultations, tels que des résumés et des compilations. On</w:t>
      </w:r>
      <w:r w:rsidR="007C5F8A" w:rsidRPr="007C5F8A">
        <w:t xml:space="preserve"> </w:t>
      </w:r>
      <w:r w:rsidRPr="007C5F8A">
        <w:t>ne trouve que peu de produits de fond permettant d'approfondir ou de traiter de manière structurée des questions de politiques publiques internationales relatives à l'Internet.</w:t>
      </w:r>
    </w:p>
    <w:p w14:paraId="5CDE3CC8" w14:textId="77777777" w:rsidR="004B45DD" w:rsidRPr="007C5F8A" w:rsidRDefault="004B45DD" w:rsidP="005B1A25">
      <w:pPr>
        <w:spacing w:before="80"/>
        <w:jc w:val="both"/>
      </w:pPr>
      <w:r w:rsidRPr="007C5F8A">
        <w:t>À cet égard, il sera peut-être possible d'aligner davantage les travaux du GTC-Internet sur tous les éléments composant son mandat, en particulier pour ce qui est d'identifier, d'étudier et d'approfondir des questions en lien avec les politiques générales.</w:t>
      </w:r>
    </w:p>
    <w:p w14:paraId="54CE9E6B" w14:textId="77777777" w:rsidR="004B45DD" w:rsidRPr="005B1A25" w:rsidRDefault="004B45DD" w:rsidP="005B1A25">
      <w:pPr>
        <w:pStyle w:val="Headingb"/>
        <w:spacing w:before="160"/>
      </w:pPr>
      <w:r w:rsidRPr="007C5F8A">
        <w:t>Proposition</w:t>
      </w:r>
    </w:p>
    <w:p w14:paraId="15A05FF1" w14:textId="5795B980" w:rsidR="004B45DD" w:rsidRPr="007C5F8A" w:rsidRDefault="004B45DD" w:rsidP="005B1A25">
      <w:pPr>
        <w:spacing w:before="100"/>
        <w:jc w:val="both"/>
      </w:pPr>
      <w:r w:rsidRPr="007C5F8A">
        <w:t>Compte tenu de ce qui précède, le Conseil voudra peut-être envisager d'encourager le</w:t>
      </w:r>
      <w:r w:rsidR="007C5F8A" w:rsidRPr="007C5F8A">
        <w:t> </w:t>
      </w:r>
      <w:r w:rsidRPr="007C5F8A">
        <w:t>GTC</w:t>
      </w:r>
      <w:r w:rsidR="00697786" w:rsidRPr="007C5F8A">
        <w:noBreakHyphen/>
      </w:r>
      <w:r w:rsidRPr="007C5F8A">
        <w:t xml:space="preserve">Internet à renforcer encore ses travaux, </w:t>
      </w:r>
      <w:proofErr w:type="gramStart"/>
      <w:r w:rsidRPr="007C5F8A">
        <w:t>notamment:</w:t>
      </w:r>
      <w:proofErr w:type="gramEnd"/>
    </w:p>
    <w:p w14:paraId="448D57B3" w14:textId="0B358E1C" w:rsidR="004B45DD" w:rsidRPr="007C5F8A" w:rsidRDefault="004B45DD" w:rsidP="005B1A25">
      <w:pPr>
        <w:pStyle w:val="enumlev1"/>
        <w:spacing w:before="60"/>
        <w:jc w:val="both"/>
      </w:pPr>
      <w:r w:rsidRPr="007C5F8A">
        <w:t>1</w:t>
      </w:r>
      <w:r w:rsidR="007C5F8A" w:rsidRPr="007C5F8A">
        <w:t>)</w:t>
      </w:r>
      <w:r w:rsidRPr="007C5F8A">
        <w:tab/>
        <w:t>en réaffirmant l'importance et la mise en œuvre de l'intégralité du mandat du</w:t>
      </w:r>
      <w:r w:rsidR="007C5F8A" w:rsidRPr="007C5F8A">
        <w:t> </w:t>
      </w:r>
      <w:r w:rsidRPr="007C5F8A">
        <w:t>GTC</w:t>
      </w:r>
      <w:r w:rsidR="00697786" w:rsidRPr="007C5F8A">
        <w:noBreakHyphen/>
      </w:r>
      <w:r w:rsidRPr="007C5F8A">
        <w:t>Internet, y compris son rôle dans le traitement des questions de politiques publiques internationales relatives à l'Internet;</w:t>
      </w:r>
    </w:p>
    <w:p w14:paraId="7D6A3BE0" w14:textId="1DCCB36D" w:rsidR="004B45DD" w:rsidRPr="007C5F8A" w:rsidRDefault="004B45DD" w:rsidP="005B1A25">
      <w:pPr>
        <w:pStyle w:val="enumlev1"/>
        <w:spacing w:before="60"/>
        <w:jc w:val="both"/>
      </w:pPr>
      <w:r w:rsidRPr="007C5F8A">
        <w:t>2</w:t>
      </w:r>
      <w:r w:rsidR="007C5F8A" w:rsidRPr="007C5F8A">
        <w:t>)</w:t>
      </w:r>
      <w:r w:rsidRPr="007C5F8A">
        <w:tab/>
        <w:t>en renforçant les liens entre les consultations ouvertes et les produits de fond, afin de faire en sorte que les contributions aux consultations permettent l'élaboration des résultats plus structurés et axés sur les politiques;</w:t>
      </w:r>
    </w:p>
    <w:p w14:paraId="6F87F603" w14:textId="510C18FD" w:rsidR="004B45DD" w:rsidRPr="007C5F8A" w:rsidRDefault="004B45DD" w:rsidP="005B1A25">
      <w:pPr>
        <w:pStyle w:val="enumlev1"/>
        <w:spacing w:before="60"/>
        <w:jc w:val="both"/>
      </w:pPr>
      <w:r w:rsidRPr="007C5F8A">
        <w:t>3</w:t>
      </w:r>
      <w:r w:rsidR="007C5F8A" w:rsidRPr="007C5F8A">
        <w:t>)</w:t>
      </w:r>
      <w:r w:rsidRPr="007C5F8A">
        <w:tab/>
        <w:t>en encourageant l'élaboration de produits supplémentaires, tels que des résumés analytiques, la présentation des principales conclusions ou des lignes directrices, qui pourraient appuyer les travaux et les discussions du Conseil; et</w:t>
      </w:r>
    </w:p>
    <w:p w14:paraId="4DF5B1D2" w14:textId="58278B2F" w:rsidR="004B45DD" w:rsidRDefault="004B45DD" w:rsidP="005B1A25">
      <w:pPr>
        <w:pStyle w:val="enumlev1"/>
        <w:spacing w:before="60"/>
        <w:jc w:val="both"/>
      </w:pPr>
      <w:r w:rsidRPr="007C5F8A">
        <w:t>4</w:t>
      </w:r>
      <w:r w:rsidR="007C5F8A" w:rsidRPr="007C5F8A">
        <w:t>)</w:t>
      </w:r>
      <w:r w:rsidRPr="007C5F8A">
        <w:tab/>
        <w:t>en annexant la présente contribution au rapport quadriennal du GTC-Internet en vue de sa soumission à la Conférence de plénipotentiaires pour examen.</w:t>
      </w:r>
    </w:p>
    <w:p w14:paraId="0B482C4B" w14:textId="77777777" w:rsidR="00897553" w:rsidRPr="007C5F8A" w:rsidRDefault="006A11AE" w:rsidP="005B1A25">
      <w:pPr>
        <w:spacing w:before="0"/>
        <w:jc w:val="center"/>
      </w:pPr>
      <w:r w:rsidRPr="007C5F8A">
        <w:t>______________</w:t>
      </w:r>
    </w:p>
    <w:sectPr w:rsidR="00897553" w:rsidRPr="007C5F8A"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B111" w14:textId="77777777" w:rsidR="00C210CE" w:rsidRDefault="00C210CE">
      <w:r>
        <w:separator/>
      </w:r>
    </w:p>
  </w:endnote>
  <w:endnote w:type="continuationSeparator" w:id="0">
    <w:p w14:paraId="69FBE725" w14:textId="77777777" w:rsidR="00C210CE" w:rsidRDefault="00C2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5F92" w14:textId="551C3D7B" w:rsidR="00732045" w:rsidRDefault="00C210CE">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6829C7">
      <w:t>17.04.26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91D3F68" w14:textId="77777777" w:rsidTr="00E31DCE">
      <w:trPr>
        <w:jc w:val="center"/>
      </w:trPr>
      <w:tc>
        <w:tcPr>
          <w:tcW w:w="1803" w:type="dxa"/>
          <w:vAlign w:val="center"/>
        </w:tcPr>
        <w:p w14:paraId="1C075724" w14:textId="0241F8F0" w:rsidR="00A51849" w:rsidRDefault="004B45DD" w:rsidP="00A51849">
          <w:pPr>
            <w:pStyle w:val="Header"/>
            <w:jc w:val="left"/>
            <w:rPr>
              <w:noProof/>
            </w:rPr>
          </w:pPr>
          <w:r>
            <w:rPr>
              <w:noProof/>
            </w:rPr>
            <w:t>2600945F</w:t>
          </w:r>
        </w:p>
      </w:tc>
      <w:tc>
        <w:tcPr>
          <w:tcW w:w="8261" w:type="dxa"/>
        </w:tcPr>
        <w:p w14:paraId="60A6C695" w14:textId="3B805808"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B45DD">
            <w:rPr>
              <w:bCs/>
            </w:rPr>
            <w:t>99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2166D9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7F29BA6" w14:textId="77777777" w:rsidTr="00E31DCE">
      <w:trPr>
        <w:jc w:val="center"/>
      </w:trPr>
      <w:tc>
        <w:tcPr>
          <w:tcW w:w="1803" w:type="dxa"/>
          <w:vAlign w:val="center"/>
        </w:tcPr>
        <w:p w14:paraId="0EED5271"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1807418" w14:textId="204D2A7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B45DD">
            <w:rPr>
              <w:bCs/>
            </w:rPr>
            <w:t>99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14A34D4"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1E6A" w14:textId="77777777" w:rsidR="00C210CE" w:rsidRDefault="00C210CE">
      <w:r>
        <w:t>____________________</w:t>
      </w:r>
    </w:p>
  </w:footnote>
  <w:footnote w:type="continuationSeparator" w:id="0">
    <w:p w14:paraId="0D8F5E63" w14:textId="77777777" w:rsidR="00C210CE" w:rsidRDefault="00C2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678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96223D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974D" w14:textId="77777777" w:rsidR="00A51849" w:rsidRPr="001342E0" w:rsidRDefault="001342E0" w:rsidP="001342E0">
    <w:pPr>
      <w:pStyle w:val="Header"/>
    </w:pPr>
    <w:r>
      <w:rPr>
        <w:noProof/>
      </w:rPr>
      <w:drawing>
        <wp:inline distT="0" distB="0" distL="0" distR="0" wp14:anchorId="489ACB51" wp14:editId="7576C16F">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903248007">
    <w:abstractNumId w:val="9"/>
  </w:num>
  <w:num w:numId="2" w16cid:durableId="1779987354">
    <w:abstractNumId w:val="7"/>
  </w:num>
  <w:num w:numId="3" w16cid:durableId="747115656">
    <w:abstractNumId w:val="6"/>
  </w:num>
  <w:num w:numId="4" w16cid:durableId="356275610">
    <w:abstractNumId w:val="5"/>
  </w:num>
  <w:num w:numId="5" w16cid:durableId="1407730813">
    <w:abstractNumId w:val="4"/>
  </w:num>
  <w:num w:numId="6" w16cid:durableId="1845971280">
    <w:abstractNumId w:val="8"/>
  </w:num>
  <w:num w:numId="7" w16cid:durableId="1519660036">
    <w:abstractNumId w:val="3"/>
  </w:num>
  <w:num w:numId="8" w16cid:durableId="10375916">
    <w:abstractNumId w:val="2"/>
  </w:num>
  <w:num w:numId="9" w16cid:durableId="538661313">
    <w:abstractNumId w:val="1"/>
  </w:num>
  <w:num w:numId="10" w16cid:durableId="819612439">
    <w:abstractNumId w:val="0"/>
  </w:num>
  <w:num w:numId="11" w16cid:durableId="2089304677">
    <w:abstractNumId w:val="8"/>
  </w:num>
  <w:num w:numId="12" w16cid:durableId="915211673">
    <w:abstractNumId w:val="3"/>
  </w:num>
  <w:num w:numId="13" w16cid:durableId="994995078">
    <w:abstractNumId w:val="2"/>
  </w:num>
  <w:num w:numId="14" w16cid:durableId="910892205">
    <w:abstractNumId w:val="1"/>
  </w:num>
  <w:num w:numId="15" w16cid:durableId="125235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CE"/>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3E86"/>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B45DD"/>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B1A25"/>
    <w:rsid w:val="005C3890"/>
    <w:rsid w:val="005F092D"/>
    <w:rsid w:val="005F7BFE"/>
    <w:rsid w:val="00600017"/>
    <w:rsid w:val="00600601"/>
    <w:rsid w:val="00602682"/>
    <w:rsid w:val="00615996"/>
    <w:rsid w:val="006235CA"/>
    <w:rsid w:val="0062366E"/>
    <w:rsid w:val="006643AB"/>
    <w:rsid w:val="006829C7"/>
    <w:rsid w:val="00697786"/>
    <w:rsid w:val="006A11AE"/>
    <w:rsid w:val="006B224B"/>
    <w:rsid w:val="006F0A53"/>
    <w:rsid w:val="0071402E"/>
    <w:rsid w:val="007210CD"/>
    <w:rsid w:val="00732045"/>
    <w:rsid w:val="0073275D"/>
    <w:rsid w:val="007369DB"/>
    <w:rsid w:val="0077110E"/>
    <w:rsid w:val="007956C2"/>
    <w:rsid w:val="00796BDB"/>
    <w:rsid w:val="007A187E"/>
    <w:rsid w:val="007C5F8A"/>
    <w:rsid w:val="007C72C2"/>
    <w:rsid w:val="007D4436"/>
    <w:rsid w:val="007E7F24"/>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10CE"/>
    <w:rsid w:val="00C25D29"/>
    <w:rsid w:val="00C2625E"/>
    <w:rsid w:val="00C27A7C"/>
    <w:rsid w:val="00C42437"/>
    <w:rsid w:val="00C90A0B"/>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14D8"/>
    <w:rsid w:val="00ED799B"/>
    <w:rsid w:val="00F15B57"/>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C31CCC"/>
  <w15:docId w15:val="{C330268D-39D8-4702-93E4-700688FC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600601"/>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5B1A25"/>
    <w:pPr>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52/f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md/S26-CL-C-0052/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0</TotalTime>
  <Pages>2</Pages>
  <Words>623</Words>
  <Characters>3770</Characters>
  <Application>Microsoft Office Word</Application>
  <DocSecurity>0</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4353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 de l'efficacité du Groupe de travail du Conseil sur les questions de politiques publiques internationales relatives à l'Internet</dc:title>
  <dc:subject>Conseil 2026 de l'UIT</dc:subject>
  <cp:keywords>C26; C2026; Council 2026; PP26</cp:keywords>
  <dc:description/>
  <cp:lastPrinted>2000-07-18T08:55:00Z</cp:lastPrinted>
  <dcterms:created xsi:type="dcterms:W3CDTF">2026-04-21T12:09:00Z</dcterms:created>
  <dcterms:modified xsi:type="dcterms:W3CDTF">2026-04-21T12:09:00Z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