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605BEB" w14:paraId="0E149DB1" w14:textId="77777777" w:rsidTr="00954C4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0F43A641" w14:textId="157D02F7" w:rsidR="00AD3606" w:rsidRPr="00FC7937" w:rsidRDefault="00AD3606" w:rsidP="0024558F">
            <w:pPr>
              <w:tabs>
                <w:tab w:val="left" w:pos="851"/>
              </w:tabs>
              <w:spacing w:before="0" w:line="240" w:lineRule="atLeast"/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  <w:r w:rsidRPr="00FC7937">
              <w:rPr>
                <w:rFonts w:asciiTheme="minorHAnsi" w:hAnsiTheme="minorHAnsi" w:cstheme="minorHAnsi"/>
                <w:b/>
                <w:szCs w:val="24"/>
              </w:rPr>
              <w:t xml:space="preserve">Agenda item: </w:t>
            </w:r>
            <w:r w:rsidR="0035006D" w:rsidRPr="00FC7937">
              <w:rPr>
                <w:rFonts w:asciiTheme="minorHAnsi" w:hAnsiTheme="minorHAnsi" w:cstheme="minorHAnsi"/>
                <w:b/>
                <w:szCs w:val="24"/>
              </w:rPr>
              <w:t>PL-2</w:t>
            </w:r>
          </w:p>
        </w:tc>
        <w:tc>
          <w:tcPr>
            <w:tcW w:w="5245" w:type="dxa"/>
          </w:tcPr>
          <w:p w14:paraId="314DBB3B" w14:textId="19DD3CE3" w:rsidR="00AD3606" w:rsidRPr="00FC7937" w:rsidRDefault="00AD3606" w:rsidP="00FC7937">
            <w:pPr>
              <w:tabs>
                <w:tab w:val="left" w:pos="851"/>
              </w:tabs>
              <w:spacing w:before="0" w:line="240" w:lineRule="atLeast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FC7937">
              <w:rPr>
                <w:rFonts w:asciiTheme="minorHAnsi" w:hAnsiTheme="minorHAnsi" w:cstheme="minorHAnsi"/>
                <w:b/>
                <w:szCs w:val="24"/>
              </w:rPr>
              <w:t xml:space="preserve">Document </w:t>
            </w:r>
            <w:proofErr w:type="spellStart"/>
            <w:r w:rsidRPr="00FC7937">
              <w:rPr>
                <w:rFonts w:asciiTheme="minorHAnsi" w:hAnsiTheme="minorHAnsi" w:cstheme="minorHAnsi"/>
                <w:b/>
                <w:szCs w:val="24"/>
              </w:rPr>
              <w:t>C2</w:t>
            </w:r>
            <w:r w:rsidR="00DE532B" w:rsidRPr="00FC7937">
              <w:rPr>
                <w:rFonts w:asciiTheme="minorHAnsi" w:hAnsiTheme="minorHAnsi" w:cstheme="minorHAnsi"/>
                <w:b/>
                <w:szCs w:val="24"/>
              </w:rPr>
              <w:t>6</w:t>
            </w:r>
            <w:proofErr w:type="spellEnd"/>
            <w:r w:rsidRPr="00FC7937">
              <w:rPr>
                <w:rFonts w:asciiTheme="minorHAnsi" w:hAnsiTheme="minorHAnsi" w:cstheme="minorHAnsi"/>
                <w:b/>
                <w:szCs w:val="24"/>
              </w:rPr>
              <w:t>/</w:t>
            </w:r>
            <w:r w:rsidR="0035006D" w:rsidRPr="00FC7937">
              <w:rPr>
                <w:rFonts w:asciiTheme="minorHAnsi" w:hAnsiTheme="minorHAnsi" w:cstheme="minorHAnsi"/>
                <w:b/>
                <w:szCs w:val="24"/>
              </w:rPr>
              <w:t>99</w:t>
            </w:r>
            <w:r w:rsidRPr="00FC7937">
              <w:rPr>
                <w:rFonts w:asciiTheme="minorHAnsi" w:hAnsiTheme="minorHAnsi" w:cstheme="minorHAnsi"/>
                <w:b/>
                <w:szCs w:val="24"/>
              </w:rPr>
              <w:t>-E</w:t>
            </w:r>
          </w:p>
        </w:tc>
      </w:tr>
      <w:tr w:rsidR="00AD3606" w:rsidRPr="00605BEB" w14:paraId="69B43E02" w14:textId="77777777" w:rsidTr="00954C49">
        <w:trPr>
          <w:cantSplit/>
        </w:trPr>
        <w:tc>
          <w:tcPr>
            <w:tcW w:w="3969" w:type="dxa"/>
            <w:vMerge/>
          </w:tcPr>
          <w:p w14:paraId="47F24390" w14:textId="77777777" w:rsidR="00AD3606" w:rsidRPr="00605BEB" w:rsidRDefault="00AD3606" w:rsidP="0024558F">
            <w:pPr>
              <w:tabs>
                <w:tab w:val="left" w:pos="851"/>
              </w:tabs>
              <w:spacing w:line="240" w:lineRule="atLeast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3416CC9C" w14:textId="442C323D" w:rsidR="00AD3606" w:rsidRPr="00FC7937" w:rsidRDefault="0035006D" w:rsidP="00FC7937">
            <w:pPr>
              <w:tabs>
                <w:tab w:val="left" w:pos="851"/>
              </w:tabs>
              <w:spacing w:befor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FC7937">
              <w:rPr>
                <w:rFonts w:asciiTheme="minorHAnsi" w:hAnsiTheme="minorHAnsi" w:cstheme="minorHAnsi"/>
                <w:b/>
                <w:szCs w:val="24"/>
              </w:rPr>
              <w:t>14 April 2026</w:t>
            </w:r>
          </w:p>
        </w:tc>
      </w:tr>
      <w:tr w:rsidR="00AD3606" w:rsidRPr="00605BEB" w14:paraId="05C7D1DC" w14:textId="77777777" w:rsidTr="00954C49">
        <w:trPr>
          <w:cantSplit/>
          <w:trHeight w:val="23"/>
        </w:trPr>
        <w:tc>
          <w:tcPr>
            <w:tcW w:w="3969" w:type="dxa"/>
            <w:vMerge/>
          </w:tcPr>
          <w:p w14:paraId="42BBBB8D" w14:textId="77777777" w:rsidR="00AD3606" w:rsidRPr="00605BEB" w:rsidRDefault="00AD3606" w:rsidP="0024558F">
            <w:pPr>
              <w:tabs>
                <w:tab w:val="left" w:pos="851"/>
              </w:tabs>
              <w:spacing w:line="240" w:lineRule="atLeast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3716EE7C" w14:textId="77777777" w:rsidR="00AD3606" w:rsidRPr="00FC7937" w:rsidRDefault="00AD3606" w:rsidP="00FC7937">
            <w:pPr>
              <w:tabs>
                <w:tab w:val="left" w:pos="851"/>
              </w:tabs>
              <w:spacing w:before="0" w:line="240" w:lineRule="atLeast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FC7937">
              <w:rPr>
                <w:rFonts w:asciiTheme="minorHAnsi" w:hAnsiTheme="minorHAnsi" w:cstheme="minorHAnsi"/>
                <w:b/>
                <w:szCs w:val="24"/>
              </w:rPr>
              <w:t>Original: English</w:t>
            </w:r>
          </w:p>
        </w:tc>
      </w:tr>
      <w:tr w:rsidR="00472BAD" w:rsidRPr="00605BEB" w14:paraId="23477888" w14:textId="77777777" w:rsidTr="00954C49">
        <w:trPr>
          <w:cantSplit/>
          <w:trHeight w:val="23"/>
        </w:trPr>
        <w:tc>
          <w:tcPr>
            <w:tcW w:w="3969" w:type="dxa"/>
          </w:tcPr>
          <w:p w14:paraId="5DCA8AFC" w14:textId="77777777" w:rsidR="00472BAD" w:rsidRPr="00605BEB" w:rsidRDefault="00472BAD" w:rsidP="0024558F">
            <w:pPr>
              <w:tabs>
                <w:tab w:val="left" w:pos="851"/>
              </w:tabs>
              <w:spacing w:line="240" w:lineRule="atLeast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14:paraId="3E42C9E0" w14:textId="77777777" w:rsidR="00472BAD" w:rsidRPr="00605BEB" w:rsidRDefault="00472BAD" w:rsidP="0024558F">
            <w:pPr>
              <w:tabs>
                <w:tab w:val="left" w:pos="851"/>
              </w:tabs>
              <w:spacing w:before="0" w:line="240" w:lineRule="atLeast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AD3606" w:rsidRPr="00605BEB" w14:paraId="63552CEB" w14:textId="77777777" w:rsidTr="00954C4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07E7D14D" w14:textId="05253109" w:rsidR="00AD3606" w:rsidRPr="00605BEB" w:rsidRDefault="0035006D" w:rsidP="00142EE0">
            <w:pPr>
              <w:pStyle w:val="Source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8"/>
                <w:szCs w:val="28"/>
              </w:rPr>
            </w:pPr>
            <w:bookmarkStart w:id="8" w:name="dsource" w:colFirst="0" w:colLast="0"/>
            <w:bookmarkEnd w:id="7"/>
            <w:r>
              <w:t xml:space="preserve">Contribution by </w:t>
            </w:r>
            <w:r w:rsidRPr="005E4D30">
              <w:t>Saudi Arabia (Kingdom of)</w:t>
            </w:r>
            <w:r w:rsidR="00BD7E9F">
              <w:t xml:space="preserve">, </w:t>
            </w:r>
            <w:r w:rsidR="001C6589" w:rsidRPr="001C6589">
              <w:t>Morocco (Kingdom of)</w:t>
            </w:r>
            <w:r w:rsidR="001C6589">
              <w:t xml:space="preserve"> and </w:t>
            </w:r>
            <w:r w:rsidR="001C6589" w:rsidRPr="001C6589">
              <w:t>South Africa (Republic of)</w:t>
            </w:r>
          </w:p>
        </w:tc>
      </w:tr>
      <w:tr w:rsidR="00AD3606" w:rsidRPr="00605BEB" w14:paraId="55EA6E8F" w14:textId="77777777" w:rsidTr="00954C4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55A92B2E" w14:textId="77777777" w:rsidR="00AD3606" w:rsidRPr="0035006D" w:rsidRDefault="007A164C" w:rsidP="0035006D">
            <w:pPr>
              <w:pStyle w:val="NormalWeb"/>
              <w:spacing w:before="120" w:beforeAutospacing="0" w:after="120" w:afterAutospacing="0"/>
              <w:rPr>
                <w:sz w:val="32"/>
                <w:szCs w:val="32"/>
              </w:rPr>
            </w:pPr>
            <w:bookmarkStart w:id="9" w:name="dtitle1" w:colFirst="0" w:colLast="0"/>
            <w:bookmarkEnd w:id="8"/>
            <w:r w:rsidRPr="0035006D">
              <w:rPr>
                <w:rFonts w:ascii="Calibri" w:hAnsi="Calibri"/>
                <w:sz w:val="32"/>
                <w:szCs w:val="32"/>
                <w:lang w:val="en-GB"/>
              </w:rPr>
              <w:t xml:space="preserve">ENHANCING THE EFFECTIVENESS OF THE COUNCIL WORKING GROUP ON INTERNATIONAL INTERNET-RELATED PUBLIC POLICY ISSUES </w:t>
            </w:r>
          </w:p>
        </w:tc>
      </w:tr>
      <w:tr w:rsidR="00AD3606" w:rsidRPr="00605BEB" w14:paraId="68C35634" w14:textId="77777777" w:rsidTr="00954C49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1DA03E8A" w14:textId="77777777" w:rsidR="00AD3606" w:rsidRPr="0035006D" w:rsidRDefault="00F16BAB" w:rsidP="0035006D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35006D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Purpose</w:t>
            </w:r>
          </w:p>
          <w:p w14:paraId="278BFEC3" w14:textId="77777777" w:rsidR="00AD3606" w:rsidRPr="0035006D" w:rsidRDefault="0039129F" w:rsidP="007E1EEB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35006D">
              <w:rPr>
                <w:szCs w:val="24"/>
              </w:rPr>
              <w:t xml:space="preserve">This contribution aims to highlight the need to further align the work of the Council Working Group on international Internet-related public policy issues (CWG-Internet) with its Terms of Reference, in particular </w:t>
            </w:r>
            <w:proofErr w:type="gramStart"/>
            <w:r w:rsidRPr="0035006D">
              <w:rPr>
                <w:szCs w:val="24"/>
              </w:rPr>
              <w:t>with regard to</w:t>
            </w:r>
            <w:proofErr w:type="gramEnd"/>
            <w:r w:rsidRPr="0035006D">
              <w:rPr>
                <w:szCs w:val="24"/>
              </w:rPr>
              <w:t xml:space="preserve"> the development of substantive outputs addressing international Internet-related public policy issues.</w:t>
            </w:r>
          </w:p>
          <w:p w14:paraId="40B95562" w14:textId="77777777" w:rsidR="00AD3606" w:rsidRPr="0035006D" w:rsidRDefault="00AD3606" w:rsidP="007E1EEB">
            <w:pPr>
              <w:pStyle w:val="Heading1"/>
              <w:spacing w:before="160"/>
              <w:rPr>
                <w:sz w:val="26"/>
                <w:szCs w:val="26"/>
              </w:rPr>
            </w:pPr>
            <w:r w:rsidRPr="0035006D">
              <w:rPr>
                <w:sz w:val="26"/>
                <w:szCs w:val="26"/>
              </w:rPr>
              <w:t>Action required</w:t>
            </w:r>
            <w:r w:rsidR="00F16BAB" w:rsidRPr="0035006D">
              <w:rPr>
                <w:sz w:val="26"/>
                <w:szCs w:val="26"/>
              </w:rPr>
              <w:t xml:space="preserve"> by the Council</w:t>
            </w:r>
          </w:p>
          <w:p w14:paraId="210D6293" w14:textId="77777777" w:rsidR="00722551" w:rsidRPr="0035006D" w:rsidRDefault="0039129F" w:rsidP="007E1EEB">
            <w:pPr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35006D">
              <w:rPr>
                <w:rFonts w:asciiTheme="minorHAnsi" w:hAnsiTheme="minorHAnsi" w:cstheme="minorHAnsi"/>
                <w:szCs w:val="24"/>
                <w:lang w:val="en-US"/>
              </w:rPr>
              <w:t xml:space="preserve">The Council is invited </w:t>
            </w:r>
            <w:r w:rsidRPr="004812C4"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  <w:t>to consider</w:t>
            </w:r>
            <w:r w:rsidRPr="0035006D">
              <w:rPr>
                <w:rFonts w:asciiTheme="minorHAnsi" w:hAnsiTheme="minorHAnsi" w:cstheme="minorHAnsi"/>
                <w:szCs w:val="24"/>
                <w:lang w:val="en-US"/>
              </w:rPr>
              <w:t xml:space="preserve"> this contribution and </w:t>
            </w:r>
            <w:r w:rsidRPr="004812C4">
              <w:rPr>
                <w:rFonts w:asciiTheme="minorHAnsi" w:hAnsiTheme="minorHAnsi" w:cstheme="minorHAnsi"/>
                <w:b/>
                <w:bCs/>
                <w:szCs w:val="24"/>
                <w:lang w:val="en-US"/>
              </w:rPr>
              <w:t>to provide guidance</w:t>
            </w:r>
            <w:r w:rsidRPr="0035006D">
              <w:rPr>
                <w:rFonts w:asciiTheme="minorHAnsi" w:hAnsiTheme="minorHAnsi" w:cstheme="minorHAnsi"/>
                <w:szCs w:val="24"/>
                <w:lang w:val="en-US"/>
              </w:rPr>
              <w:t xml:space="preserve"> on enhancing the effectiveness of the CWG-Internet, including its ability to deliver substantive outcomes in line with its mandate.</w:t>
            </w:r>
          </w:p>
          <w:p w14:paraId="198B704E" w14:textId="77777777" w:rsidR="00C0458D" w:rsidRPr="00605BEB" w:rsidRDefault="0039129F" w:rsidP="0035006D">
            <w:pPr>
              <w:spacing w:after="120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05BEB">
              <w:rPr>
                <w:rFonts w:asciiTheme="minorHAnsi" w:hAnsiTheme="minorHAnsi" w:cstheme="minorHAnsi"/>
                <w:sz w:val="28"/>
                <w:szCs w:val="28"/>
              </w:rPr>
              <w:t>______</w:t>
            </w:r>
            <w:r w:rsidR="00C0458D" w:rsidRPr="00605BEB">
              <w:rPr>
                <w:rFonts w:asciiTheme="minorHAnsi" w:hAnsiTheme="minorHAnsi" w:cstheme="minorHAnsi"/>
                <w:sz w:val="28"/>
                <w:szCs w:val="28"/>
              </w:rPr>
              <w:t>_______</w:t>
            </w:r>
          </w:p>
          <w:p w14:paraId="15601E14" w14:textId="77777777" w:rsidR="00AD3606" w:rsidRPr="0035006D" w:rsidRDefault="00AD3606" w:rsidP="0035006D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35006D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References</w:t>
            </w:r>
          </w:p>
          <w:p w14:paraId="236EB285" w14:textId="2DBF565A" w:rsidR="00AD3606" w:rsidRPr="0035006D" w:rsidRDefault="0035006D" w:rsidP="007E1EEB">
            <w:pPr>
              <w:spacing w:after="16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hyperlink r:id="rId9" w:history="1">
              <w:r w:rsidRPr="0035006D">
                <w:rPr>
                  <w:rStyle w:val="Hyperlink"/>
                  <w:rFonts w:asciiTheme="minorHAnsi" w:hAnsiTheme="minorHAnsi" w:cstheme="minorHAnsi"/>
                  <w:i/>
                  <w:iCs/>
                  <w:sz w:val="22"/>
                  <w:szCs w:val="22"/>
                </w:rPr>
                <w:t>Council D</w:t>
              </w:r>
              <w:r w:rsidR="00D35FCE" w:rsidRPr="0035006D">
                <w:rPr>
                  <w:rStyle w:val="Hyperlink"/>
                  <w:rFonts w:asciiTheme="minorHAnsi" w:hAnsiTheme="minorHAnsi" w:cstheme="minorHAnsi"/>
                  <w:i/>
                  <w:iCs/>
                  <w:sz w:val="22"/>
                  <w:szCs w:val="22"/>
                </w:rPr>
                <w:t xml:space="preserve">ocument </w:t>
              </w:r>
              <w:proofErr w:type="spellStart"/>
              <w:r w:rsidR="00D35FCE" w:rsidRPr="0035006D">
                <w:rPr>
                  <w:rStyle w:val="Hyperlink"/>
                  <w:rFonts w:asciiTheme="minorHAnsi" w:hAnsiTheme="minorHAnsi" w:cstheme="minorHAnsi"/>
                  <w:i/>
                  <w:iCs/>
                  <w:sz w:val="22"/>
                  <w:szCs w:val="22"/>
                </w:rPr>
                <w:t>C26</w:t>
              </w:r>
              <w:proofErr w:type="spellEnd"/>
              <w:r w:rsidR="00D35FCE" w:rsidRPr="0035006D">
                <w:rPr>
                  <w:rStyle w:val="Hyperlink"/>
                  <w:rFonts w:asciiTheme="minorHAnsi" w:hAnsiTheme="minorHAnsi" w:cstheme="minorHAnsi"/>
                  <w:i/>
                  <w:iCs/>
                  <w:sz w:val="22"/>
                  <w:szCs w:val="22"/>
                </w:rPr>
                <w:t>/52</w:t>
              </w:r>
            </w:hyperlink>
          </w:p>
        </w:tc>
      </w:tr>
    </w:tbl>
    <w:p w14:paraId="28CF0A72" w14:textId="77777777" w:rsidR="00E227F3" w:rsidRPr="00605BEB" w:rsidRDefault="00E227F3" w:rsidP="0035006D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after="120"/>
        <w:jc w:val="both"/>
        <w:textAlignment w:val="auto"/>
        <w:rPr>
          <w:rFonts w:asciiTheme="minorHAnsi" w:hAnsiTheme="minorHAnsi" w:cstheme="minorHAnsi"/>
          <w:sz w:val="28"/>
          <w:szCs w:val="28"/>
        </w:rPr>
      </w:pPr>
      <w:bookmarkStart w:id="10" w:name="_Hlk133421428"/>
      <w:bookmarkEnd w:id="2"/>
      <w:bookmarkEnd w:id="9"/>
    </w:p>
    <w:bookmarkEnd w:id="3"/>
    <w:bookmarkEnd w:id="4"/>
    <w:p w14:paraId="29D06D10" w14:textId="77777777" w:rsidR="0056200A" w:rsidRPr="00605BEB" w:rsidRDefault="0090147A" w:rsidP="0035006D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after="120"/>
        <w:jc w:val="both"/>
        <w:textAlignment w:val="auto"/>
        <w:rPr>
          <w:rFonts w:asciiTheme="minorHAnsi" w:hAnsiTheme="minorHAnsi" w:cstheme="minorHAnsi"/>
          <w:b/>
          <w:sz w:val="28"/>
          <w:szCs w:val="28"/>
        </w:rPr>
      </w:pPr>
      <w:r w:rsidRPr="00605BEB">
        <w:rPr>
          <w:rFonts w:asciiTheme="minorHAnsi" w:hAnsiTheme="minorHAnsi" w:cstheme="minorHAnsi"/>
          <w:sz w:val="28"/>
          <w:szCs w:val="28"/>
        </w:rPr>
        <w:br w:type="page"/>
      </w:r>
      <w:bookmarkEnd w:id="5"/>
      <w:bookmarkEnd w:id="10"/>
    </w:p>
    <w:p w14:paraId="3BF4DAC0" w14:textId="77777777" w:rsidR="0024558F" w:rsidRPr="0035006D" w:rsidRDefault="0024558F" w:rsidP="007E1EEB">
      <w:pPr>
        <w:pStyle w:val="Headingb"/>
        <w:rPr>
          <w:lang w:val="en-US"/>
        </w:rPr>
      </w:pPr>
      <w:r w:rsidRPr="0035006D">
        <w:lastRenderedPageBreak/>
        <w:t>Introduction</w:t>
      </w:r>
    </w:p>
    <w:p w14:paraId="1ED03C52" w14:textId="7353BD87" w:rsidR="005B6E8C" w:rsidRPr="0035006D" w:rsidRDefault="005B6E8C" w:rsidP="004D5999">
      <w:pPr>
        <w:spacing w:before="100"/>
        <w:jc w:val="both"/>
      </w:pPr>
      <w:r w:rsidRPr="0035006D">
        <w:t xml:space="preserve">We would like to extend our appreciation to the Chair, Vice-Chairs, the General Secretariat, and all ITU Member States for their valuable contributions to the work of the </w:t>
      </w:r>
      <w:r w:rsidR="00FC7937" w:rsidRPr="0035006D">
        <w:t>Council Working Group on international Internet-related public policy issues (CWG-Internet)</w:t>
      </w:r>
      <w:r w:rsidRPr="0035006D">
        <w:t>.</w:t>
      </w:r>
    </w:p>
    <w:p w14:paraId="3B78CCB8" w14:textId="457E2A4B" w:rsidR="0024558F" w:rsidRPr="0035006D" w:rsidRDefault="0024558F" w:rsidP="004D5999">
      <w:pPr>
        <w:spacing w:before="100"/>
        <w:jc w:val="both"/>
      </w:pPr>
      <w:r w:rsidRPr="0035006D">
        <w:t>The CWG-Internet was established pursuant to Council Resolution 1336 (Mod. 2019), with a mandate to address international Internet-related public policy issues within the scope defined by Council Resolution 1305 (Mod. 2019).</w:t>
      </w:r>
    </w:p>
    <w:p w14:paraId="245287EF" w14:textId="6E84067A" w:rsidR="00605BEB" w:rsidRPr="0035006D" w:rsidRDefault="002B343E" w:rsidP="004D5999">
      <w:pPr>
        <w:spacing w:before="100"/>
        <w:jc w:val="both"/>
      </w:pPr>
      <w:r w:rsidRPr="0035006D">
        <w:t>Over the past four years, the CWG-Internet has continued its work through regular meetings and open consultations. In this context, the four-year report submitted to ITU Council 2026 (</w:t>
      </w:r>
      <w:proofErr w:type="spellStart"/>
      <w:r>
        <w:fldChar w:fldCharType="begin"/>
      </w:r>
      <w:r>
        <w:instrText>HYPERLINK "https://www.itu.int/md/S26-CL-C-0052/en"</w:instrText>
      </w:r>
      <w:r>
        <w:fldChar w:fldCharType="separate"/>
      </w:r>
      <w:r w:rsidRPr="0035006D">
        <w:rPr>
          <w:rStyle w:val="Hyperlink"/>
          <w:rFonts w:asciiTheme="minorHAnsi" w:hAnsiTheme="minorHAnsi" w:cstheme="minorHAnsi"/>
        </w:rPr>
        <w:t>C26</w:t>
      </w:r>
      <w:proofErr w:type="spellEnd"/>
      <w:r w:rsidRPr="0035006D">
        <w:rPr>
          <w:rStyle w:val="Hyperlink"/>
          <w:rFonts w:asciiTheme="minorHAnsi" w:hAnsiTheme="minorHAnsi" w:cstheme="minorHAnsi"/>
        </w:rPr>
        <w:t>/52</w:t>
      </w:r>
      <w:r>
        <w:fldChar w:fldCharType="end"/>
      </w:r>
      <w:r w:rsidRPr="0035006D">
        <w:t xml:space="preserve">) provides a clear overview of the Group’s activities, particularly with regard to the organization of successive open consultations. </w:t>
      </w:r>
    </w:p>
    <w:p w14:paraId="0D35B48B" w14:textId="77777777" w:rsidR="0024558F" w:rsidRPr="0035006D" w:rsidRDefault="0024558F" w:rsidP="004D5999">
      <w:pPr>
        <w:spacing w:before="100"/>
        <w:jc w:val="both"/>
      </w:pPr>
      <w:r w:rsidRPr="0035006D">
        <w:t>While these consultations represent an important and valuable component of the Group’s work, they constitute only one element of its broader mandate.</w:t>
      </w:r>
    </w:p>
    <w:p w14:paraId="605BEE5E" w14:textId="77777777" w:rsidR="0024558F" w:rsidRPr="0035006D" w:rsidRDefault="0024558F" w:rsidP="007E1EEB">
      <w:pPr>
        <w:pStyle w:val="Headingb"/>
      </w:pPr>
      <w:r w:rsidRPr="0035006D">
        <w:t>Discussion</w:t>
      </w:r>
    </w:p>
    <w:p w14:paraId="41D47CFE" w14:textId="77777777" w:rsidR="0024558F" w:rsidRPr="0035006D" w:rsidRDefault="0024558F" w:rsidP="004D5999">
      <w:pPr>
        <w:spacing w:before="100"/>
        <w:jc w:val="both"/>
      </w:pPr>
      <w:r w:rsidRPr="0035006D">
        <w:t>The Terms of Reference of the CWG-Internet outline a comprehensive role for the Group, including the responsibility to identify, study and develop matters related to international Internet-related public policy issues.</w:t>
      </w:r>
    </w:p>
    <w:p w14:paraId="0FCBE4E2" w14:textId="77777777" w:rsidR="0024558F" w:rsidRPr="0035006D" w:rsidRDefault="0024558F" w:rsidP="004D5999">
      <w:pPr>
        <w:spacing w:before="100"/>
        <w:jc w:val="both"/>
      </w:pPr>
      <w:r w:rsidRPr="0035006D">
        <w:t>In practice, the activities of the CWG-Internet during the past four years appear to have been primarily focused on the conduct of open consultations and related processes. These consultations have provided a useful platform for stakeholder engagement and exchange of views.</w:t>
      </w:r>
    </w:p>
    <w:p w14:paraId="1C1865F4" w14:textId="77777777" w:rsidR="0024558F" w:rsidRPr="0035006D" w:rsidRDefault="0024558F" w:rsidP="004D5999">
      <w:pPr>
        <w:spacing w:before="100"/>
        <w:jc w:val="both"/>
      </w:pPr>
      <w:r w:rsidRPr="0035006D">
        <w:t>At the same time, it may be observed that the outcomes of this work have remained largely limited to consultation-related outputs, such as summaries and compilations. There appears to be</w:t>
      </w:r>
      <w:r w:rsidRPr="0035006D">
        <w:rPr>
          <w:b/>
          <w:bCs/>
        </w:rPr>
        <w:t xml:space="preserve"> </w:t>
      </w:r>
      <w:r w:rsidRPr="0035006D">
        <w:t>limited evidence of substantive outputs that further develop or address international Internet-related public policy issues in a structured manner.</w:t>
      </w:r>
    </w:p>
    <w:p w14:paraId="6F0C0FCA" w14:textId="77777777" w:rsidR="0024558F" w:rsidRPr="0035006D" w:rsidRDefault="0024558F" w:rsidP="004D5999">
      <w:pPr>
        <w:spacing w:before="100"/>
        <w:jc w:val="both"/>
      </w:pPr>
      <w:r w:rsidRPr="0035006D">
        <w:t>In this regard, there may be an opportunity to further align the work of the CWG-Internet with the full scope of its Terms of Reference, particularly with respect to the identification, study, and development of policy-relevant matters.</w:t>
      </w:r>
    </w:p>
    <w:p w14:paraId="3CC6A388" w14:textId="77777777" w:rsidR="0024558F" w:rsidRPr="0035006D" w:rsidRDefault="0024558F" w:rsidP="007E1EEB">
      <w:pPr>
        <w:pStyle w:val="Headingb"/>
      </w:pPr>
      <w:r w:rsidRPr="0035006D">
        <w:t>Proposal</w:t>
      </w:r>
    </w:p>
    <w:p w14:paraId="2B7C68A8" w14:textId="77777777" w:rsidR="0024558F" w:rsidRPr="0035006D" w:rsidRDefault="0024558F" w:rsidP="004D5999">
      <w:pPr>
        <w:jc w:val="both"/>
      </w:pPr>
      <w:proofErr w:type="gramStart"/>
      <w:r w:rsidRPr="0035006D">
        <w:t>In light of</w:t>
      </w:r>
      <w:proofErr w:type="gramEnd"/>
      <w:r w:rsidRPr="0035006D">
        <w:t xml:space="preserve"> the above, the Council may wish to consider encouraging the CWG-Internet to further strengthen its work, including by:</w:t>
      </w:r>
    </w:p>
    <w:p w14:paraId="5EC7BD1C" w14:textId="18D74EDC" w:rsidR="0024558F" w:rsidRPr="0035006D" w:rsidRDefault="007E1EEB" w:rsidP="007E1EEB">
      <w:pPr>
        <w:pStyle w:val="enumlev1"/>
        <w:jc w:val="both"/>
        <w:rPr>
          <w:lang w:val="en-US"/>
        </w:rPr>
      </w:pPr>
      <w:r w:rsidRPr="0035006D">
        <w:rPr>
          <w:lang w:val="en-US"/>
        </w:rPr>
        <w:t>1</w:t>
      </w:r>
      <w:r w:rsidRPr="0035006D">
        <w:rPr>
          <w:lang w:val="en-US"/>
        </w:rPr>
        <w:tab/>
      </w:r>
      <w:r w:rsidR="0024558F" w:rsidRPr="0035006D">
        <w:rPr>
          <w:lang w:val="en-US"/>
        </w:rPr>
        <w:t xml:space="preserve">Reaffirming the importance </w:t>
      </w:r>
      <w:r w:rsidR="00A677BF" w:rsidRPr="0035006D">
        <w:rPr>
          <w:lang w:val="en-US"/>
        </w:rPr>
        <w:t xml:space="preserve">and the implementation </w:t>
      </w:r>
      <w:r w:rsidR="0024558F" w:rsidRPr="0035006D">
        <w:rPr>
          <w:lang w:val="en-US"/>
        </w:rPr>
        <w:t xml:space="preserve">of the full Terms of Reference of the CWG-Internet, including its role in addressing international Internet-related public policy </w:t>
      </w:r>
      <w:proofErr w:type="gramStart"/>
      <w:r w:rsidR="0024558F" w:rsidRPr="0035006D">
        <w:rPr>
          <w:lang w:val="en-US"/>
        </w:rPr>
        <w:t>issues;</w:t>
      </w:r>
      <w:proofErr w:type="gramEnd"/>
      <w:r w:rsidR="0024558F" w:rsidRPr="0035006D">
        <w:rPr>
          <w:lang w:val="en-US"/>
        </w:rPr>
        <w:t xml:space="preserve"> </w:t>
      </w:r>
    </w:p>
    <w:p w14:paraId="2FAED156" w14:textId="16F90FB6" w:rsidR="0024558F" w:rsidRPr="0035006D" w:rsidRDefault="007E1EEB" w:rsidP="007E1EEB">
      <w:pPr>
        <w:pStyle w:val="enumlev1"/>
        <w:jc w:val="both"/>
        <w:rPr>
          <w:lang w:val="en-US"/>
        </w:rPr>
      </w:pPr>
      <w:r w:rsidRPr="0035006D">
        <w:rPr>
          <w:lang w:val="en-US"/>
        </w:rPr>
        <w:t>2</w:t>
      </w:r>
      <w:r w:rsidRPr="0035006D">
        <w:rPr>
          <w:lang w:val="en-US"/>
        </w:rPr>
        <w:tab/>
      </w:r>
      <w:r w:rsidR="0024558F" w:rsidRPr="0035006D">
        <w:rPr>
          <w:lang w:val="en-US"/>
        </w:rPr>
        <w:t xml:space="preserve">Enhancing the linkage between open consultations and substantive outputs, with a view to ensuring that consultation inputs contribute to more structured and policy-oriented </w:t>
      </w:r>
      <w:proofErr w:type="gramStart"/>
      <w:r w:rsidR="0024558F" w:rsidRPr="0035006D">
        <w:rPr>
          <w:lang w:val="en-US"/>
        </w:rPr>
        <w:t>outcomes;</w:t>
      </w:r>
      <w:proofErr w:type="gramEnd"/>
      <w:r w:rsidR="0024558F" w:rsidRPr="0035006D">
        <w:rPr>
          <w:lang w:val="en-US"/>
        </w:rPr>
        <w:t xml:space="preserve"> </w:t>
      </w:r>
    </w:p>
    <w:p w14:paraId="60A194E0" w14:textId="6BDC7F06" w:rsidR="0024558F" w:rsidRPr="0035006D" w:rsidRDefault="007E1EEB" w:rsidP="007E1EEB">
      <w:pPr>
        <w:pStyle w:val="enumlev1"/>
        <w:jc w:val="both"/>
        <w:rPr>
          <w:lang w:val="en-US"/>
        </w:rPr>
      </w:pPr>
      <w:r w:rsidRPr="0035006D">
        <w:rPr>
          <w:lang w:val="en-US"/>
        </w:rPr>
        <w:t>3</w:t>
      </w:r>
      <w:r w:rsidRPr="0035006D">
        <w:rPr>
          <w:lang w:val="en-US"/>
        </w:rPr>
        <w:tab/>
      </w:r>
      <w:r w:rsidR="0024558F" w:rsidRPr="0035006D">
        <w:rPr>
          <w:lang w:val="en-US"/>
        </w:rPr>
        <w:t>Encouraging the development of additional outputs, such as analytical summaries, key findings, or</w:t>
      </w:r>
      <w:r w:rsidR="00A677BF" w:rsidRPr="0035006D">
        <w:rPr>
          <w:lang w:val="en-US"/>
        </w:rPr>
        <w:t xml:space="preserve"> guidelines</w:t>
      </w:r>
      <w:r w:rsidR="0024558F" w:rsidRPr="0035006D">
        <w:rPr>
          <w:lang w:val="en-US"/>
        </w:rPr>
        <w:t xml:space="preserve">, that could support the </w:t>
      </w:r>
      <w:r w:rsidR="00B30F2E" w:rsidRPr="0035006D">
        <w:rPr>
          <w:lang w:val="en-US"/>
        </w:rPr>
        <w:t>Council’s work</w:t>
      </w:r>
      <w:r w:rsidR="0024558F" w:rsidRPr="0035006D">
        <w:rPr>
          <w:lang w:val="en-US"/>
        </w:rPr>
        <w:t xml:space="preserve"> and deliberations; </w:t>
      </w:r>
      <w:r w:rsidR="004471EF" w:rsidRPr="0035006D">
        <w:rPr>
          <w:lang w:val="en-US"/>
        </w:rPr>
        <w:t>and</w:t>
      </w:r>
    </w:p>
    <w:p w14:paraId="143A8846" w14:textId="0501F515" w:rsidR="004812C4" w:rsidRDefault="007E1EEB" w:rsidP="007E1EEB">
      <w:pPr>
        <w:pStyle w:val="enumlev1"/>
        <w:jc w:val="both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ab/>
      </w:r>
      <w:r w:rsidR="004471EF" w:rsidRPr="0035006D">
        <w:t>To annex this contribution to the four-year report of the CWG-Internet for submission to the Plenipotentiary Conference for its consideration.</w:t>
      </w:r>
    </w:p>
    <w:p w14:paraId="72EF2C72" w14:textId="77777777" w:rsidR="007E1EEB" w:rsidRDefault="007E1EEB" w:rsidP="004D5999">
      <w:pPr>
        <w:spacing w:before="0"/>
        <w:jc w:val="center"/>
      </w:pPr>
      <w:r>
        <w:t>______________</w:t>
      </w:r>
    </w:p>
    <w:sectPr w:rsidR="007E1EEB" w:rsidSect="00AD3606">
      <w:footerReference w:type="default" r:id="rId10"/>
      <w:headerReference w:type="first" r:id="rId11"/>
      <w:footerReference w:type="first" r:id="rId12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A2C96" w14:textId="77777777" w:rsidR="00D11B36" w:rsidRDefault="00D11B36">
      <w:r>
        <w:separator/>
      </w:r>
    </w:p>
  </w:endnote>
  <w:endnote w:type="continuationSeparator" w:id="0">
    <w:p w14:paraId="1BAB53F3" w14:textId="77777777" w:rsidR="00D11B36" w:rsidRDefault="00D11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74DE4B4E" w14:textId="77777777" w:rsidTr="0042469C">
      <w:trPr>
        <w:jc w:val="center"/>
      </w:trPr>
      <w:tc>
        <w:tcPr>
          <w:tcW w:w="1803" w:type="dxa"/>
          <w:vAlign w:val="center"/>
        </w:tcPr>
        <w:p w14:paraId="0C35CD27" w14:textId="77777777" w:rsidR="00EE49E8" w:rsidRDefault="00C6520B" w:rsidP="00EE49E8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 #</w:t>
          </w:r>
        </w:p>
      </w:tc>
      <w:tc>
        <w:tcPr>
          <w:tcW w:w="8261" w:type="dxa"/>
        </w:tcPr>
        <w:p w14:paraId="070C1069" w14:textId="13B225EB" w:rsidR="00EE49E8" w:rsidRPr="00E06FD5" w:rsidRDefault="00EE49E8" w:rsidP="001F5569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FC7937">
            <w:rPr>
              <w:bCs/>
            </w:rPr>
            <w:t>99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9E3A30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</w:tbl>
  <w:p w14:paraId="0EFBF443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213FFCAC" w14:textId="77777777" w:rsidTr="006B77F1">
      <w:trPr>
        <w:jc w:val="center"/>
      </w:trPr>
      <w:tc>
        <w:tcPr>
          <w:tcW w:w="1803" w:type="dxa"/>
          <w:vAlign w:val="center"/>
        </w:tcPr>
        <w:p w14:paraId="07D6C4C2" w14:textId="77777777" w:rsidR="00EE49E8" w:rsidRPr="006B77F1" w:rsidRDefault="00DE532B" w:rsidP="00EE49E8">
          <w:pPr>
            <w:pStyle w:val="Header"/>
            <w:jc w:val="left"/>
            <w:rPr>
              <w:noProof/>
            </w:rPr>
          </w:pPr>
          <w:hyperlink r:id="rId1" w:history="1">
            <w:proofErr w:type="spellStart"/>
            <w:r>
              <w:rPr>
                <w:rStyle w:val="Hyperlink"/>
                <w:u w:val="none"/>
              </w:rPr>
              <w:t>council.itu.int</w:t>
            </w:r>
            <w:proofErr w:type="spellEnd"/>
            <w:r>
              <w:rPr>
                <w:rStyle w:val="Hyperlink"/>
                <w:u w:val="none"/>
              </w:rPr>
              <w:t>/2026</w:t>
            </w:r>
          </w:hyperlink>
        </w:p>
      </w:tc>
      <w:tc>
        <w:tcPr>
          <w:tcW w:w="8261" w:type="dxa"/>
        </w:tcPr>
        <w:p w14:paraId="55470963" w14:textId="4EC3CB35" w:rsidR="00EE49E8" w:rsidRPr="00E06FD5" w:rsidRDefault="00EE49E8" w:rsidP="001F5569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FC7937">
            <w:rPr>
              <w:bCs/>
            </w:rPr>
            <w:t>99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605BEB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ECD26EE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4864A" w14:textId="77777777" w:rsidR="00D11B36" w:rsidRDefault="00D11B36">
      <w:r>
        <w:t>____________________</w:t>
      </w:r>
    </w:p>
  </w:footnote>
  <w:footnote w:type="continuationSeparator" w:id="0">
    <w:p w14:paraId="5A1A3B7B" w14:textId="77777777" w:rsidR="00D11B36" w:rsidRDefault="00D11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C5115" w14:textId="77777777" w:rsidR="00AD3606" w:rsidRPr="00512087" w:rsidRDefault="00512087" w:rsidP="0049369C">
    <w:pPr>
      <w:pStyle w:val="Header"/>
    </w:pPr>
    <w:r>
      <w:rPr>
        <w:noProof/>
        <w:lang w:val="en-US"/>
      </w:rPr>
      <w:drawing>
        <wp:inline distT="0" distB="0" distL="0" distR="0" wp14:anchorId="09C262A0" wp14:editId="014E50E5">
          <wp:extent cx="5760085" cy="840740"/>
          <wp:effectExtent l="0" t="0" r="0" b="0"/>
          <wp:docPr id="9987911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791133" name="Picture 9987911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FD2322"/>
    <w:multiLevelType w:val="multilevel"/>
    <w:tmpl w:val="0F547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6354350">
    <w:abstractNumId w:val="0"/>
  </w:num>
  <w:num w:numId="2" w16cid:durableId="2025789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212"/>
    <w:rsid w:val="000210D4"/>
    <w:rsid w:val="0006007D"/>
    <w:rsid w:val="00063016"/>
    <w:rsid w:val="00066795"/>
    <w:rsid w:val="00076AF6"/>
    <w:rsid w:val="00076F01"/>
    <w:rsid w:val="00085CF2"/>
    <w:rsid w:val="000B1705"/>
    <w:rsid w:val="000D75B2"/>
    <w:rsid w:val="000E372C"/>
    <w:rsid w:val="000F5DDB"/>
    <w:rsid w:val="001121F5"/>
    <w:rsid w:val="001400DC"/>
    <w:rsid w:val="00140CE1"/>
    <w:rsid w:val="00142EE0"/>
    <w:rsid w:val="0015189A"/>
    <w:rsid w:val="0017539C"/>
    <w:rsid w:val="00175AC2"/>
    <w:rsid w:val="0017609F"/>
    <w:rsid w:val="00176F47"/>
    <w:rsid w:val="001A3154"/>
    <w:rsid w:val="001A7D1D"/>
    <w:rsid w:val="001B51DD"/>
    <w:rsid w:val="001C628E"/>
    <w:rsid w:val="001C6589"/>
    <w:rsid w:val="001E0F7B"/>
    <w:rsid w:val="001F5569"/>
    <w:rsid w:val="0020487B"/>
    <w:rsid w:val="002119FD"/>
    <w:rsid w:val="002130E0"/>
    <w:rsid w:val="00221F46"/>
    <w:rsid w:val="0024558F"/>
    <w:rsid w:val="00264425"/>
    <w:rsid w:val="00265875"/>
    <w:rsid w:val="0027303B"/>
    <w:rsid w:val="00277DEA"/>
    <w:rsid w:val="0028109B"/>
    <w:rsid w:val="002916B4"/>
    <w:rsid w:val="002A0615"/>
    <w:rsid w:val="002A133E"/>
    <w:rsid w:val="002A2188"/>
    <w:rsid w:val="002B1F58"/>
    <w:rsid w:val="002B343E"/>
    <w:rsid w:val="002C1C7A"/>
    <w:rsid w:val="002C3F32"/>
    <w:rsid w:val="002C54E2"/>
    <w:rsid w:val="002D2817"/>
    <w:rsid w:val="0030160F"/>
    <w:rsid w:val="00320223"/>
    <w:rsid w:val="00322D0D"/>
    <w:rsid w:val="00342970"/>
    <w:rsid w:val="0035006D"/>
    <w:rsid w:val="00361465"/>
    <w:rsid w:val="003845D3"/>
    <w:rsid w:val="003877F5"/>
    <w:rsid w:val="0039129F"/>
    <w:rsid w:val="003936D3"/>
    <w:rsid w:val="003942D4"/>
    <w:rsid w:val="003958A8"/>
    <w:rsid w:val="003B29C2"/>
    <w:rsid w:val="003B4FAF"/>
    <w:rsid w:val="003C2533"/>
    <w:rsid w:val="003D5A7F"/>
    <w:rsid w:val="003F0228"/>
    <w:rsid w:val="0040435A"/>
    <w:rsid w:val="00416A24"/>
    <w:rsid w:val="00431D9E"/>
    <w:rsid w:val="00433CE8"/>
    <w:rsid w:val="00434A5C"/>
    <w:rsid w:val="004471EF"/>
    <w:rsid w:val="00453079"/>
    <w:rsid w:val="004544D9"/>
    <w:rsid w:val="00465C35"/>
    <w:rsid w:val="00472BAD"/>
    <w:rsid w:val="004812C4"/>
    <w:rsid w:val="00484009"/>
    <w:rsid w:val="00490E72"/>
    <w:rsid w:val="00491157"/>
    <w:rsid w:val="00491BA9"/>
    <w:rsid w:val="004921C8"/>
    <w:rsid w:val="0049369C"/>
    <w:rsid w:val="00495615"/>
    <w:rsid w:val="00495B0B"/>
    <w:rsid w:val="004A1B8B"/>
    <w:rsid w:val="004D1851"/>
    <w:rsid w:val="004D5999"/>
    <w:rsid w:val="004D599D"/>
    <w:rsid w:val="004E2EA5"/>
    <w:rsid w:val="004E3AEB"/>
    <w:rsid w:val="0050223C"/>
    <w:rsid w:val="00506B4F"/>
    <w:rsid w:val="00512087"/>
    <w:rsid w:val="005243FF"/>
    <w:rsid w:val="0054759C"/>
    <w:rsid w:val="0056200A"/>
    <w:rsid w:val="00564FBC"/>
    <w:rsid w:val="005800BC"/>
    <w:rsid w:val="00582442"/>
    <w:rsid w:val="005B6E8C"/>
    <w:rsid w:val="005F3269"/>
    <w:rsid w:val="00605BEB"/>
    <w:rsid w:val="0061071E"/>
    <w:rsid w:val="00623AE3"/>
    <w:rsid w:val="0064737F"/>
    <w:rsid w:val="006535F1"/>
    <w:rsid w:val="00653D4C"/>
    <w:rsid w:val="0065557D"/>
    <w:rsid w:val="00660D50"/>
    <w:rsid w:val="00662984"/>
    <w:rsid w:val="006716BB"/>
    <w:rsid w:val="006A2F4B"/>
    <w:rsid w:val="006B1859"/>
    <w:rsid w:val="006B6680"/>
    <w:rsid w:val="006B6DCC"/>
    <w:rsid w:val="006B77F1"/>
    <w:rsid w:val="00702DEF"/>
    <w:rsid w:val="00706861"/>
    <w:rsid w:val="00722551"/>
    <w:rsid w:val="0075051B"/>
    <w:rsid w:val="00765C89"/>
    <w:rsid w:val="0077110E"/>
    <w:rsid w:val="007826FC"/>
    <w:rsid w:val="007832F5"/>
    <w:rsid w:val="00793188"/>
    <w:rsid w:val="00794D34"/>
    <w:rsid w:val="007A164C"/>
    <w:rsid w:val="007A3FCD"/>
    <w:rsid w:val="007B19CF"/>
    <w:rsid w:val="007D01AF"/>
    <w:rsid w:val="007E1EEB"/>
    <w:rsid w:val="007E37B6"/>
    <w:rsid w:val="00813E5E"/>
    <w:rsid w:val="0083581B"/>
    <w:rsid w:val="0084546D"/>
    <w:rsid w:val="00863874"/>
    <w:rsid w:val="00864AFF"/>
    <w:rsid w:val="00865925"/>
    <w:rsid w:val="008B4A6A"/>
    <w:rsid w:val="008C7E27"/>
    <w:rsid w:val="008F7448"/>
    <w:rsid w:val="00900508"/>
    <w:rsid w:val="0090147A"/>
    <w:rsid w:val="009173EF"/>
    <w:rsid w:val="00932906"/>
    <w:rsid w:val="009439B5"/>
    <w:rsid w:val="00954C49"/>
    <w:rsid w:val="00961B0B"/>
    <w:rsid w:val="00962D33"/>
    <w:rsid w:val="009842A1"/>
    <w:rsid w:val="009A76A8"/>
    <w:rsid w:val="009B38C3"/>
    <w:rsid w:val="009E17BD"/>
    <w:rsid w:val="009E3A30"/>
    <w:rsid w:val="009E485A"/>
    <w:rsid w:val="00A04CEC"/>
    <w:rsid w:val="00A109AF"/>
    <w:rsid w:val="00A27F92"/>
    <w:rsid w:val="00A32257"/>
    <w:rsid w:val="00A36D20"/>
    <w:rsid w:val="00A514A4"/>
    <w:rsid w:val="00A55622"/>
    <w:rsid w:val="00A677BF"/>
    <w:rsid w:val="00A83502"/>
    <w:rsid w:val="00A94BAB"/>
    <w:rsid w:val="00AD15B3"/>
    <w:rsid w:val="00AD3606"/>
    <w:rsid w:val="00AD4A3D"/>
    <w:rsid w:val="00AE6178"/>
    <w:rsid w:val="00AF6E49"/>
    <w:rsid w:val="00B04A67"/>
    <w:rsid w:val="00B0583C"/>
    <w:rsid w:val="00B30F2E"/>
    <w:rsid w:val="00B31427"/>
    <w:rsid w:val="00B40A81"/>
    <w:rsid w:val="00B44910"/>
    <w:rsid w:val="00B72267"/>
    <w:rsid w:val="00B76EB6"/>
    <w:rsid w:val="00B7737B"/>
    <w:rsid w:val="00B824C8"/>
    <w:rsid w:val="00B84B9D"/>
    <w:rsid w:val="00B9131F"/>
    <w:rsid w:val="00BB0646"/>
    <w:rsid w:val="00BC251A"/>
    <w:rsid w:val="00BC4A20"/>
    <w:rsid w:val="00BD032B"/>
    <w:rsid w:val="00BD7E9F"/>
    <w:rsid w:val="00BE01C6"/>
    <w:rsid w:val="00BE2640"/>
    <w:rsid w:val="00BF1FDE"/>
    <w:rsid w:val="00C01189"/>
    <w:rsid w:val="00C0458D"/>
    <w:rsid w:val="00C07A1F"/>
    <w:rsid w:val="00C374DE"/>
    <w:rsid w:val="00C47AD4"/>
    <w:rsid w:val="00C52D81"/>
    <w:rsid w:val="00C532F8"/>
    <w:rsid w:val="00C55198"/>
    <w:rsid w:val="00C5605F"/>
    <w:rsid w:val="00C6520B"/>
    <w:rsid w:val="00CA6393"/>
    <w:rsid w:val="00CA7995"/>
    <w:rsid w:val="00CB18FF"/>
    <w:rsid w:val="00CD0C08"/>
    <w:rsid w:val="00CD724B"/>
    <w:rsid w:val="00CE03FB"/>
    <w:rsid w:val="00CE433C"/>
    <w:rsid w:val="00CF0161"/>
    <w:rsid w:val="00CF1B27"/>
    <w:rsid w:val="00CF33F3"/>
    <w:rsid w:val="00CF4A2B"/>
    <w:rsid w:val="00D024CA"/>
    <w:rsid w:val="00D06183"/>
    <w:rsid w:val="00D11B36"/>
    <w:rsid w:val="00D22C42"/>
    <w:rsid w:val="00D35FCE"/>
    <w:rsid w:val="00D65041"/>
    <w:rsid w:val="00DB1936"/>
    <w:rsid w:val="00DB384B"/>
    <w:rsid w:val="00DE532B"/>
    <w:rsid w:val="00DF0189"/>
    <w:rsid w:val="00E034C7"/>
    <w:rsid w:val="00E06FD5"/>
    <w:rsid w:val="00E10E80"/>
    <w:rsid w:val="00E124F0"/>
    <w:rsid w:val="00E227F3"/>
    <w:rsid w:val="00E545C6"/>
    <w:rsid w:val="00E60F04"/>
    <w:rsid w:val="00E65B24"/>
    <w:rsid w:val="00E854E4"/>
    <w:rsid w:val="00E86DBF"/>
    <w:rsid w:val="00E969AF"/>
    <w:rsid w:val="00EB0D6F"/>
    <w:rsid w:val="00EB2232"/>
    <w:rsid w:val="00EC5337"/>
    <w:rsid w:val="00EE49E8"/>
    <w:rsid w:val="00F16BAB"/>
    <w:rsid w:val="00F2150A"/>
    <w:rsid w:val="00F231D8"/>
    <w:rsid w:val="00F27212"/>
    <w:rsid w:val="00F44C00"/>
    <w:rsid w:val="00F45D2C"/>
    <w:rsid w:val="00F46C5F"/>
    <w:rsid w:val="00F632C0"/>
    <w:rsid w:val="00F641E1"/>
    <w:rsid w:val="00F94A63"/>
    <w:rsid w:val="00FA1C28"/>
    <w:rsid w:val="00FA2D7B"/>
    <w:rsid w:val="00FB1279"/>
    <w:rsid w:val="00FB6B76"/>
    <w:rsid w:val="00FB7596"/>
    <w:rsid w:val="00FC7937"/>
    <w:rsid w:val="00FE4077"/>
    <w:rsid w:val="00FE43B7"/>
    <w:rsid w:val="00FE500D"/>
    <w:rsid w:val="00FE77D2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F28C13A"/>
  <w15:docId w15:val="{71D14934-2434-46B7-90F1-46CABA0F5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9131F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9131F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9131F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9131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9131F"/>
    <w:pPr>
      <w:outlineLvl w:val="4"/>
    </w:pPr>
  </w:style>
  <w:style w:type="paragraph" w:styleId="Heading6">
    <w:name w:val="heading 6"/>
    <w:basedOn w:val="Heading4"/>
    <w:next w:val="Normal"/>
    <w:qFormat/>
    <w:rsid w:val="00B9131F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9131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9131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B9131F"/>
    <w:rPr>
      <w:rFonts w:asciiTheme="minorHAnsi" w:hAnsiTheme="minorHAnsi"/>
      <w:sz w:val="24"/>
    </w:rPr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D024CA"/>
    <w:pPr>
      <w:keepLines/>
      <w:tabs>
        <w:tab w:val="left" w:pos="284"/>
      </w:tabs>
      <w:ind w:left="284" w:hanging="284"/>
    </w:pPr>
    <w:rPr>
      <w:sz w:val="22"/>
    </w:r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qFormat/>
    <w:rsid w:val="001A3154"/>
    <w:pPr>
      <w:spacing w:before="80"/>
      <w:ind w:left="567" w:hanging="567"/>
    </w:pPr>
  </w:style>
  <w:style w:type="paragraph" w:customStyle="1" w:styleId="enumlev2">
    <w:name w:val="enumlev2"/>
    <w:basedOn w:val="enumlev1"/>
    <w:qFormat/>
    <w:rsid w:val="001A3154"/>
    <w:pPr>
      <w:ind w:left="1134"/>
    </w:pPr>
  </w:style>
  <w:style w:type="paragraph" w:customStyle="1" w:styleId="enumlev3">
    <w:name w:val="enumlev3"/>
    <w:basedOn w:val="enumlev2"/>
    <w:qFormat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142EE0"/>
    <w:pPr>
      <w:framePr w:hSpace="181" w:wrap="around" w:vAnchor="page" w:hAnchor="page" w:x="1589" w:y="2314"/>
      <w:spacing w:before="840"/>
      <w:jc w:val="both"/>
    </w:pPr>
    <w:rPr>
      <w:b/>
      <w:sz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9131F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B9131F"/>
    <w:pPr>
      <w:spacing w:before="160"/>
      <w:ind w:left="0" w:firstLine="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qFormat/>
    <w:rsid w:val="00221F46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qFormat/>
    <w:rsid w:val="00221F46"/>
    <w:pPr>
      <w:keepNext/>
      <w:keepLines/>
      <w:spacing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qFormat/>
    <w:rsid w:val="00221F46"/>
    <w:pPr>
      <w:keepNext/>
      <w:keepLines/>
      <w:jc w:val="center"/>
    </w:pPr>
  </w:style>
  <w:style w:type="paragraph" w:customStyle="1" w:styleId="Call">
    <w:name w:val="Call"/>
    <w:basedOn w:val="Normal"/>
    <w:next w:val="Normal"/>
    <w:qFormat/>
    <w:rsid w:val="00F641E1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176F47"/>
    <w:pPr>
      <w:framePr w:wrap="around" w:vAnchor="margin" w:hAnchor="text" w:x="1821" w:y="2317"/>
      <w:spacing w:before="120"/>
    </w:pPr>
    <w:rPr>
      <w:szCs w:val="32"/>
    </w:rPr>
  </w:style>
  <w:style w:type="paragraph" w:customStyle="1" w:styleId="Figure">
    <w:name w:val="Figure"/>
    <w:basedOn w:val="Normal"/>
    <w:next w:val="Figuretitle"/>
    <w:qFormat/>
    <w:rsid w:val="001A3154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qFormat/>
    <w:rsid w:val="001A3154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qFormat/>
    <w:rsid w:val="00B9131F"/>
    <w:pPr>
      <w:spacing w:before="20" w:after="240"/>
    </w:pPr>
    <w:rPr>
      <w:sz w:val="20"/>
    </w:rPr>
  </w:style>
  <w:style w:type="paragraph" w:customStyle="1" w:styleId="FigureNo">
    <w:name w:val="Figure_No"/>
    <w:basedOn w:val="Normal"/>
    <w:next w:val="Figuretitle"/>
    <w:qFormat/>
    <w:rsid w:val="001A3154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1A3154"/>
  </w:style>
  <w:style w:type="paragraph" w:customStyle="1" w:styleId="Headingi">
    <w:name w:val="Heading_i"/>
    <w:basedOn w:val="Heading3"/>
    <w:next w:val="Normal"/>
    <w:rsid w:val="00B9131F"/>
    <w:pPr>
      <w:spacing w:before="160"/>
      <w:ind w:left="0" w:firstLine="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/>
      <w:jc w:val="center"/>
    </w:pPr>
    <w:rPr>
      <w:b/>
    </w:rPr>
  </w:style>
  <w:style w:type="paragraph" w:customStyle="1" w:styleId="ArtNo">
    <w:name w:val="Art_No"/>
    <w:basedOn w:val="Normal"/>
    <w:next w:val="Art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qFormat/>
    <w:rsid w:val="00813E5E"/>
  </w:style>
  <w:style w:type="paragraph" w:customStyle="1" w:styleId="Chaptitle">
    <w:name w:val="Chap_title"/>
    <w:basedOn w:val="Arttitle"/>
    <w:next w:val="Normal"/>
    <w:qFormat/>
    <w:rsid w:val="001A315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FD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7995"/>
    <w:rPr>
      <w:color w:val="666666"/>
    </w:rPr>
  </w:style>
  <w:style w:type="paragraph" w:customStyle="1" w:styleId="Reasons">
    <w:name w:val="Reasons"/>
    <w:basedOn w:val="Normal"/>
    <w:qFormat/>
    <w:rsid w:val="007A3FC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styleId="NormalWeb">
    <w:name w:val="Normal (Web)"/>
    <w:basedOn w:val="Normal"/>
    <w:uiPriority w:val="99"/>
    <w:unhideWhenUsed/>
    <w:rsid w:val="0024558F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A677B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677B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7BF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77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677BF"/>
    <w:rPr>
      <w:rFonts w:ascii="Calibri" w:hAnsi="Calibri"/>
      <w:b/>
      <w:bCs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A677B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677BF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6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3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42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89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www.itu.int/md/S26-CL-C-0052/en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a30bc21b-5163-4139-8f5b-d8aefeac8aa6</TitusGUID>
  <TitusMetadata xmlns="">eyJucyI6Imh0dHA6XC9cL3d3dy50aXR1cy5jb21cL25zXC9tZWxpc3NhIiwicHJvcHMiOlt7Im4iOiJDTEFTU0lGSUNBVElPTiIsInZhbHMiOlt7InZhbHVlIjoiVElUVVNfSU5URVJOQUwifV19XX0=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5877-EA6E-4318-BF66-644E388EF7D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EA6C7543-579C-43EB-B68F-41863E73E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541</Words>
  <Characters>3263</Characters>
  <Application>Microsoft Office Word</Application>
  <DocSecurity>0</DocSecurity>
  <Lines>68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Enhancing the effectiveness of the Council Working Group on international Internet-related public policy issues</vt:lpstr>
    </vt:vector>
  </TitlesOfParts>
  <Manager>General Secretariat</Manager>
  <Company>International Telecommunication Union (ITU)</Company>
  <LinksUpToDate>false</LinksUpToDate>
  <CharactersWithSpaces>3778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Enhancing the effectiveness of the Council Working Group on international Internet-related public policy issues</dc:title>
  <dc:subject>ITU Council 2026</dc:subject>
  <cp:keywords>C26; C2026; Council 2026; PP26</cp:keywords>
  <dc:description/>
  <cp:lastPrinted>2000-07-18T13:30:00Z</cp:lastPrinted>
  <dcterms:created xsi:type="dcterms:W3CDTF">2026-04-21T11:51:00Z</dcterms:created>
  <dcterms:modified xsi:type="dcterms:W3CDTF">2026-04-21T13:09:00Z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caebc3b039d2086fae139bdca98a6c61c028c4ec16ce6ef236d196610d84ef77</vt:lpwstr>
  </property>
  <property fmtid="{D5CDD505-2E9C-101B-9397-08002B2CF9AE}" pid="9" name="TitusGUID">
    <vt:lpwstr>a30bc21b-5163-4139-8f5b-d8aefeac8aa6</vt:lpwstr>
  </property>
  <property fmtid="{D5CDD505-2E9C-101B-9397-08002B2CF9AE}" pid="10" name="OriginatingUser">
    <vt:lpwstr>raanazi</vt:lpwstr>
  </property>
  <property fmtid="{D5CDD505-2E9C-101B-9397-08002B2CF9AE}" pid="11" name="CLASSIFICATION">
    <vt:lpwstr>TITUS_INTERNAL</vt:lpwstr>
  </property>
</Properties>
</file>