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5078C5" w14:paraId="316F8853" w14:textId="77777777" w:rsidTr="00C4421B">
        <w:trPr>
          <w:cantSplit/>
          <w:trHeight w:val="23"/>
        </w:trPr>
        <w:tc>
          <w:tcPr>
            <w:tcW w:w="3969" w:type="dxa"/>
            <w:vMerge w:val="restart"/>
            <w:tcMar>
              <w:left w:w="0" w:type="dxa"/>
            </w:tcMar>
          </w:tcPr>
          <w:p w14:paraId="67F6820A" w14:textId="44B8E84C" w:rsidR="00FE57F6" w:rsidRPr="005078C5" w:rsidRDefault="00CC1FAF" w:rsidP="00C4421B">
            <w:pPr>
              <w:tabs>
                <w:tab w:val="left" w:pos="851"/>
              </w:tabs>
              <w:spacing w:before="0" w:line="240" w:lineRule="atLeast"/>
              <w:rPr>
                <w:b/>
                <w:lang w:val="es-ES_tradnl"/>
              </w:rPr>
            </w:pPr>
            <w:bookmarkStart w:id="0" w:name="_Hlk133421839"/>
            <w:r w:rsidRPr="005078C5">
              <w:rPr>
                <w:b/>
                <w:lang w:val="es-ES_tradnl"/>
              </w:rPr>
              <w:t>Punto del o</w:t>
            </w:r>
            <w:r w:rsidR="00BB6FD8" w:rsidRPr="005078C5">
              <w:rPr>
                <w:b/>
                <w:lang w:val="es-ES_tradnl"/>
              </w:rPr>
              <w:t>rden del día</w:t>
            </w:r>
            <w:r w:rsidR="00FE57F6" w:rsidRPr="005078C5">
              <w:rPr>
                <w:b/>
                <w:lang w:val="es-ES_tradnl"/>
              </w:rPr>
              <w:t xml:space="preserve">: </w:t>
            </w:r>
            <w:r w:rsidR="004751C3" w:rsidRPr="005078C5">
              <w:rPr>
                <w:b/>
                <w:lang w:val="es-ES_tradnl"/>
              </w:rPr>
              <w:t>ADM 1</w:t>
            </w:r>
          </w:p>
        </w:tc>
        <w:tc>
          <w:tcPr>
            <w:tcW w:w="5245" w:type="dxa"/>
          </w:tcPr>
          <w:p w14:paraId="76E7B09E" w14:textId="62F84772" w:rsidR="00FE57F6" w:rsidRPr="005078C5" w:rsidRDefault="00FE57F6" w:rsidP="00C4421B">
            <w:pPr>
              <w:tabs>
                <w:tab w:val="left" w:pos="851"/>
              </w:tabs>
              <w:spacing w:before="0" w:line="240" w:lineRule="atLeast"/>
              <w:jc w:val="right"/>
              <w:rPr>
                <w:b/>
                <w:lang w:val="es-ES_tradnl"/>
              </w:rPr>
            </w:pPr>
            <w:r w:rsidRPr="005078C5">
              <w:rPr>
                <w:b/>
                <w:lang w:val="es-ES_tradnl"/>
              </w:rPr>
              <w:t>Document</w:t>
            </w:r>
            <w:r w:rsidR="00F24B71" w:rsidRPr="005078C5">
              <w:rPr>
                <w:b/>
                <w:lang w:val="es-ES_tradnl"/>
              </w:rPr>
              <w:t>o</w:t>
            </w:r>
            <w:r w:rsidRPr="005078C5">
              <w:rPr>
                <w:b/>
                <w:lang w:val="es-ES_tradnl"/>
              </w:rPr>
              <w:t xml:space="preserve"> </w:t>
            </w:r>
            <w:proofErr w:type="spellStart"/>
            <w:r w:rsidRPr="005078C5">
              <w:rPr>
                <w:b/>
                <w:lang w:val="es-ES_tradnl"/>
              </w:rPr>
              <w:t>C2</w:t>
            </w:r>
            <w:r w:rsidR="00F85E5C" w:rsidRPr="005078C5">
              <w:rPr>
                <w:b/>
                <w:lang w:val="es-ES_tradnl"/>
              </w:rPr>
              <w:t>6</w:t>
            </w:r>
            <w:proofErr w:type="spellEnd"/>
            <w:r w:rsidRPr="005078C5">
              <w:rPr>
                <w:b/>
                <w:lang w:val="es-ES_tradnl"/>
              </w:rPr>
              <w:t>/</w:t>
            </w:r>
            <w:r w:rsidR="004751C3" w:rsidRPr="005078C5">
              <w:rPr>
                <w:b/>
                <w:lang w:val="es-ES_tradnl"/>
              </w:rPr>
              <w:t>98</w:t>
            </w:r>
            <w:r w:rsidRPr="005078C5">
              <w:rPr>
                <w:b/>
                <w:lang w:val="es-ES_tradnl"/>
              </w:rPr>
              <w:t>-</w:t>
            </w:r>
            <w:r w:rsidR="00F24B71" w:rsidRPr="005078C5">
              <w:rPr>
                <w:b/>
                <w:lang w:val="es-ES_tradnl"/>
              </w:rPr>
              <w:t>S</w:t>
            </w:r>
          </w:p>
        </w:tc>
      </w:tr>
      <w:tr w:rsidR="00FE57F6" w:rsidRPr="005078C5" w14:paraId="64070FE9" w14:textId="77777777" w:rsidTr="00C4421B">
        <w:trPr>
          <w:cantSplit/>
        </w:trPr>
        <w:tc>
          <w:tcPr>
            <w:tcW w:w="3969" w:type="dxa"/>
            <w:vMerge/>
          </w:tcPr>
          <w:p w14:paraId="1ECD936C" w14:textId="77777777" w:rsidR="00FE57F6" w:rsidRPr="005078C5" w:rsidRDefault="00FE57F6" w:rsidP="00C4421B">
            <w:pPr>
              <w:tabs>
                <w:tab w:val="left" w:pos="851"/>
              </w:tabs>
              <w:spacing w:line="240" w:lineRule="atLeast"/>
              <w:rPr>
                <w:b/>
                <w:lang w:val="es-ES_tradnl"/>
              </w:rPr>
            </w:pPr>
          </w:p>
        </w:tc>
        <w:tc>
          <w:tcPr>
            <w:tcW w:w="5245" w:type="dxa"/>
          </w:tcPr>
          <w:p w14:paraId="4F9D63B6" w14:textId="51BF0451" w:rsidR="00FE57F6" w:rsidRPr="005078C5" w:rsidRDefault="004751C3" w:rsidP="00C4421B">
            <w:pPr>
              <w:tabs>
                <w:tab w:val="left" w:pos="851"/>
              </w:tabs>
              <w:spacing w:before="0"/>
              <w:jc w:val="right"/>
              <w:rPr>
                <w:b/>
                <w:lang w:val="es-ES_tradnl"/>
              </w:rPr>
            </w:pPr>
            <w:r w:rsidRPr="005078C5">
              <w:rPr>
                <w:b/>
                <w:lang w:val="es-ES_tradnl"/>
              </w:rPr>
              <w:t>14 de abril de 2026</w:t>
            </w:r>
          </w:p>
        </w:tc>
      </w:tr>
      <w:tr w:rsidR="00FE57F6" w:rsidRPr="005078C5" w14:paraId="0629A367" w14:textId="77777777" w:rsidTr="00C4421B">
        <w:trPr>
          <w:cantSplit/>
          <w:trHeight w:val="23"/>
        </w:trPr>
        <w:tc>
          <w:tcPr>
            <w:tcW w:w="3969" w:type="dxa"/>
            <w:vMerge/>
          </w:tcPr>
          <w:p w14:paraId="7DFA52D4" w14:textId="77777777" w:rsidR="00FE57F6" w:rsidRPr="005078C5" w:rsidRDefault="00FE57F6" w:rsidP="00C4421B">
            <w:pPr>
              <w:tabs>
                <w:tab w:val="left" w:pos="851"/>
              </w:tabs>
              <w:spacing w:line="240" w:lineRule="atLeast"/>
              <w:rPr>
                <w:b/>
                <w:lang w:val="es-ES_tradnl"/>
              </w:rPr>
            </w:pPr>
          </w:p>
        </w:tc>
        <w:tc>
          <w:tcPr>
            <w:tcW w:w="5245" w:type="dxa"/>
          </w:tcPr>
          <w:p w14:paraId="07489285" w14:textId="77777777" w:rsidR="00FE57F6" w:rsidRPr="005078C5" w:rsidRDefault="00F24B71" w:rsidP="00C4421B">
            <w:pPr>
              <w:tabs>
                <w:tab w:val="left" w:pos="851"/>
              </w:tabs>
              <w:spacing w:before="0" w:line="240" w:lineRule="atLeast"/>
              <w:jc w:val="right"/>
              <w:rPr>
                <w:b/>
                <w:bCs/>
                <w:lang w:val="es-ES_tradnl"/>
              </w:rPr>
            </w:pPr>
            <w:r w:rsidRPr="005078C5">
              <w:rPr>
                <w:rFonts w:cstheme="minorHAnsi"/>
                <w:b/>
                <w:bCs/>
                <w:lang w:val="es-ES_tradnl"/>
              </w:rPr>
              <w:t>Original: inglés</w:t>
            </w:r>
          </w:p>
        </w:tc>
      </w:tr>
      <w:tr w:rsidR="00FE57F6" w:rsidRPr="005078C5" w14:paraId="2E2217DB" w14:textId="77777777" w:rsidTr="00C4421B">
        <w:trPr>
          <w:cantSplit/>
          <w:trHeight w:val="23"/>
        </w:trPr>
        <w:tc>
          <w:tcPr>
            <w:tcW w:w="3969" w:type="dxa"/>
          </w:tcPr>
          <w:p w14:paraId="066E6AE8" w14:textId="77777777" w:rsidR="00FE57F6" w:rsidRPr="005078C5" w:rsidRDefault="00FE57F6" w:rsidP="00C4421B">
            <w:pPr>
              <w:tabs>
                <w:tab w:val="left" w:pos="851"/>
              </w:tabs>
              <w:spacing w:line="240" w:lineRule="atLeast"/>
              <w:rPr>
                <w:b/>
                <w:lang w:val="es-ES_tradnl"/>
              </w:rPr>
            </w:pPr>
          </w:p>
        </w:tc>
        <w:tc>
          <w:tcPr>
            <w:tcW w:w="5245" w:type="dxa"/>
          </w:tcPr>
          <w:p w14:paraId="5507FA81" w14:textId="77777777" w:rsidR="00FE57F6" w:rsidRPr="005078C5" w:rsidRDefault="00FE57F6" w:rsidP="00C4421B">
            <w:pPr>
              <w:tabs>
                <w:tab w:val="left" w:pos="851"/>
              </w:tabs>
              <w:spacing w:before="0" w:line="240" w:lineRule="atLeast"/>
              <w:jc w:val="right"/>
              <w:rPr>
                <w:b/>
                <w:lang w:val="es-ES_tradnl"/>
              </w:rPr>
            </w:pPr>
          </w:p>
        </w:tc>
      </w:tr>
      <w:tr w:rsidR="00FE57F6" w:rsidRPr="005078C5" w14:paraId="4E55CE6B" w14:textId="77777777" w:rsidTr="00C4421B">
        <w:trPr>
          <w:cantSplit/>
        </w:trPr>
        <w:tc>
          <w:tcPr>
            <w:tcW w:w="9214" w:type="dxa"/>
            <w:gridSpan w:val="2"/>
            <w:tcMar>
              <w:left w:w="0" w:type="dxa"/>
            </w:tcMar>
          </w:tcPr>
          <w:p w14:paraId="6CFA0319" w14:textId="4FA93597" w:rsidR="00FE57F6" w:rsidRPr="005078C5" w:rsidRDefault="004751C3" w:rsidP="00C4421B">
            <w:pPr>
              <w:pStyle w:val="Source"/>
              <w:jc w:val="left"/>
              <w:rPr>
                <w:sz w:val="34"/>
                <w:szCs w:val="34"/>
                <w:lang w:val="es-ES_tradnl"/>
              </w:rPr>
            </w:pPr>
            <w:r w:rsidRPr="005078C5">
              <w:rPr>
                <w:rFonts w:cstheme="minorHAnsi"/>
                <w:sz w:val="34"/>
                <w:szCs w:val="34"/>
                <w:lang w:val="es-ES_tradnl"/>
              </w:rPr>
              <w:t>Contribución de la Arabia Saudita (Reino de)</w:t>
            </w:r>
            <w:r w:rsidR="00BF3FAF" w:rsidRPr="005078C5">
              <w:rPr>
                <w:rFonts w:cstheme="minorHAnsi"/>
                <w:sz w:val="34"/>
                <w:szCs w:val="34"/>
                <w:lang w:val="es-ES_tradnl"/>
              </w:rPr>
              <w:t xml:space="preserve"> y </w:t>
            </w:r>
            <w:r w:rsidR="004C364E" w:rsidRPr="005078C5">
              <w:rPr>
                <w:rFonts w:cstheme="minorHAnsi"/>
                <w:sz w:val="34"/>
                <w:szCs w:val="34"/>
                <w:lang w:val="es-ES_tradnl"/>
              </w:rPr>
              <w:br/>
            </w:r>
            <w:r w:rsidR="00BF3FAF" w:rsidRPr="005078C5">
              <w:rPr>
                <w:rFonts w:cstheme="minorHAnsi"/>
                <w:sz w:val="34"/>
                <w:szCs w:val="34"/>
                <w:lang w:val="es-ES_tradnl"/>
              </w:rPr>
              <w:t>Marruecos (Reino de)</w:t>
            </w:r>
          </w:p>
        </w:tc>
      </w:tr>
      <w:tr w:rsidR="00FE57F6" w:rsidRPr="005078C5" w14:paraId="49090269" w14:textId="77777777" w:rsidTr="00C4421B">
        <w:trPr>
          <w:cantSplit/>
        </w:trPr>
        <w:tc>
          <w:tcPr>
            <w:tcW w:w="9214" w:type="dxa"/>
            <w:gridSpan w:val="2"/>
            <w:tcMar>
              <w:left w:w="0" w:type="dxa"/>
            </w:tcMar>
          </w:tcPr>
          <w:p w14:paraId="4CDCADEC" w14:textId="052A94AA" w:rsidR="00FE57F6" w:rsidRPr="005078C5" w:rsidRDefault="00D40017" w:rsidP="00C4421B">
            <w:pPr>
              <w:pStyle w:val="Subtitle"/>
              <w:framePr w:hSpace="0" w:wrap="auto" w:hAnchor="text" w:xAlign="left" w:yAlign="inline"/>
              <w:rPr>
                <w:lang w:val="es-ES_tradnl"/>
              </w:rPr>
            </w:pPr>
            <w:r w:rsidRPr="005078C5">
              <w:rPr>
                <w:lang w:val="es-ES_tradnl"/>
              </w:rPr>
              <w:t>MEJORA DE LA RECUPERACIÓN DE COSTES DE LAS NOTIFICACIONES DE REDES DE SATÉLITE (</w:t>
            </w:r>
            <w:proofErr w:type="spellStart"/>
            <w:r w:rsidRPr="005078C5">
              <w:rPr>
                <w:lang w:val="es-ES_tradnl"/>
              </w:rPr>
              <w:t>SNF</w:t>
            </w:r>
            <w:proofErr w:type="spellEnd"/>
            <w:r w:rsidRPr="005078C5">
              <w:rPr>
                <w:lang w:val="es-ES_tradnl"/>
              </w:rPr>
              <w:t>) Y TRATAMIENTO DE LOS RETRASOS DE TRAMITACIÓN EN LA OFICINA DE RADIOCOMUNICACIONES</w:t>
            </w:r>
          </w:p>
        </w:tc>
      </w:tr>
      <w:tr w:rsidR="00FE57F6" w:rsidRPr="005078C5" w14:paraId="1E7A84F0" w14:textId="77777777" w:rsidTr="00C4421B">
        <w:trPr>
          <w:cantSplit/>
        </w:trPr>
        <w:tc>
          <w:tcPr>
            <w:tcW w:w="9214" w:type="dxa"/>
            <w:gridSpan w:val="2"/>
            <w:tcBorders>
              <w:top w:val="single" w:sz="4" w:space="0" w:color="auto"/>
              <w:bottom w:val="single" w:sz="4" w:space="0" w:color="auto"/>
            </w:tcBorders>
            <w:tcMar>
              <w:left w:w="0" w:type="dxa"/>
            </w:tcMar>
          </w:tcPr>
          <w:p w14:paraId="79AE6183" w14:textId="195A3E12" w:rsidR="00FE57F6" w:rsidRPr="005078C5" w:rsidRDefault="004751C3" w:rsidP="00C4421B">
            <w:pPr>
              <w:spacing w:before="160"/>
              <w:rPr>
                <w:b/>
                <w:bCs/>
                <w:sz w:val="26"/>
                <w:szCs w:val="26"/>
                <w:lang w:val="es-ES_tradnl"/>
              </w:rPr>
            </w:pPr>
            <w:r w:rsidRPr="005078C5">
              <w:rPr>
                <w:b/>
                <w:bCs/>
                <w:sz w:val="26"/>
                <w:szCs w:val="26"/>
                <w:lang w:val="es-ES_tradnl"/>
              </w:rPr>
              <w:t>Objetivo</w:t>
            </w:r>
          </w:p>
          <w:p w14:paraId="78DBF5D6" w14:textId="77777777" w:rsidR="004751C3" w:rsidRPr="005078C5" w:rsidRDefault="004751C3" w:rsidP="005C503A">
            <w:pPr>
              <w:jc w:val="both"/>
              <w:rPr>
                <w:lang w:val="es-ES_tradnl"/>
              </w:rPr>
            </w:pPr>
            <w:r w:rsidRPr="005078C5">
              <w:rPr>
                <w:lang w:val="es-ES_tradnl"/>
              </w:rPr>
              <w:t>Esta contribución tiene por objeto examinar y reforzar el actual marco de recuperación de costes de las notificaciones de redes de satélites (</w:t>
            </w:r>
            <w:proofErr w:type="spellStart"/>
            <w:r w:rsidRPr="005078C5">
              <w:rPr>
                <w:lang w:val="es-ES_tradnl"/>
              </w:rPr>
              <w:t>SNF</w:t>
            </w:r>
            <w:proofErr w:type="spellEnd"/>
            <w:r w:rsidRPr="005078C5">
              <w:rPr>
                <w:lang w:val="es-ES_tradnl"/>
              </w:rPr>
              <w:t>) a la luz del aumento de la carga de trabajo, los desequilibrios financieros y las dificultades operacionales a las que se enfrenta la Oficina de Radiocomunicaciones (BR). Su objetivo es garantizar que la metodología se ajusta a los principios de la Resolución 91 de la PP y del Acuerdo 482 (modificado en 2025), mejorando al mismo tiempo la proporcionalidad, la previsibilidad y la eficiencia.</w:t>
            </w:r>
          </w:p>
          <w:p w14:paraId="31DFE9F5" w14:textId="2973010A" w:rsidR="00FE57F6" w:rsidRPr="005078C5" w:rsidRDefault="004751C3" w:rsidP="005C503A">
            <w:pPr>
              <w:jc w:val="both"/>
              <w:rPr>
                <w:lang w:val="es-ES_tradnl"/>
              </w:rPr>
            </w:pPr>
            <w:r w:rsidRPr="005078C5">
              <w:rPr>
                <w:lang w:val="es-ES_tradnl"/>
              </w:rPr>
              <w:t>Además, se destaca el creciente problema de los retrasos en la tramitación de notificaciones de redes de satélites y sus repercusiones reglamentarias, operativas y financieras para los Estados Miembros, y se proponen medidas para restablecer el equilibrio entre la carga de trabajo y los recursos disponibles.</w:t>
            </w:r>
          </w:p>
          <w:p w14:paraId="761F3025" w14:textId="77777777" w:rsidR="00FE57F6" w:rsidRPr="005078C5" w:rsidRDefault="00F24B71" w:rsidP="00C4421B">
            <w:pPr>
              <w:spacing w:before="160"/>
              <w:rPr>
                <w:b/>
                <w:bCs/>
                <w:sz w:val="26"/>
                <w:szCs w:val="26"/>
                <w:lang w:val="es-ES_tradnl"/>
              </w:rPr>
            </w:pPr>
            <w:r w:rsidRPr="005078C5">
              <w:rPr>
                <w:b/>
                <w:bCs/>
                <w:sz w:val="26"/>
                <w:szCs w:val="26"/>
                <w:lang w:val="es-ES_tradnl"/>
              </w:rPr>
              <w:t xml:space="preserve">Acción solicitada </w:t>
            </w:r>
            <w:r w:rsidR="00677A97" w:rsidRPr="005078C5">
              <w:rPr>
                <w:b/>
                <w:bCs/>
                <w:sz w:val="26"/>
                <w:szCs w:val="26"/>
                <w:lang w:val="es-ES_tradnl"/>
              </w:rPr>
              <w:t>al</w:t>
            </w:r>
            <w:r w:rsidRPr="005078C5">
              <w:rPr>
                <w:b/>
                <w:bCs/>
                <w:sz w:val="26"/>
                <w:szCs w:val="26"/>
                <w:lang w:val="es-ES_tradnl"/>
              </w:rPr>
              <w:t xml:space="preserve"> Consejo</w:t>
            </w:r>
          </w:p>
          <w:p w14:paraId="2586FAF9" w14:textId="1FCEE3E8" w:rsidR="00F92BED" w:rsidRPr="005078C5" w:rsidRDefault="004751C3" w:rsidP="00C4421B">
            <w:pPr>
              <w:spacing w:before="160"/>
              <w:rPr>
                <w:szCs w:val="24"/>
                <w:lang w:val="es-ES_tradnl"/>
              </w:rPr>
            </w:pPr>
            <w:r w:rsidRPr="005078C5">
              <w:rPr>
                <w:szCs w:val="24"/>
                <w:lang w:val="es-ES_tradnl"/>
              </w:rPr>
              <w:t>Se invita al Consejo a examinar las opiniones y propuestas contenidas en la presente contribución.</w:t>
            </w:r>
          </w:p>
          <w:p w14:paraId="2CEF6D57" w14:textId="77777777" w:rsidR="00FE57F6" w:rsidRPr="005078C5" w:rsidRDefault="00FE57F6" w:rsidP="00C4421B">
            <w:pPr>
              <w:spacing w:before="160"/>
              <w:rPr>
                <w:caps/>
                <w:sz w:val="22"/>
                <w:lang w:val="es-ES_tradnl"/>
              </w:rPr>
            </w:pPr>
            <w:r w:rsidRPr="005078C5">
              <w:rPr>
                <w:sz w:val="22"/>
                <w:lang w:val="es-ES_tradnl"/>
              </w:rPr>
              <w:t>__________________</w:t>
            </w:r>
          </w:p>
          <w:p w14:paraId="78426FC7" w14:textId="77777777" w:rsidR="00FE57F6" w:rsidRPr="005078C5" w:rsidRDefault="00F24B71" w:rsidP="00C4421B">
            <w:pPr>
              <w:spacing w:before="160"/>
              <w:rPr>
                <w:b/>
                <w:bCs/>
                <w:sz w:val="26"/>
                <w:szCs w:val="26"/>
                <w:lang w:val="es-ES_tradnl"/>
              </w:rPr>
            </w:pPr>
            <w:r w:rsidRPr="005078C5">
              <w:rPr>
                <w:b/>
                <w:bCs/>
                <w:sz w:val="26"/>
                <w:szCs w:val="26"/>
                <w:lang w:val="es-ES_tradnl"/>
              </w:rPr>
              <w:t>Referencia</w:t>
            </w:r>
            <w:r w:rsidR="00F92BED" w:rsidRPr="005078C5">
              <w:rPr>
                <w:b/>
                <w:bCs/>
                <w:sz w:val="26"/>
                <w:szCs w:val="26"/>
                <w:lang w:val="es-ES_tradnl"/>
              </w:rPr>
              <w:t>s</w:t>
            </w:r>
            <w:r w:rsidR="00D375E0" w:rsidRPr="005078C5">
              <w:rPr>
                <w:sz w:val="26"/>
                <w:szCs w:val="26"/>
                <w:lang w:val="es-ES_tradnl"/>
              </w:rPr>
              <w:t xml:space="preserve"> </w:t>
            </w:r>
          </w:p>
          <w:p w14:paraId="27C728F2" w14:textId="656BEA3D" w:rsidR="00FE57F6" w:rsidRPr="005078C5" w:rsidRDefault="005C503A" w:rsidP="00C4421B">
            <w:pPr>
              <w:spacing w:after="160"/>
              <w:rPr>
                <w:i/>
                <w:iCs/>
                <w:sz w:val="22"/>
                <w:szCs w:val="22"/>
                <w:lang w:val="es-ES_tradnl"/>
              </w:rPr>
            </w:pPr>
            <w:r w:rsidRPr="005078C5">
              <w:rPr>
                <w:i/>
                <w:iCs/>
                <w:sz w:val="22"/>
                <w:szCs w:val="22"/>
                <w:lang w:val="es-ES_tradnl"/>
              </w:rPr>
              <w:t xml:space="preserve">Resolución </w:t>
            </w:r>
            <w:hyperlink r:id="rId7" w:history="1">
              <w:r w:rsidR="004751C3" w:rsidRPr="005078C5">
                <w:rPr>
                  <w:rStyle w:val="Hyperlink"/>
                  <w:rFonts w:eastAsia="Times New Roman" w:cs="Times New Roman"/>
                  <w:i/>
                  <w:iCs/>
                  <w:sz w:val="22"/>
                  <w:lang w:val="es-ES_tradnl"/>
                </w:rPr>
                <w:t>91 (Rev. Guadalajara, 2010)</w:t>
              </w:r>
            </w:hyperlink>
            <w:r w:rsidR="004751C3" w:rsidRPr="005078C5">
              <w:rPr>
                <w:i/>
                <w:iCs/>
                <w:sz w:val="22"/>
                <w:szCs w:val="22"/>
                <w:lang w:val="es-ES_tradnl"/>
              </w:rPr>
              <w:t xml:space="preserve"> de la Conferencia de Plenipotenciarios;</w:t>
            </w:r>
            <w:r w:rsidRPr="005078C5">
              <w:rPr>
                <w:i/>
                <w:iCs/>
                <w:sz w:val="22"/>
                <w:szCs w:val="22"/>
                <w:lang w:val="es-ES_tradnl"/>
              </w:rPr>
              <w:t xml:space="preserve"> </w:t>
            </w:r>
            <w:r w:rsidRPr="005078C5">
              <w:rPr>
                <w:i/>
                <w:iCs/>
                <w:sz w:val="22"/>
                <w:szCs w:val="22"/>
                <w:lang w:val="es-ES_tradnl"/>
              </w:rPr>
              <w:t>Acuerdo</w:t>
            </w:r>
            <w:r w:rsidR="004751C3" w:rsidRPr="005078C5">
              <w:rPr>
                <w:i/>
                <w:iCs/>
                <w:sz w:val="22"/>
                <w:szCs w:val="22"/>
                <w:lang w:val="es-ES_tradnl"/>
              </w:rPr>
              <w:t xml:space="preserve"> </w:t>
            </w:r>
            <w:hyperlink r:id="rId8" w:history="1">
              <w:r w:rsidR="004751C3" w:rsidRPr="005078C5">
                <w:rPr>
                  <w:rStyle w:val="Hyperlink"/>
                  <w:rFonts w:eastAsia="Times New Roman" w:cs="Times New Roman"/>
                  <w:i/>
                  <w:iCs/>
                  <w:sz w:val="22"/>
                  <w:lang w:val="es-ES_tradnl"/>
                </w:rPr>
                <w:t xml:space="preserve">482 (CO1, modificado por última vez </w:t>
              </w:r>
              <w:proofErr w:type="spellStart"/>
              <w:r w:rsidR="004751C3" w:rsidRPr="005078C5">
                <w:rPr>
                  <w:rStyle w:val="Hyperlink"/>
                  <w:rFonts w:eastAsia="Times New Roman" w:cs="Times New Roman"/>
                  <w:i/>
                  <w:iCs/>
                  <w:sz w:val="22"/>
                  <w:lang w:val="es-ES_tradnl"/>
                </w:rPr>
                <w:t>C25</w:t>
              </w:r>
              <w:proofErr w:type="spellEnd"/>
              <w:r w:rsidR="004751C3" w:rsidRPr="005078C5">
                <w:rPr>
                  <w:rStyle w:val="Hyperlink"/>
                  <w:rFonts w:eastAsia="Times New Roman" w:cs="Times New Roman"/>
                  <w:i/>
                  <w:iCs/>
                  <w:sz w:val="22"/>
                  <w:lang w:val="es-ES_tradnl"/>
                </w:rPr>
                <w:t>)</w:t>
              </w:r>
            </w:hyperlink>
            <w:r w:rsidR="004751C3" w:rsidRPr="005078C5">
              <w:rPr>
                <w:i/>
                <w:iCs/>
                <w:sz w:val="22"/>
                <w:szCs w:val="22"/>
                <w:lang w:val="es-ES_tradnl"/>
              </w:rPr>
              <w:t xml:space="preserve"> del Consejo; Documentos </w:t>
            </w:r>
            <w:hyperlink r:id="rId9" w:history="1">
              <w:proofErr w:type="spellStart"/>
              <w:r w:rsidR="004751C3" w:rsidRPr="005078C5">
                <w:rPr>
                  <w:rStyle w:val="Hyperlink"/>
                  <w:rFonts w:eastAsia="Times New Roman" w:cs="Times New Roman"/>
                  <w:i/>
                  <w:iCs/>
                  <w:sz w:val="22"/>
                  <w:lang w:val="es-ES_tradnl"/>
                </w:rPr>
                <w:t>C26</w:t>
              </w:r>
              <w:proofErr w:type="spellEnd"/>
              <w:r w:rsidR="004751C3" w:rsidRPr="005078C5">
                <w:rPr>
                  <w:rStyle w:val="Hyperlink"/>
                  <w:rFonts w:eastAsia="Times New Roman" w:cs="Times New Roman"/>
                  <w:i/>
                  <w:iCs/>
                  <w:sz w:val="22"/>
                  <w:lang w:val="es-ES_tradnl"/>
                </w:rPr>
                <w:t>/16</w:t>
              </w:r>
            </w:hyperlink>
            <w:r w:rsidRPr="005078C5">
              <w:rPr>
                <w:i/>
                <w:iCs/>
                <w:sz w:val="22"/>
                <w:szCs w:val="22"/>
                <w:lang w:val="es-ES_tradnl"/>
              </w:rPr>
              <w:t xml:space="preserve"> and</w:t>
            </w:r>
            <w:r w:rsidR="004751C3" w:rsidRPr="005078C5">
              <w:rPr>
                <w:i/>
                <w:iCs/>
                <w:sz w:val="22"/>
                <w:szCs w:val="22"/>
                <w:lang w:val="es-ES_tradnl"/>
              </w:rPr>
              <w:t xml:space="preserve"> </w:t>
            </w:r>
            <w:hyperlink r:id="rId10" w:history="1">
              <w:proofErr w:type="spellStart"/>
              <w:r w:rsidR="004751C3" w:rsidRPr="005078C5">
                <w:rPr>
                  <w:rStyle w:val="Hyperlink"/>
                  <w:rFonts w:eastAsia="Times New Roman" w:cs="Times New Roman"/>
                  <w:i/>
                  <w:iCs/>
                  <w:sz w:val="22"/>
                  <w:lang w:val="es-ES_tradnl"/>
                </w:rPr>
                <w:t>C26</w:t>
              </w:r>
              <w:proofErr w:type="spellEnd"/>
              <w:r w:rsidR="004751C3" w:rsidRPr="005078C5">
                <w:rPr>
                  <w:rStyle w:val="Hyperlink"/>
                  <w:rFonts w:eastAsia="Times New Roman" w:cs="Times New Roman"/>
                  <w:i/>
                  <w:iCs/>
                  <w:sz w:val="22"/>
                  <w:lang w:val="es-ES_tradnl"/>
                </w:rPr>
                <w:t>/19</w:t>
              </w:r>
            </w:hyperlink>
            <w:r w:rsidRPr="005078C5">
              <w:rPr>
                <w:i/>
                <w:iCs/>
                <w:sz w:val="22"/>
                <w:szCs w:val="22"/>
                <w:lang w:val="es-ES_tradnl"/>
              </w:rPr>
              <w:t xml:space="preserve"> </w:t>
            </w:r>
            <w:r w:rsidRPr="005078C5">
              <w:rPr>
                <w:i/>
                <w:iCs/>
                <w:sz w:val="22"/>
                <w:szCs w:val="22"/>
                <w:lang w:val="es-ES_tradnl"/>
              </w:rPr>
              <w:t>del Consejo</w:t>
            </w:r>
          </w:p>
        </w:tc>
      </w:tr>
      <w:bookmarkEnd w:id="0"/>
    </w:tbl>
    <w:p w14:paraId="5D4AA76E" w14:textId="77777777" w:rsidR="00093EEB" w:rsidRPr="005078C5" w:rsidRDefault="00093EEB">
      <w:pPr>
        <w:rPr>
          <w:lang w:val="es-ES_tradnl"/>
        </w:rPr>
      </w:pPr>
    </w:p>
    <w:p w14:paraId="1406024D" w14:textId="77777777" w:rsidR="001559F5" w:rsidRPr="005078C5"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5078C5">
        <w:rPr>
          <w:lang w:val="es-ES_tradnl"/>
        </w:rPr>
        <w:br w:type="page"/>
      </w:r>
    </w:p>
    <w:p w14:paraId="3A12BE42" w14:textId="5FAF2070" w:rsidR="008F4AE7" w:rsidRPr="005078C5" w:rsidRDefault="008F4AE7" w:rsidP="008F4AE7">
      <w:pPr>
        <w:pStyle w:val="Headingb"/>
        <w:rPr>
          <w:lang w:val="es-ES_tradnl"/>
        </w:rPr>
      </w:pPr>
      <w:r w:rsidRPr="005078C5">
        <w:rPr>
          <w:lang w:val="es-ES_tradnl"/>
        </w:rPr>
        <w:lastRenderedPageBreak/>
        <w:t>Introducción</w:t>
      </w:r>
    </w:p>
    <w:p w14:paraId="7C19CA8E" w14:textId="41B1DE6F" w:rsidR="008F4AE7" w:rsidRPr="005078C5" w:rsidRDefault="008F4AE7" w:rsidP="005C503A">
      <w:pPr>
        <w:jc w:val="both"/>
        <w:rPr>
          <w:rFonts w:asciiTheme="minorHAnsi" w:hAnsiTheme="minorHAnsi" w:cstheme="minorHAnsi"/>
          <w:szCs w:val="24"/>
          <w:lang w:val="es-ES_tradnl"/>
        </w:rPr>
      </w:pPr>
      <w:r w:rsidRPr="005078C5">
        <w:rPr>
          <w:lang w:val="es-ES_tradnl"/>
        </w:rPr>
        <w:t xml:space="preserve">Agradecemos a la Secretaría la preparación del </w:t>
      </w:r>
      <w:r w:rsidR="005C503A" w:rsidRPr="005078C5">
        <w:rPr>
          <w:lang w:val="es-ES_tradnl"/>
        </w:rPr>
        <w:t xml:space="preserve">Informe </w:t>
      </w:r>
      <w:r w:rsidRPr="005078C5">
        <w:rPr>
          <w:lang w:val="es-ES_tradnl"/>
        </w:rPr>
        <w:t xml:space="preserve">anual </w:t>
      </w:r>
      <w:hyperlink r:id="rId11" w:history="1">
        <w:proofErr w:type="spellStart"/>
        <w:r w:rsidRPr="005078C5">
          <w:rPr>
            <w:rStyle w:val="Hyperlink"/>
            <w:rFonts w:eastAsia="Times New Roman" w:cs="Times New Roman"/>
            <w:szCs w:val="20"/>
            <w:lang w:val="es-ES_tradnl"/>
          </w:rPr>
          <w:t>C26</w:t>
        </w:r>
        <w:proofErr w:type="spellEnd"/>
        <w:r w:rsidRPr="005078C5">
          <w:rPr>
            <w:rStyle w:val="Hyperlink"/>
            <w:rFonts w:eastAsia="Times New Roman" w:cs="Times New Roman"/>
            <w:szCs w:val="20"/>
            <w:lang w:val="es-ES_tradnl"/>
          </w:rPr>
          <w:t>/16</w:t>
        </w:r>
      </w:hyperlink>
      <w:r w:rsidRPr="005078C5">
        <w:rPr>
          <w:lang w:val="es-ES_tradnl"/>
        </w:rPr>
        <w:t xml:space="preserve"> y el proyecto de metodología </w:t>
      </w:r>
      <w:hyperlink r:id="rId12" w:history="1">
        <w:proofErr w:type="spellStart"/>
        <w:r w:rsidRPr="005078C5">
          <w:rPr>
            <w:rStyle w:val="Hyperlink"/>
            <w:rFonts w:eastAsia="Times New Roman" w:cs="Times New Roman"/>
            <w:szCs w:val="20"/>
            <w:lang w:val="es-ES_tradnl"/>
          </w:rPr>
          <w:t>C26</w:t>
        </w:r>
        <w:proofErr w:type="spellEnd"/>
        <w:r w:rsidRPr="005078C5">
          <w:rPr>
            <w:rStyle w:val="Hyperlink"/>
            <w:rFonts w:eastAsia="Times New Roman" w:cs="Times New Roman"/>
            <w:szCs w:val="20"/>
            <w:lang w:val="es-ES_tradnl"/>
          </w:rPr>
          <w:t>/19</w:t>
        </w:r>
      </w:hyperlink>
      <w:r w:rsidRPr="005078C5">
        <w:rPr>
          <w:lang w:val="es-ES_tradnl"/>
        </w:rPr>
        <w:t>, así como sus constantes esfuerzos por mejorar la recuperación de los costes de las notificaciones de redes de satélites. También agradecemos la labor del Grupo de Trabajo del Consejo sobre Recursos Humanos y Financieros (</w:t>
      </w:r>
      <w:proofErr w:type="spellStart"/>
      <w:r w:rsidRPr="005078C5">
        <w:rPr>
          <w:lang w:val="es-ES_tradnl"/>
        </w:rPr>
        <w:t>GTC-RHF</w:t>
      </w:r>
      <w:proofErr w:type="spellEnd"/>
      <w:r w:rsidRPr="005078C5">
        <w:rPr>
          <w:lang w:val="es-ES_tradnl"/>
        </w:rPr>
        <w:t>) en esta esfera.</w:t>
      </w:r>
    </w:p>
    <w:p w14:paraId="047CAEF6" w14:textId="77777777" w:rsidR="008F4AE7" w:rsidRPr="005078C5" w:rsidRDefault="008F4AE7" w:rsidP="005C503A">
      <w:pPr>
        <w:jc w:val="both"/>
        <w:rPr>
          <w:rFonts w:asciiTheme="minorHAnsi" w:hAnsiTheme="minorHAnsi" w:cstheme="minorHAnsi"/>
          <w:szCs w:val="24"/>
          <w:lang w:val="es-ES_tradnl"/>
        </w:rPr>
      </w:pPr>
      <w:r w:rsidRPr="005078C5">
        <w:rPr>
          <w:lang w:val="es-ES_tradnl"/>
        </w:rPr>
        <w:t xml:space="preserve">Los Estados Miembros están asistiendo a un aumento del número y complejidad de las notificaciones </w:t>
      </w:r>
      <w:proofErr w:type="spellStart"/>
      <w:r w:rsidRPr="005078C5">
        <w:rPr>
          <w:lang w:val="es-ES_tradnl"/>
        </w:rPr>
        <w:t>SNF</w:t>
      </w:r>
      <w:proofErr w:type="spellEnd"/>
      <w:r w:rsidRPr="005078C5">
        <w:rPr>
          <w:lang w:val="es-ES_tradnl"/>
        </w:rPr>
        <w:t xml:space="preserve">, en particular las grandes constelaciones no geoestacionarias. Estas tendencias han aumentado la carga de trabajo de la Oficina de Radiocomunicaciones (BR), han reducido la previsibilidad del proceso de notificación y han creado una presión financiera sobre el sistema de recuperación de costes </w:t>
      </w:r>
      <w:proofErr w:type="spellStart"/>
      <w:r w:rsidRPr="005078C5">
        <w:rPr>
          <w:lang w:val="es-ES_tradnl"/>
        </w:rPr>
        <w:t>SNF</w:t>
      </w:r>
      <w:proofErr w:type="spellEnd"/>
      <w:r w:rsidRPr="005078C5">
        <w:rPr>
          <w:lang w:val="es-ES_tradnl"/>
        </w:rPr>
        <w:t>. El informe anual muestra que los costes de tramitación superan con creces los ingresos y que los ingresos con demora y los retrasos están aumentando.</w:t>
      </w:r>
    </w:p>
    <w:p w14:paraId="3E50D322" w14:textId="77777777" w:rsidR="008F4AE7" w:rsidRPr="005078C5" w:rsidRDefault="008F4AE7" w:rsidP="005C503A">
      <w:pPr>
        <w:jc w:val="both"/>
        <w:rPr>
          <w:rFonts w:asciiTheme="minorHAnsi" w:hAnsiTheme="minorHAnsi" w:cstheme="minorHAnsi"/>
          <w:szCs w:val="24"/>
          <w:lang w:val="es-ES_tradnl"/>
        </w:rPr>
      </w:pPr>
      <w:r w:rsidRPr="005078C5">
        <w:rPr>
          <w:lang w:val="es-ES_tradnl"/>
        </w:rPr>
        <w:t xml:space="preserve">En este contexto, toda revisión de la metodología de recuperación de costes debe atenerse a los principios establecidos por la Conferencia de Plenipotenciarios (PP) y el Consejo de la UIT. En la Resolución 91 de la PP se pide la recuperación de costes sobre una base de prepago que cubra los costes directos e indirectos de la prestación del servicio, aplique una metodología de atribución proporcional, tenga en cuenta las necesidades especiales de los países en desarrollo y ofrezca a todos los Estados Miembros un nivel adecuado de servicio gratuito. El Acuerdo 482 (modificado en 2025) aplica estos principios a las </w:t>
      </w:r>
      <w:proofErr w:type="spellStart"/>
      <w:r w:rsidRPr="005078C5">
        <w:rPr>
          <w:lang w:val="es-ES_tradnl"/>
        </w:rPr>
        <w:t>SNF</w:t>
      </w:r>
      <w:proofErr w:type="spellEnd"/>
      <w:r w:rsidRPr="005078C5">
        <w:rPr>
          <w:lang w:val="es-ES_tradnl"/>
        </w:rPr>
        <w:t xml:space="preserve"> y concede a cada Estado Miembro una notificación de red de satélite gratuita al año.</w:t>
      </w:r>
    </w:p>
    <w:p w14:paraId="3DC088EE" w14:textId="77777777" w:rsidR="008F4AE7" w:rsidRPr="005078C5" w:rsidRDefault="008F4AE7" w:rsidP="005C503A">
      <w:pPr>
        <w:jc w:val="both"/>
        <w:rPr>
          <w:rFonts w:asciiTheme="minorHAnsi" w:hAnsiTheme="minorHAnsi" w:cstheme="minorHAnsi"/>
          <w:szCs w:val="24"/>
          <w:lang w:val="es-ES_tradnl"/>
        </w:rPr>
      </w:pPr>
      <w:r w:rsidRPr="005078C5">
        <w:rPr>
          <w:lang w:val="es-ES_tradnl"/>
        </w:rPr>
        <w:t xml:space="preserve">En esta contribución se estudian los aspectos operacionales y financieros de la recuperación de costes </w:t>
      </w:r>
      <w:proofErr w:type="spellStart"/>
      <w:r w:rsidRPr="005078C5">
        <w:rPr>
          <w:lang w:val="es-ES_tradnl"/>
        </w:rPr>
        <w:t>SNF</w:t>
      </w:r>
      <w:proofErr w:type="spellEnd"/>
      <w:r w:rsidRPr="005078C5">
        <w:rPr>
          <w:lang w:val="es-ES_tradnl"/>
        </w:rPr>
        <w:t xml:space="preserve"> y se formulan propuestas destinadas a mejorar la previsibilidad, la proporcionalidad y la coherencia general del marco de recuperación de costes.</w:t>
      </w:r>
    </w:p>
    <w:p w14:paraId="1E51FA8A" w14:textId="5C7C59E7" w:rsidR="008F4AE7" w:rsidRPr="005078C5" w:rsidRDefault="008F4AE7" w:rsidP="008F4AE7">
      <w:pPr>
        <w:pStyle w:val="Headingb"/>
        <w:rPr>
          <w:rFonts w:asciiTheme="minorHAnsi" w:hAnsiTheme="minorHAnsi" w:cstheme="minorHAnsi"/>
          <w:b w:val="0"/>
          <w:bCs/>
          <w:szCs w:val="24"/>
          <w:lang w:val="es-ES_tradnl"/>
        </w:rPr>
      </w:pPr>
      <w:r w:rsidRPr="005078C5">
        <w:rPr>
          <w:lang w:val="es-ES_tradnl"/>
        </w:rPr>
        <w:t>Debate</w:t>
      </w:r>
    </w:p>
    <w:p w14:paraId="4A053F13" w14:textId="66DABF7F" w:rsidR="008F4AE7" w:rsidRPr="005078C5" w:rsidRDefault="008F4AE7" w:rsidP="005C503A">
      <w:pPr>
        <w:pStyle w:val="Headingb"/>
        <w:rPr>
          <w:lang w:val="es-ES_tradnl"/>
        </w:rPr>
      </w:pPr>
      <w:r w:rsidRPr="005078C5">
        <w:rPr>
          <w:lang w:val="es-ES_tradnl"/>
        </w:rPr>
        <w:t>1</w:t>
      </w:r>
      <w:r w:rsidRPr="005078C5">
        <w:rPr>
          <w:lang w:val="es-ES_tradnl"/>
        </w:rPr>
        <w:tab/>
        <w:t xml:space="preserve">Recuperación de los costos </w:t>
      </w:r>
      <w:proofErr w:type="spellStart"/>
      <w:r w:rsidRPr="005078C5">
        <w:rPr>
          <w:lang w:val="es-ES_tradnl"/>
        </w:rPr>
        <w:t>SNF</w:t>
      </w:r>
      <w:proofErr w:type="spellEnd"/>
    </w:p>
    <w:p w14:paraId="4651858F" w14:textId="77777777" w:rsidR="008F4AE7" w:rsidRPr="005078C5" w:rsidRDefault="008F4AE7" w:rsidP="005C503A">
      <w:pPr>
        <w:jc w:val="both"/>
        <w:rPr>
          <w:rFonts w:asciiTheme="minorHAnsi" w:hAnsiTheme="minorHAnsi" w:cstheme="minorHAnsi"/>
          <w:szCs w:val="24"/>
          <w:lang w:val="es-ES_tradnl"/>
        </w:rPr>
      </w:pPr>
      <w:r w:rsidRPr="005078C5">
        <w:rPr>
          <w:lang w:val="es-ES_tradnl"/>
        </w:rPr>
        <w:t>El informe anual destaca una diferencia significativa entre los costes y los ingresos asociados a las notificaciones de redes de satélite (</w:t>
      </w:r>
      <w:proofErr w:type="spellStart"/>
      <w:r w:rsidRPr="005078C5">
        <w:rPr>
          <w:lang w:val="es-ES_tradnl"/>
        </w:rPr>
        <w:t>SNF</w:t>
      </w:r>
      <w:proofErr w:type="spellEnd"/>
      <w:r w:rsidRPr="005078C5">
        <w:rPr>
          <w:lang w:val="es-ES_tradnl"/>
        </w:rPr>
        <w:t xml:space="preserve">), ya que los costes de tramitación superan con creces los ingresos generados con arreglo al actual marco de precios. Incluso después de contabilizar los derechos de gratuidad y los ingresos diferidos, sigue habiendo un déficit notable, lo que indica que la tramitación de </w:t>
      </w:r>
      <w:proofErr w:type="spellStart"/>
      <w:r w:rsidRPr="005078C5">
        <w:rPr>
          <w:lang w:val="es-ES_tradnl"/>
        </w:rPr>
        <w:t>SNF</w:t>
      </w:r>
      <w:proofErr w:type="spellEnd"/>
      <w:r w:rsidRPr="005078C5">
        <w:rPr>
          <w:lang w:val="es-ES_tradnl"/>
        </w:rPr>
        <w:t xml:space="preserve"> está efectivamente subvencionada por el presupuesto ordinario de la UIT, contrariamente al mandato de recuperación de costes de la Resolución 91 de la PP. Además, un número considerable de solicitudes de coordinación siguen pendientes de facturación debido a las limitaciones de recursos, lo que subraya aún más la necesidad de mejorar tanto el marco de cánones como la capacidad operacional. En este contexto, los Estados Miembros reafirman que la recuperación de costes debería abarcar todos los costes directos y una parte proporcional de los indirectos, sobre la base de métodos claramente imputables, al tiempo que se garantiza que los cánones siguen vinculados a los servicios prestados y no subvencionen actividades de la UIT no conexas. Aunque tomamos nota de la propuesta de introducir un enfoque de determinación de costes basado en las actividades como un paso positivo para reflejar mejor el esfuerzo de tramitación real asociado con las notificaciones de redes de satélites, seguimos preocupados por la asignación de costes indirectos en la metodología propuesta, particularmente cuando no se establece un vínculo claro y demostrable con las actividades de </w:t>
      </w:r>
      <w:proofErr w:type="spellStart"/>
      <w:r w:rsidRPr="005078C5">
        <w:rPr>
          <w:lang w:val="es-ES_tradnl"/>
        </w:rPr>
        <w:t>SNF</w:t>
      </w:r>
      <w:proofErr w:type="spellEnd"/>
      <w:r w:rsidRPr="005078C5">
        <w:rPr>
          <w:lang w:val="es-ES_tradnl"/>
        </w:rPr>
        <w:t xml:space="preserve">. A este respecto, insistimos en la importancia de distinguir claramente entre costes directamente atribuibles a </w:t>
      </w:r>
      <w:proofErr w:type="spellStart"/>
      <w:r w:rsidRPr="005078C5">
        <w:rPr>
          <w:lang w:val="es-ES_tradnl"/>
        </w:rPr>
        <w:t>SNF</w:t>
      </w:r>
      <w:proofErr w:type="spellEnd"/>
      <w:r w:rsidRPr="005078C5">
        <w:rPr>
          <w:lang w:val="es-ES_tradnl"/>
        </w:rPr>
        <w:t xml:space="preserve"> y los costes </w:t>
      </w:r>
      <w:r w:rsidRPr="005078C5">
        <w:rPr>
          <w:lang w:val="es-ES_tradnl"/>
        </w:rPr>
        <w:lastRenderedPageBreak/>
        <w:t xml:space="preserve">institucionales más amplios, asegurando que solo los costes relacionados con las </w:t>
      </w:r>
      <w:proofErr w:type="spellStart"/>
      <w:r w:rsidRPr="005078C5">
        <w:rPr>
          <w:lang w:val="es-ES_tradnl"/>
        </w:rPr>
        <w:t>SNF</w:t>
      </w:r>
      <w:proofErr w:type="spellEnd"/>
      <w:r w:rsidRPr="005078C5">
        <w:rPr>
          <w:lang w:val="es-ES_tradnl"/>
        </w:rPr>
        <w:t xml:space="preserve">, junto con una parte apropiada y proporcional de los gastos generales, se recuperen a través de las tasas </w:t>
      </w:r>
      <w:proofErr w:type="spellStart"/>
      <w:r w:rsidRPr="005078C5">
        <w:rPr>
          <w:lang w:val="es-ES_tradnl"/>
        </w:rPr>
        <w:t>SNF</w:t>
      </w:r>
      <w:proofErr w:type="spellEnd"/>
      <w:r w:rsidRPr="005078C5">
        <w:rPr>
          <w:lang w:val="es-ES_tradnl"/>
        </w:rPr>
        <w:t>, de conformidad con los principios de la Resolución 91 de la PP.</w:t>
      </w:r>
    </w:p>
    <w:p w14:paraId="407D87A1" w14:textId="4E33D208" w:rsidR="008F4AE7" w:rsidRPr="005078C5" w:rsidRDefault="009D034A" w:rsidP="001F3ABB">
      <w:pPr>
        <w:pStyle w:val="Headingb"/>
        <w:rPr>
          <w:rFonts w:asciiTheme="minorHAnsi" w:hAnsiTheme="minorHAnsi" w:cstheme="minorHAnsi"/>
          <w:szCs w:val="24"/>
          <w:lang w:val="es-ES_tradnl"/>
        </w:rPr>
      </w:pPr>
      <w:r w:rsidRPr="005078C5">
        <w:rPr>
          <w:lang w:val="es-ES_tradnl"/>
        </w:rPr>
        <w:t>2</w:t>
      </w:r>
      <w:r w:rsidRPr="005078C5">
        <w:rPr>
          <w:lang w:val="es-ES_tradnl"/>
        </w:rPr>
        <w:tab/>
      </w:r>
      <w:r w:rsidR="008F4AE7" w:rsidRPr="005078C5">
        <w:rPr>
          <w:lang w:val="es-ES_tradnl"/>
        </w:rPr>
        <w:t>Derechos de notificación gratuita</w:t>
      </w:r>
    </w:p>
    <w:p w14:paraId="2AC90CAC" w14:textId="77777777" w:rsidR="008F4AE7" w:rsidRPr="005078C5" w:rsidRDefault="008F4AE7" w:rsidP="001F3ABB">
      <w:pPr>
        <w:jc w:val="both"/>
        <w:rPr>
          <w:rFonts w:asciiTheme="minorHAnsi" w:hAnsiTheme="minorHAnsi" w:cstheme="minorHAnsi"/>
          <w:spacing w:val="-2"/>
          <w:szCs w:val="24"/>
          <w:lang w:val="es-ES_tradnl"/>
        </w:rPr>
      </w:pPr>
      <w:bookmarkStart w:id="1" w:name="_Hlk227083699"/>
      <w:r w:rsidRPr="005078C5">
        <w:rPr>
          <w:spacing w:val="-2"/>
          <w:lang w:val="es-ES_tradnl"/>
        </w:rPr>
        <w:t>En el Acuerdo 482 se estipula que cada Estado Miembro tiene derecho a una notificación de red de satélite (</w:t>
      </w:r>
      <w:proofErr w:type="spellStart"/>
      <w:r w:rsidRPr="005078C5">
        <w:rPr>
          <w:spacing w:val="-2"/>
          <w:lang w:val="es-ES_tradnl"/>
        </w:rPr>
        <w:t>SNF</w:t>
      </w:r>
      <w:proofErr w:type="spellEnd"/>
      <w:r w:rsidRPr="005078C5">
        <w:rPr>
          <w:spacing w:val="-2"/>
          <w:lang w:val="es-ES_tradnl"/>
        </w:rPr>
        <w:t xml:space="preserve">) anual gratuita (derecho a notificación gratuita), y permite a la administración notificante determinar qué notificación se beneficiará de ese derecho. Aunque este mecanismo se introdujo para apoyar el acceso equitativo, observamos que su aplicación actual puede tener consecuencias imprevistas, incluido el posible uso indebido de derechos gratuitos. </w:t>
      </w:r>
    </w:p>
    <w:p w14:paraId="7DF7EC83" w14:textId="77777777" w:rsidR="008F4AE7" w:rsidRPr="005078C5" w:rsidRDefault="008F4AE7" w:rsidP="001F3ABB">
      <w:pPr>
        <w:jc w:val="both"/>
        <w:rPr>
          <w:rFonts w:asciiTheme="minorHAnsi" w:hAnsiTheme="minorHAnsi" w:cstheme="minorHAnsi"/>
          <w:szCs w:val="24"/>
          <w:lang w:val="es-ES_tradnl"/>
        </w:rPr>
      </w:pPr>
      <w:r w:rsidRPr="005078C5">
        <w:rPr>
          <w:lang w:val="es-ES_tradnl"/>
        </w:rPr>
        <w:t xml:space="preserve">En este sentido, recordamos que la Resolución 91 de la PP contempla explícitamente el mantenimiento de un nivel adecuado de servicios gratuitos, reflejando el objetivo de la Unión de garantizar un acceso equitativo a todos los Estados Miembros. Observamos, no obstante, que la metodología propuesta en el Documento </w:t>
      </w:r>
      <w:proofErr w:type="spellStart"/>
      <w:r w:rsidRPr="005078C5">
        <w:rPr>
          <w:lang w:val="es-ES_tradnl"/>
        </w:rPr>
        <w:t>C26</w:t>
      </w:r>
      <w:proofErr w:type="spellEnd"/>
      <w:r w:rsidRPr="005078C5">
        <w:rPr>
          <w:lang w:val="es-ES_tradnl"/>
        </w:rPr>
        <w:t>/19 incorpora el coste de los derechos de gratuidad en la base general de precios, redistribuyendo efectivamente este coste a los usuarios que pagan cánones. Consideramos que este enfoque no refleja claramente la naturaleza política de la gratuidad establecida en virtud de la Resolución 91 de la PP, ni demuestra una relación causal directa entre el coste y los usuarios sujetos a la recuperación de costes. En consecuencia, consideramos que cualquier ajuste relacionado con la gratuidad debería abordarse a través de medidas específicas y proporcionadas dentro del propio marco de derechos, a fin de preservar el equilibrio entre la recuperación de costes y el acceso equitativo, como se establece en la Resolución 91 de la PP.</w:t>
      </w:r>
      <w:bookmarkEnd w:id="1"/>
    </w:p>
    <w:p w14:paraId="2B39491D" w14:textId="7A682F05" w:rsidR="008F4AE7" w:rsidRPr="005078C5" w:rsidRDefault="009D034A" w:rsidP="001F3ABB">
      <w:pPr>
        <w:pStyle w:val="Headingb"/>
        <w:rPr>
          <w:rFonts w:asciiTheme="minorHAnsi" w:hAnsiTheme="minorHAnsi" w:cstheme="minorHAnsi"/>
          <w:szCs w:val="24"/>
          <w:lang w:val="es-ES_tradnl"/>
        </w:rPr>
      </w:pPr>
      <w:r w:rsidRPr="005078C5">
        <w:rPr>
          <w:lang w:val="es-ES_tradnl"/>
        </w:rPr>
        <w:t>3</w:t>
      </w:r>
      <w:r w:rsidR="008F4AE7" w:rsidRPr="005078C5">
        <w:rPr>
          <w:lang w:val="es-ES_tradnl"/>
        </w:rPr>
        <w:tab/>
        <w:t>Costes indirectos</w:t>
      </w:r>
    </w:p>
    <w:p w14:paraId="4FB6AA30" w14:textId="77777777" w:rsidR="008F4AE7" w:rsidRPr="005078C5" w:rsidRDefault="008F4AE7" w:rsidP="001F3ABB">
      <w:pPr>
        <w:jc w:val="both"/>
        <w:rPr>
          <w:rFonts w:asciiTheme="minorHAnsi" w:hAnsiTheme="minorHAnsi" w:cstheme="minorHAnsi"/>
          <w:szCs w:val="24"/>
          <w:lang w:val="es-ES_tradnl"/>
        </w:rPr>
      </w:pPr>
      <w:r w:rsidRPr="005078C5">
        <w:rPr>
          <w:lang w:val="es-ES_tradnl"/>
        </w:rPr>
        <w:t>Recordamos que la Resolución 91 de la PP establece que la recuperación de costes debería aplicarse de manera que garantizase una clara vinculación entre el servicio prestado y los costes recuperados. En este contexto, observamos que la metodología propuesta se basa en grupos de costes agregados y asignaciones basadas en intermediarios, en particular factores relacionados con el personal y basados en el espacio, en lugar de factores determinantes mensurables a nivel de actividad. Como tal, no se demuestra suficientemente el nivel de atribución de costes requerido para garantizar una asignación adecuada, como se prevé en la Resolución 91 de la PP.</w:t>
      </w:r>
    </w:p>
    <w:p w14:paraId="2DABC64F" w14:textId="77777777" w:rsidR="008F4AE7" w:rsidRPr="005078C5" w:rsidRDefault="008F4AE7" w:rsidP="001F3ABB">
      <w:pPr>
        <w:jc w:val="both"/>
        <w:rPr>
          <w:rFonts w:asciiTheme="minorHAnsi" w:hAnsiTheme="minorHAnsi" w:cstheme="minorHAnsi"/>
          <w:szCs w:val="24"/>
          <w:lang w:val="es-ES_tradnl"/>
        </w:rPr>
      </w:pPr>
      <w:r w:rsidRPr="005078C5">
        <w:rPr>
          <w:lang w:val="es-ES_tradnl"/>
        </w:rPr>
        <w:t>Además, observamos que la Resolución 91 de la PP hace hincapié en que la recuperación de costes debería aplicarse a productos o servicios concretos. La propuesta de inclusión de elementos de costes institucionales más amplios, más allá de los directamente atribuibles a las actividades de notificación de redes de satélite, podría debilitar el vínculo entre el canon y el servicio prestado, y podría no ajustarse plenamente a este principio.</w:t>
      </w:r>
    </w:p>
    <w:p w14:paraId="31E39A7E" w14:textId="77777777" w:rsidR="008F4AE7" w:rsidRPr="005078C5" w:rsidRDefault="008F4AE7" w:rsidP="001F3ABB">
      <w:pPr>
        <w:jc w:val="both"/>
        <w:rPr>
          <w:rFonts w:asciiTheme="minorHAnsi" w:hAnsiTheme="minorHAnsi" w:cstheme="minorHAnsi"/>
          <w:szCs w:val="24"/>
          <w:lang w:val="es-ES_tradnl"/>
        </w:rPr>
      </w:pPr>
      <w:r w:rsidRPr="005078C5">
        <w:rPr>
          <w:lang w:val="es-ES_tradnl"/>
        </w:rPr>
        <w:t xml:space="preserve">Además, observamos que la dependencia de factores de atribución relacionados con el personal, incluidos los vinculados a las actividades de </w:t>
      </w:r>
      <w:proofErr w:type="spellStart"/>
      <w:r w:rsidRPr="005078C5">
        <w:rPr>
          <w:lang w:val="es-ES_tradnl"/>
        </w:rPr>
        <w:t>SNF</w:t>
      </w:r>
      <w:proofErr w:type="spellEnd"/>
      <w:r w:rsidRPr="005078C5">
        <w:rPr>
          <w:lang w:val="es-ES_tradnl"/>
        </w:rPr>
        <w:t xml:space="preserve">, puede tener efectos multiplicadores en la atribución de los costes indirectos. En tales casos, los incrementos de dotación de personal en relación con las </w:t>
      </w:r>
      <w:proofErr w:type="spellStart"/>
      <w:r w:rsidRPr="005078C5">
        <w:rPr>
          <w:lang w:val="es-ES_tradnl"/>
        </w:rPr>
        <w:t>SNF</w:t>
      </w:r>
      <w:proofErr w:type="spellEnd"/>
      <w:r w:rsidRPr="005078C5">
        <w:rPr>
          <w:lang w:val="es-ES_tradnl"/>
        </w:rPr>
        <w:t xml:space="preserve"> pueden dar lugar a un aumento multiplicador de los costes indirectos atribuidos a lo largo de múltiples conjuntos de costes, aun cuando la carga de trabajo subyacente o la utilización del sistema asociada a las notificaciones de redes de satélites permanezca invariable. Esto plantea problemas en cuanto a la exactitud y proporcionalidad de los niveles de recuperación de costes resultantes.</w:t>
      </w:r>
    </w:p>
    <w:p w14:paraId="03AAACCB" w14:textId="77777777" w:rsidR="008F4AE7" w:rsidRPr="005078C5" w:rsidRDefault="008F4AE7" w:rsidP="001F3ABB">
      <w:pPr>
        <w:jc w:val="both"/>
        <w:rPr>
          <w:rFonts w:asciiTheme="minorHAnsi" w:hAnsiTheme="minorHAnsi" w:cstheme="minorHAnsi"/>
          <w:szCs w:val="24"/>
          <w:lang w:val="es-ES_tradnl"/>
        </w:rPr>
      </w:pPr>
      <w:r w:rsidRPr="005078C5">
        <w:rPr>
          <w:lang w:val="es-ES_tradnl"/>
        </w:rPr>
        <w:lastRenderedPageBreak/>
        <w:t>Aunque la inclusión de los costos indirectos puede ser coherente con la Resolución 91 de la PP, consideramos que, en su forma actual, la metodología de asignación propuesta no establece suficientemente una relación causal clara y demostrable entre los costes atribuidos y el consumo real de los servicios de notificación de redes de satélite.</w:t>
      </w:r>
    </w:p>
    <w:p w14:paraId="45B39321" w14:textId="1114D841" w:rsidR="008F4AE7" w:rsidRPr="005078C5" w:rsidRDefault="009D034A" w:rsidP="001F3ABB">
      <w:pPr>
        <w:pStyle w:val="Headingb"/>
        <w:rPr>
          <w:rFonts w:asciiTheme="minorHAnsi" w:hAnsiTheme="minorHAnsi" w:cstheme="minorHAnsi"/>
          <w:szCs w:val="24"/>
          <w:lang w:val="es-ES_tradnl"/>
        </w:rPr>
      </w:pPr>
      <w:r w:rsidRPr="005078C5">
        <w:rPr>
          <w:lang w:val="es-ES_tradnl"/>
        </w:rPr>
        <w:t>4</w:t>
      </w:r>
      <w:r w:rsidR="008F4AE7" w:rsidRPr="005078C5">
        <w:rPr>
          <w:lang w:val="es-ES_tradnl"/>
        </w:rPr>
        <w:tab/>
        <w:t>Mejoras a la metodología propuesta</w:t>
      </w:r>
    </w:p>
    <w:p w14:paraId="15203959" w14:textId="77777777" w:rsidR="008F4AE7" w:rsidRPr="005078C5" w:rsidRDefault="008F4AE7" w:rsidP="001F3ABB">
      <w:pPr>
        <w:jc w:val="both"/>
        <w:rPr>
          <w:rFonts w:asciiTheme="minorHAnsi" w:hAnsiTheme="minorHAnsi" w:cstheme="minorHAnsi"/>
          <w:szCs w:val="24"/>
          <w:lang w:val="es-ES_tradnl"/>
        </w:rPr>
      </w:pPr>
      <w:r w:rsidRPr="005078C5">
        <w:rPr>
          <w:lang w:val="es-ES_tradnl"/>
        </w:rPr>
        <w:t xml:space="preserve">Observamos que las solicitudes de coordinación permanecen sin tramitar durante largos periodos de tiempo, superando significativamente los plazos reglamentarios, principalmente debido al aumento de la carga de trabajo y a las limitaciones de recursos. Esto ha dado lugar a un creciente retraso en las notificaciones y ha reducido el tiempo de que disponen las administraciones para poner en servicio las redes, lo que ha aumentado la incertidumbre reglamentaria. En este contexto, consideramos que la metodología de recuperación de costes </w:t>
      </w:r>
      <w:proofErr w:type="spellStart"/>
      <w:r w:rsidRPr="005078C5">
        <w:rPr>
          <w:lang w:val="es-ES_tradnl"/>
        </w:rPr>
        <w:t>SNF</w:t>
      </w:r>
      <w:proofErr w:type="spellEnd"/>
      <w:r w:rsidRPr="005078C5">
        <w:rPr>
          <w:lang w:val="es-ES_tradnl"/>
        </w:rPr>
        <w:t xml:space="preserve"> debería complementarse con una previsión eficaz de la carga de trabajo y una planificación de la capacidad, garantizando que los niveles de los cánones ayuden a la Oficina a contratar y retener a los expertos necesarios y a invertir en herramientas y sistemas para mejorar la eficiencia. Al mismo tiempo, insistimos en la importancia de mantener unos niveles de cánones predecibles y estables, ya que ajustes frecuentes o significativos podrían socavar la planificación de las administraciones y los operadores. Por lo tanto, consideramos útil introducir mecanismos de ajuste estructurados y transparentes, incluidos enfoques plurianuales para suavizar las variaciones y proporcionar una mayor previsibilidad, así como salvaguardias para mitigar las repercusiones financieras repentinas. También observamos que el continuo crecimiento de grandes constelaciones no </w:t>
      </w:r>
      <w:proofErr w:type="spellStart"/>
      <w:r w:rsidRPr="005078C5">
        <w:rPr>
          <w:lang w:val="es-ES_tradnl"/>
        </w:rPr>
        <w:t>OSG</w:t>
      </w:r>
      <w:proofErr w:type="spellEnd"/>
      <w:r w:rsidRPr="005078C5">
        <w:rPr>
          <w:lang w:val="es-ES_tradnl"/>
        </w:rPr>
        <w:t xml:space="preserve"> es un factor clave para aumentar la carga de trabajo y la complejidad y, a este respecto, consideramos que sería beneficioso introducir mejoras adicionales en la metodología, incluida la mejora de la transparencia mediante la presentación periódica de informes sobre los costes y la carga de trabajo, el fortalecimiento de la supervisión a través del Consejo y la introducción de indicadores de rendimiento claros, como los tiempos de tramitación y los niveles de retraso acumulado, y velar por que los ajustes de los cánones se apliquen de manera gradual y proporcionada, teniendo en cuenta las necesidades de las administraciones con recursos limitados.</w:t>
      </w:r>
    </w:p>
    <w:p w14:paraId="1044D570" w14:textId="3BFE0717" w:rsidR="008F4AE7" w:rsidRPr="005078C5" w:rsidRDefault="009D034A" w:rsidP="001F3ABB">
      <w:pPr>
        <w:pStyle w:val="Headingb"/>
        <w:rPr>
          <w:rFonts w:asciiTheme="minorHAnsi" w:hAnsiTheme="minorHAnsi" w:cstheme="minorHAnsi"/>
          <w:szCs w:val="24"/>
          <w:lang w:val="es-ES_tradnl"/>
        </w:rPr>
      </w:pPr>
      <w:r w:rsidRPr="005078C5">
        <w:rPr>
          <w:lang w:val="es-ES_tradnl"/>
        </w:rPr>
        <w:t>5</w:t>
      </w:r>
      <w:r w:rsidR="008F4AE7" w:rsidRPr="005078C5">
        <w:rPr>
          <w:lang w:val="es-ES_tradnl"/>
        </w:rPr>
        <w:tab/>
        <w:t>Retrasos en la tramitación de notificaciones de redes de satélites</w:t>
      </w:r>
    </w:p>
    <w:p w14:paraId="3BBCF5D1" w14:textId="3C775DB4" w:rsidR="008F4AE7" w:rsidRPr="005078C5" w:rsidRDefault="008F4AE7" w:rsidP="001F3ABB">
      <w:pPr>
        <w:jc w:val="both"/>
        <w:rPr>
          <w:rFonts w:asciiTheme="minorHAnsi" w:hAnsiTheme="minorHAnsi" w:cstheme="minorHAnsi"/>
          <w:spacing w:val="-2"/>
          <w:szCs w:val="24"/>
          <w:lang w:val="es-ES_tradnl"/>
        </w:rPr>
      </w:pPr>
      <w:r w:rsidRPr="005078C5">
        <w:rPr>
          <w:spacing w:val="-2"/>
          <w:lang w:val="es-ES_tradnl"/>
        </w:rPr>
        <w:t xml:space="preserve">Durante la 33.ª reunión del Grupo Asesor de Radiocomunicaciones (GAR), se destacaron varios temas relacionados con la tramitación de notificaciones de redes de satélites, en particular a la luz de las repercusiones crecientes de los retrasos en las administraciones y los operadores. Los retrasos en la publicación y tramitación de las notificaciones se han convertido en un problema práctico que afecta directamente a la capacidad de las administraciones para completar los procedimientos reglamentarios dentro de los plazos establecidos en el </w:t>
      </w:r>
      <w:r w:rsidR="001F3ABB" w:rsidRPr="005078C5">
        <w:rPr>
          <w:spacing w:val="-2"/>
          <w:lang w:val="es-ES_tradnl"/>
        </w:rPr>
        <w:t>número </w:t>
      </w:r>
      <w:r w:rsidRPr="005078C5">
        <w:rPr>
          <w:spacing w:val="-2"/>
          <w:lang w:val="es-ES_tradnl"/>
        </w:rPr>
        <w:t>9.38 del Reglamento de Radiocomunicaciones, incluidos los relacionados con el despliegue de redes y la coordinación internacional. A este respecto, el GAR, como se refleja en la nota del Presidente al Consejo (</w:t>
      </w:r>
      <w:hyperlink r:id="rId13" w:history="1">
        <w:r w:rsidRPr="005078C5">
          <w:rPr>
            <w:rStyle w:val="Hyperlink"/>
            <w:rFonts w:eastAsia="Times New Roman" w:cs="Times New Roman"/>
            <w:spacing w:val="-2"/>
            <w:szCs w:val="20"/>
            <w:lang w:val="es-ES_tradnl"/>
          </w:rPr>
          <w:t>Circular N</w:t>
        </w:r>
        <w:r w:rsidR="00F41D19" w:rsidRPr="005078C5">
          <w:rPr>
            <w:rStyle w:val="Hyperlink"/>
            <w:rFonts w:eastAsia="Times New Roman" w:cs="Times New Roman"/>
            <w:spacing w:val="-2"/>
            <w:szCs w:val="20"/>
            <w:lang w:val="es-ES_tradnl"/>
          </w:rPr>
          <w:t>.</w:t>
        </w:r>
        <w:r w:rsidRPr="005078C5">
          <w:rPr>
            <w:rStyle w:val="Hyperlink"/>
            <w:rFonts w:eastAsia="Times New Roman" w:cs="Times New Roman"/>
            <w:spacing w:val="-2"/>
            <w:szCs w:val="20"/>
            <w:lang w:val="es-ES_tradnl"/>
          </w:rPr>
          <w:t>º 281</w:t>
        </w:r>
      </w:hyperlink>
      <w:r w:rsidRPr="005078C5">
        <w:rPr>
          <w:spacing w:val="-2"/>
          <w:lang w:val="es-ES_tradnl"/>
        </w:rPr>
        <w:t xml:space="preserve">), subrayó las crecientes dificultades que tiene la Oficina de Radiocomunicaciones para cumplir los plazos de tramitación prescritos, lo que se traduce en una reducción de los plazos de aplicación y una mayor incertidumbre reglamentaria para las administraciones. En el </w:t>
      </w:r>
      <w:hyperlink r:id="rId14" w:history="1">
        <w:r w:rsidRPr="005078C5">
          <w:rPr>
            <w:rStyle w:val="Hyperlink"/>
            <w:rFonts w:eastAsia="Times New Roman" w:cs="Times New Roman"/>
            <w:spacing w:val="-2"/>
            <w:szCs w:val="20"/>
            <w:lang w:val="es-ES_tradnl"/>
          </w:rPr>
          <w:t>Informe del Director de la Oficina de Radiocomunicaciones</w:t>
        </w:r>
      </w:hyperlink>
      <w:r w:rsidRPr="005078C5">
        <w:rPr>
          <w:spacing w:val="-2"/>
          <w:lang w:val="es-ES_tradnl"/>
        </w:rPr>
        <w:t xml:space="preserve"> se indica además que estas dificultades surgen en medio de crecientes presiones operacionales y financieras, debidas en parte a la limitación de recursos humanos y al creciente volumen y complejidad de las notificaciones de servicios espaciales. Los datos disponibles muestran una clara diferencia entre los requisitos reglamentarios y la capacidad operativa actual, ya que las </w:t>
      </w:r>
      <w:r w:rsidRPr="005078C5">
        <w:rPr>
          <w:spacing w:val="-2"/>
          <w:lang w:val="es-ES_tradnl"/>
        </w:rPr>
        <w:lastRenderedPageBreak/>
        <w:t>solicitudes de coordinación que deberían tramitarse en cuatro meses están tardando aproximadamente catorce, lo que refleja un importante desequilibrio entre la carga de trabajo y los recursos disponibles. En este contexto, la presente contribución tiene por objeto destacar las repercusiones prácticas y organizativas de estos retrasos, respaldadas por datos y ejemplos, y solicitar el apoyo adecuado del Consejo para que la Oficina pueda afrontar estos retos y mejorar la eficacia operativa de conformidad con los requisitos reglamentarios.</w:t>
      </w:r>
      <w:hyperlink r:id="rId15" w:history="1"/>
    </w:p>
    <w:p w14:paraId="5B2F1B61" w14:textId="655D259E" w:rsidR="008F4AE7" w:rsidRPr="005078C5" w:rsidRDefault="008F4AE7" w:rsidP="004F33DE">
      <w:pPr>
        <w:jc w:val="both"/>
        <w:rPr>
          <w:lang w:val="es-ES_tradnl"/>
        </w:rPr>
      </w:pPr>
      <w:r w:rsidRPr="005078C5">
        <w:rPr>
          <w:lang w:val="es-ES_tradnl"/>
        </w:rPr>
        <w:t xml:space="preserve">Los datos disponibles indican una clara brecha entre los requisitos reglamentarios establecidos en el Reglamento de Radiocomunicaciones y la capacidad operativa actual de la Oficina de Radiocomunicaciones. Según la </w:t>
      </w:r>
      <w:r w:rsidR="004F33DE" w:rsidRPr="005078C5">
        <w:rPr>
          <w:lang w:val="es-ES_tradnl"/>
        </w:rPr>
        <w:t>número</w:t>
      </w:r>
      <w:r w:rsidRPr="005078C5">
        <w:rPr>
          <w:lang w:val="es-ES_tradnl"/>
        </w:rPr>
        <w:t xml:space="preserve"> 9.38, las solicitudes de coordinación deberían tramitarse en un plazo de cuatro meses; ahora bien, los plazos reales de tramitación han alcanzado aproximadamente catorce meses, como también se confirmó en la Carta Circular N</w:t>
      </w:r>
      <w:r w:rsidR="006A4ED8" w:rsidRPr="005078C5">
        <w:rPr>
          <w:lang w:val="es-ES_tradnl"/>
        </w:rPr>
        <w:t>.</w:t>
      </w:r>
      <w:r w:rsidRPr="005078C5">
        <w:rPr>
          <w:lang w:val="es-ES_tradnl"/>
        </w:rPr>
        <w:t>º 281, lo que refleja un importante desequilibrio entre el aumento de la carga de trabajo y los recursos disponibles.</w:t>
      </w:r>
    </w:p>
    <w:p w14:paraId="3F87168B" w14:textId="77777777" w:rsidR="00950DAB" w:rsidRPr="005078C5" w:rsidRDefault="00950DAB" w:rsidP="00950DAB">
      <w:pPr>
        <w:pStyle w:val="FigureNo"/>
        <w:rPr>
          <w:rFonts w:asciiTheme="minorHAnsi" w:hAnsiTheme="minorHAnsi" w:cstheme="minorHAnsi"/>
          <w:szCs w:val="24"/>
          <w:lang w:val="es-ES_tradnl"/>
        </w:rPr>
      </w:pPr>
      <w:r w:rsidRPr="005078C5">
        <w:rPr>
          <w:lang w:val="es-ES_tradnl"/>
        </w:rPr>
        <w:t>Figura 1</w:t>
      </w:r>
    </w:p>
    <w:p w14:paraId="55808BFC" w14:textId="477A82C5" w:rsidR="00950DAB" w:rsidRPr="005078C5" w:rsidRDefault="00950DAB" w:rsidP="004F33DE">
      <w:pPr>
        <w:pStyle w:val="Figuretitle"/>
        <w:rPr>
          <w:rFonts w:asciiTheme="minorHAnsi" w:hAnsiTheme="minorHAnsi" w:cstheme="minorHAnsi"/>
          <w:b w:val="0"/>
          <w:bCs/>
          <w:szCs w:val="24"/>
          <w:lang w:val="es-ES_tradnl"/>
        </w:rPr>
      </w:pPr>
      <w:r w:rsidRPr="005078C5">
        <w:rPr>
          <w:lang w:val="es-ES_tradnl"/>
        </w:rPr>
        <w:t>Publicación de solicitudes de coordinación (CR/C) de redes de satélites (últimos 15 meses)</w:t>
      </w:r>
    </w:p>
    <w:p w14:paraId="393A4AE1" w14:textId="77777777" w:rsidR="008F4AE7" w:rsidRPr="005078C5" w:rsidRDefault="008F4AE7" w:rsidP="004F33DE">
      <w:pPr>
        <w:pStyle w:val="Figurewithlegend"/>
        <w:rPr>
          <w:noProof w:val="0"/>
          <w:lang w:val="es-ES_tradnl"/>
        </w:rPr>
      </w:pPr>
      <w:r w:rsidRPr="005078C5">
        <w:rPr>
          <w:noProof w:val="0"/>
          <w:lang w:val="es-ES_tradnl"/>
        </w:rPr>
        <w:drawing>
          <wp:inline distT="0" distB="0" distL="0" distR="0" wp14:anchorId="65645F2E" wp14:editId="56A44392">
            <wp:extent cx="5353050" cy="267796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1807" cy="2702360"/>
                    </a:xfrm>
                    <a:prstGeom prst="rect">
                      <a:avLst/>
                    </a:prstGeom>
                    <a:noFill/>
                  </pic:spPr>
                </pic:pic>
              </a:graphicData>
            </a:graphic>
          </wp:inline>
        </w:drawing>
      </w:r>
    </w:p>
    <w:p w14:paraId="2A6461C7" w14:textId="161791B1" w:rsidR="004F33DE" w:rsidRPr="005078C5" w:rsidRDefault="004F33DE" w:rsidP="004F33DE">
      <w:pPr>
        <w:pStyle w:val="Figurelegend"/>
        <w:rPr>
          <w:rFonts w:asciiTheme="minorHAnsi" w:hAnsiTheme="minorHAnsi" w:cstheme="minorHAnsi"/>
          <w:szCs w:val="24"/>
          <w:lang w:val="es-ES_tradnl"/>
        </w:rPr>
      </w:pPr>
      <w:r w:rsidRPr="005078C5">
        <w:rPr>
          <w:lang w:val="es-ES_tradnl"/>
        </w:rPr>
        <w:t xml:space="preserve">(Datos recopilados a partir de estadísticas de servicios espaciales, véase el </w:t>
      </w:r>
      <w:hyperlink r:id="rId17" w:history="1">
        <w:r w:rsidRPr="005078C5">
          <w:rPr>
            <w:rStyle w:val="Hyperlink"/>
            <w:rFonts w:eastAsia="Times New Roman" w:cs="Times New Roman"/>
            <w:szCs w:val="20"/>
            <w:lang w:val="es-ES_tradnl"/>
          </w:rPr>
          <w:t>sitio web</w:t>
        </w:r>
      </w:hyperlink>
      <w:r w:rsidRPr="005078C5">
        <w:rPr>
          <w:lang w:val="es-ES_tradnl"/>
        </w:rPr>
        <w:t>)</w:t>
      </w:r>
    </w:p>
    <w:p w14:paraId="6597891B" w14:textId="2AAF83EA" w:rsidR="008F4AE7" w:rsidRPr="005078C5" w:rsidRDefault="008F4AE7" w:rsidP="008F4AE7">
      <w:pPr>
        <w:rPr>
          <w:lang w:val="es-ES_tradnl"/>
        </w:rPr>
      </w:pPr>
      <w:r w:rsidRPr="005078C5">
        <w:rPr>
          <w:lang w:val="es-ES_tradnl"/>
        </w:rPr>
        <w:t>Como se ilustra en la Figura 1, si bien el número de notificaciones en curso de tramitación sigue siendo elevado, se ha observado cierta reducción debido a los esfuerzos operativos; con todo, el elevado y persistente volumen de solicitudes recibidas y el número insuficiente de notificaciones publicadas han impedido una reducción sostenida del retraso acumulado. Los plazos de tramitación se mantienen entre 13 y 17 meses, muy por encima del límite reglamentario. Estas dificultades surgen en el contexto de las limitaciones de dotación de personal y de las vacantes no cubiertas, además de las limitaciones presupuestarias más amplias, al tiempo que el sector de los satélites sigue creciendo rápidamente en volumen y complejidad, impulsado por la expansión de los sistemas, los nuevos servicios y la mayor integración con las redes terrenales, lo que ejerce una presión continua sobre la capacidad operativa de la Oficina.</w:t>
      </w:r>
    </w:p>
    <w:p w14:paraId="0173B42B" w14:textId="77777777" w:rsidR="008F4AE7" w:rsidRPr="005078C5" w:rsidRDefault="008F4AE7" w:rsidP="008F4AE7">
      <w:pPr>
        <w:rPr>
          <w:rFonts w:asciiTheme="minorHAnsi" w:hAnsiTheme="minorHAnsi" w:cstheme="minorHAnsi"/>
          <w:szCs w:val="24"/>
          <w:lang w:val="es-ES_tradnl"/>
        </w:rPr>
        <w:sectPr w:rsidR="008F4AE7" w:rsidRPr="005078C5"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pPr>
    </w:p>
    <w:p w14:paraId="4ED3838D" w14:textId="77777777" w:rsidR="008F4AE7" w:rsidRPr="005078C5" w:rsidRDefault="008F4AE7" w:rsidP="005078C5">
      <w:pPr>
        <w:pStyle w:val="TableNo"/>
        <w:spacing w:before="0"/>
        <w:rPr>
          <w:rFonts w:asciiTheme="minorHAnsi" w:hAnsiTheme="minorHAnsi" w:cstheme="minorHAnsi"/>
          <w:szCs w:val="24"/>
          <w:lang w:val="es-ES_tradnl"/>
        </w:rPr>
      </w:pPr>
      <w:r w:rsidRPr="005078C5">
        <w:rPr>
          <w:lang w:val="es-ES_tradnl"/>
        </w:rPr>
        <w:lastRenderedPageBreak/>
        <w:t>Cuadro 1</w:t>
      </w:r>
    </w:p>
    <w:p w14:paraId="236A9F54" w14:textId="543683EE" w:rsidR="008F4AE7" w:rsidRPr="005078C5" w:rsidRDefault="008F4AE7" w:rsidP="004F33DE">
      <w:pPr>
        <w:pStyle w:val="Tabletitle"/>
        <w:rPr>
          <w:rFonts w:asciiTheme="minorHAnsi" w:hAnsiTheme="minorHAnsi" w:cstheme="minorHAnsi"/>
          <w:b w:val="0"/>
          <w:bCs/>
          <w:szCs w:val="24"/>
          <w:lang w:val="es-ES_tradnl"/>
        </w:rPr>
      </w:pPr>
      <w:r w:rsidRPr="005078C5">
        <w:rPr>
          <w:lang w:val="es-ES_tradnl"/>
        </w:rPr>
        <w:t>Redes de satélites de la Arabia Saudita afectadas por retrasos de tramitación</w:t>
      </w:r>
      <w:r w:rsidR="004F33DE" w:rsidRPr="005078C5">
        <w:rPr>
          <w:lang w:val="es-ES_tradnl"/>
        </w:rPr>
        <w:br/>
      </w:r>
      <w:r w:rsidRPr="005078C5">
        <w:rPr>
          <w:b w:val="0"/>
          <w:bCs/>
          <w:lang w:val="es-ES_tradnl"/>
        </w:rPr>
        <w:t>(Datos recopilados de la base de datos de Sistemas de Redes</w:t>
      </w:r>
      <w:r w:rsidRPr="005078C5">
        <w:rPr>
          <w:b w:val="0"/>
          <w:bCs/>
          <w:lang w:val="es-ES_tradnl"/>
        </w:rPr>
        <w:br/>
        <w:t>de Satélite (</w:t>
      </w:r>
      <w:proofErr w:type="spellStart"/>
      <w:r w:rsidRPr="005078C5">
        <w:rPr>
          <w:b w:val="0"/>
          <w:bCs/>
          <w:lang w:val="es-ES_tradnl"/>
        </w:rPr>
        <w:t>SNS</w:t>
      </w:r>
      <w:proofErr w:type="spellEnd"/>
      <w:r w:rsidRPr="005078C5">
        <w:rPr>
          <w:b w:val="0"/>
          <w:bCs/>
          <w:lang w:val="es-ES_tradnl"/>
        </w:rPr>
        <w:t>) de la Oficina de Radiocomunicaciones)</w:t>
      </w:r>
    </w:p>
    <w:p w14:paraId="4C6F160F" w14:textId="77777777" w:rsidR="008F4AE7" w:rsidRPr="005078C5" w:rsidRDefault="008F4AE7" w:rsidP="00950DAB">
      <w:pPr>
        <w:pStyle w:val="Headingb"/>
        <w:spacing w:after="120"/>
        <w:rPr>
          <w:lang w:val="es-ES_tradnl"/>
        </w:rPr>
      </w:pPr>
      <w:r w:rsidRPr="005078C5">
        <w:rPr>
          <w:lang w:val="es-ES_tradnl"/>
        </w:rPr>
        <w:t>A</w:t>
      </w:r>
      <w:r w:rsidRPr="005078C5">
        <w:rPr>
          <w:lang w:val="es-ES_tradnl"/>
        </w:rPr>
        <w:tab/>
        <w:t>Ficheros publicados</w:t>
      </w:r>
    </w:p>
    <w:tbl>
      <w:tblPr>
        <w:bidiVisual/>
        <w:tblW w:w="14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9"/>
        <w:gridCol w:w="2409"/>
        <w:gridCol w:w="1276"/>
        <w:gridCol w:w="1134"/>
        <w:gridCol w:w="1134"/>
        <w:gridCol w:w="1985"/>
        <w:gridCol w:w="1418"/>
        <w:gridCol w:w="1985"/>
        <w:gridCol w:w="1415"/>
      </w:tblGrid>
      <w:tr w:rsidR="008F4AE7" w:rsidRPr="005078C5" w14:paraId="6F99CAD5" w14:textId="77777777" w:rsidTr="00950DAB">
        <w:trPr>
          <w:trHeight w:val="295"/>
          <w:jc w:val="right"/>
        </w:trPr>
        <w:tc>
          <w:tcPr>
            <w:tcW w:w="501" w:type="pct"/>
            <w:shd w:val="clear" w:color="000000" w:fill="002060"/>
            <w:noWrap/>
            <w:vAlign w:val="center"/>
          </w:tcPr>
          <w:p w14:paraId="5CAE0E4C" w14:textId="77777777" w:rsidR="008F4AE7" w:rsidRPr="005078C5" w:rsidRDefault="008F4AE7" w:rsidP="004F33DE">
            <w:pPr>
              <w:pStyle w:val="Tablehead"/>
              <w:rPr>
                <w:szCs w:val="22"/>
                <w:rtl/>
                <w:lang w:val="es-ES_tradnl"/>
              </w:rPr>
            </w:pPr>
            <w:r w:rsidRPr="005078C5">
              <w:rPr>
                <w:lang w:val="es-ES_tradnl"/>
              </w:rPr>
              <w:t>Tiempo de procesamiento (meses)</w:t>
            </w:r>
          </w:p>
        </w:tc>
        <w:tc>
          <w:tcPr>
            <w:tcW w:w="850" w:type="pct"/>
            <w:shd w:val="clear" w:color="000000" w:fill="002060"/>
            <w:noWrap/>
            <w:vAlign w:val="center"/>
          </w:tcPr>
          <w:p w14:paraId="1C675314" w14:textId="77777777" w:rsidR="008F4AE7" w:rsidRPr="005078C5" w:rsidRDefault="008F4AE7" w:rsidP="004F33DE">
            <w:pPr>
              <w:pStyle w:val="Tablehead"/>
              <w:rPr>
                <w:szCs w:val="22"/>
                <w:rtl/>
                <w:lang w:val="es-ES_tradnl"/>
              </w:rPr>
            </w:pPr>
            <w:r w:rsidRPr="005078C5">
              <w:rPr>
                <w:lang w:val="es-ES_tradnl"/>
              </w:rPr>
              <w:t>Fecha de publicación</w:t>
            </w:r>
          </w:p>
        </w:tc>
        <w:tc>
          <w:tcPr>
            <w:tcW w:w="450" w:type="pct"/>
            <w:shd w:val="clear" w:color="000000" w:fill="002060"/>
            <w:noWrap/>
            <w:vAlign w:val="center"/>
          </w:tcPr>
          <w:p w14:paraId="42EAD519" w14:textId="77777777" w:rsidR="008F4AE7" w:rsidRPr="005078C5" w:rsidRDefault="008F4AE7" w:rsidP="004F33DE">
            <w:pPr>
              <w:pStyle w:val="Tablehead"/>
              <w:rPr>
                <w:szCs w:val="22"/>
                <w:rtl/>
                <w:lang w:val="es-ES_tradnl"/>
              </w:rPr>
            </w:pPr>
            <w:r w:rsidRPr="005078C5">
              <w:rPr>
                <w:lang w:val="es-ES_tradnl"/>
              </w:rPr>
              <w:t>Núm. BR-</w:t>
            </w:r>
            <w:proofErr w:type="spellStart"/>
            <w:r w:rsidRPr="005078C5">
              <w:rPr>
                <w:lang w:val="es-ES_tradnl"/>
              </w:rPr>
              <w:t>IFIC</w:t>
            </w:r>
            <w:proofErr w:type="spellEnd"/>
          </w:p>
        </w:tc>
        <w:tc>
          <w:tcPr>
            <w:tcW w:w="400" w:type="pct"/>
            <w:shd w:val="clear" w:color="000000" w:fill="002060"/>
            <w:noWrap/>
            <w:vAlign w:val="center"/>
          </w:tcPr>
          <w:p w14:paraId="45FDE7B7" w14:textId="77777777" w:rsidR="008F4AE7" w:rsidRPr="005078C5" w:rsidRDefault="008F4AE7" w:rsidP="004F33DE">
            <w:pPr>
              <w:pStyle w:val="Tablehead"/>
              <w:rPr>
                <w:szCs w:val="22"/>
                <w:rtl/>
                <w:lang w:val="es-ES_tradnl"/>
              </w:rPr>
            </w:pPr>
            <w:r w:rsidRPr="005078C5">
              <w:rPr>
                <w:lang w:val="es-ES_tradnl"/>
              </w:rPr>
              <w:t>Núm. de publicación</w:t>
            </w:r>
          </w:p>
        </w:tc>
        <w:tc>
          <w:tcPr>
            <w:tcW w:w="400" w:type="pct"/>
            <w:shd w:val="clear" w:color="000000" w:fill="002060"/>
            <w:noWrap/>
            <w:vAlign w:val="center"/>
          </w:tcPr>
          <w:p w14:paraId="38AF23D5" w14:textId="77777777" w:rsidR="008F4AE7" w:rsidRPr="005078C5" w:rsidRDefault="008F4AE7" w:rsidP="004F33DE">
            <w:pPr>
              <w:pStyle w:val="Tablehead"/>
              <w:rPr>
                <w:szCs w:val="22"/>
                <w:rtl/>
                <w:lang w:val="es-ES_tradnl"/>
              </w:rPr>
            </w:pPr>
            <w:r w:rsidRPr="005078C5">
              <w:rPr>
                <w:lang w:val="es-ES_tradnl"/>
              </w:rPr>
              <w:t>Tipo de notificación</w:t>
            </w:r>
          </w:p>
        </w:tc>
        <w:tc>
          <w:tcPr>
            <w:tcW w:w="700" w:type="pct"/>
            <w:shd w:val="clear" w:color="000000" w:fill="002060"/>
            <w:noWrap/>
            <w:vAlign w:val="center"/>
          </w:tcPr>
          <w:p w14:paraId="31FE7FBE" w14:textId="77777777" w:rsidR="008F4AE7" w:rsidRPr="005078C5" w:rsidRDefault="008F4AE7" w:rsidP="004F33DE">
            <w:pPr>
              <w:pStyle w:val="Tablehead"/>
              <w:rPr>
                <w:szCs w:val="22"/>
                <w:rtl/>
                <w:lang w:val="es-ES_tradnl"/>
              </w:rPr>
            </w:pPr>
            <w:r w:rsidRPr="005078C5">
              <w:rPr>
                <w:lang w:val="es-ES_tradnl"/>
              </w:rPr>
              <w:t>Fecha de recepción</w:t>
            </w:r>
          </w:p>
        </w:tc>
        <w:tc>
          <w:tcPr>
            <w:tcW w:w="500" w:type="pct"/>
            <w:shd w:val="clear" w:color="000000" w:fill="002060"/>
            <w:noWrap/>
            <w:vAlign w:val="center"/>
          </w:tcPr>
          <w:p w14:paraId="0B775BF1" w14:textId="77777777" w:rsidR="008F4AE7" w:rsidRPr="005078C5" w:rsidRDefault="008F4AE7" w:rsidP="004F33DE">
            <w:pPr>
              <w:pStyle w:val="Tablehead"/>
              <w:rPr>
                <w:szCs w:val="22"/>
                <w:rtl/>
                <w:lang w:val="es-ES_tradnl"/>
              </w:rPr>
            </w:pPr>
            <w:r w:rsidRPr="005078C5">
              <w:rPr>
                <w:lang w:val="es-ES_tradnl"/>
              </w:rPr>
              <w:t>Tipo de órbita</w:t>
            </w:r>
          </w:p>
        </w:tc>
        <w:tc>
          <w:tcPr>
            <w:tcW w:w="700" w:type="pct"/>
            <w:shd w:val="clear" w:color="000000" w:fill="002060"/>
            <w:noWrap/>
            <w:vAlign w:val="center"/>
          </w:tcPr>
          <w:p w14:paraId="7D0EDDB3" w14:textId="77777777" w:rsidR="008F4AE7" w:rsidRPr="005078C5" w:rsidRDefault="008F4AE7" w:rsidP="004F33DE">
            <w:pPr>
              <w:pStyle w:val="Tablehead"/>
              <w:rPr>
                <w:szCs w:val="22"/>
                <w:rtl/>
                <w:lang w:val="es-ES_tradnl"/>
              </w:rPr>
            </w:pPr>
            <w:r w:rsidRPr="005078C5">
              <w:rPr>
                <w:lang w:val="es-ES_tradnl"/>
              </w:rPr>
              <w:t>Red</w:t>
            </w:r>
          </w:p>
        </w:tc>
        <w:tc>
          <w:tcPr>
            <w:tcW w:w="499" w:type="pct"/>
            <w:shd w:val="clear" w:color="000000" w:fill="002060"/>
            <w:noWrap/>
            <w:vAlign w:val="center"/>
          </w:tcPr>
          <w:p w14:paraId="3E5C2239" w14:textId="77777777" w:rsidR="008F4AE7" w:rsidRPr="005078C5" w:rsidRDefault="008F4AE7" w:rsidP="004F33DE">
            <w:pPr>
              <w:pStyle w:val="Tablehead"/>
              <w:rPr>
                <w:szCs w:val="22"/>
                <w:rtl/>
                <w:lang w:val="es-ES_tradnl"/>
              </w:rPr>
            </w:pPr>
            <w:r w:rsidRPr="005078C5">
              <w:rPr>
                <w:lang w:val="es-ES_tradnl"/>
              </w:rPr>
              <w:t>Núm. de la notificación</w:t>
            </w:r>
          </w:p>
        </w:tc>
      </w:tr>
      <w:tr w:rsidR="008F4AE7" w:rsidRPr="005078C5" w14:paraId="2694CA28" w14:textId="77777777" w:rsidTr="00950DAB">
        <w:trPr>
          <w:trHeight w:val="295"/>
          <w:jc w:val="right"/>
        </w:trPr>
        <w:tc>
          <w:tcPr>
            <w:tcW w:w="501" w:type="pct"/>
            <w:noWrap/>
            <w:vAlign w:val="center"/>
          </w:tcPr>
          <w:p w14:paraId="7A073D52"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14,03</w:t>
            </w:r>
          </w:p>
        </w:tc>
        <w:tc>
          <w:tcPr>
            <w:tcW w:w="850" w:type="pct"/>
            <w:noWrap/>
            <w:vAlign w:val="center"/>
          </w:tcPr>
          <w:p w14:paraId="02C85B05"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16 de septiembre de 2025</w:t>
            </w:r>
          </w:p>
        </w:tc>
        <w:tc>
          <w:tcPr>
            <w:tcW w:w="450" w:type="pct"/>
            <w:noWrap/>
            <w:vAlign w:val="center"/>
          </w:tcPr>
          <w:p w14:paraId="5B587567"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3055</w:t>
            </w:r>
          </w:p>
        </w:tc>
        <w:tc>
          <w:tcPr>
            <w:tcW w:w="400" w:type="pct"/>
            <w:noWrap/>
            <w:vAlign w:val="center"/>
          </w:tcPr>
          <w:p w14:paraId="6B9CDF29"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6292</w:t>
            </w:r>
          </w:p>
        </w:tc>
        <w:tc>
          <w:tcPr>
            <w:tcW w:w="400" w:type="pct"/>
            <w:noWrap/>
            <w:vAlign w:val="center"/>
          </w:tcPr>
          <w:p w14:paraId="7C2A2A91"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700" w:type="pct"/>
            <w:noWrap/>
            <w:vAlign w:val="center"/>
          </w:tcPr>
          <w:p w14:paraId="78AFF47C"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22 de julio de 2024</w:t>
            </w:r>
          </w:p>
        </w:tc>
        <w:tc>
          <w:tcPr>
            <w:tcW w:w="500" w:type="pct"/>
            <w:noWrap/>
            <w:vAlign w:val="center"/>
          </w:tcPr>
          <w:p w14:paraId="114323F9" w14:textId="77777777" w:rsidR="008F4AE7" w:rsidRPr="005078C5" w:rsidRDefault="008F4AE7" w:rsidP="003F77BE">
            <w:pPr>
              <w:pStyle w:val="Tabletext"/>
              <w:jc w:val="center"/>
              <w:rPr>
                <w:rFonts w:asciiTheme="minorHAnsi" w:hAnsiTheme="minorHAnsi" w:cstheme="minorHAnsi"/>
                <w:szCs w:val="22"/>
                <w:lang w:val="es-ES_tradnl"/>
              </w:rPr>
            </w:pPr>
            <w:proofErr w:type="spellStart"/>
            <w:r w:rsidRPr="005078C5">
              <w:rPr>
                <w:lang w:val="es-ES_tradnl"/>
              </w:rPr>
              <w:t>OSG</w:t>
            </w:r>
            <w:proofErr w:type="spellEnd"/>
          </w:p>
        </w:tc>
        <w:tc>
          <w:tcPr>
            <w:tcW w:w="700" w:type="pct"/>
            <w:noWrap/>
            <w:vAlign w:val="center"/>
          </w:tcPr>
          <w:p w14:paraId="57C7C2B9" w14:textId="77777777" w:rsidR="008F4AE7" w:rsidRPr="005078C5" w:rsidRDefault="008F4AE7" w:rsidP="003F77BE">
            <w:pPr>
              <w:pStyle w:val="Tabletext"/>
              <w:jc w:val="center"/>
              <w:rPr>
                <w:rFonts w:asciiTheme="minorHAnsi" w:hAnsiTheme="minorHAnsi" w:cstheme="minorHAnsi"/>
                <w:szCs w:val="22"/>
                <w:lang w:val="es-ES_tradnl"/>
              </w:rPr>
            </w:pPr>
            <w:proofErr w:type="spellStart"/>
            <w:r w:rsidRPr="005078C5">
              <w:rPr>
                <w:lang w:val="es-ES_tradnl"/>
              </w:rPr>
              <w:t>SAUDISAT_45.5E</w:t>
            </w:r>
            <w:proofErr w:type="spellEnd"/>
          </w:p>
        </w:tc>
        <w:tc>
          <w:tcPr>
            <w:tcW w:w="499" w:type="pct"/>
            <w:noWrap/>
            <w:vAlign w:val="center"/>
          </w:tcPr>
          <w:p w14:paraId="2586270C"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124520150</w:t>
            </w:r>
          </w:p>
        </w:tc>
      </w:tr>
      <w:tr w:rsidR="008F4AE7" w:rsidRPr="005078C5" w14:paraId="6F5A7FF9" w14:textId="77777777" w:rsidTr="00950DAB">
        <w:trPr>
          <w:trHeight w:val="295"/>
          <w:jc w:val="right"/>
        </w:trPr>
        <w:tc>
          <w:tcPr>
            <w:tcW w:w="501" w:type="pct"/>
            <w:noWrap/>
            <w:vAlign w:val="center"/>
          </w:tcPr>
          <w:p w14:paraId="351C2F5B"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14,20</w:t>
            </w:r>
          </w:p>
        </w:tc>
        <w:tc>
          <w:tcPr>
            <w:tcW w:w="850" w:type="pct"/>
            <w:noWrap/>
            <w:vAlign w:val="center"/>
          </w:tcPr>
          <w:p w14:paraId="15519333"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30 de septiembre de 2025</w:t>
            </w:r>
          </w:p>
        </w:tc>
        <w:tc>
          <w:tcPr>
            <w:tcW w:w="450" w:type="pct"/>
            <w:noWrap/>
            <w:vAlign w:val="center"/>
          </w:tcPr>
          <w:p w14:paraId="7588B689"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3056</w:t>
            </w:r>
          </w:p>
        </w:tc>
        <w:tc>
          <w:tcPr>
            <w:tcW w:w="400" w:type="pct"/>
            <w:noWrap/>
            <w:vAlign w:val="center"/>
          </w:tcPr>
          <w:p w14:paraId="18CF89A7"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6299</w:t>
            </w:r>
          </w:p>
        </w:tc>
        <w:tc>
          <w:tcPr>
            <w:tcW w:w="400" w:type="pct"/>
            <w:noWrap/>
            <w:vAlign w:val="center"/>
          </w:tcPr>
          <w:p w14:paraId="6CE08416"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700" w:type="pct"/>
            <w:noWrap/>
            <w:vAlign w:val="center"/>
          </w:tcPr>
          <w:p w14:paraId="7C383793"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31 de julio de 2024</w:t>
            </w:r>
          </w:p>
        </w:tc>
        <w:tc>
          <w:tcPr>
            <w:tcW w:w="500" w:type="pct"/>
            <w:noWrap/>
            <w:vAlign w:val="center"/>
          </w:tcPr>
          <w:p w14:paraId="13B8FEB6" w14:textId="77777777" w:rsidR="008F4AE7" w:rsidRPr="005078C5" w:rsidRDefault="008F4AE7" w:rsidP="003F77BE">
            <w:pPr>
              <w:pStyle w:val="Tabletext"/>
              <w:jc w:val="center"/>
              <w:rPr>
                <w:rFonts w:asciiTheme="minorHAnsi" w:hAnsiTheme="minorHAnsi" w:cstheme="minorHAnsi"/>
                <w:szCs w:val="22"/>
                <w:lang w:val="es-ES_tradnl"/>
              </w:rPr>
            </w:pPr>
            <w:proofErr w:type="spellStart"/>
            <w:r w:rsidRPr="005078C5">
              <w:rPr>
                <w:lang w:val="es-ES_tradnl"/>
              </w:rPr>
              <w:t>OSG</w:t>
            </w:r>
            <w:proofErr w:type="spellEnd"/>
          </w:p>
        </w:tc>
        <w:tc>
          <w:tcPr>
            <w:tcW w:w="700" w:type="pct"/>
            <w:noWrap/>
            <w:vAlign w:val="center"/>
          </w:tcPr>
          <w:p w14:paraId="3B104CC8" w14:textId="77777777" w:rsidR="008F4AE7" w:rsidRPr="005078C5" w:rsidRDefault="008F4AE7" w:rsidP="003F77BE">
            <w:pPr>
              <w:pStyle w:val="Tabletext"/>
              <w:jc w:val="center"/>
              <w:rPr>
                <w:rFonts w:asciiTheme="minorHAnsi" w:hAnsiTheme="minorHAnsi" w:cstheme="minorHAnsi"/>
                <w:szCs w:val="22"/>
                <w:lang w:val="es-ES_tradnl"/>
              </w:rPr>
            </w:pPr>
            <w:proofErr w:type="spellStart"/>
            <w:r w:rsidRPr="005078C5">
              <w:rPr>
                <w:lang w:val="es-ES_tradnl"/>
              </w:rPr>
              <w:t>SAUDISAT_51.9E</w:t>
            </w:r>
            <w:proofErr w:type="spellEnd"/>
          </w:p>
        </w:tc>
        <w:tc>
          <w:tcPr>
            <w:tcW w:w="499" w:type="pct"/>
            <w:noWrap/>
            <w:vAlign w:val="center"/>
          </w:tcPr>
          <w:p w14:paraId="7B5E6520"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124520158</w:t>
            </w:r>
          </w:p>
        </w:tc>
      </w:tr>
      <w:tr w:rsidR="008F4AE7" w:rsidRPr="005078C5" w14:paraId="522316A9" w14:textId="77777777" w:rsidTr="00950DAB">
        <w:trPr>
          <w:trHeight w:val="295"/>
          <w:jc w:val="right"/>
        </w:trPr>
        <w:tc>
          <w:tcPr>
            <w:tcW w:w="501" w:type="pct"/>
            <w:noWrap/>
            <w:vAlign w:val="center"/>
          </w:tcPr>
          <w:p w14:paraId="7DEC5D54"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14,27</w:t>
            </w:r>
          </w:p>
        </w:tc>
        <w:tc>
          <w:tcPr>
            <w:tcW w:w="850" w:type="pct"/>
            <w:noWrap/>
            <w:vAlign w:val="center"/>
          </w:tcPr>
          <w:p w14:paraId="6FC552AE"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16 de septiembre de 2025</w:t>
            </w:r>
          </w:p>
        </w:tc>
        <w:tc>
          <w:tcPr>
            <w:tcW w:w="450" w:type="pct"/>
            <w:noWrap/>
            <w:vAlign w:val="center"/>
          </w:tcPr>
          <w:p w14:paraId="0001BE19"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3055</w:t>
            </w:r>
          </w:p>
        </w:tc>
        <w:tc>
          <w:tcPr>
            <w:tcW w:w="400" w:type="pct"/>
            <w:noWrap/>
            <w:vAlign w:val="center"/>
          </w:tcPr>
          <w:p w14:paraId="5DE67350"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6289</w:t>
            </w:r>
          </w:p>
        </w:tc>
        <w:tc>
          <w:tcPr>
            <w:tcW w:w="400" w:type="pct"/>
            <w:noWrap/>
            <w:vAlign w:val="center"/>
          </w:tcPr>
          <w:p w14:paraId="6CE2A0AC"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700" w:type="pct"/>
            <w:noWrap/>
            <w:vAlign w:val="center"/>
          </w:tcPr>
          <w:p w14:paraId="4D3AE1AA"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15 de julio de 2024</w:t>
            </w:r>
          </w:p>
        </w:tc>
        <w:tc>
          <w:tcPr>
            <w:tcW w:w="500" w:type="pct"/>
            <w:noWrap/>
            <w:vAlign w:val="center"/>
          </w:tcPr>
          <w:p w14:paraId="66F02846" w14:textId="77777777" w:rsidR="008F4AE7" w:rsidRPr="005078C5" w:rsidRDefault="008F4AE7" w:rsidP="003F77BE">
            <w:pPr>
              <w:pStyle w:val="Tabletext"/>
              <w:jc w:val="center"/>
              <w:rPr>
                <w:rFonts w:asciiTheme="minorHAnsi" w:hAnsiTheme="minorHAnsi" w:cstheme="minorHAnsi"/>
                <w:szCs w:val="22"/>
                <w:lang w:val="es-ES_tradnl"/>
              </w:rPr>
            </w:pPr>
            <w:proofErr w:type="spellStart"/>
            <w:r w:rsidRPr="005078C5">
              <w:rPr>
                <w:lang w:val="es-ES_tradnl"/>
              </w:rPr>
              <w:t>OSG</w:t>
            </w:r>
            <w:proofErr w:type="spellEnd"/>
          </w:p>
        </w:tc>
        <w:tc>
          <w:tcPr>
            <w:tcW w:w="700" w:type="pct"/>
            <w:noWrap/>
            <w:vAlign w:val="center"/>
          </w:tcPr>
          <w:p w14:paraId="2645E664" w14:textId="77777777" w:rsidR="008F4AE7" w:rsidRPr="005078C5" w:rsidRDefault="008F4AE7" w:rsidP="003F77BE">
            <w:pPr>
              <w:pStyle w:val="Tabletext"/>
              <w:jc w:val="center"/>
              <w:rPr>
                <w:rFonts w:asciiTheme="minorHAnsi" w:hAnsiTheme="minorHAnsi" w:cstheme="minorHAnsi"/>
                <w:szCs w:val="22"/>
                <w:lang w:val="es-ES_tradnl"/>
              </w:rPr>
            </w:pPr>
            <w:proofErr w:type="spellStart"/>
            <w:r w:rsidRPr="005078C5">
              <w:rPr>
                <w:lang w:val="es-ES_tradnl"/>
              </w:rPr>
              <w:t>SAUDISAT_7.9E</w:t>
            </w:r>
            <w:proofErr w:type="spellEnd"/>
          </w:p>
        </w:tc>
        <w:tc>
          <w:tcPr>
            <w:tcW w:w="499" w:type="pct"/>
            <w:noWrap/>
            <w:vAlign w:val="center"/>
          </w:tcPr>
          <w:p w14:paraId="62A43F73"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124520137</w:t>
            </w:r>
          </w:p>
        </w:tc>
      </w:tr>
    </w:tbl>
    <w:p w14:paraId="27294336" w14:textId="77777777" w:rsidR="008F4AE7" w:rsidRPr="005078C5" w:rsidRDefault="008F4AE7" w:rsidP="00950DAB">
      <w:pPr>
        <w:pStyle w:val="Headingb"/>
        <w:spacing w:after="120"/>
        <w:rPr>
          <w:lang w:val="es-ES_tradnl"/>
        </w:rPr>
      </w:pPr>
      <w:r w:rsidRPr="005078C5">
        <w:rPr>
          <w:lang w:val="es-ES_tradnl"/>
        </w:rPr>
        <w:t>B</w:t>
      </w:r>
      <w:r w:rsidRPr="005078C5">
        <w:rPr>
          <w:lang w:val="es-ES_tradnl"/>
        </w:rPr>
        <w:tab/>
        <w:t>Ficheros en tramitación*</w:t>
      </w:r>
    </w:p>
    <w:tbl>
      <w:tblPr>
        <w:bidiVisual/>
        <w:tblW w:w="14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3"/>
        <w:gridCol w:w="1275"/>
        <w:gridCol w:w="1417"/>
        <w:gridCol w:w="1418"/>
        <w:gridCol w:w="1134"/>
        <w:gridCol w:w="2410"/>
        <w:gridCol w:w="1418"/>
        <w:gridCol w:w="1985"/>
        <w:gridCol w:w="1415"/>
      </w:tblGrid>
      <w:tr w:rsidR="008F4AE7" w:rsidRPr="005078C5" w14:paraId="5B6EE955" w14:textId="77777777" w:rsidTr="00950DAB">
        <w:trPr>
          <w:trHeight w:val="295"/>
          <w:jc w:val="right"/>
        </w:trPr>
        <w:tc>
          <w:tcPr>
            <w:tcW w:w="601" w:type="pct"/>
            <w:shd w:val="clear" w:color="000000" w:fill="002060"/>
            <w:noWrap/>
            <w:vAlign w:val="center"/>
          </w:tcPr>
          <w:p w14:paraId="75044515" w14:textId="77777777" w:rsidR="008F4AE7" w:rsidRPr="005078C5" w:rsidRDefault="008F4AE7" w:rsidP="005078C5">
            <w:pPr>
              <w:pStyle w:val="Tablehead"/>
              <w:rPr>
                <w:szCs w:val="22"/>
                <w:rtl/>
                <w:lang w:val="es-ES_tradnl"/>
              </w:rPr>
            </w:pPr>
            <w:r w:rsidRPr="005078C5">
              <w:rPr>
                <w:lang w:val="es-ES_tradnl"/>
              </w:rPr>
              <w:t>Tiempo de procesamiento (meses)</w:t>
            </w:r>
          </w:p>
        </w:tc>
        <w:tc>
          <w:tcPr>
            <w:tcW w:w="450" w:type="pct"/>
            <w:shd w:val="clear" w:color="000000" w:fill="002060"/>
            <w:noWrap/>
            <w:vAlign w:val="center"/>
          </w:tcPr>
          <w:p w14:paraId="3FDB27FF" w14:textId="77777777" w:rsidR="008F4AE7" w:rsidRPr="005078C5" w:rsidRDefault="008F4AE7" w:rsidP="005078C5">
            <w:pPr>
              <w:pStyle w:val="Tablehead"/>
              <w:rPr>
                <w:szCs w:val="22"/>
                <w:rtl/>
                <w:lang w:val="es-ES_tradnl"/>
              </w:rPr>
            </w:pPr>
            <w:r w:rsidRPr="005078C5">
              <w:rPr>
                <w:lang w:val="es-ES_tradnl"/>
              </w:rPr>
              <w:t>Fecha de publicación</w:t>
            </w:r>
          </w:p>
        </w:tc>
        <w:tc>
          <w:tcPr>
            <w:tcW w:w="500" w:type="pct"/>
            <w:shd w:val="clear" w:color="000000" w:fill="002060"/>
            <w:noWrap/>
            <w:vAlign w:val="center"/>
          </w:tcPr>
          <w:p w14:paraId="559A34BB" w14:textId="77777777" w:rsidR="008F4AE7" w:rsidRPr="005078C5" w:rsidRDefault="008F4AE7" w:rsidP="005078C5">
            <w:pPr>
              <w:pStyle w:val="Tablehead"/>
              <w:rPr>
                <w:szCs w:val="22"/>
                <w:rtl/>
                <w:lang w:val="es-ES_tradnl"/>
              </w:rPr>
            </w:pPr>
            <w:r w:rsidRPr="005078C5">
              <w:rPr>
                <w:lang w:val="es-ES_tradnl"/>
              </w:rPr>
              <w:t>Núm. BR-</w:t>
            </w:r>
            <w:proofErr w:type="spellStart"/>
            <w:r w:rsidRPr="005078C5">
              <w:rPr>
                <w:lang w:val="es-ES_tradnl"/>
              </w:rPr>
              <w:t>IFIC</w:t>
            </w:r>
            <w:proofErr w:type="spellEnd"/>
          </w:p>
        </w:tc>
        <w:tc>
          <w:tcPr>
            <w:tcW w:w="500" w:type="pct"/>
            <w:shd w:val="clear" w:color="000000" w:fill="002060"/>
            <w:noWrap/>
            <w:vAlign w:val="center"/>
          </w:tcPr>
          <w:p w14:paraId="17E5D4A2" w14:textId="77777777" w:rsidR="008F4AE7" w:rsidRPr="005078C5" w:rsidRDefault="008F4AE7" w:rsidP="005078C5">
            <w:pPr>
              <w:pStyle w:val="Tablehead"/>
              <w:rPr>
                <w:szCs w:val="22"/>
                <w:rtl/>
                <w:lang w:val="es-ES_tradnl"/>
              </w:rPr>
            </w:pPr>
            <w:r w:rsidRPr="005078C5">
              <w:rPr>
                <w:lang w:val="es-ES_tradnl"/>
              </w:rPr>
              <w:t>Núm. de publicación</w:t>
            </w:r>
          </w:p>
        </w:tc>
        <w:tc>
          <w:tcPr>
            <w:tcW w:w="400" w:type="pct"/>
            <w:shd w:val="clear" w:color="000000" w:fill="002060"/>
            <w:noWrap/>
            <w:vAlign w:val="center"/>
          </w:tcPr>
          <w:p w14:paraId="671B1780" w14:textId="77777777" w:rsidR="008F4AE7" w:rsidRPr="005078C5" w:rsidRDefault="008F4AE7" w:rsidP="005078C5">
            <w:pPr>
              <w:pStyle w:val="Tablehead"/>
              <w:rPr>
                <w:szCs w:val="22"/>
                <w:rtl/>
                <w:lang w:val="es-ES_tradnl"/>
              </w:rPr>
            </w:pPr>
            <w:r w:rsidRPr="005078C5">
              <w:rPr>
                <w:lang w:val="es-ES_tradnl"/>
              </w:rPr>
              <w:t>Tipo de notificación</w:t>
            </w:r>
          </w:p>
        </w:tc>
        <w:tc>
          <w:tcPr>
            <w:tcW w:w="850" w:type="pct"/>
            <w:shd w:val="clear" w:color="000000" w:fill="002060"/>
            <w:noWrap/>
            <w:vAlign w:val="center"/>
          </w:tcPr>
          <w:p w14:paraId="156182BD" w14:textId="77777777" w:rsidR="008F4AE7" w:rsidRPr="005078C5" w:rsidRDefault="008F4AE7" w:rsidP="005078C5">
            <w:pPr>
              <w:pStyle w:val="Tablehead"/>
              <w:rPr>
                <w:szCs w:val="22"/>
                <w:rtl/>
                <w:lang w:val="es-ES_tradnl"/>
              </w:rPr>
            </w:pPr>
            <w:r w:rsidRPr="005078C5">
              <w:rPr>
                <w:lang w:val="es-ES_tradnl"/>
              </w:rPr>
              <w:t>Fecha de recepción</w:t>
            </w:r>
          </w:p>
        </w:tc>
        <w:tc>
          <w:tcPr>
            <w:tcW w:w="500" w:type="pct"/>
            <w:shd w:val="clear" w:color="000000" w:fill="002060"/>
            <w:noWrap/>
            <w:vAlign w:val="center"/>
          </w:tcPr>
          <w:p w14:paraId="58E13C17" w14:textId="77777777" w:rsidR="008F4AE7" w:rsidRPr="005078C5" w:rsidRDefault="008F4AE7" w:rsidP="005078C5">
            <w:pPr>
              <w:pStyle w:val="Tablehead"/>
              <w:rPr>
                <w:szCs w:val="22"/>
                <w:rtl/>
                <w:lang w:val="es-ES_tradnl"/>
              </w:rPr>
            </w:pPr>
            <w:r w:rsidRPr="005078C5">
              <w:rPr>
                <w:lang w:val="es-ES_tradnl"/>
              </w:rPr>
              <w:t>Tipo de órbita</w:t>
            </w:r>
          </w:p>
        </w:tc>
        <w:tc>
          <w:tcPr>
            <w:tcW w:w="700" w:type="pct"/>
            <w:shd w:val="clear" w:color="000000" w:fill="002060"/>
            <w:noWrap/>
            <w:vAlign w:val="center"/>
          </w:tcPr>
          <w:p w14:paraId="53CB175F" w14:textId="77777777" w:rsidR="008F4AE7" w:rsidRPr="005078C5" w:rsidRDefault="008F4AE7" w:rsidP="005078C5">
            <w:pPr>
              <w:pStyle w:val="Tablehead"/>
              <w:rPr>
                <w:szCs w:val="22"/>
                <w:rtl/>
                <w:lang w:val="es-ES_tradnl"/>
              </w:rPr>
            </w:pPr>
            <w:r w:rsidRPr="005078C5">
              <w:rPr>
                <w:lang w:val="es-ES_tradnl"/>
              </w:rPr>
              <w:t>Red</w:t>
            </w:r>
          </w:p>
        </w:tc>
        <w:tc>
          <w:tcPr>
            <w:tcW w:w="499" w:type="pct"/>
            <w:shd w:val="clear" w:color="000000" w:fill="002060"/>
            <w:noWrap/>
            <w:vAlign w:val="center"/>
          </w:tcPr>
          <w:p w14:paraId="314C6942" w14:textId="77777777" w:rsidR="008F4AE7" w:rsidRPr="005078C5" w:rsidRDefault="008F4AE7" w:rsidP="005078C5">
            <w:pPr>
              <w:pStyle w:val="Tablehead"/>
              <w:rPr>
                <w:szCs w:val="22"/>
                <w:rtl/>
                <w:lang w:val="es-ES_tradnl"/>
              </w:rPr>
            </w:pPr>
            <w:r w:rsidRPr="005078C5">
              <w:rPr>
                <w:lang w:val="es-ES_tradnl"/>
              </w:rPr>
              <w:t>Núm. de la notificación</w:t>
            </w:r>
          </w:p>
        </w:tc>
      </w:tr>
      <w:tr w:rsidR="008F4AE7" w:rsidRPr="005078C5" w14:paraId="0A99AC56" w14:textId="77777777" w:rsidTr="00950DAB">
        <w:trPr>
          <w:trHeight w:val="295"/>
          <w:jc w:val="right"/>
        </w:trPr>
        <w:tc>
          <w:tcPr>
            <w:tcW w:w="601" w:type="pct"/>
            <w:noWrap/>
            <w:vAlign w:val="center"/>
          </w:tcPr>
          <w:p w14:paraId="48FA5259"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10,8</w:t>
            </w:r>
          </w:p>
        </w:tc>
        <w:tc>
          <w:tcPr>
            <w:tcW w:w="450" w:type="pct"/>
            <w:noWrap/>
            <w:vAlign w:val="center"/>
          </w:tcPr>
          <w:p w14:paraId="4635EC76"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En trámite</w:t>
            </w:r>
          </w:p>
        </w:tc>
        <w:tc>
          <w:tcPr>
            <w:tcW w:w="500" w:type="pct"/>
            <w:noWrap/>
          </w:tcPr>
          <w:p w14:paraId="1DBD3353"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500" w:type="pct"/>
            <w:noWrap/>
          </w:tcPr>
          <w:p w14:paraId="7E66C36D"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400" w:type="pct"/>
            <w:noWrap/>
            <w:vAlign w:val="center"/>
          </w:tcPr>
          <w:p w14:paraId="4764295A"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850" w:type="pct"/>
            <w:noWrap/>
            <w:vAlign w:val="center"/>
          </w:tcPr>
          <w:p w14:paraId="68934C2B" w14:textId="77777777" w:rsidR="008F4AE7" w:rsidRPr="005078C5" w:rsidRDefault="008F4AE7" w:rsidP="003F77BE">
            <w:pPr>
              <w:pStyle w:val="Tabletext"/>
              <w:jc w:val="center"/>
              <w:rPr>
                <w:rFonts w:asciiTheme="minorHAnsi" w:hAnsiTheme="minorHAnsi" w:cstheme="minorHAnsi"/>
                <w:szCs w:val="22"/>
                <w:rtl/>
                <w:lang w:val="es-ES_tradnl"/>
              </w:rPr>
            </w:pPr>
            <w:r w:rsidRPr="005078C5">
              <w:rPr>
                <w:lang w:val="es-ES_tradnl"/>
              </w:rPr>
              <w:t>20 de mayo de 2025</w:t>
            </w:r>
          </w:p>
        </w:tc>
        <w:tc>
          <w:tcPr>
            <w:tcW w:w="500" w:type="pct"/>
            <w:noWrap/>
            <w:vAlign w:val="center"/>
          </w:tcPr>
          <w:p w14:paraId="75DDEBBA"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OSG</w:t>
            </w:r>
            <w:proofErr w:type="spellEnd"/>
          </w:p>
        </w:tc>
        <w:tc>
          <w:tcPr>
            <w:tcW w:w="700" w:type="pct"/>
            <w:noWrap/>
            <w:vAlign w:val="center"/>
          </w:tcPr>
          <w:p w14:paraId="5DA9442A"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ARABSAT-12F-44.5E</w:t>
            </w:r>
            <w:proofErr w:type="spellEnd"/>
          </w:p>
        </w:tc>
        <w:tc>
          <w:tcPr>
            <w:tcW w:w="499" w:type="pct"/>
            <w:noWrap/>
            <w:vAlign w:val="center"/>
          </w:tcPr>
          <w:p w14:paraId="41A8FA5D"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125520067</w:t>
            </w:r>
          </w:p>
        </w:tc>
      </w:tr>
      <w:tr w:rsidR="008F4AE7" w:rsidRPr="005078C5" w14:paraId="711D4792" w14:textId="77777777" w:rsidTr="00950DAB">
        <w:trPr>
          <w:trHeight w:val="295"/>
          <w:jc w:val="right"/>
        </w:trPr>
        <w:tc>
          <w:tcPr>
            <w:tcW w:w="601" w:type="pct"/>
            <w:noWrap/>
            <w:vAlign w:val="center"/>
          </w:tcPr>
          <w:p w14:paraId="44751DF5"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10,8</w:t>
            </w:r>
          </w:p>
        </w:tc>
        <w:tc>
          <w:tcPr>
            <w:tcW w:w="450" w:type="pct"/>
            <w:noWrap/>
          </w:tcPr>
          <w:p w14:paraId="5C0B1B1E"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En trámite</w:t>
            </w:r>
          </w:p>
        </w:tc>
        <w:tc>
          <w:tcPr>
            <w:tcW w:w="500" w:type="pct"/>
            <w:noWrap/>
          </w:tcPr>
          <w:p w14:paraId="311C22F1"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500" w:type="pct"/>
            <w:noWrap/>
          </w:tcPr>
          <w:p w14:paraId="1F75579C"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400" w:type="pct"/>
            <w:noWrap/>
            <w:vAlign w:val="center"/>
          </w:tcPr>
          <w:p w14:paraId="73AED043"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850" w:type="pct"/>
            <w:noWrap/>
            <w:vAlign w:val="center"/>
          </w:tcPr>
          <w:p w14:paraId="14789D51" w14:textId="77777777" w:rsidR="008F4AE7" w:rsidRPr="005078C5" w:rsidRDefault="008F4AE7" w:rsidP="003F77BE">
            <w:pPr>
              <w:pStyle w:val="Tabletext"/>
              <w:jc w:val="center"/>
              <w:rPr>
                <w:rFonts w:asciiTheme="minorHAnsi" w:hAnsiTheme="minorHAnsi" w:cstheme="minorHAnsi"/>
                <w:szCs w:val="22"/>
                <w:rtl/>
                <w:lang w:val="es-ES_tradnl"/>
              </w:rPr>
            </w:pPr>
            <w:r w:rsidRPr="005078C5">
              <w:rPr>
                <w:lang w:val="es-ES_tradnl"/>
              </w:rPr>
              <w:t>20 de mayo de 2025</w:t>
            </w:r>
          </w:p>
        </w:tc>
        <w:tc>
          <w:tcPr>
            <w:tcW w:w="500" w:type="pct"/>
            <w:noWrap/>
            <w:vAlign w:val="center"/>
          </w:tcPr>
          <w:p w14:paraId="7237F361"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OSG</w:t>
            </w:r>
            <w:proofErr w:type="spellEnd"/>
          </w:p>
        </w:tc>
        <w:tc>
          <w:tcPr>
            <w:tcW w:w="700" w:type="pct"/>
            <w:noWrap/>
            <w:vAlign w:val="center"/>
          </w:tcPr>
          <w:p w14:paraId="6780D0F7"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ARABSAT-12G-1E</w:t>
            </w:r>
            <w:proofErr w:type="spellEnd"/>
          </w:p>
        </w:tc>
        <w:tc>
          <w:tcPr>
            <w:tcW w:w="499" w:type="pct"/>
            <w:noWrap/>
            <w:vAlign w:val="center"/>
          </w:tcPr>
          <w:p w14:paraId="53DD6FF7"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125520066</w:t>
            </w:r>
          </w:p>
        </w:tc>
      </w:tr>
      <w:tr w:rsidR="008F4AE7" w:rsidRPr="005078C5" w14:paraId="49A3BFAE" w14:textId="77777777" w:rsidTr="00950DAB">
        <w:trPr>
          <w:trHeight w:val="295"/>
          <w:jc w:val="right"/>
        </w:trPr>
        <w:tc>
          <w:tcPr>
            <w:tcW w:w="601" w:type="pct"/>
            <w:noWrap/>
            <w:vAlign w:val="center"/>
          </w:tcPr>
          <w:p w14:paraId="0B4F9B03"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10,8</w:t>
            </w:r>
          </w:p>
        </w:tc>
        <w:tc>
          <w:tcPr>
            <w:tcW w:w="450" w:type="pct"/>
            <w:noWrap/>
          </w:tcPr>
          <w:p w14:paraId="07FA7605"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En trámite</w:t>
            </w:r>
          </w:p>
        </w:tc>
        <w:tc>
          <w:tcPr>
            <w:tcW w:w="500" w:type="pct"/>
            <w:noWrap/>
          </w:tcPr>
          <w:p w14:paraId="2E8E4C93"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500" w:type="pct"/>
            <w:noWrap/>
          </w:tcPr>
          <w:p w14:paraId="241C6411"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400" w:type="pct"/>
            <w:noWrap/>
            <w:vAlign w:val="center"/>
          </w:tcPr>
          <w:p w14:paraId="7037B0A5"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850" w:type="pct"/>
            <w:noWrap/>
            <w:vAlign w:val="center"/>
          </w:tcPr>
          <w:p w14:paraId="2380AD4B" w14:textId="77777777" w:rsidR="008F4AE7" w:rsidRPr="005078C5" w:rsidRDefault="008F4AE7" w:rsidP="003F77BE">
            <w:pPr>
              <w:pStyle w:val="Tabletext"/>
              <w:jc w:val="center"/>
              <w:rPr>
                <w:rFonts w:asciiTheme="minorHAnsi" w:hAnsiTheme="minorHAnsi" w:cstheme="minorHAnsi"/>
                <w:szCs w:val="22"/>
                <w:rtl/>
                <w:lang w:val="es-ES_tradnl"/>
              </w:rPr>
            </w:pPr>
            <w:r w:rsidRPr="005078C5">
              <w:rPr>
                <w:lang w:val="es-ES_tradnl"/>
              </w:rPr>
              <w:t>20 de mayo de 2025</w:t>
            </w:r>
          </w:p>
        </w:tc>
        <w:tc>
          <w:tcPr>
            <w:tcW w:w="500" w:type="pct"/>
            <w:noWrap/>
            <w:vAlign w:val="center"/>
          </w:tcPr>
          <w:p w14:paraId="1A84D9C2"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OSG</w:t>
            </w:r>
            <w:proofErr w:type="spellEnd"/>
          </w:p>
        </w:tc>
        <w:tc>
          <w:tcPr>
            <w:tcW w:w="700" w:type="pct"/>
            <w:noWrap/>
            <w:vAlign w:val="center"/>
          </w:tcPr>
          <w:p w14:paraId="75A2B433"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ARABSAT-12N-14.7E</w:t>
            </w:r>
            <w:proofErr w:type="spellEnd"/>
          </w:p>
        </w:tc>
        <w:tc>
          <w:tcPr>
            <w:tcW w:w="499" w:type="pct"/>
            <w:noWrap/>
            <w:vAlign w:val="center"/>
          </w:tcPr>
          <w:p w14:paraId="7DE808BA"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125520065</w:t>
            </w:r>
          </w:p>
        </w:tc>
      </w:tr>
      <w:tr w:rsidR="008F4AE7" w:rsidRPr="005078C5" w14:paraId="44482D04" w14:textId="77777777" w:rsidTr="00950DAB">
        <w:trPr>
          <w:trHeight w:val="295"/>
          <w:jc w:val="right"/>
        </w:trPr>
        <w:tc>
          <w:tcPr>
            <w:tcW w:w="601" w:type="pct"/>
            <w:noWrap/>
            <w:vAlign w:val="center"/>
          </w:tcPr>
          <w:p w14:paraId="29FD56A5"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10,8</w:t>
            </w:r>
          </w:p>
        </w:tc>
        <w:tc>
          <w:tcPr>
            <w:tcW w:w="450" w:type="pct"/>
            <w:noWrap/>
          </w:tcPr>
          <w:p w14:paraId="76F1C903"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En trámite</w:t>
            </w:r>
          </w:p>
        </w:tc>
        <w:tc>
          <w:tcPr>
            <w:tcW w:w="500" w:type="pct"/>
            <w:noWrap/>
          </w:tcPr>
          <w:p w14:paraId="34B96676"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500" w:type="pct"/>
            <w:noWrap/>
          </w:tcPr>
          <w:p w14:paraId="479C85C6"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400" w:type="pct"/>
            <w:noWrap/>
            <w:vAlign w:val="center"/>
          </w:tcPr>
          <w:p w14:paraId="5AC4CCA7"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850" w:type="pct"/>
            <w:noWrap/>
            <w:vAlign w:val="center"/>
          </w:tcPr>
          <w:p w14:paraId="4AEC06B2" w14:textId="77777777" w:rsidR="008F4AE7" w:rsidRPr="005078C5" w:rsidRDefault="008F4AE7" w:rsidP="003F77BE">
            <w:pPr>
              <w:pStyle w:val="Tabletext"/>
              <w:jc w:val="center"/>
              <w:rPr>
                <w:rFonts w:asciiTheme="minorHAnsi" w:hAnsiTheme="minorHAnsi" w:cstheme="minorHAnsi"/>
                <w:szCs w:val="22"/>
                <w:rtl/>
                <w:lang w:val="es-ES_tradnl"/>
              </w:rPr>
            </w:pPr>
            <w:r w:rsidRPr="005078C5">
              <w:rPr>
                <w:lang w:val="es-ES_tradnl"/>
              </w:rPr>
              <w:t>20 de mayo de 2025</w:t>
            </w:r>
          </w:p>
        </w:tc>
        <w:tc>
          <w:tcPr>
            <w:tcW w:w="500" w:type="pct"/>
            <w:noWrap/>
            <w:vAlign w:val="center"/>
          </w:tcPr>
          <w:p w14:paraId="5BC9C74F"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OSG</w:t>
            </w:r>
            <w:proofErr w:type="spellEnd"/>
          </w:p>
        </w:tc>
        <w:tc>
          <w:tcPr>
            <w:tcW w:w="700" w:type="pct"/>
            <w:noWrap/>
            <w:vAlign w:val="center"/>
          </w:tcPr>
          <w:p w14:paraId="66F00A13"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ARABSAT-12Q-58.5E</w:t>
            </w:r>
            <w:proofErr w:type="spellEnd"/>
          </w:p>
        </w:tc>
        <w:tc>
          <w:tcPr>
            <w:tcW w:w="499" w:type="pct"/>
            <w:noWrap/>
            <w:vAlign w:val="center"/>
          </w:tcPr>
          <w:p w14:paraId="21BF55B8"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125520064</w:t>
            </w:r>
          </w:p>
        </w:tc>
      </w:tr>
      <w:tr w:rsidR="008F4AE7" w:rsidRPr="005078C5" w14:paraId="757CADEF" w14:textId="77777777" w:rsidTr="00950DAB">
        <w:trPr>
          <w:trHeight w:val="295"/>
          <w:jc w:val="right"/>
        </w:trPr>
        <w:tc>
          <w:tcPr>
            <w:tcW w:w="601" w:type="pct"/>
            <w:noWrap/>
            <w:vAlign w:val="center"/>
          </w:tcPr>
          <w:p w14:paraId="1FF3BCA2"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10,8</w:t>
            </w:r>
          </w:p>
        </w:tc>
        <w:tc>
          <w:tcPr>
            <w:tcW w:w="450" w:type="pct"/>
            <w:noWrap/>
          </w:tcPr>
          <w:p w14:paraId="649865F2"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En trámite</w:t>
            </w:r>
          </w:p>
        </w:tc>
        <w:tc>
          <w:tcPr>
            <w:tcW w:w="500" w:type="pct"/>
            <w:noWrap/>
          </w:tcPr>
          <w:p w14:paraId="458BDF9D"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500" w:type="pct"/>
            <w:noWrap/>
          </w:tcPr>
          <w:p w14:paraId="220E56B0"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400" w:type="pct"/>
            <w:noWrap/>
            <w:vAlign w:val="center"/>
          </w:tcPr>
          <w:p w14:paraId="1B2070D0"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850" w:type="pct"/>
            <w:noWrap/>
            <w:vAlign w:val="center"/>
          </w:tcPr>
          <w:p w14:paraId="46948AFE" w14:textId="77777777" w:rsidR="008F4AE7" w:rsidRPr="005078C5" w:rsidRDefault="008F4AE7" w:rsidP="003F77BE">
            <w:pPr>
              <w:pStyle w:val="Tabletext"/>
              <w:jc w:val="center"/>
              <w:rPr>
                <w:rFonts w:asciiTheme="minorHAnsi" w:hAnsiTheme="minorHAnsi" w:cstheme="minorHAnsi"/>
                <w:szCs w:val="22"/>
                <w:rtl/>
                <w:lang w:val="es-ES_tradnl"/>
              </w:rPr>
            </w:pPr>
            <w:r w:rsidRPr="005078C5">
              <w:rPr>
                <w:lang w:val="es-ES_tradnl"/>
              </w:rPr>
              <w:t>20 de mayo de 2025</w:t>
            </w:r>
          </w:p>
        </w:tc>
        <w:tc>
          <w:tcPr>
            <w:tcW w:w="500" w:type="pct"/>
            <w:noWrap/>
            <w:vAlign w:val="center"/>
          </w:tcPr>
          <w:p w14:paraId="4BA50B4A"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OSG</w:t>
            </w:r>
            <w:proofErr w:type="spellEnd"/>
          </w:p>
        </w:tc>
        <w:tc>
          <w:tcPr>
            <w:tcW w:w="700" w:type="pct"/>
            <w:noWrap/>
            <w:vAlign w:val="center"/>
          </w:tcPr>
          <w:p w14:paraId="15AEE7A2"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ARABSAT-12Y-9W</w:t>
            </w:r>
            <w:proofErr w:type="spellEnd"/>
          </w:p>
        </w:tc>
        <w:tc>
          <w:tcPr>
            <w:tcW w:w="499" w:type="pct"/>
            <w:noWrap/>
            <w:vAlign w:val="center"/>
          </w:tcPr>
          <w:p w14:paraId="71F8EBD8"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125520063</w:t>
            </w:r>
          </w:p>
        </w:tc>
      </w:tr>
      <w:tr w:rsidR="008F4AE7" w:rsidRPr="005078C5" w14:paraId="0CA3C377" w14:textId="77777777" w:rsidTr="00950DAB">
        <w:trPr>
          <w:trHeight w:val="295"/>
          <w:jc w:val="right"/>
        </w:trPr>
        <w:tc>
          <w:tcPr>
            <w:tcW w:w="601" w:type="pct"/>
            <w:noWrap/>
            <w:vAlign w:val="center"/>
          </w:tcPr>
          <w:p w14:paraId="4B299C64"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10,8</w:t>
            </w:r>
          </w:p>
        </w:tc>
        <w:tc>
          <w:tcPr>
            <w:tcW w:w="450" w:type="pct"/>
            <w:noWrap/>
          </w:tcPr>
          <w:p w14:paraId="166177D4"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En trámite</w:t>
            </w:r>
          </w:p>
        </w:tc>
        <w:tc>
          <w:tcPr>
            <w:tcW w:w="500" w:type="pct"/>
            <w:noWrap/>
          </w:tcPr>
          <w:p w14:paraId="343ECF24"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500" w:type="pct"/>
            <w:noWrap/>
          </w:tcPr>
          <w:p w14:paraId="689D6AB9"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400" w:type="pct"/>
            <w:noWrap/>
            <w:vAlign w:val="center"/>
          </w:tcPr>
          <w:p w14:paraId="7A142274"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850" w:type="pct"/>
            <w:noWrap/>
            <w:vAlign w:val="center"/>
          </w:tcPr>
          <w:p w14:paraId="717AC7E1" w14:textId="77777777" w:rsidR="008F4AE7" w:rsidRPr="005078C5" w:rsidRDefault="008F4AE7" w:rsidP="003F77BE">
            <w:pPr>
              <w:pStyle w:val="Tabletext"/>
              <w:jc w:val="center"/>
              <w:rPr>
                <w:rFonts w:asciiTheme="minorHAnsi" w:hAnsiTheme="minorHAnsi" w:cstheme="minorHAnsi"/>
                <w:szCs w:val="22"/>
                <w:rtl/>
                <w:lang w:val="es-ES_tradnl"/>
              </w:rPr>
            </w:pPr>
            <w:r w:rsidRPr="005078C5">
              <w:rPr>
                <w:lang w:val="es-ES_tradnl"/>
              </w:rPr>
              <w:t>20 de mayo de 2025</w:t>
            </w:r>
          </w:p>
        </w:tc>
        <w:tc>
          <w:tcPr>
            <w:tcW w:w="500" w:type="pct"/>
            <w:noWrap/>
            <w:vAlign w:val="center"/>
          </w:tcPr>
          <w:p w14:paraId="0E52F9CD"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OSG</w:t>
            </w:r>
            <w:proofErr w:type="spellEnd"/>
          </w:p>
        </w:tc>
        <w:tc>
          <w:tcPr>
            <w:tcW w:w="700" w:type="pct"/>
            <w:noWrap/>
            <w:vAlign w:val="center"/>
          </w:tcPr>
          <w:p w14:paraId="2045F914"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ARABSAT-12P-67.5E</w:t>
            </w:r>
            <w:proofErr w:type="spellEnd"/>
          </w:p>
        </w:tc>
        <w:tc>
          <w:tcPr>
            <w:tcW w:w="499" w:type="pct"/>
            <w:noWrap/>
            <w:vAlign w:val="center"/>
          </w:tcPr>
          <w:p w14:paraId="3771324F"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125520062</w:t>
            </w:r>
          </w:p>
        </w:tc>
      </w:tr>
      <w:tr w:rsidR="008F4AE7" w:rsidRPr="005078C5" w14:paraId="687C646A" w14:textId="77777777" w:rsidTr="00950DAB">
        <w:trPr>
          <w:trHeight w:val="295"/>
          <w:jc w:val="right"/>
        </w:trPr>
        <w:tc>
          <w:tcPr>
            <w:tcW w:w="601" w:type="pct"/>
            <w:noWrap/>
            <w:vAlign w:val="center"/>
          </w:tcPr>
          <w:p w14:paraId="018E59A4"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4,9</w:t>
            </w:r>
          </w:p>
        </w:tc>
        <w:tc>
          <w:tcPr>
            <w:tcW w:w="450" w:type="pct"/>
            <w:noWrap/>
          </w:tcPr>
          <w:p w14:paraId="4D119EE7"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En trámite</w:t>
            </w:r>
          </w:p>
        </w:tc>
        <w:tc>
          <w:tcPr>
            <w:tcW w:w="500" w:type="pct"/>
            <w:noWrap/>
          </w:tcPr>
          <w:p w14:paraId="3809D1D8"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500" w:type="pct"/>
            <w:noWrap/>
          </w:tcPr>
          <w:p w14:paraId="6BC42D2C"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No publicada</w:t>
            </w:r>
          </w:p>
        </w:tc>
        <w:tc>
          <w:tcPr>
            <w:tcW w:w="400" w:type="pct"/>
            <w:noWrap/>
            <w:vAlign w:val="center"/>
          </w:tcPr>
          <w:p w14:paraId="6005EBCA"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CR/C</w:t>
            </w:r>
          </w:p>
        </w:tc>
        <w:tc>
          <w:tcPr>
            <w:tcW w:w="850" w:type="pct"/>
            <w:noWrap/>
            <w:vAlign w:val="center"/>
          </w:tcPr>
          <w:p w14:paraId="5E33997F" w14:textId="77777777" w:rsidR="008F4AE7" w:rsidRPr="005078C5" w:rsidRDefault="008F4AE7" w:rsidP="003F77BE">
            <w:pPr>
              <w:pStyle w:val="Tabletext"/>
              <w:jc w:val="center"/>
              <w:rPr>
                <w:rFonts w:asciiTheme="minorHAnsi" w:hAnsiTheme="minorHAnsi" w:cstheme="minorHAnsi"/>
                <w:szCs w:val="22"/>
                <w:rtl/>
                <w:lang w:val="es-ES_tradnl"/>
              </w:rPr>
            </w:pPr>
            <w:r w:rsidRPr="005078C5">
              <w:rPr>
                <w:lang w:val="es-ES_tradnl"/>
              </w:rPr>
              <w:t>13 de noviembre de 2025</w:t>
            </w:r>
          </w:p>
        </w:tc>
        <w:tc>
          <w:tcPr>
            <w:tcW w:w="500" w:type="pct"/>
            <w:noWrap/>
            <w:vAlign w:val="center"/>
          </w:tcPr>
          <w:p w14:paraId="7C94734D"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OSG</w:t>
            </w:r>
            <w:proofErr w:type="spellEnd"/>
          </w:p>
        </w:tc>
        <w:tc>
          <w:tcPr>
            <w:tcW w:w="700" w:type="pct"/>
            <w:noWrap/>
            <w:vAlign w:val="center"/>
          </w:tcPr>
          <w:p w14:paraId="66184CD4" w14:textId="77777777" w:rsidR="008F4AE7" w:rsidRPr="005078C5" w:rsidRDefault="008F4AE7" w:rsidP="003F77BE">
            <w:pPr>
              <w:pStyle w:val="Tabletext"/>
              <w:jc w:val="center"/>
              <w:rPr>
                <w:rFonts w:asciiTheme="minorHAnsi" w:hAnsiTheme="minorHAnsi" w:cstheme="minorHAnsi"/>
                <w:szCs w:val="22"/>
                <w:rtl/>
                <w:lang w:val="es-ES_tradnl"/>
              </w:rPr>
            </w:pPr>
            <w:proofErr w:type="spellStart"/>
            <w:r w:rsidRPr="005078C5">
              <w:rPr>
                <w:lang w:val="es-ES_tradnl"/>
              </w:rPr>
              <w:t>SAUDISAT_19E_A</w:t>
            </w:r>
            <w:proofErr w:type="spellEnd"/>
          </w:p>
        </w:tc>
        <w:tc>
          <w:tcPr>
            <w:tcW w:w="499" w:type="pct"/>
            <w:noWrap/>
            <w:vAlign w:val="center"/>
          </w:tcPr>
          <w:p w14:paraId="4D484498" w14:textId="77777777" w:rsidR="008F4AE7" w:rsidRPr="005078C5" w:rsidRDefault="008F4AE7" w:rsidP="003F77BE">
            <w:pPr>
              <w:pStyle w:val="Tabletext"/>
              <w:jc w:val="center"/>
              <w:rPr>
                <w:rFonts w:asciiTheme="minorHAnsi" w:hAnsiTheme="minorHAnsi" w:cstheme="minorHAnsi"/>
                <w:szCs w:val="22"/>
                <w:lang w:val="es-ES_tradnl"/>
              </w:rPr>
            </w:pPr>
            <w:r w:rsidRPr="005078C5">
              <w:rPr>
                <w:lang w:val="es-ES_tradnl"/>
              </w:rPr>
              <w:t>125520159</w:t>
            </w:r>
          </w:p>
        </w:tc>
      </w:tr>
    </w:tbl>
    <w:p w14:paraId="0725379D" w14:textId="77777777" w:rsidR="008F4AE7" w:rsidRPr="005078C5" w:rsidRDefault="008F4AE7" w:rsidP="008F4AE7">
      <w:pPr>
        <w:pStyle w:val="Tablelegend"/>
        <w:rPr>
          <w:lang w:val="es-ES_tradnl"/>
        </w:rPr>
      </w:pPr>
      <w:r w:rsidRPr="005078C5">
        <w:rPr>
          <w:lang w:val="es-ES_tradnl"/>
        </w:rPr>
        <w:t>*</w:t>
      </w:r>
      <w:r w:rsidRPr="005078C5">
        <w:rPr>
          <w:lang w:val="es-ES_tradnl"/>
        </w:rPr>
        <w:tab/>
        <w:t>Dado que los ficheros aún se están tramitando, el plazo de tramitación se ha calculado hasta abril de 2026.</w:t>
      </w:r>
    </w:p>
    <w:p w14:paraId="39D3343D" w14:textId="77777777" w:rsidR="008F4AE7" w:rsidRPr="005078C5" w:rsidRDefault="008F4AE7" w:rsidP="008F4AE7">
      <w:pPr>
        <w:pStyle w:val="Tablelegend"/>
        <w:rPr>
          <w:rFonts w:asciiTheme="minorHAnsi" w:hAnsiTheme="minorHAnsi" w:cstheme="minorHAnsi"/>
          <w:szCs w:val="24"/>
          <w:lang w:val="es-ES_tradnl"/>
        </w:rPr>
        <w:sectPr w:rsidR="008F4AE7" w:rsidRPr="005078C5" w:rsidSect="006C08F4">
          <w:headerReference w:type="first" r:id="rId21"/>
          <w:footerReference w:type="first" r:id="rId22"/>
          <w:pgSz w:w="16834" w:h="11907" w:orient="landscape"/>
          <w:pgMar w:top="1418" w:right="1418" w:bottom="1418" w:left="1418" w:header="720" w:footer="720" w:gutter="0"/>
          <w:paperSrc w:first="286" w:other="286"/>
          <w:cols w:space="720"/>
          <w:titlePg/>
          <w:docGrid w:linePitch="326"/>
        </w:sectPr>
      </w:pPr>
    </w:p>
    <w:p w14:paraId="7687D675" w14:textId="50108B93" w:rsidR="008F4AE7" w:rsidRPr="005078C5" w:rsidRDefault="008F4AE7" w:rsidP="005078C5">
      <w:pPr>
        <w:jc w:val="both"/>
        <w:rPr>
          <w:rFonts w:asciiTheme="minorHAnsi" w:hAnsiTheme="minorHAnsi" w:cstheme="minorHAnsi"/>
          <w:szCs w:val="24"/>
          <w:lang w:val="es-ES_tradnl"/>
        </w:rPr>
      </w:pPr>
      <w:r w:rsidRPr="005078C5">
        <w:rPr>
          <w:lang w:val="es-ES_tradnl"/>
        </w:rPr>
        <w:lastRenderedPageBreak/>
        <w:t>En el Cuadro 1 se presentan además ejemplos prácticos que demuestran que tanto las notificaciones publicadas como las pendientes han experimentado retrasos significativos, lo que confirma que el problema sigue existiendo y afecta a todo el ciclo de tramitación. Estos retrasos tienen repercusiones reglamentarias directas, en particular la reducción del tiempo disponible para que las administraciones y los operadores completen los procedimientos de coordinación y pongan en servicio las redes en el plazo establecido, lo que aumenta así el riesgo de incumplimiento. La repercusión también se extiende a aspectos operativos y de inversión, incluidos los retrasos en los planes de despliegue, la reducción de las oportunidades de coordinación y el aumento de la incertidumbre debido a la evolución de las condiciones técnicas y reglamentarias.</w:t>
      </w:r>
    </w:p>
    <w:p w14:paraId="543B3F96" w14:textId="77777777" w:rsidR="008F4AE7" w:rsidRPr="005078C5" w:rsidRDefault="008F4AE7" w:rsidP="005078C5">
      <w:pPr>
        <w:jc w:val="both"/>
        <w:rPr>
          <w:rFonts w:asciiTheme="minorHAnsi" w:hAnsiTheme="minorHAnsi" w:cstheme="minorHAnsi"/>
          <w:szCs w:val="24"/>
          <w:lang w:val="es-ES_tradnl"/>
        </w:rPr>
      </w:pPr>
      <w:r w:rsidRPr="005078C5">
        <w:rPr>
          <w:lang w:val="es-ES_tradnl"/>
        </w:rPr>
        <w:t xml:space="preserve">Desde el punto de vista financiero, los ingresos aplazados han alcanzado niveles significativos, y muchas notificaciones siguen pendientes de facturación, lo que afecta directamente a los mecanismos de recuperación de costes. Además, estas limitaciones también pueden afectar a la capacidad de la Oficina para apoyar otras actividades de radiocomunicaciones, incluidas las de las Comisiones de Estudio y los esfuerzos de creación de capacidades. En general, esta situación pone de manifiesto la necesidad de una respuesta general para superar tanto las dificultades actuales como el crecimiento </w:t>
      </w:r>
      <w:proofErr w:type="gramStart"/>
      <w:r w:rsidRPr="005078C5">
        <w:rPr>
          <w:lang w:val="es-ES_tradnl"/>
        </w:rPr>
        <w:t>continuo</w:t>
      </w:r>
      <w:proofErr w:type="gramEnd"/>
      <w:r w:rsidRPr="005078C5">
        <w:rPr>
          <w:lang w:val="es-ES_tradnl"/>
        </w:rPr>
        <w:t xml:space="preserve"> previsto de la demanda de recursos orbitales y de frecuencias.</w:t>
      </w:r>
    </w:p>
    <w:p w14:paraId="00034BB7" w14:textId="5FC2A436" w:rsidR="008F4AE7" w:rsidRPr="005078C5" w:rsidRDefault="008F4AE7" w:rsidP="008F4AE7">
      <w:pPr>
        <w:pStyle w:val="Headingb"/>
        <w:rPr>
          <w:rFonts w:asciiTheme="minorHAnsi" w:hAnsiTheme="minorHAnsi" w:cstheme="minorHAnsi"/>
          <w:b w:val="0"/>
          <w:bCs/>
          <w:szCs w:val="24"/>
          <w:lang w:val="es-ES_tradnl"/>
        </w:rPr>
      </w:pPr>
      <w:r w:rsidRPr="005078C5">
        <w:rPr>
          <w:lang w:val="es-ES_tradnl"/>
        </w:rPr>
        <w:t>Propuesta</w:t>
      </w:r>
    </w:p>
    <w:p w14:paraId="197C6660" w14:textId="77777777" w:rsidR="008F4AE7" w:rsidRPr="005078C5" w:rsidRDefault="008F4AE7" w:rsidP="005078C5">
      <w:pPr>
        <w:jc w:val="both"/>
        <w:rPr>
          <w:rFonts w:asciiTheme="minorHAnsi" w:hAnsiTheme="minorHAnsi" w:cstheme="minorHAnsi"/>
          <w:szCs w:val="24"/>
          <w:lang w:val="es-ES_tradnl"/>
        </w:rPr>
      </w:pPr>
      <w:r w:rsidRPr="005078C5">
        <w:rPr>
          <w:lang w:val="es-ES_tradnl"/>
        </w:rPr>
        <w:t>Habida cuenta de lo anterior, proponemos que el Consejo:</w:t>
      </w:r>
    </w:p>
    <w:p w14:paraId="547041DF" w14:textId="5825F645" w:rsidR="008F4AE7" w:rsidRPr="005078C5" w:rsidRDefault="008F4AE7" w:rsidP="005078C5">
      <w:pPr>
        <w:pStyle w:val="enumlev1"/>
        <w:jc w:val="both"/>
        <w:rPr>
          <w:rFonts w:asciiTheme="minorHAnsi" w:hAnsiTheme="minorHAnsi" w:cstheme="minorHAnsi"/>
          <w:szCs w:val="24"/>
          <w:lang w:val="es-ES_tradnl"/>
        </w:rPr>
      </w:pPr>
      <w:r w:rsidRPr="005078C5">
        <w:rPr>
          <w:lang w:val="es-ES_tradnl"/>
        </w:rPr>
        <w:t>1</w:t>
      </w:r>
      <w:r w:rsidRPr="005078C5">
        <w:rPr>
          <w:lang w:val="es-ES_tradnl"/>
        </w:rPr>
        <w:tab/>
        <w:t xml:space="preserve">vele por que todos los costes relacionados con las </w:t>
      </w:r>
      <w:proofErr w:type="spellStart"/>
      <w:r w:rsidRPr="005078C5">
        <w:rPr>
          <w:lang w:val="es-ES_tradnl"/>
        </w:rPr>
        <w:t>SNF</w:t>
      </w:r>
      <w:proofErr w:type="spellEnd"/>
      <w:r w:rsidRPr="005078C5">
        <w:rPr>
          <w:lang w:val="es-ES_tradnl"/>
        </w:rPr>
        <w:t xml:space="preserve"> se recuperen a través de los propios cánones de las </w:t>
      </w:r>
      <w:proofErr w:type="spellStart"/>
      <w:r w:rsidRPr="005078C5">
        <w:rPr>
          <w:lang w:val="es-ES_tradnl"/>
        </w:rPr>
        <w:t>SNF</w:t>
      </w:r>
      <w:proofErr w:type="spellEnd"/>
      <w:r w:rsidRPr="005078C5">
        <w:rPr>
          <w:lang w:val="es-ES_tradnl"/>
        </w:rPr>
        <w:t>, manteniendo así el servicio sin recurrir a otros recursos de la UIT, de conformidad con la Resolución 91 de la PP</w:t>
      </w:r>
      <w:r w:rsidR="005078C5">
        <w:rPr>
          <w:lang w:val="es-ES_tradnl"/>
        </w:rPr>
        <w:t>;</w:t>
      </w:r>
    </w:p>
    <w:p w14:paraId="719BFD3C" w14:textId="2DDCC147" w:rsidR="008F4AE7" w:rsidRPr="005078C5" w:rsidRDefault="008F4AE7" w:rsidP="005078C5">
      <w:pPr>
        <w:pStyle w:val="enumlev1"/>
        <w:jc w:val="both"/>
        <w:rPr>
          <w:rFonts w:asciiTheme="minorHAnsi" w:hAnsiTheme="minorHAnsi" w:cstheme="minorHAnsi"/>
          <w:szCs w:val="24"/>
          <w:lang w:val="es-ES_tradnl"/>
        </w:rPr>
      </w:pPr>
      <w:r w:rsidRPr="005078C5">
        <w:rPr>
          <w:lang w:val="es-ES_tradnl"/>
        </w:rPr>
        <w:t>2</w:t>
      </w:r>
      <w:r w:rsidRPr="005078C5">
        <w:rPr>
          <w:lang w:val="es-ES_tradnl"/>
        </w:rPr>
        <w:tab/>
        <w:t>vele por que la atribución de costes indirectos siga siendo claramente atribuible y proporcionada, y esté respaldada por métodos de atribución verificables, en consonancia con los principios establecidos en la Resolución 91 de la PP</w:t>
      </w:r>
      <w:r w:rsidR="005078C5">
        <w:rPr>
          <w:lang w:val="es-ES_tradnl"/>
        </w:rPr>
        <w:t>;</w:t>
      </w:r>
    </w:p>
    <w:p w14:paraId="084EDAA4" w14:textId="1F12F1E0" w:rsidR="008F4AE7" w:rsidRPr="005078C5" w:rsidRDefault="008F4AE7" w:rsidP="005078C5">
      <w:pPr>
        <w:pStyle w:val="enumlev1"/>
        <w:jc w:val="both"/>
        <w:rPr>
          <w:rFonts w:asciiTheme="minorHAnsi" w:hAnsiTheme="minorHAnsi" w:cstheme="minorHAnsi"/>
          <w:szCs w:val="24"/>
          <w:lang w:val="es-ES_tradnl"/>
        </w:rPr>
      </w:pPr>
      <w:r w:rsidRPr="005078C5">
        <w:rPr>
          <w:lang w:val="es-ES_tradnl"/>
        </w:rPr>
        <w:t>3</w:t>
      </w:r>
      <w:r w:rsidRPr="005078C5">
        <w:rPr>
          <w:lang w:val="es-ES_tradnl"/>
        </w:rPr>
        <w:tab/>
        <w:t>apoye que cualquier ajuste del marco de derechos de gratuidad sea específico y proporcionado, luche contra posibles usos indebidos y preserve al mismo tiempo el acceso equitativo</w:t>
      </w:r>
      <w:r w:rsidR="005078C5">
        <w:rPr>
          <w:lang w:val="es-ES_tradnl"/>
        </w:rPr>
        <w:t>;</w:t>
      </w:r>
    </w:p>
    <w:p w14:paraId="54267229" w14:textId="0C222FE0" w:rsidR="008F4AE7" w:rsidRPr="005078C5" w:rsidRDefault="008F4AE7" w:rsidP="005078C5">
      <w:pPr>
        <w:pStyle w:val="enumlev1"/>
        <w:jc w:val="both"/>
        <w:rPr>
          <w:rFonts w:asciiTheme="minorHAnsi" w:hAnsiTheme="minorHAnsi" w:cstheme="minorHAnsi"/>
          <w:szCs w:val="24"/>
          <w:lang w:val="es-ES_tradnl"/>
        </w:rPr>
      </w:pPr>
      <w:r w:rsidRPr="005078C5">
        <w:rPr>
          <w:lang w:val="es-ES_tradnl"/>
        </w:rPr>
        <w:t>4</w:t>
      </w:r>
      <w:r w:rsidRPr="005078C5">
        <w:rPr>
          <w:lang w:val="es-ES_tradnl"/>
        </w:rPr>
        <w:tab/>
        <w:t xml:space="preserve">invite a la Secretaría a que siga mejorando la metodología propuesta, combinando la determinación de costes basada en actividades con un análisis detallado de la carga de trabajo, a fin de mejorar la eficiencia y garantizar que las tasas reflejan el esfuerzo real de tramitación en las diferentes categorías de notificaciones; incluido el suministro de datos de apoyo mejorados al Consejo sobre previsiones de la demanda, tendencias de notificación y evolución de la carga de trabajo, en particular con respecto a los grandes sistemas no </w:t>
      </w:r>
      <w:proofErr w:type="spellStart"/>
      <w:r w:rsidRPr="005078C5">
        <w:rPr>
          <w:lang w:val="es-ES_tradnl"/>
        </w:rPr>
        <w:t>OSG</w:t>
      </w:r>
      <w:proofErr w:type="spellEnd"/>
      <w:r w:rsidRPr="005078C5">
        <w:rPr>
          <w:lang w:val="es-ES_tradnl"/>
        </w:rPr>
        <w:t xml:space="preserve"> y las recientes decisiones de la </w:t>
      </w:r>
      <w:proofErr w:type="spellStart"/>
      <w:r w:rsidRPr="005078C5">
        <w:rPr>
          <w:lang w:val="es-ES_tradnl"/>
        </w:rPr>
        <w:t>CMR</w:t>
      </w:r>
      <w:proofErr w:type="spellEnd"/>
      <w:r w:rsidR="005078C5">
        <w:rPr>
          <w:lang w:val="es-ES_tradnl"/>
        </w:rPr>
        <w:t>;</w:t>
      </w:r>
    </w:p>
    <w:p w14:paraId="61F66BA7" w14:textId="2FE59D9E" w:rsidR="008F4AE7" w:rsidRPr="005078C5" w:rsidRDefault="008F4AE7" w:rsidP="005078C5">
      <w:pPr>
        <w:pStyle w:val="enumlev1"/>
        <w:jc w:val="both"/>
        <w:rPr>
          <w:rFonts w:asciiTheme="minorHAnsi" w:hAnsiTheme="minorHAnsi" w:cstheme="minorHAnsi"/>
          <w:szCs w:val="24"/>
          <w:lang w:val="es-ES_tradnl"/>
        </w:rPr>
      </w:pPr>
      <w:r w:rsidRPr="005078C5">
        <w:rPr>
          <w:lang w:val="es-ES_tradnl"/>
        </w:rPr>
        <w:t>5</w:t>
      </w:r>
      <w:r w:rsidRPr="005078C5">
        <w:rPr>
          <w:lang w:val="es-ES_tradnl"/>
        </w:rPr>
        <w:tab/>
        <w:t>considere la adopción de las medidas adecuadas para hacer frente a las consecuencias cada vez mayores para las administraciones derivadas de los retrasos en la tramitación de las notificaciones de redes de satélites, y vele por que siguen siendo capaces de cumplir los requisitos reglamentarios estipulados en el Reglamento de Radiocomunicaciones</w:t>
      </w:r>
      <w:r w:rsidR="005078C5">
        <w:rPr>
          <w:lang w:val="es-ES_tradnl"/>
        </w:rPr>
        <w:t>;</w:t>
      </w:r>
    </w:p>
    <w:p w14:paraId="458CE0ED" w14:textId="148A7D62" w:rsidR="008F4AE7" w:rsidRPr="005078C5" w:rsidRDefault="008F4AE7" w:rsidP="005078C5">
      <w:pPr>
        <w:pStyle w:val="enumlev1"/>
        <w:keepNext/>
        <w:keepLines/>
        <w:jc w:val="both"/>
        <w:rPr>
          <w:rFonts w:asciiTheme="minorHAnsi" w:hAnsiTheme="minorHAnsi" w:cstheme="minorHAnsi"/>
          <w:szCs w:val="24"/>
          <w:lang w:val="es-ES_tradnl"/>
        </w:rPr>
      </w:pPr>
      <w:r w:rsidRPr="005078C5">
        <w:rPr>
          <w:lang w:val="es-ES_tradnl"/>
        </w:rPr>
        <w:lastRenderedPageBreak/>
        <w:t>6</w:t>
      </w:r>
      <w:r w:rsidRPr="005078C5">
        <w:rPr>
          <w:lang w:val="es-ES_tradnl"/>
        </w:rPr>
        <w:tab/>
        <w:t>apoye medidas para paliar los retrasos en la tramitación de notificaciones de redes de satélites y permita a la BR mejorar su eficiencia operativa, en particular y restablecer un equilibrio entre la carga de trabajo y la capacidad de tramitación</w:t>
      </w:r>
      <w:r w:rsidR="005078C5">
        <w:rPr>
          <w:lang w:val="es-ES_tradnl"/>
        </w:rPr>
        <w:t>;</w:t>
      </w:r>
    </w:p>
    <w:p w14:paraId="489DB638" w14:textId="1180EDBE" w:rsidR="008F4AE7" w:rsidRDefault="008F4AE7" w:rsidP="005078C5">
      <w:pPr>
        <w:pStyle w:val="enumlev1"/>
        <w:jc w:val="both"/>
        <w:rPr>
          <w:lang w:val="es-ES_tradnl"/>
        </w:rPr>
      </w:pPr>
      <w:r w:rsidRPr="005078C5">
        <w:rPr>
          <w:lang w:val="es-ES_tradnl"/>
        </w:rPr>
        <w:t>7</w:t>
      </w:r>
      <w:r w:rsidRPr="005078C5">
        <w:rPr>
          <w:lang w:val="es-ES_tradnl"/>
        </w:rPr>
        <w:tab/>
        <w:t>respalde la capacidad de la BR para remediar los retrasos existentes y acercarse al cumplimiento de los requisitos reglamentarios, y reforzar así la estabilidad del entorno reglamentario internacional y servir a los intereses de los Estados Miembros</w:t>
      </w:r>
      <w:r w:rsidR="005078C5">
        <w:rPr>
          <w:lang w:val="es-ES_tradnl"/>
        </w:rPr>
        <w:t>.</w:t>
      </w:r>
    </w:p>
    <w:p w14:paraId="21E1DC06" w14:textId="77777777" w:rsidR="005078C5" w:rsidRPr="005078C5" w:rsidRDefault="005078C5" w:rsidP="005078C5">
      <w:pPr>
        <w:pStyle w:val="enumlev1"/>
        <w:jc w:val="both"/>
        <w:rPr>
          <w:rFonts w:asciiTheme="minorHAnsi" w:hAnsiTheme="minorHAnsi" w:cstheme="minorHAnsi"/>
          <w:szCs w:val="24"/>
          <w:lang w:val="es-ES_tradnl"/>
        </w:rPr>
      </w:pPr>
    </w:p>
    <w:p w14:paraId="203E4471" w14:textId="5CF34D69" w:rsidR="00F92BED" w:rsidRPr="005078C5" w:rsidRDefault="00F92BED" w:rsidP="00F92BED">
      <w:pPr>
        <w:jc w:val="center"/>
        <w:rPr>
          <w:lang w:val="es-ES_tradnl"/>
        </w:rPr>
      </w:pPr>
      <w:r w:rsidRPr="005078C5">
        <w:rPr>
          <w:lang w:val="es-ES_tradnl"/>
        </w:rPr>
        <w:t>_____________</w:t>
      </w:r>
    </w:p>
    <w:sectPr w:rsidR="00F92BED" w:rsidRPr="005078C5" w:rsidSect="00C538FC">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41A7" w14:textId="77777777" w:rsidR="006E07AA" w:rsidRDefault="006E07AA">
      <w:r>
        <w:separator/>
      </w:r>
    </w:p>
  </w:endnote>
  <w:endnote w:type="continuationSeparator" w:id="0">
    <w:p w14:paraId="6F49727A" w14:textId="77777777" w:rsidR="006E07AA" w:rsidRDefault="006E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F4AE7" w:rsidRPr="00784011" w14:paraId="56DC20D4" w14:textId="77777777" w:rsidTr="0042469C">
      <w:trPr>
        <w:jc w:val="center"/>
      </w:trPr>
      <w:tc>
        <w:tcPr>
          <w:tcW w:w="1803" w:type="dxa"/>
          <w:vAlign w:val="center"/>
        </w:tcPr>
        <w:p w14:paraId="76C12C66" w14:textId="77777777" w:rsidR="008F4AE7" w:rsidRDefault="008F4AE7" w:rsidP="00EE49E8">
          <w:pPr>
            <w:pStyle w:val="Header"/>
            <w:jc w:val="left"/>
            <w:rPr>
              <w:noProof/>
            </w:rPr>
          </w:pPr>
          <w:proofErr w:type="spellStart"/>
          <w:r>
            <w:rPr>
              <w:lang w:val="es-ES"/>
            </w:rPr>
            <w:t>gDoc</w:t>
          </w:r>
          <w:proofErr w:type="spellEnd"/>
          <w:r>
            <w:rPr>
              <w:lang w:val="es-ES"/>
            </w:rPr>
            <w:t xml:space="preserve"> </w:t>
          </w:r>
          <w:proofErr w:type="spellStart"/>
          <w:r w:rsidRPr="006C08F4">
            <w:rPr>
              <w:lang w:val="es-ES"/>
            </w:rPr>
            <w:t>2600944</w:t>
          </w:r>
          <w:r>
            <w:rPr>
              <w:lang w:val="es-ES"/>
            </w:rPr>
            <w:t>S</w:t>
          </w:r>
          <w:proofErr w:type="spellEnd"/>
        </w:p>
      </w:tc>
      <w:tc>
        <w:tcPr>
          <w:tcW w:w="8261" w:type="dxa"/>
        </w:tcPr>
        <w:p w14:paraId="6BD148A0" w14:textId="77777777" w:rsidR="008F4AE7" w:rsidRPr="00E06FD5" w:rsidRDefault="008F4AE7"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98</w:t>
          </w:r>
          <w:r w:rsidRPr="00623AE3">
            <w:rPr>
              <w:bCs/>
            </w:rPr>
            <w:t>-E</w:t>
          </w:r>
          <w:r>
            <w:rPr>
              <w:bCs/>
            </w:rPr>
            <w:tab/>
          </w:r>
          <w:r>
            <w:fldChar w:fldCharType="begin"/>
          </w:r>
          <w:r>
            <w:instrText>PAGE</w:instrText>
          </w:r>
          <w:r>
            <w:fldChar w:fldCharType="separate"/>
          </w:r>
          <w:r>
            <w:t>1</w:t>
          </w:r>
          <w:r>
            <w:rPr>
              <w:noProof/>
            </w:rPr>
            <w:fldChar w:fldCharType="end"/>
          </w:r>
        </w:p>
      </w:tc>
    </w:tr>
  </w:tbl>
  <w:p w14:paraId="55E444D9" w14:textId="77777777" w:rsidR="008F4AE7" w:rsidRPr="00DB1936" w:rsidRDefault="008F4AE7"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8F4AE7" w:rsidRPr="00784011" w14:paraId="247507F0" w14:textId="77777777" w:rsidTr="006B77F1">
      <w:trPr>
        <w:jc w:val="center"/>
      </w:trPr>
      <w:tc>
        <w:tcPr>
          <w:tcW w:w="1803" w:type="dxa"/>
          <w:vAlign w:val="center"/>
        </w:tcPr>
        <w:p w14:paraId="78190A02" w14:textId="77777777" w:rsidR="008F4AE7" w:rsidRPr="006B77F1" w:rsidRDefault="008F4AE7" w:rsidP="00EE49E8">
          <w:pPr>
            <w:pStyle w:val="Header"/>
            <w:jc w:val="left"/>
            <w:rPr>
              <w:noProof/>
            </w:rPr>
          </w:pPr>
          <w:hyperlink r:id="rId1" w:history="1">
            <w:proofErr w:type="spellStart"/>
            <w:r>
              <w:t>council.itu.int</w:t>
            </w:r>
            <w:proofErr w:type="spellEnd"/>
            <w:r>
              <w:t>/2026</w:t>
            </w:r>
          </w:hyperlink>
        </w:p>
      </w:tc>
      <w:tc>
        <w:tcPr>
          <w:tcW w:w="8261" w:type="dxa"/>
        </w:tcPr>
        <w:p w14:paraId="73A1E257" w14:textId="77777777" w:rsidR="008F4AE7" w:rsidRPr="00E06FD5" w:rsidRDefault="008F4AE7"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98</w:t>
          </w:r>
          <w:r w:rsidRPr="00623AE3">
            <w:rPr>
              <w:bCs/>
            </w:rPr>
            <w:t>-E</w:t>
          </w:r>
          <w:r>
            <w:rPr>
              <w:bCs/>
            </w:rPr>
            <w:tab/>
          </w:r>
          <w:r>
            <w:fldChar w:fldCharType="begin"/>
          </w:r>
          <w:r>
            <w:instrText>PAGE</w:instrText>
          </w:r>
          <w:r>
            <w:fldChar w:fldCharType="separate"/>
          </w:r>
          <w:r>
            <w:t>1</w:t>
          </w:r>
          <w:r>
            <w:rPr>
              <w:noProof/>
            </w:rPr>
            <w:fldChar w:fldCharType="end"/>
          </w:r>
        </w:p>
      </w:tc>
    </w:tr>
  </w:tbl>
  <w:p w14:paraId="38BE3E0E" w14:textId="77777777" w:rsidR="008F4AE7" w:rsidRPr="00623AE3" w:rsidRDefault="008F4AE7"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F4AE7" w:rsidRPr="00784011" w14:paraId="5F5CF3C7" w14:textId="77777777" w:rsidTr="003F77BE">
      <w:trPr>
        <w:jc w:val="center"/>
      </w:trPr>
      <w:tc>
        <w:tcPr>
          <w:tcW w:w="1803" w:type="dxa"/>
          <w:vAlign w:val="center"/>
        </w:tcPr>
        <w:p w14:paraId="59F52DD6" w14:textId="77777777" w:rsidR="008F4AE7" w:rsidRDefault="008F4AE7" w:rsidP="008F4AE7">
          <w:pPr>
            <w:pStyle w:val="Header"/>
            <w:jc w:val="left"/>
            <w:rPr>
              <w:noProof/>
            </w:rPr>
          </w:pPr>
          <w:proofErr w:type="spellStart"/>
          <w:r>
            <w:rPr>
              <w:lang w:val="es-ES"/>
            </w:rPr>
            <w:t>gDoc</w:t>
          </w:r>
          <w:proofErr w:type="spellEnd"/>
          <w:r>
            <w:rPr>
              <w:lang w:val="es-ES"/>
            </w:rPr>
            <w:t xml:space="preserve"> </w:t>
          </w:r>
          <w:proofErr w:type="spellStart"/>
          <w:r w:rsidRPr="006C08F4">
            <w:rPr>
              <w:lang w:val="es-ES"/>
            </w:rPr>
            <w:t>2600944</w:t>
          </w:r>
          <w:r>
            <w:rPr>
              <w:lang w:val="es-ES"/>
            </w:rPr>
            <w:t>S</w:t>
          </w:r>
          <w:proofErr w:type="spellEnd"/>
        </w:p>
      </w:tc>
      <w:tc>
        <w:tcPr>
          <w:tcW w:w="8261" w:type="dxa"/>
        </w:tcPr>
        <w:p w14:paraId="2DEC5A9D" w14:textId="77777777" w:rsidR="008F4AE7" w:rsidRPr="00E06FD5" w:rsidRDefault="008F4AE7" w:rsidP="008F4AE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98</w:t>
          </w:r>
          <w:r w:rsidRPr="00623AE3">
            <w:rPr>
              <w:bCs/>
            </w:rPr>
            <w:t>-E</w:t>
          </w:r>
          <w:r>
            <w:rPr>
              <w:bCs/>
            </w:rPr>
            <w:tab/>
          </w:r>
          <w:r>
            <w:fldChar w:fldCharType="begin"/>
          </w:r>
          <w:r>
            <w:instrText>PAGE</w:instrText>
          </w:r>
          <w:r>
            <w:fldChar w:fldCharType="separate"/>
          </w:r>
          <w:r>
            <w:t>1</w:t>
          </w:r>
          <w:r>
            <w:rPr>
              <w:noProof/>
            </w:rPr>
            <w:fldChar w:fldCharType="end"/>
          </w:r>
        </w:p>
      </w:tc>
    </w:tr>
  </w:tbl>
  <w:p w14:paraId="23E2D950" w14:textId="77777777" w:rsidR="008F4AE7" w:rsidRPr="00623AE3" w:rsidRDefault="008F4AE7" w:rsidP="00EE49E8">
    <w:pPr>
      <w:pStyle w:val="Header"/>
      <w:tabs>
        <w:tab w:val="left" w:pos="8080"/>
        <w:tab w:val="right" w:pos="9072"/>
      </w:tabs>
      <w:jc w:val="righ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A4BBBE7" w14:textId="77777777" w:rsidTr="00E31DCE">
      <w:trPr>
        <w:jc w:val="center"/>
      </w:trPr>
      <w:tc>
        <w:tcPr>
          <w:tcW w:w="1803" w:type="dxa"/>
          <w:vAlign w:val="center"/>
        </w:tcPr>
        <w:p w14:paraId="40730254" w14:textId="01B949AD" w:rsidR="003273A4" w:rsidRDefault="002946E2" w:rsidP="003273A4">
          <w:pPr>
            <w:pStyle w:val="Header"/>
            <w:jc w:val="left"/>
            <w:rPr>
              <w:noProof/>
            </w:rPr>
          </w:pPr>
          <w:r>
            <w:rPr>
              <w:noProof/>
            </w:rPr>
            <w:t xml:space="preserve">gDoc </w:t>
          </w:r>
          <w:r w:rsidR="004751C3" w:rsidRPr="004751C3">
            <w:rPr>
              <w:noProof/>
            </w:rPr>
            <w:t>2600944</w:t>
          </w:r>
        </w:p>
      </w:tc>
      <w:tc>
        <w:tcPr>
          <w:tcW w:w="8261" w:type="dxa"/>
        </w:tcPr>
        <w:p w14:paraId="172D275C" w14:textId="30A1C6A2"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751C3">
            <w:rPr>
              <w:bCs/>
            </w:rPr>
            <w:t>98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67471B3" w14:textId="77777777" w:rsidR="00760F1C" w:rsidRPr="003273A4" w:rsidRDefault="00760F1C" w:rsidP="003273A4">
    <w:pPr>
      <w:pStyle w:val="Footer"/>
      <w:rPr>
        <w:b/>
        <w:b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F4AE7" w:rsidRPr="00784011" w14:paraId="2000CE40" w14:textId="77777777" w:rsidTr="003F77BE">
      <w:trPr>
        <w:jc w:val="center"/>
      </w:trPr>
      <w:tc>
        <w:tcPr>
          <w:tcW w:w="1803" w:type="dxa"/>
          <w:vAlign w:val="center"/>
        </w:tcPr>
        <w:p w14:paraId="4828D451" w14:textId="77777777" w:rsidR="008F4AE7" w:rsidRDefault="008F4AE7" w:rsidP="008F4AE7">
          <w:pPr>
            <w:pStyle w:val="Header"/>
            <w:jc w:val="left"/>
            <w:rPr>
              <w:noProof/>
            </w:rPr>
          </w:pPr>
          <w:proofErr w:type="spellStart"/>
          <w:r>
            <w:rPr>
              <w:lang w:val="es-ES"/>
            </w:rPr>
            <w:t>gDoc</w:t>
          </w:r>
          <w:proofErr w:type="spellEnd"/>
          <w:r>
            <w:rPr>
              <w:lang w:val="es-ES"/>
            </w:rPr>
            <w:t xml:space="preserve"> </w:t>
          </w:r>
          <w:proofErr w:type="spellStart"/>
          <w:r w:rsidRPr="006C08F4">
            <w:rPr>
              <w:lang w:val="es-ES"/>
            </w:rPr>
            <w:t>2600944</w:t>
          </w:r>
          <w:r>
            <w:rPr>
              <w:lang w:val="es-ES"/>
            </w:rPr>
            <w:t>S</w:t>
          </w:r>
          <w:proofErr w:type="spellEnd"/>
        </w:p>
      </w:tc>
      <w:tc>
        <w:tcPr>
          <w:tcW w:w="8261" w:type="dxa"/>
        </w:tcPr>
        <w:p w14:paraId="6165F8A5" w14:textId="77777777" w:rsidR="008F4AE7" w:rsidRPr="00E06FD5" w:rsidRDefault="008F4AE7" w:rsidP="008F4AE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98</w:t>
          </w:r>
          <w:r w:rsidRPr="00623AE3">
            <w:rPr>
              <w:bCs/>
            </w:rPr>
            <w:t>-E</w:t>
          </w:r>
          <w:r>
            <w:rPr>
              <w:bCs/>
            </w:rPr>
            <w:tab/>
          </w:r>
          <w:r>
            <w:fldChar w:fldCharType="begin"/>
          </w:r>
          <w:r>
            <w:instrText>PAGE</w:instrText>
          </w:r>
          <w:r>
            <w:fldChar w:fldCharType="separate"/>
          </w:r>
          <w:r>
            <w:t>1</w:t>
          </w:r>
          <w:r>
            <w:rPr>
              <w:noProof/>
            </w:rPr>
            <w:fldChar w:fldCharType="end"/>
          </w:r>
        </w:p>
      </w:tc>
    </w:tr>
  </w:tbl>
  <w:p w14:paraId="0F231819"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78FF" w14:textId="77777777" w:rsidR="006E07AA" w:rsidRDefault="006E07AA">
      <w:r>
        <w:t>____________________</w:t>
      </w:r>
    </w:p>
  </w:footnote>
  <w:footnote w:type="continuationSeparator" w:id="0">
    <w:p w14:paraId="5FAD6D93" w14:textId="77777777" w:rsidR="006E07AA" w:rsidRDefault="006E0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AD13" w14:textId="77777777" w:rsidR="008F4AE7" w:rsidRPr="00512087" w:rsidRDefault="008F4AE7" w:rsidP="0049369C">
    <w:pPr>
      <w:pStyle w:val="Header"/>
    </w:pPr>
    <w:r>
      <w:rPr>
        <w:noProof/>
      </w:rPr>
      <w:drawing>
        <wp:inline distT="0" distB="0" distL="0" distR="0" wp14:anchorId="2E4DF0FE" wp14:editId="7F230953">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851A" w14:textId="77777777" w:rsidR="008F4AE7" w:rsidRPr="00512087" w:rsidRDefault="008F4AE7" w:rsidP="00493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D93B" w14:textId="770D5F26" w:rsidR="001559F5" w:rsidRPr="00B1560D" w:rsidRDefault="001559F5" w:rsidP="00B15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0671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4C2A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B254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7A8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9479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D44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FE76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3046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02A1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8E6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0FFA"/>
    <w:multiLevelType w:val="hybridMultilevel"/>
    <w:tmpl w:val="E7B01226"/>
    <w:lvl w:ilvl="0" w:tplc="6F8CD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9196">
    <w:abstractNumId w:val="10"/>
  </w:num>
  <w:num w:numId="2" w16cid:durableId="2083260221">
    <w:abstractNumId w:val="9"/>
  </w:num>
  <w:num w:numId="3" w16cid:durableId="1216547859">
    <w:abstractNumId w:val="7"/>
  </w:num>
  <w:num w:numId="4" w16cid:durableId="1494637752">
    <w:abstractNumId w:val="6"/>
  </w:num>
  <w:num w:numId="5" w16cid:durableId="308484102">
    <w:abstractNumId w:val="5"/>
  </w:num>
  <w:num w:numId="6" w16cid:durableId="311836512">
    <w:abstractNumId w:val="4"/>
  </w:num>
  <w:num w:numId="7" w16cid:durableId="701321440">
    <w:abstractNumId w:val="8"/>
  </w:num>
  <w:num w:numId="8" w16cid:durableId="1699040273">
    <w:abstractNumId w:val="3"/>
  </w:num>
  <w:num w:numId="9" w16cid:durableId="471139378">
    <w:abstractNumId w:val="2"/>
  </w:num>
  <w:num w:numId="10" w16cid:durableId="1382629149">
    <w:abstractNumId w:val="1"/>
  </w:num>
  <w:num w:numId="11" w16cid:durableId="1499463726">
    <w:abstractNumId w:val="0"/>
  </w:num>
  <w:num w:numId="12" w16cid:durableId="829295613">
    <w:abstractNumId w:val="8"/>
  </w:num>
  <w:num w:numId="13" w16cid:durableId="9454993">
    <w:abstractNumId w:val="3"/>
  </w:num>
  <w:num w:numId="14" w16cid:durableId="1154880066">
    <w:abstractNumId w:val="2"/>
  </w:num>
  <w:num w:numId="15" w16cid:durableId="1555000879">
    <w:abstractNumId w:val="1"/>
  </w:num>
  <w:num w:numId="16" w16cid:durableId="67057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AA"/>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1F3ABB"/>
    <w:rsid w:val="00277DEA"/>
    <w:rsid w:val="002801AA"/>
    <w:rsid w:val="002946E2"/>
    <w:rsid w:val="002A2A89"/>
    <w:rsid w:val="002A62F3"/>
    <w:rsid w:val="002C3F32"/>
    <w:rsid w:val="002C4676"/>
    <w:rsid w:val="002C70B0"/>
    <w:rsid w:val="002C78BB"/>
    <w:rsid w:val="002F3CC4"/>
    <w:rsid w:val="003032E2"/>
    <w:rsid w:val="0031300A"/>
    <w:rsid w:val="003273A4"/>
    <w:rsid w:val="0034796E"/>
    <w:rsid w:val="004571B0"/>
    <w:rsid w:val="00465C35"/>
    <w:rsid w:val="00473962"/>
    <w:rsid w:val="004751C3"/>
    <w:rsid w:val="004B5D49"/>
    <w:rsid w:val="004C364E"/>
    <w:rsid w:val="004D3A3C"/>
    <w:rsid w:val="004F33DE"/>
    <w:rsid w:val="005078C5"/>
    <w:rsid w:val="00513630"/>
    <w:rsid w:val="00560125"/>
    <w:rsid w:val="00585553"/>
    <w:rsid w:val="005B34D9"/>
    <w:rsid w:val="005C503A"/>
    <w:rsid w:val="005C6752"/>
    <w:rsid w:val="005D0CCF"/>
    <w:rsid w:val="005F0915"/>
    <w:rsid w:val="005F3BCB"/>
    <w:rsid w:val="005F410F"/>
    <w:rsid w:val="0060149A"/>
    <w:rsid w:val="00601924"/>
    <w:rsid w:val="00637C2E"/>
    <w:rsid w:val="006447EA"/>
    <w:rsid w:val="0064481D"/>
    <w:rsid w:val="0064731F"/>
    <w:rsid w:val="00664572"/>
    <w:rsid w:val="00666D09"/>
    <w:rsid w:val="00670579"/>
    <w:rsid w:val="006710F6"/>
    <w:rsid w:val="00677A97"/>
    <w:rsid w:val="006A4ED8"/>
    <w:rsid w:val="006C1B56"/>
    <w:rsid w:val="006D4761"/>
    <w:rsid w:val="006E07AA"/>
    <w:rsid w:val="006E087C"/>
    <w:rsid w:val="00726872"/>
    <w:rsid w:val="00760F1C"/>
    <w:rsid w:val="007657F0"/>
    <w:rsid w:val="0077110E"/>
    <w:rsid w:val="0077252D"/>
    <w:rsid w:val="00780FC2"/>
    <w:rsid w:val="007955DA"/>
    <w:rsid w:val="007E5DD3"/>
    <w:rsid w:val="007F350B"/>
    <w:rsid w:val="00807CEE"/>
    <w:rsid w:val="00820BE4"/>
    <w:rsid w:val="008451E8"/>
    <w:rsid w:val="0084546D"/>
    <w:rsid w:val="008F4AE7"/>
    <w:rsid w:val="008F6ABC"/>
    <w:rsid w:val="00913B9C"/>
    <w:rsid w:val="00927F93"/>
    <w:rsid w:val="00950DAB"/>
    <w:rsid w:val="00956E77"/>
    <w:rsid w:val="009A338E"/>
    <w:rsid w:val="009A76A8"/>
    <w:rsid w:val="009D034A"/>
    <w:rsid w:val="009F4811"/>
    <w:rsid w:val="00A01F4F"/>
    <w:rsid w:val="00A109AF"/>
    <w:rsid w:val="00A44B74"/>
    <w:rsid w:val="00A94438"/>
    <w:rsid w:val="00AA390C"/>
    <w:rsid w:val="00AD5A4D"/>
    <w:rsid w:val="00AF0EAC"/>
    <w:rsid w:val="00B0200A"/>
    <w:rsid w:val="00B060DF"/>
    <w:rsid w:val="00B1560D"/>
    <w:rsid w:val="00B574DB"/>
    <w:rsid w:val="00B826C2"/>
    <w:rsid w:val="00B8298E"/>
    <w:rsid w:val="00BB6FD8"/>
    <w:rsid w:val="00BD0723"/>
    <w:rsid w:val="00BD2518"/>
    <w:rsid w:val="00BF1D1C"/>
    <w:rsid w:val="00BF3FAF"/>
    <w:rsid w:val="00C20C59"/>
    <w:rsid w:val="00C2727F"/>
    <w:rsid w:val="00C4421B"/>
    <w:rsid w:val="00C538FC"/>
    <w:rsid w:val="00C55B1F"/>
    <w:rsid w:val="00CC1FAF"/>
    <w:rsid w:val="00CD7DC6"/>
    <w:rsid w:val="00CF1A67"/>
    <w:rsid w:val="00D2750E"/>
    <w:rsid w:val="00D375E0"/>
    <w:rsid w:val="00D40017"/>
    <w:rsid w:val="00D50A36"/>
    <w:rsid w:val="00D62446"/>
    <w:rsid w:val="00DA4EA2"/>
    <w:rsid w:val="00DC3D3E"/>
    <w:rsid w:val="00DE2C90"/>
    <w:rsid w:val="00DE3B24"/>
    <w:rsid w:val="00DE7376"/>
    <w:rsid w:val="00E06947"/>
    <w:rsid w:val="00E11319"/>
    <w:rsid w:val="00E1565E"/>
    <w:rsid w:val="00E21444"/>
    <w:rsid w:val="00E34072"/>
    <w:rsid w:val="00E3592D"/>
    <w:rsid w:val="00E50D76"/>
    <w:rsid w:val="00E8018B"/>
    <w:rsid w:val="00E92DE8"/>
    <w:rsid w:val="00EB1212"/>
    <w:rsid w:val="00ED65AB"/>
    <w:rsid w:val="00F12850"/>
    <w:rsid w:val="00F24B71"/>
    <w:rsid w:val="00F33BF4"/>
    <w:rsid w:val="00F41D19"/>
    <w:rsid w:val="00F5028B"/>
    <w:rsid w:val="00F7105E"/>
    <w:rsid w:val="00F75F57"/>
    <w:rsid w:val="00F82FEE"/>
    <w:rsid w:val="00F85E5C"/>
    <w:rsid w:val="00F92BED"/>
    <w:rsid w:val="00FA2D7B"/>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17B6EF"/>
  <w15:docId w15:val="{5A24ABCF-74DD-40FB-A7CF-848DFA32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link w:val="FiguretitleChar"/>
    <w:qFormat/>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4F33DE"/>
    <w:pPr>
      <w:keepNext/>
      <w:keepLines/>
      <w:spacing w:before="480" w:after="120"/>
      <w:jc w:val="center"/>
    </w:pPr>
    <w:rPr>
      <w:caps/>
      <w:sz w:val="22"/>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4F33DE"/>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qFormat/>
    <w:rsid w:val="00E1565E"/>
    <w:pPr>
      <w:keepNext/>
      <w:keepLines/>
      <w:spacing w:before="480" w:after="120"/>
      <w:jc w:val="center"/>
    </w:pPr>
    <w:rPr>
      <w:caps/>
      <w:sz w:val="22"/>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ListParagraph">
    <w:name w:val="List Paragraph"/>
    <w:basedOn w:val="Normal"/>
    <w:uiPriority w:val="34"/>
    <w:qFormat/>
    <w:rsid w:val="008F4AE7"/>
    <w:pPr>
      <w:ind w:left="720"/>
      <w:contextualSpacing/>
    </w:pPr>
    <w:rPr>
      <w:lang w:val="en-GB"/>
    </w:rPr>
  </w:style>
  <w:style w:type="character" w:customStyle="1" w:styleId="FiguretitleChar">
    <w:name w:val="Figure_title Char"/>
    <w:basedOn w:val="DefaultParagraphFont"/>
    <w:link w:val="Figuretitle"/>
    <w:rsid w:val="008F4AE7"/>
    <w:rPr>
      <w:rFonts w:ascii="Calibri" w:hAnsi="Calibri"/>
      <w:b/>
      <w:sz w:val="24"/>
      <w:lang w:val="fr-FR" w:eastAsia="en-US"/>
    </w:rPr>
  </w:style>
  <w:style w:type="paragraph" w:customStyle="1" w:styleId="Figurewithlegend">
    <w:name w:val="Figure_with_legend"/>
    <w:basedOn w:val="Figure"/>
    <w:rsid w:val="004F33DE"/>
    <w:pPr>
      <w:keepNext/>
      <w:keepLines/>
      <w:spacing w:after="0"/>
    </w:pPr>
    <w:rPr>
      <w:noProof/>
      <w:lang w:val="es-E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91-S.pdf" TargetMode="External"/><Relationship Id="rId13" Type="http://schemas.openxmlformats.org/officeDocument/2006/relationships/hyperlink" Target="https://www.itu.int/md/R00-CA-CIR-0281/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itu.int/en/council/Documents/basic-texts/RES-091-S.pdf" TargetMode="External"/><Relationship Id="rId12" Type="http://schemas.openxmlformats.org/officeDocument/2006/relationships/hyperlink" Target="https://www.itu.int/md/S26-CL-C-0019/en" TargetMode="External"/><Relationship Id="rId17" Type="http://schemas.openxmlformats.org/officeDocument/2006/relationships/hyperlink" Target="https://www.itu.int/ITU-R/go/space-statistics/en"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6-CL-C-0016/en"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tu.int/md/R00-CA-CIR-0281/en" TargetMode="External"/><Relationship Id="rId23" Type="http://schemas.openxmlformats.org/officeDocument/2006/relationships/footer" Target="footer4.xml"/><Relationship Id="rId10" Type="http://schemas.openxmlformats.org/officeDocument/2006/relationships/hyperlink" Target="https://www.itu.int/en/council/Documents/basic-texts/RES-091-S.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en/council/Documents/basic-texts/RES-091-S.pdf" TargetMode="External"/><Relationship Id="rId14" Type="http://schemas.openxmlformats.org/officeDocument/2006/relationships/hyperlink" Target="https://www.itu.int/md/R23-RAG-C-0058/es" TargetMode="External"/><Relationship Id="rId22" Type="http://schemas.openxmlformats.org/officeDocument/2006/relationships/footer" Target="foot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11</TotalTime>
  <Pages>8</Pages>
  <Words>3121</Words>
  <Characters>17927</Characters>
  <Application>Microsoft Office Word</Application>
  <DocSecurity>0</DocSecurity>
  <Lines>407</Lines>
  <Paragraphs>233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Mejora de la recuperación de costes de las notificaciones de redes de satélite (SNF) y tratamiento de los retrasos de tramitación en la Oficina de Radiocomunicaciones</vt:lpstr>
    </vt:vector>
  </TitlesOfParts>
  <Manager>Secretaría General - Pool</Manager>
  <Company>International Telecommunication Union</Company>
  <LinksUpToDate>false</LinksUpToDate>
  <CharactersWithSpaces>20815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Mejora de la recuperación de costes de las notificaciones de redes de satélite (SNF) y tratamiento de los retrasos de tramitación en la Oficina de Radiocomunicaciones</dc:title>
  <dc:subject>Consejo 2026 de la UIT</dc:subject>
  <cp:keywords>C26; C2026; Council 2026; PP26</cp:keywords>
  <dc:description/>
  <cp:lastPrinted>2006-03-24T09:51:00Z</cp:lastPrinted>
  <dcterms:created xsi:type="dcterms:W3CDTF">2026-04-21T12:52:00Z</dcterms:created>
  <dcterms:modified xsi:type="dcterms:W3CDTF">2026-04-21T13:03:00Z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