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C57968" w14:paraId="58250C14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1DDE8DF" w14:textId="727B4A40" w:rsidR="00796BD3" w:rsidRPr="00C57968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C57968">
              <w:rPr>
                <w:b/>
                <w:lang w:val="ru-RU"/>
              </w:rPr>
              <w:t>Пункт повестки дня:</w:t>
            </w:r>
            <w:r w:rsidR="00F856AB" w:rsidRPr="00C57968">
              <w:rPr>
                <w:lang w:val="ru-RU"/>
              </w:rPr>
              <w:t xml:space="preserve"> </w:t>
            </w:r>
            <w:r w:rsidR="00F856AB" w:rsidRPr="00C57968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593B6F2E" w14:textId="2D111C13" w:rsidR="00796BD3" w:rsidRPr="00C5796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57968">
              <w:rPr>
                <w:b/>
                <w:lang w:val="ru-RU"/>
              </w:rPr>
              <w:t xml:space="preserve">Документ </w:t>
            </w:r>
            <w:r w:rsidR="00796BD3" w:rsidRPr="00C57968">
              <w:rPr>
                <w:b/>
                <w:lang w:val="ru-RU"/>
              </w:rPr>
              <w:t>C2</w:t>
            </w:r>
            <w:r w:rsidR="00BE00DD" w:rsidRPr="00C57968">
              <w:rPr>
                <w:b/>
                <w:lang w:val="ru-RU"/>
              </w:rPr>
              <w:t>6</w:t>
            </w:r>
            <w:r w:rsidR="00796BD3" w:rsidRPr="00C57968">
              <w:rPr>
                <w:b/>
                <w:lang w:val="ru-RU"/>
              </w:rPr>
              <w:t>/</w:t>
            </w:r>
            <w:r w:rsidR="00F856AB" w:rsidRPr="00C57968">
              <w:rPr>
                <w:b/>
                <w:lang w:val="ru-RU"/>
              </w:rPr>
              <w:t>98</w:t>
            </w:r>
            <w:r w:rsidR="00796BD3" w:rsidRPr="00C57968">
              <w:rPr>
                <w:b/>
                <w:lang w:val="ru-RU"/>
              </w:rPr>
              <w:t>-R</w:t>
            </w:r>
          </w:p>
        </w:tc>
      </w:tr>
      <w:tr w:rsidR="00796BD3" w:rsidRPr="00C57968" w14:paraId="2710DC8E" w14:textId="77777777" w:rsidTr="00D17718">
        <w:trPr>
          <w:cantSplit/>
        </w:trPr>
        <w:tc>
          <w:tcPr>
            <w:tcW w:w="3969" w:type="dxa"/>
            <w:vMerge/>
          </w:tcPr>
          <w:p w14:paraId="204D4956" w14:textId="77777777" w:rsidR="00796BD3" w:rsidRPr="00C579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0033B90" w14:textId="514C0035" w:rsidR="00796BD3" w:rsidRPr="00C57968" w:rsidRDefault="00F856AB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C57968">
              <w:rPr>
                <w:b/>
                <w:bCs/>
                <w:color w:val="000000"/>
                <w:lang w:val="ru-RU"/>
              </w:rPr>
              <w:t>14 апреля 2026 года</w:t>
            </w:r>
          </w:p>
        </w:tc>
      </w:tr>
      <w:tr w:rsidR="00796BD3" w:rsidRPr="00C57968" w14:paraId="470A83BD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CE9F3E0" w14:textId="77777777" w:rsidR="00796BD3" w:rsidRPr="00C579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63DAC5F" w14:textId="77777777" w:rsidR="00796BD3" w:rsidRPr="00C5796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5796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C57968" w14:paraId="50C54FF8" w14:textId="77777777" w:rsidTr="00D17718">
        <w:trPr>
          <w:cantSplit/>
          <w:trHeight w:val="23"/>
        </w:trPr>
        <w:tc>
          <w:tcPr>
            <w:tcW w:w="3969" w:type="dxa"/>
          </w:tcPr>
          <w:p w14:paraId="796CD195" w14:textId="77777777" w:rsidR="00796BD3" w:rsidRPr="00C579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EB13EDB" w14:textId="77777777" w:rsidR="00796BD3" w:rsidRPr="00C5796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D7CF2" w14:paraId="6F73675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C99B2F6" w14:textId="6BFA59D3" w:rsidR="00796BD3" w:rsidRPr="00C57968" w:rsidRDefault="00C57968" w:rsidP="00E5221B">
            <w:pPr>
              <w:pStyle w:val="Source"/>
              <w:framePr w:hSpace="0" w:wrap="auto" w:vAnchor="margin" w:hAnchor="text" w:xAlign="left" w:yAlign="inline"/>
              <w:spacing w:before="840"/>
              <w:ind w:right="-57"/>
              <w:suppressOverlap w:val="0"/>
            </w:pPr>
            <w:bookmarkStart w:id="5" w:name="dsource" w:colFirst="0" w:colLast="0"/>
            <w:bookmarkEnd w:id="4"/>
            <w:r w:rsidRPr="00C57968">
              <w:rPr>
                <w:bCs/>
                <w:color w:val="000000"/>
              </w:rPr>
              <w:t>Вклад Саудовской Аравии (Королевства), Бахрейна (Королевства), Кувейта (Государства), Малайзии и Марокко (Королевства)</w:t>
            </w:r>
          </w:p>
        </w:tc>
      </w:tr>
      <w:tr w:rsidR="00796BD3" w:rsidRPr="008D7CF2" w14:paraId="6848EB85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950B552" w14:textId="19149817" w:rsidR="00796BD3" w:rsidRPr="00C57968" w:rsidRDefault="00F856AB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C57968">
              <w:rPr>
                <w:color w:val="000000"/>
                <w:sz w:val="32"/>
              </w:rPr>
              <w:t>СОВЕРШЕНСТВОВАНИЕ ВОЗМЕЩЕНИЯ ЗАТРАТ НА ОБРАБОТКУ ЗАЯВОК НА РЕГИСТРАЦИЮ СПУТНИКОВЫХ СЕТЕЙ И УСТРАНЕНИЕ ЗАДЕРЖЕК В ОБРАБОТКЕ ЗАЯВОК В БЮРО РАДИОСВЯЗИ</w:t>
            </w:r>
          </w:p>
        </w:tc>
      </w:tr>
      <w:tr w:rsidR="00796BD3" w:rsidRPr="008D7CF2" w14:paraId="132100FD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0803A43" w14:textId="77777777" w:rsidR="00796BD3" w:rsidRPr="00C57968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57968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76BEFF65" w14:textId="5256B71B" w:rsidR="00F856AB" w:rsidRPr="00C57968" w:rsidRDefault="00F856AB" w:rsidP="00E5221B">
            <w:pPr>
              <w:jc w:val="both"/>
              <w:rPr>
                <w:szCs w:val="22"/>
                <w:lang w:val="ru-RU"/>
              </w:rPr>
            </w:pPr>
            <w:r w:rsidRPr="00C57968">
              <w:rPr>
                <w:szCs w:val="22"/>
                <w:lang w:val="ru-RU"/>
              </w:rPr>
              <w:t>Настоящий вклад направлен на рассмотрение и укрепление существующей системы возмещения затрат на обработку заявок на регистрацию спутниковых сетей в контексте увеличения рабочей нагрузки, несбалансированности финансовой ситуации и операционных проблем, с которыми сталкивается Бюро радиосвязи (БР). Он направлен на обеспечение соответствия методики принципам Резолюции</w:t>
            </w:r>
            <w:r w:rsidR="00615E74" w:rsidRPr="00C57968">
              <w:rPr>
                <w:szCs w:val="22"/>
                <w:lang w:val="ru-RU"/>
              </w:rPr>
              <w:t> </w:t>
            </w:r>
            <w:r w:rsidRPr="00C57968">
              <w:rPr>
                <w:szCs w:val="22"/>
                <w:lang w:val="ru-RU"/>
              </w:rPr>
              <w:t>91 ПК и Решения</w:t>
            </w:r>
            <w:r w:rsidR="00615E74" w:rsidRPr="00C57968">
              <w:rPr>
                <w:szCs w:val="22"/>
                <w:lang w:val="ru-RU"/>
              </w:rPr>
              <w:t> </w:t>
            </w:r>
            <w:r w:rsidRPr="00C57968">
              <w:rPr>
                <w:szCs w:val="22"/>
                <w:lang w:val="ru-RU"/>
              </w:rPr>
              <w:t>482 (</w:t>
            </w:r>
            <w:r w:rsidR="007B43E1" w:rsidRPr="00C57968">
              <w:rPr>
                <w:szCs w:val="22"/>
                <w:lang w:val="ru-RU"/>
              </w:rPr>
              <w:t>Изм</w:t>
            </w:r>
            <w:r w:rsidRPr="00C57968">
              <w:rPr>
                <w:szCs w:val="22"/>
                <w:lang w:val="ru-RU"/>
              </w:rPr>
              <w:t>. 2025 г.), а также улучшение пропорциональности и повышение предсказуемости и эффективности.</w:t>
            </w:r>
          </w:p>
          <w:p w14:paraId="6247FA39" w14:textId="1858B81C" w:rsidR="00796BD3" w:rsidRPr="00C57968" w:rsidRDefault="00F856AB" w:rsidP="00E5221B">
            <w:pPr>
              <w:jc w:val="both"/>
              <w:rPr>
                <w:szCs w:val="22"/>
                <w:lang w:val="ru-RU"/>
              </w:rPr>
            </w:pPr>
            <w:r w:rsidRPr="00C57968">
              <w:rPr>
                <w:szCs w:val="22"/>
                <w:lang w:val="ru-RU"/>
              </w:rPr>
              <w:t>Помимо этого, в нем обращается внимание на рост объемов задержек в обработке заявок на регистрацию спутниковых сетей и соответствующие регламентарные, эксплуатационные и финансовые последствия для Государств-Членов, а также предлагаются меры по восстановлению баланса между объемом работы и имеющимися ресурсами.</w:t>
            </w:r>
          </w:p>
          <w:p w14:paraId="7E574D65" w14:textId="77777777" w:rsidR="00796BD3" w:rsidRPr="00C57968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57968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76412315" w14:textId="2092C8FB" w:rsidR="00796BD3" w:rsidRPr="00C57968" w:rsidRDefault="00F856AB" w:rsidP="00E5221B">
            <w:pPr>
              <w:jc w:val="both"/>
              <w:rPr>
                <w:szCs w:val="22"/>
                <w:lang w:val="ru-RU"/>
              </w:rPr>
            </w:pPr>
            <w:r w:rsidRPr="00C57968">
              <w:rPr>
                <w:szCs w:val="22"/>
                <w:lang w:val="ru-RU"/>
              </w:rPr>
              <w:t xml:space="preserve">Совету предлагается </w:t>
            </w:r>
            <w:r w:rsidRPr="00C57968">
              <w:rPr>
                <w:b/>
                <w:bCs/>
                <w:szCs w:val="22"/>
                <w:lang w:val="ru-RU"/>
              </w:rPr>
              <w:t>рассмотреть</w:t>
            </w:r>
            <w:r w:rsidRPr="00C57968">
              <w:rPr>
                <w:szCs w:val="22"/>
                <w:lang w:val="ru-RU"/>
              </w:rPr>
              <w:t xml:space="preserve"> мнения и предложения, содержащиеся в настоящем вкладе.</w:t>
            </w:r>
          </w:p>
          <w:p w14:paraId="730B3299" w14:textId="77777777" w:rsidR="00796BD3" w:rsidRPr="00C57968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C57968">
              <w:rPr>
                <w:szCs w:val="22"/>
                <w:lang w:val="ru-RU"/>
              </w:rPr>
              <w:t>__________________</w:t>
            </w:r>
          </w:p>
          <w:p w14:paraId="3F481C18" w14:textId="77777777" w:rsidR="00F856AB" w:rsidRPr="00C57968" w:rsidRDefault="00F856AB" w:rsidP="00F856AB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57968">
              <w:rPr>
                <w:b/>
                <w:bCs/>
                <w:color w:val="000000"/>
                <w:szCs w:val="22"/>
                <w:lang w:val="ru-RU"/>
              </w:rPr>
              <w:t>Справочные материалы</w:t>
            </w:r>
          </w:p>
          <w:p w14:paraId="2DBEFDF2" w14:textId="40E6D9E3" w:rsidR="00796BD3" w:rsidRPr="00C57968" w:rsidRDefault="00F856AB" w:rsidP="00F856AB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C57968">
                <w:rPr>
                  <w:rStyle w:val="Hyperlink"/>
                  <w:i/>
                  <w:iCs/>
                  <w:color w:val="auto"/>
                  <w:szCs w:val="22"/>
                  <w:u w:val="none"/>
                  <w:lang w:val="ru-RU"/>
                </w:rPr>
                <w:t xml:space="preserve">Резолюция </w:t>
              </w:r>
              <w:r w:rsidRPr="00E5221B">
                <w:rPr>
                  <w:rStyle w:val="Hyperlink"/>
                  <w:i/>
                  <w:iCs/>
                  <w:color w:val="0070C0"/>
                  <w:szCs w:val="22"/>
                  <w:lang w:val="ru-RU"/>
                </w:rPr>
                <w:t>91 (Пересм. Гвадалахара, 2010 г.)</w:t>
              </w:r>
              <w:r w:rsidRPr="00E5221B">
                <w:rPr>
                  <w:rStyle w:val="Hyperlink"/>
                  <w:i/>
                  <w:iCs/>
                  <w:color w:val="0070C0"/>
                  <w:szCs w:val="22"/>
                  <w:u w:val="none"/>
                  <w:lang w:val="ru-RU"/>
                </w:rPr>
                <w:t xml:space="preserve"> </w:t>
              </w:r>
              <w:r w:rsidRPr="00C57968">
                <w:rPr>
                  <w:rStyle w:val="Hyperlink"/>
                  <w:i/>
                  <w:iCs/>
                  <w:color w:val="auto"/>
                  <w:szCs w:val="22"/>
                  <w:u w:val="none"/>
                  <w:lang w:val="ru-RU"/>
                </w:rPr>
                <w:t>Полномочной конференции</w:t>
              </w:r>
            </w:hyperlink>
            <w:r w:rsidRPr="00C57968">
              <w:rPr>
                <w:i/>
                <w:iCs/>
                <w:color w:val="000000"/>
                <w:szCs w:val="22"/>
                <w:lang w:val="ru-RU"/>
              </w:rPr>
              <w:t>;</w:t>
            </w:r>
            <w:r w:rsidRPr="00C57968">
              <w:rPr>
                <w:color w:val="000000"/>
                <w:szCs w:val="22"/>
                <w:lang w:val="ru-RU"/>
              </w:rPr>
              <w:t xml:space="preserve"> </w:t>
            </w:r>
            <w:hyperlink r:id="rId8" w:history="1">
              <w:r w:rsidRPr="00C57968">
                <w:rPr>
                  <w:rStyle w:val="Hyperlink"/>
                  <w:i/>
                  <w:iCs/>
                  <w:color w:val="auto"/>
                  <w:szCs w:val="22"/>
                  <w:u w:val="none"/>
                  <w:lang w:val="ru-RU"/>
                </w:rPr>
                <w:t xml:space="preserve">Решение </w:t>
              </w:r>
              <w:r w:rsidRPr="00C57968">
                <w:rPr>
                  <w:rStyle w:val="Hyperlink"/>
                  <w:i/>
                  <w:iCs/>
                  <w:color w:val="0000FF"/>
                  <w:szCs w:val="22"/>
                  <w:lang w:val="ru-RU"/>
                </w:rPr>
                <w:t>482 (С01, последнее изменение C25)</w:t>
              </w:r>
              <w:r w:rsidRPr="00C57968">
                <w:rPr>
                  <w:rStyle w:val="Hyperlink"/>
                  <w:i/>
                  <w:iCs/>
                  <w:color w:val="auto"/>
                  <w:szCs w:val="22"/>
                  <w:u w:val="none"/>
                  <w:lang w:val="ru-RU"/>
                </w:rPr>
                <w:t xml:space="preserve"> Совета</w:t>
              </w:r>
            </w:hyperlink>
            <w:r w:rsidR="00920A43" w:rsidRPr="00C57968">
              <w:rPr>
                <w:i/>
                <w:iCs/>
                <w:szCs w:val="22"/>
                <w:lang w:val="ru-RU"/>
              </w:rPr>
              <w:t>;</w:t>
            </w:r>
            <w:r w:rsidR="00166A9F" w:rsidRPr="00C57968">
              <w:rPr>
                <w:i/>
                <w:iCs/>
                <w:color w:val="000000"/>
                <w:szCs w:val="22"/>
                <w:lang w:val="ru-RU"/>
              </w:rPr>
              <w:t xml:space="preserve"> Документы </w:t>
            </w:r>
            <w:hyperlink r:id="rId9" w:history="1">
              <w:r w:rsidR="00166A9F" w:rsidRPr="00E5221B">
                <w:rPr>
                  <w:rStyle w:val="Hyperlink"/>
                  <w:i/>
                  <w:iCs/>
                  <w:color w:val="0070C0"/>
                  <w:szCs w:val="22"/>
                  <w:lang w:val="ru-RU"/>
                </w:rPr>
                <w:t>C26/16</w:t>
              </w:r>
            </w:hyperlink>
            <w:r w:rsidR="00166A9F" w:rsidRPr="00C57968">
              <w:rPr>
                <w:i/>
                <w:iCs/>
                <w:color w:val="000000"/>
                <w:szCs w:val="22"/>
                <w:lang w:val="ru-RU"/>
              </w:rPr>
              <w:t xml:space="preserve"> и </w:t>
            </w:r>
            <w:hyperlink r:id="rId10" w:history="1">
              <w:r w:rsidR="00166A9F" w:rsidRPr="00E5221B">
                <w:rPr>
                  <w:rStyle w:val="Hyperlink"/>
                  <w:i/>
                  <w:iCs/>
                  <w:color w:val="0070C0"/>
                  <w:szCs w:val="22"/>
                  <w:lang w:val="ru-RU"/>
                </w:rPr>
                <w:t>C26/19</w:t>
              </w:r>
            </w:hyperlink>
            <w:r w:rsidR="00166A9F" w:rsidRPr="00C57968">
              <w:rPr>
                <w:color w:val="000000"/>
                <w:szCs w:val="22"/>
                <w:lang w:val="ru-RU"/>
              </w:rPr>
              <w:t xml:space="preserve"> </w:t>
            </w:r>
            <w:r w:rsidR="00166A9F" w:rsidRPr="00C57968">
              <w:rPr>
                <w:i/>
                <w:iCs/>
                <w:color w:val="000000"/>
                <w:szCs w:val="22"/>
                <w:lang w:val="ru-RU"/>
              </w:rPr>
              <w:t>Совета</w:t>
            </w:r>
          </w:p>
        </w:tc>
      </w:tr>
      <w:bookmarkEnd w:id="2"/>
      <w:bookmarkEnd w:id="6"/>
    </w:tbl>
    <w:p w14:paraId="742F95BE" w14:textId="77777777" w:rsidR="00796BD3" w:rsidRPr="00C57968" w:rsidRDefault="00796BD3" w:rsidP="00796BD3">
      <w:pPr>
        <w:rPr>
          <w:lang w:val="ru-RU"/>
        </w:rPr>
      </w:pPr>
    </w:p>
    <w:p w14:paraId="60907DD4" w14:textId="77777777" w:rsidR="00D17718" w:rsidRPr="00C57968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223805C2" w14:textId="77777777" w:rsidR="00165D06" w:rsidRPr="00C5796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C57968">
        <w:rPr>
          <w:lang w:val="ru-RU"/>
        </w:rPr>
        <w:br w:type="page"/>
      </w:r>
    </w:p>
    <w:p w14:paraId="690A85E8" w14:textId="77777777" w:rsidR="00F856AB" w:rsidRPr="00C57968" w:rsidRDefault="00F856AB" w:rsidP="00200218">
      <w:pPr>
        <w:pStyle w:val="Headingb"/>
        <w:rPr>
          <w:rFonts w:asciiTheme="minorHAnsi" w:hAnsiTheme="minorHAnsi" w:cstheme="minorHAnsi"/>
          <w:szCs w:val="24"/>
        </w:rPr>
      </w:pPr>
      <w:r w:rsidRPr="00C57968">
        <w:lastRenderedPageBreak/>
        <w:t>Введение</w:t>
      </w:r>
    </w:p>
    <w:p w14:paraId="53BFF257" w14:textId="5ADF6FC0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Мы выражаем признательность Секретариату за подготовку ежегодного отчета (Документ</w:t>
      </w:r>
      <w:r w:rsidR="00420549" w:rsidRPr="00C57968">
        <w:rPr>
          <w:lang w:val="ru-RU"/>
        </w:rPr>
        <w:t> </w:t>
      </w:r>
      <w:hyperlink r:id="rId11" w:history="1">
        <w:r w:rsidR="007B43E1" w:rsidRPr="001A45E2">
          <w:rPr>
            <w:rStyle w:val="Hyperlink"/>
          </w:rPr>
          <w:t>C</w:t>
        </w:r>
        <w:r w:rsidR="007B43E1" w:rsidRPr="008D7CF2">
          <w:rPr>
            <w:rStyle w:val="Hyperlink"/>
            <w:lang w:val="ru-RU"/>
          </w:rPr>
          <w:t>26/16</w:t>
        </w:r>
      </w:hyperlink>
      <w:r w:rsidRPr="00C57968">
        <w:rPr>
          <w:lang w:val="ru-RU"/>
        </w:rPr>
        <w:t>) и проекта методики (Документ</w:t>
      </w:r>
      <w:r w:rsidR="00420549" w:rsidRPr="00C57968">
        <w:rPr>
          <w:lang w:val="ru-RU"/>
        </w:rPr>
        <w:t> </w:t>
      </w:r>
      <w:hyperlink r:id="rId12" w:history="1">
        <w:r w:rsidR="007B43E1" w:rsidRPr="001A45E2">
          <w:rPr>
            <w:rStyle w:val="Hyperlink"/>
          </w:rPr>
          <w:t>C</w:t>
        </w:r>
        <w:r w:rsidR="007B43E1" w:rsidRPr="008D7CF2">
          <w:rPr>
            <w:rStyle w:val="Hyperlink"/>
            <w:lang w:val="ru-RU"/>
          </w:rPr>
          <w:t>26/19</w:t>
        </w:r>
      </w:hyperlink>
      <w:r w:rsidRPr="00C57968">
        <w:rPr>
          <w:lang w:val="ru-RU"/>
        </w:rPr>
        <w:t>), а также за его постоянные усилия по улучшению ситуации с возмещением затрат на обработку заявок на регистрацию спутниковых сетей. Мы также высоко ценим деятельность Рабочей группы Совета по финансовым и людским ресурсам (РГС-ФЛР) по этой теме.</w:t>
      </w:r>
    </w:p>
    <w:p w14:paraId="05C0E460" w14:textId="77777777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Государства-Члены отмечают стремительный рост количества и сложности представлений заявок на регистрацию спутниковых сетей, в особенности крупных группировок негеостационарных спутников. Эти тенденции привели к увеличению объема работы Бюро радиосвязи (БР), снизили предсказуемость процесса направления заявок и создали дополнительную финансовую нагрузку на систему возмещения затрат на обработку заявок на регистрацию спутниковых сетей. В ежегодном отчете продемонстрировано, что затраты на обработку значительно превышают доходы и что объемы доходов будущих периодов и невыполненной работы растут.</w:t>
      </w:r>
    </w:p>
    <w:p w14:paraId="5405F883" w14:textId="77777777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В связи с этим любой пересмотр методики возмещения затрат должен осуществляться в соответствии с принципами, установленными Полномочной конференцией (ПК) и Советом МСЭ. В Резолюции 91 ПК содержится призыв к возмещению затрат на основе предварительной оплаты, которая покрывает прямые и косвенные затраты на предоставление услуги, применяется методика пропорционального распределения, учитываются особые потребности развивающихся стран, и всем Государствам-Членам предлагается достаточный объем услуг на безвозмездной основе. Решение 482 (изм. 2025 г.) реализует эти принципы в отношении заявок на регистрацию спутниковых сетей и предоставляет каждому Государству-Члену право на одну бесплатную заявку на регистрацию спутниковой сети в год.</w:t>
      </w:r>
    </w:p>
    <w:p w14:paraId="041B97EE" w14:textId="77777777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В настоящем вкладе рассматриваются операционные и финансовые аспекты возмещения затрат на обработку заявок на регистрацию спутниковых сетей и содержатся предложения, направленные на повышение предсказуемости, улучшение пропорциональности и общей согласованности системы возмещения затрат.</w:t>
      </w:r>
    </w:p>
    <w:p w14:paraId="31A02CE0" w14:textId="77777777" w:rsidR="00F856AB" w:rsidRPr="00C57968" w:rsidRDefault="00F856AB" w:rsidP="00200218">
      <w:pPr>
        <w:pStyle w:val="Headingb"/>
        <w:rPr>
          <w:rFonts w:asciiTheme="minorHAnsi" w:hAnsiTheme="minorHAnsi" w:cstheme="minorHAnsi"/>
          <w:szCs w:val="24"/>
        </w:rPr>
      </w:pPr>
      <w:r w:rsidRPr="00C57968">
        <w:t>Обсуждаемый вопрос</w:t>
      </w:r>
    </w:p>
    <w:p w14:paraId="68E655AE" w14:textId="25B708AA" w:rsidR="00F856AB" w:rsidRPr="00C57968" w:rsidRDefault="00EF289A" w:rsidP="00200218">
      <w:pPr>
        <w:pStyle w:val="Heading1"/>
        <w:rPr>
          <w:rFonts w:asciiTheme="minorHAnsi" w:hAnsiTheme="minorHAnsi" w:cstheme="minorHAnsi"/>
          <w:szCs w:val="24"/>
        </w:rPr>
      </w:pPr>
      <w:r w:rsidRPr="00C57968">
        <w:t>1</w:t>
      </w:r>
      <w:r w:rsidRPr="00C57968">
        <w:tab/>
      </w:r>
      <w:r w:rsidR="00F856AB" w:rsidRPr="00C57968">
        <w:t>Возмещение затрат на обработку заявок на регистрацию спутниковых</w:t>
      </w:r>
      <w:r w:rsidRPr="00C57968">
        <w:t> </w:t>
      </w:r>
      <w:r w:rsidR="00F856AB" w:rsidRPr="00C57968">
        <w:t>сетей</w:t>
      </w:r>
    </w:p>
    <w:p w14:paraId="6771D8EA" w14:textId="6154AD37" w:rsidR="00F856AB" w:rsidRPr="00E5221B" w:rsidRDefault="00F856AB" w:rsidP="00E5221B">
      <w:pPr>
        <w:jc w:val="both"/>
        <w:rPr>
          <w:rFonts w:asciiTheme="minorHAnsi" w:hAnsiTheme="minorHAnsi" w:cstheme="minorHAnsi"/>
          <w:spacing w:val="-3"/>
          <w:szCs w:val="24"/>
          <w:lang w:val="ru-RU"/>
        </w:rPr>
      </w:pPr>
      <w:r w:rsidRPr="00E5221B">
        <w:rPr>
          <w:spacing w:val="-3"/>
          <w:lang w:val="ru-RU"/>
        </w:rPr>
        <w:t>В ежегодном отчете подчеркивается существенная разница между затратами и доходами, связанными с обработкой заявок на регистрацию спутниковых сетей, при этом затраты на обработку заявок существенно превышают доходы, получаемые при действующей системе сборов. Даже с учетом прав на бесплатную публикацию и доходов будущих периодов сохраняется существенный дефицит, что свидетельствует о том, что обработка заявок на регистрацию спутниковых сетей фактически субсидируется из регулярного бюджета МСЭ вопреки установленному в Резолюции</w:t>
      </w:r>
      <w:r w:rsidR="00420549" w:rsidRPr="00E5221B">
        <w:rPr>
          <w:spacing w:val="-3"/>
          <w:lang w:val="ru-RU"/>
        </w:rPr>
        <w:t> </w:t>
      </w:r>
      <w:r w:rsidRPr="00E5221B">
        <w:rPr>
          <w:spacing w:val="-3"/>
          <w:lang w:val="ru-RU"/>
        </w:rPr>
        <w:t xml:space="preserve">91 ПК принципу возмещения затрат. Помимо этого, в отношении значительного числа запросов о координации по-прежнему не выставлены счета ввиду ограниченности ресурсов, что еще раз подчеркивает необходимость совершенствования как системы сборов, так и операционных возможностей. В этом контексте Государства-Члены вновь подтверждают, что возмещение затрат должно охватывать все прямые затраты и пропорциональную долю косвенных затрат на основании четко определенных методов, и при этом необходимо обеспечить, чтобы объемы сборов оставались привязаны к предоставляемым услугам и не связанные с ними виды деятельности МСЭ из них не покрывались. Мы отмечаем предлагаемое введение подхода к определению затрат на основании реальной деятельности в качестве конструктивного шага к лучшему отражению фактических усилий по обработке заявок на регистрацию спутниковых сетей, однако мы по-прежнему обеспокоены распределением </w:t>
      </w:r>
      <w:r w:rsidRPr="00E5221B">
        <w:rPr>
          <w:spacing w:val="-3"/>
          <w:lang w:val="ru-RU"/>
        </w:rPr>
        <w:lastRenderedPageBreak/>
        <w:t>косвенных затрат в рамках предлагаемой методики, особенно в тех случаях, когда четкая и доказуемая связь с деятельностью по обработке заявок на регистрацию спутниковых сетей не установлена. В связи с этим мы подчеркиваем важность четкого разграничения затрат, напрямую относимых к обработке заявок на регистрацию спутниковых сетей, и более общих институциональных затрат, с тем чтобы обеспечить, чтобы исключительно затраты, связанные с обработкой заявок на регистрацию спутниковых сетей, а также соответствующая и пропорциональная доля накладных затрат возмещались за счет сборов за обработку заявок на регистрацию спутниковых сетей в соответствии с принципами, установленными в Резолюции</w:t>
      </w:r>
      <w:r w:rsidR="00420549" w:rsidRPr="00E5221B">
        <w:rPr>
          <w:spacing w:val="-3"/>
          <w:lang w:val="ru-RU"/>
        </w:rPr>
        <w:t> </w:t>
      </w:r>
      <w:r w:rsidRPr="00E5221B">
        <w:rPr>
          <w:spacing w:val="-3"/>
          <w:lang w:val="ru-RU"/>
        </w:rPr>
        <w:t>91 ПК.</w:t>
      </w:r>
    </w:p>
    <w:p w14:paraId="159B67A5" w14:textId="0553EC7B" w:rsidR="00F856AB" w:rsidRPr="00C57968" w:rsidRDefault="00EF289A" w:rsidP="00200218">
      <w:pPr>
        <w:pStyle w:val="Heading1"/>
        <w:rPr>
          <w:rFonts w:asciiTheme="minorHAnsi" w:hAnsiTheme="minorHAnsi" w:cstheme="minorHAnsi"/>
          <w:szCs w:val="24"/>
        </w:rPr>
      </w:pPr>
      <w:r w:rsidRPr="00C57968">
        <w:t>2</w:t>
      </w:r>
      <w:r w:rsidRPr="00C57968">
        <w:tab/>
      </w:r>
      <w:r w:rsidR="00F856AB" w:rsidRPr="00C57968">
        <w:t>Право на бесплатную публикацию</w:t>
      </w:r>
    </w:p>
    <w:p w14:paraId="05E3E83B" w14:textId="1701281E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bookmarkStart w:id="7" w:name="_Hlk227083699"/>
      <w:r w:rsidRPr="00C57968">
        <w:rPr>
          <w:lang w:val="ru-RU"/>
        </w:rPr>
        <w:t>В Решении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 xml:space="preserve">482 предусматривается, что каждое Государство-Член имеет право на одну бесплатную регистрацию спутниковой сети в год (право на бесплатную публикацию), и заявляющей администрации разрешается определять, в отношении какой заявки применяется это право. Хотя этот механизм был создан для поддержки справедливого доступа, мы отмечаем, что его текущая реализация может привести к непредвиденным последствиям, включая потенциальное злоупотребление правами на бесплатную публикацию. </w:t>
      </w:r>
    </w:p>
    <w:p w14:paraId="1350D742" w14:textId="6B83D4D2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В связи с этим мы напоминаем, что в Резолюции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91 ПК прямо предусматривается поддержание надлежащего уровня бесплатных услуг, что отражает задачу Союза по обеспечению справедливого доступа для всех Государств-Членов. Вместе с тем мы отмечаем, что предложенная в Документе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C26/19 методика включает стоимость бесплатных публикаций в общую базу сборов, по сути перераспределяя эти затраты на платящих сборы пользователей. Мы считаем, что такой подход не отражает корректно политический характер права на бесплатную публикацию, установленного в Резолюции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91 ПК, а также не демонстрирует прямую причинно-следственную связь между затратами и пользователями, в отношении которых применяется принцип возмещения затрат. Соответственно, мы считаем, что любые корректировки, связанные с правом на бесплатную публикацию, следует рассматривать путем принятия целевых и соразмерных шагов в рамках самой системы предоставления прав, с тем чтобы сохранить баланс между возмещением затрат и справедливым доступом, как это предусмотрено в Резолюции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91 ПК.</w:t>
      </w:r>
      <w:bookmarkEnd w:id="7"/>
    </w:p>
    <w:p w14:paraId="1F5EBED1" w14:textId="5B5BEA51" w:rsidR="00F856AB" w:rsidRPr="00C57968" w:rsidRDefault="00EF289A" w:rsidP="00200218">
      <w:pPr>
        <w:pStyle w:val="Heading1"/>
        <w:rPr>
          <w:rFonts w:asciiTheme="minorHAnsi" w:hAnsiTheme="minorHAnsi" w:cstheme="minorHAnsi"/>
          <w:szCs w:val="24"/>
        </w:rPr>
      </w:pPr>
      <w:r w:rsidRPr="00C57968">
        <w:t>3</w:t>
      </w:r>
      <w:r w:rsidRPr="00C57968">
        <w:tab/>
      </w:r>
      <w:r w:rsidR="00F856AB" w:rsidRPr="00C57968">
        <w:t>Косвенные затраты</w:t>
      </w:r>
    </w:p>
    <w:p w14:paraId="10CB287A" w14:textId="7D1AFBEA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Мы напоминаем, что в Резолюции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91 ПК устанавливается, что возмещение затрат должно применяться таким образом, который обеспечивает четкую связь между предоставленной услугой и возмещенными затратами. В этом контексте мы отмечаем, что предлагаемая методика основана на группах суммарных затрат и опосредованных распределениях, в частности факторах, связанных с персоналом и космическими службами, а не на измеримых факторах на уровне деятельности. В текущем виде она недостаточно отражает уровень отнесения затрат к конкретному виду деятельности, требуемый для обеспечения надлежащего распределения, как это предусмотрено Резолюцией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91 ПК.</w:t>
      </w:r>
    </w:p>
    <w:p w14:paraId="5CDC8DE9" w14:textId="77777777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Помимо этого, мы отмечаем, что в Резолюции 91 ПК подчеркивается, что возмещение затрат должно применяться к конкретным продуктам или услугам. Предлагаемое включение широких институциональных элементов затрат, помимо тех, которые напрямую относятся к деятельности по обработке заявок на регистрацию спутниковых сетей, сопряжено с риском ослабления связи между сборами и предоставляемыми услугами и может не соответствовать этому принципу в полной мере.</w:t>
      </w:r>
    </w:p>
    <w:p w14:paraId="143D0953" w14:textId="442F8611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 xml:space="preserve">Также мы отмечаем, что использование факторов распределения средств, связанных с персоналом, в том числе связанных с деятельностью по обработке заявок на регистрацию спутниковых сетей, может приводить к возникновению осложняющих эффектов при отнесении </w:t>
      </w:r>
      <w:r w:rsidRPr="00C57968">
        <w:rPr>
          <w:lang w:val="ru-RU"/>
        </w:rPr>
        <w:lastRenderedPageBreak/>
        <w:t>косвенных затрат к конкретным видам деятельности. В таких случаях увеличение численности персонала, занимающегося вопросами обработки заявок на регистрацию спутниковых сетей, может привести к совокупному увеличению определенных косвенных затрат по нескольким группам затрат, даже если базовый объем работы или использование систем, связанное с обработкой заявок на регистрацию спутниковых сетей, остаются неизменными. Это вызывает обеспокоенность в отношении точности и пропорциональности итоговых уровней возмещения</w:t>
      </w:r>
      <w:r w:rsidR="00CD3190" w:rsidRPr="00C57968">
        <w:rPr>
          <w:lang w:val="ru-RU"/>
        </w:rPr>
        <w:t> </w:t>
      </w:r>
      <w:r w:rsidRPr="00C57968">
        <w:rPr>
          <w:lang w:val="ru-RU"/>
        </w:rPr>
        <w:t>затрат.</w:t>
      </w:r>
    </w:p>
    <w:p w14:paraId="049B7B4A" w14:textId="06C05E44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Включение косвенных затрат может соответствовать Резолюции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91 ПК, но вместе с тем мы полагаем, что предлагаемая методика распределения в текущем виде не обеспечивает достаточно четкой и наглядной причинно-следственной связи между отнесенными к конкретным видам деятельности затратами и фактическим потреблением услуг по регистрации спутниковых сетей.</w:t>
      </w:r>
    </w:p>
    <w:p w14:paraId="5BD579F5" w14:textId="085D06BB" w:rsidR="00F856AB" w:rsidRPr="00C57968" w:rsidRDefault="00EF289A" w:rsidP="00200218">
      <w:pPr>
        <w:pStyle w:val="Heading1"/>
        <w:rPr>
          <w:rFonts w:asciiTheme="minorHAnsi" w:hAnsiTheme="minorHAnsi" w:cstheme="minorHAnsi"/>
          <w:szCs w:val="24"/>
        </w:rPr>
      </w:pPr>
      <w:r w:rsidRPr="00C57968">
        <w:t>4</w:t>
      </w:r>
      <w:r w:rsidRPr="00C57968">
        <w:tab/>
      </w:r>
      <w:r w:rsidR="00F856AB" w:rsidRPr="00C57968">
        <w:t>Совершенствование предлагаемой методики</w:t>
      </w:r>
    </w:p>
    <w:p w14:paraId="27B48F10" w14:textId="4AA40FCA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Мы отмечаем, что запросы о координации остаются необработанными в течение длительных периодов времени, значительно превышающих регламентарные сроки, в основном из-за увеличения рабочей нагрузки и ограниченности ресурсов. Это привело к росту объема невыполненной работы по регистрации и сокращению времени, которым располагают администрации для ввода сетей в действие, что привело к росту неопределенности в области регулирования. В связи с этим мы считаем, что методика возмещения затрат на обработку заявок на регистрацию спутниковых сетей следует дополнить эффективным прогнозированием рабочей нагрузки и планированием потенциала и, таким образом, обеспечить, чтобы уровни сборов поддерживали способность Бюро привлекать и удерживать необходимых специалистов, а также инвестировать в инструменты и системы для повышения эффективности. В то же время мы подчеркиваем важность поддержания предсказуемых и стабильных уровней сборов, поскольку частые или значительные корректировки могут негативно повлиять на деятельность администраций и операторов в области планирования. Вследствие этого мы считаем полезным внедрение структурированных и прозрачных механизмов корректировки, включая многолетние подходы для сглаживания колебаний и обеспечения большей предсказуемости, а также гарантии для смягчения внезапных финансовых последствий. Мы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также отмечаем, что продолжающийся рост крупных группировок НГСО является основным фактором увеличения и сложности рабочей нагрузки, и в связи с этим полагаем, что могло бы быть полезно разработать дополнительные усовершенствования методики, включая повышение прозрачности за счет регулярной отчетности о затратах и рабочей нагрузке, укрепление надзора в рамках деятельности Совета, введение четких показателей деятельности, таких как время обработки и уровень накопившегося объема невыполненной работы, и обеспечение того, чтобы любые корректировки сборов осуществлялись постепенно и пропорционально, с учетом потребностей администраций, ресурсы которых ограничены.</w:t>
      </w:r>
    </w:p>
    <w:p w14:paraId="54E1113C" w14:textId="1D724F8C" w:rsidR="00F856AB" w:rsidRPr="00C57968" w:rsidRDefault="00EF289A" w:rsidP="00200218">
      <w:pPr>
        <w:pStyle w:val="Heading1"/>
        <w:rPr>
          <w:rFonts w:asciiTheme="minorHAnsi" w:hAnsiTheme="minorHAnsi" w:cstheme="minorHAnsi"/>
          <w:szCs w:val="24"/>
        </w:rPr>
      </w:pPr>
      <w:r w:rsidRPr="00C57968">
        <w:t>5</w:t>
      </w:r>
      <w:r w:rsidRPr="00C57968">
        <w:tab/>
      </w:r>
      <w:r w:rsidR="00F856AB" w:rsidRPr="00C57968">
        <w:t xml:space="preserve">Задержки в </w:t>
      </w:r>
      <w:r w:rsidR="00F856AB" w:rsidRPr="00200218">
        <w:t>обработке</w:t>
      </w:r>
      <w:r w:rsidR="00F856AB" w:rsidRPr="00C57968">
        <w:t xml:space="preserve"> заявок на регистрацию спутниковых сетей</w:t>
      </w:r>
    </w:p>
    <w:p w14:paraId="595EFC05" w14:textId="4DB7A9CC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В ходе 33-го собрания Консультативной группы по радиосвязи (КГР) было выделено несколько вопросов, касающихся обработки заявок на регистрацию спутниковых сетей, особенно в контексте роста воздействия задержек на администрации и операторов. Задержки публикации и обработки заявок стали практической проблемой, которая непосредственно влияет на способность администраций завершать регламентарные процедуры в сроки, установленные в п.</w:t>
      </w:r>
      <w:r w:rsidR="00420549" w:rsidRPr="00C57968">
        <w:rPr>
          <w:lang w:val="ru-RU"/>
        </w:rPr>
        <w:t> </w:t>
      </w:r>
      <w:r w:rsidRPr="00C57968">
        <w:rPr>
          <w:b/>
          <w:bCs/>
          <w:lang w:val="ru-RU"/>
        </w:rPr>
        <w:t>9.38</w:t>
      </w:r>
      <w:r w:rsidRPr="00C57968">
        <w:rPr>
          <w:lang w:val="ru-RU"/>
        </w:rPr>
        <w:t xml:space="preserve"> Регламента радиосвязи, включая процедуры, которые относятся к развертыванию сетей и международной координации. В связи с этим КГР, как отражено в записке Председателя в адрес Совета (</w:t>
      </w:r>
      <w:hyperlink r:id="rId13" w:history="1">
        <w:r w:rsidRPr="00C57968">
          <w:rPr>
            <w:rStyle w:val="Hyperlink"/>
            <w:color w:val="0000FF"/>
            <w:lang w:val="ru-RU"/>
          </w:rPr>
          <w:t>Циркуляр 281</w:t>
        </w:r>
      </w:hyperlink>
      <w:r w:rsidRPr="00C57968">
        <w:rPr>
          <w:lang w:val="ru-RU"/>
        </w:rPr>
        <w:t xml:space="preserve">), подчеркнула возрастающие трудности, с которыми сталкивается Бюро радиосвязи при соблюдении предписанных сроков обработки, что приводит к </w:t>
      </w:r>
      <w:r w:rsidRPr="00C57968">
        <w:rPr>
          <w:lang w:val="ru-RU"/>
        </w:rPr>
        <w:lastRenderedPageBreak/>
        <w:t xml:space="preserve">сокращению сроков реализации и росту неопределенности в области регулирования для администраций. Помимо этого, в </w:t>
      </w:r>
      <w:hyperlink r:id="rId14" w:history="1">
        <w:r w:rsidRPr="00C57968">
          <w:rPr>
            <w:rStyle w:val="Hyperlink"/>
            <w:color w:val="0000FF"/>
            <w:lang w:val="ru-RU"/>
          </w:rPr>
          <w:t>отчете Директора Бюро радиосвязи</w:t>
        </w:r>
      </w:hyperlink>
      <w:r w:rsidRPr="00C57968">
        <w:rPr>
          <w:lang w:val="ru-RU"/>
        </w:rPr>
        <w:t xml:space="preserve"> указано, что эти проблемы возникают в условиях растущего эксплуатационного и финансового давления, обусловленного ограниченностью людских ресурсов и возрастающим объемом и сложностью заявок, касающихся космических служб. Имеющиеся данные свидетельствуют о явном разрыве между регламентарными требованиями и текущими операционными возможностями, поскольку время обработки запросов о координации, которые должны быть обработаны в течение четырех месяцев, в настоящий момент составляет около четырнадцати месяцев, что указывает на существенное несоответствие между рабочей нагрузкой и имеющимися ресурсами. В этом контексте цель настоящего вклада заключается в освещении практических и организационных последствий этих задержек, подкрепленных данными и примерами, а также в призыве к Совету оказать соответствующую поддержку, с тем чтобы Бюро имело возможность решить эти проблемы и повысить эффективность работы в соответствии с регламентарными требованиями.</w:t>
      </w:r>
      <w:hyperlink r:id="rId15" w:history="1"/>
    </w:p>
    <w:p w14:paraId="2BF721C3" w14:textId="01FA0B17" w:rsidR="00F856AB" w:rsidRPr="00C57968" w:rsidRDefault="00F856AB" w:rsidP="00E5221B">
      <w:pPr>
        <w:jc w:val="both"/>
        <w:rPr>
          <w:lang w:val="ru-RU"/>
        </w:rPr>
      </w:pPr>
      <w:r w:rsidRPr="00C57968">
        <w:rPr>
          <w:lang w:val="ru-RU"/>
        </w:rPr>
        <w:t>Имеющиеся данные указывают на явный разрыв между регламентарными требованиями, установленными в Регламенте радиосвязи, и имеющимися в настоящее время операционными возможностями Бюро радиосвязи. Согласно п.</w:t>
      </w:r>
      <w:r w:rsidR="00420549" w:rsidRPr="00C57968">
        <w:rPr>
          <w:lang w:val="ru-RU"/>
        </w:rPr>
        <w:t> </w:t>
      </w:r>
      <w:r w:rsidRPr="00C57968">
        <w:rPr>
          <w:b/>
          <w:bCs/>
          <w:lang w:val="ru-RU"/>
        </w:rPr>
        <w:t>9.38</w:t>
      </w:r>
      <w:r w:rsidRPr="00C57968">
        <w:rPr>
          <w:lang w:val="ru-RU"/>
        </w:rPr>
        <w:t>, запросы о координации должны быть обработаны в течение четырех месяцев; однако фактическое время обработки составило приблизительно 14 месяцев, что также подтверждается в Циркулярном письме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281; это отражает значительный дисбаланс между увеличением рабочей нагрузки и имеющимися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>ресурсами.</w:t>
      </w:r>
    </w:p>
    <w:p w14:paraId="517F687B" w14:textId="77777777" w:rsidR="00920A43" w:rsidRPr="00C57968" w:rsidRDefault="00920A43" w:rsidP="00920A43">
      <w:pPr>
        <w:pStyle w:val="FigureNo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РИСУНОК 1</w:t>
      </w:r>
    </w:p>
    <w:p w14:paraId="1FD805CF" w14:textId="77777777" w:rsidR="00920A43" w:rsidRPr="00C57968" w:rsidRDefault="00920A43" w:rsidP="00920A43">
      <w:pPr>
        <w:pStyle w:val="Figuretitle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Публикация запросов о координации (CR/C) для спутниковых сетей (последние 15 месяцев)</w:t>
      </w:r>
    </w:p>
    <w:p w14:paraId="46A9B746" w14:textId="3D63A8D8" w:rsidR="00920A43" w:rsidRPr="00C57968" w:rsidRDefault="00920A43" w:rsidP="00920A43">
      <w:pPr>
        <w:jc w:val="center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 xml:space="preserve">(Данные взяты из статистических данных по космическим службам, см. </w:t>
      </w:r>
      <w:hyperlink r:id="rId16" w:history="1">
        <w:r w:rsidRPr="00C57968">
          <w:rPr>
            <w:rStyle w:val="Hyperlink"/>
            <w:color w:val="0000FF"/>
            <w:lang w:val="ru-RU"/>
          </w:rPr>
          <w:t>веб-сайт</w:t>
        </w:r>
      </w:hyperlink>
      <w:r w:rsidRPr="00C57968">
        <w:rPr>
          <w:lang w:val="ru-RU"/>
        </w:rPr>
        <w:t>)</w:t>
      </w:r>
    </w:p>
    <w:p w14:paraId="42D6F66E" w14:textId="77777777" w:rsidR="00F856AB" w:rsidRPr="00C57968" w:rsidRDefault="00F856AB" w:rsidP="001C35C8">
      <w:pPr>
        <w:pStyle w:val="Figure"/>
        <w:rPr>
          <w:lang w:val="ru-RU" w:bidi="ar-EG"/>
        </w:rPr>
      </w:pPr>
      <w:r w:rsidRPr="00C57968">
        <w:rPr>
          <w:noProof/>
          <w:lang w:val="ru-RU" w:bidi="ar-EG"/>
        </w:rPr>
        <w:drawing>
          <wp:inline distT="0" distB="0" distL="0" distR="0" wp14:anchorId="3436A805" wp14:editId="7A4D1DD0">
            <wp:extent cx="5788078" cy="2895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230" cy="2922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F2D9F" w14:textId="6E7F6B81" w:rsidR="00F856AB" w:rsidRPr="00C57968" w:rsidRDefault="00F856AB" w:rsidP="00E5221B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Как показано на Рисунке</w:t>
      </w:r>
      <w:r w:rsidR="000C2649" w:rsidRPr="00C57968">
        <w:rPr>
          <w:lang w:val="ru-RU"/>
        </w:rPr>
        <w:t> </w:t>
      </w:r>
      <w:r w:rsidRPr="00C57968">
        <w:rPr>
          <w:lang w:val="ru-RU"/>
        </w:rPr>
        <w:t>1, хотя число обрабатываемых заявок по-прежнему велико, отмечается определенное сокращение благодаря операционным мерам; вместе с тем сохраняющийся большой объем поступающих запросов и недостаточное количество опубликованных заявок не позволяют обеспечить устойчивое сокращение накопившегося объема невыполненной работы. Время обработки по-прежнему составляет от 13 до 17</w:t>
      </w:r>
      <w:r w:rsidR="00420549" w:rsidRPr="00C57968">
        <w:rPr>
          <w:lang w:val="ru-RU"/>
        </w:rPr>
        <w:t> </w:t>
      </w:r>
      <w:r w:rsidRPr="00C57968">
        <w:rPr>
          <w:lang w:val="ru-RU"/>
        </w:rPr>
        <w:t xml:space="preserve">месяцев, что значительно превышает предельное регламентарное значение. Эти проблемы возникают в условиях нехватки персонала и незаполненных вакансий, а также бюджетных ограничений более общего характера; в то же </w:t>
      </w:r>
      <w:r w:rsidRPr="00C57968">
        <w:rPr>
          <w:lang w:val="ru-RU"/>
        </w:rPr>
        <w:lastRenderedPageBreak/>
        <w:t>время сектор спутниковой связи продолжает стремительно развиваться в объеме и сложности, что является следствием расширения работы систем, появления новых услуг и растущей интеграции с наземными сетями, что оказывает постоянное давление на операционные возможности Бюро.</w:t>
      </w:r>
    </w:p>
    <w:p w14:paraId="36A5FC30" w14:textId="77777777" w:rsidR="00F856AB" w:rsidRPr="00C57968" w:rsidRDefault="00F856AB" w:rsidP="001C35C8">
      <w:pPr>
        <w:pStyle w:val="TableNo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Таблица 1</w:t>
      </w:r>
    </w:p>
    <w:p w14:paraId="18C88599" w14:textId="77777777" w:rsidR="00F856AB" w:rsidRPr="00C57968" w:rsidRDefault="00F856AB" w:rsidP="001C35C8">
      <w:pPr>
        <w:pStyle w:val="Tabletitle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Спутниковые сети Саудовской Аравии, затронутые задержками в обработке заявок</w:t>
      </w:r>
    </w:p>
    <w:p w14:paraId="5FB9EEFC" w14:textId="77777777" w:rsidR="00F856AB" w:rsidRPr="00C57968" w:rsidRDefault="00F856AB" w:rsidP="00F856AB">
      <w:pPr>
        <w:overflowPunct/>
        <w:autoSpaceDE/>
        <w:autoSpaceDN/>
        <w:adjustRightInd/>
        <w:spacing w:after="120" w:line="192" w:lineRule="auto"/>
        <w:jc w:val="center"/>
        <w:textAlignment w:val="auto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(Данные взяты из базы данных Бюро радиосвязи по системам спутниковых сетей)</w:t>
      </w:r>
    </w:p>
    <w:p w14:paraId="7B12206C" w14:textId="0C6276B5" w:rsidR="00F856AB" w:rsidRPr="00C57968" w:rsidRDefault="001C35C8" w:rsidP="00200218">
      <w:pPr>
        <w:pStyle w:val="Headingb"/>
      </w:pPr>
      <w:r w:rsidRPr="00C57968">
        <w:t>A)</w:t>
      </w:r>
      <w:r w:rsidRPr="00C57968">
        <w:tab/>
      </w:r>
      <w:r w:rsidR="00F856AB" w:rsidRPr="00C57968">
        <w:t>Опубликованные заявки</w:t>
      </w:r>
    </w:p>
    <w:tbl>
      <w:tblPr>
        <w:tblStyle w:val="TableGrid"/>
        <w:tblW w:w="5000" w:type="pct"/>
        <w:shd w:val="clear" w:color="auto" w:fill="002060"/>
        <w:tblLook w:val="04A0" w:firstRow="1" w:lastRow="0" w:firstColumn="1" w:lastColumn="0" w:noHBand="0" w:noVBand="1"/>
      </w:tblPr>
      <w:tblGrid>
        <w:gridCol w:w="1065"/>
        <w:gridCol w:w="1389"/>
        <w:gridCol w:w="747"/>
        <w:gridCol w:w="1129"/>
        <w:gridCol w:w="733"/>
        <w:gridCol w:w="1111"/>
        <w:gridCol w:w="769"/>
        <w:gridCol w:w="1129"/>
        <w:gridCol w:w="989"/>
      </w:tblGrid>
      <w:tr w:rsidR="000C2649" w:rsidRPr="00C57968" w14:paraId="2220081E" w14:textId="4CD2F7D2" w:rsidTr="000C2649">
        <w:tc>
          <w:tcPr>
            <w:tcW w:w="616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CC18448" w14:textId="68A31FBB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t>Номер</w:t>
            </w: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br/>
              <w:t>заявки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6FCA3AF" w14:textId="6AD3E002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5204F23" w14:textId="5EF03218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t>Тип</w:t>
            </w: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br/>
              <w:t>орбиты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388AE08" w14:textId="7D6FB0BF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t>Дата</w:t>
            </w: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br/>
              <w:t>получения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D894B36" w14:textId="5AEDCF55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t>Тип</w:t>
            </w: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br/>
              <w:t>заявки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7173C72" w14:textId="6C4C59C2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t>Номер</w:t>
            </w: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br/>
              <w:t>публикации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176B58F" w14:textId="6C4EEB79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color w:val="FFFFFF" w:themeColor="background1"/>
                <w:sz w:val="18"/>
                <w:szCs w:val="18"/>
                <w:lang w:val="ru-RU"/>
              </w:rPr>
              <w:t>№</w:t>
            </w: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br/>
              <w:t>ИФИК</w:t>
            </w:r>
            <w:r w:rsidRPr="00C57968"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  <w:br/>
              <w:t>БР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A46E373" w14:textId="73590489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bCs/>
                <w:color w:val="FFFFFF" w:themeColor="background1"/>
                <w:sz w:val="18"/>
                <w:szCs w:val="18"/>
                <w:lang w:val="ru-RU"/>
              </w:rPr>
              <w:t>Дата публикации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47A05C9" w14:textId="342D1130" w:rsidR="000C2649" w:rsidRPr="00C57968" w:rsidRDefault="000C2649" w:rsidP="000C2649">
            <w:pPr>
              <w:pStyle w:val="Tablehead"/>
              <w:ind w:left="-57" w:right="-57"/>
              <w:rPr>
                <w:rFonts w:eastAsia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bCs/>
                <w:color w:val="FFFFFF" w:themeColor="background1"/>
                <w:sz w:val="18"/>
                <w:szCs w:val="18"/>
                <w:lang w:val="ru-RU"/>
              </w:rPr>
              <w:t>Время обработки (месяцы)</w:t>
            </w:r>
          </w:p>
        </w:tc>
      </w:tr>
      <w:tr w:rsidR="000C2649" w:rsidRPr="00C57968" w14:paraId="107FD7C0" w14:textId="77777777" w:rsidTr="00C57968">
        <w:tc>
          <w:tcPr>
            <w:tcW w:w="616" w:type="pct"/>
          </w:tcPr>
          <w:p w14:paraId="5EFB6D57" w14:textId="7C348243" w:rsidR="000C2649" w:rsidRPr="00C57968" w:rsidRDefault="000C2649" w:rsidP="00547E01">
            <w:pPr>
              <w:pStyle w:val="Tabletext"/>
              <w:ind w:left="-57" w:right="-57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124520150</w:t>
            </w:r>
          </w:p>
        </w:tc>
        <w:tc>
          <w:tcPr>
            <w:tcW w:w="774" w:type="pct"/>
          </w:tcPr>
          <w:p w14:paraId="6E9E8954" w14:textId="237D3493" w:rsidR="000C2649" w:rsidRPr="00C57968" w:rsidRDefault="000C2649" w:rsidP="00547E01">
            <w:pPr>
              <w:pStyle w:val="Tabletext"/>
              <w:ind w:left="-57" w:right="-57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SAUDISAT_45.5E</w:t>
            </w:r>
          </w:p>
        </w:tc>
        <w:tc>
          <w:tcPr>
            <w:tcW w:w="438" w:type="pct"/>
          </w:tcPr>
          <w:p w14:paraId="53075CD7" w14:textId="67D4316C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ГСО</w:t>
            </w:r>
          </w:p>
        </w:tc>
        <w:tc>
          <w:tcPr>
            <w:tcW w:w="672" w:type="pct"/>
          </w:tcPr>
          <w:p w14:paraId="5C8191B9" w14:textId="05E18620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22</w:t>
            </w:r>
            <w:r w:rsidR="001612FB" w:rsidRPr="00C57968">
              <w:rPr>
                <w:sz w:val="18"/>
                <w:szCs w:val="18"/>
                <w:lang w:val="ru-RU"/>
              </w:rPr>
              <w:t>.07.2024 г.</w:t>
            </w:r>
          </w:p>
        </w:tc>
        <w:tc>
          <w:tcPr>
            <w:tcW w:w="432" w:type="pct"/>
          </w:tcPr>
          <w:p w14:paraId="71C05C71" w14:textId="7030EA68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CR/C</w:t>
            </w:r>
          </w:p>
        </w:tc>
        <w:tc>
          <w:tcPr>
            <w:tcW w:w="603" w:type="pct"/>
          </w:tcPr>
          <w:p w14:paraId="7BA74D03" w14:textId="1BE1BCC5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6292</w:t>
            </w:r>
          </w:p>
        </w:tc>
        <w:tc>
          <w:tcPr>
            <w:tcW w:w="452" w:type="pct"/>
          </w:tcPr>
          <w:p w14:paraId="5C4276EE" w14:textId="1FDCF738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3055</w:t>
            </w:r>
          </w:p>
        </w:tc>
        <w:tc>
          <w:tcPr>
            <w:tcW w:w="576" w:type="pct"/>
          </w:tcPr>
          <w:p w14:paraId="7CD978A0" w14:textId="6884E5E9" w:rsidR="000C2649" w:rsidRPr="00C57968" w:rsidRDefault="000C2649" w:rsidP="00C57968">
            <w:pPr>
              <w:pStyle w:val="enumlev1"/>
              <w:ind w:left="-57" w:right="-57" w:firstLine="0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16.09.2025 г.</w:t>
            </w:r>
          </w:p>
        </w:tc>
        <w:tc>
          <w:tcPr>
            <w:tcW w:w="436" w:type="pct"/>
          </w:tcPr>
          <w:p w14:paraId="3DF58F1B" w14:textId="6AEB28EC" w:rsidR="000C2649" w:rsidRPr="00C57968" w:rsidRDefault="000C2649" w:rsidP="00C57968">
            <w:pPr>
              <w:pStyle w:val="enumlev1"/>
              <w:ind w:left="-57" w:right="-57" w:firstLine="0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14,03</w:t>
            </w:r>
          </w:p>
        </w:tc>
      </w:tr>
      <w:tr w:rsidR="001612FB" w:rsidRPr="00C57968" w14:paraId="773D39D5" w14:textId="77777777" w:rsidTr="00C57968">
        <w:tc>
          <w:tcPr>
            <w:tcW w:w="616" w:type="pct"/>
          </w:tcPr>
          <w:p w14:paraId="7AE75534" w14:textId="057647B1" w:rsidR="000C2649" w:rsidRPr="00C57968" w:rsidRDefault="000C2649" w:rsidP="00547E01">
            <w:pPr>
              <w:pStyle w:val="Tabletext"/>
              <w:ind w:left="-57" w:right="-57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124520158</w:t>
            </w:r>
          </w:p>
        </w:tc>
        <w:tc>
          <w:tcPr>
            <w:tcW w:w="774" w:type="pct"/>
          </w:tcPr>
          <w:p w14:paraId="17BC94F1" w14:textId="1556B835" w:rsidR="000C2649" w:rsidRPr="00C57968" w:rsidRDefault="000C2649" w:rsidP="00547E01">
            <w:pPr>
              <w:pStyle w:val="Tabletext"/>
              <w:ind w:left="-57" w:right="-57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SAUDISAT_51.9E</w:t>
            </w:r>
          </w:p>
        </w:tc>
        <w:tc>
          <w:tcPr>
            <w:tcW w:w="438" w:type="pct"/>
          </w:tcPr>
          <w:p w14:paraId="38AAAE81" w14:textId="5278FB8A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ГСО</w:t>
            </w:r>
          </w:p>
        </w:tc>
        <w:tc>
          <w:tcPr>
            <w:tcW w:w="672" w:type="pct"/>
          </w:tcPr>
          <w:p w14:paraId="06F5533F" w14:textId="20F8739C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31</w:t>
            </w:r>
            <w:r w:rsidR="001612FB" w:rsidRPr="00C57968">
              <w:rPr>
                <w:sz w:val="18"/>
                <w:szCs w:val="18"/>
                <w:lang w:val="ru-RU"/>
              </w:rPr>
              <w:t>.07.2024 г.</w:t>
            </w:r>
          </w:p>
        </w:tc>
        <w:tc>
          <w:tcPr>
            <w:tcW w:w="432" w:type="pct"/>
          </w:tcPr>
          <w:p w14:paraId="0C875D33" w14:textId="1F9D7D9C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CR/C</w:t>
            </w:r>
          </w:p>
        </w:tc>
        <w:tc>
          <w:tcPr>
            <w:tcW w:w="603" w:type="pct"/>
          </w:tcPr>
          <w:p w14:paraId="400F21AE" w14:textId="3E13A1D1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6299</w:t>
            </w:r>
          </w:p>
        </w:tc>
        <w:tc>
          <w:tcPr>
            <w:tcW w:w="452" w:type="pct"/>
          </w:tcPr>
          <w:p w14:paraId="1F8BD3E0" w14:textId="7B04D776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3056</w:t>
            </w:r>
          </w:p>
        </w:tc>
        <w:tc>
          <w:tcPr>
            <w:tcW w:w="576" w:type="pct"/>
          </w:tcPr>
          <w:p w14:paraId="524BECAD" w14:textId="0C67F1C9" w:rsidR="000C2649" w:rsidRPr="00C57968" w:rsidRDefault="000C2649" w:rsidP="00C57968">
            <w:pPr>
              <w:pStyle w:val="enumlev1"/>
              <w:ind w:left="-57" w:right="-57" w:firstLine="0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30.09.2025 г.</w:t>
            </w:r>
          </w:p>
        </w:tc>
        <w:tc>
          <w:tcPr>
            <w:tcW w:w="436" w:type="pct"/>
          </w:tcPr>
          <w:p w14:paraId="45C37A72" w14:textId="5A8DCCE9" w:rsidR="000C2649" w:rsidRPr="00C57968" w:rsidRDefault="000C2649" w:rsidP="00C57968">
            <w:pPr>
              <w:pStyle w:val="enumlev1"/>
              <w:ind w:left="-57" w:right="-57" w:firstLine="0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14,20</w:t>
            </w:r>
          </w:p>
        </w:tc>
      </w:tr>
      <w:tr w:rsidR="001612FB" w:rsidRPr="00C57968" w14:paraId="1781CFA9" w14:textId="77777777" w:rsidTr="00C57968">
        <w:tc>
          <w:tcPr>
            <w:tcW w:w="616" w:type="pct"/>
          </w:tcPr>
          <w:p w14:paraId="23C46B43" w14:textId="25A914D0" w:rsidR="000C2649" w:rsidRPr="00C57968" w:rsidRDefault="000C2649" w:rsidP="00547E01">
            <w:pPr>
              <w:pStyle w:val="Tabletext"/>
              <w:ind w:left="-57" w:right="-57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124520137</w:t>
            </w:r>
          </w:p>
        </w:tc>
        <w:tc>
          <w:tcPr>
            <w:tcW w:w="774" w:type="pct"/>
          </w:tcPr>
          <w:p w14:paraId="4153AB21" w14:textId="3AE583B3" w:rsidR="000C2649" w:rsidRPr="00C57968" w:rsidRDefault="000C2649" w:rsidP="00547E01">
            <w:pPr>
              <w:pStyle w:val="Tabletext"/>
              <w:ind w:left="-57" w:right="-57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SAUDISAT_7.9E</w:t>
            </w:r>
          </w:p>
        </w:tc>
        <w:tc>
          <w:tcPr>
            <w:tcW w:w="438" w:type="pct"/>
          </w:tcPr>
          <w:p w14:paraId="41D8D6E6" w14:textId="0656B361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ГСО</w:t>
            </w:r>
          </w:p>
        </w:tc>
        <w:tc>
          <w:tcPr>
            <w:tcW w:w="672" w:type="pct"/>
          </w:tcPr>
          <w:p w14:paraId="36B8FB17" w14:textId="7677FD3D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15</w:t>
            </w:r>
            <w:r w:rsidR="001612FB" w:rsidRPr="00C57968">
              <w:rPr>
                <w:sz w:val="18"/>
                <w:szCs w:val="18"/>
                <w:lang w:val="ru-RU"/>
              </w:rPr>
              <w:t>.07.2024 г.</w:t>
            </w:r>
          </w:p>
        </w:tc>
        <w:tc>
          <w:tcPr>
            <w:tcW w:w="432" w:type="pct"/>
          </w:tcPr>
          <w:p w14:paraId="71856A68" w14:textId="77E89DD0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CR/C</w:t>
            </w:r>
          </w:p>
        </w:tc>
        <w:tc>
          <w:tcPr>
            <w:tcW w:w="603" w:type="pct"/>
          </w:tcPr>
          <w:p w14:paraId="26501BCF" w14:textId="12339703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6289</w:t>
            </w:r>
          </w:p>
        </w:tc>
        <w:tc>
          <w:tcPr>
            <w:tcW w:w="452" w:type="pct"/>
          </w:tcPr>
          <w:p w14:paraId="6A4789C5" w14:textId="03CACBF2" w:rsidR="000C2649" w:rsidRPr="00C57968" w:rsidRDefault="000C2649" w:rsidP="00C57968">
            <w:pPr>
              <w:pStyle w:val="Tabletext"/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3055</w:t>
            </w:r>
          </w:p>
        </w:tc>
        <w:tc>
          <w:tcPr>
            <w:tcW w:w="576" w:type="pct"/>
          </w:tcPr>
          <w:p w14:paraId="557D45E6" w14:textId="027FF664" w:rsidR="000C2649" w:rsidRPr="00C57968" w:rsidRDefault="000C2649" w:rsidP="00C57968">
            <w:pPr>
              <w:pStyle w:val="enumlev1"/>
              <w:ind w:left="-57" w:right="-57" w:firstLine="0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16.09.2025 г.</w:t>
            </w:r>
          </w:p>
        </w:tc>
        <w:tc>
          <w:tcPr>
            <w:tcW w:w="436" w:type="pct"/>
          </w:tcPr>
          <w:p w14:paraId="41EF61A5" w14:textId="0CFAE522" w:rsidR="000C2649" w:rsidRPr="00C57968" w:rsidRDefault="000C2649" w:rsidP="00C57968">
            <w:pPr>
              <w:pStyle w:val="enumlev1"/>
              <w:ind w:left="-57" w:right="-57" w:firstLine="0"/>
              <w:jc w:val="center"/>
              <w:rPr>
                <w:sz w:val="18"/>
                <w:szCs w:val="18"/>
                <w:lang w:val="ru-RU"/>
              </w:rPr>
            </w:pPr>
            <w:r w:rsidRPr="00C57968">
              <w:rPr>
                <w:sz w:val="18"/>
                <w:szCs w:val="18"/>
                <w:lang w:val="ru-RU"/>
              </w:rPr>
              <w:t>14,27</w:t>
            </w:r>
          </w:p>
        </w:tc>
      </w:tr>
    </w:tbl>
    <w:p w14:paraId="669E721F" w14:textId="6CFDB178" w:rsidR="00F856AB" w:rsidRPr="00C57968" w:rsidRDefault="001C35C8" w:rsidP="00200218">
      <w:pPr>
        <w:pStyle w:val="Headingb"/>
      </w:pPr>
      <w:r w:rsidRPr="00C57968">
        <w:t>B)</w:t>
      </w:r>
      <w:r w:rsidRPr="00C57968">
        <w:tab/>
      </w:r>
      <w:r w:rsidR="00F856AB" w:rsidRPr="00C57968">
        <w:t>Заявки в процессе обработки</w:t>
      </w:r>
      <w:r w:rsidR="00F856AB" w:rsidRPr="00C57968">
        <w:rPr>
          <w:bCs/>
          <w:position w:val="6"/>
          <w:sz w:val="16"/>
          <w:szCs w:val="16"/>
        </w:rPr>
        <w:t>*</w:t>
      </w:r>
    </w:p>
    <w:tbl>
      <w:tblPr>
        <w:tblStyle w:val="TableGrid"/>
        <w:tblW w:w="5000" w:type="pct"/>
        <w:shd w:val="clear" w:color="auto" w:fill="002060"/>
        <w:tblLayout w:type="fixed"/>
        <w:tblLook w:val="04A0" w:firstRow="1" w:lastRow="0" w:firstColumn="1" w:lastColumn="0" w:noHBand="0" w:noVBand="1"/>
      </w:tblPr>
      <w:tblGrid>
        <w:gridCol w:w="979"/>
        <w:gridCol w:w="1568"/>
        <w:gridCol w:w="709"/>
        <w:gridCol w:w="995"/>
        <w:gridCol w:w="710"/>
        <w:gridCol w:w="1133"/>
        <w:gridCol w:w="11"/>
        <w:gridCol w:w="986"/>
        <w:gridCol w:w="991"/>
        <w:gridCol w:w="979"/>
      </w:tblGrid>
      <w:tr w:rsidR="001612FB" w:rsidRPr="00C57968" w14:paraId="7E33B2A6" w14:textId="77777777" w:rsidTr="00C57968">
        <w:tc>
          <w:tcPr>
            <w:tcW w:w="5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AE927F" w14:textId="77777777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t>Номер</w:t>
            </w: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br/>
              <w:t>заявки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736DBF1" w14:textId="77777777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EA0832B" w14:textId="77777777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t>Тип</w:t>
            </w: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br/>
              <w:t>орбиты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ED4E18F" w14:textId="77777777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pacing w:val="-4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Calibri"/>
                <w:color w:val="FFFFFF" w:themeColor="background1"/>
                <w:spacing w:val="-4"/>
                <w:sz w:val="18"/>
                <w:szCs w:val="18"/>
                <w:lang w:val="ru-RU"/>
              </w:rPr>
              <w:t>Дата</w:t>
            </w:r>
            <w:r w:rsidRPr="00C57968">
              <w:rPr>
                <w:rFonts w:eastAsia="Times New Roman" w:cs="Calibri"/>
                <w:color w:val="FFFFFF" w:themeColor="background1"/>
                <w:spacing w:val="-4"/>
                <w:sz w:val="18"/>
                <w:szCs w:val="18"/>
                <w:lang w:val="ru-RU"/>
              </w:rPr>
              <w:br/>
              <w:t>получения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7DE1C17" w14:textId="77777777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t>Тип</w:t>
            </w: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br/>
              <w:t>заявки</w:t>
            </w:r>
          </w:p>
        </w:tc>
        <w:tc>
          <w:tcPr>
            <w:tcW w:w="6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EE882FC" w14:textId="77777777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t>Номер</w:t>
            </w: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br/>
              <w:t>публикации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8F5D537" w14:textId="77777777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color w:val="FFFFFF" w:themeColor="background1"/>
                <w:sz w:val="18"/>
                <w:szCs w:val="18"/>
                <w:lang w:val="ru-RU"/>
              </w:rPr>
              <w:t>№</w:t>
            </w: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br/>
              <w:t>ИФИК</w:t>
            </w:r>
            <w:r w:rsidRPr="00C57968"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  <w:br/>
              <w:t>БР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A016662" w14:textId="59FBFD38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bCs/>
                <w:color w:val="FFFFFF" w:themeColor="background1"/>
                <w:sz w:val="18"/>
                <w:szCs w:val="18"/>
                <w:lang w:val="ru-RU"/>
              </w:rPr>
              <w:t>Дата публи-кации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2C1C1C7" w14:textId="77777777" w:rsidR="001612FB" w:rsidRPr="00C57968" w:rsidRDefault="001612FB" w:rsidP="006E2CE2">
            <w:pPr>
              <w:pStyle w:val="Tablehead"/>
              <w:ind w:left="-57" w:right="-57"/>
              <w:rPr>
                <w:rFonts w:eastAsia="Times New Roman" w:cs="Calibri"/>
                <w:color w:val="FFFFFF" w:themeColor="background1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bCs/>
                <w:color w:val="FFFFFF" w:themeColor="background1"/>
                <w:spacing w:val="-6"/>
                <w:sz w:val="18"/>
                <w:szCs w:val="18"/>
                <w:lang w:val="ru-RU"/>
              </w:rPr>
              <w:t>Время обработки</w:t>
            </w:r>
            <w:r w:rsidRPr="00C57968">
              <w:rPr>
                <w:rFonts w:cs="Calibri"/>
                <w:bCs/>
                <w:color w:val="FFFFFF" w:themeColor="background1"/>
                <w:sz w:val="18"/>
                <w:szCs w:val="18"/>
                <w:lang w:val="ru-RU"/>
              </w:rPr>
              <w:t xml:space="preserve"> (месяцы)</w:t>
            </w:r>
          </w:p>
        </w:tc>
      </w:tr>
      <w:tr w:rsidR="00D20CD1" w:rsidRPr="00C57968" w14:paraId="5C69A8BD" w14:textId="77777777" w:rsidTr="00C57968">
        <w:tblPrEx>
          <w:shd w:val="clear" w:color="auto" w:fill="auto"/>
        </w:tblPrEx>
        <w:tc>
          <w:tcPr>
            <w:tcW w:w="541" w:type="pct"/>
          </w:tcPr>
          <w:p w14:paraId="579F30D6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125520067</w:t>
            </w:r>
          </w:p>
        </w:tc>
        <w:tc>
          <w:tcPr>
            <w:tcW w:w="865" w:type="pct"/>
          </w:tcPr>
          <w:p w14:paraId="11216912" w14:textId="77777777" w:rsidR="00D20CD1" w:rsidRPr="00C57968" w:rsidRDefault="00D20CD1" w:rsidP="007B43E1">
            <w:pPr>
              <w:pStyle w:val="Tabletext"/>
              <w:ind w:left="-57" w:right="-113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ARABSAT-12F-44.5E</w:t>
            </w:r>
          </w:p>
        </w:tc>
        <w:tc>
          <w:tcPr>
            <w:tcW w:w="391" w:type="pct"/>
          </w:tcPr>
          <w:p w14:paraId="49C89D86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ГСО</w:t>
            </w:r>
          </w:p>
        </w:tc>
        <w:tc>
          <w:tcPr>
            <w:tcW w:w="549" w:type="pct"/>
          </w:tcPr>
          <w:p w14:paraId="304FEA2F" w14:textId="5C2FAA0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pacing w:val="-8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pacing w:val="-8"/>
                <w:sz w:val="18"/>
                <w:szCs w:val="18"/>
                <w:lang w:val="ru-RU"/>
              </w:rPr>
              <w:t>20.05.2025 г.</w:t>
            </w:r>
          </w:p>
        </w:tc>
        <w:tc>
          <w:tcPr>
            <w:tcW w:w="392" w:type="pct"/>
          </w:tcPr>
          <w:p w14:paraId="04D7D203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CR/C</w:t>
            </w:r>
          </w:p>
        </w:tc>
        <w:tc>
          <w:tcPr>
            <w:tcW w:w="625" w:type="pct"/>
          </w:tcPr>
          <w:p w14:paraId="66A074C2" w14:textId="0B59DC80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50" w:type="pct"/>
            <w:gridSpan w:val="2"/>
          </w:tcPr>
          <w:p w14:paraId="34AC351B" w14:textId="3781A6C5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47" w:type="pct"/>
          </w:tcPr>
          <w:p w14:paraId="4D7E2599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В процессе обработки</w:t>
            </w:r>
          </w:p>
        </w:tc>
        <w:tc>
          <w:tcPr>
            <w:tcW w:w="540" w:type="pct"/>
          </w:tcPr>
          <w:p w14:paraId="7B7541C9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10,8</w:t>
            </w:r>
          </w:p>
        </w:tc>
      </w:tr>
      <w:tr w:rsidR="00D20CD1" w:rsidRPr="00C57968" w14:paraId="69732A52" w14:textId="77777777" w:rsidTr="00C57968">
        <w:tblPrEx>
          <w:shd w:val="clear" w:color="auto" w:fill="auto"/>
        </w:tblPrEx>
        <w:tc>
          <w:tcPr>
            <w:tcW w:w="541" w:type="pct"/>
          </w:tcPr>
          <w:p w14:paraId="5C7B4A14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125520066</w:t>
            </w:r>
          </w:p>
        </w:tc>
        <w:tc>
          <w:tcPr>
            <w:tcW w:w="865" w:type="pct"/>
          </w:tcPr>
          <w:p w14:paraId="00D5BEEE" w14:textId="77777777" w:rsidR="00D20CD1" w:rsidRPr="00C57968" w:rsidRDefault="00D20CD1" w:rsidP="007B43E1">
            <w:pPr>
              <w:pStyle w:val="Tabletext"/>
              <w:ind w:left="-57" w:right="-113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ARABSAT-12G-1E</w:t>
            </w:r>
          </w:p>
        </w:tc>
        <w:tc>
          <w:tcPr>
            <w:tcW w:w="391" w:type="pct"/>
          </w:tcPr>
          <w:p w14:paraId="230A65E3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ГСО</w:t>
            </w:r>
          </w:p>
        </w:tc>
        <w:tc>
          <w:tcPr>
            <w:tcW w:w="549" w:type="pct"/>
          </w:tcPr>
          <w:p w14:paraId="60F37C7F" w14:textId="3450A2ED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pacing w:val="-8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pacing w:val="-8"/>
                <w:sz w:val="18"/>
                <w:szCs w:val="18"/>
                <w:lang w:val="ru-RU"/>
              </w:rPr>
              <w:t>20.05.2025 г.</w:t>
            </w:r>
          </w:p>
        </w:tc>
        <w:tc>
          <w:tcPr>
            <w:tcW w:w="392" w:type="pct"/>
          </w:tcPr>
          <w:p w14:paraId="77FC00F8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CR/C</w:t>
            </w:r>
          </w:p>
        </w:tc>
        <w:tc>
          <w:tcPr>
            <w:tcW w:w="625" w:type="pct"/>
          </w:tcPr>
          <w:p w14:paraId="19BE10C0" w14:textId="15606A6B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50" w:type="pct"/>
            <w:gridSpan w:val="2"/>
          </w:tcPr>
          <w:p w14:paraId="2B954388" w14:textId="2DA430D0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47" w:type="pct"/>
          </w:tcPr>
          <w:p w14:paraId="184C9193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В процессе обработки</w:t>
            </w:r>
          </w:p>
        </w:tc>
        <w:tc>
          <w:tcPr>
            <w:tcW w:w="540" w:type="pct"/>
          </w:tcPr>
          <w:p w14:paraId="4C796DB9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10,8</w:t>
            </w:r>
          </w:p>
        </w:tc>
      </w:tr>
      <w:tr w:rsidR="00D20CD1" w:rsidRPr="00C57968" w14:paraId="077B7305" w14:textId="77777777" w:rsidTr="00C57968">
        <w:tblPrEx>
          <w:shd w:val="clear" w:color="auto" w:fill="auto"/>
        </w:tblPrEx>
        <w:tc>
          <w:tcPr>
            <w:tcW w:w="541" w:type="pct"/>
          </w:tcPr>
          <w:p w14:paraId="022B7D03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125520065</w:t>
            </w:r>
          </w:p>
        </w:tc>
        <w:tc>
          <w:tcPr>
            <w:tcW w:w="865" w:type="pct"/>
          </w:tcPr>
          <w:p w14:paraId="59677ACF" w14:textId="77777777" w:rsidR="00D20CD1" w:rsidRPr="00C57968" w:rsidRDefault="00D20CD1" w:rsidP="007B43E1">
            <w:pPr>
              <w:pStyle w:val="Tabletext"/>
              <w:ind w:left="-57" w:right="-113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ARABSAT-12N-14.7E</w:t>
            </w:r>
          </w:p>
        </w:tc>
        <w:tc>
          <w:tcPr>
            <w:tcW w:w="391" w:type="pct"/>
          </w:tcPr>
          <w:p w14:paraId="71DF432C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ГСО</w:t>
            </w:r>
          </w:p>
        </w:tc>
        <w:tc>
          <w:tcPr>
            <w:tcW w:w="549" w:type="pct"/>
          </w:tcPr>
          <w:p w14:paraId="1D20D603" w14:textId="23121D02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pacing w:val="-8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pacing w:val="-8"/>
                <w:sz w:val="18"/>
                <w:szCs w:val="18"/>
                <w:lang w:val="ru-RU"/>
              </w:rPr>
              <w:t>20.05.2025 г.</w:t>
            </w:r>
          </w:p>
        </w:tc>
        <w:tc>
          <w:tcPr>
            <w:tcW w:w="392" w:type="pct"/>
          </w:tcPr>
          <w:p w14:paraId="0FBF01A4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CR/C</w:t>
            </w:r>
          </w:p>
        </w:tc>
        <w:tc>
          <w:tcPr>
            <w:tcW w:w="625" w:type="pct"/>
          </w:tcPr>
          <w:p w14:paraId="2DAEAE2C" w14:textId="47B4F37E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50" w:type="pct"/>
            <w:gridSpan w:val="2"/>
          </w:tcPr>
          <w:p w14:paraId="215C8D4D" w14:textId="5CCDA925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47" w:type="pct"/>
          </w:tcPr>
          <w:p w14:paraId="76A5891A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В процессе обработки</w:t>
            </w:r>
          </w:p>
        </w:tc>
        <w:tc>
          <w:tcPr>
            <w:tcW w:w="540" w:type="pct"/>
          </w:tcPr>
          <w:p w14:paraId="4789AB3F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10,8</w:t>
            </w:r>
          </w:p>
        </w:tc>
      </w:tr>
      <w:tr w:rsidR="00D20CD1" w:rsidRPr="00C57968" w14:paraId="4CEC52E3" w14:textId="77777777" w:rsidTr="00C57968">
        <w:tblPrEx>
          <w:shd w:val="clear" w:color="auto" w:fill="auto"/>
        </w:tblPrEx>
        <w:tc>
          <w:tcPr>
            <w:tcW w:w="541" w:type="pct"/>
          </w:tcPr>
          <w:p w14:paraId="25F84635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125520064</w:t>
            </w:r>
          </w:p>
        </w:tc>
        <w:tc>
          <w:tcPr>
            <w:tcW w:w="865" w:type="pct"/>
          </w:tcPr>
          <w:p w14:paraId="40AA2C5B" w14:textId="77777777" w:rsidR="00D20CD1" w:rsidRPr="00C57968" w:rsidRDefault="00D20CD1" w:rsidP="007B43E1">
            <w:pPr>
              <w:pStyle w:val="Tabletext"/>
              <w:ind w:left="-57" w:right="-113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ARABSAT-12Q-58.5E</w:t>
            </w:r>
          </w:p>
        </w:tc>
        <w:tc>
          <w:tcPr>
            <w:tcW w:w="391" w:type="pct"/>
          </w:tcPr>
          <w:p w14:paraId="5B747560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ГСО</w:t>
            </w:r>
          </w:p>
        </w:tc>
        <w:tc>
          <w:tcPr>
            <w:tcW w:w="549" w:type="pct"/>
          </w:tcPr>
          <w:p w14:paraId="1DC7C74F" w14:textId="6A216E08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pacing w:val="-8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pacing w:val="-8"/>
                <w:sz w:val="18"/>
                <w:szCs w:val="18"/>
                <w:lang w:val="ru-RU"/>
              </w:rPr>
              <w:t>20.05.2025 г.</w:t>
            </w:r>
          </w:p>
        </w:tc>
        <w:tc>
          <w:tcPr>
            <w:tcW w:w="392" w:type="pct"/>
          </w:tcPr>
          <w:p w14:paraId="1435D69A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CR/C</w:t>
            </w:r>
          </w:p>
        </w:tc>
        <w:tc>
          <w:tcPr>
            <w:tcW w:w="625" w:type="pct"/>
          </w:tcPr>
          <w:p w14:paraId="70768E8F" w14:textId="5CB634E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50" w:type="pct"/>
            <w:gridSpan w:val="2"/>
          </w:tcPr>
          <w:p w14:paraId="0F480222" w14:textId="787B6160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47" w:type="pct"/>
          </w:tcPr>
          <w:p w14:paraId="58868155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В процессе обработки</w:t>
            </w:r>
          </w:p>
        </w:tc>
        <w:tc>
          <w:tcPr>
            <w:tcW w:w="540" w:type="pct"/>
          </w:tcPr>
          <w:p w14:paraId="3B1C6F73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10,8</w:t>
            </w:r>
          </w:p>
        </w:tc>
      </w:tr>
      <w:tr w:rsidR="00D20CD1" w:rsidRPr="00C57968" w14:paraId="256386F8" w14:textId="77777777" w:rsidTr="00C57968">
        <w:tblPrEx>
          <w:shd w:val="clear" w:color="auto" w:fill="auto"/>
        </w:tblPrEx>
        <w:tc>
          <w:tcPr>
            <w:tcW w:w="541" w:type="pct"/>
          </w:tcPr>
          <w:p w14:paraId="2134AC94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125520063</w:t>
            </w:r>
          </w:p>
        </w:tc>
        <w:tc>
          <w:tcPr>
            <w:tcW w:w="865" w:type="pct"/>
          </w:tcPr>
          <w:p w14:paraId="7CCD62A2" w14:textId="77777777" w:rsidR="00D20CD1" w:rsidRPr="00C57968" w:rsidRDefault="00D20CD1" w:rsidP="007B43E1">
            <w:pPr>
              <w:pStyle w:val="Tabletext"/>
              <w:ind w:left="-57" w:right="-113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ARABSAT-12Y-9W</w:t>
            </w:r>
          </w:p>
        </w:tc>
        <w:tc>
          <w:tcPr>
            <w:tcW w:w="391" w:type="pct"/>
          </w:tcPr>
          <w:p w14:paraId="6E4DDBE2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ГСО</w:t>
            </w:r>
          </w:p>
        </w:tc>
        <w:tc>
          <w:tcPr>
            <w:tcW w:w="549" w:type="pct"/>
          </w:tcPr>
          <w:p w14:paraId="3BF950D5" w14:textId="1DEAD83C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pacing w:val="-8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pacing w:val="-8"/>
                <w:sz w:val="18"/>
                <w:szCs w:val="18"/>
                <w:lang w:val="ru-RU"/>
              </w:rPr>
              <w:t>20.05.2025 г.</w:t>
            </w:r>
          </w:p>
        </w:tc>
        <w:tc>
          <w:tcPr>
            <w:tcW w:w="392" w:type="pct"/>
          </w:tcPr>
          <w:p w14:paraId="669ECC39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CR/C</w:t>
            </w:r>
          </w:p>
        </w:tc>
        <w:tc>
          <w:tcPr>
            <w:tcW w:w="625" w:type="pct"/>
          </w:tcPr>
          <w:p w14:paraId="750DA688" w14:textId="27339D39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50" w:type="pct"/>
            <w:gridSpan w:val="2"/>
          </w:tcPr>
          <w:p w14:paraId="27BAAAF7" w14:textId="0F7C5BB1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47" w:type="pct"/>
          </w:tcPr>
          <w:p w14:paraId="3F3D8D70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В процессе обработки</w:t>
            </w:r>
          </w:p>
        </w:tc>
        <w:tc>
          <w:tcPr>
            <w:tcW w:w="540" w:type="pct"/>
          </w:tcPr>
          <w:p w14:paraId="3767D502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10,8</w:t>
            </w:r>
          </w:p>
        </w:tc>
      </w:tr>
      <w:tr w:rsidR="00D20CD1" w:rsidRPr="00C57968" w14:paraId="62B16D2E" w14:textId="77777777" w:rsidTr="00C57968">
        <w:tblPrEx>
          <w:shd w:val="clear" w:color="auto" w:fill="auto"/>
        </w:tblPrEx>
        <w:tc>
          <w:tcPr>
            <w:tcW w:w="541" w:type="pct"/>
          </w:tcPr>
          <w:p w14:paraId="763D9861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125520062</w:t>
            </w:r>
          </w:p>
        </w:tc>
        <w:tc>
          <w:tcPr>
            <w:tcW w:w="865" w:type="pct"/>
          </w:tcPr>
          <w:p w14:paraId="340BBB99" w14:textId="77777777" w:rsidR="00D20CD1" w:rsidRPr="00C57968" w:rsidRDefault="00D20CD1" w:rsidP="007B43E1">
            <w:pPr>
              <w:pStyle w:val="Tabletext"/>
              <w:ind w:left="-57" w:right="-113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ARABSAT-12P-67.5E</w:t>
            </w:r>
          </w:p>
        </w:tc>
        <w:tc>
          <w:tcPr>
            <w:tcW w:w="391" w:type="pct"/>
          </w:tcPr>
          <w:p w14:paraId="4128A7E3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ГСО</w:t>
            </w:r>
          </w:p>
        </w:tc>
        <w:tc>
          <w:tcPr>
            <w:tcW w:w="549" w:type="pct"/>
          </w:tcPr>
          <w:p w14:paraId="4FBD77FF" w14:textId="3589A105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pacing w:val="-8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pacing w:val="-8"/>
                <w:sz w:val="18"/>
                <w:szCs w:val="18"/>
                <w:lang w:val="ru-RU"/>
              </w:rPr>
              <w:t>20.05.2025 г.</w:t>
            </w:r>
          </w:p>
        </w:tc>
        <w:tc>
          <w:tcPr>
            <w:tcW w:w="392" w:type="pct"/>
          </w:tcPr>
          <w:p w14:paraId="32B144E2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CR/C</w:t>
            </w:r>
          </w:p>
        </w:tc>
        <w:tc>
          <w:tcPr>
            <w:tcW w:w="625" w:type="pct"/>
          </w:tcPr>
          <w:p w14:paraId="55AC645F" w14:textId="1F8B3AF2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50" w:type="pct"/>
            <w:gridSpan w:val="2"/>
          </w:tcPr>
          <w:p w14:paraId="51937B49" w14:textId="2B4202F8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47" w:type="pct"/>
          </w:tcPr>
          <w:p w14:paraId="21ED7324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В процессе обработки</w:t>
            </w:r>
          </w:p>
        </w:tc>
        <w:tc>
          <w:tcPr>
            <w:tcW w:w="540" w:type="pct"/>
          </w:tcPr>
          <w:p w14:paraId="2D66FAD4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10,8</w:t>
            </w:r>
          </w:p>
        </w:tc>
      </w:tr>
      <w:tr w:rsidR="00D20CD1" w:rsidRPr="00C57968" w14:paraId="53BE6C5C" w14:textId="77777777" w:rsidTr="00C57968">
        <w:tblPrEx>
          <w:shd w:val="clear" w:color="auto" w:fill="auto"/>
        </w:tblPrEx>
        <w:tc>
          <w:tcPr>
            <w:tcW w:w="541" w:type="pct"/>
          </w:tcPr>
          <w:p w14:paraId="4BB67991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125520159</w:t>
            </w:r>
          </w:p>
        </w:tc>
        <w:tc>
          <w:tcPr>
            <w:tcW w:w="865" w:type="pct"/>
          </w:tcPr>
          <w:p w14:paraId="3262932F" w14:textId="77777777" w:rsidR="00D20CD1" w:rsidRPr="00C57968" w:rsidRDefault="00D20CD1" w:rsidP="007B43E1">
            <w:pPr>
              <w:pStyle w:val="Tabletext"/>
              <w:ind w:left="-57" w:right="-113"/>
              <w:rPr>
                <w:rFonts w:cs="Calibri"/>
                <w:spacing w:val="-4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pacing w:val="-4"/>
                <w:sz w:val="18"/>
                <w:szCs w:val="18"/>
                <w:lang w:val="ru-RU"/>
              </w:rPr>
              <w:t>SAUDISAT_19E_A</w:t>
            </w:r>
          </w:p>
        </w:tc>
        <w:tc>
          <w:tcPr>
            <w:tcW w:w="391" w:type="pct"/>
          </w:tcPr>
          <w:p w14:paraId="0AB52DF2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ГСО</w:t>
            </w:r>
          </w:p>
        </w:tc>
        <w:tc>
          <w:tcPr>
            <w:tcW w:w="549" w:type="pct"/>
          </w:tcPr>
          <w:p w14:paraId="63B05568" w14:textId="143DC5E5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pacing w:val="-8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pacing w:val="-8"/>
                <w:sz w:val="18"/>
                <w:szCs w:val="18"/>
                <w:lang w:val="ru-RU"/>
              </w:rPr>
              <w:t>13.11.2025 г.</w:t>
            </w:r>
          </w:p>
        </w:tc>
        <w:tc>
          <w:tcPr>
            <w:tcW w:w="392" w:type="pct"/>
          </w:tcPr>
          <w:p w14:paraId="7EC97555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CR/C</w:t>
            </w:r>
          </w:p>
        </w:tc>
        <w:tc>
          <w:tcPr>
            <w:tcW w:w="625" w:type="pct"/>
          </w:tcPr>
          <w:p w14:paraId="11A73611" w14:textId="16BA7299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50" w:type="pct"/>
            <w:gridSpan w:val="2"/>
          </w:tcPr>
          <w:p w14:paraId="56D1EB23" w14:textId="18BC6FC4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Не опублико-вана</w:t>
            </w:r>
          </w:p>
        </w:tc>
        <w:tc>
          <w:tcPr>
            <w:tcW w:w="547" w:type="pct"/>
          </w:tcPr>
          <w:p w14:paraId="4E368A10" w14:textId="77777777" w:rsidR="00D20CD1" w:rsidRPr="00C57968" w:rsidRDefault="00D20CD1" w:rsidP="00547E01">
            <w:pPr>
              <w:pStyle w:val="Tabletext"/>
              <w:ind w:left="-57" w:right="-57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В процессе обработки</w:t>
            </w:r>
          </w:p>
        </w:tc>
        <w:tc>
          <w:tcPr>
            <w:tcW w:w="540" w:type="pct"/>
          </w:tcPr>
          <w:p w14:paraId="1D5B5451" w14:textId="77777777" w:rsidR="00D20CD1" w:rsidRPr="00C57968" w:rsidRDefault="00D20CD1" w:rsidP="00C57968">
            <w:pPr>
              <w:pStyle w:val="Tabletext"/>
              <w:ind w:left="-57" w:right="-57"/>
              <w:jc w:val="center"/>
              <w:rPr>
                <w:rFonts w:cs="Calibri"/>
                <w:sz w:val="18"/>
                <w:szCs w:val="18"/>
                <w:lang w:val="ru-RU"/>
              </w:rPr>
            </w:pPr>
            <w:r w:rsidRPr="00C57968">
              <w:rPr>
                <w:rFonts w:cs="Calibri"/>
                <w:sz w:val="18"/>
                <w:szCs w:val="18"/>
                <w:lang w:val="ru-RU"/>
              </w:rPr>
              <w:t>4,9</w:t>
            </w:r>
          </w:p>
        </w:tc>
      </w:tr>
    </w:tbl>
    <w:p w14:paraId="7EED9090" w14:textId="1E6B383F" w:rsidR="00F856AB" w:rsidRPr="00C57968" w:rsidRDefault="00F856AB" w:rsidP="004C5491">
      <w:pPr>
        <w:pStyle w:val="Tablelegend"/>
        <w:ind w:left="284" w:hanging="284"/>
        <w:rPr>
          <w:lang w:val="ru-RU"/>
        </w:rPr>
      </w:pPr>
      <w:r w:rsidRPr="00C57968">
        <w:rPr>
          <w:position w:val="6"/>
          <w:sz w:val="16"/>
          <w:szCs w:val="16"/>
          <w:lang w:val="ru-RU"/>
        </w:rPr>
        <w:t>*</w:t>
      </w:r>
      <w:r w:rsidRPr="00C57968">
        <w:rPr>
          <w:lang w:val="ru-RU"/>
        </w:rPr>
        <w:tab/>
        <w:t>Поскольку заявки все еще находятся в процессе обработки, время обработки указано по состоянию на апрель 2026</w:t>
      </w:r>
      <w:r w:rsidR="004C5491" w:rsidRPr="00C57968">
        <w:rPr>
          <w:lang w:val="ru-RU"/>
        </w:rPr>
        <w:t> </w:t>
      </w:r>
      <w:r w:rsidRPr="00C57968">
        <w:rPr>
          <w:lang w:val="ru-RU"/>
        </w:rPr>
        <w:t>года.</w:t>
      </w:r>
    </w:p>
    <w:p w14:paraId="2EE2BFAF" w14:textId="43AD580C" w:rsidR="004C5491" w:rsidRPr="00C57968" w:rsidRDefault="004C549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 w:val="18"/>
          <w:szCs w:val="24"/>
          <w:lang w:val="ru-RU"/>
        </w:rPr>
      </w:pPr>
    </w:p>
    <w:p w14:paraId="7ACFD214" w14:textId="290F9F1A" w:rsidR="00F856AB" w:rsidRPr="00C57968" w:rsidRDefault="00F856AB" w:rsidP="00200218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В Таблице</w:t>
      </w:r>
      <w:r w:rsidR="004C5491" w:rsidRPr="00C57968">
        <w:rPr>
          <w:lang w:val="ru-RU"/>
        </w:rPr>
        <w:t> </w:t>
      </w:r>
      <w:r w:rsidRPr="00C57968">
        <w:rPr>
          <w:lang w:val="ru-RU"/>
        </w:rPr>
        <w:t xml:space="preserve">1 приводятся дополнительные практические примеры, показывающие, что как опубликованные, так и находящиеся на рассмотрении заявки сопряжены со значительными задержками; это подтверждает, что проблема сохраняется и затрагивает весь цикл обработки. Эти задержки имеют прямые регламентарные последствия, в частности сокращают время, которым располагают администрации и операторы для завершения процедур координации и ввода сетей в действие в требуемые сроки, что повышает риск несоблюдения требований. </w:t>
      </w:r>
      <w:r w:rsidRPr="00C57968">
        <w:rPr>
          <w:lang w:val="ru-RU"/>
        </w:rPr>
        <w:lastRenderedPageBreak/>
        <w:t>Это</w:t>
      </w:r>
      <w:r w:rsidR="004C5491" w:rsidRPr="00C57968">
        <w:rPr>
          <w:lang w:val="ru-RU"/>
        </w:rPr>
        <w:t> </w:t>
      </w:r>
      <w:r w:rsidRPr="00C57968">
        <w:rPr>
          <w:lang w:val="ru-RU"/>
        </w:rPr>
        <w:t>также воздействует на эксплуатационные и инвестиционные аспекты, включая задержки в планах развертывания, сокращение возможностей для координации и возрастающую неопределенность из-за меняющихся технических и регламентарных условий.</w:t>
      </w:r>
    </w:p>
    <w:p w14:paraId="11BB4D84" w14:textId="503FBDF2" w:rsidR="00F856AB" w:rsidRPr="00C57968" w:rsidRDefault="00F856AB" w:rsidP="00200218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C57968">
        <w:rPr>
          <w:lang w:val="ru-RU"/>
        </w:rPr>
        <w:t>В финансовом отношении доходы будущих периодов достигли значительных объемов, при этом в отношении множества заявок счета еще не выставлены, что непосредственно влияет на механизмы возмещения затрат. Кроме того, эти ограничения могут также повлиять на способность Бюро поддерживать другие виды деятельности в области радиосвязи, включая деятельность исследовательских комиссий и усилия по созданию потенциала. В целом, сложившаяся ситуация указывает на необходимость комплексного реагирования для решения как текущих проблем, так и ожидаемого дальнейшего роста спроса на орбитально-частотные</w:t>
      </w:r>
      <w:r w:rsidR="004C5491" w:rsidRPr="00C57968">
        <w:rPr>
          <w:lang w:val="ru-RU"/>
        </w:rPr>
        <w:t> </w:t>
      </w:r>
      <w:r w:rsidRPr="00C57968">
        <w:rPr>
          <w:lang w:val="ru-RU"/>
        </w:rPr>
        <w:t>ресурсы.</w:t>
      </w:r>
    </w:p>
    <w:p w14:paraId="59998B5B" w14:textId="77777777" w:rsidR="00F856AB" w:rsidRPr="00C57968" w:rsidRDefault="00F856AB" w:rsidP="00200218">
      <w:pPr>
        <w:pStyle w:val="Headingb"/>
        <w:rPr>
          <w:rFonts w:asciiTheme="minorHAnsi" w:hAnsiTheme="minorHAnsi" w:cstheme="minorHAnsi"/>
          <w:szCs w:val="24"/>
        </w:rPr>
      </w:pPr>
      <w:r w:rsidRPr="00C57968">
        <w:t>Предложение</w:t>
      </w:r>
    </w:p>
    <w:p w14:paraId="72840A0E" w14:textId="77777777" w:rsidR="00F856AB" w:rsidRPr="00C57968" w:rsidRDefault="00F856AB" w:rsidP="00200218">
      <w:pPr>
        <w:pStyle w:val="Reasons"/>
        <w:spacing w:after="120"/>
        <w:jc w:val="both"/>
        <w:rPr>
          <w:lang w:val="ru-RU"/>
        </w:rPr>
      </w:pPr>
      <w:r w:rsidRPr="00C57968">
        <w:rPr>
          <w:lang w:val="ru-RU"/>
        </w:rPr>
        <w:t>В свете вышеизложенного Совету предлагается следующее.</w:t>
      </w:r>
    </w:p>
    <w:p w14:paraId="4E82BFC9" w14:textId="5DCC7106" w:rsidR="00F856AB" w:rsidRPr="00C57968" w:rsidRDefault="00F856AB" w:rsidP="00200218">
      <w:pPr>
        <w:pStyle w:val="enumlev1"/>
        <w:jc w:val="both"/>
        <w:rPr>
          <w:lang w:val="ru-RU"/>
        </w:rPr>
      </w:pPr>
      <w:r w:rsidRPr="00C57968">
        <w:rPr>
          <w:lang w:val="ru-RU"/>
        </w:rPr>
        <w:t>1</w:t>
      </w:r>
      <w:r w:rsidR="0057238F">
        <w:rPr>
          <w:lang w:val="ru-RU"/>
        </w:rPr>
        <w:t>)</w:t>
      </w:r>
      <w:r w:rsidRPr="00C57968">
        <w:rPr>
          <w:lang w:val="ru-RU"/>
        </w:rPr>
        <w:tab/>
        <w:t>Обеспечить, чтобы все затраты, связанные с обработкой заявок на регистрацию спутниковых сетей, возмещались за счет самих сборов за обработку заявок на регистрацию спутниковых сетей, и, таким образом, в соответствии с Резолюцией</w:t>
      </w:r>
      <w:r w:rsidR="004C5491" w:rsidRPr="00C57968">
        <w:rPr>
          <w:lang w:val="ru-RU"/>
        </w:rPr>
        <w:t> </w:t>
      </w:r>
      <w:r w:rsidRPr="00C57968">
        <w:rPr>
          <w:lang w:val="ru-RU"/>
        </w:rPr>
        <w:t>91 ПК обеспечивать обслуживание без привлечения других ресурсов МСЭ</w:t>
      </w:r>
    </w:p>
    <w:p w14:paraId="09044FE0" w14:textId="4AAB9D23" w:rsidR="00F856AB" w:rsidRPr="00C57968" w:rsidRDefault="00F856AB" w:rsidP="00200218">
      <w:pPr>
        <w:pStyle w:val="enumlev1"/>
        <w:jc w:val="both"/>
        <w:rPr>
          <w:lang w:val="ru-RU"/>
        </w:rPr>
      </w:pPr>
      <w:r w:rsidRPr="00C57968">
        <w:rPr>
          <w:lang w:val="ru-RU"/>
        </w:rPr>
        <w:t>2</w:t>
      </w:r>
      <w:r w:rsidR="0057238F">
        <w:rPr>
          <w:lang w:val="ru-RU"/>
        </w:rPr>
        <w:t>)</w:t>
      </w:r>
      <w:r w:rsidRPr="00C57968">
        <w:rPr>
          <w:lang w:val="ru-RU"/>
        </w:rPr>
        <w:tab/>
        <w:t>Обеспечить, чтобы распределение косвенных затрат оставалось определенно относимым к конкретным видам деятельности и пропорциональным, а также сопровождалось поддающимися проверке методиками распределения в соответствии с принципами, установленными в Резолюции</w:t>
      </w:r>
      <w:r w:rsidR="004C5491" w:rsidRPr="00C57968">
        <w:rPr>
          <w:lang w:val="ru-RU"/>
        </w:rPr>
        <w:t> </w:t>
      </w:r>
      <w:r w:rsidRPr="00C57968">
        <w:rPr>
          <w:lang w:val="ru-RU"/>
        </w:rPr>
        <w:t>91 ПК.</w:t>
      </w:r>
    </w:p>
    <w:p w14:paraId="0578ED4A" w14:textId="3A971EF7" w:rsidR="00F856AB" w:rsidRPr="00C57968" w:rsidRDefault="00F856AB" w:rsidP="00200218">
      <w:pPr>
        <w:pStyle w:val="enumlev1"/>
        <w:jc w:val="both"/>
        <w:rPr>
          <w:lang w:val="ru-RU"/>
        </w:rPr>
      </w:pPr>
      <w:r w:rsidRPr="00C57968">
        <w:rPr>
          <w:lang w:val="ru-RU"/>
        </w:rPr>
        <w:t>3</w:t>
      </w:r>
      <w:r w:rsidR="0057238F">
        <w:rPr>
          <w:lang w:val="ru-RU"/>
        </w:rPr>
        <w:t>)</w:t>
      </w:r>
      <w:r w:rsidRPr="00C57968">
        <w:rPr>
          <w:lang w:val="ru-RU"/>
        </w:rPr>
        <w:tab/>
        <w:t>Обеспечить, чтобы любые изменения в системе бесплатных публикаций были целенаправленными и пропорциональными, с тем чтобы бороться с возможными злоупотреблениями параллельно с сохранением справедливого доступа.</w:t>
      </w:r>
    </w:p>
    <w:p w14:paraId="0B33EA1B" w14:textId="615F41CC" w:rsidR="00F856AB" w:rsidRPr="00C57968" w:rsidRDefault="00F856AB" w:rsidP="00200218">
      <w:pPr>
        <w:pStyle w:val="enumlev1"/>
        <w:jc w:val="both"/>
        <w:rPr>
          <w:lang w:val="ru-RU"/>
        </w:rPr>
      </w:pPr>
      <w:r w:rsidRPr="00C57968">
        <w:rPr>
          <w:lang w:val="ru-RU"/>
        </w:rPr>
        <w:t>4</w:t>
      </w:r>
      <w:r w:rsidR="0057238F">
        <w:rPr>
          <w:lang w:val="ru-RU"/>
        </w:rPr>
        <w:t>)</w:t>
      </w:r>
      <w:r w:rsidRPr="00C57968">
        <w:rPr>
          <w:lang w:val="ru-RU"/>
        </w:rPr>
        <w:tab/>
        <w:t>Предложить Секретариату продолжить совершенствование предлагаемой методики, которая сочетает определение затрат по направлениям деятельности с подробным анализом рабочей нагрузки, в целях повышения эффективности и обеспечения того, чтобы сборы отражали фактические усилия по обработке заявок различных категорий; также предоставить Совету расширенные вспомогательные данных по прогнозированию спроса, тенденциям в области заявок и динамике рабочей нагрузки, особенно в отношении крупных систем НГСО и в контексте недавних решений ВКР.</w:t>
      </w:r>
    </w:p>
    <w:p w14:paraId="61A8C674" w14:textId="37A51A5E" w:rsidR="00F856AB" w:rsidRPr="00C57968" w:rsidRDefault="00F856AB" w:rsidP="00200218">
      <w:pPr>
        <w:pStyle w:val="enumlev1"/>
        <w:jc w:val="both"/>
        <w:rPr>
          <w:lang w:val="ru-RU"/>
        </w:rPr>
      </w:pPr>
      <w:r w:rsidRPr="00C57968">
        <w:rPr>
          <w:lang w:val="ru-RU"/>
        </w:rPr>
        <w:t>5</w:t>
      </w:r>
      <w:r w:rsidR="0057238F">
        <w:rPr>
          <w:lang w:val="ru-RU"/>
        </w:rPr>
        <w:t>)</w:t>
      </w:r>
      <w:r w:rsidRPr="00C57968">
        <w:rPr>
          <w:lang w:val="ru-RU"/>
        </w:rPr>
        <w:tab/>
        <w:t>Рассмотреть возможность принятия надлежащих мер для решения проблемы, связанной с возрастающим воздействием на администрации задержек в обработке заявок на регистрацию спутниковых сетей, для обеспечения сохранения их возможности выполнять регламентарные требования, установленные в Регламенте</w:t>
      </w:r>
      <w:r w:rsidR="004C5491" w:rsidRPr="00C57968">
        <w:rPr>
          <w:lang w:val="ru-RU"/>
        </w:rPr>
        <w:t> </w:t>
      </w:r>
      <w:r w:rsidRPr="00C57968">
        <w:rPr>
          <w:lang w:val="ru-RU"/>
        </w:rPr>
        <w:t>радиосвязи.</w:t>
      </w:r>
    </w:p>
    <w:p w14:paraId="22D23645" w14:textId="1DC1C4B5" w:rsidR="00F856AB" w:rsidRPr="00C57968" w:rsidRDefault="00F856AB" w:rsidP="00F856AB">
      <w:pPr>
        <w:pStyle w:val="enumlev1"/>
        <w:rPr>
          <w:lang w:val="ru-RU"/>
        </w:rPr>
      </w:pPr>
      <w:r w:rsidRPr="00C57968">
        <w:rPr>
          <w:lang w:val="ru-RU"/>
        </w:rPr>
        <w:t>6</w:t>
      </w:r>
      <w:r w:rsidR="0057238F">
        <w:rPr>
          <w:lang w:val="ru-RU"/>
        </w:rPr>
        <w:t>)</w:t>
      </w:r>
      <w:r w:rsidRPr="00C57968">
        <w:rPr>
          <w:lang w:val="ru-RU"/>
        </w:rPr>
        <w:tab/>
        <w:t>Поддержать меры, направленные на устранение задержек в обработке заявок на регистрацию спутниковых сетей, а также предоставить БР возможность для повышения эффективности своей работы, в том числе восстановления баланса между рабочей нагрузкой и возможностью обработки.</w:t>
      </w:r>
    </w:p>
    <w:p w14:paraId="7578BEA5" w14:textId="3F64FA4B" w:rsidR="00F856AB" w:rsidRPr="00C57968" w:rsidRDefault="00F856AB" w:rsidP="00F856AB">
      <w:pPr>
        <w:pStyle w:val="enumlev1"/>
        <w:rPr>
          <w:lang w:val="ru-RU"/>
        </w:rPr>
      </w:pPr>
      <w:r w:rsidRPr="00C57968">
        <w:rPr>
          <w:lang w:val="ru-RU"/>
        </w:rPr>
        <w:t>7</w:t>
      </w:r>
      <w:r w:rsidR="0057238F">
        <w:rPr>
          <w:lang w:val="ru-RU"/>
        </w:rPr>
        <w:t>)</w:t>
      </w:r>
      <w:r w:rsidRPr="00C57968">
        <w:rPr>
          <w:lang w:val="ru-RU"/>
        </w:rPr>
        <w:tab/>
        <w:t>Поддержать способность БР устранить накопившийся объем невыполненной работы и обеспечить более строгое соблюдение регламентарных требований, что укрепит стабильность международной регламентарной среды и будет отвечать интересам Государств-Членов.</w:t>
      </w:r>
    </w:p>
    <w:p w14:paraId="2890B534" w14:textId="77777777" w:rsidR="00796BD3" w:rsidRPr="00C57968" w:rsidRDefault="00C462C5" w:rsidP="00200218">
      <w:pPr>
        <w:spacing w:before="360"/>
        <w:jc w:val="center"/>
        <w:rPr>
          <w:lang w:val="ru-RU"/>
        </w:rPr>
      </w:pPr>
      <w:r w:rsidRPr="00C57968">
        <w:rPr>
          <w:lang w:val="ru-RU"/>
        </w:rPr>
        <w:t>______________</w:t>
      </w:r>
    </w:p>
    <w:sectPr w:rsidR="00796BD3" w:rsidRPr="00C57968" w:rsidSect="00796BD3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D54C" w14:textId="77777777" w:rsidR="00F856AB" w:rsidRDefault="00F856AB">
      <w:r>
        <w:separator/>
      </w:r>
    </w:p>
  </w:endnote>
  <w:endnote w:type="continuationSeparator" w:id="0">
    <w:p w14:paraId="29B5A21F" w14:textId="77777777" w:rsidR="00F856AB" w:rsidRDefault="00F8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4DCDD31" w14:textId="77777777" w:rsidTr="00E31DCE">
      <w:trPr>
        <w:jc w:val="center"/>
      </w:trPr>
      <w:tc>
        <w:tcPr>
          <w:tcW w:w="1803" w:type="dxa"/>
          <w:vAlign w:val="center"/>
        </w:tcPr>
        <w:p w14:paraId="0C3C2C0C" w14:textId="7320845B" w:rsidR="00672F8A" w:rsidRDefault="00C57968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Pr="00C57968">
            <w:rPr>
              <w:noProof/>
            </w:rPr>
            <w:t>2600944</w:t>
          </w:r>
        </w:p>
      </w:tc>
      <w:tc>
        <w:tcPr>
          <w:tcW w:w="8261" w:type="dxa"/>
        </w:tcPr>
        <w:p w14:paraId="7B728ECA" w14:textId="65290DC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F856AB">
            <w:rPr>
              <w:bCs/>
            </w:rPr>
            <w:t>98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81EA87F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7A7E3B1" w14:textId="77777777" w:rsidTr="00E31DCE">
      <w:trPr>
        <w:jc w:val="center"/>
      </w:trPr>
      <w:tc>
        <w:tcPr>
          <w:tcW w:w="1803" w:type="dxa"/>
          <w:vAlign w:val="center"/>
        </w:tcPr>
        <w:p w14:paraId="36DD989E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E34B8F1" w14:textId="7996A53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F856AB">
            <w:rPr>
              <w:bCs/>
            </w:rPr>
            <w:t>98</w:t>
          </w:r>
          <w:r w:rsidR="00920A43">
            <w:rPr>
              <w:bCs/>
              <w:lang w:val="ru-RU"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D6FE1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BD5F" w14:textId="77777777" w:rsidR="00F856AB" w:rsidRDefault="00F856AB">
      <w:r>
        <w:t>____________________</w:t>
      </w:r>
    </w:p>
  </w:footnote>
  <w:footnote w:type="continuationSeparator" w:id="0">
    <w:p w14:paraId="3DBE7D86" w14:textId="77777777" w:rsidR="00F856AB" w:rsidRDefault="00F8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F098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90FFA"/>
    <w:multiLevelType w:val="hybridMultilevel"/>
    <w:tmpl w:val="E7B01226"/>
    <w:lvl w:ilvl="0" w:tplc="6F8CD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41BA7"/>
    <w:multiLevelType w:val="hybridMultilevel"/>
    <w:tmpl w:val="79787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A13D7"/>
    <w:multiLevelType w:val="hybridMultilevel"/>
    <w:tmpl w:val="FF621CDE"/>
    <w:lvl w:ilvl="0" w:tplc="D92E6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786">
    <w:abstractNumId w:val="0"/>
  </w:num>
  <w:num w:numId="2" w16cid:durableId="1918514372">
    <w:abstractNumId w:val="2"/>
  </w:num>
  <w:num w:numId="3" w16cid:durableId="1688559011">
    <w:abstractNumId w:val="1"/>
  </w:num>
  <w:num w:numId="4" w16cid:durableId="1864901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AB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C2649"/>
    <w:rsid w:val="000E568E"/>
    <w:rsid w:val="0014229E"/>
    <w:rsid w:val="0014734F"/>
    <w:rsid w:val="00156890"/>
    <w:rsid w:val="0015710D"/>
    <w:rsid w:val="001612FB"/>
    <w:rsid w:val="00163A32"/>
    <w:rsid w:val="00165D06"/>
    <w:rsid w:val="00166A9F"/>
    <w:rsid w:val="00192B41"/>
    <w:rsid w:val="001B7B09"/>
    <w:rsid w:val="001C35C8"/>
    <w:rsid w:val="001E6719"/>
    <w:rsid w:val="001E7F50"/>
    <w:rsid w:val="00200218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938DC"/>
    <w:rsid w:val="003F099E"/>
    <w:rsid w:val="003F235E"/>
    <w:rsid w:val="00401FD7"/>
    <w:rsid w:val="004023E0"/>
    <w:rsid w:val="00403DD8"/>
    <w:rsid w:val="004070A0"/>
    <w:rsid w:val="00420549"/>
    <w:rsid w:val="00425CA7"/>
    <w:rsid w:val="00442515"/>
    <w:rsid w:val="0045686C"/>
    <w:rsid w:val="00465C35"/>
    <w:rsid w:val="004918C4"/>
    <w:rsid w:val="00497703"/>
    <w:rsid w:val="004A0374"/>
    <w:rsid w:val="004A45B5"/>
    <w:rsid w:val="004C5491"/>
    <w:rsid w:val="004D0129"/>
    <w:rsid w:val="00515795"/>
    <w:rsid w:val="00547E01"/>
    <w:rsid w:val="0057238F"/>
    <w:rsid w:val="005A64D5"/>
    <w:rsid w:val="005B3DEC"/>
    <w:rsid w:val="00601994"/>
    <w:rsid w:val="00615E7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B43E1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D7CF2"/>
    <w:rsid w:val="008E0737"/>
    <w:rsid w:val="008F7958"/>
    <w:rsid w:val="008F7C2C"/>
    <w:rsid w:val="00920A43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B39E4"/>
    <w:rsid w:val="00BC0D39"/>
    <w:rsid w:val="00BC7BC0"/>
    <w:rsid w:val="00BD57B7"/>
    <w:rsid w:val="00BE00DD"/>
    <w:rsid w:val="00BE63E2"/>
    <w:rsid w:val="00C0599D"/>
    <w:rsid w:val="00C462C5"/>
    <w:rsid w:val="00C57968"/>
    <w:rsid w:val="00CD2009"/>
    <w:rsid w:val="00CD3190"/>
    <w:rsid w:val="00CF629C"/>
    <w:rsid w:val="00D17718"/>
    <w:rsid w:val="00D20CD1"/>
    <w:rsid w:val="00D3014E"/>
    <w:rsid w:val="00D631AA"/>
    <w:rsid w:val="00D92EEA"/>
    <w:rsid w:val="00DA5D4E"/>
    <w:rsid w:val="00DA770A"/>
    <w:rsid w:val="00E05752"/>
    <w:rsid w:val="00E176BA"/>
    <w:rsid w:val="00E423EC"/>
    <w:rsid w:val="00E5221B"/>
    <w:rsid w:val="00E55121"/>
    <w:rsid w:val="00EB4FCB"/>
    <w:rsid w:val="00EC6BC5"/>
    <w:rsid w:val="00EF289A"/>
    <w:rsid w:val="00F348D0"/>
    <w:rsid w:val="00F35898"/>
    <w:rsid w:val="00F5225B"/>
    <w:rsid w:val="00F856A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1A10F"/>
  <w15:docId w15:val="{EAF18533-CB59-4B06-BCE5-0AC3F210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6A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00218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6A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5/en" TargetMode="External"/><Relationship Id="rId13" Type="http://schemas.openxmlformats.org/officeDocument/2006/relationships/hyperlink" Target="https://www.itu.int/md/R00-CA-CIR-0281/e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tu.int/en/council/Documents/basic-texts/RES-091-r.pdf" TargetMode="External"/><Relationship Id="rId12" Type="http://schemas.openxmlformats.org/officeDocument/2006/relationships/hyperlink" Target="https://www.itu.int/md/S26-CL-C-0019/en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itu.int/ITU-R/go/space-statistics/e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CL-C-0016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R00-CA-CIR-0281/en" TargetMode="External"/><Relationship Id="rId10" Type="http://schemas.openxmlformats.org/officeDocument/2006/relationships/hyperlink" Target="https://www.itu.int/md/meetingdoc.asp?lang=en&amp;parent=S26-CL-C-001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meetingdoc.asp?lang=en&amp;parent=S26-CL-C-0016" TargetMode="External"/><Relationship Id="rId14" Type="http://schemas.openxmlformats.org/officeDocument/2006/relationships/hyperlink" Target="https://www.itu.int/md/R23-RAG-C-0058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3</TotalTime>
  <Pages>7</Pages>
  <Words>2529</Words>
  <Characters>18356</Characters>
  <Application>Microsoft Office Word</Application>
  <DocSecurity>0</DocSecurity>
  <Lines>470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Enhancing satellite network filing (SNF) cost recovery and addressing processing delays in the Radiocommunication Bureau</vt:lpstr>
    </vt:vector>
  </TitlesOfParts>
  <Manager>General Secretariat - Pool</Manager>
  <Company>International Telecommunication Union (ITU)</Company>
  <LinksUpToDate>false</LinksUpToDate>
  <CharactersWithSpaces>20631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satellite network filing (SNF) cost recovery and addressing processing delays in the Radiocommunication Bureau</dc:title>
  <dc:subject>ITU Council 2026</dc:subject>
  <cp:keywords>C26; C2026; Council 2026; PP26</cp:keywords>
  <dc:description/>
  <cp:lastPrinted>2006-03-28T16:12:00Z</cp:lastPrinted>
  <dcterms:created xsi:type="dcterms:W3CDTF">2026-04-29T18:06:00Z</dcterms:created>
  <dcterms:modified xsi:type="dcterms:W3CDTF">2026-04-29T18:08:00Z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